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C36B" w14:textId="2E2BE8E8" w:rsidR="002B4677" w:rsidRPr="005B3BEB" w:rsidRDefault="003F550B" w:rsidP="00ED53E7">
      <w:pPr>
        <w:pStyle w:val="Title"/>
        <w:rPr>
          <w:rFonts w:cs="Arial"/>
          <w:color w:val="6B3B57"/>
        </w:rPr>
      </w:pPr>
      <w:bookmarkStart w:id="0" w:name="_Hlk181963697"/>
      <w:bookmarkStart w:id="1" w:name="_Hlk165453449"/>
      <w:r w:rsidRPr="005B3BEB">
        <w:rPr>
          <w:rStyle w:val="normaltextrun"/>
          <w:rFonts w:cs="Arial"/>
          <w:color w:val="6B3B57"/>
        </w:rPr>
        <w:t>Students with disability</w:t>
      </w:r>
      <w:r w:rsidR="002B4677" w:rsidRPr="005B3BEB">
        <w:rPr>
          <w:rStyle w:val="normaltextrun"/>
          <w:rFonts w:cs="Arial"/>
          <w:color w:val="6B3B57"/>
        </w:rPr>
        <w:t xml:space="preserve"> in Australian higher education</w:t>
      </w:r>
      <w:r w:rsidR="005B3BEB" w:rsidRPr="005B3BEB">
        <w:rPr>
          <w:rStyle w:val="normaltextrun"/>
          <w:rFonts w:cs="Arial"/>
          <w:color w:val="6B3B57"/>
        </w:rPr>
        <w:t>: Analysis of 2023 data</w:t>
      </w:r>
      <w:r w:rsidR="005B3BEB" w:rsidRPr="005B3BEB">
        <w:rPr>
          <w:rStyle w:val="normaltextrun"/>
          <w:rFonts w:cs="Arial"/>
          <w:color w:val="6B3B57"/>
        </w:rPr>
        <w:br/>
      </w:r>
      <w:r w:rsidR="00B03376" w:rsidRPr="005B3BEB">
        <w:rPr>
          <w:rStyle w:val="normaltextrun"/>
          <w:rFonts w:cs="Arial"/>
          <w:color w:val="6B3B57"/>
        </w:rPr>
        <w:t>(</w:t>
      </w:r>
      <w:r w:rsidR="00C105A2" w:rsidRPr="005B3BEB">
        <w:rPr>
          <w:rStyle w:val="normaltextrun"/>
          <w:rFonts w:cs="Arial"/>
          <w:color w:val="6B3B57"/>
        </w:rPr>
        <w:t>2024</w:t>
      </w:r>
      <w:r w:rsidR="005F30A0" w:rsidRPr="005B3BEB">
        <w:rPr>
          <w:rStyle w:val="normaltextrun"/>
          <w:rFonts w:cs="Arial"/>
          <w:color w:val="6B3B57"/>
        </w:rPr>
        <w:t xml:space="preserve"> update</w:t>
      </w:r>
      <w:r w:rsidR="00B03376" w:rsidRPr="005B3BEB">
        <w:rPr>
          <w:rStyle w:val="normaltextrun"/>
          <w:rFonts w:cs="Arial"/>
          <w:color w:val="6B3B57"/>
        </w:rPr>
        <w:t>)</w:t>
      </w:r>
    </w:p>
    <w:bookmarkEnd w:id="0"/>
    <w:p w14:paraId="71B38735" w14:textId="77777777" w:rsidR="002B4677" w:rsidRPr="005B3BEB" w:rsidRDefault="002B4677" w:rsidP="002B4677">
      <w:pPr>
        <w:pStyle w:val="paragraph"/>
        <w:spacing w:before="0" w:beforeAutospacing="0" w:after="0" w:afterAutospacing="0"/>
        <w:textAlignment w:val="baseline"/>
        <w:rPr>
          <w:rFonts w:ascii="Inter" w:hAnsi="Inter" w:cs="Segoe UI"/>
          <w:sz w:val="18"/>
          <w:szCs w:val="18"/>
        </w:rPr>
      </w:pPr>
      <w:r w:rsidRPr="005B3BEB">
        <w:rPr>
          <w:rStyle w:val="eop"/>
          <w:rFonts w:ascii="Inter" w:hAnsi="Inter" w:cs="Segoe UI"/>
        </w:rPr>
        <w:t> </w:t>
      </w:r>
    </w:p>
    <w:p w14:paraId="0F56E3F5" w14:textId="77777777" w:rsidR="002B4677" w:rsidRPr="005B3BEB" w:rsidRDefault="002B4677" w:rsidP="002B4677">
      <w:pPr>
        <w:pStyle w:val="paragraph"/>
        <w:spacing w:before="0" w:beforeAutospacing="0" w:after="0" w:afterAutospacing="0"/>
        <w:textAlignment w:val="baseline"/>
        <w:rPr>
          <w:rFonts w:ascii="Inter" w:hAnsi="Inter" w:cs="Segoe UI"/>
          <w:sz w:val="18"/>
          <w:szCs w:val="18"/>
        </w:rPr>
      </w:pPr>
      <w:r w:rsidRPr="005B3BEB">
        <w:rPr>
          <w:rStyle w:val="eop"/>
          <w:rFonts w:ascii="Inter" w:hAnsi="Inter" w:cs="Segoe UI"/>
          <w:color w:val="D13438"/>
        </w:rPr>
        <w:t> </w:t>
      </w:r>
    </w:p>
    <w:p w14:paraId="6F98638E" w14:textId="310A0D24" w:rsidR="002B4677" w:rsidRPr="005B3BEB" w:rsidRDefault="002B4677" w:rsidP="00ED53E7">
      <w:pPr>
        <w:pStyle w:val="Subtitle"/>
        <w:rPr>
          <w:rFonts w:cs="Arial"/>
        </w:rPr>
      </w:pPr>
      <w:r w:rsidRPr="005B3BEB">
        <w:rPr>
          <w:rStyle w:val="eop"/>
          <w:rFonts w:cs="Arial"/>
          <w:color w:val="D13438"/>
        </w:rPr>
        <w:t> </w:t>
      </w:r>
      <w:r w:rsidR="005B3BEB" w:rsidRPr="005B3BEB">
        <w:rPr>
          <w:rStyle w:val="normaltextrun"/>
          <w:rFonts w:cs="Arial"/>
          <w:color w:val="6B3B57"/>
        </w:rPr>
        <w:t>ACSES Data Insights Series</w:t>
      </w:r>
    </w:p>
    <w:bookmarkEnd w:id="1"/>
    <w:p w14:paraId="6F64DBF6" w14:textId="77777777" w:rsidR="00091171" w:rsidRPr="007B13AD" w:rsidRDefault="00213FD3">
      <w:r w:rsidRPr="007B13AD">
        <w:br w:type="page"/>
      </w:r>
    </w:p>
    <w:p w14:paraId="46C61B8F" w14:textId="4017AB45" w:rsidR="0010724C" w:rsidRDefault="005F30A0" w:rsidP="00ED53E7">
      <w:pPr>
        <w:pStyle w:val="Heading1"/>
      </w:pPr>
      <w:r>
        <w:lastRenderedPageBreak/>
        <w:t>Introduction</w:t>
      </w:r>
    </w:p>
    <w:p w14:paraId="60BCAE4E" w14:textId="2D3C56A3" w:rsidR="005F30A0" w:rsidRPr="007B13AD" w:rsidRDefault="005F30A0" w:rsidP="005F30A0">
      <w:pPr>
        <w:rPr>
          <w:rFonts w:cs="Calibri"/>
          <w:szCs w:val="20"/>
        </w:rPr>
      </w:pPr>
      <w:r w:rsidRPr="007B13AD">
        <w:rPr>
          <w:rFonts w:cs="Calibri"/>
          <w:szCs w:val="20"/>
        </w:rPr>
        <w:t xml:space="preserve">This report </w:t>
      </w:r>
      <w:r>
        <w:rPr>
          <w:rFonts w:cs="Calibri"/>
          <w:szCs w:val="20"/>
        </w:rPr>
        <w:t>is a</w:t>
      </w:r>
      <w:r w:rsidR="008713A9">
        <w:rPr>
          <w:rFonts w:cs="Calibri"/>
          <w:szCs w:val="20"/>
        </w:rPr>
        <w:t xml:space="preserve">n </w:t>
      </w:r>
      <w:r>
        <w:rPr>
          <w:rFonts w:cs="Calibri"/>
          <w:szCs w:val="20"/>
        </w:rPr>
        <w:t>update to the earlier report ‘</w:t>
      </w:r>
      <w:r>
        <w:rPr>
          <w:rFonts w:cs="Calibri"/>
          <w:i/>
          <w:iCs/>
          <w:szCs w:val="20"/>
        </w:rPr>
        <w:t xml:space="preserve">Students </w:t>
      </w:r>
      <w:r w:rsidRPr="007B13AD">
        <w:rPr>
          <w:rFonts w:cs="Calibri"/>
          <w:i/>
          <w:szCs w:val="20"/>
        </w:rPr>
        <w:t>with disability in Australian higher education</w:t>
      </w:r>
      <w:r>
        <w:rPr>
          <w:rFonts w:cs="Calibri"/>
          <w:i/>
          <w:szCs w:val="20"/>
        </w:rPr>
        <w:t>: an overview’</w:t>
      </w:r>
      <w:r>
        <w:rPr>
          <w:rStyle w:val="FootnoteReference"/>
          <w:rFonts w:cs="Calibri"/>
          <w:i w:val="0"/>
        </w:rPr>
        <w:footnoteReference w:id="2"/>
      </w:r>
      <w:r>
        <w:rPr>
          <w:rFonts w:cs="Calibri"/>
          <w:i/>
          <w:szCs w:val="20"/>
        </w:rPr>
        <w:t xml:space="preserve">. </w:t>
      </w:r>
      <w:r>
        <w:rPr>
          <w:rFonts w:cs="Calibri"/>
          <w:iCs/>
          <w:szCs w:val="20"/>
        </w:rPr>
        <w:t>It</w:t>
      </w:r>
      <w:r>
        <w:rPr>
          <w:rFonts w:cs="Calibri"/>
          <w:szCs w:val="20"/>
        </w:rPr>
        <w:t xml:space="preserve"> </w:t>
      </w:r>
      <w:r w:rsidRPr="007B13AD">
        <w:rPr>
          <w:rFonts w:cs="Calibri"/>
          <w:szCs w:val="20"/>
        </w:rPr>
        <w:t>focuses on</w:t>
      </w:r>
      <w:r>
        <w:rPr>
          <w:rFonts w:cs="Calibri"/>
          <w:szCs w:val="20"/>
        </w:rPr>
        <w:t xml:space="preserve"> the participation of students with disability in higher education in 2023. </w:t>
      </w:r>
      <w:r w:rsidRPr="007B13AD">
        <w:rPr>
          <w:rFonts w:cs="Calibri"/>
          <w:szCs w:val="20"/>
        </w:rPr>
        <w:t>For further information on various aspects of student</w:t>
      </w:r>
      <w:r>
        <w:rPr>
          <w:rFonts w:cs="Calibri"/>
          <w:szCs w:val="20"/>
        </w:rPr>
        <w:t>s</w:t>
      </w:r>
      <w:r w:rsidRPr="007B13AD">
        <w:rPr>
          <w:rFonts w:cs="Calibri"/>
          <w:szCs w:val="20"/>
        </w:rPr>
        <w:t xml:space="preserve"> with disability performance, and those </w:t>
      </w:r>
      <w:r w:rsidRPr="00CC50B3">
        <w:rPr>
          <w:rFonts w:cs="Calibri"/>
          <w:szCs w:val="20"/>
        </w:rPr>
        <w:t>of equity students more generally—access; participation; success; retention; six</w:t>
      </w:r>
      <w:r>
        <w:rPr>
          <w:rFonts w:cs="Calibri"/>
          <w:szCs w:val="20"/>
        </w:rPr>
        <w:t>- and nine</w:t>
      </w:r>
      <w:r w:rsidRPr="00CC50B3">
        <w:rPr>
          <w:rFonts w:cs="Calibri"/>
          <w:szCs w:val="20"/>
        </w:rPr>
        <w:t xml:space="preserve">-year cohort completion—please see the </w:t>
      </w:r>
      <w:r w:rsidRPr="00CC50B3">
        <w:rPr>
          <w:rFonts w:cs="Arial"/>
          <w:b/>
          <w:bCs/>
          <w:szCs w:val="20"/>
        </w:rPr>
        <w:t>ACSES Student Equity Data Program</w:t>
      </w:r>
      <w:r w:rsidRPr="00CC50B3">
        <w:rPr>
          <w:rFonts w:cs="Arial"/>
          <w:i/>
          <w:iCs/>
          <w:szCs w:val="20"/>
        </w:rPr>
        <w:t xml:space="preserve"> </w:t>
      </w:r>
      <w:r w:rsidRPr="00CC50B3">
        <w:rPr>
          <w:rFonts w:cs="Arial"/>
          <w:szCs w:val="20"/>
        </w:rPr>
        <w:t xml:space="preserve">webpage: </w:t>
      </w:r>
      <w:hyperlink r:id="rId8" w:history="1">
        <w:r w:rsidRPr="001E17EA">
          <w:rPr>
            <w:rStyle w:val="Hyperlink"/>
          </w:rPr>
          <w:t>https://www.acses.edu.au/data/interactive-tool/</w:t>
        </w:r>
      </w:hyperlink>
      <w:r>
        <w:t xml:space="preserve"> </w:t>
      </w:r>
    </w:p>
    <w:p w14:paraId="391C0DDF" w14:textId="18CBE763" w:rsidR="0010724C" w:rsidRPr="007B13AD" w:rsidRDefault="0010724C" w:rsidP="0010724C">
      <w:pPr>
        <w:rPr>
          <w:rFonts w:cs="Calibri"/>
          <w:szCs w:val="20"/>
        </w:rPr>
      </w:pPr>
      <w:r w:rsidRPr="007B13AD">
        <w:rPr>
          <w:rFonts w:cs="Calibri"/>
          <w:szCs w:val="20"/>
        </w:rPr>
        <w:t xml:space="preserve">This </w:t>
      </w:r>
      <w:r w:rsidR="005F30A0">
        <w:rPr>
          <w:rFonts w:cs="Calibri"/>
          <w:szCs w:val="20"/>
        </w:rPr>
        <w:t xml:space="preserve">Data Update </w:t>
      </w:r>
      <w:r w:rsidRPr="007B13AD">
        <w:rPr>
          <w:rFonts w:cs="Calibri"/>
          <w:szCs w:val="20"/>
        </w:rPr>
        <w:t>was prepared by Gemma Cadby</w:t>
      </w:r>
      <w:r w:rsidR="00EC14E9" w:rsidRPr="007B13AD">
        <w:rPr>
          <w:rFonts w:cs="Calibri"/>
          <w:szCs w:val="20"/>
        </w:rPr>
        <w:t>,</w:t>
      </w:r>
      <w:r w:rsidRPr="007B13AD">
        <w:rPr>
          <w:rFonts w:cs="Calibri"/>
          <w:szCs w:val="20"/>
        </w:rPr>
        <w:t xml:space="preserve"> Tim Pitman</w:t>
      </w:r>
      <w:r w:rsidR="0098452A">
        <w:rPr>
          <w:rFonts w:cs="Calibri"/>
          <w:szCs w:val="20"/>
        </w:rPr>
        <w:t>,</w:t>
      </w:r>
      <w:r w:rsidR="00EC14E9" w:rsidRPr="007B13AD">
        <w:rPr>
          <w:rFonts w:cs="Calibri"/>
          <w:szCs w:val="20"/>
        </w:rPr>
        <w:t xml:space="preserve"> and Paul Koshy</w:t>
      </w:r>
      <w:r w:rsidRPr="007B13AD">
        <w:rPr>
          <w:rFonts w:cs="Calibri"/>
          <w:szCs w:val="20"/>
        </w:rPr>
        <w:t xml:space="preserve"> of the Australian Centre for Student Equity and Success (ACSES) at Curtin University. </w:t>
      </w:r>
    </w:p>
    <w:p w14:paraId="3D134F09" w14:textId="1FDFAB06" w:rsidR="007B27C3" w:rsidRPr="007B13AD" w:rsidRDefault="0010724C" w:rsidP="0010724C">
      <w:pPr>
        <w:rPr>
          <w:rFonts w:cs="Calibri"/>
          <w:szCs w:val="20"/>
        </w:rPr>
      </w:pPr>
      <w:r w:rsidRPr="007B13AD">
        <w:rPr>
          <w:rFonts w:cs="Calibri"/>
          <w:szCs w:val="20"/>
        </w:rPr>
        <w:t>The author</w:t>
      </w:r>
      <w:r w:rsidR="000C3EDE" w:rsidRPr="007B13AD">
        <w:rPr>
          <w:rFonts w:cs="Calibri"/>
          <w:szCs w:val="20"/>
        </w:rPr>
        <w:t>s</w:t>
      </w:r>
      <w:r w:rsidRPr="007B13AD">
        <w:rPr>
          <w:rFonts w:cs="Calibri"/>
          <w:szCs w:val="20"/>
        </w:rPr>
        <w:t xml:space="preserve"> would like to acknowledge</w:t>
      </w:r>
      <w:r w:rsidR="00693713" w:rsidRPr="007B13AD">
        <w:rPr>
          <w:rFonts w:cs="Calibri"/>
          <w:szCs w:val="20"/>
        </w:rPr>
        <w:t xml:space="preserve"> the</w:t>
      </w:r>
      <w:r w:rsidRPr="007B13AD">
        <w:rPr>
          <w:rFonts w:cs="Calibri"/>
          <w:szCs w:val="20"/>
        </w:rPr>
        <w:t xml:space="preserve"> staff </w:t>
      </w:r>
      <w:r w:rsidR="00693713" w:rsidRPr="007B13AD">
        <w:rPr>
          <w:rFonts w:cs="Calibri"/>
          <w:szCs w:val="20"/>
        </w:rPr>
        <w:t>at</w:t>
      </w:r>
      <w:r w:rsidRPr="007B13AD">
        <w:rPr>
          <w:rFonts w:cs="Calibri"/>
          <w:szCs w:val="20"/>
        </w:rPr>
        <w:t xml:space="preserve"> </w:t>
      </w:r>
      <w:r w:rsidR="000C3EDE" w:rsidRPr="007B13AD">
        <w:rPr>
          <w:rFonts w:cs="Calibri"/>
          <w:szCs w:val="20"/>
        </w:rPr>
        <w:t>ACSES</w:t>
      </w:r>
      <w:r w:rsidRPr="007B13AD">
        <w:rPr>
          <w:rFonts w:cs="Calibri"/>
          <w:szCs w:val="20"/>
        </w:rPr>
        <w:t xml:space="preserve"> for their comments and assistance in the production of this publication and extend thanks to the </w:t>
      </w:r>
      <w:r w:rsidRPr="007B13AD">
        <w:t xml:space="preserve">Australian Government </w:t>
      </w:r>
      <w:r w:rsidRPr="007B13AD">
        <w:rPr>
          <w:rFonts w:cs="Calibri"/>
          <w:szCs w:val="20"/>
        </w:rPr>
        <w:t>Department of Education for the provision of student equity data</w:t>
      </w:r>
      <w:r w:rsidR="004266C6" w:rsidRPr="007B13AD">
        <w:rPr>
          <w:rFonts w:cs="Calibri"/>
          <w:szCs w:val="20"/>
        </w:rPr>
        <w:t>.</w:t>
      </w:r>
      <w:r w:rsidRPr="007B13AD">
        <w:rPr>
          <w:rFonts w:cs="Calibri"/>
          <w:szCs w:val="20"/>
        </w:rPr>
        <w:t xml:space="preserve"> </w:t>
      </w:r>
    </w:p>
    <w:p w14:paraId="26EA12B4" w14:textId="411C99A3" w:rsidR="0010724C" w:rsidRPr="007B13AD" w:rsidRDefault="0010724C" w:rsidP="0010724C">
      <w:pPr>
        <w:rPr>
          <w:rFonts w:cs="Calibri"/>
          <w:szCs w:val="20"/>
        </w:rPr>
      </w:pPr>
      <w:r w:rsidRPr="007B13AD">
        <w:rPr>
          <w:rFonts w:cs="Calibri"/>
          <w:szCs w:val="20"/>
        </w:rPr>
        <w:t xml:space="preserve">The </w:t>
      </w:r>
      <w:r w:rsidR="002B4677" w:rsidRPr="007B13AD">
        <w:rPr>
          <w:rFonts w:cs="Calibri"/>
          <w:szCs w:val="20"/>
        </w:rPr>
        <w:t>report</w:t>
      </w:r>
      <w:r w:rsidRPr="007B13AD">
        <w:rPr>
          <w:rFonts w:cs="Calibri"/>
          <w:szCs w:val="20"/>
        </w:rPr>
        <w:t xml:space="preserve"> may be cited as: </w:t>
      </w:r>
      <w:r w:rsidR="001876C0" w:rsidRPr="007B13AD">
        <w:rPr>
          <w:rFonts w:cs="Calibri"/>
          <w:szCs w:val="20"/>
        </w:rPr>
        <w:t>Cadby, G.</w:t>
      </w:r>
      <w:r w:rsidR="00EC14E9" w:rsidRPr="007B13AD">
        <w:rPr>
          <w:rFonts w:cs="Calibri"/>
          <w:szCs w:val="20"/>
        </w:rPr>
        <w:t>,</w:t>
      </w:r>
      <w:r w:rsidR="001876C0" w:rsidRPr="007B13AD">
        <w:rPr>
          <w:rFonts w:cs="Calibri"/>
          <w:szCs w:val="20"/>
        </w:rPr>
        <w:t xml:space="preserve"> Pitman, T.</w:t>
      </w:r>
      <w:r w:rsidR="00EC14E9" w:rsidRPr="007B13AD">
        <w:rPr>
          <w:rFonts w:cs="Calibri"/>
          <w:szCs w:val="20"/>
        </w:rPr>
        <w:t>, &amp; Koshy, P.</w:t>
      </w:r>
      <w:r w:rsidRPr="007B13AD">
        <w:rPr>
          <w:rFonts w:cs="Calibri"/>
          <w:szCs w:val="20"/>
        </w:rPr>
        <w:t xml:space="preserve"> (202</w:t>
      </w:r>
      <w:r w:rsidR="001876C0" w:rsidRPr="007B13AD">
        <w:rPr>
          <w:rFonts w:cs="Calibri"/>
          <w:szCs w:val="20"/>
        </w:rPr>
        <w:t>4</w:t>
      </w:r>
      <w:r w:rsidRPr="007B13AD">
        <w:rPr>
          <w:rFonts w:cs="Calibri"/>
          <w:szCs w:val="20"/>
        </w:rPr>
        <w:t xml:space="preserve">). </w:t>
      </w:r>
      <w:r w:rsidR="005A22ED">
        <w:rPr>
          <w:rFonts w:cs="Calibri"/>
          <w:i/>
          <w:iCs/>
          <w:szCs w:val="20"/>
        </w:rPr>
        <w:t xml:space="preserve">Students </w:t>
      </w:r>
      <w:r w:rsidR="003F550B" w:rsidRPr="007B13AD">
        <w:rPr>
          <w:rFonts w:cs="Calibri"/>
          <w:i/>
          <w:szCs w:val="20"/>
        </w:rPr>
        <w:t>with disability</w:t>
      </w:r>
      <w:r w:rsidR="001876C0" w:rsidRPr="007B13AD">
        <w:rPr>
          <w:rFonts w:cs="Calibri"/>
          <w:i/>
          <w:szCs w:val="20"/>
        </w:rPr>
        <w:t xml:space="preserve"> in Australian higher education</w:t>
      </w:r>
      <w:r w:rsidR="00A35B91">
        <w:rPr>
          <w:rFonts w:cs="Calibri"/>
          <w:i/>
          <w:szCs w:val="20"/>
        </w:rPr>
        <w:t xml:space="preserve"> </w:t>
      </w:r>
      <w:r w:rsidR="00B03376">
        <w:rPr>
          <w:rFonts w:cs="Calibri"/>
          <w:i/>
          <w:szCs w:val="20"/>
        </w:rPr>
        <w:t>(</w:t>
      </w:r>
      <w:r w:rsidR="00A35B91">
        <w:rPr>
          <w:rFonts w:cs="Calibri"/>
          <w:i/>
          <w:szCs w:val="20"/>
        </w:rPr>
        <w:t>Nov 2024 update</w:t>
      </w:r>
      <w:r w:rsidR="00B03376">
        <w:rPr>
          <w:rFonts w:cs="Calibri"/>
          <w:i/>
          <w:szCs w:val="20"/>
        </w:rPr>
        <w:t>)</w:t>
      </w:r>
      <w:r w:rsidRPr="007B13AD">
        <w:rPr>
          <w:rFonts w:cs="Calibri"/>
          <w:szCs w:val="20"/>
        </w:rPr>
        <w:t xml:space="preserve">. </w:t>
      </w:r>
      <w:r w:rsidR="00327575" w:rsidRPr="007B13AD">
        <w:rPr>
          <w:rFonts w:cs="Calibri"/>
          <w:szCs w:val="20"/>
        </w:rPr>
        <w:t xml:space="preserve">Australian Centre for </w:t>
      </w:r>
      <w:r w:rsidR="002B2FF2" w:rsidRPr="007B13AD">
        <w:rPr>
          <w:rFonts w:cs="Calibri"/>
          <w:szCs w:val="20"/>
        </w:rPr>
        <w:t>Student Equity and Success</w:t>
      </w:r>
      <w:r w:rsidRPr="007B13AD">
        <w:rPr>
          <w:rFonts w:cs="Calibri"/>
          <w:szCs w:val="20"/>
        </w:rPr>
        <w:t xml:space="preserve"> (</w:t>
      </w:r>
      <w:r w:rsidR="002B2FF2" w:rsidRPr="007B13AD">
        <w:rPr>
          <w:rFonts w:cs="Calibri"/>
          <w:szCs w:val="20"/>
        </w:rPr>
        <w:t>ACSES</w:t>
      </w:r>
      <w:r w:rsidRPr="007B13AD">
        <w:rPr>
          <w:rFonts w:cs="Calibri"/>
          <w:szCs w:val="20"/>
        </w:rPr>
        <w:t xml:space="preserve">), Perth: Curtin University. </w:t>
      </w:r>
    </w:p>
    <w:p w14:paraId="1B007744" w14:textId="53AFB50B" w:rsidR="0010724C" w:rsidRPr="007B13AD" w:rsidRDefault="0010724C" w:rsidP="0010724C">
      <w:pPr>
        <w:rPr>
          <w:rFonts w:cs="Calibri"/>
          <w:szCs w:val="20"/>
        </w:rPr>
      </w:pPr>
      <w:r w:rsidRPr="007B13AD">
        <w:rPr>
          <w:rFonts w:cs="Calibri"/>
          <w:szCs w:val="20"/>
        </w:rPr>
        <w:t xml:space="preserve">Copyright ownership of this material resides with </w:t>
      </w:r>
      <w:r w:rsidR="00020F62" w:rsidRPr="007B13AD">
        <w:rPr>
          <w:rFonts w:cs="Calibri"/>
          <w:szCs w:val="20"/>
        </w:rPr>
        <w:t>ACSES</w:t>
      </w:r>
      <w:r w:rsidR="00826CCE" w:rsidRPr="007B13AD">
        <w:rPr>
          <w:rFonts w:cs="Calibri"/>
          <w:szCs w:val="20"/>
        </w:rPr>
        <w:t>.</w:t>
      </w:r>
      <w:r w:rsidRPr="007B13AD">
        <w:rPr>
          <w:rFonts w:cs="Calibri"/>
          <w:szCs w:val="20"/>
        </w:rPr>
        <w:t xml:space="preserve">  </w:t>
      </w:r>
    </w:p>
    <w:p w14:paraId="2E74A25D" w14:textId="2C2C1F07" w:rsidR="0010724C" w:rsidRPr="007B13AD" w:rsidRDefault="0010724C" w:rsidP="0010724C">
      <w:pPr>
        <w:rPr>
          <w:rFonts w:cs="Calibri"/>
          <w:szCs w:val="20"/>
        </w:rPr>
      </w:pPr>
      <w:r w:rsidRPr="00127FDA">
        <w:rPr>
          <w:rFonts w:cs="Calibri"/>
          <w:szCs w:val="20"/>
        </w:rPr>
        <w:t>ISBN</w:t>
      </w:r>
      <w:r w:rsidR="00931BA7" w:rsidRPr="00127FDA">
        <w:rPr>
          <w:rFonts w:cs="Calibri"/>
          <w:szCs w:val="20"/>
        </w:rPr>
        <w:t xml:space="preserve"> </w:t>
      </w:r>
      <w:r w:rsidRPr="00127FDA">
        <w:rPr>
          <w:rFonts w:cs="Calibri"/>
          <w:szCs w:val="20"/>
        </w:rPr>
        <w:t xml:space="preserve">- </w:t>
      </w:r>
      <w:r w:rsidR="00931BA7" w:rsidRPr="00127FDA">
        <w:rPr>
          <w:rFonts w:cs="Calibri"/>
          <w:szCs w:val="20"/>
        </w:rPr>
        <w:t>978-0-646-70241-4</w:t>
      </w:r>
    </w:p>
    <w:p w14:paraId="4B859E87" w14:textId="77777777" w:rsidR="0010724C" w:rsidRPr="007B13AD" w:rsidRDefault="0010724C" w:rsidP="0010724C">
      <w:pPr>
        <w:rPr>
          <w:rFonts w:cs="Calibri"/>
          <w:szCs w:val="20"/>
        </w:rPr>
      </w:pPr>
    </w:p>
    <w:p w14:paraId="601F8B97" w14:textId="77777777" w:rsidR="0010724C" w:rsidRPr="007B13AD" w:rsidRDefault="0010724C" w:rsidP="0010724C">
      <w:pPr>
        <w:rPr>
          <w:b/>
        </w:rPr>
      </w:pPr>
    </w:p>
    <w:p w14:paraId="27E8B687" w14:textId="77777777" w:rsidR="00826CCE" w:rsidRPr="007B13AD" w:rsidRDefault="00826CCE">
      <w:pPr>
        <w:rPr>
          <w:b/>
        </w:rPr>
      </w:pPr>
      <w:r w:rsidRPr="007B13AD">
        <w:rPr>
          <w:b/>
        </w:rPr>
        <w:br w:type="page"/>
      </w:r>
    </w:p>
    <w:p w14:paraId="0D69E7DB" w14:textId="074918D1" w:rsidR="00471898" w:rsidRPr="00ED53E7" w:rsidRDefault="005F30A0" w:rsidP="00ED53E7">
      <w:pPr>
        <w:pStyle w:val="Heading1"/>
        <w:rPr>
          <w:rStyle w:val="Emphasis"/>
          <w:i w:val="0"/>
          <w:iCs w:val="0"/>
        </w:rPr>
      </w:pPr>
      <w:r>
        <w:rPr>
          <w:rStyle w:val="Emphasis"/>
          <w:i w:val="0"/>
          <w:iCs w:val="0"/>
        </w:rPr>
        <w:lastRenderedPageBreak/>
        <w:t>D</w:t>
      </w:r>
      <w:r w:rsidR="00471898" w:rsidRPr="00ED53E7">
        <w:rPr>
          <w:rStyle w:val="Emphasis"/>
          <w:i w:val="0"/>
          <w:iCs w:val="0"/>
        </w:rPr>
        <w:t>ata Explanatory Notes</w:t>
      </w:r>
    </w:p>
    <w:p w14:paraId="240BE68F" w14:textId="5A9538CB" w:rsidR="00471898" w:rsidRPr="007B13AD" w:rsidRDefault="00471898" w:rsidP="00471898">
      <w:pPr>
        <w:rPr>
          <w:rStyle w:val="Emphasis"/>
          <w:rFonts w:cs="Arial"/>
          <w:i w:val="0"/>
          <w:iCs w:val="0"/>
          <w:szCs w:val="20"/>
        </w:rPr>
      </w:pPr>
      <w:r w:rsidRPr="007B13AD">
        <w:rPr>
          <w:rStyle w:val="Emphasis"/>
          <w:rFonts w:cs="Arial"/>
          <w:i w:val="0"/>
          <w:iCs w:val="0"/>
          <w:szCs w:val="20"/>
        </w:rPr>
        <w:t xml:space="preserve">All student data reported in this document are sourced from a </w:t>
      </w:r>
      <w:proofErr w:type="spellStart"/>
      <w:r w:rsidRPr="007B13AD">
        <w:rPr>
          <w:rStyle w:val="Emphasis"/>
          <w:rFonts w:cs="Arial"/>
          <w:i w:val="0"/>
          <w:iCs w:val="0"/>
          <w:szCs w:val="20"/>
        </w:rPr>
        <w:t>customised</w:t>
      </w:r>
      <w:proofErr w:type="spellEnd"/>
      <w:r w:rsidRPr="007B13AD">
        <w:rPr>
          <w:rStyle w:val="Emphasis"/>
          <w:rFonts w:cs="Arial"/>
          <w:i w:val="0"/>
          <w:iCs w:val="0"/>
          <w:szCs w:val="20"/>
        </w:rPr>
        <w:t xml:space="preserve"> request to the Australian Government Department of Education</w:t>
      </w:r>
      <w:r w:rsidR="009567BC">
        <w:rPr>
          <w:rStyle w:val="FootnoteReference"/>
          <w:rFonts w:cs="Arial"/>
        </w:rPr>
        <w:footnoteReference w:id="3"/>
      </w:r>
      <w:r w:rsidRPr="007B13AD">
        <w:rPr>
          <w:rStyle w:val="Emphasis"/>
          <w:rFonts w:cs="Arial"/>
          <w:i w:val="0"/>
          <w:iCs w:val="0"/>
          <w:szCs w:val="20"/>
        </w:rPr>
        <w:t xml:space="preserve"> (Australian Government Department of Education, 2024a). </w:t>
      </w:r>
    </w:p>
    <w:p w14:paraId="7798C97F" w14:textId="7300E5CE" w:rsidR="00471898" w:rsidRPr="007B13AD" w:rsidRDefault="006D347E" w:rsidP="00290D8E">
      <w:pPr>
        <w:spacing w:after="120"/>
        <w:rPr>
          <w:rFonts w:cs="Arial"/>
          <w:i/>
          <w:szCs w:val="20"/>
        </w:rPr>
      </w:pPr>
      <w:r>
        <w:rPr>
          <w:rStyle w:val="Emphasis"/>
          <w:rFonts w:cs="Arial"/>
          <w:i w:val="0"/>
          <w:iCs w:val="0"/>
          <w:szCs w:val="20"/>
        </w:rPr>
        <w:t>In preparation of</w:t>
      </w:r>
      <w:r w:rsidR="00471898" w:rsidRPr="007B13AD">
        <w:rPr>
          <w:rStyle w:val="Emphasis"/>
          <w:rFonts w:cs="Arial"/>
          <w:i w:val="0"/>
          <w:iCs w:val="0"/>
          <w:szCs w:val="20"/>
        </w:rPr>
        <w:t xml:space="preserve"> this report:</w:t>
      </w:r>
    </w:p>
    <w:p w14:paraId="06295130" w14:textId="400D2F45" w:rsidR="00AC4563" w:rsidRPr="007B13AD" w:rsidRDefault="00AC4563" w:rsidP="00290D8E">
      <w:pPr>
        <w:pStyle w:val="BodyText"/>
        <w:numPr>
          <w:ilvl w:val="0"/>
          <w:numId w:val="13"/>
        </w:numPr>
        <w:spacing w:before="120"/>
        <w:ind w:left="714" w:hanging="357"/>
        <w:contextualSpacing/>
      </w:pPr>
      <w:r w:rsidRPr="007B13AD">
        <w:t xml:space="preserve">For the purposes of aggregation and presentation and results, cell counts of less than 5 </w:t>
      </w:r>
      <w:r w:rsidR="006D347E">
        <w:t>were</w:t>
      </w:r>
      <w:r w:rsidRPr="007B13AD">
        <w:t xml:space="preserve"> </w:t>
      </w:r>
      <w:r w:rsidR="0007360D">
        <w:t xml:space="preserve">replaced with </w:t>
      </w:r>
      <w:r w:rsidR="00290D8E">
        <w:br/>
      </w:r>
      <w:r w:rsidR="0007360D">
        <w:t>the value</w:t>
      </w:r>
      <w:r w:rsidRPr="007B13AD">
        <w:t xml:space="preserve"> </w:t>
      </w:r>
      <w:r w:rsidR="001D4C1C">
        <w:t>‘</w:t>
      </w:r>
      <w:r w:rsidRPr="007B13AD">
        <w:t>2</w:t>
      </w:r>
      <w:r w:rsidR="001D4C1C">
        <w:t>’</w:t>
      </w:r>
      <w:r w:rsidRPr="007B13AD">
        <w:t xml:space="preserve">. </w:t>
      </w:r>
    </w:p>
    <w:p w14:paraId="6144B468" w14:textId="65265B9F" w:rsidR="00471898" w:rsidRPr="007B13AD" w:rsidRDefault="00471898" w:rsidP="00471898">
      <w:pPr>
        <w:pStyle w:val="BodyText"/>
        <w:numPr>
          <w:ilvl w:val="0"/>
          <w:numId w:val="13"/>
        </w:numPr>
        <w:ind w:left="714" w:hanging="357"/>
        <w:contextualSpacing/>
      </w:pPr>
      <w:r w:rsidRPr="007B13AD">
        <w:t xml:space="preserve">Higher education institutions were identified but have been </w:t>
      </w:r>
      <w:proofErr w:type="spellStart"/>
      <w:r w:rsidRPr="007B13AD">
        <w:t>anonymi</w:t>
      </w:r>
      <w:r w:rsidR="00696198">
        <w:t>s</w:t>
      </w:r>
      <w:r w:rsidRPr="007B13AD">
        <w:t>ed</w:t>
      </w:r>
      <w:proofErr w:type="spellEnd"/>
      <w:r w:rsidRPr="007B13AD">
        <w:t xml:space="preserve"> in this report.</w:t>
      </w:r>
    </w:p>
    <w:p w14:paraId="23C9D74B" w14:textId="74C30552" w:rsidR="00471898" w:rsidRPr="007B13AD" w:rsidRDefault="00471898" w:rsidP="00471898">
      <w:pPr>
        <w:pStyle w:val="BodyText"/>
        <w:numPr>
          <w:ilvl w:val="0"/>
          <w:numId w:val="13"/>
        </w:numPr>
        <w:ind w:left="714" w:hanging="357"/>
        <w:contextualSpacing/>
      </w:pPr>
      <w:r w:rsidRPr="007B13AD">
        <w:t>Analysis was restricted to Table A institutions</w:t>
      </w:r>
      <w:r w:rsidR="000B227A">
        <w:t xml:space="preserve"> (</w:t>
      </w:r>
      <w:r w:rsidR="000B227A" w:rsidRPr="00C76D72">
        <w:rPr>
          <w:i/>
          <w:iCs/>
        </w:rPr>
        <w:t>Higher Education Support Act</w:t>
      </w:r>
      <w:r w:rsidR="000B227A">
        <w:t xml:space="preserve"> 2003)</w:t>
      </w:r>
      <w:r w:rsidRPr="007B13AD">
        <w:t>.</w:t>
      </w:r>
    </w:p>
    <w:p w14:paraId="63028547" w14:textId="77777777" w:rsidR="00ED53E7" w:rsidRPr="007B13AD" w:rsidRDefault="00ED53E7" w:rsidP="00ED53E7">
      <w:pPr>
        <w:pStyle w:val="BodyText"/>
        <w:ind w:left="714"/>
        <w:contextualSpacing/>
      </w:pPr>
    </w:p>
    <w:p w14:paraId="6F53426D" w14:textId="1A6CA4A9" w:rsidR="00471898" w:rsidRPr="007B13AD" w:rsidRDefault="005F30A0" w:rsidP="00290D8E">
      <w:pPr>
        <w:pStyle w:val="BodyText"/>
        <w:spacing w:after="120"/>
      </w:pPr>
      <w:r>
        <w:t>C</w:t>
      </w:r>
      <w:r w:rsidR="00471898" w:rsidRPr="007B13AD">
        <w:t xml:space="preserve">aution must always be exercised </w:t>
      </w:r>
      <w:proofErr w:type="gramStart"/>
      <w:r w:rsidR="00471898" w:rsidRPr="007B13AD">
        <w:t>in</w:t>
      </w:r>
      <w:proofErr w:type="gramEnd"/>
      <w:r w:rsidR="00471898" w:rsidRPr="007B13AD">
        <w:t xml:space="preserve"> </w:t>
      </w:r>
      <w:proofErr w:type="spellStart"/>
      <w:r w:rsidR="00471898" w:rsidRPr="007B13AD">
        <w:t>analysing</w:t>
      </w:r>
      <w:proofErr w:type="spellEnd"/>
      <w:r w:rsidR="00471898" w:rsidRPr="007B13AD">
        <w:t xml:space="preserve"> data on students with </w:t>
      </w:r>
      <w:proofErr w:type="gramStart"/>
      <w:r w:rsidR="00471898" w:rsidRPr="007B13AD">
        <w:t>disability</w:t>
      </w:r>
      <w:proofErr w:type="gramEnd"/>
      <w:r w:rsidR="00471898" w:rsidRPr="007B13AD">
        <w:t xml:space="preserve">: </w:t>
      </w:r>
    </w:p>
    <w:p w14:paraId="727E43EF" w14:textId="2FB836E0" w:rsidR="002B6512" w:rsidRPr="007B13AD" w:rsidRDefault="00471898" w:rsidP="00290D8E">
      <w:pPr>
        <w:pStyle w:val="ListParagraph"/>
        <w:numPr>
          <w:ilvl w:val="0"/>
          <w:numId w:val="14"/>
        </w:numPr>
        <w:spacing w:before="120" w:after="180"/>
        <w:ind w:left="714" w:hanging="357"/>
      </w:pPr>
      <w:r w:rsidRPr="007B13AD">
        <w:t xml:space="preserve">As not all </w:t>
      </w:r>
      <w:r w:rsidR="003F550B" w:rsidRPr="007B13AD">
        <w:t>students with disability</w:t>
      </w:r>
      <w:r w:rsidRPr="007B13AD">
        <w:t xml:space="preserve"> choose to identify for personal reasons, it is a reasonable assumption that the raw numbers in this report </w:t>
      </w:r>
      <w:proofErr w:type="gramStart"/>
      <w:r w:rsidRPr="007B13AD">
        <w:t>under-report</w:t>
      </w:r>
      <w:proofErr w:type="gramEnd"/>
      <w:r w:rsidRPr="007B13AD">
        <w:t xml:space="preserve"> the actual instance of </w:t>
      </w:r>
      <w:r w:rsidR="003F550B" w:rsidRPr="007B13AD">
        <w:t>students with disability</w:t>
      </w:r>
      <w:r w:rsidR="0020495F" w:rsidRPr="007B13AD">
        <w:t>.</w:t>
      </w:r>
      <w:r w:rsidR="002B6512" w:rsidRPr="007B13AD">
        <w:t xml:space="preserve"> </w:t>
      </w:r>
    </w:p>
    <w:p w14:paraId="6828544B" w14:textId="23AEEEC3" w:rsidR="00471898" w:rsidRPr="007B13AD" w:rsidRDefault="00C91CF7" w:rsidP="00471898">
      <w:pPr>
        <w:pStyle w:val="ListParagraph"/>
        <w:numPr>
          <w:ilvl w:val="0"/>
          <w:numId w:val="14"/>
        </w:numPr>
        <w:spacing w:before="180" w:after="180"/>
        <w:ind w:left="714" w:hanging="357"/>
      </w:pPr>
      <w:r>
        <w:t>The extent of u</w:t>
      </w:r>
      <w:r w:rsidR="002B6512" w:rsidRPr="007B13AD">
        <w:t xml:space="preserve">nderreporting may also differ across institutions. </w:t>
      </w:r>
    </w:p>
    <w:p w14:paraId="07045B55" w14:textId="70008F20" w:rsidR="00ED53E7" w:rsidRDefault="005F30A0" w:rsidP="00C76D72">
      <w:pPr>
        <w:pStyle w:val="ListParagraph"/>
        <w:numPr>
          <w:ilvl w:val="0"/>
          <w:numId w:val="14"/>
        </w:numPr>
        <w:spacing w:before="180" w:after="180"/>
        <w:ind w:left="714" w:hanging="357"/>
      </w:pPr>
      <w:r>
        <w:t>T</w:t>
      </w:r>
      <w:r w:rsidR="00471898" w:rsidRPr="007B13AD">
        <w:t xml:space="preserve">he disability categories were updated in 2020. This has effectively caused a break in series, meaning any </w:t>
      </w:r>
      <w:r w:rsidR="00C91CF7">
        <w:t xml:space="preserve">comparative </w:t>
      </w:r>
      <w:r w:rsidR="00471898" w:rsidRPr="007B13AD">
        <w:t>analyses of categories of disability that use both pre</w:t>
      </w:r>
      <w:r w:rsidR="00DE65B7" w:rsidRPr="007B13AD">
        <w:t>-</w:t>
      </w:r>
      <w:r w:rsidR="00471898" w:rsidRPr="007B13AD">
        <w:t xml:space="preserve"> and post</w:t>
      </w:r>
      <w:r w:rsidR="00370FBC">
        <w:t>-</w:t>
      </w:r>
      <w:r w:rsidR="00471898" w:rsidRPr="007B13AD">
        <w:t>2020 categories are problematic.</w:t>
      </w:r>
      <w:r w:rsidR="00761C14">
        <w:t xml:space="preserve"> </w:t>
      </w:r>
      <w:r w:rsidR="00ED53E7">
        <w:br w:type="page"/>
      </w:r>
    </w:p>
    <w:p w14:paraId="51C11076" w14:textId="4F0B6937" w:rsidR="003C10E3" w:rsidRPr="007B13AD" w:rsidRDefault="00784F5B" w:rsidP="00ED53E7">
      <w:pPr>
        <w:pStyle w:val="Heading1"/>
      </w:pPr>
      <w:bookmarkStart w:id="2" w:name="Xb565dd37fec49d65b650bdb22636ec3e531dc17"/>
      <w:r w:rsidRPr="007B13AD">
        <w:lastRenderedPageBreak/>
        <w:t xml:space="preserve">Overall </w:t>
      </w:r>
      <w:r w:rsidR="00F666CD" w:rsidRPr="007B13AD">
        <w:t>representation of students with disabilit</w:t>
      </w:r>
      <w:r w:rsidR="00875785" w:rsidRPr="007B13AD">
        <w:t>y</w:t>
      </w:r>
      <w:r w:rsidR="00F666CD" w:rsidRPr="007B13AD">
        <w:t xml:space="preserve"> in higher education</w:t>
      </w:r>
      <w:r w:rsidRPr="007B13AD">
        <w:t xml:space="preserve"> </w:t>
      </w:r>
    </w:p>
    <w:p w14:paraId="3A20F0C4" w14:textId="37C40B9A" w:rsidR="006A67FB" w:rsidRDefault="003B1B70" w:rsidP="00F82F8D">
      <w:bookmarkStart w:id="3" w:name="introduction"/>
      <w:r w:rsidRPr="00D57E0B">
        <w:t>T</w:t>
      </w:r>
      <w:r w:rsidR="002148B2" w:rsidRPr="00D57E0B">
        <w:t xml:space="preserve">he </w:t>
      </w:r>
      <w:r w:rsidR="00F666CD" w:rsidRPr="00D57E0B">
        <w:t xml:space="preserve">enrolment of </w:t>
      </w:r>
      <w:r w:rsidR="002148B2" w:rsidRPr="00D57E0B">
        <w:t xml:space="preserve">domestic undergraduate </w:t>
      </w:r>
      <w:r w:rsidR="00F666CD" w:rsidRPr="00D57E0B">
        <w:t xml:space="preserve">students with </w:t>
      </w:r>
      <w:proofErr w:type="gramStart"/>
      <w:r w:rsidR="00F666CD" w:rsidRPr="00D57E0B">
        <w:t>disabilit</w:t>
      </w:r>
      <w:r w:rsidR="00875785" w:rsidRPr="00D57E0B">
        <w:t>y</w:t>
      </w:r>
      <w:r w:rsidR="00F666CD" w:rsidRPr="00D57E0B">
        <w:t xml:space="preserve"> ha</w:t>
      </w:r>
      <w:r w:rsidR="008858FA" w:rsidRPr="00D57E0B">
        <w:t>s increased</w:t>
      </w:r>
      <w:proofErr w:type="gramEnd"/>
      <w:r w:rsidR="00F666CD" w:rsidRPr="00D57E0B">
        <w:t xml:space="preserve"> </w:t>
      </w:r>
      <w:r w:rsidR="005F30A0" w:rsidRPr="00D57E0B">
        <w:t>in 2023, compared to 2022. In 202</w:t>
      </w:r>
      <w:r w:rsidR="00F82F8D" w:rsidRPr="00D57E0B">
        <w:t>3</w:t>
      </w:r>
      <w:r w:rsidR="005F30A0" w:rsidRPr="00D57E0B">
        <w:t>,</w:t>
      </w:r>
      <w:r w:rsidR="006400F7" w:rsidRPr="00D57E0B">
        <w:t xml:space="preserve"> </w:t>
      </w:r>
      <w:r w:rsidR="00D57E0B" w:rsidRPr="00D57E0B">
        <w:t>91,726</w:t>
      </w:r>
      <w:r w:rsidR="0029155D" w:rsidRPr="00D57E0B">
        <w:t xml:space="preserve"> </w:t>
      </w:r>
      <w:r w:rsidR="006400F7" w:rsidRPr="00D57E0B">
        <w:t xml:space="preserve">students identified as having a disability, equating to </w:t>
      </w:r>
      <w:r w:rsidR="00D57E0B" w:rsidRPr="00D57E0B">
        <w:t>12.7</w:t>
      </w:r>
      <w:r w:rsidR="006400F7" w:rsidRPr="00D57E0B">
        <w:t xml:space="preserve">% of the </w:t>
      </w:r>
      <w:r w:rsidRPr="00D57E0B">
        <w:t xml:space="preserve">undergraduate </w:t>
      </w:r>
      <w:r w:rsidR="009757ED" w:rsidRPr="00D57E0B">
        <w:t>headcount</w:t>
      </w:r>
      <w:r w:rsidR="006400F7" w:rsidRPr="00D57E0B">
        <w:t xml:space="preserve">. </w:t>
      </w:r>
      <w:r w:rsidR="00F82F8D" w:rsidRPr="00D57E0B">
        <w:t xml:space="preserve">This is an increase </w:t>
      </w:r>
      <w:r w:rsidR="00D57E0B" w:rsidRPr="00D57E0B">
        <w:t>from 11.6% in</w:t>
      </w:r>
      <w:r w:rsidR="00F82F8D" w:rsidRPr="00D57E0B">
        <w:t xml:space="preserve"> 2022.</w:t>
      </w:r>
      <w:r w:rsidR="00F82F8D">
        <w:t xml:space="preserve"> </w:t>
      </w:r>
      <w:bookmarkStart w:id="4" w:name="X955de45e444d0d7de3804fa6ceae087ca5c4307"/>
      <w:bookmarkStart w:id="5" w:name="results"/>
      <w:bookmarkEnd w:id="3"/>
    </w:p>
    <w:p w14:paraId="55311BE7" w14:textId="2DFFEAAB" w:rsidR="00F82F8D" w:rsidRDefault="005E158F" w:rsidP="00F82F8D">
      <w:pPr>
        <w:pStyle w:val="ImageCaption"/>
      </w:pPr>
      <w:r w:rsidRPr="007B13AD">
        <w:t xml:space="preserve">Figure </w:t>
      </w:r>
      <w:fldSimple w:instr=" SEQ Figure \* ARABIC ">
        <w:r w:rsidR="000567E8">
          <w:rPr>
            <w:noProof/>
          </w:rPr>
          <w:t>1</w:t>
        </w:r>
      </w:fldSimple>
      <w:r w:rsidRPr="007B13AD">
        <w:t xml:space="preserve">: </w:t>
      </w:r>
      <w:r w:rsidR="005E6E90" w:rsidRPr="007B13AD">
        <w:t>S</w:t>
      </w:r>
      <w:r w:rsidRPr="007B13AD">
        <w:t>tudents with disability</w:t>
      </w:r>
      <w:r w:rsidR="00DE73B4">
        <w:t xml:space="preserve"> as </w:t>
      </w:r>
      <w:proofErr w:type="gramStart"/>
      <w:r w:rsidR="00DE73B4">
        <w:t>a</w:t>
      </w:r>
      <w:r w:rsidR="00A814E9" w:rsidRPr="007B13AD">
        <w:t xml:space="preserve"> percentage</w:t>
      </w:r>
      <w:proofErr w:type="gramEnd"/>
      <w:r w:rsidR="00A814E9" w:rsidRPr="007B13AD">
        <w:t xml:space="preserve"> share of enrolments (%), </w:t>
      </w:r>
      <w:r w:rsidRPr="007B13AD">
        <w:t>2011 to 202</w:t>
      </w:r>
      <w:r w:rsidR="00F82F8D">
        <w:t xml:space="preserve">3. </w:t>
      </w:r>
      <w:r w:rsidR="00BD3809" w:rsidRPr="007B13AD">
        <w:t xml:space="preserve">Percentage is calculated as the total number of domestic undergraduate students reporting at least one </w:t>
      </w:r>
      <w:proofErr w:type="gramStart"/>
      <w:r w:rsidR="00BD3809" w:rsidRPr="007B13AD">
        <w:t>disability in</w:t>
      </w:r>
      <w:proofErr w:type="gramEnd"/>
      <w:r w:rsidR="00BD3809" w:rsidRPr="007B13AD">
        <w:t xml:space="preserve"> each year divided by the total number of domestic undergraduate students enrolled at Table A Providers in that year.</w:t>
      </w:r>
    </w:p>
    <w:p w14:paraId="51C11085" w14:textId="68A9CD2D" w:rsidR="003C10E3" w:rsidRPr="007B13AD" w:rsidRDefault="005677B9" w:rsidP="00F82F8D">
      <w:pPr>
        <w:pStyle w:val="ImageCaption"/>
      </w:pPr>
      <w:r w:rsidRPr="008811D8">
        <w:rPr>
          <w:noProof/>
        </w:rPr>
        <w:drawing>
          <wp:inline distT="0" distB="0" distL="0" distR="0" wp14:anchorId="51C110A8" wp14:editId="79500A8B">
            <wp:extent cx="6750862" cy="3743325"/>
            <wp:effectExtent l="0" t="0" r="0" b="0"/>
            <wp:docPr id="23" name="Picture" descr="Line graph showing students with disability as a percentage share of enrolments (%), 2011 to 2023, with an increase from below 6% to over 12%"/>
            <wp:cNvGraphicFramePr/>
            <a:graphic xmlns:a="http://schemas.openxmlformats.org/drawingml/2006/main">
              <a:graphicData uri="http://schemas.openxmlformats.org/drawingml/2006/picture">
                <pic:pic xmlns:pic="http://schemas.openxmlformats.org/drawingml/2006/picture">
                  <pic:nvPicPr>
                    <pic:cNvPr id="23" name="Picture" descr="Line graph showing students with disability as a percentage share of enrolments (%), 2011 to 2023, with an increase from below 6% to over 1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750862" cy="3743325"/>
                    </a:xfrm>
                    <a:prstGeom prst="rect">
                      <a:avLst/>
                    </a:prstGeom>
                    <a:noFill/>
                    <a:ln w="9525">
                      <a:noFill/>
                      <a:headEnd/>
                      <a:tailEnd/>
                    </a:ln>
                  </pic:spPr>
                </pic:pic>
              </a:graphicData>
            </a:graphic>
          </wp:inline>
        </w:drawing>
      </w:r>
    </w:p>
    <w:p w14:paraId="0F96F8D9" w14:textId="043AF49E" w:rsidR="002C6D56" w:rsidRPr="007B13AD" w:rsidRDefault="00875785" w:rsidP="00ED53E7">
      <w:pPr>
        <w:pStyle w:val="Heading1"/>
      </w:pPr>
      <w:bookmarkStart w:id="6" w:name="fig:fig1"/>
      <w:bookmarkEnd w:id="6"/>
      <w:r w:rsidRPr="007B13AD">
        <w:lastRenderedPageBreak/>
        <w:t xml:space="preserve">The representation of </w:t>
      </w:r>
      <w:r w:rsidR="009C27FB" w:rsidRPr="007B13AD">
        <w:t xml:space="preserve">students with </w:t>
      </w:r>
      <w:proofErr w:type="gramStart"/>
      <w:r w:rsidR="009C27FB" w:rsidRPr="007B13AD">
        <w:t>disability</w:t>
      </w:r>
      <w:proofErr w:type="gramEnd"/>
      <w:r w:rsidR="009C27FB" w:rsidRPr="007B13AD">
        <w:t xml:space="preserve"> across the sector </w:t>
      </w:r>
    </w:p>
    <w:p w14:paraId="5AE8E868" w14:textId="6E60C3EE" w:rsidR="00875785" w:rsidRPr="009B0287" w:rsidRDefault="00E16B2B" w:rsidP="009C27FB">
      <w:r w:rsidRPr="009B0287">
        <w:t>Among institutional groupings, universities in the Innovative Research Universities (IRU) and non-aligned providers tend to have lower rates of disability participation compared to other groups</w:t>
      </w:r>
      <w:r w:rsidR="009B0287" w:rsidRPr="009B0287">
        <w:t>, although rates of disability have increased for all groupings</w:t>
      </w:r>
      <w:r w:rsidRPr="009B0287">
        <w:t xml:space="preserve">. </w:t>
      </w:r>
    </w:p>
    <w:p w14:paraId="1FEBAEB4" w14:textId="09867577" w:rsidR="007C3797" w:rsidRPr="007B13AD" w:rsidRDefault="00327425" w:rsidP="009C27FB">
      <w:r w:rsidRPr="009B0287">
        <w:t>T</w:t>
      </w:r>
      <w:r w:rsidR="00DA2F0E" w:rsidRPr="009B0287">
        <w:t xml:space="preserve">here are </w:t>
      </w:r>
      <w:r w:rsidR="00475DEC" w:rsidRPr="009B0287">
        <w:t xml:space="preserve">noticeable </w:t>
      </w:r>
      <w:r w:rsidR="00DA2F0E" w:rsidRPr="009B0287">
        <w:t xml:space="preserve">differences between the states and territories in terms of </w:t>
      </w:r>
      <w:r w:rsidR="00F3532E" w:rsidRPr="009B0287">
        <w:t>overall participation rates</w:t>
      </w:r>
      <w:r w:rsidR="007738A7" w:rsidRPr="009B0287">
        <w:t xml:space="preserve"> –</w:t>
      </w:r>
      <w:r w:rsidR="00F3532E" w:rsidRPr="009B0287">
        <w:t xml:space="preserve"> </w:t>
      </w:r>
      <w:r w:rsidR="00475DEC" w:rsidRPr="009B0287">
        <w:t xml:space="preserve">for instance, </w:t>
      </w:r>
      <w:r w:rsidR="00F3532E" w:rsidRPr="009B0287">
        <w:t>South Australia</w:t>
      </w:r>
      <w:r w:rsidR="00475DEC" w:rsidRPr="009B0287">
        <w:t xml:space="preserve">’s relatively high </w:t>
      </w:r>
      <w:r w:rsidR="007738A7" w:rsidRPr="009B0287">
        <w:t>participation share</w:t>
      </w:r>
      <w:r w:rsidR="00F3532E" w:rsidRPr="009B0287">
        <w:t xml:space="preserve"> (</w:t>
      </w:r>
      <w:r w:rsidR="00E847CB" w:rsidRPr="009B0287">
        <w:t>1</w:t>
      </w:r>
      <w:r w:rsidR="009B0287" w:rsidRPr="009B0287">
        <w:t>6</w:t>
      </w:r>
      <w:r w:rsidR="00E847CB" w:rsidRPr="009B0287">
        <w:t>.</w:t>
      </w:r>
      <w:r w:rsidR="009B0287" w:rsidRPr="009B0287">
        <w:t>3</w:t>
      </w:r>
      <w:r w:rsidR="00F3532E" w:rsidRPr="009B0287">
        <w:t>% participation rate in 202</w:t>
      </w:r>
      <w:r w:rsidR="009B0287" w:rsidRPr="009B0287">
        <w:t>3</w:t>
      </w:r>
      <w:r w:rsidR="00F3532E" w:rsidRPr="009B0287">
        <w:t>)</w:t>
      </w:r>
      <w:r w:rsidR="007738A7" w:rsidRPr="009B0287">
        <w:t xml:space="preserve"> –</w:t>
      </w:r>
      <w:r w:rsidR="00F3532E" w:rsidRPr="009B0287">
        <w:t xml:space="preserve"> which are likely to reflect some combination of </w:t>
      </w:r>
      <w:r w:rsidR="00E657ED" w:rsidRPr="009B0287">
        <w:t>demographic factors and local factors affecting student recruitment.</w:t>
      </w:r>
      <w:r w:rsidR="00E657ED" w:rsidRPr="007B13AD">
        <w:t xml:space="preserve"> </w:t>
      </w:r>
    </w:p>
    <w:p w14:paraId="09E3F66D" w14:textId="77777777" w:rsidR="00777489" w:rsidRDefault="00777489">
      <w:pPr>
        <w:spacing w:line="259" w:lineRule="auto"/>
        <w:rPr>
          <w:i/>
          <w:iCs/>
          <w:sz w:val="18"/>
          <w:szCs w:val="18"/>
        </w:rPr>
      </w:pPr>
      <w:r>
        <w:br w:type="page"/>
      </w:r>
    </w:p>
    <w:p w14:paraId="5F1D66D6" w14:textId="2F533E78" w:rsidR="002A7F1B" w:rsidRPr="007B13AD" w:rsidRDefault="00875785" w:rsidP="00777489">
      <w:pPr>
        <w:pStyle w:val="TableCaption"/>
        <w:rPr>
          <w:b/>
        </w:rPr>
      </w:pPr>
      <w:r w:rsidRPr="007E7F77">
        <w:lastRenderedPageBreak/>
        <w:t xml:space="preserve">Table </w:t>
      </w:r>
      <w:r w:rsidR="00A814E9" w:rsidRPr="007E7F77">
        <w:t>1</w:t>
      </w:r>
      <w:r w:rsidRPr="007E7F77">
        <w:t>: Students with Disability</w:t>
      </w:r>
      <w:r w:rsidR="00304DBD" w:rsidRPr="007E7F77">
        <w:t>,</w:t>
      </w:r>
      <w:r w:rsidRPr="007E7F77">
        <w:t xml:space="preserve"> </w:t>
      </w:r>
      <w:r w:rsidR="00A814E9" w:rsidRPr="007E7F77">
        <w:t>percentage share of enrolments (</w:t>
      </w:r>
      <w:r w:rsidRPr="007E7F77">
        <w:t>%</w:t>
      </w:r>
      <w:r w:rsidR="00A814E9" w:rsidRPr="007E7F77">
        <w:t>)</w:t>
      </w:r>
      <w:r w:rsidRPr="007E7F77">
        <w:t xml:space="preserve">, </w:t>
      </w:r>
      <w:r w:rsidR="00841229" w:rsidRPr="007E7F77">
        <w:t>b</w:t>
      </w:r>
      <w:r w:rsidR="00A814E9" w:rsidRPr="007E7F77">
        <w:t>y</w:t>
      </w:r>
      <w:r w:rsidRPr="007E7F77">
        <w:t xml:space="preserve"> </w:t>
      </w:r>
      <w:r w:rsidR="00A814E9" w:rsidRPr="007E7F77">
        <w:t xml:space="preserve">Institutional </w:t>
      </w:r>
      <w:r w:rsidRPr="007E7F77">
        <w:t>Groupings and State and Territory, Table A Providers, 201</w:t>
      </w:r>
      <w:r w:rsidR="00C427EC" w:rsidRPr="007E7F77">
        <w:t>7</w:t>
      </w:r>
      <w:r w:rsidRPr="007E7F77">
        <w:t>–2</w:t>
      </w:r>
      <w:r w:rsidR="007E7F77" w:rsidRPr="007E7F77">
        <w:t>3</w:t>
      </w:r>
      <w:r w:rsidR="00A90D7F" w:rsidRPr="007E7F77">
        <w:t>. These percentages have been calculated by summing the number of students with disability within each of the groupings or states/territories and dividing by the total number of students within each of the groupings or states/territories.</w:t>
      </w:r>
      <w:r w:rsidR="00A90D7F">
        <w:t xml:space="preserve"> </w:t>
      </w:r>
      <w:r w:rsidRPr="007B13AD">
        <w:br/>
      </w:r>
    </w:p>
    <w:tbl>
      <w:tblPr>
        <w:tblStyle w:val="GridTable4-Accent1"/>
        <w:tblW w:w="5239" w:type="pct"/>
        <w:tblLook w:val="04A0" w:firstRow="1" w:lastRow="0" w:firstColumn="1" w:lastColumn="0" w:noHBand="0" w:noVBand="1"/>
      </w:tblPr>
      <w:tblGrid>
        <w:gridCol w:w="4224"/>
        <w:gridCol w:w="1335"/>
        <w:gridCol w:w="1335"/>
        <w:gridCol w:w="1335"/>
        <w:gridCol w:w="1335"/>
        <w:gridCol w:w="1335"/>
        <w:gridCol w:w="1335"/>
        <w:gridCol w:w="1335"/>
      </w:tblGrid>
      <w:tr w:rsidR="00B80457" w:rsidRPr="007B13AD" w14:paraId="1689F555" w14:textId="7C500454" w:rsidTr="00B8045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05FF0D5E" w14:textId="77777777" w:rsidR="00B80457" w:rsidRPr="009F7EB1" w:rsidRDefault="00B80457" w:rsidP="002F132A">
            <w:pPr>
              <w:jc w:val="center"/>
              <w:rPr>
                <w:rFonts w:cs="Arial"/>
                <w:b w:val="0"/>
                <w:color w:val="FFFFFF"/>
              </w:rPr>
            </w:pPr>
          </w:p>
        </w:tc>
        <w:tc>
          <w:tcPr>
            <w:tcW w:w="1208" w:type="dxa"/>
            <w:noWrap/>
            <w:hideMark/>
          </w:tcPr>
          <w:p w14:paraId="24B078A9" w14:textId="77777777" w:rsidR="00B80457" w:rsidRPr="009F7EB1" w:rsidRDefault="00B80457" w:rsidP="002F132A">
            <w:pPr>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9F7EB1">
              <w:rPr>
                <w:rFonts w:cs="Arial"/>
                <w:color w:val="FFFFFF"/>
              </w:rPr>
              <w:t>2017</w:t>
            </w:r>
          </w:p>
        </w:tc>
        <w:tc>
          <w:tcPr>
            <w:tcW w:w="1208" w:type="dxa"/>
            <w:noWrap/>
          </w:tcPr>
          <w:p w14:paraId="2111B700" w14:textId="77777777" w:rsidR="00B80457" w:rsidRPr="009F7EB1" w:rsidRDefault="00B80457" w:rsidP="002F132A">
            <w:pPr>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9F7EB1">
              <w:rPr>
                <w:rFonts w:cs="Arial"/>
                <w:color w:val="FFFFFF"/>
              </w:rPr>
              <w:t>2018</w:t>
            </w:r>
          </w:p>
        </w:tc>
        <w:tc>
          <w:tcPr>
            <w:tcW w:w="1208" w:type="dxa"/>
            <w:noWrap/>
          </w:tcPr>
          <w:p w14:paraId="3FA6390A" w14:textId="77777777" w:rsidR="00B80457" w:rsidRPr="009F7EB1" w:rsidRDefault="00B80457" w:rsidP="002F132A">
            <w:pPr>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9F7EB1">
              <w:rPr>
                <w:rFonts w:cs="Arial"/>
                <w:color w:val="FFFFFF"/>
              </w:rPr>
              <w:t>2019</w:t>
            </w:r>
          </w:p>
        </w:tc>
        <w:tc>
          <w:tcPr>
            <w:tcW w:w="1208" w:type="dxa"/>
          </w:tcPr>
          <w:p w14:paraId="66E71DC1" w14:textId="3B9F41EE" w:rsidR="00B80457" w:rsidRPr="009F7EB1" w:rsidRDefault="00B80457" w:rsidP="002F132A">
            <w:pPr>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9F7EB1">
              <w:rPr>
                <w:rFonts w:cs="Arial"/>
                <w:color w:val="FFFFFF"/>
              </w:rPr>
              <w:t>2020*</w:t>
            </w:r>
          </w:p>
        </w:tc>
        <w:tc>
          <w:tcPr>
            <w:tcW w:w="1208" w:type="dxa"/>
          </w:tcPr>
          <w:p w14:paraId="4B6D6F3F" w14:textId="77777777" w:rsidR="00B80457" w:rsidRPr="009F7EB1" w:rsidRDefault="00B80457" w:rsidP="002F132A">
            <w:pPr>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9F7EB1">
              <w:rPr>
                <w:rFonts w:cs="Arial"/>
                <w:color w:val="FFFFFF"/>
              </w:rPr>
              <w:t>2021</w:t>
            </w:r>
          </w:p>
        </w:tc>
        <w:tc>
          <w:tcPr>
            <w:tcW w:w="1208" w:type="dxa"/>
          </w:tcPr>
          <w:p w14:paraId="4051A093" w14:textId="77777777" w:rsidR="00B80457" w:rsidRPr="009F7EB1" w:rsidRDefault="00B80457" w:rsidP="002F132A">
            <w:pPr>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9F7EB1">
              <w:rPr>
                <w:rFonts w:cs="Arial"/>
                <w:color w:val="FFFFFF"/>
              </w:rPr>
              <w:t>2022</w:t>
            </w:r>
          </w:p>
        </w:tc>
        <w:tc>
          <w:tcPr>
            <w:tcW w:w="1208" w:type="dxa"/>
          </w:tcPr>
          <w:p w14:paraId="24C2F9C9" w14:textId="04DB7A35" w:rsidR="00B80457" w:rsidRPr="009F7EB1" w:rsidRDefault="00B80457" w:rsidP="002F132A">
            <w:pPr>
              <w:jc w:val="right"/>
              <w:cnfStyle w:val="100000000000" w:firstRow="1" w:lastRow="0" w:firstColumn="0" w:lastColumn="0" w:oddVBand="0" w:evenVBand="0" w:oddHBand="0" w:evenHBand="0" w:firstRowFirstColumn="0" w:firstRowLastColumn="0" w:lastRowFirstColumn="0" w:lastRowLastColumn="0"/>
              <w:rPr>
                <w:rFonts w:cs="Arial"/>
                <w:color w:val="FFFFFF"/>
              </w:rPr>
            </w:pPr>
            <w:r>
              <w:rPr>
                <w:rFonts w:cs="Arial"/>
                <w:color w:val="FFFFFF"/>
              </w:rPr>
              <w:t>2023</w:t>
            </w:r>
          </w:p>
        </w:tc>
      </w:tr>
      <w:tr w:rsidR="00B80457" w:rsidRPr="007B13AD" w14:paraId="762C9194" w14:textId="66F563D1"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45956DC2" w14:textId="5E5BD898" w:rsidR="00B80457" w:rsidRPr="009F7EB1" w:rsidRDefault="00B80457" w:rsidP="002F132A">
            <w:pPr>
              <w:rPr>
                <w:rFonts w:cs="Arial"/>
                <w:b w:val="0"/>
                <w:bCs w:val="0"/>
              </w:rPr>
            </w:pPr>
            <w:r w:rsidRPr="009F7EB1">
              <w:rPr>
                <w:rFonts w:cs="Arial"/>
              </w:rPr>
              <w:t>National — Table A Providers</w:t>
            </w:r>
          </w:p>
        </w:tc>
        <w:tc>
          <w:tcPr>
            <w:tcW w:w="1208" w:type="dxa"/>
            <w:noWrap/>
          </w:tcPr>
          <w:p w14:paraId="10A087F1" w14:textId="4C1CF2DD"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b/>
                <w:bCs/>
              </w:rPr>
            </w:pPr>
            <w:r w:rsidRPr="007E6C09">
              <w:rPr>
                <w:rFonts w:cs="Arial"/>
                <w:b/>
                <w:bCs/>
              </w:rPr>
              <w:t>6.9</w:t>
            </w:r>
          </w:p>
        </w:tc>
        <w:tc>
          <w:tcPr>
            <w:tcW w:w="1208" w:type="dxa"/>
            <w:noWrap/>
          </w:tcPr>
          <w:p w14:paraId="798BE191" w14:textId="05BF105F"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b/>
                <w:bCs/>
              </w:rPr>
            </w:pPr>
            <w:r w:rsidRPr="007E6C09">
              <w:rPr>
                <w:rFonts w:cs="Arial"/>
                <w:b/>
                <w:bCs/>
              </w:rPr>
              <w:t>7.3</w:t>
            </w:r>
          </w:p>
        </w:tc>
        <w:tc>
          <w:tcPr>
            <w:tcW w:w="1208" w:type="dxa"/>
            <w:noWrap/>
          </w:tcPr>
          <w:p w14:paraId="065980A6" w14:textId="7E6336D9"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b/>
                <w:bCs/>
              </w:rPr>
            </w:pPr>
            <w:r w:rsidRPr="007E6C09">
              <w:rPr>
                <w:rFonts w:cs="Arial"/>
                <w:b/>
                <w:bCs/>
              </w:rPr>
              <w:t>7.7</w:t>
            </w:r>
          </w:p>
        </w:tc>
        <w:tc>
          <w:tcPr>
            <w:tcW w:w="1208" w:type="dxa"/>
          </w:tcPr>
          <w:p w14:paraId="32A91548" w14:textId="00D81E38"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b/>
                <w:bCs/>
              </w:rPr>
            </w:pPr>
            <w:r w:rsidRPr="007E6C09">
              <w:rPr>
                <w:rFonts w:cs="Arial"/>
                <w:b/>
                <w:bCs/>
              </w:rPr>
              <w:t>8.1</w:t>
            </w:r>
          </w:p>
        </w:tc>
        <w:tc>
          <w:tcPr>
            <w:tcW w:w="1208" w:type="dxa"/>
          </w:tcPr>
          <w:p w14:paraId="1BA22EBE" w14:textId="5466DE13"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b/>
                <w:bCs/>
              </w:rPr>
            </w:pPr>
            <w:r w:rsidRPr="007E6C09">
              <w:rPr>
                <w:rFonts w:cs="Arial"/>
                <w:b/>
                <w:bCs/>
              </w:rPr>
              <w:t>10.3</w:t>
            </w:r>
          </w:p>
        </w:tc>
        <w:tc>
          <w:tcPr>
            <w:tcW w:w="1208" w:type="dxa"/>
          </w:tcPr>
          <w:p w14:paraId="37E802B8" w14:textId="47456D35"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b/>
                <w:bCs/>
              </w:rPr>
            </w:pPr>
            <w:r w:rsidRPr="007E6C09">
              <w:rPr>
                <w:rFonts w:cs="Arial"/>
                <w:b/>
                <w:bCs/>
              </w:rPr>
              <w:t>11.6</w:t>
            </w:r>
          </w:p>
        </w:tc>
        <w:tc>
          <w:tcPr>
            <w:tcW w:w="1208" w:type="dxa"/>
          </w:tcPr>
          <w:p w14:paraId="6F0333EC" w14:textId="01DCEB5A" w:rsidR="00B80457" w:rsidRPr="007E6C09" w:rsidRDefault="007E7F77" w:rsidP="002F132A">
            <w:pPr>
              <w:jc w:val="right"/>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12.7</w:t>
            </w:r>
          </w:p>
        </w:tc>
      </w:tr>
      <w:tr w:rsidR="00B80457" w:rsidRPr="007B13AD" w14:paraId="6DCEAB5C" w14:textId="68EBCD42" w:rsidTr="00B80457">
        <w:trPr>
          <w:trHeight w:val="314"/>
        </w:trPr>
        <w:tc>
          <w:tcPr>
            <w:cnfStyle w:val="001000000000" w:firstRow="0" w:lastRow="0" w:firstColumn="1" w:lastColumn="0" w:oddVBand="0" w:evenVBand="0" w:oddHBand="0" w:evenHBand="0" w:firstRowFirstColumn="0" w:firstRowLastColumn="0" w:lastRowFirstColumn="0" w:lastRowLastColumn="0"/>
            <w:tcW w:w="3823" w:type="dxa"/>
          </w:tcPr>
          <w:p w14:paraId="24E3C05C" w14:textId="77777777" w:rsidR="00B80457" w:rsidRPr="009F7EB1" w:rsidRDefault="00B80457" w:rsidP="002F132A">
            <w:pPr>
              <w:rPr>
                <w:rFonts w:cs="Arial"/>
              </w:rPr>
            </w:pPr>
          </w:p>
        </w:tc>
        <w:tc>
          <w:tcPr>
            <w:tcW w:w="1208" w:type="dxa"/>
            <w:noWrap/>
          </w:tcPr>
          <w:p w14:paraId="50575F4A"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noWrap/>
          </w:tcPr>
          <w:p w14:paraId="42EF79DE"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noWrap/>
          </w:tcPr>
          <w:p w14:paraId="78230745"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tcPr>
          <w:p w14:paraId="72DAE929"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tcPr>
          <w:p w14:paraId="532FB6EA"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tcPr>
          <w:p w14:paraId="688913EF"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tcPr>
          <w:p w14:paraId="392E45CD"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r>
      <w:tr w:rsidR="00B80457" w:rsidRPr="007B13AD" w14:paraId="21827526" w14:textId="3F38A7BC"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2C90EC13" w14:textId="45592A85" w:rsidR="00B80457" w:rsidRPr="009F7EB1" w:rsidRDefault="00B80457" w:rsidP="002F132A">
            <w:pPr>
              <w:rPr>
                <w:rFonts w:cs="Arial"/>
              </w:rPr>
            </w:pPr>
            <w:r w:rsidRPr="009F7EB1">
              <w:rPr>
                <w:rFonts w:cs="Arial"/>
              </w:rPr>
              <w:t>Group of Eight (Go8)</w:t>
            </w:r>
          </w:p>
        </w:tc>
        <w:tc>
          <w:tcPr>
            <w:tcW w:w="1208" w:type="dxa"/>
            <w:noWrap/>
          </w:tcPr>
          <w:p w14:paraId="4EBD4DEC" w14:textId="04911730"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6.6</w:t>
            </w:r>
          </w:p>
        </w:tc>
        <w:tc>
          <w:tcPr>
            <w:tcW w:w="1208" w:type="dxa"/>
            <w:noWrap/>
          </w:tcPr>
          <w:p w14:paraId="4F633957" w14:textId="1A8AF990"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7.0</w:t>
            </w:r>
          </w:p>
        </w:tc>
        <w:tc>
          <w:tcPr>
            <w:tcW w:w="1208" w:type="dxa"/>
            <w:noWrap/>
          </w:tcPr>
          <w:p w14:paraId="2C9B99F2" w14:textId="31FB9A72"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7.7</w:t>
            </w:r>
          </w:p>
        </w:tc>
        <w:tc>
          <w:tcPr>
            <w:tcW w:w="1208" w:type="dxa"/>
          </w:tcPr>
          <w:p w14:paraId="686D9C7F" w14:textId="1C60CEC0"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9.7</w:t>
            </w:r>
          </w:p>
        </w:tc>
        <w:tc>
          <w:tcPr>
            <w:tcW w:w="1208" w:type="dxa"/>
          </w:tcPr>
          <w:p w14:paraId="5019AE32" w14:textId="30C5DEBC"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11.3</w:t>
            </w:r>
          </w:p>
        </w:tc>
        <w:tc>
          <w:tcPr>
            <w:tcW w:w="1208" w:type="dxa"/>
          </w:tcPr>
          <w:p w14:paraId="043C89E3" w14:textId="31FE8E3E"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12.9</w:t>
            </w:r>
          </w:p>
        </w:tc>
        <w:tc>
          <w:tcPr>
            <w:tcW w:w="1208" w:type="dxa"/>
          </w:tcPr>
          <w:p w14:paraId="7B879E1A" w14:textId="62266F2F" w:rsidR="00B80457" w:rsidRPr="007E6C09" w:rsidRDefault="007E7F77" w:rsidP="002F132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14.1</w:t>
            </w:r>
          </w:p>
        </w:tc>
      </w:tr>
      <w:tr w:rsidR="00B80457" w:rsidRPr="007B13AD" w14:paraId="301F28F3" w14:textId="1CC93E3D" w:rsidTr="00B80457">
        <w:trPr>
          <w:trHeight w:val="331"/>
        </w:trPr>
        <w:tc>
          <w:tcPr>
            <w:cnfStyle w:val="001000000000" w:firstRow="0" w:lastRow="0" w:firstColumn="1" w:lastColumn="0" w:oddVBand="0" w:evenVBand="0" w:oddHBand="0" w:evenHBand="0" w:firstRowFirstColumn="0" w:firstRowLastColumn="0" w:lastRowFirstColumn="0" w:lastRowLastColumn="0"/>
            <w:tcW w:w="3823" w:type="dxa"/>
          </w:tcPr>
          <w:p w14:paraId="24D508AD" w14:textId="07EFDF51" w:rsidR="00B80457" w:rsidRPr="009F7EB1" w:rsidRDefault="00B80457" w:rsidP="002F132A">
            <w:pPr>
              <w:rPr>
                <w:rFonts w:cs="Arial"/>
              </w:rPr>
            </w:pPr>
            <w:r w:rsidRPr="009F7EB1">
              <w:rPr>
                <w:rFonts w:cs="Arial"/>
              </w:rPr>
              <w:t>Australian Technology Network (ATN)</w:t>
            </w:r>
          </w:p>
        </w:tc>
        <w:tc>
          <w:tcPr>
            <w:tcW w:w="1208" w:type="dxa"/>
            <w:noWrap/>
          </w:tcPr>
          <w:p w14:paraId="1BBA8E78" w14:textId="0DA39FFE"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6.7</w:t>
            </w:r>
          </w:p>
        </w:tc>
        <w:tc>
          <w:tcPr>
            <w:tcW w:w="1208" w:type="dxa"/>
            <w:noWrap/>
          </w:tcPr>
          <w:p w14:paraId="5EF85F38" w14:textId="4B19CF24"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7.2</w:t>
            </w:r>
          </w:p>
        </w:tc>
        <w:tc>
          <w:tcPr>
            <w:tcW w:w="1208" w:type="dxa"/>
            <w:noWrap/>
          </w:tcPr>
          <w:p w14:paraId="7969C813" w14:textId="382C8806"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7.7</w:t>
            </w:r>
          </w:p>
        </w:tc>
        <w:tc>
          <w:tcPr>
            <w:tcW w:w="1208" w:type="dxa"/>
          </w:tcPr>
          <w:p w14:paraId="6A2D6DD9" w14:textId="690D055A"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8.0</w:t>
            </w:r>
          </w:p>
        </w:tc>
        <w:tc>
          <w:tcPr>
            <w:tcW w:w="1208" w:type="dxa"/>
          </w:tcPr>
          <w:p w14:paraId="6BDBFBDD" w14:textId="459755F4"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12.4</w:t>
            </w:r>
          </w:p>
        </w:tc>
        <w:tc>
          <w:tcPr>
            <w:tcW w:w="1208" w:type="dxa"/>
          </w:tcPr>
          <w:p w14:paraId="715A4BE9" w14:textId="654E21EA"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13.7</w:t>
            </w:r>
          </w:p>
        </w:tc>
        <w:tc>
          <w:tcPr>
            <w:tcW w:w="1208" w:type="dxa"/>
          </w:tcPr>
          <w:p w14:paraId="6F656820" w14:textId="544B6F5F" w:rsidR="00B80457" w:rsidRPr="007E6C09" w:rsidRDefault="007E7F77" w:rsidP="002F132A">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15.0</w:t>
            </w:r>
          </w:p>
        </w:tc>
      </w:tr>
      <w:tr w:rsidR="00B80457" w:rsidRPr="007B13AD" w14:paraId="7DBCCC7B" w14:textId="205875C9"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3672BD22" w14:textId="50F2D0B4" w:rsidR="00B80457" w:rsidRPr="009F7EB1" w:rsidRDefault="00B80457" w:rsidP="002F132A">
            <w:pPr>
              <w:rPr>
                <w:rFonts w:cs="Arial"/>
              </w:rPr>
            </w:pPr>
            <w:r w:rsidRPr="009F7EB1">
              <w:rPr>
                <w:rFonts w:cs="Arial"/>
              </w:rPr>
              <w:t>Innovative Research Universities (IRU)</w:t>
            </w:r>
          </w:p>
        </w:tc>
        <w:tc>
          <w:tcPr>
            <w:tcW w:w="1208" w:type="dxa"/>
            <w:noWrap/>
          </w:tcPr>
          <w:p w14:paraId="6ACE866F" w14:textId="281284E5"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7.1</w:t>
            </w:r>
          </w:p>
        </w:tc>
        <w:tc>
          <w:tcPr>
            <w:tcW w:w="1208" w:type="dxa"/>
            <w:noWrap/>
          </w:tcPr>
          <w:p w14:paraId="10083C4D" w14:textId="2FDC8C77"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7.4</w:t>
            </w:r>
          </w:p>
        </w:tc>
        <w:tc>
          <w:tcPr>
            <w:tcW w:w="1208" w:type="dxa"/>
            <w:noWrap/>
          </w:tcPr>
          <w:p w14:paraId="26FDFFB6" w14:textId="42E3FAF8"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7.9</w:t>
            </w:r>
          </w:p>
        </w:tc>
        <w:tc>
          <w:tcPr>
            <w:tcW w:w="1208" w:type="dxa"/>
          </w:tcPr>
          <w:p w14:paraId="7947A342" w14:textId="3F1FD2A3"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8.0</w:t>
            </w:r>
          </w:p>
        </w:tc>
        <w:tc>
          <w:tcPr>
            <w:tcW w:w="1208" w:type="dxa"/>
          </w:tcPr>
          <w:p w14:paraId="4C4F1961" w14:textId="42E08930"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8.8</w:t>
            </w:r>
          </w:p>
        </w:tc>
        <w:tc>
          <w:tcPr>
            <w:tcW w:w="1208" w:type="dxa"/>
          </w:tcPr>
          <w:p w14:paraId="118D8891" w14:textId="7B3E4C68"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9.9</w:t>
            </w:r>
          </w:p>
        </w:tc>
        <w:tc>
          <w:tcPr>
            <w:tcW w:w="1208" w:type="dxa"/>
          </w:tcPr>
          <w:p w14:paraId="7CAB51B2" w14:textId="56019AFC" w:rsidR="00B80457" w:rsidRPr="007E6C09" w:rsidRDefault="007E7F77" w:rsidP="002F132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10.9</w:t>
            </w:r>
          </w:p>
        </w:tc>
      </w:tr>
      <w:tr w:rsidR="00B80457" w:rsidRPr="007B13AD" w14:paraId="3AA45F22" w14:textId="536A03E9" w:rsidTr="00B80457">
        <w:trPr>
          <w:trHeight w:val="314"/>
        </w:trPr>
        <w:tc>
          <w:tcPr>
            <w:cnfStyle w:val="001000000000" w:firstRow="0" w:lastRow="0" w:firstColumn="1" w:lastColumn="0" w:oddVBand="0" w:evenVBand="0" w:oddHBand="0" w:evenHBand="0" w:firstRowFirstColumn="0" w:firstRowLastColumn="0" w:lastRowFirstColumn="0" w:lastRowLastColumn="0"/>
            <w:tcW w:w="3823" w:type="dxa"/>
          </w:tcPr>
          <w:p w14:paraId="4EFD9886" w14:textId="64DC4186" w:rsidR="00B80457" w:rsidRPr="009F7EB1" w:rsidRDefault="00B80457" w:rsidP="002F132A">
            <w:pPr>
              <w:rPr>
                <w:rFonts w:cs="Arial"/>
              </w:rPr>
            </w:pPr>
            <w:r w:rsidRPr="009F7EB1">
              <w:rPr>
                <w:rFonts w:cs="Arial"/>
              </w:rPr>
              <w:t>Regional University Network (RUN)</w:t>
            </w:r>
          </w:p>
        </w:tc>
        <w:tc>
          <w:tcPr>
            <w:tcW w:w="1208" w:type="dxa"/>
            <w:noWrap/>
          </w:tcPr>
          <w:p w14:paraId="71D120AC" w14:textId="2B81615D"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7.5</w:t>
            </w:r>
          </w:p>
        </w:tc>
        <w:tc>
          <w:tcPr>
            <w:tcW w:w="1208" w:type="dxa"/>
            <w:noWrap/>
          </w:tcPr>
          <w:p w14:paraId="7EDF5812" w14:textId="1D80E476"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8.0</w:t>
            </w:r>
          </w:p>
        </w:tc>
        <w:tc>
          <w:tcPr>
            <w:tcW w:w="1208" w:type="dxa"/>
            <w:noWrap/>
          </w:tcPr>
          <w:p w14:paraId="5942B8D4" w14:textId="5948CAD6"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8.5</w:t>
            </w:r>
          </w:p>
        </w:tc>
        <w:tc>
          <w:tcPr>
            <w:tcW w:w="1208" w:type="dxa"/>
          </w:tcPr>
          <w:p w14:paraId="6FB97474" w14:textId="589A4809"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7.9</w:t>
            </w:r>
          </w:p>
        </w:tc>
        <w:tc>
          <w:tcPr>
            <w:tcW w:w="1208" w:type="dxa"/>
          </w:tcPr>
          <w:p w14:paraId="38B5855F" w14:textId="31818952"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11.3</w:t>
            </w:r>
          </w:p>
        </w:tc>
        <w:tc>
          <w:tcPr>
            <w:tcW w:w="1208" w:type="dxa"/>
          </w:tcPr>
          <w:p w14:paraId="26CA5179" w14:textId="500CF201"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12.6</w:t>
            </w:r>
          </w:p>
        </w:tc>
        <w:tc>
          <w:tcPr>
            <w:tcW w:w="1208" w:type="dxa"/>
          </w:tcPr>
          <w:p w14:paraId="2524F15D" w14:textId="3124E567" w:rsidR="00B80457" w:rsidRPr="007E6C09" w:rsidRDefault="007E7F77" w:rsidP="002F132A">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13.7</w:t>
            </w:r>
          </w:p>
        </w:tc>
      </w:tr>
      <w:tr w:rsidR="00B80457" w:rsidRPr="007B13AD" w14:paraId="52424AA3" w14:textId="154C4FF5"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4EE25C77" w14:textId="181CEBF6" w:rsidR="00B80457" w:rsidRPr="009F7EB1" w:rsidRDefault="00B80457" w:rsidP="002F132A">
            <w:pPr>
              <w:rPr>
                <w:rFonts w:cs="Arial"/>
              </w:rPr>
            </w:pPr>
            <w:r w:rsidRPr="009F7EB1">
              <w:rPr>
                <w:rFonts w:cs="Arial"/>
              </w:rPr>
              <w:t xml:space="preserve">Non-aligned </w:t>
            </w:r>
          </w:p>
        </w:tc>
        <w:tc>
          <w:tcPr>
            <w:tcW w:w="1208" w:type="dxa"/>
            <w:noWrap/>
          </w:tcPr>
          <w:p w14:paraId="5D021526" w14:textId="1BACE689"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6.7</w:t>
            </w:r>
          </w:p>
        </w:tc>
        <w:tc>
          <w:tcPr>
            <w:tcW w:w="1208" w:type="dxa"/>
            <w:noWrap/>
          </w:tcPr>
          <w:p w14:paraId="33F23D6E" w14:textId="5314C4E6"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7.2</w:t>
            </w:r>
          </w:p>
        </w:tc>
        <w:tc>
          <w:tcPr>
            <w:tcW w:w="1208" w:type="dxa"/>
            <w:noWrap/>
          </w:tcPr>
          <w:p w14:paraId="6F2B6AA4" w14:textId="49B2017F"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7.3</w:t>
            </w:r>
          </w:p>
        </w:tc>
        <w:tc>
          <w:tcPr>
            <w:tcW w:w="1208" w:type="dxa"/>
          </w:tcPr>
          <w:p w14:paraId="6FA712EE" w14:textId="4CF033D0"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7.0</w:t>
            </w:r>
          </w:p>
        </w:tc>
        <w:tc>
          <w:tcPr>
            <w:tcW w:w="1208" w:type="dxa"/>
          </w:tcPr>
          <w:p w14:paraId="778E3050" w14:textId="360081C3"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8.2</w:t>
            </w:r>
          </w:p>
        </w:tc>
        <w:tc>
          <w:tcPr>
            <w:tcW w:w="1208" w:type="dxa"/>
          </w:tcPr>
          <w:p w14:paraId="24E07702" w14:textId="031D8FC7"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9.4</w:t>
            </w:r>
          </w:p>
        </w:tc>
        <w:tc>
          <w:tcPr>
            <w:tcW w:w="1208" w:type="dxa"/>
          </w:tcPr>
          <w:p w14:paraId="2BA4354F" w14:textId="4498736C" w:rsidR="00B80457" w:rsidRPr="007E6C09" w:rsidRDefault="007E7F77" w:rsidP="002F132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10.1</w:t>
            </w:r>
          </w:p>
        </w:tc>
      </w:tr>
      <w:tr w:rsidR="00B80457" w:rsidRPr="007B13AD" w14:paraId="077ACA7C" w14:textId="559DE03B" w:rsidTr="00B80457">
        <w:trPr>
          <w:trHeight w:val="314"/>
        </w:trPr>
        <w:tc>
          <w:tcPr>
            <w:cnfStyle w:val="001000000000" w:firstRow="0" w:lastRow="0" w:firstColumn="1" w:lastColumn="0" w:oddVBand="0" w:evenVBand="0" w:oddHBand="0" w:evenHBand="0" w:firstRowFirstColumn="0" w:firstRowLastColumn="0" w:lastRowFirstColumn="0" w:lastRowLastColumn="0"/>
            <w:tcW w:w="3823" w:type="dxa"/>
          </w:tcPr>
          <w:p w14:paraId="543630EC" w14:textId="77777777" w:rsidR="00B80457" w:rsidRPr="009F7EB1" w:rsidRDefault="00B80457" w:rsidP="002F132A">
            <w:pPr>
              <w:rPr>
                <w:rFonts w:cs="Arial"/>
              </w:rPr>
            </w:pPr>
          </w:p>
        </w:tc>
        <w:tc>
          <w:tcPr>
            <w:tcW w:w="1208" w:type="dxa"/>
            <w:noWrap/>
          </w:tcPr>
          <w:p w14:paraId="3DFFA22E"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noWrap/>
          </w:tcPr>
          <w:p w14:paraId="12FD8D64"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noWrap/>
          </w:tcPr>
          <w:p w14:paraId="2425DE2B"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tcPr>
          <w:p w14:paraId="5BC8CADF"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tcPr>
          <w:p w14:paraId="411BB024"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tcPr>
          <w:p w14:paraId="5E413AD4"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1208" w:type="dxa"/>
          </w:tcPr>
          <w:p w14:paraId="24B00AAE" w14:textId="77777777"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p>
        </w:tc>
      </w:tr>
      <w:tr w:rsidR="00B80457" w:rsidRPr="007B13AD" w14:paraId="34ADA4E2" w14:textId="1096877C"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0CB6A701" w14:textId="77777777" w:rsidR="00B80457" w:rsidRPr="009F7EB1" w:rsidRDefault="00B80457" w:rsidP="002F132A">
            <w:pPr>
              <w:rPr>
                <w:rFonts w:cs="Arial"/>
                <w:color w:val="000000"/>
              </w:rPr>
            </w:pPr>
            <w:r w:rsidRPr="009F7EB1">
              <w:rPr>
                <w:rFonts w:cs="Arial"/>
                <w:color w:val="000000"/>
              </w:rPr>
              <w:t xml:space="preserve">New South Wales </w:t>
            </w:r>
          </w:p>
        </w:tc>
        <w:tc>
          <w:tcPr>
            <w:tcW w:w="1208" w:type="dxa"/>
            <w:noWrap/>
          </w:tcPr>
          <w:p w14:paraId="56318E6E" w14:textId="5656BC9C"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7.0</w:t>
            </w:r>
          </w:p>
        </w:tc>
        <w:tc>
          <w:tcPr>
            <w:tcW w:w="1208" w:type="dxa"/>
            <w:noWrap/>
          </w:tcPr>
          <w:p w14:paraId="4631ED39" w14:textId="1B87D2F9"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7.4</w:t>
            </w:r>
          </w:p>
        </w:tc>
        <w:tc>
          <w:tcPr>
            <w:tcW w:w="1208" w:type="dxa"/>
            <w:noWrap/>
          </w:tcPr>
          <w:p w14:paraId="046686B1" w14:textId="24204536"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7.8</w:t>
            </w:r>
          </w:p>
        </w:tc>
        <w:tc>
          <w:tcPr>
            <w:tcW w:w="1208" w:type="dxa"/>
          </w:tcPr>
          <w:p w14:paraId="6C49E5C0" w14:textId="050BFC51"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7.4</w:t>
            </w:r>
          </w:p>
        </w:tc>
        <w:tc>
          <w:tcPr>
            <w:tcW w:w="1208" w:type="dxa"/>
          </w:tcPr>
          <w:p w14:paraId="69FFF274" w14:textId="6BC77874"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9.9</w:t>
            </w:r>
          </w:p>
        </w:tc>
        <w:tc>
          <w:tcPr>
            <w:tcW w:w="1208" w:type="dxa"/>
          </w:tcPr>
          <w:p w14:paraId="1B054826" w14:textId="490CA694"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11.1</w:t>
            </w:r>
          </w:p>
        </w:tc>
        <w:tc>
          <w:tcPr>
            <w:tcW w:w="1208" w:type="dxa"/>
          </w:tcPr>
          <w:p w14:paraId="79D86474" w14:textId="5125D470" w:rsidR="00B80457" w:rsidRPr="007E6C09" w:rsidRDefault="007E7F77" w:rsidP="002F132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12.0</w:t>
            </w:r>
          </w:p>
        </w:tc>
      </w:tr>
      <w:tr w:rsidR="00B80457" w:rsidRPr="007B13AD" w14:paraId="4EBC2105" w14:textId="7D92B01F" w:rsidTr="00B80457">
        <w:trPr>
          <w:trHeight w:val="314"/>
        </w:trPr>
        <w:tc>
          <w:tcPr>
            <w:cnfStyle w:val="001000000000" w:firstRow="0" w:lastRow="0" w:firstColumn="1" w:lastColumn="0" w:oddVBand="0" w:evenVBand="0" w:oddHBand="0" w:evenHBand="0" w:firstRowFirstColumn="0" w:firstRowLastColumn="0" w:lastRowFirstColumn="0" w:lastRowLastColumn="0"/>
            <w:tcW w:w="3823" w:type="dxa"/>
          </w:tcPr>
          <w:p w14:paraId="049B4C18" w14:textId="77777777" w:rsidR="00B80457" w:rsidRPr="009F7EB1" w:rsidRDefault="00B80457" w:rsidP="002F132A">
            <w:pPr>
              <w:rPr>
                <w:rFonts w:cs="Arial"/>
                <w:color w:val="000000"/>
              </w:rPr>
            </w:pPr>
            <w:r w:rsidRPr="009F7EB1">
              <w:rPr>
                <w:rFonts w:cs="Arial"/>
                <w:color w:val="000000"/>
              </w:rPr>
              <w:t xml:space="preserve">Victoria </w:t>
            </w:r>
          </w:p>
        </w:tc>
        <w:tc>
          <w:tcPr>
            <w:tcW w:w="1208" w:type="dxa"/>
            <w:noWrap/>
          </w:tcPr>
          <w:p w14:paraId="54C2EDF7" w14:textId="4812E766"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6.8</w:t>
            </w:r>
          </w:p>
        </w:tc>
        <w:tc>
          <w:tcPr>
            <w:tcW w:w="1208" w:type="dxa"/>
            <w:noWrap/>
          </w:tcPr>
          <w:p w14:paraId="552FEDE0" w14:textId="2DAF8BBD"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7.3</w:t>
            </w:r>
          </w:p>
        </w:tc>
        <w:tc>
          <w:tcPr>
            <w:tcW w:w="1208" w:type="dxa"/>
            <w:noWrap/>
          </w:tcPr>
          <w:p w14:paraId="2AC59FB7" w14:textId="3772EC68"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7.9</w:t>
            </w:r>
          </w:p>
        </w:tc>
        <w:tc>
          <w:tcPr>
            <w:tcW w:w="1208" w:type="dxa"/>
          </w:tcPr>
          <w:p w14:paraId="7A8CF430" w14:textId="4EE42F84"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7.5</w:t>
            </w:r>
          </w:p>
        </w:tc>
        <w:tc>
          <w:tcPr>
            <w:tcW w:w="1208" w:type="dxa"/>
          </w:tcPr>
          <w:p w14:paraId="0C80C4EF" w14:textId="22FFBDB6"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10.7</w:t>
            </w:r>
          </w:p>
        </w:tc>
        <w:tc>
          <w:tcPr>
            <w:tcW w:w="1208" w:type="dxa"/>
          </w:tcPr>
          <w:p w14:paraId="430FC317" w14:textId="6E7E08E8"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11.9</w:t>
            </w:r>
          </w:p>
        </w:tc>
        <w:tc>
          <w:tcPr>
            <w:tcW w:w="1208" w:type="dxa"/>
          </w:tcPr>
          <w:p w14:paraId="7F7B8A5F" w14:textId="647CFDF8" w:rsidR="00B80457" w:rsidRPr="007E6C09" w:rsidRDefault="007E7F77" w:rsidP="002F132A">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12.6</w:t>
            </w:r>
          </w:p>
        </w:tc>
      </w:tr>
      <w:tr w:rsidR="00B80457" w:rsidRPr="007B13AD" w14:paraId="37EB0EBC" w14:textId="41785B1E"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224BAA97" w14:textId="77777777" w:rsidR="00B80457" w:rsidRPr="009F7EB1" w:rsidRDefault="00B80457" w:rsidP="002F132A">
            <w:pPr>
              <w:rPr>
                <w:rFonts w:cs="Arial"/>
                <w:color w:val="000000"/>
              </w:rPr>
            </w:pPr>
            <w:r w:rsidRPr="009F7EB1">
              <w:rPr>
                <w:rFonts w:cs="Arial"/>
                <w:color w:val="000000"/>
              </w:rPr>
              <w:t xml:space="preserve">Queensland </w:t>
            </w:r>
          </w:p>
        </w:tc>
        <w:tc>
          <w:tcPr>
            <w:tcW w:w="1208" w:type="dxa"/>
            <w:noWrap/>
          </w:tcPr>
          <w:p w14:paraId="4BDC1A4D" w14:textId="5C2D0703"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5.5</w:t>
            </w:r>
          </w:p>
        </w:tc>
        <w:tc>
          <w:tcPr>
            <w:tcW w:w="1208" w:type="dxa"/>
            <w:noWrap/>
          </w:tcPr>
          <w:p w14:paraId="55E9E5B2" w14:textId="44D12B63"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6.0</w:t>
            </w:r>
          </w:p>
        </w:tc>
        <w:tc>
          <w:tcPr>
            <w:tcW w:w="1208" w:type="dxa"/>
            <w:noWrap/>
          </w:tcPr>
          <w:p w14:paraId="091DC2D2" w14:textId="42853230"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6.4</w:t>
            </w:r>
          </w:p>
        </w:tc>
        <w:tc>
          <w:tcPr>
            <w:tcW w:w="1208" w:type="dxa"/>
          </w:tcPr>
          <w:p w14:paraId="55C7AE02" w14:textId="0AE336EE"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8.6</w:t>
            </w:r>
          </w:p>
        </w:tc>
        <w:tc>
          <w:tcPr>
            <w:tcW w:w="1208" w:type="dxa"/>
          </w:tcPr>
          <w:p w14:paraId="686B53A6" w14:textId="49BEF39F"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9.9</w:t>
            </w:r>
          </w:p>
        </w:tc>
        <w:tc>
          <w:tcPr>
            <w:tcW w:w="1208" w:type="dxa"/>
          </w:tcPr>
          <w:p w14:paraId="7874E7BC" w14:textId="3D94E637" w:rsidR="00B80457" w:rsidRPr="007E6C09"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rPr>
            </w:pPr>
            <w:r w:rsidRPr="007E6C09">
              <w:rPr>
                <w:color w:val="000000"/>
              </w:rPr>
              <w:t>11.1</w:t>
            </w:r>
          </w:p>
        </w:tc>
        <w:tc>
          <w:tcPr>
            <w:tcW w:w="1208" w:type="dxa"/>
          </w:tcPr>
          <w:p w14:paraId="414C6A6F" w14:textId="55A0EBCA" w:rsidR="00B80457" w:rsidRPr="007E6C09" w:rsidRDefault="007E7F77" w:rsidP="002F132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12.3</w:t>
            </w:r>
          </w:p>
        </w:tc>
      </w:tr>
      <w:tr w:rsidR="00B80457" w:rsidRPr="007B13AD" w14:paraId="1A83B6CC" w14:textId="2B9C0AAE" w:rsidTr="00B80457">
        <w:trPr>
          <w:trHeight w:val="314"/>
        </w:trPr>
        <w:tc>
          <w:tcPr>
            <w:cnfStyle w:val="001000000000" w:firstRow="0" w:lastRow="0" w:firstColumn="1" w:lastColumn="0" w:oddVBand="0" w:evenVBand="0" w:oddHBand="0" w:evenHBand="0" w:firstRowFirstColumn="0" w:firstRowLastColumn="0" w:lastRowFirstColumn="0" w:lastRowLastColumn="0"/>
            <w:tcW w:w="3823" w:type="dxa"/>
          </w:tcPr>
          <w:p w14:paraId="4FA10A74" w14:textId="77777777" w:rsidR="00B80457" w:rsidRPr="009F7EB1" w:rsidRDefault="00B80457" w:rsidP="002F132A">
            <w:pPr>
              <w:rPr>
                <w:rFonts w:cs="Arial"/>
                <w:color w:val="000000"/>
              </w:rPr>
            </w:pPr>
            <w:r w:rsidRPr="009F7EB1">
              <w:rPr>
                <w:rFonts w:cs="Arial"/>
                <w:color w:val="000000"/>
              </w:rPr>
              <w:t xml:space="preserve">Western Australia </w:t>
            </w:r>
          </w:p>
        </w:tc>
        <w:tc>
          <w:tcPr>
            <w:tcW w:w="1208" w:type="dxa"/>
            <w:noWrap/>
          </w:tcPr>
          <w:p w14:paraId="701ADAE8" w14:textId="09E212CE"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6.5</w:t>
            </w:r>
          </w:p>
        </w:tc>
        <w:tc>
          <w:tcPr>
            <w:tcW w:w="1208" w:type="dxa"/>
            <w:noWrap/>
          </w:tcPr>
          <w:p w14:paraId="514CDD28" w14:textId="40F83018"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7.1</w:t>
            </w:r>
          </w:p>
        </w:tc>
        <w:tc>
          <w:tcPr>
            <w:tcW w:w="1208" w:type="dxa"/>
            <w:noWrap/>
          </w:tcPr>
          <w:p w14:paraId="0CCD3082" w14:textId="35C56E40"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7.4</w:t>
            </w:r>
          </w:p>
        </w:tc>
        <w:tc>
          <w:tcPr>
            <w:tcW w:w="1208" w:type="dxa"/>
          </w:tcPr>
          <w:p w14:paraId="36CAB110" w14:textId="72236F7A"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7.8</w:t>
            </w:r>
          </w:p>
        </w:tc>
        <w:tc>
          <w:tcPr>
            <w:tcW w:w="1208" w:type="dxa"/>
          </w:tcPr>
          <w:p w14:paraId="18F77161" w14:textId="5478A08B"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9.1</w:t>
            </w:r>
          </w:p>
        </w:tc>
        <w:tc>
          <w:tcPr>
            <w:tcW w:w="1208" w:type="dxa"/>
          </w:tcPr>
          <w:p w14:paraId="67C5636A" w14:textId="32B3CCD6" w:rsidR="00B80457" w:rsidRPr="007E6C09"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rPr>
            </w:pPr>
            <w:r w:rsidRPr="007E6C09">
              <w:rPr>
                <w:color w:val="000000"/>
              </w:rPr>
              <w:t>11.5</w:t>
            </w:r>
          </w:p>
        </w:tc>
        <w:tc>
          <w:tcPr>
            <w:tcW w:w="1208" w:type="dxa"/>
          </w:tcPr>
          <w:p w14:paraId="1C526D56" w14:textId="62EEB917" w:rsidR="00B80457" w:rsidRPr="007E6C09" w:rsidRDefault="007E7F77" w:rsidP="002F132A">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13.4</w:t>
            </w:r>
          </w:p>
        </w:tc>
      </w:tr>
      <w:tr w:rsidR="00B80457" w:rsidRPr="007B13AD" w14:paraId="3BD3F23F" w14:textId="21393198"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4A08690E" w14:textId="77777777" w:rsidR="00B80457" w:rsidRPr="009F7EB1" w:rsidRDefault="00B80457" w:rsidP="002F132A">
            <w:pPr>
              <w:rPr>
                <w:rFonts w:cs="Arial"/>
                <w:color w:val="000000"/>
              </w:rPr>
            </w:pPr>
            <w:r w:rsidRPr="009F7EB1">
              <w:rPr>
                <w:rFonts w:cs="Arial"/>
                <w:color w:val="000000"/>
              </w:rPr>
              <w:t xml:space="preserve">South Australia </w:t>
            </w:r>
          </w:p>
        </w:tc>
        <w:tc>
          <w:tcPr>
            <w:tcW w:w="1208" w:type="dxa"/>
            <w:noWrap/>
          </w:tcPr>
          <w:p w14:paraId="3FB319B9" w14:textId="36C60D80"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9.9</w:t>
            </w:r>
          </w:p>
        </w:tc>
        <w:tc>
          <w:tcPr>
            <w:tcW w:w="1208" w:type="dxa"/>
            <w:noWrap/>
          </w:tcPr>
          <w:p w14:paraId="54EEADAA" w14:textId="6700C695"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10.3</w:t>
            </w:r>
          </w:p>
        </w:tc>
        <w:tc>
          <w:tcPr>
            <w:tcW w:w="1208" w:type="dxa"/>
            <w:noWrap/>
          </w:tcPr>
          <w:p w14:paraId="63893C54" w14:textId="29732B29"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10.7</w:t>
            </w:r>
          </w:p>
        </w:tc>
        <w:tc>
          <w:tcPr>
            <w:tcW w:w="1208" w:type="dxa"/>
          </w:tcPr>
          <w:p w14:paraId="22DC6019" w14:textId="4DFCA7E2"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12.7</w:t>
            </w:r>
          </w:p>
        </w:tc>
        <w:tc>
          <w:tcPr>
            <w:tcW w:w="1208" w:type="dxa"/>
          </w:tcPr>
          <w:p w14:paraId="7B5F630A" w14:textId="70C15BAB"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14.0</w:t>
            </w:r>
          </w:p>
        </w:tc>
        <w:tc>
          <w:tcPr>
            <w:tcW w:w="1208" w:type="dxa"/>
          </w:tcPr>
          <w:p w14:paraId="15676D2C" w14:textId="304B678B"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15.0</w:t>
            </w:r>
          </w:p>
        </w:tc>
        <w:tc>
          <w:tcPr>
            <w:tcW w:w="1208" w:type="dxa"/>
          </w:tcPr>
          <w:p w14:paraId="2A305449" w14:textId="1BA07771" w:rsidR="00B80457" w:rsidRPr="00861B44" w:rsidRDefault="007E7F77" w:rsidP="002F132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16.3</w:t>
            </w:r>
          </w:p>
        </w:tc>
      </w:tr>
      <w:tr w:rsidR="00B80457" w:rsidRPr="007B13AD" w14:paraId="10DC2D70" w14:textId="1B1E339D" w:rsidTr="00B80457">
        <w:trPr>
          <w:trHeight w:val="331"/>
        </w:trPr>
        <w:tc>
          <w:tcPr>
            <w:cnfStyle w:val="001000000000" w:firstRow="0" w:lastRow="0" w:firstColumn="1" w:lastColumn="0" w:oddVBand="0" w:evenVBand="0" w:oddHBand="0" w:evenHBand="0" w:firstRowFirstColumn="0" w:firstRowLastColumn="0" w:lastRowFirstColumn="0" w:lastRowLastColumn="0"/>
            <w:tcW w:w="3823" w:type="dxa"/>
          </w:tcPr>
          <w:p w14:paraId="4D013CBE" w14:textId="77777777" w:rsidR="00B80457" w:rsidRPr="009F7EB1" w:rsidRDefault="00B80457" w:rsidP="002F132A">
            <w:pPr>
              <w:rPr>
                <w:rFonts w:cs="Arial"/>
                <w:color w:val="000000"/>
              </w:rPr>
            </w:pPr>
            <w:r w:rsidRPr="009F7EB1">
              <w:rPr>
                <w:rFonts w:cs="Arial"/>
                <w:color w:val="000000"/>
              </w:rPr>
              <w:t xml:space="preserve">Tasmania </w:t>
            </w:r>
          </w:p>
        </w:tc>
        <w:tc>
          <w:tcPr>
            <w:tcW w:w="1208" w:type="dxa"/>
            <w:noWrap/>
          </w:tcPr>
          <w:p w14:paraId="43842768" w14:textId="0E113550"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7.6</w:t>
            </w:r>
          </w:p>
        </w:tc>
        <w:tc>
          <w:tcPr>
            <w:tcW w:w="1208" w:type="dxa"/>
            <w:noWrap/>
          </w:tcPr>
          <w:p w14:paraId="3FE88737" w14:textId="793D1F4F"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7.5</w:t>
            </w:r>
          </w:p>
        </w:tc>
        <w:tc>
          <w:tcPr>
            <w:tcW w:w="1208" w:type="dxa"/>
            <w:noWrap/>
          </w:tcPr>
          <w:p w14:paraId="569818EE" w14:textId="38E71A80"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7.4</w:t>
            </w:r>
          </w:p>
        </w:tc>
        <w:tc>
          <w:tcPr>
            <w:tcW w:w="1208" w:type="dxa"/>
          </w:tcPr>
          <w:p w14:paraId="24013509" w14:textId="65D9F1CE"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7.0</w:t>
            </w:r>
          </w:p>
        </w:tc>
        <w:tc>
          <w:tcPr>
            <w:tcW w:w="1208" w:type="dxa"/>
          </w:tcPr>
          <w:p w14:paraId="5D5C5430" w14:textId="751E62BF"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8.0</w:t>
            </w:r>
          </w:p>
        </w:tc>
        <w:tc>
          <w:tcPr>
            <w:tcW w:w="1208" w:type="dxa"/>
          </w:tcPr>
          <w:p w14:paraId="3A169EF0" w14:textId="2CFAE393"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10.9</w:t>
            </w:r>
          </w:p>
        </w:tc>
        <w:tc>
          <w:tcPr>
            <w:tcW w:w="1208" w:type="dxa"/>
          </w:tcPr>
          <w:p w14:paraId="70AEBF43" w14:textId="5A53B7DD" w:rsidR="00B80457" w:rsidRPr="00861B44" w:rsidRDefault="007E7F77" w:rsidP="002F132A">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12.4</w:t>
            </w:r>
          </w:p>
        </w:tc>
      </w:tr>
      <w:tr w:rsidR="00B80457" w:rsidRPr="007B13AD" w14:paraId="22F361B5" w14:textId="7AEC5423"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69C7E9C4" w14:textId="77777777" w:rsidR="00B80457" w:rsidRPr="009F7EB1" w:rsidRDefault="00B80457" w:rsidP="002F132A">
            <w:pPr>
              <w:rPr>
                <w:rFonts w:cs="Arial"/>
                <w:color w:val="000000"/>
              </w:rPr>
            </w:pPr>
            <w:r w:rsidRPr="009F7EB1">
              <w:rPr>
                <w:rFonts w:cs="Arial"/>
                <w:color w:val="000000"/>
              </w:rPr>
              <w:t xml:space="preserve">Northern Territory </w:t>
            </w:r>
          </w:p>
        </w:tc>
        <w:tc>
          <w:tcPr>
            <w:tcW w:w="1208" w:type="dxa"/>
            <w:noWrap/>
          </w:tcPr>
          <w:p w14:paraId="355FFA5E" w14:textId="2FF95818"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5.5</w:t>
            </w:r>
          </w:p>
        </w:tc>
        <w:tc>
          <w:tcPr>
            <w:tcW w:w="1208" w:type="dxa"/>
            <w:noWrap/>
          </w:tcPr>
          <w:p w14:paraId="3E14ACC8" w14:textId="0BB55475"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5.8</w:t>
            </w:r>
          </w:p>
        </w:tc>
        <w:tc>
          <w:tcPr>
            <w:tcW w:w="1208" w:type="dxa"/>
            <w:noWrap/>
          </w:tcPr>
          <w:p w14:paraId="3A355D2F" w14:textId="4675C7C6"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7.4</w:t>
            </w:r>
          </w:p>
        </w:tc>
        <w:tc>
          <w:tcPr>
            <w:tcW w:w="1208" w:type="dxa"/>
          </w:tcPr>
          <w:p w14:paraId="2C449676" w14:textId="51E5C709"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5.0</w:t>
            </w:r>
          </w:p>
        </w:tc>
        <w:tc>
          <w:tcPr>
            <w:tcW w:w="1208" w:type="dxa"/>
          </w:tcPr>
          <w:p w14:paraId="5E4D0428" w14:textId="24333E3A"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10.6</w:t>
            </w:r>
          </w:p>
        </w:tc>
        <w:tc>
          <w:tcPr>
            <w:tcW w:w="1208" w:type="dxa"/>
          </w:tcPr>
          <w:p w14:paraId="4BA563D3" w14:textId="3FAAF47F"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12.8</w:t>
            </w:r>
          </w:p>
        </w:tc>
        <w:tc>
          <w:tcPr>
            <w:tcW w:w="1208" w:type="dxa"/>
          </w:tcPr>
          <w:p w14:paraId="5764CB02" w14:textId="495E662D" w:rsidR="00B80457" w:rsidRPr="00861B44" w:rsidRDefault="007E7F77" w:rsidP="002F132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15.1</w:t>
            </w:r>
          </w:p>
        </w:tc>
      </w:tr>
      <w:tr w:rsidR="00B80457" w:rsidRPr="007B13AD" w14:paraId="19A54AC6" w14:textId="50CCF526" w:rsidTr="00B80457">
        <w:trPr>
          <w:trHeight w:val="314"/>
        </w:trPr>
        <w:tc>
          <w:tcPr>
            <w:cnfStyle w:val="001000000000" w:firstRow="0" w:lastRow="0" w:firstColumn="1" w:lastColumn="0" w:oddVBand="0" w:evenVBand="0" w:oddHBand="0" w:evenHBand="0" w:firstRowFirstColumn="0" w:firstRowLastColumn="0" w:lastRowFirstColumn="0" w:lastRowLastColumn="0"/>
            <w:tcW w:w="3823" w:type="dxa"/>
          </w:tcPr>
          <w:p w14:paraId="6DF81E3D" w14:textId="77777777" w:rsidR="00B80457" w:rsidRPr="009F7EB1" w:rsidRDefault="00B80457" w:rsidP="002F132A">
            <w:pPr>
              <w:rPr>
                <w:rFonts w:cs="Arial"/>
                <w:color w:val="000000"/>
              </w:rPr>
            </w:pPr>
            <w:r w:rsidRPr="009F7EB1">
              <w:rPr>
                <w:rFonts w:cs="Arial"/>
                <w:color w:val="000000"/>
              </w:rPr>
              <w:t xml:space="preserve">Australian Capital Territory </w:t>
            </w:r>
          </w:p>
        </w:tc>
        <w:tc>
          <w:tcPr>
            <w:tcW w:w="1208" w:type="dxa"/>
            <w:noWrap/>
          </w:tcPr>
          <w:p w14:paraId="62AD00EB" w14:textId="1C7288D3"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9.1</w:t>
            </w:r>
          </w:p>
        </w:tc>
        <w:tc>
          <w:tcPr>
            <w:tcW w:w="1208" w:type="dxa"/>
            <w:noWrap/>
          </w:tcPr>
          <w:p w14:paraId="220933D4" w14:textId="70F7D493"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9.8</w:t>
            </w:r>
          </w:p>
        </w:tc>
        <w:tc>
          <w:tcPr>
            <w:tcW w:w="1208" w:type="dxa"/>
            <w:noWrap/>
          </w:tcPr>
          <w:p w14:paraId="56161A8A" w14:textId="3D237D72"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10.3</w:t>
            </w:r>
          </w:p>
        </w:tc>
        <w:tc>
          <w:tcPr>
            <w:tcW w:w="1208" w:type="dxa"/>
          </w:tcPr>
          <w:p w14:paraId="290507C3" w14:textId="1590643F"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10.1</w:t>
            </w:r>
          </w:p>
        </w:tc>
        <w:tc>
          <w:tcPr>
            <w:tcW w:w="1208" w:type="dxa"/>
          </w:tcPr>
          <w:p w14:paraId="41077F55" w14:textId="5F627297"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12.8</w:t>
            </w:r>
          </w:p>
        </w:tc>
        <w:tc>
          <w:tcPr>
            <w:tcW w:w="1208" w:type="dxa"/>
          </w:tcPr>
          <w:p w14:paraId="57ACC242" w14:textId="5ED3036A" w:rsidR="00B80457" w:rsidRPr="00861B44" w:rsidRDefault="00B80457" w:rsidP="002F132A">
            <w:pPr>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861B44">
              <w:rPr>
                <w:color w:val="000000"/>
              </w:rPr>
              <w:t>13.2</w:t>
            </w:r>
          </w:p>
        </w:tc>
        <w:tc>
          <w:tcPr>
            <w:tcW w:w="1208" w:type="dxa"/>
          </w:tcPr>
          <w:p w14:paraId="61E5A272" w14:textId="59A3F8E1" w:rsidR="00B80457" w:rsidRPr="00861B44" w:rsidRDefault="007E7F77" w:rsidP="002F132A">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15.0</w:t>
            </w:r>
          </w:p>
        </w:tc>
      </w:tr>
      <w:tr w:rsidR="00B80457" w:rsidRPr="007B13AD" w14:paraId="57E877EF" w14:textId="4195E1FB" w:rsidTr="00B8045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823" w:type="dxa"/>
          </w:tcPr>
          <w:p w14:paraId="75325DE0" w14:textId="3F1C08FB" w:rsidR="00B80457" w:rsidRPr="009F7EB1" w:rsidRDefault="00B80457" w:rsidP="002F132A">
            <w:pPr>
              <w:rPr>
                <w:rFonts w:cs="Arial"/>
              </w:rPr>
            </w:pPr>
            <w:r w:rsidRPr="009F7EB1">
              <w:rPr>
                <w:rFonts w:cs="Arial"/>
              </w:rPr>
              <w:t>Multi-State</w:t>
            </w:r>
          </w:p>
        </w:tc>
        <w:tc>
          <w:tcPr>
            <w:tcW w:w="1208" w:type="dxa"/>
            <w:noWrap/>
          </w:tcPr>
          <w:p w14:paraId="28485350" w14:textId="47EAD07B"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6.9</w:t>
            </w:r>
          </w:p>
        </w:tc>
        <w:tc>
          <w:tcPr>
            <w:tcW w:w="1208" w:type="dxa"/>
            <w:noWrap/>
          </w:tcPr>
          <w:p w14:paraId="79B0DE21" w14:textId="164CD17B"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7.6</w:t>
            </w:r>
          </w:p>
        </w:tc>
        <w:tc>
          <w:tcPr>
            <w:tcW w:w="1208" w:type="dxa"/>
            <w:noWrap/>
          </w:tcPr>
          <w:p w14:paraId="11468F6D" w14:textId="1C0D2A83"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7.5</w:t>
            </w:r>
          </w:p>
        </w:tc>
        <w:tc>
          <w:tcPr>
            <w:tcW w:w="1208" w:type="dxa"/>
          </w:tcPr>
          <w:p w14:paraId="5AF910C1" w14:textId="40249A5D"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7.3</w:t>
            </w:r>
          </w:p>
        </w:tc>
        <w:tc>
          <w:tcPr>
            <w:tcW w:w="1208" w:type="dxa"/>
          </w:tcPr>
          <w:p w14:paraId="200492E2" w14:textId="5742B328"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8.0</w:t>
            </w:r>
          </w:p>
        </w:tc>
        <w:tc>
          <w:tcPr>
            <w:tcW w:w="1208" w:type="dxa"/>
          </w:tcPr>
          <w:p w14:paraId="6A83A89D" w14:textId="34DFE969" w:rsidR="00B80457" w:rsidRPr="00861B44" w:rsidRDefault="00B80457" w:rsidP="002F132A">
            <w:pPr>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861B44">
              <w:rPr>
                <w:color w:val="000000"/>
              </w:rPr>
              <w:t>9.2</w:t>
            </w:r>
          </w:p>
        </w:tc>
        <w:tc>
          <w:tcPr>
            <w:tcW w:w="1208" w:type="dxa"/>
          </w:tcPr>
          <w:p w14:paraId="2E0B299C" w14:textId="6417A94B" w:rsidR="00B80457" w:rsidRPr="00861B44" w:rsidRDefault="007E7F77" w:rsidP="002F132A">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9.9</w:t>
            </w:r>
          </w:p>
        </w:tc>
      </w:tr>
    </w:tbl>
    <w:p w14:paraId="51C1108C" w14:textId="421F7119" w:rsidR="003C10E3" w:rsidRPr="00274A1B" w:rsidRDefault="004C10D7" w:rsidP="00274A1B">
      <w:pPr>
        <w:pStyle w:val="BodyText"/>
        <w:rPr>
          <w:rFonts w:asciiTheme="majorHAnsi" w:eastAsiaTheme="majorEastAsia" w:hAnsiTheme="majorHAnsi" w:cstheme="majorBidi"/>
          <w:b/>
          <w:bCs/>
          <w:color w:val="351C26" w:themeColor="accent1"/>
          <w:sz w:val="32"/>
          <w:szCs w:val="32"/>
        </w:rPr>
      </w:pPr>
      <w:proofErr w:type="gramStart"/>
      <w:r w:rsidRPr="00C76D72">
        <w:rPr>
          <w:b/>
          <w:bCs/>
        </w:rPr>
        <w:t>Note:</w:t>
      </w:r>
      <w:r w:rsidR="00C20907" w:rsidRPr="746AA01B">
        <w:rPr>
          <w:i/>
          <w:iCs/>
        </w:rPr>
        <w:t>*</w:t>
      </w:r>
      <w:proofErr w:type="gramEnd"/>
      <w:r w:rsidR="00C20907">
        <w:t xml:space="preserve"> The figures for</w:t>
      </w:r>
      <w:r>
        <w:t xml:space="preserve"> </w:t>
      </w:r>
      <w:r w:rsidR="00C20907">
        <w:t xml:space="preserve">2020 are </w:t>
      </w:r>
      <w:r>
        <w:t xml:space="preserve">subject </w:t>
      </w:r>
      <w:r w:rsidR="00C20907">
        <w:t>to</w:t>
      </w:r>
      <w:r>
        <w:t xml:space="preserve"> some degree of</w:t>
      </w:r>
      <w:r w:rsidR="00C20907">
        <w:t xml:space="preserve"> under-report</w:t>
      </w:r>
      <w:r>
        <w:t>ing</w:t>
      </w:r>
      <w:r w:rsidR="00C20907">
        <w:t xml:space="preserve">. </w:t>
      </w:r>
      <w:r w:rsidR="00304DBD">
        <w:br w:type="page"/>
      </w:r>
      <w:bookmarkStart w:id="7" w:name="X138958f5c1a282da999a23405d20d6993ad94d8"/>
      <w:bookmarkEnd w:id="4"/>
    </w:p>
    <w:p w14:paraId="2936C67B" w14:textId="0ECE12B0" w:rsidR="00C45246" w:rsidRDefault="00C45246" w:rsidP="00ED53E7">
      <w:pPr>
        <w:pStyle w:val="Heading1"/>
      </w:pPr>
      <w:bookmarkStart w:id="8" w:name="fig:fig2"/>
      <w:bookmarkEnd w:id="8"/>
      <w:r w:rsidRPr="007B13AD">
        <w:lastRenderedPageBreak/>
        <w:t>Types of disability reported by higher education students: 202</w:t>
      </w:r>
      <w:r w:rsidR="00274A1B">
        <w:t>3</w:t>
      </w:r>
    </w:p>
    <w:p w14:paraId="08232E24" w14:textId="617C1CF1" w:rsidR="008811D8" w:rsidRPr="00BF41E3" w:rsidRDefault="00F86925" w:rsidP="00F60249">
      <w:pPr>
        <w:pStyle w:val="BodyText"/>
        <w:spacing w:before="0"/>
      </w:pPr>
      <w:r w:rsidRPr="00C25C34">
        <w:t>In 202</w:t>
      </w:r>
      <w:r w:rsidR="00274A1B" w:rsidRPr="00C25C34">
        <w:t>3</w:t>
      </w:r>
      <w:r w:rsidRPr="00C25C34">
        <w:t xml:space="preserve">, </w:t>
      </w:r>
      <w:r w:rsidR="004357D8" w:rsidRPr="00C25C34">
        <w:t>the</w:t>
      </w:r>
      <w:r w:rsidR="00274A1B" w:rsidRPr="00C25C34">
        <w:t xml:space="preserve"> </w:t>
      </w:r>
      <w:r w:rsidR="00C25C34" w:rsidRPr="00C25C34">
        <w:t>91</w:t>
      </w:r>
      <w:r w:rsidR="00C25C34" w:rsidRPr="00C371B1">
        <w:t>,726</w:t>
      </w:r>
      <w:r w:rsidRPr="00C371B1">
        <w:t xml:space="preserve"> students identified as</w:t>
      </w:r>
      <w:r w:rsidR="000658AD" w:rsidRPr="00C371B1">
        <w:t xml:space="preserve"> having disabilities</w:t>
      </w:r>
      <w:r w:rsidR="004357D8" w:rsidRPr="00C371B1">
        <w:t xml:space="preserve"> collectively</w:t>
      </w:r>
      <w:r w:rsidR="000658AD" w:rsidRPr="00C371B1">
        <w:t xml:space="preserve"> reported 12</w:t>
      </w:r>
      <w:r w:rsidR="00073907" w:rsidRPr="00C371B1">
        <w:t>7</w:t>
      </w:r>
      <w:r w:rsidR="000658AD" w:rsidRPr="00C371B1">
        <w:t>,</w:t>
      </w:r>
      <w:r w:rsidR="00073907" w:rsidRPr="00C371B1">
        <w:t>386</w:t>
      </w:r>
      <w:r w:rsidR="000658AD" w:rsidRPr="00C371B1">
        <w:t xml:space="preserve"> categories of disability, an average of </w:t>
      </w:r>
      <w:r w:rsidR="002A6DF7" w:rsidRPr="00C371B1">
        <w:t>1.</w:t>
      </w:r>
      <w:r w:rsidR="003D568D" w:rsidRPr="00C371B1">
        <w:t>4</w:t>
      </w:r>
      <w:r w:rsidR="00003006" w:rsidRPr="00C371B1">
        <w:t xml:space="preserve"> categories per st</w:t>
      </w:r>
      <w:r w:rsidR="00003006" w:rsidRPr="00A27989">
        <w:t xml:space="preserve">udent </w:t>
      </w:r>
      <w:r w:rsidR="0073651A" w:rsidRPr="00A27989">
        <w:t>(</w:t>
      </w:r>
      <w:r w:rsidR="004357D8" w:rsidRPr="00A27989">
        <w:t xml:space="preserve">see </w:t>
      </w:r>
      <w:r w:rsidR="0073651A" w:rsidRPr="00A27989">
        <w:t xml:space="preserve">Figure </w:t>
      </w:r>
      <w:r w:rsidR="00C25C34" w:rsidRPr="00A27989">
        <w:t>2</w:t>
      </w:r>
      <w:r w:rsidR="0073651A" w:rsidRPr="00A27989">
        <w:t>)</w:t>
      </w:r>
      <w:r w:rsidR="00544BEA" w:rsidRPr="00A27989">
        <w:t>.</w:t>
      </w:r>
      <w:r w:rsidR="00752BE4" w:rsidRPr="00A27989">
        <w:t xml:space="preserve"> Listing a </w:t>
      </w:r>
      <w:r w:rsidR="00055814" w:rsidRPr="00A27989">
        <w:t>‘</w:t>
      </w:r>
      <w:r w:rsidR="0BBBB206" w:rsidRPr="00A27989">
        <w:t>M</w:t>
      </w:r>
      <w:r w:rsidR="00752BE4" w:rsidRPr="00A27989">
        <w:t>ental health condition</w:t>
      </w:r>
      <w:r w:rsidR="003D568D" w:rsidRPr="00A27989">
        <w:t>’</w:t>
      </w:r>
      <w:r w:rsidR="00752BE4" w:rsidRPr="00A27989">
        <w:t xml:space="preserve"> was the most common form of disability </w:t>
      </w:r>
      <w:r w:rsidR="007C19E8" w:rsidRPr="00A27989">
        <w:t>disclosed</w:t>
      </w:r>
      <w:r w:rsidR="00752BE4" w:rsidRPr="00A27989">
        <w:t xml:space="preserve"> (4</w:t>
      </w:r>
      <w:r w:rsidR="00C371B1" w:rsidRPr="00A27989">
        <w:t>5</w:t>
      </w:r>
      <w:r w:rsidR="00752BE4" w:rsidRPr="00A27989">
        <w:t>,</w:t>
      </w:r>
      <w:r w:rsidR="00C371B1" w:rsidRPr="00A27989">
        <w:t>935</w:t>
      </w:r>
      <w:r w:rsidR="00752BE4" w:rsidRPr="00A27989">
        <w:t xml:space="preserve"> cases</w:t>
      </w:r>
      <w:r w:rsidR="009714D7" w:rsidRPr="00A27989">
        <w:t xml:space="preserve">), being </w:t>
      </w:r>
      <w:r w:rsidR="007C19E8" w:rsidRPr="00A27989">
        <w:t>listed</w:t>
      </w:r>
      <w:r w:rsidR="009714D7" w:rsidRPr="00A27989">
        <w:t xml:space="preserve"> by almost half of all students with </w:t>
      </w:r>
      <w:r w:rsidR="003F146B" w:rsidRPr="00A27989">
        <w:t xml:space="preserve">disability </w:t>
      </w:r>
      <w:r w:rsidR="009714D7" w:rsidRPr="00A27989">
        <w:t>(4</w:t>
      </w:r>
      <w:r w:rsidR="006D0509" w:rsidRPr="00A27989">
        <w:t>9.5</w:t>
      </w:r>
      <w:r w:rsidR="009714D7" w:rsidRPr="00A27989">
        <w:t>%)</w:t>
      </w:r>
      <w:r w:rsidR="00431355" w:rsidRPr="00A27989">
        <w:t xml:space="preserve">. More than a quarter of students with </w:t>
      </w:r>
      <w:r w:rsidR="003F146B" w:rsidRPr="00A27989">
        <w:t xml:space="preserve">disability </w:t>
      </w:r>
      <w:r w:rsidR="00431355" w:rsidRPr="00A27989">
        <w:t xml:space="preserve">reported a </w:t>
      </w:r>
      <w:r w:rsidR="00055814" w:rsidRPr="00A27989">
        <w:t>‘</w:t>
      </w:r>
      <w:r w:rsidR="39ED794E" w:rsidRPr="00A27989">
        <w:t>M</w:t>
      </w:r>
      <w:r w:rsidR="00431355" w:rsidRPr="00A27989">
        <w:t>edical condition</w:t>
      </w:r>
      <w:r w:rsidR="00055814" w:rsidRPr="00A27989">
        <w:t>’</w:t>
      </w:r>
      <w:r w:rsidR="00431355" w:rsidRPr="00A27989">
        <w:t xml:space="preserve"> (23,</w:t>
      </w:r>
      <w:r w:rsidR="00A27989" w:rsidRPr="00A27989">
        <w:t>596</w:t>
      </w:r>
      <w:r w:rsidR="00431355" w:rsidRPr="00A27989">
        <w:t xml:space="preserve"> or 2</w:t>
      </w:r>
      <w:r w:rsidR="00A27989" w:rsidRPr="00A27989">
        <w:t>5</w:t>
      </w:r>
      <w:r w:rsidR="00431355" w:rsidRPr="00A27989">
        <w:t>.</w:t>
      </w:r>
      <w:r w:rsidR="00A27989" w:rsidRPr="00A27989">
        <w:t>7</w:t>
      </w:r>
      <w:r w:rsidR="00431355" w:rsidRPr="00A27989">
        <w:t>%).</w:t>
      </w:r>
      <w:r w:rsidR="00CC076C" w:rsidRPr="00A27989">
        <w:t xml:space="preserve"> </w:t>
      </w:r>
      <w:r w:rsidR="00BF41E3">
        <w:t xml:space="preserve">In </w:t>
      </w:r>
      <w:proofErr w:type="gramStart"/>
      <w:r w:rsidR="00BF41E3">
        <w:t>2023, ‘</w:t>
      </w:r>
      <w:proofErr w:type="gramEnd"/>
      <w:r w:rsidR="00BF41E3">
        <w:t xml:space="preserve">Neurological condition’ became the third </w:t>
      </w:r>
      <w:proofErr w:type="gramStart"/>
      <w:r w:rsidR="00BF41E3">
        <w:t>most commonly reported</w:t>
      </w:r>
      <w:proofErr w:type="gramEnd"/>
      <w:r w:rsidR="00BF41E3">
        <w:t xml:space="preserve"> disability (17.0%), overtaking ‘Other disability’ and ‘Specific </w:t>
      </w:r>
      <w:r w:rsidR="00BF41E3" w:rsidRPr="00BF41E3">
        <w:t xml:space="preserve">Learning Disability’.  </w:t>
      </w:r>
    </w:p>
    <w:p w14:paraId="30DB766E" w14:textId="7506B6C1" w:rsidR="00CC076C" w:rsidRPr="008811D8" w:rsidRDefault="00CC076C" w:rsidP="00F60249">
      <w:pPr>
        <w:pStyle w:val="BodyText"/>
        <w:spacing w:before="0"/>
      </w:pPr>
      <w:r w:rsidRPr="00BF41E3">
        <w:t xml:space="preserve">It is noteworthy that </w:t>
      </w:r>
      <w:r w:rsidR="002B5FFF" w:rsidRPr="00BF41E3">
        <w:t xml:space="preserve">the percentage of students reporting ‘Other disability’ decreased from 18.2% in 2022 to 14.3% in 2023. </w:t>
      </w:r>
      <w:r w:rsidR="007521EB" w:rsidRPr="00BF41E3">
        <w:t xml:space="preserve">Whilst this is down </w:t>
      </w:r>
      <w:r w:rsidR="00624E2E" w:rsidRPr="00BF41E3">
        <w:t>markedly</w:t>
      </w:r>
      <w:r w:rsidR="007521EB" w:rsidRPr="00BF41E3">
        <w:t xml:space="preserve"> from the </w:t>
      </w:r>
      <w:r w:rsidR="00624E2E" w:rsidRPr="00BF41E3">
        <w:t>45.</w:t>
      </w:r>
      <w:r w:rsidR="00334336" w:rsidRPr="00BF41E3">
        <w:t>9</w:t>
      </w:r>
      <w:r w:rsidR="00624E2E" w:rsidRPr="00BF41E3">
        <w:t>% figure reported under the older categories of disability, it is still a significant proportion of students.</w:t>
      </w:r>
      <w:r w:rsidR="00E1089A" w:rsidRPr="00BF41E3">
        <w:t xml:space="preserve"> This may indicate either that the new categories are still not sufficient to accurately </w:t>
      </w:r>
      <w:r w:rsidR="00452067" w:rsidRPr="00BF41E3">
        <w:t xml:space="preserve">report types of disability or that </w:t>
      </w:r>
      <w:r w:rsidR="002238D5" w:rsidRPr="00BF41E3">
        <w:t>institutional reporting mechanisms remain confusing to many students with disabilit</w:t>
      </w:r>
      <w:r w:rsidR="235E9DBE" w:rsidRPr="00BF41E3">
        <w:t>y.</w:t>
      </w:r>
    </w:p>
    <w:p w14:paraId="43EF9448" w14:textId="77777777" w:rsidR="00777489" w:rsidRDefault="00777489">
      <w:pPr>
        <w:spacing w:line="259" w:lineRule="auto"/>
        <w:rPr>
          <w:i/>
          <w:iCs/>
          <w:sz w:val="18"/>
          <w:szCs w:val="18"/>
        </w:rPr>
      </w:pPr>
      <w:r>
        <w:br w:type="page"/>
      </w:r>
    </w:p>
    <w:p w14:paraId="7DE1332D" w14:textId="685081FD" w:rsidR="004B202C" w:rsidRPr="00F60249" w:rsidRDefault="007C18CA" w:rsidP="00F60249">
      <w:pPr>
        <w:pStyle w:val="Caption"/>
      </w:pPr>
      <w:r w:rsidRPr="007B13AD">
        <w:lastRenderedPageBreak/>
        <w:t xml:space="preserve">Figure </w:t>
      </w:r>
      <w:r w:rsidR="00274A1B">
        <w:t>2</w:t>
      </w:r>
      <w:r w:rsidRPr="007B13AD">
        <w:t xml:space="preserve">: </w:t>
      </w:r>
      <w:r>
        <w:t>Count</w:t>
      </w:r>
      <w:r w:rsidRPr="007B13AD">
        <w:t xml:space="preserve"> of </w:t>
      </w:r>
      <w:r w:rsidR="009F2D9F">
        <w:t>disability category reported</w:t>
      </w:r>
      <w:r w:rsidRPr="007B13AD">
        <w:t>, 202</w:t>
      </w:r>
      <w:r w:rsidR="00274A1B">
        <w:t>3</w:t>
      </w:r>
      <w:r>
        <w:t xml:space="preserve">. The </w:t>
      </w:r>
      <w:r w:rsidR="001456C3">
        <w:t>left most bar</w:t>
      </w:r>
      <w:r>
        <w:t xml:space="preserve"> (</w:t>
      </w:r>
      <w:r w:rsidR="001456C3">
        <w:t>darkest bar</w:t>
      </w:r>
      <w:r>
        <w:t>) is the total number of disabilities reported and is larger than the total student population</w:t>
      </w:r>
      <w:r w:rsidR="00C77C4D">
        <w:t xml:space="preserve"> reporting any disability</w:t>
      </w:r>
      <w:r>
        <w:t xml:space="preserve"> as students can report more than one disability. The</w:t>
      </w:r>
      <w:r w:rsidR="001456C3">
        <w:t xml:space="preserve"> second bar from the left </w:t>
      </w:r>
      <w:r>
        <w:t xml:space="preserve">is the total number of students reporting disability (where a student has reported more than one disability, in this count they will appear only once). </w:t>
      </w:r>
      <w:r w:rsidR="005D08D3">
        <w:t>Disability categories are ordered by prevalence in 2022, to allow for comparison.</w:t>
      </w:r>
    </w:p>
    <w:p w14:paraId="77AFB0E4" w14:textId="77777777" w:rsidR="004B202C" w:rsidRPr="007B13AD" w:rsidRDefault="004B202C" w:rsidP="00290D8E">
      <w:pPr>
        <w:pStyle w:val="BodyText"/>
        <w:jc w:val="center"/>
      </w:pPr>
      <w:r w:rsidRPr="008811D8">
        <w:rPr>
          <w:noProof/>
        </w:rPr>
        <w:drawing>
          <wp:inline distT="0" distB="0" distL="0" distR="0" wp14:anchorId="69A4A9F6" wp14:editId="5AB53555">
            <wp:extent cx="8174295" cy="3269718"/>
            <wp:effectExtent l="19050" t="19050" r="17780" b="26035"/>
            <wp:docPr id="2110414217" name="Picture 2" descr="Bar graph showing count of disability category reported, 2023. The left most bar (darkest bar) is the total number of disabilities reported and is larger than the total student population reporting any disability as students can report more than one disability. The second bar from the left is the total number of students reporting disability (where a student has reported more than one disability, in this count they will appear only once). Disability categories are ordered by prevalence in 2022, to allow for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14217" name="Picture 2" descr="Bar graph showing count of disability category reported, 2023. The left most bar (darkest bar) is the total number of disabilities reported and is larger than the total student population reporting any disability as students can report more than one disability. The second bar from the left is the total number of students reporting disability (where a student has reported more than one disability, in this count they will appear only once). Disability categories are ordered by prevalence in 2022, to allow for compariso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174295" cy="3269718"/>
                    </a:xfrm>
                    <a:prstGeom prst="rect">
                      <a:avLst/>
                    </a:prstGeom>
                    <a:noFill/>
                    <a:ln w="3175">
                      <a:solidFill>
                        <a:schemeClr val="tx1"/>
                      </a:solidFill>
                    </a:ln>
                  </pic:spPr>
                </pic:pic>
              </a:graphicData>
            </a:graphic>
          </wp:inline>
        </w:drawing>
      </w:r>
    </w:p>
    <w:p w14:paraId="2A221856" w14:textId="77777777" w:rsidR="004B202C" w:rsidRPr="007B13AD" w:rsidRDefault="004B202C" w:rsidP="004B202C">
      <w:pPr>
        <w:pStyle w:val="BodyText"/>
      </w:pPr>
    </w:p>
    <w:p w14:paraId="19CBF1DE" w14:textId="77777777" w:rsidR="007A371C" w:rsidRDefault="007A371C">
      <w:pPr>
        <w:spacing w:line="259" w:lineRule="auto"/>
      </w:pPr>
      <w:bookmarkStart w:id="9" w:name="X7f0d3ce90c5bd736a46931fdf122f27941b01b1"/>
      <w:bookmarkEnd w:id="7"/>
      <w:r>
        <w:br w:type="page"/>
      </w:r>
    </w:p>
    <w:p w14:paraId="3682EB88" w14:textId="1EFB2983" w:rsidR="00864F13" w:rsidRPr="00636064" w:rsidRDefault="00DF410A" w:rsidP="001B5082">
      <w:pPr>
        <w:pStyle w:val="BodyText"/>
      </w:pPr>
      <w:r w:rsidRPr="00636064">
        <w:lastRenderedPageBreak/>
        <w:t>Furthe</w:t>
      </w:r>
      <w:r w:rsidR="00A339DB" w:rsidRPr="00636064">
        <w:t>r</w:t>
      </w:r>
      <w:r w:rsidR="001B5082" w:rsidRPr="00636064">
        <w:t xml:space="preserve">, these sector-wide rates hide a significant degree of variance at the institutional level, as illustrated by </w:t>
      </w:r>
      <w:r w:rsidR="00864F13" w:rsidRPr="00636064">
        <w:t xml:space="preserve">Figure </w:t>
      </w:r>
      <w:r w:rsidR="005D08D3" w:rsidRPr="00636064">
        <w:t>3</w:t>
      </w:r>
      <w:r w:rsidR="001B5082" w:rsidRPr="00636064">
        <w:t xml:space="preserve">. This shows clearly that there is substantial variation in the percentage of students from each institution that reported an overall disability, and for each type of disability. </w:t>
      </w:r>
      <w:r w:rsidR="00864F13" w:rsidRPr="00636064">
        <w:t>For example:</w:t>
      </w:r>
    </w:p>
    <w:p w14:paraId="611BC1C8" w14:textId="12AB2699" w:rsidR="00864F13" w:rsidRPr="00636064" w:rsidRDefault="007D09A3" w:rsidP="001D1CAD">
      <w:pPr>
        <w:pStyle w:val="BodyText"/>
        <w:numPr>
          <w:ilvl w:val="0"/>
          <w:numId w:val="22"/>
        </w:numPr>
      </w:pPr>
      <w:r w:rsidRPr="00636064">
        <w:t>Overall, in 202</w:t>
      </w:r>
      <w:r w:rsidR="00636064" w:rsidRPr="00636064">
        <w:t>3</w:t>
      </w:r>
      <w:r w:rsidRPr="00636064">
        <w:t>, 1</w:t>
      </w:r>
      <w:r w:rsidR="00636064" w:rsidRPr="00636064">
        <w:t>2</w:t>
      </w:r>
      <w:r w:rsidRPr="00636064">
        <w:t>.</w:t>
      </w:r>
      <w:r w:rsidR="00636064" w:rsidRPr="00636064">
        <w:t>7</w:t>
      </w:r>
      <w:r w:rsidRPr="00636064">
        <w:t>% of undergraduate students reported having a disability. However, this percentage varied across institutions, with the range spanning from as low as 5.</w:t>
      </w:r>
      <w:r w:rsidR="00636064" w:rsidRPr="00636064">
        <w:t>1</w:t>
      </w:r>
      <w:r w:rsidRPr="00636064">
        <w:t>% to as high as 2</w:t>
      </w:r>
      <w:r w:rsidR="00636064" w:rsidRPr="00636064">
        <w:t>1</w:t>
      </w:r>
      <w:r w:rsidRPr="00636064">
        <w:t>.</w:t>
      </w:r>
      <w:r w:rsidR="00636064" w:rsidRPr="00636064">
        <w:t>2</w:t>
      </w:r>
      <w:r w:rsidRPr="00636064">
        <w:t>% of the student cohort.</w:t>
      </w:r>
    </w:p>
    <w:p w14:paraId="3F402D64" w14:textId="1145EBF2" w:rsidR="00457525" w:rsidRPr="009567BC" w:rsidRDefault="001B5082" w:rsidP="001B5082">
      <w:pPr>
        <w:pStyle w:val="BodyText"/>
        <w:numPr>
          <w:ilvl w:val="0"/>
          <w:numId w:val="22"/>
        </w:numPr>
      </w:pPr>
      <w:r w:rsidRPr="00636064">
        <w:t>The largest variability</w:t>
      </w:r>
      <w:r w:rsidR="009844E0" w:rsidRPr="00636064">
        <w:t xml:space="preserve"> (range)</w:t>
      </w:r>
      <w:r w:rsidRPr="00636064">
        <w:t xml:space="preserve"> in institutional rates across disability types was for students reporting a </w:t>
      </w:r>
      <w:r w:rsidR="00870BC6" w:rsidRPr="00636064">
        <w:t>‘M</w:t>
      </w:r>
      <w:r w:rsidRPr="00636064">
        <w:t xml:space="preserve">ental health </w:t>
      </w:r>
      <w:r w:rsidR="00C22CAA" w:rsidRPr="00636064">
        <w:t>condition</w:t>
      </w:r>
      <w:r w:rsidR="00870BC6" w:rsidRPr="00636064">
        <w:t>’</w:t>
      </w:r>
      <w:r w:rsidRPr="00636064">
        <w:t xml:space="preserve">, with </w:t>
      </w:r>
      <w:r w:rsidRPr="009567BC">
        <w:t xml:space="preserve">estimates ranging from </w:t>
      </w:r>
      <w:r w:rsidR="00636064" w:rsidRPr="009567BC">
        <w:t>1.3</w:t>
      </w:r>
      <w:r w:rsidR="00530C01" w:rsidRPr="009567BC">
        <w:t xml:space="preserve">% to </w:t>
      </w:r>
      <w:r w:rsidRPr="009567BC">
        <w:t>1</w:t>
      </w:r>
      <w:r w:rsidR="00636064" w:rsidRPr="009567BC">
        <w:t>4</w:t>
      </w:r>
      <w:r w:rsidRPr="009567BC">
        <w:t>.</w:t>
      </w:r>
      <w:r w:rsidR="00636064" w:rsidRPr="009567BC">
        <w:t>1</w:t>
      </w:r>
      <w:r w:rsidRPr="009567BC">
        <w:t xml:space="preserve">% across institutions. </w:t>
      </w:r>
    </w:p>
    <w:p w14:paraId="53245DD8" w14:textId="7DDC5A0F" w:rsidR="00457525" w:rsidRPr="009567BC" w:rsidRDefault="00457525" w:rsidP="001B5082">
      <w:pPr>
        <w:pStyle w:val="BodyText"/>
        <w:numPr>
          <w:ilvl w:val="0"/>
          <w:numId w:val="22"/>
        </w:numPr>
      </w:pPr>
      <w:r w:rsidRPr="009567BC">
        <w:t xml:space="preserve">There was also </w:t>
      </w:r>
      <w:r w:rsidR="00507E13" w:rsidRPr="009567BC">
        <w:t xml:space="preserve">significant variability </w:t>
      </w:r>
      <w:r w:rsidR="00B43068" w:rsidRPr="009567BC">
        <w:t xml:space="preserve">(range) </w:t>
      </w:r>
      <w:r w:rsidR="00507E13" w:rsidRPr="009567BC">
        <w:t xml:space="preserve">in the </w:t>
      </w:r>
      <w:r w:rsidR="00C22CAA" w:rsidRPr="009567BC">
        <w:t>‘</w:t>
      </w:r>
      <w:r w:rsidR="009567BC" w:rsidRPr="009567BC">
        <w:t>Neurological</w:t>
      </w:r>
      <w:r w:rsidR="00392ADA" w:rsidRPr="009567BC">
        <w:t>’</w:t>
      </w:r>
      <w:r w:rsidR="00507E13" w:rsidRPr="009567BC">
        <w:t xml:space="preserve"> category, with estimates ranging from </w:t>
      </w:r>
      <w:r w:rsidR="00E73B0C" w:rsidRPr="009567BC">
        <w:t>0.</w:t>
      </w:r>
      <w:r w:rsidR="009567BC" w:rsidRPr="009567BC">
        <w:t>4</w:t>
      </w:r>
      <w:r w:rsidR="00507E13" w:rsidRPr="009567BC">
        <w:t xml:space="preserve">% to </w:t>
      </w:r>
      <w:r w:rsidR="009567BC" w:rsidRPr="009567BC">
        <w:t>8.4</w:t>
      </w:r>
      <w:r w:rsidR="00507E13" w:rsidRPr="009567BC">
        <w:t>% across institutions</w:t>
      </w:r>
      <w:r w:rsidR="00920052" w:rsidRPr="009567BC">
        <w:t>.</w:t>
      </w:r>
    </w:p>
    <w:p w14:paraId="51C7BBF3" w14:textId="2D11B1A4" w:rsidR="00920052" w:rsidRPr="009567BC" w:rsidRDefault="00920052" w:rsidP="001B5082">
      <w:pPr>
        <w:pStyle w:val="BodyText"/>
        <w:numPr>
          <w:ilvl w:val="0"/>
          <w:numId w:val="22"/>
        </w:numPr>
      </w:pPr>
      <w:r w:rsidRPr="009567BC">
        <w:t xml:space="preserve">The </w:t>
      </w:r>
      <w:r w:rsidR="00FA3442" w:rsidRPr="009567BC">
        <w:t xml:space="preserve">smallest variability (range) </w:t>
      </w:r>
      <w:r w:rsidRPr="009567BC">
        <w:t>was in the</w:t>
      </w:r>
      <w:r w:rsidR="0051592D" w:rsidRPr="009567BC">
        <w:t xml:space="preserve"> ‘Hard of Hearing/deaf/Deaf</w:t>
      </w:r>
      <w:r w:rsidR="00870BC6" w:rsidRPr="009567BC">
        <w:t>’</w:t>
      </w:r>
      <w:r w:rsidR="00496258" w:rsidRPr="009567BC">
        <w:t xml:space="preserve"> </w:t>
      </w:r>
      <w:r w:rsidR="00E97BAB" w:rsidRPr="009567BC">
        <w:t xml:space="preserve">category, with estimates ranging from </w:t>
      </w:r>
      <w:r w:rsidR="0053441A" w:rsidRPr="009567BC">
        <w:t>0.2</w:t>
      </w:r>
      <w:r w:rsidR="00E97BAB" w:rsidRPr="009567BC">
        <w:t xml:space="preserve">% to </w:t>
      </w:r>
      <w:r w:rsidR="0053441A" w:rsidRPr="009567BC">
        <w:t>1.</w:t>
      </w:r>
      <w:r w:rsidR="00870BC6" w:rsidRPr="009567BC">
        <w:t>1</w:t>
      </w:r>
      <w:r w:rsidR="00E97BAB" w:rsidRPr="009567BC">
        <w:t>% across institutions</w:t>
      </w:r>
      <w:r w:rsidR="0051592D" w:rsidRPr="009567BC">
        <w:t>.</w:t>
      </w:r>
    </w:p>
    <w:p w14:paraId="6BB3D1A6" w14:textId="0064DEF7" w:rsidR="00F012B3" w:rsidRPr="009567BC" w:rsidRDefault="001B5082" w:rsidP="00457525">
      <w:pPr>
        <w:pStyle w:val="BodyText"/>
      </w:pPr>
      <w:r w:rsidRPr="009567BC">
        <w:t xml:space="preserve">One interpretation of the data is that the demographic profile varies significantly across institutions. Another is that </w:t>
      </w:r>
      <w:r w:rsidR="00BC4CCC" w:rsidRPr="009567BC">
        <w:t xml:space="preserve">the </w:t>
      </w:r>
      <w:r w:rsidR="006F571B" w:rsidRPr="009567BC">
        <w:t xml:space="preserve">collection and reporting of </w:t>
      </w:r>
      <w:r w:rsidRPr="009567BC">
        <w:t xml:space="preserve">data </w:t>
      </w:r>
      <w:r w:rsidR="00BC4CCC" w:rsidRPr="009567BC">
        <w:t xml:space="preserve">varies, </w:t>
      </w:r>
      <w:r w:rsidRPr="009567BC">
        <w:t xml:space="preserve">rather than the students. </w:t>
      </w:r>
      <w:r w:rsidR="00F012B3" w:rsidRPr="009567BC">
        <w:t xml:space="preserve">Without further </w:t>
      </w:r>
      <w:r w:rsidR="00D95EC4" w:rsidRPr="009567BC">
        <w:t>investigation</w:t>
      </w:r>
      <w:r w:rsidR="00F012B3" w:rsidRPr="009567BC">
        <w:t xml:space="preserve"> it is not possible to say, definitively, the reason for the variance. </w:t>
      </w:r>
      <w:r w:rsidR="00D95EC4" w:rsidRPr="009567BC">
        <w:t xml:space="preserve">However, this is an area of inquiry that is deserving of </w:t>
      </w:r>
      <w:r w:rsidR="00E6508D" w:rsidRPr="009567BC">
        <w:t>attention</w:t>
      </w:r>
      <w:r w:rsidR="000A4C5C" w:rsidRPr="009567BC">
        <w:t>, for example:</w:t>
      </w:r>
    </w:p>
    <w:p w14:paraId="2A78D9F6" w14:textId="0C2D0C66" w:rsidR="000A4C5C" w:rsidRPr="009567BC" w:rsidRDefault="000A4C5C" w:rsidP="000A4C5C">
      <w:pPr>
        <w:pStyle w:val="BodyText"/>
        <w:numPr>
          <w:ilvl w:val="0"/>
          <w:numId w:val="23"/>
        </w:numPr>
      </w:pPr>
      <w:r w:rsidRPr="009567BC">
        <w:t xml:space="preserve">If the variance is explained by actual difference in student profile, then </w:t>
      </w:r>
      <w:r w:rsidR="00094C0D" w:rsidRPr="009567BC">
        <w:t xml:space="preserve">is this because certain institutions are known as exemplars in supporting </w:t>
      </w:r>
      <w:proofErr w:type="gramStart"/>
      <w:r w:rsidR="00094C0D" w:rsidRPr="009567BC">
        <w:t>particular types</w:t>
      </w:r>
      <w:proofErr w:type="gramEnd"/>
      <w:r w:rsidR="00094C0D" w:rsidRPr="009567BC">
        <w:t xml:space="preserve"> of disability requirements</w:t>
      </w:r>
      <w:r w:rsidR="001F43F8" w:rsidRPr="009567BC">
        <w:t xml:space="preserve"> or for other (e.g. external) factors?</w:t>
      </w:r>
    </w:p>
    <w:p w14:paraId="29397F53" w14:textId="5AE1C249" w:rsidR="001F43F8" w:rsidRPr="009567BC" w:rsidRDefault="001F43F8" w:rsidP="001D1CAD">
      <w:pPr>
        <w:pStyle w:val="BodyText"/>
        <w:numPr>
          <w:ilvl w:val="0"/>
          <w:numId w:val="23"/>
        </w:numPr>
      </w:pPr>
      <w:r w:rsidRPr="009567BC">
        <w:t xml:space="preserve">If the variance is a consequence of </w:t>
      </w:r>
      <w:r w:rsidR="008E5E7F" w:rsidRPr="009567BC">
        <w:t>differences in how data are reported</w:t>
      </w:r>
      <w:r w:rsidR="000276ED" w:rsidRPr="009567BC">
        <w:t xml:space="preserve"> or</w:t>
      </w:r>
      <w:r w:rsidR="00923353" w:rsidRPr="009567BC">
        <w:t xml:space="preserve"> </w:t>
      </w:r>
      <w:r w:rsidR="008E5E7F" w:rsidRPr="009567BC">
        <w:t xml:space="preserve">differences in institutional processes, then </w:t>
      </w:r>
      <w:r w:rsidR="006144A8" w:rsidRPr="009567BC">
        <w:t xml:space="preserve">this would almost certainly be </w:t>
      </w:r>
      <w:r w:rsidR="004E6885" w:rsidRPr="009567BC">
        <w:t>unbeneficial to wider efforts to support students with disabilit</w:t>
      </w:r>
      <w:r w:rsidR="000276ED" w:rsidRPr="009567BC">
        <w:t>y</w:t>
      </w:r>
      <w:r w:rsidR="004E6885" w:rsidRPr="009567BC">
        <w:t xml:space="preserve">. </w:t>
      </w:r>
    </w:p>
    <w:p w14:paraId="3A7563A2" w14:textId="09717CA8" w:rsidR="00C23CA3" w:rsidRPr="007B13AD" w:rsidRDefault="00C23CA3">
      <w:pPr>
        <w:rPr>
          <w:i/>
        </w:rPr>
      </w:pPr>
      <w:bookmarkStart w:id="10" w:name="_Ref165448439"/>
      <w:r w:rsidRPr="007B13AD">
        <w:br w:type="page"/>
      </w:r>
    </w:p>
    <w:p w14:paraId="22C38D84" w14:textId="46488565" w:rsidR="005677B9" w:rsidRPr="00682267" w:rsidRDefault="00FB534A" w:rsidP="00682267">
      <w:pPr>
        <w:pStyle w:val="CaptionedFigure"/>
        <w:rPr>
          <w:i/>
          <w:iCs/>
          <w:sz w:val="18"/>
          <w:szCs w:val="18"/>
        </w:rPr>
      </w:pPr>
      <w:r w:rsidRPr="00EC2E92">
        <w:rPr>
          <w:i/>
          <w:iCs/>
          <w:sz w:val="18"/>
          <w:szCs w:val="18"/>
        </w:rPr>
        <w:lastRenderedPageBreak/>
        <w:t xml:space="preserve">Figure </w:t>
      </w:r>
      <w:r w:rsidR="005A3FA3">
        <w:rPr>
          <w:i/>
          <w:iCs/>
          <w:sz w:val="18"/>
          <w:szCs w:val="18"/>
        </w:rPr>
        <w:t>3</w:t>
      </w:r>
      <w:r w:rsidRPr="00EC2E92">
        <w:rPr>
          <w:i/>
          <w:iCs/>
          <w:sz w:val="18"/>
          <w:szCs w:val="18"/>
        </w:rPr>
        <w:t>: Percentage of students with each disability type in 202</w:t>
      </w:r>
      <w:r w:rsidR="00274A1B">
        <w:rPr>
          <w:i/>
          <w:iCs/>
          <w:sz w:val="18"/>
          <w:szCs w:val="18"/>
        </w:rPr>
        <w:t>3</w:t>
      </w:r>
      <w:r w:rsidRPr="00EC2E92">
        <w:rPr>
          <w:i/>
          <w:iCs/>
          <w:sz w:val="18"/>
          <w:szCs w:val="18"/>
        </w:rPr>
        <w:t xml:space="preserve">, showing institutional spread. Dots represent individual institutions, while the black line represents the weighted average percentage of students with each disability type across all institutions. The weighted </w:t>
      </w:r>
      <w:r w:rsidR="004874C4" w:rsidRPr="00EC2E92">
        <w:rPr>
          <w:i/>
          <w:iCs/>
          <w:sz w:val="18"/>
          <w:szCs w:val="18"/>
        </w:rPr>
        <w:t>incorporates</w:t>
      </w:r>
      <w:r w:rsidRPr="00EC2E92">
        <w:rPr>
          <w:i/>
          <w:iCs/>
          <w:sz w:val="18"/>
          <w:szCs w:val="18"/>
        </w:rPr>
        <w:t xml:space="preserve"> institution size, meaning that the percentage from a larger institution contributes more to the weighted average than that from a smaller institution.</w:t>
      </w:r>
      <w:bookmarkEnd w:id="10"/>
      <w:r w:rsidR="00274A1B">
        <w:rPr>
          <w:i/>
          <w:iCs/>
          <w:sz w:val="18"/>
          <w:szCs w:val="18"/>
        </w:rPr>
        <w:t xml:space="preserve"> Disability categories are ordered by prevalence in 2022, to allow for comparison. </w:t>
      </w:r>
      <w:bookmarkStart w:id="11" w:name="fig:fig3"/>
      <w:bookmarkEnd w:id="11"/>
    </w:p>
    <w:p w14:paraId="4586E56E" w14:textId="0DFA469A" w:rsidR="00ED53E7" w:rsidRPr="00D305B7" w:rsidRDefault="00AB4A81" w:rsidP="00D305B7">
      <w:pPr>
        <w:jc w:val="center"/>
      </w:pPr>
      <w:r>
        <w:rPr>
          <w:noProof/>
        </w:rPr>
        <w:drawing>
          <wp:inline distT="0" distB="0" distL="0" distR="0" wp14:anchorId="4080ED66" wp14:editId="5501EF5C">
            <wp:extent cx="8472039" cy="3388815"/>
            <wp:effectExtent l="0" t="0" r="5715" b="2540"/>
            <wp:docPr id="2070615545" name="Picture 1" descr="Scatter graph showing percentage of students with each disability type in 2023, showing institutional spread. Dots represent individual institutions, while the black line represents the weighted average percentage of students with each disability type across all institutions. The weighted incorporates institution size, meaning that the percentage from a larger institution contributes more to the weighted average than that from a smaller institution. Disability categories are ordered by prevalence in 2022, to allow for compari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15545" name="Picture 1" descr="Scatter graph showing percentage of students with each disability type in 2023, showing institutional spread. Dots represent individual institutions, while the black line represents the weighted average percentage of students with each disability type across all institutions. The weighted incorporates institution size, meaning that the percentage from a larger institution contributes more to the weighted average than that from a smaller institution. Disability categories are ordered by prevalence in 2022, to allow for compariso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2039" cy="3388815"/>
                    </a:xfrm>
                    <a:prstGeom prst="rect">
                      <a:avLst/>
                    </a:prstGeom>
                  </pic:spPr>
                </pic:pic>
              </a:graphicData>
            </a:graphic>
          </wp:inline>
        </w:drawing>
      </w:r>
      <w:r w:rsidR="005677B9" w:rsidRPr="007B13AD">
        <w:br w:type="page"/>
      </w:r>
      <w:bookmarkStart w:id="12" w:name="assumptions-caveats"/>
      <w:bookmarkEnd w:id="9"/>
    </w:p>
    <w:p w14:paraId="3DBC1EE2" w14:textId="47F9643A" w:rsidR="00BA71B3" w:rsidRDefault="00BA71B3" w:rsidP="00ED53E7">
      <w:pPr>
        <w:pStyle w:val="Heading1"/>
      </w:pPr>
      <w:r w:rsidRPr="007B13AD">
        <w:lastRenderedPageBreak/>
        <w:t>Appendix</w:t>
      </w:r>
    </w:p>
    <w:bookmarkEnd w:id="2"/>
    <w:bookmarkEnd w:id="5"/>
    <w:bookmarkEnd w:id="12"/>
    <w:p w14:paraId="51C110A7" w14:textId="37A60CE2" w:rsidR="003C10E3" w:rsidRPr="007B13AD" w:rsidRDefault="006226B8" w:rsidP="00290D8E">
      <w:pPr>
        <w:pStyle w:val="Heading2"/>
        <w:numPr>
          <w:ilvl w:val="0"/>
          <w:numId w:val="0"/>
        </w:numPr>
      </w:pPr>
      <w:r w:rsidRPr="007B13AD">
        <w:t>Institutional groupings</w:t>
      </w:r>
    </w:p>
    <w:p w14:paraId="17C63138" w14:textId="6EB4FF4A" w:rsidR="00BA71B3" w:rsidRPr="007B13AD" w:rsidRDefault="00BA71B3" w:rsidP="00BA71B3">
      <w:r w:rsidRPr="007B13AD">
        <w:t>Australian Technology Network (ATN):  The University of Newcastle, University of Technology Sydney, University of South Australia, Deakin University, RMIT University, Curtin University</w:t>
      </w:r>
      <w:r w:rsidR="004F69DE">
        <w:t>.</w:t>
      </w:r>
      <w:r w:rsidRPr="007B13AD">
        <w:t xml:space="preserve">                     </w:t>
      </w:r>
    </w:p>
    <w:p w14:paraId="5F79F6C9" w14:textId="5CA115A4" w:rsidR="00BA71B3" w:rsidRPr="007B13AD" w:rsidRDefault="00BA71B3" w:rsidP="00BA71B3">
      <w:r w:rsidRPr="007B13AD">
        <w:t xml:space="preserve">Group of </w:t>
      </w:r>
      <w:r w:rsidR="00B62785">
        <w:t>Eight</w:t>
      </w:r>
      <w:r w:rsidRPr="007B13AD">
        <w:t xml:space="preserve"> (Go8):  The Australian National University, University of New South Wales, The University of Sydney, The University of Queensland, The University of Adelaide, Monash University, The University of Melbourne, The University of Western Australia</w:t>
      </w:r>
      <w:r w:rsidR="004F69DE">
        <w:t>.</w:t>
      </w:r>
      <w:r w:rsidRPr="007B13AD">
        <w:t xml:space="preserve">   </w:t>
      </w:r>
    </w:p>
    <w:p w14:paraId="01976655" w14:textId="5C8BF6C2" w:rsidR="00BA71B3" w:rsidRPr="007B13AD" w:rsidRDefault="00BA71B3" w:rsidP="00BA71B3">
      <w:r w:rsidRPr="007B13AD">
        <w:t>Innovative Research Universities (IRU): University of Canberra, Western Sydney University, James Cook University,</w:t>
      </w:r>
      <w:r w:rsidR="00F903D4" w:rsidRPr="007B13AD">
        <w:t xml:space="preserve"> </w:t>
      </w:r>
      <w:r w:rsidRPr="007B13AD">
        <w:t>Griffith University, Flinders University, La Trobe University, Murdoch University</w:t>
      </w:r>
      <w:r w:rsidR="004F69DE">
        <w:t>.</w:t>
      </w:r>
      <w:r w:rsidRPr="007B13AD">
        <w:t xml:space="preserve"> </w:t>
      </w:r>
    </w:p>
    <w:p w14:paraId="3B0DEF9D" w14:textId="08AD9643" w:rsidR="006226B8" w:rsidRPr="007B13AD" w:rsidRDefault="00BA71B3" w:rsidP="00BA71B3">
      <w:r w:rsidRPr="007B13AD">
        <w:t>Regional Universities Network</w:t>
      </w:r>
      <w:r w:rsidR="008C4B1F" w:rsidRPr="007B13AD">
        <w:t xml:space="preserve"> (RUN): </w:t>
      </w:r>
      <w:r w:rsidRPr="007B13AD">
        <w:t>Charles Sturt University</w:t>
      </w:r>
      <w:r w:rsidR="008C4B1F" w:rsidRPr="007B13AD">
        <w:t xml:space="preserve">, </w:t>
      </w:r>
      <w:r w:rsidRPr="007B13AD">
        <w:t>Southern Cross University</w:t>
      </w:r>
      <w:r w:rsidR="008C4B1F" w:rsidRPr="007B13AD">
        <w:t xml:space="preserve">, </w:t>
      </w:r>
      <w:r w:rsidRPr="007B13AD">
        <w:t>The University of New England</w:t>
      </w:r>
      <w:r w:rsidR="008C4B1F" w:rsidRPr="007B13AD">
        <w:t>,</w:t>
      </w:r>
      <w:r w:rsidRPr="007B13AD">
        <w:t xml:space="preserve"> CQ</w:t>
      </w:r>
      <w:r w:rsidR="00124E38">
        <w:t xml:space="preserve"> </w:t>
      </w:r>
      <w:r w:rsidRPr="007B13AD">
        <w:t>University</w:t>
      </w:r>
      <w:r w:rsidR="008C4B1F" w:rsidRPr="007B13AD">
        <w:t xml:space="preserve">, </w:t>
      </w:r>
      <w:r w:rsidRPr="007B13AD">
        <w:t>University of Southern Queensland</w:t>
      </w:r>
      <w:r w:rsidR="008C4B1F" w:rsidRPr="007B13AD">
        <w:t>,</w:t>
      </w:r>
      <w:r w:rsidRPr="007B13AD">
        <w:t xml:space="preserve"> University of the Sunshine Coast</w:t>
      </w:r>
      <w:r w:rsidR="008C4B1F" w:rsidRPr="007B13AD">
        <w:t>,</w:t>
      </w:r>
      <w:r w:rsidRPr="007B13AD">
        <w:t xml:space="preserve"> Federation University Australia</w:t>
      </w:r>
      <w:r w:rsidR="004F69DE">
        <w:t>.</w:t>
      </w:r>
    </w:p>
    <w:p w14:paraId="0A05E09C" w14:textId="38C364ED" w:rsidR="008C4B1F" w:rsidRDefault="00AD2A67" w:rsidP="00BA71B3">
      <w:r>
        <w:t>Non-</w:t>
      </w:r>
      <w:r w:rsidR="008C4B1F">
        <w:t xml:space="preserve">aligned:  Australian Catholic University, University of Wollongong, Macquarie University, </w:t>
      </w:r>
      <w:r w:rsidR="00F903D4">
        <w:t>C</w:t>
      </w:r>
      <w:r w:rsidR="008C4B1F">
        <w:t xml:space="preserve">harles Darwin University, Queensland University of Technology, University of Tasmania, Swinburne University of Technology, Victoria University, Edith Cowan University, The University of Notre Dame Australia. </w:t>
      </w:r>
    </w:p>
    <w:sectPr w:rsidR="008C4B1F" w:rsidSect="00810BE5">
      <w:footerReference w:type="default" r:id="rId12"/>
      <w:footerReference w:type="first" r:id="rId13"/>
      <w:pgSz w:w="15840" w:h="12240" w:orient="landscape"/>
      <w:pgMar w:top="1247" w:right="1440" w:bottom="1247" w:left="1440" w:header="720" w:footer="39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753B" w14:textId="77777777" w:rsidR="00D73283" w:rsidRPr="007B13AD" w:rsidRDefault="00D73283">
      <w:pPr>
        <w:spacing w:after="0"/>
      </w:pPr>
      <w:r w:rsidRPr="007B13AD">
        <w:separator/>
      </w:r>
    </w:p>
  </w:endnote>
  <w:endnote w:type="continuationSeparator" w:id="0">
    <w:p w14:paraId="56E2E5D9" w14:textId="77777777" w:rsidR="00D73283" w:rsidRPr="007B13AD" w:rsidRDefault="00D73283">
      <w:pPr>
        <w:spacing w:after="0"/>
      </w:pPr>
      <w:r w:rsidRPr="007B13AD">
        <w:continuationSeparator/>
      </w:r>
    </w:p>
  </w:endnote>
  <w:endnote w:type="continuationNotice" w:id="1">
    <w:p w14:paraId="4DB280CF" w14:textId="77777777" w:rsidR="00D73283" w:rsidRPr="007B13AD" w:rsidRDefault="00D732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ter">
    <w:altName w:val="Calibri"/>
    <w:charset w:val="00"/>
    <w:family w:val="auto"/>
    <w:pitch w:val="variable"/>
    <w:sig w:usb0="E00002FF" w:usb1="1200A1FF" w:usb2="00000001" w:usb3="00000000" w:csb0="0000019F" w:csb1="00000000"/>
  </w:font>
  <w:font w:name="Inter Medium">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62965"/>
      <w:docPartObj>
        <w:docPartGallery w:val="Page Numbers (Bottom of Page)"/>
        <w:docPartUnique/>
      </w:docPartObj>
    </w:sdtPr>
    <w:sdtEndPr>
      <w:rPr>
        <w:noProof/>
      </w:rPr>
    </w:sdtEndPr>
    <w:sdtContent>
      <w:p w14:paraId="6BE01FCD" w14:textId="189D70A3" w:rsidR="00272ED1" w:rsidRDefault="00272ED1">
        <w:pPr>
          <w:pStyle w:val="Footer"/>
          <w:jc w:val="center"/>
        </w:pPr>
        <w:r w:rsidRPr="00810BE5">
          <w:rPr>
            <w:sz w:val="18"/>
            <w:szCs w:val="18"/>
          </w:rPr>
          <w:fldChar w:fldCharType="begin"/>
        </w:r>
        <w:r w:rsidRPr="00810BE5">
          <w:rPr>
            <w:sz w:val="18"/>
            <w:szCs w:val="18"/>
          </w:rPr>
          <w:instrText xml:space="preserve"> PAGE   \* MERGEFORMAT </w:instrText>
        </w:r>
        <w:r w:rsidRPr="00810BE5">
          <w:rPr>
            <w:sz w:val="18"/>
            <w:szCs w:val="18"/>
          </w:rPr>
          <w:fldChar w:fldCharType="separate"/>
        </w:r>
        <w:r w:rsidRPr="00810BE5">
          <w:rPr>
            <w:noProof/>
            <w:sz w:val="18"/>
            <w:szCs w:val="18"/>
          </w:rPr>
          <w:t>2</w:t>
        </w:r>
        <w:r w:rsidRPr="00810BE5">
          <w:rPr>
            <w:noProof/>
            <w:sz w:val="18"/>
            <w:szCs w:val="18"/>
          </w:rPr>
          <w:fldChar w:fldCharType="end"/>
        </w:r>
      </w:p>
    </w:sdtContent>
  </w:sdt>
  <w:p w14:paraId="51E46BFF" w14:textId="77777777" w:rsidR="007861BE" w:rsidRPr="007B13AD" w:rsidRDefault="00786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045E" w14:textId="7E1BD2D2" w:rsidR="00777489" w:rsidRDefault="00777489" w:rsidP="00777489">
    <w:pPr>
      <w:pStyle w:val="Footer"/>
      <w:ind w:right="-507"/>
      <w:jc w:val="right"/>
    </w:pPr>
    <w:r>
      <w:rPr>
        <w:noProof/>
      </w:rPr>
      <w:drawing>
        <wp:inline distT="0" distB="0" distL="0" distR="0" wp14:anchorId="0C73C39E" wp14:editId="41749717">
          <wp:extent cx="5315578" cy="492593"/>
          <wp:effectExtent l="0" t="0" r="0" b="3175"/>
          <wp:docPr id="2003017752" name="Picture 1" descr="Standard co-branded logo for ACSES and Curt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17752" name="Picture 1" descr="Standard co-branded logo for ACSES and Curtin University"/>
                  <pic:cNvPicPr/>
                </pic:nvPicPr>
                <pic:blipFill>
                  <a:blip r:embed="rId1">
                    <a:extLst>
                      <a:ext uri="{28A0092B-C50C-407E-A947-70E740481C1C}">
                        <a14:useLocalDpi xmlns:a14="http://schemas.microsoft.com/office/drawing/2010/main" val="0"/>
                      </a:ext>
                    </a:extLst>
                  </a:blip>
                  <a:stretch>
                    <a:fillRect/>
                  </a:stretch>
                </pic:blipFill>
                <pic:spPr>
                  <a:xfrm>
                    <a:off x="0" y="0"/>
                    <a:ext cx="5434414" cy="503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BFC3" w14:textId="77777777" w:rsidR="00D73283" w:rsidRPr="007B13AD" w:rsidRDefault="00D73283">
      <w:r w:rsidRPr="007B13AD">
        <w:separator/>
      </w:r>
    </w:p>
  </w:footnote>
  <w:footnote w:type="continuationSeparator" w:id="0">
    <w:p w14:paraId="2C7DC214" w14:textId="77777777" w:rsidR="00D73283" w:rsidRPr="007B13AD" w:rsidRDefault="00D73283">
      <w:r w:rsidRPr="007B13AD">
        <w:continuationSeparator/>
      </w:r>
    </w:p>
  </w:footnote>
  <w:footnote w:type="continuationNotice" w:id="1">
    <w:p w14:paraId="4B962BCC" w14:textId="77777777" w:rsidR="00D73283" w:rsidRPr="007B13AD" w:rsidRDefault="00D73283">
      <w:pPr>
        <w:spacing w:after="0"/>
      </w:pPr>
    </w:p>
  </w:footnote>
  <w:footnote w:id="2">
    <w:p w14:paraId="4177CFAF" w14:textId="5A17D50C" w:rsidR="005F30A0" w:rsidRPr="005F30A0" w:rsidRDefault="005F30A0" w:rsidP="005F30A0">
      <w:pPr>
        <w:pStyle w:val="FootnoteText"/>
        <w:rPr>
          <w:lang w:val="en-AU"/>
        </w:rPr>
      </w:pPr>
      <w:r w:rsidRPr="002F7599">
        <w:rPr>
          <w:rStyle w:val="FootnoteReference"/>
          <w:i w:val="0"/>
          <w:iCs w:val="0"/>
        </w:rPr>
        <w:footnoteRef/>
      </w:r>
      <w:r w:rsidRPr="002F7599">
        <w:rPr>
          <w:i/>
          <w:iCs/>
        </w:rPr>
        <w:t xml:space="preserve"> </w:t>
      </w:r>
      <w:r w:rsidRPr="007B13AD">
        <w:rPr>
          <w:rFonts w:cs="Calibri"/>
          <w:szCs w:val="20"/>
        </w:rPr>
        <w:t xml:space="preserve">Cadby, G., Pitman, T., &amp; Koshy, P. (2024). </w:t>
      </w:r>
      <w:r>
        <w:rPr>
          <w:rFonts w:cs="Calibri"/>
          <w:i/>
          <w:iCs/>
          <w:szCs w:val="20"/>
        </w:rPr>
        <w:t xml:space="preserve">Students </w:t>
      </w:r>
      <w:r w:rsidRPr="007B13AD">
        <w:rPr>
          <w:rFonts w:cs="Calibri"/>
          <w:i/>
          <w:szCs w:val="20"/>
        </w:rPr>
        <w:t xml:space="preserve">with disability in Australian higher education: </w:t>
      </w:r>
      <w:r>
        <w:rPr>
          <w:rFonts w:cs="Calibri"/>
          <w:i/>
          <w:szCs w:val="20"/>
        </w:rPr>
        <w:t>an overview</w:t>
      </w:r>
      <w:r w:rsidRPr="007B13AD">
        <w:rPr>
          <w:rFonts w:cs="Calibri"/>
          <w:szCs w:val="20"/>
        </w:rPr>
        <w:t>. Australian Centre for Student Equity and Success (ACSES), Perth: Curtin University.</w:t>
      </w:r>
      <w:r>
        <w:rPr>
          <w:rFonts w:cs="Calibri"/>
          <w:szCs w:val="20"/>
        </w:rPr>
        <w:t xml:space="preserve"> Available at: </w:t>
      </w:r>
      <w:r w:rsidRPr="005F30A0">
        <w:rPr>
          <w:rFonts w:cs="Calibri"/>
          <w:szCs w:val="20"/>
        </w:rPr>
        <w:t>https://www.acses.edu.au/publication/data-insights-students-with-disability/</w:t>
      </w:r>
    </w:p>
  </w:footnote>
  <w:footnote w:id="3">
    <w:p w14:paraId="4C1EAA89" w14:textId="3C0F91B4" w:rsidR="009567BC" w:rsidRPr="009567BC" w:rsidRDefault="009567BC" w:rsidP="009567BC">
      <w:pPr>
        <w:ind w:left="426" w:hanging="426"/>
        <w:rPr>
          <w:rStyle w:val="Hyperlink"/>
          <w:rFonts w:cs="Arial"/>
          <w:i/>
          <w:sz w:val="20"/>
          <w:szCs w:val="20"/>
        </w:rPr>
      </w:pPr>
      <w:r w:rsidRPr="002F7599">
        <w:rPr>
          <w:rStyle w:val="FootnoteReference"/>
          <w:i w:val="0"/>
          <w:iCs w:val="0"/>
          <w:sz w:val="20"/>
          <w:szCs w:val="20"/>
        </w:rPr>
        <w:footnoteRef/>
      </w:r>
      <w:r w:rsidRPr="009567BC">
        <w:rPr>
          <w:sz w:val="20"/>
          <w:szCs w:val="20"/>
        </w:rPr>
        <w:t xml:space="preserve"> </w:t>
      </w:r>
      <w:r w:rsidRPr="009567BC">
        <w:rPr>
          <w:rStyle w:val="Emphasis"/>
          <w:rFonts w:cs="Arial"/>
          <w:i w:val="0"/>
          <w:iCs w:val="0"/>
          <w:sz w:val="20"/>
          <w:szCs w:val="20"/>
        </w:rPr>
        <w:t>Australian Government Department of Education (2024a). Equity Group Statistics, Private Request (</w:t>
      </w:r>
      <w:r w:rsidR="00A767BF">
        <w:rPr>
          <w:rStyle w:val="Emphasis"/>
          <w:rFonts w:cs="Arial"/>
          <w:i w:val="0"/>
          <w:iCs w:val="0"/>
          <w:sz w:val="20"/>
          <w:szCs w:val="20"/>
        </w:rPr>
        <w:t>October</w:t>
      </w:r>
      <w:r w:rsidRPr="009567BC">
        <w:rPr>
          <w:rStyle w:val="Emphasis"/>
          <w:rFonts w:cs="Arial"/>
          <w:i w:val="0"/>
          <w:iCs w:val="0"/>
          <w:sz w:val="20"/>
          <w:szCs w:val="20"/>
        </w:rPr>
        <w:t xml:space="preserve"> 2024). Canberra: Department of Education.  </w:t>
      </w:r>
    </w:p>
    <w:p w14:paraId="29B0B364" w14:textId="4F812089" w:rsidR="009567BC" w:rsidRPr="009567BC" w:rsidRDefault="009567BC">
      <w:pPr>
        <w:pStyle w:val="FootnoteText"/>
        <w:rPr>
          <w:lang w:val="en-A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D4044D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8422FD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46E894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55E1B69"/>
    <w:multiLevelType w:val="hybridMultilevel"/>
    <w:tmpl w:val="4202C21A"/>
    <w:lvl w:ilvl="0" w:tplc="1144C7E8">
      <w:start w:val="1"/>
      <w:numFmt w:val="bullet"/>
      <w:pStyle w:val="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74DB2"/>
    <w:multiLevelType w:val="hybridMultilevel"/>
    <w:tmpl w:val="C1A68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4016AC"/>
    <w:multiLevelType w:val="hybridMultilevel"/>
    <w:tmpl w:val="0C14B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5F50B7"/>
    <w:multiLevelType w:val="multilevel"/>
    <w:tmpl w:val="8B8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F2917"/>
    <w:multiLevelType w:val="hybridMultilevel"/>
    <w:tmpl w:val="C4A8E418"/>
    <w:lvl w:ilvl="0" w:tplc="043A6248">
      <w:numFmt w:val="bullet"/>
      <w:lvlText w:val="•"/>
      <w:lvlJc w:val="left"/>
      <w:pPr>
        <w:ind w:left="1080" w:hanging="72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916575"/>
    <w:multiLevelType w:val="hybridMultilevel"/>
    <w:tmpl w:val="C99E50A6"/>
    <w:lvl w:ilvl="0" w:tplc="0C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EA3DF4"/>
    <w:multiLevelType w:val="hybridMultilevel"/>
    <w:tmpl w:val="DA92A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6F23AB"/>
    <w:multiLevelType w:val="multilevel"/>
    <w:tmpl w:val="E1B478FA"/>
    <w:lvl w:ilvl="0">
      <w:start w:val="1"/>
      <w:numFmt w:val="decimal"/>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3AFB6D3C"/>
    <w:multiLevelType w:val="hybridMultilevel"/>
    <w:tmpl w:val="D6F885E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3206E4F"/>
    <w:multiLevelType w:val="hybridMultilevel"/>
    <w:tmpl w:val="258E3E1C"/>
    <w:lvl w:ilvl="0" w:tplc="1D548290">
      <w:start w:val="1"/>
      <w:numFmt w:val="bullet"/>
      <w:lvlText w:val=""/>
      <w:lvlJc w:val="left"/>
      <w:pPr>
        <w:ind w:left="1420" w:hanging="360"/>
      </w:pPr>
      <w:rPr>
        <w:rFonts w:ascii="Symbol" w:hAnsi="Symbol"/>
      </w:rPr>
    </w:lvl>
    <w:lvl w:ilvl="1" w:tplc="55806358">
      <w:start w:val="1"/>
      <w:numFmt w:val="bullet"/>
      <w:lvlText w:val=""/>
      <w:lvlJc w:val="left"/>
      <w:pPr>
        <w:ind w:left="1420" w:hanging="360"/>
      </w:pPr>
      <w:rPr>
        <w:rFonts w:ascii="Symbol" w:hAnsi="Symbol"/>
      </w:rPr>
    </w:lvl>
    <w:lvl w:ilvl="2" w:tplc="93CA56EA">
      <w:start w:val="1"/>
      <w:numFmt w:val="bullet"/>
      <w:lvlText w:val=""/>
      <w:lvlJc w:val="left"/>
      <w:pPr>
        <w:ind w:left="1420" w:hanging="360"/>
      </w:pPr>
      <w:rPr>
        <w:rFonts w:ascii="Symbol" w:hAnsi="Symbol"/>
      </w:rPr>
    </w:lvl>
    <w:lvl w:ilvl="3" w:tplc="BE72C98E">
      <w:start w:val="1"/>
      <w:numFmt w:val="bullet"/>
      <w:lvlText w:val=""/>
      <w:lvlJc w:val="left"/>
      <w:pPr>
        <w:ind w:left="1420" w:hanging="360"/>
      </w:pPr>
      <w:rPr>
        <w:rFonts w:ascii="Symbol" w:hAnsi="Symbol"/>
      </w:rPr>
    </w:lvl>
    <w:lvl w:ilvl="4" w:tplc="DF58BE40">
      <w:start w:val="1"/>
      <w:numFmt w:val="bullet"/>
      <w:lvlText w:val=""/>
      <w:lvlJc w:val="left"/>
      <w:pPr>
        <w:ind w:left="1420" w:hanging="360"/>
      </w:pPr>
      <w:rPr>
        <w:rFonts w:ascii="Symbol" w:hAnsi="Symbol"/>
      </w:rPr>
    </w:lvl>
    <w:lvl w:ilvl="5" w:tplc="47BEB132">
      <w:start w:val="1"/>
      <w:numFmt w:val="bullet"/>
      <w:lvlText w:val=""/>
      <w:lvlJc w:val="left"/>
      <w:pPr>
        <w:ind w:left="1420" w:hanging="360"/>
      </w:pPr>
      <w:rPr>
        <w:rFonts w:ascii="Symbol" w:hAnsi="Symbol"/>
      </w:rPr>
    </w:lvl>
    <w:lvl w:ilvl="6" w:tplc="60D43EA0">
      <w:start w:val="1"/>
      <w:numFmt w:val="bullet"/>
      <w:lvlText w:val=""/>
      <w:lvlJc w:val="left"/>
      <w:pPr>
        <w:ind w:left="1420" w:hanging="360"/>
      </w:pPr>
      <w:rPr>
        <w:rFonts w:ascii="Symbol" w:hAnsi="Symbol"/>
      </w:rPr>
    </w:lvl>
    <w:lvl w:ilvl="7" w:tplc="DC8EACAC">
      <w:start w:val="1"/>
      <w:numFmt w:val="bullet"/>
      <w:lvlText w:val=""/>
      <w:lvlJc w:val="left"/>
      <w:pPr>
        <w:ind w:left="1420" w:hanging="360"/>
      </w:pPr>
      <w:rPr>
        <w:rFonts w:ascii="Symbol" w:hAnsi="Symbol"/>
      </w:rPr>
    </w:lvl>
    <w:lvl w:ilvl="8" w:tplc="F516D00E">
      <w:start w:val="1"/>
      <w:numFmt w:val="bullet"/>
      <w:lvlText w:val=""/>
      <w:lvlJc w:val="left"/>
      <w:pPr>
        <w:ind w:left="1420" w:hanging="360"/>
      </w:pPr>
      <w:rPr>
        <w:rFonts w:ascii="Symbol" w:hAnsi="Symbol"/>
      </w:rPr>
    </w:lvl>
  </w:abstractNum>
  <w:abstractNum w:abstractNumId="13" w15:restartNumberingAfterBreak="0">
    <w:nsid w:val="486D3934"/>
    <w:multiLevelType w:val="hybridMultilevel"/>
    <w:tmpl w:val="63AC4ADE"/>
    <w:lvl w:ilvl="0" w:tplc="BA04D068">
      <w:start w:val="1"/>
      <w:numFmt w:val="bullet"/>
      <w:lvlText w:val=""/>
      <w:lvlJc w:val="left"/>
      <w:pPr>
        <w:ind w:left="1420" w:hanging="360"/>
      </w:pPr>
      <w:rPr>
        <w:rFonts w:ascii="Symbol" w:hAnsi="Symbol"/>
      </w:rPr>
    </w:lvl>
    <w:lvl w:ilvl="1" w:tplc="D3B6849E">
      <w:start w:val="1"/>
      <w:numFmt w:val="bullet"/>
      <w:lvlText w:val=""/>
      <w:lvlJc w:val="left"/>
      <w:pPr>
        <w:ind w:left="1420" w:hanging="360"/>
      </w:pPr>
      <w:rPr>
        <w:rFonts w:ascii="Symbol" w:hAnsi="Symbol"/>
      </w:rPr>
    </w:lvl>
    <w:lvl w:ilvl="2" w:tplc="35E87556">
      <w:start w:val="1"/>
      <w:numFmt w:val="bullet"/>
      <w:lvlText w:val=""/>
      <w:lvlJc w:val="left"/>
      <w:pPr>
        <w:ind w:left="1420" w:hanging="360"/>
      </w:pPr>
      <w:rPr>
        <w:rFonts w:ascii="Symbol" w:hAnsi="Symbol"/>
      </w:rPr>
    </w:lvl>
    <w:lvl w:ilvl="3" w:tplc="FAC01B66">
      <w:start w:val="1"/>
      <w:numFmt w:val="bullet"/>
      <w:lvlText w:val=""/>
      <w:lvlJc w:val="left"/>
      <w:pPr>
        <w:ind w:left="1420" w:hanging="360"/>
      </w:pPr>
      <w:rPr>
        <w:rFonts w:ascii="Symbol" w:hAnsi="Symbol"/>
      </w:rPr>
    </w:lvl>
    <w:lvl w:ilvl="4" w:tplc="84B6B5BE">
      <w:start w:val="1"/>
      <w:numFmt w:val="bullet"/>
      <w:lvlText w:val=""/>
      <w:lvlJc w:val="left"/>
      <w:pPr>
        <w:ind w:left="1420" w:hanging="360"/>
      </w:pPr>
      <w:rPr>
        <w:rFonts w:ascii="Symbol" w:hAnsi="Symbol"/>
      </w:rPr>
    </w:lvl>
    <w:lvl w:ilvl="5" w:tplc="F0822B8C">
      <w:start w:val="1"/>
      <w:numFmt w:val="bullet"/>
      <w:lvlText w:val=""/>
      <w:lvlJc w:val="left"/>
      <w:pPr>
        <w:ind w:left="1420" w:hanging="360"/>
      </w:pPr>
      <w:rPr>
        <w:rFonts w:ascii="Symbol" w:hAnsi="Symbol"/>
      </w:rPr>
    </w:lvl>
    <w:lvl w:ilvl="6" w:tplc="02C45A0C">
      <w:start w:val="1"/>
      <w:numFmt w:val="bullet"/>
      <w:lvlText w:val=""/>
      <w:lvlJc w:val="left"/>
      <w:pPr>
        <w:ind w:left="1420" w:hanging="360"/>
      </w:pPr>
      <w:rPr>
        <w:rFonts w:ascii="Symbol" w:hAnsi="Symbol"/>
      </w:rPr>
    </w:lvl>
    <w:lvl w:ilvl="7" w:tplc="EBF81EC0">
      <w:start w:val="1"/>
      <w:numFmt w:val="bullet"/>
      <w:lvlText w:val=""/>
      <w:lvlJc w:val="left"/>
      <w:pPr>
        <w:ind w:left="1420" w:hanging="360"/>
      </w:pPr>
      <w:rPr>
        <w:rFonts w:ascii="Symbol" w:hAnsi="Symbol"/>
      </w:rPr>
    </w:lvl>
    <w:lvl w:ilvl="8" w:tplc="0CEE4A94">
      <w:start w:val="1"/>
      <w:numFmt w:val="bullet"/>
      <w:lvlText w:val=""/>
      <w:lvlJc w:val="left"/>
      <w:pPr>
        <w:ind w:left="1420" w:hanging="360"/>
      </w:pPr>
      <w:rPr>
        <w:rFonts w:ascii="Symbol" w:hAnsi="Symbol"/>
      </w:rPr>
    </w:lvl>
  </w:abstractNum>
  <w:abstractNum w:abstractNumId="14" w15:restartNumberingAfterBreak="0">
    <w:nsid w:val="4C6801CA"/>
    <w:multiLevelType w:val="hybridMultilevel"/>
    <w:tmpl w:val="A984D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522E45"/>
    <w:multiLevelType w:val="hybridMultilevel"/>
    <w:tmpl w:val="227E9FD6"/>
    <w:lvl w:ilvl="0" w:tplc="7616B0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F0586"/>
    <w:multiLevelType w:val="hybridMultilevel"/>
    <w:tmpl w:val="3508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7F3A3A"/>
    <w:multiLevelType w:val="hybridMultilevel"/>
    <w:tmpl w:val="FF8E7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4C2EBF"/>
    <w:multiLevelType w:val="hybridMultilevel"/>
    <w:tmpl w:val="12A22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3E7F36"/>
    <w:multiLevelType w:val="hybridMultilevel"/>
    <w:tmpl w:val="0344B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9045F9"/>
    <w:multiLevelType w:val="hybridMultilevel"/>
    <w:tmpl w:val="19A04E32"/>
    <w:lvl w:ilvl="0" w:tplc="1A3CEA1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num w:numId="1" w16cid:durableId="55252638">
    <w:abstractNumId w:val="0"/>
  </w:num>
  <w:num w:numId="2" w16cid:durableId="1710841495">
    <w:abstractNumId w:val="1"/>
  </w:num>
  <w:num w:numId="3" w16cid:durableId="1340735889">
    <w:abstractNumId w:val="1"/>
  </w:num>
  <w:num w:numId="4" w16cid:durableId="171533882">
    <w:abstractNumId w:val="1"/>
  </w:num>
  <w:num w:numId="5" w16cid:durableId="2033797358">
    <w:abstractNumId w:val="1"/>
  </w:num>
  <w:num w:numId="6" w16cid:durableId="632058624">
    <w:abstractNumId w:val="1"/>
  </w:num>
  <w:num w:numId="7" w16cid:durableId="912544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305528">
    <w:abstractNumId w:val="1"/>
  </w:num>
  <w:num w:numId="9" w16cid:durableId="1249457627">
    <w:abstractNumId w:val="14"/>
  </w:num>
  <w:num w:numId="10" w16cid:durableId="2126345196">
    <w:abstractNumId w:val="7"/>
  </w:num>
  <w:num w:numId="11" w16cid:durableId="36203635">
    <w:abstractNumId w:val="8"/>
  </w:num>
  <w:num w:numId="12" w16cid:durableId="700087570">
    <w:abstractNumId w:val="17"/>
  </w:num>
  <w:num w:numId="13" w16cid:durableId="541941647">
    <w:abstractNumId w:val="9"/>
  </w:num>
  <w:num w:numId="14" w16cid:durableId="1491215201">
    <w:abstractNumId w:val="4"/>
  </w:num>
  <w:num w:numId="15" w16cid:durableId="714156430">
    <w:abstractNumId w:val="16"/>
  </w:num>
  <w:num w:numId="16" w16cid:durableId="1997955740">
    <w:abstractNumId w:val="18"/>
  </w:num>
  <w:num w:numId="17" w16cid:durableId="1553808437">
    <w:abstractNumId w:val="6"/>
  </w:num>
  <w:num w:numId="18" w16cid:durableId="657265956">
    <w:abstractNumId w:val="15"/>
  </w:num>
  <w:num w:numId="19" w16cid:durableId="2057507938">
    <w:abstractNumId w:val="11"/>
  </w:num>
  <w:num w:numId="20" w16cid:durableId="1010376300">
    <w:abstractNumId w:val="13"/>
  </w:num>
  <w:num w:numId="21" w16cid:durableId="638655458">
    <w:abstractNumId w:val="12"/>
  </w:num>
  <w:num w:numId="22" w16cid:durableId="909923670">
    <w:abstractNumId w:val="5"/>
  </w:num>
  <w:num w:numId="23" w16cid:durableId="1617953714">
    <w:abstractNumId w:val="19"/>
  </w:num>
  <w:num w:numId="24" w16cid:durableId="582572621">
    <w:abstractNumId w:val="10"/>
  </w:num>
  <w:num w:numId="25" w16cid:durableId="1987514493">
    <w:abstractNumId w:val="10"/>
  </w:num>
  <w:num w:numId="26" w16cid:durableId="869073053">
    <w:abstractNumId w:val="10"/>
  </w:num>
  <w:num w:numId="27" w16cid:durableId="974141544">
    <w:abstractNumId w:val="10"/>
  </w:num>
  <w:num w:numId="28" w16cid:durableId="479271139">
    <w:abstractNumId w:val="10"/>
  </w:num>
  <w:num w:numId="29" w16cid:durableId="1608196585">
    <w:abstractNumId w:val="10"/>
  </w:num>
  <w:num w:numId="30" w16cid:durableId="350761662">
    <w:abstractNumId w:val="10"/>
  </w:num>
  <w:num w:numId="31" w16cid:durableId="1816412324">
    <w:abstractNumId w:val="10"/>
  </w:num>
  <w:num w:numId="32" w16cid:durableId="213004487">
    <w:abstractNumId w:val="10"/>
  </w:num>
  <w:num w:numId="33" w16cid:durableId="248197454">
    <w:abstractNumId w:val="20"/>
  </w:num>
  <w:num w:numId="34" w16cid:durableId="1058632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E3"/>
    <w:rsid w:val="00002329"/>
    <w:rsid w:val="00003006"/>
    <w:rsid w:val="0000603C"/>
    <w:rsid w:val="0000676E"/>
    <w:rsid w:val="00020E57"/>
    <w:rsid w:val="00020F62"/>
    <w:rsid w:val="00026BFE"/>
    <w:rsid w:val="000276ED"/>
    <w:rsid w:val="000301B4"/>
    <w:rsid w:val="00030448"/>
    <w:rsid w:val="00034491"/>
    <w:rsid w:val="00037EC8"/>
    <w:rsid w:val="000404BC"/>
    <w:rsid w:val="00043C5D"/>
    <w:rsid w:val="00055814"/>
    <w:rsid w:val="00055CE7"/>
    <w:rsid w:val="000567E8"/>
    <w:rsid w:val="00057079"/>
    <w:rsid w:val="00057C2C"/>
    <w:rsid w:val="00064B7B"/>
    <w:rsid w:val="000658AD"/>
    <w:rsid w:val="0007360D"/>
    <w:rsid w:val="00073907"/>
    <w:rsid w:val="00082E5F"/>
    <w:rsid w:val="000856E0"/>
    <w:rsid w:val="00091171"/>
    <w:rsid w:val="00091EC0"/>
    <w:rsid w:val="000939A9"/>
    <w:rsid w:val="00094C0D"/>
    <w:rsid w:val="000A43A2"/>
    <w:rsid w:val="000A4C5C"/>
    <w:rsid w:val="000B008A"/>
    <w:rsid w:val="000B1B78"/>
    <w:rsid w:val="000B227A"/>
    <w:rsid w:val="000C0373"/>
    <w:rsid w:val="000C3EDE"/>
    <w:rsid w:val="000C49BA"/>
    <w:rsid w:val="000C4E74"/>
    <w:rsid w:val="000D4CE5"/>
    <w:rsid w:val="000D62E3"/>
    <w:rsid w:val="000E2B16"/>
    <w:rsid w:val="000E56D6"/>
    <w:rsid w:val="000E6B82"/>
    <w:rsid w:val="00102177"/>
    <w:rsid w:val="0010724C"/>
    <w:rsid w:val="00111CD5"/>
    <w:rsid w:val="00114321"/>
    <w:rsid w:val="00124E38"/>
    <w:rsid w:val="00126AA8"/>
    <w:rsid w:val="00127FDA"/>
    <w:rsid w:val="00131B30"/>
    <w:rsid w:val="001348D3"/>
    <w:rsid w:val="00136BD4"/>
    <w:rsid w:val="00137802"/>
    <w:rsid w:val="00137D4E"/>
    <w:rsid w:val="0014176A"/>
    <w:rsid w:val="001456C3"/>
    <w:rsid w:val="00150165"/>
    <w:rsid w:val="00150A8C"/>
    <w:rsid w:val="00155604"/>
    <w:rsid w:val="001849AD"/>
    <w:rsid w:val="00185068"/>
    <w:rsid w:val="001876C0"/>
    <w:rsid w:val="001976B3"/>
    <w:rsid w:val="001A00DA"/>
    <w:rsid w:val="001A49D2"/>
    <w:rsid w:val="001A5D1D"/>
    <w:rsid w:val="001B1705"/>
    <w:rsid w:val="001B5082"/>
    <w:rsid w:val="001C00E0"/>
    <w:rsid w:val="001C25B0"/>
    <w:rsid w:val="001C2B52"/>
    <w:rsid w:val="001C68F5"/>
    <w:rsid w:val="001D0B26"/>
    <w:rsid w:val="001D1CAD"/>
    <w:rsid w:val="001D3E3D"/>
    <w:rsid w:val="001D4C1C"/>
    <w:rsid w:val="001D6738"/>
    <w:rsid w:val="001E4119"/>
    <w:rsid w:val="001F2050"/>
    <w:rsid w:val="001F40A1"/>
    <w:rsid w:val="001F43F8"/>
    <w:rsid w:val="001F595A"/>
    <w:rsid w:val="001F5AD4"/>
    <w:rsid w:val="0020495F"/>
    <w:rsid w:val="00204B0F"/>
    <w:rsid w:val="00205627"/>
    <w:rsid w:val="002073C8"/>
    <w:rsid w:val="0020792D"/>
    <w:rsid w:val="00210B4A"/>
    <w:rsid w:val="00212450"/>
    <w:rsid w:val="002134A7"/>
    <w:rsid w:val="00213FD3"/>
    <w:rsid w:val="002148B2"/>
    <w:rsid w:val="00214AB0"/>
    <w:rsid w:val="002238D5"/>
    <w:rsid w:val="0022753D"/>
    <w:rsid w:val="00237FE8"/>
    <w:rsid w:val="002434C9"/>
    <w:rsid w:val="002463D5"/>
    <w:rsid w:val="0024770B"/>
    <w:rsid w:val="00251BD6"/>
    <w:rsid w:val="00251CF1"/>
    <w:rsid w:val="00256D12"/>
    <w:rsid w:val="002631D9"/>
    <w:rsid w:val="00272ED1"/>
    <w:rsid w:val="00274A1B"/>
    <w:rsid w:val="00281C2A"/>
    <w:rsid w:val="002870B2"/>
    <w:rsid w:val="0029024C"/>
    <w:rsid w:val="00290D8E"/>
    <w:rsid w:val="00291250"/>
    <w:rsid w:val="0029155D"/>
    <w:rsid w:val="00291603"/>
    <w:rsid w:val="00294542"/>
    <w:rsid w:val="00297E80"/>
    <w:rsid w:val="002A628E"/>
    <w:rsid w:val="002A6DF7"/>
    <w:rsid w:val="002A7F1B"/>
    <w:rsid w:val="002B2FF2"/>
    <w:rsid w:val="002B37BC"/>
    <w:rsid w:val="002B3CA4"/>
    <w:rsid w:val="002B4677"/>
    <w:rsid w:val="002B5FFF"/>
    <w:rsid w:val="002B6512"/>
    <w:rsid w:val="002C6D56"/>
    <w:rsid w:val="002D0F1C"/>
    <w:rsid w:val="002D71AA"/>
    <w:rsid w:val="002E35C4"/>
    <w:rsid w:val="002E4BD2"/>
    <w:rsid w:val="002F132A"/>
    <w:rsid w:val="002F2AC4"/>
    <w:rsid w:val="002F7599"/>
    <w:rsid w:val="00301518"/>
    <w:rsid w:val="00304DBD"/>
    <w:rsid w:val="0030772A"/>
    <w:rsid w:val="00317417"/>
    <w:rsid w:val="003214C3"/>
    <w:rsid w:val="00327425"/>
    <w:rsid w:val="00327575"/>
    <w:rsid w:val="0033079B"/>
    <w:rsid w:val="00333E15"/>
    <w:rsid w:val="00334336"/>
    <w:rsid w:val="00337E73"/>
    <w:rsid w:val="00342D5A"/>
    <w:rsid w:val="00342F58"/>
    <w:rsid w:val="00354416"/>
    <w:rsid w:val="00361890"/>
    <w:rsid w:val="0036620D"/>
    <w:rsid w:val="00366E68"/>
    <w:rsid w:val="00370FBC"/>
    <w:rsid w:val="003807D8"/>
    <w:rsid w:val="00380A5D"/>
    <w:rsid w:val="00380FB1"/>
    <w:rsid w:val="003833F4"/>
    <w:rsid w:val="0038528B"/>
    <w:rsid w:val="00386A11"/>
    <w:rsid w:val="003918FC"/>
    <w:rsid w:val="00392ADA"/>
    <w:rsid w:val="00397049"/>
    <w:rsid w:val="00397CE0"/>
    <w:rsid w:val="003B00CA"/>
    <w:rsid w:val="003B1B70"/>
    <w:rsid w:val="003C0649"/>
    <w:rsid w:val="003C10E3"/>
    <w:rsid w:val="003C39AD"/>
    <w:rsid w:val="003D568D"/>
    <w:rsid w:val="003D61A3"/>
    <w:rsid w:val="003E054E"/>
    <w:rsid w:val="003E2F44"/>
    <w:rsid w:val="003E2F9C"/>
    <w:rsid w:val="003E3CB1"/>
    <w:rsid w:val="003E443B"/>
    <w:rsid w:val="003F146B"/>
    <w:rsid w:val="003F550B"/>
    <w:rsid w:val="004266C6"/>
    <w:rsid w:val="00431355"/>
    <w:rsid w:val="00432F83"/>
    <w:rsid w:val="00433EA0"/>
    <w:rsid w:val="004347E0"/>
    <w:rsid w:val="004357D8"/>
    <w:rsid w:val="00447BCA"/>
    <w:rsid w:val="00452067"/>
    <w:rsid w:val="00452AA5"/>
    <w:rsid w:val="00455054"/>
    <w:rsid w:val="00457525"/>
    <w:rsid w:val="0046053B"/>
    <w:rsid w:val="00466E7F"/>
    <w:rsid w:val="00471898"/>
    <w:rsid w:val="00473A9F"/>
    <w:rsid w:val="00475DEC"/>
    <w:rsid w:val="00482C6D"/>
    <w:rsid w:val="004874C4"/>
    <w:rsid w:val="0049269C"/>
    <w:rsid w:val="00496082"/>
    <w:rsid w:val="00496258"/>
    <w:rsid w:val="00497A9A"/>
    <w:rsid w:val="004A0A1D"/>
    <w:rsid w:val="004A336F"/>
    <w:rsid w:val="004A6E91"/>
    <w:rsid w:val="004B202C"/>
    <w:rsid w:val="004C10D7"/>
    <w:rsid w:val="004C1394"/>
    <w:rsid w:val="004C4214"/>
    <w:rsid w:val="004D5E1F"/>
    <w:rsid w:val="004D61AA"/>
    <w:rsid w:val="004D62F1"/>
    <w:rsid w:val="004D7F69"/>
    <w:rsid w:val="004E2C28"/>
    <w:rsid w:val="004E3560"/>
    <w:rsid w:val="004E571C"/>
    <w:rsid w:val="004E5EF0"/>
    <w:rsid w:val="004E6633"/>
    <w:rsid w:val="004E6885"/>
    <w:rsid w:val="004F0928"/>
    <w:rsid w:val="004F69DE"/>
    <w:rsid w:val="004F7126"/>
    <w:rsid w:val="0050602D"/>
    <w:rsid w:val="00507E13"/>
    <w:rsid w:val="00511038"/>
    <w:rsid w:val="00512575"/>
    <w:rsid w:val="0051592D"/>
    <w:rsid w:val="00526DDE"/>
    <w:rsid w:val="00530C01"/>
    <w:rsid w:val="0053441A"/>
    <w:rsid w:val="0053541C"/>
    <w:rsid w:val="00535D3F"/>
    <w:rsid w:val="00541A66"/>
    <w:rsid w:val="0054251E"/>
    <w:rsid w:val="00543EA8"/>
    <w:rsid w:val="00544BEA"/>
    <w:rsid w:val="005465D7"/>
    <w:rsid w:val="00546FE5"/>
    <w:rsid w:val="00547D0D"/>
    <w:rsid w:val="00553CA8"/>
    <w:rsid w:val="00554717"/>
    <w:rsid w:val="0055783B"/>
    <w:rsid w:val="00557F0D"/>
    <w:rsid w:val="0056188C"/>
    <w:rsid w:val="00561A9D"/>
    <w:rsid w:val="00563EEC"/>
    <w:rsid w:val="005677B9"/>
    <w:rsid w:val="0057004D"/>
    <w:rsid w:val="00575FC9"/>
    <w:rsid w:val="005830A3"/>
    <w:rsid w:val="00587155"/>
    <w:rsid w:val="00593E9F"/>
    <w:rsid w:val="0059F37A"/>
    <w:rsid w:val="005A22ED"/>
    <w:rsid w:val="005A3FA3"/>
    <w:rsid w:val="005A6538"/>
    <w:rsid w:val="005B39CA"/>
    <w:rsid w:val="005B3BEB"/>
    <w:rsid w:val="005B5B45"/>
    <w:rsid w:val="005C266B"/>
    <w:rsid w:val="005C31A7"/>
    <w:rsid w:val="005C3EDE"/>
    <w:rsid w:val="005D08D3"/>
    <w:rsid w:val="005D193C"/>
    <w:rsid w:val="005D3577"/>
    <w:rsid w:val="005D42C6"/>
    <w:rsid w:val="005D4601"/>
    <w:rsid w:val="005E158F"/>
    <w:rsid w:val="005E2FED"/>
    <w:rsid w:val="005E3B49"/>
    <w:rsid w:val="005E6E90"/>
    <w:rsid w:val="005E7B54"/>
    <w:rsid w:val="005F1D5A"/>
    <w:rsid w:val="005F30A0"/>
    <w:rsid w:val="005F5733"/>
    <w:rsid w:val="005F5F94"/>
    <w:rsid w:val="00605C79"/>
    <w:rsid w:val="0061433A"/>
    <w:rsid w:val="006144A8"/>
    <w:rsid w:val="006226B8"/>
    <w:rsid w:val="00624E2E"/>
    <w:rsid w:val="0062563C"/>
    <w:rsid w:val="00626905"/>
    <w:rsid w:val="00631637"/>
    <w:rsid w:val="0063341C"/>
    <w:rsid w:val="00636064"/>
    <w:rsid w:val="00636A9A"/>
    <w:rsid w:val="006400F7"/>
    <w:rsid w:val="006407B1"/>
    <w:rsid w:val="00640C3B"/>
    <w:rsid w:val="00644A9C"/>
    <w:rsid w:val="00644AFB"/>
    <w:rsid w:val="00653746"/>
    <w:rsid w:val="00654D6A"/>
    <w:rsid w:val="0065750D"/>
    <w:rsid w:val="006639F4"/>
    <w:rsid w:val="00674286"/>
    <w:rsid w:val="00680CE3"/>
    <w:rsid w:val="00680D26"/>
    <w:rsid w:val="00682267"/>
    <w:rsid w:val="00683D45"/>
    <w:rsid w:val="00691CBE"/>
    <w:rsid w:val="00693713"/>
    <w:rsid w:val="0069561B"/>
    <w:rsid w:val="00696198"/>
    <w:rsid w:val="006971F4"/>
    <w:rsid w:val="00697385"/>
    <w:rsid w:val="006A249D"/>
    <w:rsid w:val="006A67FB"/>
    <w:rsid w:val="006A7B9B"/>
    <w:rsid w:val="006B0C54"/>
    <w:rsid w:val="006B1270"/>
    <w:rsid w:val="006B4ABB"/>
    <w:rsid w:val="006B6954"/>
    <w:rsid w:val="006B7D21"/>
    <w:rsid w:val="006C31E5"/>
    <w:rsid w:val="006C3233"/>
    <w:rsid w:val="006C37CC"/>
    <w:rsid w:val="006D0509"/>
    <w:rsid w:val="006D347E"/>
    <w:rsid w:val="006F532C"/>
    <w:rsid w:val="006F571B"/>
    <w:rsid w:val="00702364"/>
    <w:rsid w:val="007029A6"/>
    <w:rsid w:val="00703188"/>
    <w:rsid w:val="007126CF"/>
    <w:rsid w:val="00714FF2"/>
    <w:rsid w:val="00723BE6"/>
    <w:rsid w:val="00727E13"/>
    <w:rsid w:val="007363DB"/>
    <w:rsid w:val="0073651A"/>
    <w:rsid w:val="007406DB"/>
    <w:rsid w:val="00741ED7"/>
    <w:rsid w:val="007470F0"/>
    <w:rsid w:val="007521EB"/>
    <w:rsid w:val="0075234F"/>
    <w:rsid w:val="00752BE4"/>
    <w:rsid w:val="007534C4"/>
    <w:rsid w:val="007553BE"/>
    <w:rsid w:val="0076056D"/>
    <w:rsid w:val="00761C14"/>
    <w:rsid w:val="00764961"/>
    <w:rsid w:val="00767FBB"/>
    <w:rsid w:val="0077382C"/>
    <w:rsid w:val="007738A7"/>
    <w:rsid w:val="007744C2"/>
    <w:rsid w:val="00777489"/>
    <w:rsid w:val="007837C7"/>
    <w:rsid w:val="00784F5B"/>
    <w:rsid w:val="007861BE"/>
    <w:rsid w:val="00795A16"/>
    <w:rsid w:val="007A0467"/>
    <w:rsid w:val="007A0E89"/>
    <w:rsid w:val="007A27A7"/>
    <w:rsid w:val="007A371C"/>
    <w:rsid w:val="007A5152"/>
    <w:rsid w:val="007B13AD"/>
    <w:rsid w:val="007B27C3"/>
    <w:rsid w:val="007B37EF"/>
    <w:rsid w:val="007B4E4A"/>
    <w:rsid w:val="007C18CA"/>
    <w:rsid w:val="007C19E8"/>
    <w:rsid w:val="007C1A5D"/>
    <w:rsid w:val="007C3797"/>
    <w:rsid w:val="007C4CC5"/>
    <w:rsid w:val="007D09A3"/>
    <w:rsid w:val="007D55D2"/>
    <w:rsid w:val="007D5B91"/>
    <w:rsid w:val="007D5EE1"/>
    <w:rsid w:val="007E1607"/>
    <w:rsid w:val="007E6894"/>
    <w:rsid w:val="007E6C09"/>
    <w:rsid w:val="007E7F77"/>
    <w:rsid w:val="0080350C"/>
    <w:rsid w:val="0080503D"/>
    <w:rsid w:val="00810BE5"/>
    <w:rsid w:val="00812633"/>
    <w:rsid w:val="008151AA"/>
    <w:rsid w:val="00824B6B"/>
    <w:rsid w:val="008265A4"/>
    <w:rsid w:val="00826CCE"/>
    <w:rsid w:val="00826E3D"/>
    <w:rsid w:val="00833BF8"/>
    <w:rsid w:val="00836CC2"/>
    <w:rsid w:val="00841229"/>
    <w:rsid w:val="00850392"/>
    <w:rsid w:val="0085493A"/>
    <w:rsid w:val="00861964"/>
    <w:rsid w:val="00861B44"/>
    <w:rsid w:val="00864F13"/>
    <w:rsid w:val="008652D5"/>
    <w:rsid w:val="00870BC6"/>
    <w:rsid w:val="008713A9"/>
    <w:rsid w:val="0087185E"/>
    <w:rsid w:val="00872B11"/>
    <w:rsid w:val="00872B30"/>
    <w:rsid w:val="00875785"/>
    <w:rsid w:val="00876965"/>
    <w:rsid w:val="00876BBC"/>
    <w:rsid w:val="00880455"/>
    <w:rsid w:val="008811D8"/>
    <w:rsid w:val="008852D2"/>
    <w:rsid w:val="008858FA"/>
    <w:rsid w:val="00885EF8"/>
    <w:rsid w:val="008904B2"/>
    <w:rsid w:val="008944CA"/>
    <w:rsid w:val="00894C33"/>
    <w:rsid w:val="00897EFC"/>
    <w:rsid w:val="008A1BCB"/>
    <w:rsid w:val="008A53B3"/>
    <w:rsid w:val="008A6E0D"/>
    <w:rsid w:val="008B00D5"/>
    <w:rsid w:val="008B39E3"/>
    <w:rsid w:val="008B444B"/>
    <w:rsid w:val="008C022C"/>
    <w:rsid w:val="008C4B1F"/>
    <w:rsid w:val="008D21AA"/>
    <w:rsid w:val="008D296E"/>
    <w:rsid w:val="008D4A6C"/>
    <w:rsid w:val="008D5AE9"/>
    <w:rsid w:val="008E5E7F"/>
    <w:rsid w:val="008F04BB"/>
    <w:rsid w:val="008F58C4"/>
    <w:rsid w:val="008F7A80"/>
    <w:rsid w:val="00911276"/>
    <w:rsid w:val="009113F7"/>
    <w:rsid w:val="00911C77"/>
    <w:rsid w:val="00920052"/>
    <w:rsid w:val="00923353"/>
    <w:rsid w:val="00926461"/>
    <w:rsid w:val="00931BA7"/>
    <w:rsid w:val="00934961"/>
    <w:rsid w:val="00947BE5"/>
    <w:rsid w:val="00951957"/>
    <w:rsid w:val="009527AD"/>
    <w:rsid w:val="009530EE"/>
    <w:rsid w:val="009567BC"/>
    <w:rsid w:val="00960840"/>
    <w:rsid w:val="009658A7"/>
    <w:rsid w:val="0096593F"/>
    <w:rsid w:val="009714D7"/>
    <w:rsid w:val="009757ED"/>
    <w:rsid w:val="00976F63"/>
    <w:rsid w:val="00977822"/>
    <w:rsid w:val="009844E0"/>
    <w:rsid w:val="0098452A"/>
    <w:rsid w:val="00990E5E"/>
    <w:rsid w:val="009B0287"/>
    <w:rsid w:val="009C27FB"/>
    <w:rsid w:val="009C32A1"/>
    <w:rsid w:val="009C5CA1"/>
    <w:rsid w:val="009C67F6"/>
    <w:rsid w:val="009D0611"/>
    <w:rsid w:val="009D76D8"/>
    <w:rsid w:val="009E0E38"/>
    <w:rsid w:val="009F0E4C"/>
    <w:rsid w:val="009F2D9F"/>
    <w:rsid w:val="009F4F88"/>
    <w:rsid w:val="009F6C52"/>
    <w:rsid w:val="009F7EB1"/>
    <w:rsid w:val="00A00C88"/>
    <w:rsid w:val="00A03B7E"/>
    <w:rsid w:val="00A138F1"/>
    <w:rsid w:val="00A23B93"/>
    <w:rsid w:val="00A253F4"/>
    <w:rsid w:val="00A26847"/>
    <w:rsid w:val="00A2793A"/>
    <w:rsid w:val="00A27989"/>
    <w:rsid w:val="00A305D3"/>
    <w:rsid w:val="00A3361D"/>
    <w:rsid w:val="00A339DB"/>
    <w:rsid w:val="00A353F6"/>
    <w:rsid w:val="00A35B91"/>
    <w:rsid w:val="00A424A8"/>
    <w:rsid w:val="00A4671C"/>
    <w:rsid w:val="00A46843"/>
    <w:rsid w:val="00A50823"/>
    <w:rsid w:val="00A568B8"/>
    <w:rsid w:val="00A56A96"/>
    <w:rsid w:val="00A575A6"/>
    <w:rsid w:val="00A63D7A"/>
    <w:rsid w:val="00A66523"/>
    <w:rsid w:val="00A67F79"/>
    <w:rsid w:val="00A74905"/>
    <w:rsid w:val="00A75D76"/>
    <w:rsid w:val="00A767BF"/>
    <w:rsid w:val="00A814E9"/>
    <w:rsid w:val="00A90D7F"/>
    <w:rsid w:val="00A95829"/>
    <w:rsid w:val="00A965CA"/>
    <w:rsid w:val="00AA3607"/>
    <w:rsid w:val="00AA6134"/>
    <w:rsid w:val="00AA6969"/>
    <w:rsid w:val="00AA6E29"/>
    <w:rsid w:val="00AB1467"/>
    <w:rsid w:val="00AB4A81"/>
    <w:rsid w:val="00AC08E9"/>
    <w:rsid w:val="00AC4563"/>
    <w:rsid w:val="00AC48E2"/>
    <w:rsid w:val="00AC5B35"/>
    <w:rsid w:val="00AC634A"/>
    <w:rsid w:val="00AC6810"/>
    <w:rsid w:val="00AC6E9E"/>
    <w:rsid w:val="00AC7B66"/>
    <w:rsid w:val="00AD0E05"/>
    <w:rsid w:val="00AD2A67"/>
    <w:rsid w:val="00AD2B92"/>
    <w:rsid w:val="00AD6542"/>
    <w:rsid w:val="00AE30D2"/>
    <w:rsid w:val="00AE590C"/>
    <w:rsid w:val="00AF1E86"/>
    <w:rsid w:val="00AF6346"/>
    <w:rsid w:val="00AF6F52"/>
    <w:rsid w:val="00AF7EA8"/>
    <w:rsid w:val="00B00281"/>
    <w:rsid w:val="00B00929"/>
    <w:rsid w:val="00B015E5"/>
    <w:rsid w:val="00B02793"/>
    <w:rsid w:val="00B03291"/>
    <w:rsid w:val="00B03376"/>
    <w:rsid w:val="00B05B58"/>
    <w:rsid w:val="00B06B26"/>
    <w:rsid w:val="00B11E80"/>
    <w:rsid w:val="00B176B2"/>
    <w:rsid w:val="00B2540F"/>
    <w:rsid w:val="00B25B5C"/>
    <w:rsid w:val="00B27877"/>
    <w:rsid w:val="00B42357"/>
    <w:rsid w:val="00B43068"/>
    <w:rsid w:val="00B445C4"/>
    <w:rsid w:val="00B45637"/>
    <w:rsid w:val="00B51940"/>
    <w:rsid w:val="00B613CC"/>
    <w:rsid w:val="00B62785"/>
    <w:rsid w:val="00B733E4"/>
    <w:rsid w:val="00B75AEB"/>
    <w:rsid w:val="00B80457"/>
    <w:rsid w:val="00B877D5"/>
    <w:rsid w:val="00B908D1"/>
    <w:rsid w:val="00B93DAA"/>
    <w:rsid w:val="00BA0A0E"/>
    <w:rsid w:val="00BA373C"/>
    <w:rsid w:val="00BA71B3"/>
    <w:rsid w:val="00BA767B"/>
    <w:rsid w:val="00BA7DF7"/>
    <w:rsid w:val="00BC041B"/>
    <w:rsid w:val="00BC1D5F"/>
    <w:rsid w:val="00BC4CCC"/>
    <w:rsid w:val="00BC51E9"/>
    <w:rsid w:val="00BD3809"/>
    <w:rsid w:val="00BD5B08"/>
    <w:rsid w:val="00BD6CE0"/>
    <w:rsid w:val="00BD718A"/>
    <w:rsid w:val="00BD7B4D"/>
    <w:rsid w:val="00BF18C2"/>
    <w:rsid w:val="00BF41E3"/>
    <w:rsid w:val="00C03834"/>
    <w:rsid w:val="00C04363"/>
    <w:rsid w:val="00C04A77"/>
    <w:rsid w:val="00C105A2"/>
    <w:rsid w:val="00C12493"/>
    <w:rsid w:val="00C132A0"/>
    <w:rsid w:val="00C14AD4"/>
    <w:rsid w:val="00C20907"/>
    <w:rsid w:val="00C22CAA"/>
    <w:rsid w:val="00C23CA3"/>
    <w:rsid w:val="00C25C34"/>
    <w:rsid w:val="00C26F31"/>
    <w:rsid w:val="00C3072A"/>
    <w:rsid w:val="00C34695"/>
    <w:rsid w:val="00C3531A"/>
    <w:rsid w:val="00C371B1"/>
    <w:rsid w:val="00C413F7"/>
    <w:rsid w:val="00C420FB"/>
    <w:rsid w:val="00C427EC"/>
    <w:rsid w:val="00C45246"/>
    <w:rsid w:val="00C457BE"/>
    <w:rsid w:val="00C4636B"/>
    <w:rsid w:val="00C46DA0"/>
    <w:rsid w:val="00C5224C"/>
    <w:rsid w:val="00C52689"/>
    <w:rsid w:val="00C53A51"/>
    <w:rsid w:val="00C565B2"/>
    <w:rsid w:val="00C6335C"/>
    <w:rsid w:val="00C65D6E"/>
    <w:rsid w:val="00C76D72"/>
    <w:rsid w:val="00C77C1E"/>
    <w:rsid w:val="00C77C4D"/>
    <w:rsid w:val="00C81578"/>
    <w:rsid w:val="00C82497"/>
    <w:rsid w:val="00C9010A"/>
    <w:rsid w:val="00C91CF7"/>
    <w:rsid w:val="00C96B80"/>
    <w:rsid w:val="00C9752B"/>
    <w:rsid w:val="00C97E5F"/>
    <w:rsid w:val="00CA1185"/>
    <w:rsid w:val="00CA2211"/>
    <w:rsid w:val="00CB02C9"/>
    <w:rsid w:val="00CB6066"/>
    <w:rsid w:val="00CC076C"/>
    <w:rsid w:val="00CC1301"/>
    <w:rsid w:val="00CC29C3"/>
    <w:rsid w:val="00CC4A07"/>
    <w:rsid w:val="00CC50B3"/>
    <w:rsid w:val="00CD0981"/>
    <w:rsid w:val="00CD20BD"/>
    <w:rsid w:val="00CD56D8"/>
    <w:rsid w:val="00CD5F65"/>
    <w:rsid w:val="00CE16B5"/>
    <w:rsid w:val="00CE2A97"/>
    <w:rsid w:val="00CE7005"/>
    <w:rsid w:val="00CF427D"/>
    <w:rsid w:val="00CF4B8F"/>
    <w:rsid w:val="00D02972"/>
    <w:rsid w:val="00D0648B"/>
    <w:rsid w:val="00D07A14"/>
    <w:rsid w:val="00D12AF3"/>
    <w:rsid w:val="00D135C4"/>
    <w:rsid w:val="00D2082F"/>
    <w:rsid w:val="00D26414"/>
    <w:rsid w:val="00D27917"/>
    <w:rsid w:val="00D305B7"/>
    <w:rsid w:val="00D31026"/>
    <w:rsid w:val="00D36767"/>
    <w:rsid w:val="00D42D27"/>
    <w:rsid w:val="00D57E0B"/>
    <w:rsid w:val="00D60E9D"/>
    <w:rsid w:val="00D6277C"/>
    <w:rsid w:val="00D73283"/>
    <w:rsid w:val="00D7668A"/>
    <w:rsid w:val="00D85509"/>
    <w:rsid w:val="00D859A3"/>
    <w:rsid w:val="00D85C8C"/>
    <w:rsid w:val="00D91751"/>
    <w:rsid w:val="00D95EC4"/>
    <w:rsid w:val="00D96BEE"/>
    <w:rsid w:val="00D97673"/>
    <w:rsid w:val="00D976B3"/>
    <w:rsid w:val="00DA2F0E"/>
    <w:rsid w:val="00DA55C5"/>
    <w:rsid w:val="00DA5D49"/>
    <w:rsid w:val="00DA6D64"/>
    <w:rsid w:val="00DD2C09"/>
    <w:rsid w:val="00DD2F79"/>
    <w:rsid w:val="00DD5551"/>
    <w:rsid w:val="00DD5C00"/>
    <w:rsid w:val="00DE523E"/>
    <w:rsid w:val="00DE5578"/>
    <w:rsid w:val="00DE65B7"/>
    <w:rsid w:val="00DE73B4"/>
    <w:rsid w:val="00DE7CA6"/>
    <w:rsid w:val="00DF410A"/>
    <w:rsid w:val="00E1089A"/>
    <w:rsid w:val="00E16B2B"/>
    <w:rsid w:val="00E17707"/>
    <w:rsid w:val="00E25885"/>
    <w:rsid w:val="00E3084F"/>
    <w:rsid w:val="00E31CF2"/>
    <w:rsid w:val="00E32AFF"/>
    <w:rsid w:val="00E34A08"/>
    <w:rsid w:val="00E367BA"/>
    <w:rsid w:val="00E375B1"/>
    <w:rsid w:val="00E41598"/>
    <w:rsid w:val="00E416CD"/>
    <w:rsid w:val="00E540DF"/>
    <w:rsid w:val="00E61835"/>
    <w:rsid w:val="00E62184"/>
    <w:rsid w:val="00E63355"/>
    <w:rsid w:val="00E6508D"/>
    <w:rsid w:val="00E657ED"/>
    <w:rsid w:val="00E70AD5"/>
    <w:rsid w:val="00E7220F"/>
    <w:rsid w:val="00E7256C"/>
    <w:rsid w:val="00E73B0C"/>
    <w:rsid w:val="00E76673"/>
    <w:rsid w:val="00E768DB"/>
    <w:rsid w:val="00E82129"/>
    <w:rsid w:val="00E847CB"/>
    <w:rsid w:val="00E86172"/>
    <w:rsid w:val="00E862FA"/>
    <w:rsid w:val="00E95ACD"/>
    <w:rsid w:val="00E97353"/>
    <w:rsid w:val="00E97BAB"/>
    <w:rsid w:val="00E97CD0"/>
    <w:rsid w:val="00EA1F04"/>
    <w:rsid w:val="00EA3C8A"/>
    <w:rsid w:val="00EB13DB"/>
    <w:rsid w:val="00EC14E9"/>
    <w:rsid w:val="00EC2E92"/>
    <w:rsid w:val="00EC30D7"/>
    <w:rsid w:val="00EC5C75"/>
    <w:rsid w:val="00EC61B7"/>
    <w:rsid w:val="00ED2117"/>
    <w:rsid w:val="00ED53E7"/>
    <w:rsid w:val="00EE0557"/>
    <w:rsid w:val="00EE2EB1"/>
    <w:rsid w:val="00EE656C"/>
    <w:rsid w:val="00EE7C5D"/>
    <w:rsid w:val="00EF2481"/>
    <w:rsid w:val="00EF2D0C"/>
    <w:rsid w:val="00EF2DFC"/>
    <w:rsid w:val="00EF4637"/>
    <w:rsid w:val="00EF5318"/>
    <w:rsid w:val="00F012B3"/>
    <w:rsid w:val="00F071E4"/>
    <w:rsid w:val="00F20E46"/>
    <w:rsid w:val="00F2449B"/>
    <w:rsid w:val="00F258FA"/>
    <w:rsid w:val="00F2724C"/>
    <w:rsid w:val="00F3532E"/>
    <w:rsid w:val="00F3628C"/>
    <w:rsid w:val="00F44F3D"/>
    <w:rsid w:val="00F46143"/>
    <w:rsid w:val="00F60249"/>
    <w:rsid w:val="00F65991"/>
    <w:rsid w:val="00F65EB9"/>
    <w:rsid w:val="00F666CD"/>
    <w:rsid w:val="00F670EE"/>
    <w:rsid w:val="00F73145"/>
    <w:rsid w:val="00F736A1"/>
    <w:rsid w:val="00F754A8"/>
    <w:rsid w:val="00F82F8D"/>
    <w:rsid w:val="00F851ED"/>
    <w:rsid w:val="00F86925"/>
    <w:rsid w:val="00F8782A"/>
    <w:rsid w:val="00F903D4"/>
    <w:rsid w:val="00FA3442"/>
    <w:rsid w:val="00FB068D"/>
    <w:rsid w:val="00FB534A"/>
    <w:rsid w:val="00FB7B8C"/>
    <w:rsid w:val="00FC4281"/>
    <w:rsid w:val="00FD1E6D"/>
    <w:rsid w:val="00FD7E50"/>
    <w:rsid w:val="00FE385D"/>
    <w:rsid w:val="00FE40D2"/>
    <w:rsid w:val="00FF4790"/>
    <w:rsid w:val="030B41E6"/>
    <w:rsid w:val="03F5C30E"/>
    <w:rsid w:val="06B662E4"/>
    <w:rsid w:val="096CCDEF"/>
    <w:rsid w:val="09AEB447"/>
    <w:rsid w:val="0BBBB206"/>
    <w:rsid w:val="112ED106"/>
    <w:rsid w:val="137C1BFB"/>
    <w:rsid w:val="15E05E4B"/>
    <w:rsid w:val="16EDE347"/>
    <w:rsid w:val="21B59E4B"/>
    <w:rsid w:val="22836541"/>
    <w:rsid w:val="228ECAE2"/>
    <w:rsid w:val="235E9DBE"/>
    <w:rsid w:val="252AFBEC"/>
    <w:rsid w:val="34A94433"/>
    <w:rsid w:val="358E68B0"/>
    <w:rsid w:val="39ED794E"/>
    <w:rsid w:val="3AE413D1"/>
    <w:rsid w:val="4000BE53"/>
    <w:rsid w:val="4139B77B"/>
    <w:rsid w:val="41EFC308"/>
    <w:rsid w:val="42848729"/>
    <w:rsid w:val="44F5546D"/>
    <w:rsid w:val="48289310"/>
    <w:rsid w:val="4A205457"/>
    <w:rsid w:val="507EAB8C"/>
    <w:rsid w:val="52FD3F6B"/>
    <w:rsid w:val="5B55C709"/>
    <w:rsid w:val="5DB99C36"/>
    <w:rsid w:val="60B51DE0"/>
    <w:rsid w:val="647A08F5"/>
    <w:rsid w:val="6819F2C4"/>
    <w:rsid w:val="6A88EB79"/>
    <w:rsid w:val="6D55E18F"/>
    <w:rsid w:val="746AA01B"/>
    <w:rsid w:val="785C54EB"/>
    <w:rsid w:val="7E3CC1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11075"/>
  <w15:docId w15:val="{B36D3C14-635E-4FC0-8351-43A74328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E7"/>
    <w:pPr>
      <w:spacing w:line="274" w:lineRule="auto"/>
    </w:pPr>
    <w:rPr>
      <w:rFonts w:ascii="Inter" w:hAnsi="Inter"/>
    </w:rPr>
  </w:style>
  <w:style w:type="paragraph" w:styleId="Heading1">
    <w:name w:val="heading 1"/>
    <w:basedOn w:val="Normal"/>
    <w:next w:val="Normal"/>
    <w:link w:val="Heading1Char"/>
    <w:uiPriority w:val="9"/>
    <w:qFormat/>
    <w:rsid w:val="00ED53E7"/>
    <w:pPr>
      <w:keepNext/>
      <w:keepLines/>
      <w:spacing w:before="360" w:after="360"/>
      <w:outlineLvl w:val="0"/>
    </w:pPr>
    <w:rPr>
      <w:rFonts w:ascii="Inter Medium" w:eastAsiaTheme="majorEastAsia" w:hAnsi="Inter Medium" w:cstheme="majorBidi"/>
      <w:color w:val="6B3B57"/>
      <w:sz w:val="52"/>
      <w:szCs w:val="40"/>
    </w:rPr>
  </w:style>
  <w:style w:type="paragraph" w:styleId="Heading2">
    <w:name w:val="heading 2"/>
    <w:basedOn w:val="Normal"/>
    <w:next w:val="Normal"/>
    <w:link w:val="Heading2Char"/>
    <w:uiPriority w:val="9"/>
    <w:unhideWhenUsed/>
    <w:qFormat/>
    <w:rsid w:val="00ED53E7"/>
    <w:pPr>
      <w:keepNext/>
      <w:keepLines/>
      <w:numPr>
        <w:ilvl w:val="1"/>
        <w:numId w:val="32"/>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ED53E7"/>
    <w:pPr>
      <w:keepNext/>
      <w:keepLines/>
      <w:numPr>
        <w:ilvl w:val="2"/>
        <w:numId w:val="32"/>
      </w:numPr>
      <w:spacing w:before="240" w:after="240"/>
      <w:outlineLvl w:val="2"/>
    </w:pPr>
    <w:rPr>
      <w:rFonts w:ascii="Inter Medium" w:eastAsiaTheme="majorEastAsia" w:hAnsi="Inter Medium" w:cstheme="majorBidi"/>
      <w:bCs/>
      <w:sz w:val="28"/>
      <w:szCs w:val="28"/>
    </w:rPr>
  </w:style>
  <w:style w:type="paragraph" w:styleId="Heading4">
    <w:name w:val="heading 4"/>
    <w:basedOn w:val="Normal"/>
    <w:next w:val="Normal"/>
    <w:link w:val="Heading4Char"/>
    <w:uiPriority w:val="9"/>
    <w:unhideWhenUsed/>
    <w:qFormat/>
    <w:rsid w:val="00ED53E7"/>
    <w:pPr>
      <w:keepNext/>
      <w:keepLines/>
      <w:numPr>
        <w:ilvl w:val="3"/>
        <w:numId w:val="32"/>
      </w:numPr>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ED53E7"/>
    <w:pPr>
      <w:keepNext/>
      <w:keepLines/>
      <w:numPr>
        <w:ilvl w:val="4"/>
        <w:numId w:val="32"/>
      </w:numPr>
      <w:spacing w:before="80" w:after="40"/>
      <w:outlineLvl w:val="4"/>
    </w:pPr>
    <w:rPr>
      <w:rFonts w:eastAsiaTheme="majorEastAsia" w:cstheme="majorBidi"/>
      <w:color w:val="27151C" w:themeColor="accent1" w:themeShade="BF"/>
    </w:rPr>
  </w:style>
  <w:style w:type="paragraph" w:styleId="Heading6">
    <w:name w:val="heading 6"/>
    <w:basedOn w:val="Normal"/>
    <w:next w:val="Normal"/>
    <w:link w:val="Heading6Char"/>
    <w:uiPriority w:val="9"/>
    <w:unhideWhenUsed/>
    <w:qFormat/>
    <w:rsid w:val="00ED53E7"/>
    <w:pPr>
      <w:keepNext/>
      <w:keepLines/>
      <w:numPr>
        <w:ilvl w:val="5"/>
        <w:numId w:val="32"/>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unhideWhenUsed/>
    <w:qFormat/>
    <w:rsid w:val="00ED53E7"/>
    <w:pPr>
      <w:keepNext/>
      <w:keepLines/>
      <w:numPr>
        <w:ilvl w:val="6"/>
        <w:numId w:val="32"/>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unhideWhenUsed/>
    <w:qFormat/>
    <w:rsid w:val="00ED53E7"/>
    <w:pPr>
      <w:keepNext/>
      <w:keepLines/>
      <w:numPr>
        <w:ilvl w:val="7"/>
        <w:numId w:val="32"/>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unhideWhenUsed/>
    <w:qFormat/>
    <w:rsid w:val="00ED53E7"/>
    <w:pPr>
      <w:keepNext/>
      <w:keepLines/>
      <w:numPr>
        <w:ilvl w:val="8"/>
        <w:numId w:val="32"/>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80" w:after="180"/>
    </w:pPr>
  </w:style>
  <w:style w:type="paragraph" w:customStyle="1" w:styleId="FirstParagraph">
    <w:name w:val="First Paragraph"/>
    <w:basedOn w:val="BodyText"/>
    <w:next w:val="BodyText"/>
  </w:style>
  <w:style w:type="paragraph" w:customStyle="1" w:styleId="Compact">
    <w:name w:val="Compact"/>
    <w:basedOn w:val="BodyText"/>
    <w:pPr>
      <w:spacing w:before="36" w:after="36"/>
    </w:pPr>
  </w:style>
  <w:style w:type="paragraph" w:styleId="Title">
    <w:name w:val="Title"/>
    <w:basedOn w:val="Normal"/>
    <w:next w:val="Normal"/>
    <w:link w:val="TitleChar"/>
    <w:uiPriority w:val="10"/>
    <w:qFormat/>
    <w:rsid w:val="00ED53E7"/>
    <w:pPr>
      <w:spacing w:after="480" w:line="216" w:lineRule="auto"/>
    </w:pPr>
    <w:rPr>
      <w:color w:val="FCAB63"/>
      <w:sz w:val="104"/>
      <w:szCs w:val="104"/>
    </w:rPr>
  </w:style>
  <w:style w:type="paragraph" w:styleId="Subtitle">
    <w:name w:val="Subtitle"/>
    <w:basedOn w:val="Normal"/>
    <w:next w:val="Normal"/>
    <w:link w:val="SubtitleChar"/>
    <w:uiPriority w:val="11"/>
    <w:qFormat/>
    <w:rsid w:val="00ED53E7"/>
    <w:pPr>
      <w:numPr>
        <w:ilvl w:val="1"/>
      </w:numPr>
      <w:spacing w:line="240" w:lineRule="auto"/>
    </w:pPr>
    <w:rPr>
      <w:rFonts w:eastAsiaTheme="majorEastAsia" w:cstheme="majorBidi"/>
      <w:color w:val="EDE8E0"/>
      <w:spacing w:val="15"/>
      <w:sz w:val="40"/>
      <w:szCs w:val="24"/>
    </w:rPr>
  </w:style>
  <w:style w:type="paragraph" w:customStyle="1" w:styleId="Author">
    <w:name w:val="Author"/>
    <w:next w:val="BodyText"/>
    <w:pPr>
      <w:keepNext/>
      <w:keepLines/>
      <w:jc w:val="center"/>
    </w:pPr>
  </w:style>
  <w:style w:type="paragraph" w:styleId="Date">
    <w:name w:val="Date"/>
    <w:next w:val="BodyText"/>
    <w:pPr>
      <w:keepNext/>
      <w:keepLines/>
      <w:jc w:val="center"/>
    </w:pPr>
  </w:style>
  <w:style w:type="paragraph" w:customStyle="1" w:styleId="Abstract">
    <w:name w:val="Abstract"/>
    <w:basedOn w:val="Normal"/>
    <w:next w:val="BodyTex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Normal"/>
    <w:uiPriority w:val="9"/>
    <w:unhideWhenUsed/>
    <w:rsid w:val="00777489"/>
    <w:rPr>
      <w:sz w:val="20"/>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uiPriority w:val="35"/>
    <w:semiHidden/>
    <w:unhideWhenUsed/>
    <w:qFormat/>
    <w:rsid w:val="000E2B16"/>
    <w:pPr>
      <w:spacing w:after="200" w:line="240" w:lineRule="auto"/>
    </w:pPr>
    <w:rPr>
      <w:i/>
      <w:iCs/>
      <w:sz w:val="18"/>
      <w:szCs w:val="18"/>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uiPriority w:val="35"/>
    <w:semiHidden/>
    <w:rsid w:val="000E2B16"/>
    <w:rPr>
      <w:rFonts w:ascii="Inter" w:hAnsi="Inter"/>
      <w:i/>
      <w:iCs/>
      <w:sz w:val="18"/>
      <w:szCs w:val="18"/>
    </w:rPr>
  </w:style>
  <w:style w:type="character" w:customStyle="1" w:styleId="VerbatimChar">
    <w:name w:val="Verbatim Char"/>
    <w:basedOn w:val="CaptionChar"/>
    <w:link w:val="SourceCode"/>
    <w:rPr>
      <w:rFonts w:ascii="Consolas" w:hAnsi="Consolas"/>
      <w:i/>
      <w:iCs/>
      <w:sz w:val="22"/>
      <w:szCs w:val="18"/>
    </w:rPr>
  </w:style>
  <w:style w:type="character" w:customStyle="1" w:styleId="SectionNumber">
    <w:name w:val="Section Number"/>
    <w:basedOn w:val="CaptionChar"/>
    <w:rPr>
      <w:rFonts w:ascii="Inter" w:hAnsi="Inter"/>
      <w:i/>
      <w:iCs/>
      <w:sz w:val="18"/>
      <w:szCs w:val="18"/>
    </w:rPr>
  </w:style>
  <w:style w:type="character" w:styleId="FootnoteReference">
    <w:name w:val="footnote reference"/>
    <w:basedOn w:val="CaptionChar"/>
    <w:rPr>
      <w:rFonts w:ascii="Inter" w:hAnsi="Inter"/>
      <w:i/>
      <w:iCs/>
      <w:sz w:val="18"/>
      <w:szCs w:val="18"/>
      <w:vertAlign w:val="superscript"/>
    </w:rPr>
  </w:style>
  <w:style w:type="character" w:styleId="Hyperlink">
    <w:name w:val="Hyperlink"/>
    <w:basedOn w:val="CaptionChar"/>
    <w:uiPriority w:val="99"/>
    <w:rsid w:val="00ED53E7"/>
    <w:rPr>
      <w:rFonts w:ascii="Inter" w:hAnsi="Inter"/>
      <w:i w:val="0"/>
      <w:iCs/>
      <w:color w:val="0D6475"/>
      <w:sz w:val="22"/>
      <w:szCs w:val="18"/>
      <w:u w:val="single"/>
    </w:rPr>
  </w:style>
  <w:style w:type="paragraph" w:styleId="TOCHeading">
    <w:name w:val="TOC Heading"/>
    <w:basedOn w:val="TableParagraph"/>
    <w:next w:val="Normal"/>
    <w:uiPriority w:val="39"/>
    <w:unhideWhenUsed/>
    <w:qFormat/>
    <w:rsid w:val="00ED53E7"/>
    <w:rPr>
      <w:b/>
      <w:bCs/>
      <w:sz w:val="24"/>
      <w:szCs w:val="24"/>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i/>
      <w:iCs/>
      <w:color w:val="204A87"/>
      <w:sz w:val="22"/>
      <w:szCs w:val="18"/>
      <w:shd w:val="clear" w:color="auto" w:fill="F8F8F8"/>
    </w:rPr>
  </w:style>
  <w:style w:type="character" w:customStyle="1" w:styleId="DataTypeTok">
    <w:name w:val="DataTypeTok"/>
    <w:basedOn w:val="VerbatimChar"/>
    <w:rPr>
      <w:rFonts w:ascii="Consolas" w:hAnsi="Consolas"/>
      <w:i/>
      <w:iCs/>
      <w:color w:val="204A87"/>
      <w:sz w:val="22"/>
      <w:szCs w:val="18"/>
      <w:shd w:val="clear" w:color="auto" w:fill="F8F8F8"/>
    </w:rPr>
  </w:style>
  <w:style w:type="character" w:customStyle="1" w:styleId="DecValTok">
    <w:name w:val="DecValTok"/>
    <w:basedOn w:val="VerbatimChar"/>
    <w:rPr>
      <w:rFonts w:ascii="Consolas" w:hAnsi="Consolas"/>
      <w:i/>
      <w:iCs/>
      <w:color w:val="0000CF"/>
      <w:sz w:val="22"/>
      <w:szCs w:val="18"/>
      <w:shd w:val="clear" w:color="auto" w:fill="F8F8F8"/>
    </w:rPr>
  </w:style>
  <w:style w:type="character" w:customStyle="1" w:styleId="BaseNTok">
    <w:name w:val="BaseNTok"/>
    <w:basedOn w:val="VerbatimChar"/>
    <w:rPr>
      <w:rFonts w:ascii="Consolas" w:hAnsi="Consolas"/>
      <w:i/>
      <w:iCs/>
      <w:color w:val="0000CF"/>
      <w:sz w:val="22"/>
      <w:szCs w:val="18"/>
      <w:shd w:val="clear" w:color="auto" w:fill="F8F8F8"/>
    </w:rPr>
  </w:style>
  <w:style w:type="character" w:customStyle="1" w:styleId="FloatTok">
    <w:name w:val="FloatTok"/>
    <w:basedOn w:val="VerbatimChar"/>
    <w:rPr>
      <w:rFonts w:ascii="Consolas" w:hAnsi="Consolas"/>
      <w:i/>
      <w:iCs/>
      <w:color w:val="0000CF"/>
      <w:sz w:val="22"/>
      <w:szCs w:val="18"/>
      <w:shd w:val="clear" w:color="auto" w:fill="F8F8F8"/>
    </w:rPr>
  </w:style>
  <w:style w:type="character" w:customStyle="1" w:styleId="ConstantTok">
    <w:name w:val="ConstantTok"/>
    <w:basedOn w:val="VerbatimChar"/>
    <w:rPr>
      <w:rFonts w:ascii="Consolas" w:hAnsi="Consolas"/>
      <w:i/>
      <w:iCs/>
      <w:color w:val="8F5902"/>
      <w:sz w:val="22"/>
      <w:szCs w:val="18"/>
      <w:shd w:val="clear" w:color="auto" w:fill="F8F8F8"/>
    </w:rPr>
  </w:style>
  <w:style w:type="character" w:customStyle="1" w:styleId="CharTok">
    <w:name w:val="CharTok"/>
    <w:basedOn w:val="VerbatimChar"/>
    <w:rPr>
      <w:rFonts w:ascii="Consolas" w:hAnsi="Consolas"/>
      <w:i/>
      <w:iCs/>
      <w:color w:val="4E9A06"/>
      <w:sz w:val="22"/>
      <w:szCs w:val="18"/>
      <w:shd w:val="clear" w:color="auto" w:fill="F8F8F8"/>
    </w:rPr>
  </w:style>
  <w:style w:type="character" w:customStyle="1" w:styleId="SpecialCharTok">
    <w:name w:val="SpecialCharTok"/>
    <w:basedOn w:val="VerbatimChar"/>
    <w:rPr>
      <w:rFonts w:ascii="Consolas" w:hAnsi="Consolas"/>
      <w:b/>
      <w:i/>
      <w:iCs/>
      <w:color w:val="CE5C00"/>
      <w:sz w:val="22"/>
      <w:szCs w:val="18"/>
      <w:shd w:val="clear" w:color="auto" w:fill="F8F8F8"/>
    </w:rPr>
  </w:style>
  <w:style w:type="character" w:customStyle="1" w:styleId="StringTok">
    <w:name w:val="StringTok"/>
    <w:basedOn w:val="VerbatimChar"/>
    <w:rPr>
      <w:rFonts w:ascii="Consolas" w:hAnsi="Consolas"/>
      <w:i/>
      <w:iCs/>
      <w:color w:val="4E9A06"/>
      <w:sz w:val="22"/>
      <w:szCs w:val="18"/>
      <w:shd w:val="clear" w:color="auto" w:fill="F8F8F8"/>
    </w:rPr>
  </w:style>
  <w:style w:type="character" w:customStyle="1" w:styleId="VerbatimStringTok">
    <w:name w:val="VerbatimStringTok"/>
    <w:basedOn w:val="VerbatimChar"/>
    <w:rPr>
      <w:rFonts w:ascii="Consolas" w:hAnsi="Consolas"/>
      <w:i/>
      <w:iCs/>
      <w:color w:val="4E9A06"/>
      <w:sz w:val="22"/>
      <w:szCs w:val="18"/>
      <w:shd w:val="clear" w:color="auto" w:fill="F8F8F8"/>
    </w:rPr>
  </w:style>
  <w:style w:type="character" w:customStyle="1" w:styleId="SpecialStringTok">
    <w:name w:val="SpecialStringTok"/>
    <w:basedOn w:val="VerbatimChar"/>
    <w:rPr>
      <w:rFonts w:ascii="Consolas" w:hAnsi="Consolas"/>
      <w:i/>
      <w:iCs/>
      <w:color w:val="4E9A06"/>
      <w:sz w:val="22"/>
      <w:szCs w:val="18"/>
      <w:shd w:val="clear" w:color="auto" w:fill="F8F8F8"/>
    </w:rPr>
  </w:style>
  <w:style w:type="character" w:customStyle="1" w:styleId="ImportTok">
    <w:name w:val="ImportTok"/>
    <w:basedOn w:val="VerbatimChar"/>
    <w:rPr>
      <w:rFonts w:ascii="Consolas" w:hAnsi="Consolas"/>
      <w:i/>
      <w:iCs/>
      <w:sz w:val="22"/>
      <w:szCs w:val="18"/>
      <w:shd w:val="clear" w:color="auto" w:fill="F8F8F8"/>
    </w:rPr>
  </w:style>
  <w:style w:type="character" w:customStyle="1" w:styleId="CommentTok">
    <w:name w:val="CommentTok"/>
    <w:basedOn w:val="VerbatimChar"/>
    <w:rPr>
      <w:rFonts w:ascii="Consolas" w:hAnsi="Consolas"/>
      <w:i w:val="0"/>
      <w:iCs/>
      <w:color w:val="8F5902"/>
      <w:sz w:val="22"/>
      <w:szCs w:val="18"/>
      <w:shd w:val="clear" w:color="auto" w:fill="F8F8F8"/>
    </w:rPr>
  </w:style>
  <w:style w:type="character" w:customStyle="1" w:styleId="DocumentationTok">
    <w:name w:val="DocumentationTok"/>
    <w:basedOn w:val="VerbatimChar"/>
    <w:rPr>
      <w:rFonts w:ascii="Consolas" w:hAnsi="Consolas"/>
      <w:b/>
      <w:i w:val="0"/>
      <w:iCs/>
      <w:color w:val="8F5902"/>
      <w:sz w:val="22"/>
      <w:szCs w:val="18"/>
      <w:shd w:val="clear" w:color="auto" w:fill="F8F8F8"/>
    </w:rPr>
  </w:style>
  <w:style w:type="character" w:customStyle="1" w:styleId="AnnotationTok">
    <w:name w:val="AnnotationTok"/>
    <w:basedOn w:val="VerbatimChar"/>
    <w:rPr>
      <w:rFonts w:ascii="Consolas" w:hAnsi="Consolas"/>
      <w:b/>
      <w:i w:val="0"/>
      <w:iCs/>
      <w:color w:val="8F5902"/>
      <w:sz w:val="22"/>
      <w:szCs w:val="18"/>
      <w:shd w:val="clear" w:color="auto" w:fill="F8F8F8"/>
    </w:rPr>
  </w:style>
  <w:style w:type="character" w:customStyle="1" w:styleId="CommentVarTok">
    <w:name w:val="CommentVarTok"/>
    <w:basedOn w:val="VerbatimChar"/>
    <w:rPr>
      <w:rFonts w:ascii="Consolas" w:hAnsi="Consolas"/>
      <w:b/>
      <w:i w:val="0"/>
      <w:iCs/>
      <w:color w:val="8F5902"/>
      <w:sz w:val="22"/>
      <w:szCs w:val="18"/>
      <w:shd w:val="clear" w:color="auto" w:fill="F8F8F8"/>
    </w:rPr>
  </w:style>
  <w:style w:type="character" w:customStyle="1" w:styleId="OtherTok">
    <w:name w:val="OtherTok"/>
    <w:basedOn w:val="VerbatimChar"/>
    <w:rPr>
      <w:rFonts w:ascii="Consolas" w:hAnsi="Consolas"/>
      <w:i/>
      <w:iCs/>
      <w:color w:val="8F5902"/>
      <w:sz w:val="22"/>
      <w:szCs w:val="18"/>
      <w:shd w:val="clear" w:color="auto" w:fill="F8F8F8"/>
    </w:rPr>
  </w:style>
  <w:style w:type="character" w:customStyle="1" w:styleId="FunctionTok">
    <w:name w:val="FunctionTok"/>
    <w:basedOn w:val="VerbatimChar"/>
    <w:rPr>
      <w:rFonts w:ascii="Consolas" w:hAnsi="Consolas"/>
      <w:b/>
      <w:i/>
      <w:iCs/>
      <w:color w:val="204A87"/>
      <w:sz w:val="22"/>
      <w:szCs w:val="18"/>
      <w:shd w:val="clear" w:color="auto" w:fill="F8F8F8"/>
    </w:rPr>
  </w:style>
  <w:style w:type="character" w:customStyle="1" w:styleId="VariableTok">
    <w:name w:val="VariableTok"/>
    <w:basedOn w:val="VerbatimChar"/>
    <w:rPr>
      <w:rFonts w:ascii="Consolas" w:hAnsi="Consolas"/>
      <w:i/>
      <w:iCs/>
      <w:color w:val="000000"/>
      <w:sz w:val="22"/>
      <w:szCs w:val="18"/>
      <w:shd w:val="clear" w:color="auto" w:fill="F8F8F8"/>
    </w:rPr>
  </w:style>
  <w:style w:type="character" w:customStyle="1" w:styleId="ControlFlowTok">
    <w:name w:val="ControlFlowTok"/>
    <w:basedOn w:val="VerbatimChar"/>
    <w:rPr>
      <w:rFonts w:ascii="Consolas" w:hAnsi="Consolas"/>
      <w:b/>
      <w:i/>
      <w:iCs/>
      <w:color w:val="204A87"/>
      <w:sz w:val="22"/>
      <w:szCs w:val="18"/>
      <w:shd w:val="clear" w:color="auto" w:fill="F8F8F8"/>
    </w:rPr>
  </w:style>
  <w:style w:type="character" w:customStyle="1" w:styleId="OperatorTok">
    <w:name w:val="OperatorTok"/>
    <w:basedOn w:val="VerbatimChar"/>
    <w:rPr>
      <w:rFonts w:ascii="Consolas" w:hAnsi="Consolas"/>
      <w:b/>
      <w:i/>
      <w:iCs/>
      <w:color w:val="CE5C00"/>
      <w:sz w:val="22"/>
      <w:szCs w:val="18"/>
      <w:shd w:val="clear" w:color="auto" w:fill="F8F8F8"/>
    </w:rPr>
  </w:style>
  <w:style w:type="character" w:customStyle="1" w:styleId="BuiltInTok">
    <w:name w:val="BuiltInTok"/>
    <w:basedOn w:val="VerbatimChar"/>
    <w:rPr>
      <w:rFonts w:ascii="Consolas" w:hAnsi="Consolas"/>
      <w:i/>
      <w:iCs/>
      <w:sz w:val="22"/>
      <w:szCs w:val="18"/>
      <w:shd w:val="clear" w:color="auto" w:fill="F8F8F8"/>
    </w:rPr>
  </w:style>
  <w:style w:type="character" w:customStyle="1" w:styleId="ExtensionTok">
    <w:name w:val="ExtensionTok"/>
    <w:basedOn w:val="VerbatimChar"/>
    <w:rPr>
      <w:rFonts w:ascii="Consolas" w:hAnsi="Consolas"/>
      <w:i/>
      <w:iCs/>
      <w:sz w:val="22"/>
      <w:szCs w:val="18"/>
      <w:shd w:val="clear" w:color="auto" w:fill="F8F8F8"/>
    </w:rPr>
  </w:style>
  <w:style w:type="character" w:customStyle="1" w:styleId="PreprocessorTok">
    <w:name w:val="PreprocessorTok"/>
    <w:basedOn w:val="VerbatimChar"/>
    <w:rPr>
      <w:rFonts w:ascii="Consolas" w:hAnsi="Consolas"/>
      <w:i w:val="0"/>
      <w:iCs/>
      <w:color w:val="8F5902"/>
      <w:sz w:val="22"/>
      <w:szCs w:val="18"/>
      <w:shd w:val="clear" w:color="auto" w:fill="F8F8F8"/>
    </w:rPr>
  </w:style>
  <w:style w:type="character" w:customStyle="1" w:styleId="AttributeTok">
    <w:name w:val="AttributeTok"/>
    <w:basedOn w:val="VerbatimChar"/>
    <w:rPr>
      <w:rFonts w:ascii="Consolas" w:hAnsi="Consolas"/>
      <w:i/>
      <w:iCs/>
      <w:color w:val="204A87"/>
      <w:sz w:val="22"/>
      <w:szCs w:val="18"/>
      <w:shd w:val="clear" w:color="auto" w:fill="F8F8F8"/>
    </w:rPr>
  </w:style>
  <w:style w:type="character" w:customStyle="1" w:styleId="RegionMarkerTok">
    <w:name w:val="RegionMarkerTok"/>
    <w:basedOn w:val="VerbatimChar"/>
    <w:rPr>
      <w:rFonts w:ascii="Consolas" w:hAnsi="Consolas"/>
      <w:i/>
      <w:iCs/>
      <w:sz w:val="22"/>
      <w:szCs w:val="18"/>
      <w:shd w:val="clear" w:color="auto" w:fill="F8F8F8"/>
    </w:rPr>
  </w:style>
  <w:style w:type="character" w:customStyle="1" w:styleId="InformationTok">
    <w:name w:val="InformationTok"/>
    <w:basedOn w:val="VerbatimChar"/>
    <w:rPr>
      <w:rFonts w:ascii="Consolas" w:hAnsi="Consolas"/>
      <w:b/>
      <w:i w:val="0"/>
      <w:iCs/>
      <w:color w:val="8F5902"/>
      <w:sz w:val="22"/>
      <w:szCs w:val="18"/>
      <w:shd w:val="clear" w:color="auto" w:fill="F8F8F8"/>
    </w:rPr>
  </w:style>
  <w:style w:type="character" w:customStyle="1" w:styleId="WarningTok">
    <w:name w:val="WarningTok"/>
    <w:basedOn w:val="VerbatimChar"/>
    <w:rPr>
      <w:rFonts w:ascii="Consolas" w:hAnsi="Consolas"/>
      <w:b/>
      <w:i w:val="0"/>
      <w:iCs/>
      <w:color w:val="8F5902"/>
      <w:sz w:val="22"/>
      <w:szCs w:val="18"/>
      <w:shd w:val="clear" w:color="auto" w:fill="F8F8F8"/>
    </w:rPr>
  </w:style>
  <w:style w:type="character" w:customStyle="1" w:styleId="AlertTok">
    <w:name w:val="AlertTok"/>
    <w:basedOn w:val="VerbatimChar"/>
    <w:rPr>
      <w:rFonts w:ascii="Consolas" w:hAnsi="Consolas"/>
      <w:i/>
      <w:iCs/>
      <w:color w:val="EF2929"/>
      <w:sz w:val="22"/>
      <w:szCs w:val="18"/>
      <w:shd w:val="clear" w:color="auto" w:fill="F8F8F8"/>
    </w:rPr>
  </w:style>
  <w:style w:type="character" w:customStyle="1" w:styleId="ErrorTok">
    <w:name w:val="ErrorTok"/>
    <w:basedOn w:val="VerbatimChar"/>
    <w:rPr>
      <w:rFonts w:ascii="Consolas" w:hAnsi="Consolas"/>
      <w:b/>
      <w:i/>
      <w:iCs/>
      <w:color w:val="A40000"/>
      <w:sz w:val="22"/>
      <w:szCs w:val="18"/>
      <w:shd w:val="clear" w:color="auto" w:fill="F8F8F8"/>
    </w:rPr>
  </w:style>
  <w:style w:type="character" w:customStyle="1" w:styleId="NormalTok">
    <w:name w:val="NormalTok"/>
    <w:basedOn w:val="VerbatimChar"/>
    <w:rPr>
      <w:rFonts w:ascii="Consolas" w:hAnsi="Consolas"/>
      <w:i/>
      <w:iCs/>
      <w:sz w:val="22"/>
      <w:szCs w:val="18"/>
      <w:shd w:val="clear" w:color="auto" w:fill="F8F8F8"/>
    </w:rPr>
  </w:style>
  <w:style w:type="paragraph" w:styleId="Header">
    <w:name w:val="header"/>
    <w:basedOn w:val="Normal"/>
    <w:link w:val="HeaderChar"/>
    <w:rsid w:val="007861BE"/>
    <w:pPr>
      <w:tabs>
        <w:tab w:val="center" w:pos="4513"/>
        <w:tab w:val="right" w:pos="9026"/>
      </w:tabs>
      <w:spacing w:after="0"/>
    </w:pPr>
  </w:style>
  <w:style w:type="character" w:customStyle="1" w:styleId="HeaderChar">
    <w:name w:val="Header Char"/>
    <w:basedOn w:val="DefaultParagraphFont"/>
    <w:link w:val="Header"/>
    <w:rsid w:val="007861BE"/>
  </w:style>
  <w:style w:type="paragraph" w:styleId="Footer">
    <w:name w:val="footer"/>
    <w:basedOn w:val="Normal"/>
    <w:link w:val="FooterChar"/>
    <w:rsid w:val="007861BE"/>
    <w:pPr>
      <w:tabs>
        <w:tab w:val="center" w:pos="4513"/>
        <w:tab w:val="right" w:pos="9026"/>
      </w:tabs>
      <w:spacing w:after="0"/>
    </w:pPr>
  </w:style>
  <w:style w:type="character" w:customStyle="1" w:styleId="FooterChar">
    <w:name w:val="Footer Char"/>
    <w:basedOn w:val="DefaultParagraphFont"/>
    <w:link w:val="Footer"/>
    <w:rsid w:val="007861BE"/>
  </w:style>
  <w:style w:type="paragraph" w:styleId="TOC1">
    <w:name w:val="toc 1"/>
    <w:basedOn w:val="Normal"/>
    <w:next w:val="Normal"/>
    <w:autoRedefine/>
    <w:uiPriority w:val="39"/>
    <w:rsid w:val="00213FD3"/>
    <w:pPr>
      <w:spacing w:after="100"/>
    </w:pPr>
  </w:style>
  <w:style w:type="paragraph" w:styleId="TOC2">
    <w:name w:val="toc 2"/>
    <w:basedOn w:val="Normal"/>
    <w:next w:val="Normal"/>
    <w:autoRedefine/>
    <w:uiPriority w:val="39"/>
    <w:rsid w:val="00213FD3"/>
    <w:pPr>
      <w:spacing w:after="100"/>
      <w:ind w:left="240"/>
    </w:pPr>
  </w:style>
  <w:style w:type="paragraph" w:styleId="TOC3">
    <w:name w:val="toc 3"/>
    <w:basedOn w:val="Normal"/>
    <w:next w:val="Normal"/>
    <w:autoRedefine/>
    <w:uiPriority w:val="39"/>
    <w:rsid w:val="00213FD3"/>
    <w:pPr>
      <w:spacing w:after="100"/>
      <w:ind w:left="480"/>
    </w:pPr>
  </w:style>
  <w:style w:type="character" w:styleId="UnresolvedMention">
    <w:name w:val="Unresolved Mention"/>
    <w:basedOn w:val="DefaultParagraphFont"/>
    <w:uiPriority w:val="99"/>
    <w:semiHidden/>
    <w:unhideWhenUsed/>
    <w:rsid w:val="00C26F31"/>
    <w:rPr>
      <w:color w:val="605E5C"/>
      <w:shd w:val="clear" w:color="auto" w:fill="E1DFDD"/>
    </w:rPr>
  </w:style>
  <w:style w:type="character" w:styleId="FollowedHyperlink">
    <w:name w:val="FollowedHyperlink"/>
    <w:basedOn w:val="DefaultParagraphFont"/>
    <w:rsid w:val="000E56D6"/>
    <w:rPr>
      <w:color w:val="FCBF86" w:themeColor="followedHyperlink"/>
      <w:u w:val="single"/>
    </w:rPr>
  </w:style>
  <w:style w:type="character" w:styleId="CommentReference">
    <w:name w:val="annotation reference"/>
    <w:basedOn w:val="DefaultParagraphFont"/>
    <w:rsid w:val="00A75D76"/>
    <w:rPr>
      <w:sz w:val="16"/>
      <w:szCs w:val="16"/>
    </w:rPr>
  </w:style>
  <w:style w:type="paragraph" w:styleId="CommentText">
    <w:name w:val="annotation text"/>
    <w:basedOn w:val="Normal"/>
    <w:link w:val="CommentTextChar"/>
    <w:rsid w:val="00A75D76"/>
    <w:rPr>
      <w:sz w:val="20"/>
      <w:szCs w:val="20"/>
    </w:rPr>
  </w:style>
  <w:style w:type="character" w:customStyle="1" w:styleId="CommentTextChar">
    <w:name w:val="Comment Text Char"/>
    <w:basedOn w:val="DefaultParagraphFont"/>
    <w:link w:val="CommentText"/>
    <w:rsid w:val="00A75D76"/>
    <w:rPr>
      <w:sz w:val="20"/>
      <w:szCs w:val="20"/>
    </w:rPr>
  </w:style>
  <w:style w:type="paragraph" w:styleId="CommentSubject">
    <w:name w:val="annotation subject"/>
    <w:basedOn w:val="CommentText"/>
    <w:next w:val="CommentText"/>
    <w:link w:val="CommentSubjectChar"/>
    <w:rsid w:val="00A75D76"/>
    <w:rPr>
      <w:b/>
      <w:bCs/>
    </w:rPr>
  </w:style>
  <w:style w:type="character" w:customStyle="1" w:styleId="CommentSubjectChar">
    <w:name w:val="Comment Subject Char"/>
    <w:basedOn w:val="CommentTextChar"/>
    <w:link w:val="CommentSubject"/>
    <w:rsid w:val="00A75D76"/>
    <w:rPr>
      <w:b/>
      <w:bCs/>
      <w:sz w:val="20"/>
      <w:szCs w:val="20"/>
    </w:rPr>
  </w:style>
  <w:style w:type="paragraph" w:styleId="ListParagraph">
    <w:name w:val="List Paragraph"/>
    <w:basedOn w:val="Normal"/>
    <w:uiPriority w:val="34"/>
    <w:qFormat/>
    <w:rsid w:val="00ED53E7"/>
    <w:pPr>
      <w:numPr>
        <w:numId w:val="33"/>
      </w:numPr>
      <w:contextualSpacing/>
    </w:pPr>
  </w:style>
  <w:style w:type="paragraph" w:styleId="Revision">
    <w:name w:val="Revision"/>
    <w:hidden/>
    <w:rsid w:val="00AC6E9E"/>
    <w:pPr>
      <w:spacing w:after="0"/>
    </w:pPr>
  </w:style>
  <w:style w:type="paragraph" w:styleId="NormalWeb">
    <w:name w:val="Normal (Web)"/>
    <w:basedOn w:val="Normal"/>
    <w:uiPriority w:val="99"/>
    <w:unhideWhenUsed/>
    <w:rsid w:val="00561A9D"/>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561A9D"/>
    <w:rPr>
      <w:b/>
      <w:bCs/>
    </w:rPr>
  </w:style>
  <w:style w:type="paragraph" w:customStyle="1" w:styleId="xelementtoproof">
    <w:name w:val="x_elementtoproof"/>
    <w:basedOn w:val="Normal"/>
    <w:rsid w:val="00561A9D"/>
    <w:pPr>
      <w:spacing w:before="100" w:beforeAutospacing="1" w:after="100" w:afterAutospacing="1"/>
    </w:pPr>
    <w:rPr>
      <w:rFonts w:ascii="Times New Roman" w:eastAsia="Times New Roman" w:hAnsi="Times New Roman" w:cs="Times New Roman"/>
      <w:lang w:eastAsia="en-AU"/>
    </w:rPr>
  </w:style>
  <w:style w:type="character" w:styleId="Emphasis">
    <w:name w:val="Emphasis"/>
    <w:uiPriority w:val="20"/>
    <w:qFormat/>
    <w:rsid w:val="00482C6D"/>
    <w:rPr>
      <w:i/>
      <w:iCs/>
    </w:rPr>
  </w:style>
  <w:style w:type="paragraph" w:customStyle="1" w:styleId="NormalBullet">
    <w:name w:val="Normal Bullet"/>
    <w:basedOn w:val="Normal"/>
    <w:next w:val="Normal"/>
    <w:autoRedefine/>
    <w:rsid w:val="000E2B16"/>
    <w:pPr>
      <w:numPr>
        <w:numId w:val="34"/>
      </w:numPr>
      <w:tabs>
        <w:tab w:val="left" w:pos="13098"/>
      </w:tabs>
      <w:autoSpaceDE w:val="0"/>
      <w:autoSpaceDN w:val="0"/>
      <w:adjustRightInd w:val="0"/>
      <w:spacing w:after="0"/>
      <w:jc w:val="both"/>
    </w:pPr>
    <w:rPr>
      <w:rFonts w:eastAsia="Times New Roman" w:cs="Times New Roman"/>
      <w:lang w:eastAsia="en-AU"/>
    </w:rPr>
  </w:style>
  <w:style w:type="table" w:styleId="TableGrid">
    <w:name w:val="Table Grid"/>
    <w:basedOn w:val="TableNormal"/>
    <w:uiPriority w:val="59"/>
    <w:rsid w:val="00ED53E7"/>
    <w:pPr>
      <w:spacing w:after="0"/>
    </w:pPr>
    <w:rPr>
      <w:rFonts w:ascii="Inter" w:eastAsia="Times New Roman" w:hAnsi="Inter" w:cs="Times New Roman"/>
      <w:sz w:val="20"/>
      <w:szCs w:val="20"/>
      <w:lang w:val="en-AU"/>
    </w:rPr>
    <w:tblPr>
      <w:tblStyleRowBandSize w:val="1"/>
      <w:tblBorders>
        <w:top w:val="single" w:sz="18" w:space="0" w:color="EDE8E0" w:themeColor="background1"/>
        <w:left w:val="single" w:sz="18" w:space="0" w:color="EDE8E0" w:themeColor="background1"/>
        <w:bottom w:val="single" w:sz="18" w:space="0" w:color="EDE8E0" w:themeColor="background1"/>
        <w:right w:val="single" w:sz="18" w:space="0" w:color="EDE8E0" w:themeColor="background1"/>
        <w:insideH w:val="single" w:sz="18" w:space="0" w:color="EDE8E0" w:themeColor="background1"/>
        <w:insideV w:val="single" w:sz="18" w:space="0" w:color="EDE8E0" w:themeColor="background1"/>
      </w:tblBorders>
    </w:tblPr>
    <w:tblStylePr w:type="firstRow">
      <w:rPr>
        <w:rFonts w:ascii="Arial" w:hAnsi="Arial"/>
        <w:color w:val="EDE8E0" w:themeColor="background1"/>
      </w:rPr>
      <w:tblPr/>
      <w:tcPr>
        <w:shd w:val="clear" w:color="auto" w:fill="C79D15"/>
      </w:tcPr>
    </w:tblStylePr>
    <w:tblStylePr w:type="band1Horz">
      <w:rPr>
        <w:color w:val="auto"/>
      </w:rPr>
      <w:tblPr/>
      <w:tcPr>
        <w:shd w:val="clear" w:color="auto" w:fill="EDE8E0" w:themeFill="background1"/>
      </w:tcPr>
    </w:tblStylePr>
    <w:tblStylePr w:type="band2Horz">
      <w:tblPr/>
      <w:tcPr>
        <w:shd w:val="clear" w:color="auto" w:fill="FFF6E0"/>
      </w:tcPr>
    </w:tblStylePr>
  </w:style>
  <w:style w:type="paragraph" w:customStyle="1" w:styleId="TableHeading">
    <w:name w:val="Table Heading"/>
    <w:basedOn w:val="Normal"/>
    <w:autoRedefine/>
    <w:rsid w:val="000E2B16"/>
    <w:pPr>
      <w:spacing w:before="120" w:after="60" w:line="300" w:lineRule="auto"/>
      <w:ind w:left="851" w:hanging="851"/>
    </w:pPr>
    <w:rPr>
      <w:rFonts w:eastAsia="Times New Roman" w:cs="Times New Roman"/>
      <w:bCs/>
      <w:kern w:val="28"/>
      <w:sz w:val="18"/>
    </w:rPr>
  </w:style>
  <w:style w:type="paragraph" w:customStyle="1" w:styleId="paragraph">
    <w:name w:val="paragraph"/>
    <w:basedOn w:val="Normal"/>
    <w:rsid w:val="002B467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B4677"/>
  </w:style>
  <w:style w:type="character" w:customStyle="1" w:styleId="eop">
    <w:name w:val="eop"/>
    <w:basedOn w:val="DefaultParagraphFont"/>
    <w:rsid w:val="002B4677"/>
  </w:style>
  <w:style w:type="paragraph" w:customStyle="1" w:styleId="AOCtext">
    <w:name w:val="AOC text"/>
    <w:basedOn w:val="Normal"/>
    <w:qFormat/>
    <w:rsid w:val="00ED53E7"/>
    <w:rPr>
      <w:sz w:val="28"/>
      <w:szCs w:val="28"/>
    </w:rPr>
  </w:style>
  <w:style w:type="paragraph" w:customStyle="1" w:styleId="TableParagraph">
    <w:name w:val="Table Paragraph"/>
    <w:basedOn w:val="Normal"/>
    <w:uiPriority w:val="1"/>
    <w:qFormat/>
    <w:rsid w:val="00ED53E7"/>
    <w:pPr>
      <w:spacing w:after="120"/>
    </w:pPr>
    <w:rPr>
      <w:rFonts w:eastAsiaTheme="minorEastAsia"/>
      <w:kern w:val="0"/>
      <w14:ligatures w14:val="none"/>
    </w:rPr>
  </w:style>
  <w:style w:type="character" w:customStyle="1" w:styleId="Heading1Char">
    <w:name w:val="Heading 1 Char"/>
    <w:basedOn w:val="DefaultParagraphFont"/>
    <w:link w:val="Heading1"/>
    <w:uiPriority w:val="9"/>
    <w:rsid w:val="00ED53E7"/>
    <w:rPr>
      <w:rFonts w:ascii="Inter Medium" w:eastAsiaTheme="majorEastAsia" w:hAnsi="Inter Medium" w:cstheme="majorBidi"/>
      <w:color w:val="6B3B57"/>
      <w:sz w:val="52"/>
      <w:szCs w:val="40"/>
    </w:rPr>
  </w:style>
  <w:style w:type="character" w:customStyle="1" w:styleId="Heading2Char">
    <w:name w:val="Heading 2 Char"/>
    <w:basedOn w:val="DefaultParagraphFont"/>
    <w:link w:val="Heading2"/>
    <w:uiPriority w:val="9"/>
    <w:rsid w:val="00ED53E7"/>
    <w:rPr>
      <w:rFonts w:ascii="Inter" w:eastAsiaTheme="majorEastAsia" w:hAnsi="Inter" w:cstheme="majorBidi"/>
      <w:color w:val="6B3B57"/>
      <w:sz w:val="40"/>
      <w:szCs w:val="40"/>
      <w:lang w:eastAsia="en-AU"/>
    </w:rPr>
  </w:style>
  <w:style w:type="character" w:customStyle="1" w:styleId="Heading3Char">
    <w:name w:val="Heading 3 Char"/>
    <w:basedOn w:val="DefaultParagraphFont"/>
    <w:link w:val="Heading3"/>
    <w:uiPriority w:val="9"/>
    <w:rsid w:val="00ED53E7"/>
    <w:rPr>
      <w:rFonts w:ascii="Inter Medium" w:eastAsiaTheme="majorEastAsia" w:hAnsi="Inter Medium" w:cstheme="majorBidi"/>
      <w:bCs/>
      <w:sz w:val="28"/>
      <w:szCs w:val="28"/>
    </w:rPr>
  </w:style>
  <w:style w:type="character" w:customStyle="1" w:styleId="Heading4Char">
    <w:name w:val="Heading 4 Char"/>
    <w:basedOn w:val="DefaultParagraphFont"/>
    <w:link w:val="Heading4"/>
    <w:uiPriority w:val="9"/>
    <w:rsid w:val="00ED53E7"/>
    <w:rPr>
      <w:rFonts w:ascii="Inter" w:eastAsiaTheme="majorEastAsia" w:hAnsi="Inter" w:cstheme="majorBidi"/>
      <w:i/>
      <w:iCs/>
    </w:rPr>
  </w:style>
  <w:style w:type="character" w:customStyle="1" w:styleId="Heading5Char">
    <w:name w:val="Heading 5 Char"/>
    <w:basedOn w:val="DefaultParagraphFont"/>
    <w:link w:val="Heading5"/>
    <w:uiPriority w:val="9"/>
    <w:rsid w:val="00ED53E7"/>
    <w:rPr>
      <w:rFonts w:ascii="Inter" w:eastAsiaTheme="majorEastAsia" w:hAnsi="Inter" w:cstheme="majorBidi"/>
      <w:color w:val="27151C" w:themeColor="accent1" w:themeShade="BF"/>
    </w:rPr>
  </w:style>
  <w:style w:type="character" w:customStyle="1" w:styleId="Heading6Char">
    <w:name w:val="Heading 6 Char"/>
    <w:basedOn w:val="DefaultParagraphFont"/>
    <w:link w:val="Heading6"/>
    <w:uiPriority w:val="9"/>
    <w:rsid w:val="00ED53E7"/>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rsid w:val="00ED53E7"/>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rsid w:val="00ED53E7"/>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rsid w:val="00ED53E7"/>
    <w:rPr>
      <w:rFonts w:ascii="Inter" w:eastAsiaTheme="majorEastAsia" w:hAnsi="Inter" w:cstheme="majorBidi"/>
      <w:color w:val="5F3244" w:themeColor="text1" w:themeTint="D8"/>
    </w:rPr>
  </w:style>
  <w:style w:type="character" w:customStyle="1" w:styleId="TitleChar">
    <w:name w:val="Title Char"/>
    <w:basedOn w:val="DefaultParagraphFont"/>
    <w:link w:val="Title"/>
    <w:uiPriority w:val="10"/>
    <w:rsid w:val="00ED53E7"/>
    <w:rPr>
      <w:rFonts w:ascii="Inter" w:hAnsi="Inter"/>
      <w:color w:val="FCAB63"/>
      <w:sz w:val="104"/>
      <w:szCs w:val="104"/>
    </w:rPr>
  </w:style>
  <w:style w:type="character" w:customStyle="1" w:styleId="SubtitleChar">
    <w:name w:val="Subtitle Char"/>
    <w:basedOn w:val="DefaultParagraphFont"/>
    <w:link w:val="Subtitle"/>
    <w:uiPriority w:val="11"/>
    <w:rsid w:val="00ED53E7"/>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ED53E7"/>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ED53E7"/>
    <w:rPr>
      <w:rFonts w:ascii="Inter" w:hAnsi="Inter"/>
      <w:i/>
      <w:iCs/>
      <w:color w:val="7B4158" w:themeColor="text1" w:themeTint="BF"/>
    </w:rPr>
  </w:style>
  <w:style w:type="table" w:styleId="GridTable4-Accent1">
    <w:name w:val="Grid Table 4 Accent 1"/>
    <w:basedOn w:val="TableNormal"/>
    <w:uiPriority w:val="49"/>
    <w:rsid w:val="00ED53E7"/>
    <w:pPr>
      <w:spacing w:after="0" w:line="240" w:lineRule="auto"/>
    </w:pPr>
    <w:tblPr>
      <w:tblStyleRowBandSize w:val="1"/>
      <w:tblStyleColBandSize w:val="1"/>
      <w:tblBorders>
        <w:top w:val="single" w:sz="4" w:space="0" w:color="A55776" w:themeColor="accent1" w:themeTint="99"/>
        <w:left w:val="single" w:sz="4" w:space="0" w:color="A55776" w:themeColor="accent1" w:themeTint="99"/>
        <w:bottom w:val="single" w:sz="4" w:space="0" w:color="A55776" w:themeColor="accent1" w:themeTint="99"/>
        <w:right w:val="single" w:sz="4" w:space="0" w:color="A55776" w:themeColor="accent1" w:themeTint="99"/>
        <w:insideH w:val="single" w:sz="4" w:space="0" w:color="A55776" w:themeColor="accent1" w:themeTint="99"/>
        <w:insideV w:val="single" w:sz="4" w:space="0" w:color="A55776" w:themeColor="accent1" w:themeTint="99"/>
      </w:tblBorders>
    </w:tblPr>
    <w:tblStylePr w:type="firstRow">
      <w:rPr>
        <w:b/>
        <w:bCs/>
        <w:color w:val="EDE8E0" w:themeColor="background1"/>
      </w:rPr>
      <w:tblPr/>
      <w:tcPr>
        <w:tcBorders>
          <w:top w:val="single" w:sz="4" w:space="0" w:color="351C26" w:themeColor="accent1"/>
          <w:left w:val="single" w:sz="4" w:space="0" w:color="351C26" w:themeColor="accent1"/>
          <w:bottom w:val="single" w:sz="4" w:space="0" w:color="351C26" w:themeColor="accent1"/>
          <w:right w:val="single" w:sz="4" w:space="0" w:color="351C26" w:themeColor="accent1"/>
          <w:insideH w:val="nil"/>
          <w:insideV w:val="nil"/>
        </w:tcBorders>
        <w:shd w:val="clear" w:color="auto" w:fill="351C26" w:themeFill="accent1"/>
      </w:tcPr>
    </w:tblStylePr>
    <w:tblStylePr w:type="lastRow">
      <w:rPr>
        <w:b/>
        <w:bCs/>
      </w:rPr>
      <w:tblPr/>
      <w:tcPr>
        <w:tcBorders>
          <w:top w:val="double" w:sz="4" w:space="0" w:color="351C26" w:themeColor="accent1"/>
        </w:tcBorders>
      </w:tcPr>
    </w:tblStylePr>
    <w:tblStylePr w:type="firstCol">
      <w:rPr>
        <w:b/>
        <w:bCs/>
      </w:rPr>
    </w:tblStylePr>
    <w:tblStylePr w:type="lastCol">
      <w:rPr>
        <w:b/>
        <w:bCs/>
      </w:rPr>
    </w:tblStylePr>
    <w:tblStylePr w:type="band1Vert">
      <w:tblPr/>
      <w:tcPr>
        <w:shd w:val="clear" w:color="auto" w:fill="E1C6D1" w:themeFill="accent1" w:themeFillTint="33"/>
      </w:tcPr>
    </w:tblStylePr>
    <w:tblStylePr w:type="band1Horz">
      <w:tblPr/>
      <w:tcPr>
        <w:shd w:val="clear" w:color="auto" w:fill="E1C6D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3816">
      <w:bodyDiv w:val="1"/>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
        <w:div w:id="342510206">
          <w:marLeft w:val="0"/>
          <w:marRight w:val="0"/>
          <w:marTop w:val="0"/>
          <w:marBottom w:val="0"/>
          <w:divBdr>
            <w:top w:val="none" w:sz="0" w:space="0" w:color="auto"/>
            <w:left w:val="none" w:sz="0" w:space="0" w:color="auto"/>
            <w:bottom w:val="none" w:sz="0" w:space="0" w:color="auto"/>
            <w:right w:val="none" w:sz="0" w:space="0" w:color="auto"/>
          </w:divBdr>
        </w:div>
        <w:div w:id="454911311">
          <w:marLeft w:val="0"/>
          <w:marRight w:val="0"/>
          <w:marTop w:val="0"/>
          <w:marBottom w:val="0"/>
          <w:divBdr>
            <w:top w:val="none" w:sz="0" w:space="0" w:color="auto"/>
            <w:left w:val="none" w:sz="0" w:space="0" w:color="auto"/>
            <w:bottom w:val="none" w:sz="0" w:space="0" w:color="auto"/>
            <w:right w:val="none" w:sz="0" w:space="0" w:color="auto"/>
          </w:divBdr>
        </w:div>
        <w:div w:id="1032923591">
          <w:marLeft w:val="0"/>
          <w:marRight w:val="0"/>
          <w:marTop w:val="0"/>
          <w:marBottom w:val="0"/>
          <w:divBdr>
            <w:top w:val="none" w:sz="0" w:space="0" w:color="auto"/>
            <w:left w:val="none" w:sz="0" w:space="0" w:color="auto"/>
            <w:bottom w:val="none" w:sz="0" w:space="0" w:color="auto"/>
            <w:right w:val="none" w:sz="0" w:space="0" w:color="auto"/>
          </w:divBdr>
        </w:div>
        <w:div w:id="1060397327">
          <w:marLeft w:val="0"/>
          <w:marRight w:val="0"/>
          <w:marTop w:val="0"/>
          <w:marBottom w:val="0"/>
          <w:divBdr>
            <w:top w:val="none" w:sz="0" w:space="0" w:color="auto"/>
            <w:left w:val="none" w:sz="0" w:space="0" w:color="auto"/>
            <w:bottom w:val="none" w:sz="0" w:space="0" w:color="auto"/>
            <w:right w:val="none" w:sz="0" w:space="0" w:color="auto"/>
          </w:divBdr>
        </w:div>
        <w:div w:id="1506555212">
          <w:marLeft w:val="0"/>
          <w:marRight w:val="0"/>
          <w:marTop w:val="0"/>
          <w:marBottom w:val="0"/>
          <w:divBdr>
            <w:top w:val="none" w:sz="0" w:space="0" w:color="auto"/>
            <w:left w:val="none" w:sz="0" w:space="0" w:color="auto"/>
            <w:bottom w:val="none" w:sz="0" w:space="0" w:color="auto"/>
            <w:right w:val="none" w:sz="0" w:space="0" w:color="auto"/>
          </w:divBdr>
        </w:div>
        <w:div w:id="1518424108">
          <w:marLeft w:val="0"/>
          <w:marRight w:val="0"/>
          <w:marTop w:val="0"/>
          <w:marBottom w:val="0"/>
          <w:divBdr>
            <w:top w:val="none" w:sz="0" w:space="0" w:color="auto"/>
            <w:left w:val="none" w:sz="0" w:space="0" w:color="auto"/>
            <w:bottom w:val="none" w:sz="0" w:space="0" w:color="auto"/>
            <w:right w:val="none" w:sz="0" w:space="0" w:color="auto"/>
          </w:divBdr>
        </w:div>
      </w:divsChild>
    </w:div>
    <w:div w:id="755789074">
      <w:bodyDiv w:val="1"/>
      <w:marLeft w:val="0"/>
      <w:marRight w:val="0"/>
      <w:marTop w:val="0"/>
      <w:marBottom w:val="0"/>
      <w:divBdr>
        <w:top w:val="none" w:sz="0" w:space="0" w:color="auto"/>
        <w:left w:val="none" w:sz="0" w:space="0" w:color="auto"/>
        <w:bottom w:val="none" w:sz="0" w:space="0" w:color="auto"/>
        <w:right w:val="none" w:sz="0" w:space="0" w:color="auto"/>
      </w:divBdr>
      <w:divsChild>
        <w:div w:id="1180391281">
          <w:marLeft w:val="0"/>
          <w:marRight w:val="0"/>
          <w:marTop w:val="0"/>
          <w:marBottom w:val="0"/>
          <w:divBdr>
            <w:top w:val="none" w:sz="0" w:space="0" w:color="auto"/>
            <w:left w:val="none" w:sz="0" w:space="0" w:color="auto"/>
            <w:bottom w:val="none" w:sz="0" w:space="0" w:color="auto"/>
            <w:right w:val="none" w:sz="0" w:space="0" w:color="auto"/>
          </w:divBdr>
        </w:div>
      </w:divsChild>
    </w:div>
    <w:div w:id="840195068">
      <w:bodyDiv w:val="1"/>
      <w:marLeft w:val="0"/>
      <w:marRight w:val="0"/>
      <w:marTop w:val="0"/>
      <w:marBottom w:val="0"/>
      <w:divBdr>
        <w:top w:val="none" w:sz="0" w:space="0" w:color="auto"/>
        <w:left w:val="none" w:sz="0" w:space="0" w:color="auto"/>
        <w:bottom w:val="none" w:sz="0" w:space="0" w:color="auto"/>
        <w:right w:val="none" w:sz="0" w:space="0" w:color="auto"/>
      </w:divBdr>
    </w:div>
    <w:div w:id="2052685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ses.edu.au/data/interactive-too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SES burgundy/blue">
      <a:dk1>
        <a:srgbClr val="351C26"/>
      </a:dk1>
      <a:lt1>
        <a:srgbClr val="EDE8E0"/>
      </a:lt1>
      <a:dk2>
        <a:srgbClr val="351C26"/>
      </a:dk2>
      <a:lt2>
        <a:srgbClr val="EDE8E0"/>
      </a:lt2>
      <a:accent1>
        <a:srgbClr val="351C26"/>
      </a:accent1>
      <a:accent2>
        <a:srgbClr val="B4728D"/>
      </a:accent2>
      <a:accent3>
        <a:srgbClr val="7B4158"/>
      </a:accent3>
      <a:accent4>
        <a:srgbClr val="FCBF86"/>
      </a:accent4>
      <a:accent5>
        <a:srgbClr val="B4728D"/>
      </a:accent5>
      <a:accent6>
        <a:srgbClr val="EDE8E0"/>
      </a:accent6>
      <a:hlink>
        <a:srgbClr val="73D1CC"/>
      </a:hlink>
      <a:folHlink>
        <a:srgbClr val="FCBF8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5BB0-8D23-4FA6-88D4-74BABA45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11</Pages>
  <Words>1540</Words>
  <Characters>8979</Characters>
  <Application>Microsoft Office Word</Application>
  <DocSecurity>0</DocSecurity>
  <Lines>264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Pitman</dc:creator>
  <cp:keywords/>
  <cp:lastModifiedBy>Jasmine Muscat</cp:lastModifiedBy>
  <cp:revision>8</cp:revision>
  <cp:lastPrinted>2025-12-10T06:51:00Z</cp:lastPrinted>
  <dcterms:created xsi:type="dcterms:W3CDTF">2024-11-28T04:15:00Z</dcterms:created>
  <dcterms:modified xsi:type="dcterms:W3CDTF">2025-12-10T06:51:00Z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2024-04-16</vt:lpwstr>
  </property>
  <property fmtid="{D5CDD505-2E9C-101B-9397-08002B2CF9AE}" pid="3" name="mainfont">
    <vt:lpwstr>Times New Roman</vt:lpwstr>
  </property>
  <property fmtid="{D5CDD505-2E9C-101B-9397-08002B2CF9AE}" pid="4" name="output">
    <vt:lpwstr/>
  </property>
</Properties>
</file>