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8786" w14:textId="3794C782" w:rsidR="0058529D" w:rsidRPr="00757D20" w:rsidRDefault="00702A1D" w:rsidP="00A75B8B">
      <w:pPr>
        <w:pStyle w:val="Reportcategorytitle"/>
        <w:ind w:right="-1361"/>
        <w:rPr>
          <w:rStyle w:val="cf01"/>
          <w:sz w:val="32"/>
          <w:szCs w:val="32"/>
        </w:rPr>
      </w:pPr>
      <w:r w:rsidRPr="00757D20">
        <w:rPr>
          <w:noProof/>
          <w:color w:val="6B3B57" w:themeColor="accent2"/>
          <w:szCs w:val="32"/>
        </w:rPr>
        <w:drawing>
          <wp:anchor distT="0" distB="0" distL="114300" distR="114300" simplePos="0" relativeHeight="251658240" behindDoc="1" locked="0" layoutInCell="1" allowOverlap="1" wp14:anchorId="5361C7CE" wp14:editId="2DAF80A8">
            <wp:simplePos x="0" y="0"/>
            <wp:positionH relativeFrom="page">
              <wp:align>right</wp:align>
            </wp:positionH>
            <wp:positionV relativeFrom="paragraph">
              <wp:posOffset>-502098</wp:posOffset>
            </wp:positionV>
            <wp:extent cx="7554533" cy="10686010"/>
            <wp:effectExtent l="0" t="0" r="8890" b="1270"/>
            <wp:wrapNone/>
            <wp:doc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University of Newcastl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University of Newcastle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4533" cy="10686010"/>
                    </a:xfrm>
                    <a:prstGeom prst="rect">
                      <a:avLst/>
                    </a:prstGeom>
                  </pic:spPr>
                </pic:pic>
              </a:graphicData>
            </a:graphic>
            <wp14:sizeRelH relativeFrom="page">
              <wp14:pctWidth>0</wp14:pctWidth>
            </wp14:sizeRelH>
            <wp14:sizeRelV relativeFrom="page">
              <wp14:pctHeight>0</wp14:pctHeight>
            </wp14:sizeRelV>
          </wp:anchor>
        </w:drawing>
      </w:r>
      <w:bookmarkStart w:id="0" w:name="_Hlk205976293"/>
      <w:bookmarkEnd w:id="0"/>
      <w:r w:rsidR="00C2504A" w:rsidRPr="00757D20">
        <w:rPr>
          <w:szCs w:val="32"/>
        </w:rPr>
        <w:t>SMALL GRANT</w:t>
      </w:r>
      <w:r w:rsidR="00EB7982" w:rsidRPr="00757D20">
        <w:rPr>
          <w:szCs w:val="32"/>
        </w:rPr>
        <w:t>S RESEARCH PROGRAM</w:t>
      </w:r>
      <w:r w:rsidR="0058529D" w:rsidRPr="00757D20">
        <w:rPr>
          <w:szCs w:val="32"/>
        </w:rPr>
        <w:t xml:space="preserve"> REPORT</w:t>
      </w:r>
    </w:p>
    <w:p w14:paraId="3841576A" w14:textId="121C131F" w:rsidR="008C7722" w:rsidRPr="00757D20" w:rsidRDefault="00526FDC" w:rsidP="00BA5DC3">
      <w:pPr>
        <w:pStyle w:val="Title"/>
        <w:ind w:right="-1986"/>
        <w:rPr>
          <w:sz w:val="92"/>
          <w:szCs w:val="92"/>
        </w:rPr>
      </w:pPr>
      <w:r w:rsidRPr="00757D20">
        <w:rPr>
          <w:sz w:val="92"/>
          <w:szCs w:val="92"/>
        </w:rPr>
        <w:t>Understanding school students’ aspirations in uncertain times</w:t>
      </w:r>
    </w:p>
    <w:p w14:paraId="346FC36D" w14:textId="77777777" w:rsidR="00346CF8" w:rsidRPr="00757D20" w:rsidRDefault="00346CF8" w:rsidP="00346CF8"/>
    <w:p w14:paraId="08AF1A4E" w14:textId="77777777" w:rsidR="00583975" w:rsidRPr="00757D20" w:rsidRDefault="00583975" w:rsidP="00C640D7">
      <w:pPr>
        <w:rPr>
          <w:rFonts w:cs="Arial"/>
          <w:sz w:val="32"/>
          <w:szCs w:val="32"/>
        </w:rPr>
      </w:pPr>
    </w:p>
    <w:p w14:paraId="0BCF06AD" w14:textId="77777777" w:rsidR="00583975" w:rsidRPr="00757D20" w:rsidRDefault="00583975" w:rsidP="00C640D7">
      <w:pPr>
        <w:rPr>
          <w:rFonts w:cs="Arial"/>
          <w:sz w:val="32"/>
          <w:szCs w:val="32"/>
        </w:rPr>
      </w:pPr>
    </w:p>
    <w:p w14:paraId="4FCD970F" w14:textId="77777777" w:rsidR="00583975" w:rsidRPr="00757D20" w:rsidRDefault="00583975" w:rsidP="00C640D7">
      <w:pPr>
        <w:rPr>
          <w:rFonts w:cs="Arial"/>
          <w:sz w:val="32"/>
          <w:szCs w:val="32"/>
        </w:rPr>
      </w:pPr>
    </w:p>
    <w:p w14:paraId="433B955A" w14:textId="77777777" w:rsidR="00583975" w:rsidRPr="00757D20" w:rsidRDefault="00583975" w:rsidP="00C640D7">
      <w:pPr>
        <w:rPr>
          <w:rFonts w:cs="Arial"/>
          <w:sz w:val="32"/>
          <w:szCs w:val="32"/>
        </w:rPr>
      </w:pPr>
    </w:p>
    <w:p w14:paraId="5CEFDBEF" w14:textId="77777777" w:rsidR="00583975" w:rsidRPr="00757D20" w:rsidRDefault="00583975" w:rsidP="00C640D7">
      <w:pPr>
        <w:rPr>
          <w:rFonts w:cs="Arial"/>
          <w:sz w:val="32"/>
          <w:szCs w:val="32"/>
        </w:rPr>
      </w:pPr>
    </w:p>
    <w:p w14:paraId="65853931" w14:textId="77777777" w:rsidR="00583975" w:rsidRPr="00757D20" w:rsidRDefault="00583975" w:rsidP="00C640D7">
      <w:pPr>
        <w:rPr>
          <w:rFonts w:cs="Arial"/>
          <w:sz w:val="32"/>
          <w:szCs w:val="32"/>
        </w:rPr>
      </w:pPr>
    </w:p>
    <w:p w14:paraId="73EDD84D" w14:textId="77777777" w:rsidR="00583975" w:rsidRPr="00757D20" w:rsidRDefault="00583975" w:rsidP="00C640D7">
      <w:pPr>
        <w:rPr>
          <w:rFonts w:cs="Arial"/>
          <w:sz w:val="32"/>
          <w:szCs w:val="32"/>
        </w:rPr>
      </w:pPr>
    </w:p>
    <w:p w14:paraId="77F315F6" w14:textId="77777777" w:rsidR="00583975" w:rsidRPr="00757D20" w:rsidRDefault="00583975" w:rsidP="00C640D7">
      <w:pPr>
        <w:rPr>
          <w:rFonts w:cs="Arial"/>
          <w:sz w:val="32"/>
          <w:szCs w:val="32"/>
        </w:rPr>
      </w:pPr>
    </w:p>
    <w:p w14:paraId="2B92EB83" w14:textId="77777777" w:rsidR="00583975" w:rsidRPr="00757D20" w:rsidRDefault="00583975" w:rsidP="00C640D7">
      <w:pPr>
        <w:rPr>
          <w:rFonts w:cs="Arial"/>
          <w:sz w:val="32"/>
          <w:szCs w:val="32"/>
        </w:rPr>
      </w:pPr>
    </w:p>
    <w:p w14:paraId="77986B8C" w14:textId="77777777" w:rsidR="00E13908" w:rsidRPr="00757D20" w:rsidRDefault="00E13908" w:rsidP="00663474">
      <w:pPr>
        <w:spacing w:before="240"/>
        <w:rPr>
          <w:rFonts w:cs="Arial"/>
          <w:sz w:val="32"/>
          <w:szCs w:val="32"/>
        </w:rPr>
      </w:pPr>
    </w:p>
    <w:p w14:paraId="4D51E2CC" w14:textId="77777777" w:rsidR="00A75B8B" w:rsidRPr="00757D20" w:rsidRDefault="00A75B8B" w:rsidP="00A75B8B">
      <w:pPr>
        <w:spacing w:before="240"/>
        <w:rPr>
          <w:rFonts w:cs="Arial"/>
          <w:color w:val="351C26" w:themeColor="text2"/>
          <w:sz w:val="32"/>
          <w:szCs w:val="32"/>
        </w:rPr>
      </w:pPr>
    </w:p>
    <w:p w14:paraId="6E5C9053" w14:textId="77777777" w:rsidR="00A75B8B" w:rsidRPr="00757D20" w:rsidRDefault="00A75B8B" w:rsidP="00A75B8B">
      <w:pPr>
        <w:spacing w:before="240"/>
        <w:rPr>
          <w:rFonts w:cs="Arial"/>
          <w:color w:val="351C26" w:themeColor="text2"/>
          <w:sz w:val="32"/>
          <w:szCs w:val="32"/>
        </w:rPr>
      </w:pPr>
    </w:p>
    <w:p w14:paraId="3A72B3B0" w14:textId="64FCBF3D" w:rsidR="00583975" w:rsidRPr="00757D20" w:rsidRDefault="00644649" w:rsidP="00A75B8B">
      <w:pPr>
        <w:spacing w:before="240"/>
        <w:rPr>
          <w:rFonts w:cs="Arial"/>
          <w:color w:val="351C26" w:themeColor="text2"/>
          <w:sz w:val="32"/>
          <w:szCs w:val="32"/>
        </w:rPr>
      </w:pPr>
      <w:r w:rsidRPr="00757D20">
        <w:rPr>
          <w:rFonts w:cs="Arial"/>
          <w:color w:val="351C26" w:themeColor="text2"/>
          <w:sz w:val="32"/>
          <w:szCs w:val="32"/>
        </w:rPr>
        <w:t xml:space="preserve">Leanne Fray, </w:t>
      </w:r>
      <w:r w:rsidR="00B05131" w:rsidRPr="00757D20">
        <w:rPr>
          <w:rFonts w:cs="Arial"/>
          <w:color w:val="351C26" w:themeColor="text2"/>
          <w:sz w:val="32"/>
          <w:szCs w:val="32"/>
        </w:rPr>
        <w:t xml:space="preserve">Sally Patfield, Kristina Sincock, Jenny Gore, </w:t>
      </w:r>
      <w:r w:rsidR="001F13B0" w:rsidRPr="00757D20">
        <w:rPr>
          <w:rFonts w:cs="Arial"/>
          <w:color w:val="351C26" w:themeColor="text2"/>
          <w:sz w:val="32"/>
          <w:szCs w:val="32"/>
        </w:rPr>
        <w:t xml:space="preserve">and </w:t>
      </w:r>
      <w:r w:rsidR="00B05131" w:rsidRPr="00757D20">
        <w:rPr>
          <w:rFonts w:cs="Arial"/>
          <w:color w:val="351C26" w:themeColor="text2"/>
          <w:sz w:val="32"/>
          <w:szCs w:val="32"/>
        </w:rPr>
        <w:t>Courtney</w:t>
      </w:r>
      <w:r w:rsidR="005F024F" w:rsidRPr="00757D20">
        <w:rPr>
          <w:rFonts w:cs="Arial"/>
          <w:color w:val="351C26" w:themeColor="text2"/>
          <w:sz w:val="32"/>
          <w:szCs w:val="32"/>
        </w:rPr>
        <w:t xml:space="preserve"> Rubie</w:t>
      </w:r>
    </w:p>
    <w:p w14:paraId="08A79245" w14:textId="7E8B7A62" w:rsidR="008C7722" w:rsidRPr="00757D20" w:rsidRDefault="005F024F">
      <w:pPr>
        <w:spacing w:line="259" w:lineRule="auto"/>
        <w:sectPr w:rsidR="008C7722" w:rsidRPr="00757D20" w:rsidSect="00DA0A20">
          <w:footerReference w:type="default" r:id="rId12"/>
          <w:pgSz w:w="11906" w:h="16838"/>
          <w:pgMar w:top="794" w:right="3968" w:bottom="1440" w:left="794" w:header="709" w:footer="709" w:gutter="0"/>
          <w:cols w:space="708"/>
          <w:docGrid w:linePitch="360"/>
        </w:sectPr>
      </w:pPr>
      <w:r w:rsidRPr="00757D20">
        <w:rPr>
          <w:rFonts w:cs="Arial"/>
          <w:b/>
          <w:bCs/>
          <w:color w:val="351C26" w:themeColor="text2"/>
          <w:sz w:val="32"/>
          <w:szCs w:val="32"/>
        </w:rPr>
        <w:t>202</w:t>
      </w:r>
      <w:r w:rsidR="006425B6">
        <w:rPr>
          <w:rFonts w:cs="Arial"/>
          <w:b/>
          <w:bCs/>
          <w:color w:val="351C26" w:themeColor="text2"/>
          <w:sz w:val="32"/>
          <w:szCs w:val="32"/>
        </w:rPr>
        <w:t>6</w:t>
      </w:r>
    </w:p>
    <w:p w14:paraId="1FA307A8" w14:textId="4EDAEE18" w:rsidR="00F871A0" w:rsidRPr="00757D20" w:rsidRDefault="00526FDC" w:rsidP="00F871A0">
      <w:pPr>
        <w:jc w:val="center"/>
        <w:rPr>
          <w:rFonts w:cs="Arial"/>
          <w:b/>
          <w:bCs/>
          <w:sz w:val="36"/>
          <w:szCs w:val="36"/>
        </w:rPr>
      </w:pPr>
      <w:bookmarkStart w:id="1" w:name="_Hlk216433801"/>
      <w:bookmarkStart w:id="2" w:name="_Toc170822380"/>
      <w:r w:rsidRPr="00757D20">
        <w:rPr>
          <w:rFonts w:cs="Arial"/>
          <w:b/>
          <w:bCs/>
          <w:sz w:val="36"/>
          <w:szCs w:val="36"/>
        </w:rPr>
        <w:lastRenderedPageBreak/>
        <w:t xml:space="preserve">Understanding </w:t>
      </w:r>
      <w:r w:rsidR="00A75B8B" w:rsidRPr="00757D20">
        <w:rPr>
          <w:rFonts w:cs="Arial"/>
          <w:b/>
          <w:bCs/>
          <w:sz w:val="36"/>
          <w:szCs w:val="36"/>
        </w:rPr>
        <w:t>s</w:t>
      </w:r>
      <w:r w:rsidRPr="00757D20">
        <w:rPr>
          <w:rFonts w:cs="Arial"/>
          <w:b/>
          <w:bCs/>
          <w:sz w:val="36"/>
          <w:szCs w:val="36"/>
        </w:rPr>
        <w:t xml:space="preserve">chool </w:t>
      </w:r>
      <w:r w:rsidR="00A75B8B" w:rsidRPr="00757D20">
        <w:rPr>
          <w:rFonts w:cs="Arial"/>
          <w:b/>
          <w:bCs/>
          <w:sz w:val="36"/>
          <w:szCs w:val="36"/>
        </w:rPr>
        <w:t>s</w:t>
      </w:r>
      <w:r w:rsidRPr="00757D20">
        <w:rPr>
          <w:rFonts w:cs="Arial"/>
          <w:b/>
          <w:bCs/>
          <w:sz w:val="36"/>
          <w:szCs w:val="36"/>
        </w:rPr>
        <w:t xml:space="preserve">tudents’ </w:t>
      </w:r>
      <w:r w:rsidR="00A75B8B" w:rsidRPr="00757D20">
        <w:rPr>
          <w:rFonts w:cs="Arial"/>
          <w:b/>
          <w:bCs/>
          <w:sz w:val="36"/>
          <w:szCs w:val="36"/>
        </w:rPr>
        <w:t>a</w:t>
      </w:r>
      <w:r w:rsidRPr="00757D20">
        <w:rPr>
          <w:rFonts w:cs="Arial"/>
          <w:b/>
          <w:bCs/>
          <w:sz w:val="36"/>
          <w:szCs w:val="36"/>
        </w:rPr>
        <w:t xml:space="preserve">spirations in </w:t>
      </w:r>
      <w:r w:rsidR="00A75B8B" w:rsidRPr="00757D20">
        <w:rPr>
          <w:rFonts w:cs="Arial"/>
          <w:b/>
          <w:bCs/>
          <w:sz w:val="36"/>
          <w:szCs w:val="36"/>
        </w:rPr>
        <w:t>u</w:t>
      </w:r>
      <w:r w:rsidRPr="00757D20">
        <w:rPr>
          <w:rFonts w:cs="Arial"/>
          <w:b/>
          <w:bCs/>
          <w:sz w:val="36"/>
          <w:szCs w:val="36"/>
        </w:rPr>
        <w:t>n</w:t>
      </w:r>
      <w:r w:rsidR="00B91DB1" w:rsidRPr="00757D20">
        <w:rPr>
          <w:rFonts w:cs="Arial"/>
          <w:b/>
          <w:bCs/>
          <w:sz w:val="36"/>
          <w:szCs w:val="36"/>
        </w:rPr>
        <w:t xml:space="preserve">certain </w:t>
      </w:r>
      <w:r w:rsidR="00A75B8B" w:rsidRPr="00757D20">
        <w:rPr>
          <w:rFonts w:cs="Arial"/>
          <w:b/>
          <w:bCs/>
          <w:sz w:val="36"/>
          <w:szCs w:val="36"/>
        </w:rPr>
        <w:t>t</w:t>
      </w:r>
      <w:r w:rsidR="00B91DB1" w:rsidRPr="00757D20">
        <w:rPr>
          <w:rFonts w:cs="Arial"/>
          <w:b/>
          <w:bCs/>
          <w:sz w:val="36"/>
          <w:szCs w:val="36"/>
        </w:rPr>
        <w:t>imes</w:t>
      </w:r>
    </w:p>
    <w:bookmarkEnd w:id="1"/>
    <w:p w14:paraId="067027D2" w14:textId="77777777" w:rsidR="00F871A0" w:rsidRPr="00757D20" w:rsidRDefault="00F871A0" w:rsidP="00F871A0"/>
    <w:p w14:paraId="17B45771" w14:textId="61CA2974" w:rsidR="00F871A0" w:rsidRPr="00757D20" w:rsidRDefault="0062763B" w:rsidP="00F871A0">
      <w:pPr>
        <w:jc w:val="center"/>
        <w:rPr>
          <w:rFonts w:cs="Arial"/>
          <w:b/>
          <w:color w:val="351C26" w:themeColor="text2"/>
        </w:rPr>
      </w:pPr>
      <w:r>
        <w:rPr>
          <w:rFonts w:cs="Arial"/>
          <w:b/>
          <w:color w:val="351C26" w:themeColor="text2"/>
        </w:rPr>
        <w:t>3 February</w:t>
      </w:r>
      <w:r w:rsidR="006425B6">
        <w:rPr>
          <w:rFonts w:cs="Arial"/>
          <w:b/>
          <w:color w:val="351C26" w:themeColor="text2"/>
        </w:rPr>
        <w:t xml:space="preserve"> 2026</w:t>
      </w:r>
    </w:p>
    <w:p w14:paraId="7C8B4DB5" w14:textId="77777777" w:rsidR="00F871A0" w:rsidRPr="00757D20" w:rsidRDefault="00F871A0" w:rsidP="00F871A0">
      <w:pPr>
        <w:jc w:val="center"/>
        <w:rPr>
          <w:rFonts w:cs="Arial"/>
          <w:b/>
        </w:rPr>
      </w:pPr>
    </w:p>
    <w:p w14:paraId="2DA317E9" w14:textId="77777777" w:rsidR="00A75B8B" w:rsidRPr="00757D20" w:rsidRDefault="00B91DB1" w:rsidP="00A75B8B">
      <w:pPr>
        <w:jc w:val="center"/>
        <w:rPr>
          <w:rFonts w:cs="Arial"/>
        </w:rPr>
      </w:pPr>
      <w:r w:rsidRPr="00757D20">
        <w:rPr>
          <w:rFonts w:cs="Arial"/>
        </w:rPr>
        <w:t>Dr Leanne Fray</w:t>
      </w:r>
      <w:r w:rsidR="00A75B8B" w:rsidRPr="00757D20">
        <w:rPr>
          <w:rFonts w:cs="Arial"/>
        </w:rPr>
        <w:t>, The University of Newcastle</w:t>
      </w:r>
    </w:p>
    <w:p w14:paraId="68FFDA2B" w14:textId="7F4AB4EC" w:rsidR="008A5C90" w:rsidRPr="00757D20" w:rsidRDefault="00B91DB1" w:rsidP="00F871A0">
      <w:pPr>
        <w:jc w:val="center"/>
        <w:rPr>
          <w:rFonts w:cs="Arial"/>
        </w:rPr>
      </w:pPr>
      <w:r w:rsidRPr="00757D20">
        <w:rPr>
          <w:rFonts w:cs="Arial"/>
        </w:rPr>
        <w:t>Dr Sally Patfield</w:t>
      </w:r>
      <w:r w:rsidR="00A75B8B" w:rsidRPr="00757D20">
        <w:rPr>
          <w:rFonts w:cs="Arial"/>
        </w:rPr>
        <w:t>, The University of Newcastle</w:t>
      </w:r>
    </w:p>
    <w:p w14:paraId="6EB4FF43" w14:textId="7046F061" w:rsidR="001A5ED3" w:rsidRPr="00757D20" w:rsidRDefault="001A5ED3" w:rsidP="001A5ED3">
      <w:pPr>
        <w:jc w:val="center"/>
        <w:rPr>
          <w:rFonts w:cs="Arial"/>
        </w:rPr>
      </w:pPr>
      <w:r w:rsidRPr="00757D20">
        <w:rPr>
          <w:rFonts w:cs="Arial"/>
        </w:rPr>
        <w:t>Dr Kristina Sincock</w:t>
      </w:r>
      <w:r w:rsidR="00A75B8B" w:rsidRPr="00757D20">
        <w:rPr>
          <w:rFonts w:cs="Arial"/>
        </w:rPr>
        <w:t>, The University of Newcastle</w:t>
      </w:r>
    </w:p>
    <w:p w14:paraId="399C7492" w14:textId="09A08E68" w:rsidR="008A5C90" w:rsidRPr="00757D20" w:rsidRDefault="00B91DB1" w:rsidP="00F871A0">
      <w:pPr>
        <w:jc w:val="center"/>
        <w:rPr>
          <w:rFonts w:cs="Arial"/>
        </w:rPr>
      </w:pPr>
      <w:r w:rsidRPr="00757D20">
        <w:rPr>
          <w:rFonts w:cs="Arial"/>
        </w:rPr>
        <w:t>La</w:t>
      </w:r>
      <w:r w:rsidR="00D77160" w:rsidRPr="00757D20">
        <w:rPr>
          <w:rFonts w:cs="Arial"/>
        </w:rPr>
        <w:t>ureate Professor Jenny Gore</w:t>
      </w:r>
      <w:r w:rsidR="00A75B8B" w:rsidRPr="00757D20">
        <w:rPr>
          <w:rFonts w:cs="Arial"/>
        </w:rPr>
        <w:t>, The University of Newcastle</w:t>
      </w:r>
    </w:p>
    <w:p w14:paraId="111FF63C" w14:textId="1E54FCE6" w:rsidR="008A5C90" w:rsidRPr="00757D20" w:rsidRDefault="00D77160" w:rsidP="00F871A0">
      <w:pPr>
        <w:jc w:val="center"/>
        <w:rPr>
          <w:rFonts w:cs="Arial"/>
        </w:rPr>
      </w:pPr>
      <w:r w:rsidRPr="00757D20">
        <w:rPr>
          <w:rFonts w:cs="Arial"/>
        </w:rPr>
        <w:t>Ms Courtney Rubie</w:t>
      </w:r>
      <w:r w:rsidR="00A75B8B" w:rsidRPr="00757D20">
        <w:rPr>
          <w:rFonts w:cs="Arial"/>
        </w:rPr>
        <w:t>, The University of Newcastle</w:t>
      </w:r>
    </w:p>
    <w:p w14:paraId="01B6DF68" w14:textId="77777777" w:rsidR="00F871A0" w:rsidRPr="00757D20" w:rsidRDefault="00F871A0" w:rsidP="00F871A0">
      <w:pPr>
        <w:jc w:val="center"/>
      </w:pPr>
    </w:p>
    <w:p w14:paraId="13B32B8C" w14:textId="77777777" w:rsidR="00AE3DFE" w:rsidRPr="00757D20" w:rsidRDefault="00AE3DFE" w:rsidP="00F871A0">
      <w:pPr>
        <w:spacing w:after="0"/>
        <w:rPr>
          <w:bCs/>
          <w:sz w:val="18"/>
          <w:szCs w:val="18"/>
        </w:rPr>
      </w:pPr>
    </w:p>
    <w:p w14:paraId="4B087D3B" w14:textId="77777777" w:rsidR="00AE3DFE" w:rsidRPr="00757D20" w:rsidRDefault="00AE3DFE" w:rsidP="00F871A0">
      <w:pPr>
        <w:spacing w:after="0"/>
        <w:rPr>
          <w:rFonts w:cs="Arial"/>
          <w:bCs/>
          <w:sz w:val="18"/>
          <w:szCs w:val="18"/>
        </w:rPr>
      </w:pPr>
    </w:p>
    <w:p w14:paraId="5D4C5A7C" w14:textId="77777777" w:rsidR="00F871A0" w:rsidRPr="00757D20" w:rsidRDefault="00F871A0" w:rsidP="00F871A0">
      <w:pPr>
        <w:spacing w:after="0"/>
        <w:rPr>
          <w:rFonts w:cs="Arial"/>
          <w:bCs/>
          <w:sz w:val="18"/>
          <w:szCs w:val="18"/>
        </w:rPr>
      </w:pPr>
    </w:p>
    <w:p w14:paraId="55382CE0" w14:textId="66773694" w:rsidR="00F871A0" w:rsidRPr="00757D20" w:rsidRDefault="00A75B8B" w:rsidP="00F871A0">
      <w:pPr>
        <w:spacing w:after="0"/>
        <w:rPr>
          <w:rFonts w:cs="Arial"/>
          <w:bCs/>
          <w:sz w:val="18"/>
          <w:szCs w:val="18"/>
        </w:rPr>
      </w:pPr>
      <w:r w:rsidRPr="00757D20">
        <w:rPr>
          <w:rFonts w:cs="Arial"/>
          <w:bCs/>
          <w:sz w:val="18"/>
          <w:szCs w:val="18"/>
        </w:rPr>
        <w:t xml:space="preserve">Suggested citation: Fray, L., </w:t>
      </w:r>
      <w:proofErr w:type="spellStart"/>
      <w:r w:rsidRPr="00757D20">
        <w:rPr>
          <w:rFonts w:cs="Arial"/>
          <w:bCs/>
          <w:sz w:val="18"/>
          <w:szCs w:val="18"/>
        </w:rPr>
        <w:t>Patfield</w:t>
      </w:r>
      <w:proofErr w:type="spellEnd"/>
      <w:r w:rsidRPr="00757D20">
        <w:rPr>
          <w:rFonts w:cs="Arial"/>
          <w:bCs/>
          <w:sz w:val="18"/>
          <w:szCs w:val="18"/>
        </w:rPr>
        <w:t>, S., Sincock, K., Gore, J., &amp; Rubie, C. (202</w:t>
      </w:r>
      <w:r w:rsidR="006425B6">
        <w:rPr>
          <w:rFonts w:cs="Arial"/>
          <w:bCs/>
          <w:sz w:val="18"/>
          <w:szCs w:val="18"/>
        </w:rPr>
        <w:t>6</w:t>
      </w:r>
      <w:r w:rsidRPr="00757D20">
        <w:rPr>
          <w:rFonts w:cs="Arial"/>
          <w:bCs/>
          <w:sz w:val="18"/>
          <w:szCs w:val="18"/>
        </w:rPr>
        <w:t xml:space="preserve">). </w:t>
      </w:r>
      <w:r w:rsidRPr="00757D20">
        <w:rPr>
          <w:rFonts w:cs="Arial"/>
          <w:bCs/>
          <w:i/>
          <w:iCs/>
          <w:sz w:val="18"/>
          <w:szCs w:val="18"/>
        </w:rPr>
        <w:t xml:space="preserve">Understanding school students’ aspirations in uncertain times </w:t>
      </w:r>
      <w:r w:rsidRPr="00757D20">
        <w:rPr>
          <w:sz w:val="18"/>
          <w:szCs w:val="18"/>
        </w:rPr>
        <w:t>(Small Grants Research Program final report). Australian Centre for Student Equity and Success, Curtin University.</w:t>
      </w:r>
    </w:p>
    <w:p w14:paraId="74359386" w14:textId="77777777" w:rsidR="00A75B8B" w:rsidRPr="00757D20" w:rsidRDefault="00A75B8B" w:rsidP="00F871A0">
      <w:pPr>
        <w:spacing w:after="0"/>
        <w:rPr>
          <w:rFonts w:cs="Arial"/>
          <w:bCs/>
          <w:sz w:val="18"/>
          <w:szCs w:val="18"/>
        </w:rPr>
      </w:pPr>
    </w:p>
    <w:p w14:paraId="671E6171" w14:textId="2762CC92" w:rsidR="00F871A0" w:rsidRPr="00757D20" w:rsidRDefault="00F871A0" w:rsidP="00F871A0">
      <w:pPr>
        <w:spacing w:after="0"/>
        <w:rPr>
          <w:rFonts w:cs="Arial"/>
          <w:bCs/>
          <w:sz w:val="18"/>
          <w:szCs w:val="18"/>
        </w:rPr>
      </w:pPr>
      <w:r w:rsidRPr="00757D20">
        <w:rPr>
          <w:rFonts w:cs="Arial"/>
          <w:bCs/>
          <w:sz w:val="18"/>
          <w:szCs w:val="18"/>
        </w:rPr>
        <w:t>Australian Centre for Student Equity and Success</w:t>
      </w:r>
    </w:p>
    <w:p w14:paraId="138D249D" w14:textId="77777777" w:rsidR="00F871A0" w:rsidRPr="00757D20" w:rsidRDefault="00F871A0" w:rsidP="00F871A0">
      <w:pPr>
        <w:spacing w:after="0"/>
        <w:rPr>
          <w:rFonts w:cs="Arial"/>
          <w:bCs/>
          <w:sz w:val="18"/>
          <w:szCs w:val="18"/>
        </w:rPr>
      </w:pPr>
      <w:r w:rsidRPr="00757D20">
        <w:rPr>
          <w:rFonts w:cs="Arial"/>
          <w:bCs/>
          <w:sz w:val="18"/>
          <w:szCs w:val="18"/>
        </w:rPr>
        <w:t>Tel: +61 8 9266 1573</w:t>
      </w:r>
    </w:p>
    <w:p w14:paraId="28C2587A" w14:textId="77777777" w:rsidR="00F871A0" w:rsidRPr="00757D20" w:rsidRDefault="00F871A0" w:rsidP="00F871A0">
      <w:pPr>
        <w:spacing w:after="0"/>
        <w:rPr>
          <w:rFonts w:cs="Arial"/>
          <w:bCs/>
          <w:sz w:val="18"/>
          <w:szCs w:val="18"/>
        </w:rPr>
      </w:pPr>
      <w:r w:rsidRPr="00757D20">
        <w:rPr>
          <w:rFonts w:cs="Arial"/>
          <w:bCs/>
          <w:sz w:val="18"/>
          <w:szCs w:val="18"/>
        </w:rPr>
        <w:t xml:space="preserve">Email: </w:t>
      </w:r>
      <w:hyperlink r:id="rId13" w:history="1">
        <w:r w:rsidRPr="00757D20">
          <w:rPr>
            <w:rStyle w:val="Hyperlink"/>
            <w:rFonts w:cs="Arial"/>
            <w:bCs/>
            <w:sz w:val="18"/>
            <w:szCs w:val="18"/>
          </w:rPr>
          <w:t>acses@curtin.edu.au</w:t>
        </w:r>
      </w:hyperlink>
    </w:p>
    <w:p w14:paraId="42C91810" w14:textId="77777777" w:rsidR="00F871A0" w:rsidRPr="00757D20" w:rsidRDefault="00F871A0" w:rsidP="00F871A0">
      <w:pPr>
        <w:spacing w:after="0"/>
        <w:rPr>
          <w:rFonts w:cs="Arial"/>
          <w:bCs/>
          <w:sz w:val="18"/>
          <w:szCs w:val="18"/>
        </w:rPr>
      </w:pPr>
      <w:r w:rsidRPr="00757D20">
        <w:rPr>
          <w:rFonts w:cs="Arial"/>
          <w:bCs/>
          <w:sz w:val="18"/>
          <w:szCs w:val="18"/>
        </w:rPr>
        <w:t xml:space="preserve">Web: </w:t>
      </w:r>
      <w:hyperlink r:id="rId14" w:history="1">
        <w:r w:rsidRPr="00757D20">
          <w:rPr>
            <w:rStyle w:val="Hyperlink"/>
            <w:rFonts w:cs="Arial"/>
            <w:bCs/>
            <w:sz w:val="18"/>
            <w:szCs w:val="18"/>
          </w:rPr>
          <w:t>www.acses.edu.au</w:t>
        </w:r>
      </w:hyperlink>
      <w:r w:rsidRPr="00757D20">
        <w:rPr>
          <w:rFonts w:cs="Arial"/>
          <w:bCs/>
          <w:sz w:val="18"/>
          <w:szCs w:val="18"/>
        </w:rPr>
        <w:t xml:space="preserve"> </w:t>
      </w:r>
    </w:p>
    <w:p w14:paraId="37ACEC30" w14:textId="77777777" w:rsidR="00F871A0" w:rsidRPr="00757D20" w:rsidRDefault="00F871A0" w:rsidP="00F871A0">
      <w:pPr>
        <w:spacing w:after="0"/>
        <w:rPr>
          <w:rFonts w:cs="Arial"/>
          <w:bCs/>
          <w:sz w:val="18"/>
          <w:szCs w:val="18"/>
        </w:rPr>
      </w:pPr>
      <w:r w:rsidRPr="00757D20">
        <w:rPr>
          <w:rFonts w:cs="Arial"/>
          <w:bCs/>
          <w:sz w:val="18"/>
          <w:szCs w:val="18"/>
        </w:rPr>
        <w:t>Building 100</w:t>
      </w:r>
    </w:p>
    <w:p w14:paraId="7FEDC720" w14:textId="77777777" w:rsidR="00F871A0" w:rsidRPr="00757D20" w:rsidRDefault="00F871A0" w:rsidP="00F871A0">
      <w:pPr>
        <w:spacing w:after="0"/>
        <w:rPr>
          <w:rFonts w:cs="Arial"/>
          <w:bCs/>
          <w:sz w:val="18"/>
          <w:szCs w:val="18"/>
        </w:rPr>
      </w:pPr>
      <w:r w:rsidRPr="00757D20">
        <w:rPr>
          <w:rFonts w:cs="Arial"/>
          <w:bCs/>
          <w:sz w:val="18"/>
          <w:szCs w:val="18"/>
        </w:rPr>
        <w:t>Curtin University</w:t>
      </w:r>
    </w:p>
    <w:p w14:paraId="5FFD00B9" w14:textId="5A86E621" w:rsidR="00F871A0" w:rsidRPr="00757D20" w:rsidRDefault="00F871A0" w:rsidP="00F871A0">
      <w:pPr>
        <w:spacing w:after="0"/>
        <w:rPr>
          <w:rFonts w:cs="Arial"/>
          <w:bCs/>
          <w:sz w:val="18"/>
          <w:szCs w:val="18"/>
        </w:rPr>
      </w:pPr>
      <w:r w:rsidRPr="00757D20">
        <w:rPr>
          <w:rFonts w:cs="Arial"/>
          <w:bCs/>
          <w:sz w:val="18"/>
          <w:szCs w:val="18"/>
        </w:rPr>
        <w:t>Kent St, Bentley WA 6102</w:t>
      </w:r>
      <w:r w:rsidR="00A75B8B" w:rsidRPr="00757D20">
        <w:rPr>
          <w:rFonts w:cs="Arial"/>
          <w:bCs/>
          <w:sz w:val="18"/>
          <w:szCs w:val="18"/>
        </w:rPr>
        <w:t xml:space="preserve"> | </w:t>
      </w:r>
      <w:r w:rsidRPr="00757D20">
        <w:rPr>
          <w:rFonts w:cs="Arial"/>
          <w:bCs/>
          <w:sz w:val="18"/>
          <w:szCs w:val="18"/>
        </w:rPr>
        <w:t>GPO Box U1987, Perth WA 6845</w:t>
      </w:r>
      <w:bookmarkStart w:id="3" w:name="_Toc57894677"/>
    </w:p>
    <w:p w14:paraId="08119AD8" w14:textId="77777777" w:rsidR="00F871A0" w:rsidRPr="00757D20" w:rsidRDefault="00F871A0" w:rsidP="00F871A0">
      <w:pPr>
        <w:spacing w:after="0"/>
        <w:rPr>
          <w:rFonts w:cs="Arial"/>
          <w:bCs/>
          <w:sz w:val="18"/>
          <w:szCs w:val="18"/>
        </w:rPr>
      </w:pPr>
    </w:p>
    <w:p w14:paraId="266DF795" w14:textId="77777777" w:rsidR="00F871A0" w:rsidRPr="00757D20" w:rsidRDefault="00F871A0" w:rsidP="00F871A0">
      <w:pPr>
        <w:spacing w:line="259" w:lineRule="auto"/>
        <w:rPr>
          <w:rFonts w:eastAsiaTheme="majorEastAsia" w:cs="Arial"/>
          <w:color w:val="6B3B57"/>
          <w:sz w:val="52"/>
          <w:szCs w:val="40"/>
        </w:rPr>
      </w:pPr>
      <w:r w:rsidRPr="00757D20">
        <w:rPr>
          <w:noProof/>
          <w:lang w:eastAsia="en-AU"/>
        </w:rPr>
        <mc:AlternateContent>
          <mc:Choice Requires="wps">
            <w:drawing>
              <wp:inline distT="0" distB="0" distL="0" distR="0" wp14:anchorId="1AC0763A" wp14:editId="2B23F213">
                <wp:extent cx="5821680" cy="2891195"/>
                <wp:effectExtent l="0" t="0" r="26670" b="2349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2891195"/>
                        </a:xfrm>
                        <a:prstGeom prst="rect">
                          <a:avLst/>
                        </a:prstGeom>
                        <a:solidFill>
                          <a:srgbClr val="FFFFFF"/>
                        </a:solidFill>
                        <a:ln w="9525">
                          <a:solidFill>
                            <a:schemeClr val="accent3"/>
                          </a:solidFill>
                          <a:miter lim="800000"/>
                          <a:headEnd/>
                          <a:tailEnd/>
                        </a:ln>
                      </wps:spPr>
                      <wps:txbx>
                        <w:txbxContent>
                          <w:p w14:paraId="2109253C" w14:textId="77777777" w:rsidR="00F871A0" w:rsidRPr="00A75B8B" w:rsidRDefault="00F871A0" w:rsidP="00F871A0">
                            <w:pPr>
                              <w:rPr>
                                <w:rFonts w:cs="Arial"/>
                                <w:b/>
                                <w:sz w:val="16"/>
                                <w:szCs w:val="16"/>
                              </w:rPr>
                            </w:pPr>
                            <w:r w:rsidRPr="00A75B8B">
                              <w:rPr>
                                <w:rFonts w:cs="Arial"/>
                                <w:b/>
                                <w:sz w:val="16"/>
                                <w:szCs w:val="16"/>
                              </w:rPr>
                              <w:t>DISCLAIMER</w:t>
                            </w:r>
                          </w:p>
                          <w:p w14:paraId="76E62E7C" w14:textId="77777777" w:rsidR="00F871A0" w:rsidRPr="00A75B8B" w:rsidRDefault="00F871A0" w:rsidP="00F871A0">
                            <w:pPr>
                              <w:rPr>
                                <w:rFonts w:cs="Arial"/>
                                <w:sz w:val="16"/>
                                <w:szCs w:val="16"/>
                              </w:rPr>
                            </w:pPr>
                            <w:r w:rsidRPr="00A75B8B">
                              <w:rPr>
                                <w:rFonts w:cs="Arial"/>
                                <w:sz w:val="16"/>
                                <w:szCs w:val="16"/>
                              </w:rPr>
                              <w:t>Information in this publication is correct at the time of release but may be subject to change. This material does not purport to constitute legal or professional advice.</w:t>
                            </w:r>
                          </w:p>
                          <w:p w14:paraId="77923405" w14:textId="77777777" w:rsidR="00F871A0" w:rsidRPr="00A75B8B" w:rsidRDefault="00F871A0" w:rsidP="00F871A0">
                            <w:pPr>
                              <w:rPr>
                                <w:rFonts w:cs="Arial"/>
                                <w:sz w:val="16"/>
                                <w:szCs w:val="16"/>
                              </w:rPr>
                            </w:pPr>
                            <w:r w:rsidRPr="00A75B8B">
                              <w:rPr>
                                <w:rFonts w:cs="Arial"/>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4BE87F8" w14:textId="77777777" w:rsidR="00F871A0" w:rsidRPr="00A75B8B" w:rsidRDefault="00F871A0" w:rsidP="00F871A0">
                            <w:pPr>
                              <w:rPr>
                                <w:rFonts w:cs="Arial"/>
                                <w:b/>
                                <w:sz w:val="16"/>
                                <w:szCs w:val="16"/>
                              </w:rPr>
                            </w:pPr>
                            <w:r w:rsidRPr="00A75B8B">
                              <w:rPr>
                                <w:rFonts w:cs="Arial"/>
                                <w:b/>
                                <w:sz w:val="16"/>
                                <w:szCs w:val="16"/>
                              </w:rPr>
                              <w:t>COPYRIGHT</w:t>
                            </w:r>
                          </w:p>
                          <w:p w14:paraId="6C72DEC0" w14:textId="06029B03" w:rsidR="00F871A0" w:rsidRPr="00A75B8B" w:rsidRDefault="00F871A0" w:rsidP="00F871A0">
                            <w:pPr>
                              <w:rPr>
                                <w:rFonts w:cs="Arial"/>
                                <w:sz w:val="16"/>
                                <w:szCs w:val="16"/>
                              </w:rPr>
                            </w:pPr>
                            <w:r w:rsidRPr="00A75B8B">
                              <w:rPr>
                                <w:rFonts w:cs="Arial"/>
                                <w:sz w:val="16"/>
                                <w:szCs w:val="16"/>
                              </w:rPr>
                              <w:t xml:space="preserve">© Curtin University </w:t>
                            </w:r>
                            <w:r w:rsidRPr="00A75B8B">
                              <w:rPr>
                                <w:rFonts w:cs="Arial"/>
                                <w:color w:val="351C26" w:themeColor="text2"/>
                                <w:sz w:val="16"/>
                                <w:szCs w:val="16"/>
                              </w:rPr>
                              <w:t>202</w:t>
                            </w:r>
                            <w:r w:rsidR="007E37B1">
                              <w:rPr>
                                <w:rFonts w:cs="Arial"/>
                                <w:color w:val="351C26" w:themeColor="text2"/>
                                <w:sz w:val="16"/>
                                <w:szCs w:val="16"/>
                              </w:rPr>
                              <w:t>6</w:t>
                            </w:r>
                          </w:p>
                          <w:p w14:paraId="0DD86BA8" w14:textId="77777777" w:rsidR="00F871A0" w:rsidRPr="00A75B8B" w:rsidRDefault="00F871A0" w:rsidP="00F871A0">
                            <w:pPr>
                              <w:rPr>
                                <w:rFonts w:cs="Arial"/>
                                <w:sz w:val="16"/>
                                <w:szCs w:val="16"/>
                              </w:rPr>
                            </w:pPr>
                            <w:r w:rsidRPr="00A75B8B">
                              <w:rPr>
                                <w:rFonts w:cs="Arial"/>
                                <w:sz w:val="16"/>
                                <w:szCs w:val="16"/>
                              </w:rPr>
                              <w:t>Except as permitted by the Copyright Act 1968, and unless otherwise stated, this material may not be reproduced, stored or transmitted without the permission of the copyright owner. All enquiries must be directed to Curtin University.</w:t>
                            </w:r>
                          </w:p>
                          <w:p w14:paraId="42A6C1E8" w14:textId="77777777" w:rsidR="00F871A0" w:rsidRPr="00A75B8B" w:rsidRDefault="00F871A0" w:rsidP="00F871A0">
                            <w:pPr>
                              <w:rPr>
                                <w:rFonts w:cs="Arial"/>
                                <w:sz w:val="16"/>
                                <w:szCs w:val="16"/>
                              </w:rPr>
                            </w:pPr>
                            <w:r w:rsidRPr="00A75B8B">
                              <w:rPr>
                                <w:rFonts w:cs="Arial"/>
                                <w:sz w:val="16"/>
                                <w:szCs w:val="16"/>
                              </w:rPr>
                              <w:t>CRICOS Provider Code 00301J</w:t>
                            </w:r>
                          </w:p>
                          <w:p w14:paraId="1269ABC3" w14:textId="05C66BEC" w:rsidR="00F871A0" w:rsidRPr="008E31EC" w:rsidRDefault="004018B7" w:rsidP="00F871A0">
                            <w:pPr>
                              <w:rPr>
                                <w:sz w:val="16"/>
                                <w:szCs w:val="16"/>
                              </w:rPr>
                            </w:pPr>
                            <w:r w:rsidRPr="00A75B8B">
                              <w:rPr>
                                <w:rFonts w:cs="Arial"/>
                                <w:sz w:val="16"/>
                                <w:szCs w:val="16"/>
                              </w:rPr>
                              <w:t>ISBN 978-1-7642138-8-2</w:t>
                            </w:r>
                          </w:p>
                          <w:p w14:paraId="7AEF2071" w14:textId="77777777" w:rsidR="00F871A0" w:rsidRDefault="00F871A0" w:rsidP="00F871A0"/>
                        </w:txbxContent>
                      </wps:txbx>
                      <wps:bodyPr rot="0" vert="horz" wrap="square" lIns="91440" tIns="72000" rIns="91440" bIns="72000" anchor="t" anchorCtr="0">
                        <a:noAutofit/>
                      </wps:bodyPr>
                    </wps:wsp>
                  </a:graphicData>
                </a:graphic>
              </wp:inline>
            </w:drawing>
          </mc:Choice>
          <mc:Fallback>
            <w:pict>
              <v:shapetype w14:anchorId="1AC0763A"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" strokecolor="#fcab63 [3206]">
                <v:textbox inset=",2mm,,2mm">
                  <w:txbxContent>
                    <w:p w14:paraId="2109253C" w14:textId="77777777" w:rsidR="00F871A0" w:rsidRPr="00A75B8B" w:rsidRDefault="00F871A0" w:rsidP="00F871A0">
                      <w:pPr>
                        <w:rPr>
                          <w:rFonts w:cs="Arial"/>
                          <w:b/>
                          <w:sz w:val="16"/>
                          <w:szCs w:val="16"/>
                        </w:rPr>
                      </w:pPr>
                      <w:r w:rsidRPr="00A75B8B">
                        <w:rPr>
                          <w:rFonts w:cs="Arial"/>
                          <w:b/>
                          <w:sz w:val="16"/>
                          <w:szCs w:val="16"/>
                        </w:rPr>
                        <w:t>DISCLAIMER</w:t>
                      </w:r>
                    </w:p>
                    <w:p w14:paraId="76E62E7C" w14:textId="77777777" w:rsidR="00F871A0" w:rsidRPr="00A75B8B" w:rsidRDefault="00F871A0" w:rsidP="00F871A0">
                      <w:pPr>
                        <w:rPr>
                          <w:rFonts w:cs="Arial"/>
                          <w:sz w:val="16"/>
                          <w:szCs w:val="16"/>
                        </w:rPr>
                      </w:pPr>
                      <w:r w:rsidRPr="00A75B8B">
                        <w:rPr>
                          <w:rFonts w:cs="Arial"/>
                          <w:sz w:val="16"/>
                          <w:szCs w:val="16"/>
                        </w:rPr>
                        <w:t>Information in this publication is correct at the time of release but may be subject to change. This material does not purport to constitute legal or professional advice.</w:t>
                      </w:r>
                    </w:p>
                    <w:p w14:paraId="77923405" w14:textId="77777777" w:rsidR="00F871A0" w:rsidRPr="00A75B8B" w:rsidRDefault="00F871A0" w:rsidP="00F871A0">
                      <w:pPr>
                        <w:rPr>
                          <w:rFonts w:cs="Arial"/>
                          <w:sz w:val="16"/>
                          <w:szCs w:val="16"/>
                        </w:rPr>
                      </w:pPr>
                      <w:r w:rsidRPr="00A75B8B">
                        <w:rPr>
                          <w:rFonts w:cs="Arial"/>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4BE87F8" w14:textId="77777777" w:rsidR="00F871A0" w:rsidRPr="00A75B8B" w:rsidRDefault="00F871A0" w:rsidP="00F871A0">
                      <w:pPr>
                        <w:rPr>
                          <w:rFonts w:cs="Arial"/>
                          <w:b/>
                          <w:sz w:val="16"/>
                          <w:szCs w:val="16"/>
                        </w:rPr>
                      </w:pPr>
                      <w:r w:rsidRPr="00A75B8B">
                        <w:rPr>
                          <w:rFonts w:cs="Arial"/>
                          <w:b/>
                          <w:sz w:val="16"/>
                          <w:szCs w:val="16"/>
                        </w:rPr>
                        <w:t>COPYRIGHT</w:t>
                      </w:r>
                    </w:p>
                    <w:p w14:paraId="6C72DEC0" w14:textId="06029B03" w:rsidR="00F871A0" w:rsidRPr="00A75B8B" w:rsidRDefault="00F871A0" w:rsidP="00F871A0">
                      <w:pPr>
                        <w:rPr>
                          <w:rFonts w:cs="Arial"/>
                          <w:sz w:val="16"/>
                          <w:szCs w:val="16"/>
                        </w:rPr>
                      </w:pPr>
                      <w:r w:rsidRPr="00A75B8B">
                        <w:rPr>
                          <w:rFonts w:cs="Arial"/>
                          <w:sz w:val="16"/>
                          <w:szCs w:val="16"/>
                        </w:rPr>
                        <w:t xml:space="preserve">© Curtin University </w:t>
                      </w:r>
                      <w:r w:rsidRPr="00A75B8B">
                        <w:rPr>
                          <w:rFonts w:cs="Arial"/>
                          <w:color w:val="351C26" w:themeColor="text2"/>
                          <w:sz w:val="16"/>
                          <w:szCs w:val="16"/>
                        </w:rPr>
                        <w:t>202</w:t>
                      </w:r>
                      <w:r w:rsidR="007E37B1">
                        <w:rPr>
                          <w:rFonts w:cs="Arial"/>
                          <w:color w:val="351C26" w:themeColor="text2"/>
                          <w:sz w:val="16"/>
                          <w:szCs w:val="16"/>
                        </w:rPr>
                        <w:t>6</w:t>
                      </w:r>
                    </w:p>
                    <w:p w14:paraId="0DD86BA8" w14:textId="77777777" w:rsidR="00F871A0" w:rsidRPr="00A75B8B" w:rsidRDefault="00F871A0" w:rsidP="00F871A0">
                      <w:pPr>
                        <w:rPr>
                          <w:rFonts w:cs="Arial"/>
                          <w:sz w:val="16"/>
                          <w:szCs w:val="16"/>
                        </w:rPr>
                      </w:pPr>
                      <w:r w:rsidRPr="00A75B8B">
                        <w:rPr>
                          <w:rFonts w:cs="Arial"/>
                          <w:sz w:val="16"/>
                          <w:szCs w:val="16"/>
                        </w:rPr>
                        <w:t>Except as permitted by the Copyright Act 1968, and unless otherwise stated, this material may not be reproduced, stored or transmitted without the permission of the copyright owner. All enquiries must be directed to Curtin University.</w:t>
                      </w:r>
                    </w:p>
                    <w:p w14:paraId="42A6C1E8" w14:textId="77777777" w:rsidR="00F871A0" w:rsidRPr="00A75B8B" w:rsidRDefault="00F871A0" w:rsidP="00F871A0">
                      <w:pPr>
                        <w:rPr>
                          <w:rFonts w:cs="Arial"/>
                          <w:sz w:val="16"/>
                          <w:szCs w:val="16"/>
                        </w:rPr>
                      </w:pPr>
                      <w:r w:rsidRPr="00A75B8B">
                        <w:rPr>
                          <w:rFonts w:cs="Arial"/>
                          <w:sz w:val="16"/>
                          <w:szCs w:val="16"/>
                        </w:rPr>
                        <w:t>CRICOS Provider Code 00301J</w:t>
                      </w:r>
                    </w:p>
                    <w:p w14:paraId="1269ABC3" w14:textId="05C66BEC" w:rsidR="00F871A0" w:rsidRPr="008E31EC" w:rsidRDefault="004018B7" w:rsidP="00F871A0">
                      <w:pPr>
                        <w:rPr>
                          <w:sz w:val="16"/>
                          <w:szCs w:val="16"/>
                        </w:rPr>
                      </w:pPr>
                      <w:r w:rsidRPr="00A75B8B">
                        <w:rPr>
                          <w:rFonts w:cs="Arial"/>
                          <w:sz w:val="16"/>
                          <w:szCs w:val="16"/>
                        </w:rPr>
                        <w:t>ISBN 978-1-7642138-8-2</w:t>
                      </w:r>
                    </w:p>
                    <w:p w14:paraId="7AEF2071" w14:textId="77777777" w:rsidR="00F871A0" w:rsidRDefault="00F871A0" w:rsidP="00F871A0"/>
                  </w:txbxContent>
                </v:textbox>
                <w10:anchorlock/>
              </v:shape>
            </w:pict>
          </mc:Fallback>
        </mc:AlternateContent>
      </w:r>
      <w:bookmarkEnd w:id="3"/>
      <w:r w:rsidRPr="00757D20">
        <w:rPr>
          <w:rFonts w:cs="Arial"/>
        </w:rPr>
        <w:br w:type="page"/>
      </w:r>
    </w:p>
    <w:p w14:paraId="63BFE1EC" w14:textId="77777777" w:rsidR="008C7722" w:rsidRPr="00757D20" w:rsidRDefault="008C7722" w:rsidP="008C7722">
      <w:pPr>
        <w:pStyle w:val="Heading1"/>
        <w:numPr>
          <w:ilvl w:val="0"/>
          <w:numId w:val="0"/>
        </w:numPr>
        <w:rPr>
          <w:rFonts w:cs="Arial"/>
        </w:rPr>
      </w:pPr>
      <w:bookmarkStart w:id="4" w:name="_Toc219977185"/>
      <w:r w:rsidRPr="00757D20">
        <w:rPr>
          <w:rFonts w:cs="Arial"/>
        </w:rPr>
        <w:lastRenderedPageBreak/>
        <w:t>Acknowledgement of Country</w:t>
      </w:r>
      <w:bookmarkEnd w:id="2"/>
      <w:bookmarkEnd w:id="4"/>
    </w:p>
    <w:p w14:paraId="534B0FEC" w14:textId="77777777" w:rsidR="0073342F" w:rsidRPr="00757D20" w:rsidRDefault="00FB6831" w:rsidP="008C7722">
      <w:pPr>
        <w:spacing w:line="259" w:lineRule="auto"/>
        <w:rPr>
          <w:rFonts w:cs="Arial"/>
          <w:sz w:val="28"/>
          <w:szCs w:val="28"/>
        </w:rPr>
      </w:pPr>
      <w:r w:rsidRPr="00757D20">
        <w:rPr>
          <w:rFonts w:cs="Arial"/>
          <w:sz w:val="28"/>
          <w:szCs w:val="28"/>
        </w:rPr>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01AEADE0" w14:textId="77777777" w:rsidR="0073342F" w:rsidRPr="00757D20" w:rsidRDefault="0073342F">
      <w:pPr>
        <w:spacing w:line="259" w:lineRule="auto"/>
        <w:rPr>
          <w:rFonts w:cs="Arial"/>
          <w:sz w:val="28"/>
          <w:szCs w:val="28"/>
        </w:rPr>
      </w:pPr>
      <w:r w:rsidRPr="00757D20">
        <w:rPr>
          <w:rFonts w:cs="Arial"/>
          <w:sz w:val="28"/>
          <w:szCs w:val="28"/>
        </w:rPr>
        <w:br w:type="page"/>
      </w:r>
    </w:p>
    <w:p w14:paraId="773F5BA9" w14:textId="77777777" w:rsidR="00B34C02" w:rsidRPr="00757D20" w:rsidRDefault="00B34C02" w:rsidP="00B34C02">
      <w:pPr>
        <w:pStyle w:val="headingnotitTOC"/>
      </w:pPr>
      <w:proofErr w:type="gramStart"/>
      <w:r w:rsidRPr="00757D20">
        <w:lastRenderedPageBreak/>
        <w:t>At a glance</w:t>
      </w:r>
      <w:proofErr w:type="gramEnd"/>
    </w:p>
    <w:p w14:paraId="54AC4D2B" w14:textId="77777777" w:rsidR="00B34C02" w:rsidRPr="00757D20" w:rsidRDefault="00B34C02" w:rsidP="00B34C02">
      <w:pPr>
        <w:spacing w:after="60"/>
        <w:rPr>
          <w:rFonts w:cs="Arial"/>
          <w:b/>
          <w:bCs/>
          <w:color w:val="6B3B57" w:themeColor="accent2"/>
          <w:sz w:val="24"/>
          <w:szCs w:val="24"/>
        </w:rPr>
      </w:pPr>
      <w:r w:rsidRPr="00757D20">
        <w:rPr>
          <w:rFonts w:cs="Arial"/>
          <w:b/>
          <w:bCs/>
          <w:color w:val="6B3B57" w:themeColor="accent2"/>
          <w:sz w:val="24"/>
          <w:szCs w:val="24"/>
        </w:rPr>
        <w:t>What we did</w:t>
      </w:r>
    </w:p>
    <w:p w14:paraId="71193E50" w14:textId="526860F0" w:rsidR="00B34C02" w:rsidRPr="00757D20" w:rsidRDefault="00B34C02" w:rsidP="00B34C02">
      <w:pPr>
        <w:rPr>
          <w:rFonts w:cs="Arial"/>
        </w:rPr>
      </w:pPr>
      <w:r w:rsidRPr="00757D20">
        <w:rPr>
          <w:rFonts w:cs="Arial"/>
        </w:rPr>
        <w:t>Today’s young people confront an age shaped by climate change, a succession of natural disasters, geopolitical conflicts, energy crises</w:t>
      </w:r>
      <w:r w:rsidR="00C36C58" w:rsidRPr="00757D20">
        <w:rPr>
          <w:rFonts w:cs="Arial"/>
        </w:rPr>
        <w:t>,</w:t>
      </w:r>
      <w:r w:rsidRPr="00757D20">
        <w:rPr>
          <w:rFonts w:cs="Arial"/>
        </w:rPr>
        <w:t xml:space="preserve"> and rising inflation. </w:t>
      </w:r>
      <w:r w:rsidR="004D1005" w:rsidRPr="00757D20">
        <w:rPr>
          <w:rFonts w:cs="Arial"/>
        </w:rPr>
        <w:t xml:space="preserve">The </w:t>
      </w:r>
      <w:r w:rsidRPr="00757D20">
        <w:rPr>
          <w:rFonts w:cs="Arial"/>
        </w:rPr>
        <w:t>COVID</w:t>
      </w:r>
      <w:r w:rsidRPr="00757D20">
        <w:rPr>
          <w:rFonts w:cs="Arial"/>
        </w:rPr>
        <w:noBreakHyphen/>
        <w:t>19</w:t>
      </w:r>
      <w:r w:rsidR="004D1005" w:rsidRPr="00757D20">
        <w:rPr>
          <w:rFonts w:cs="Arial"/>
        </w:rPr>
        <w:t xml:space="preserve"> pandemic</w:t>
      </w:r>
      <w:r w:rsidRPr="00757D20">
        <w:rPr>
          <w:rFonts w:cs="Arial"/>
        </w:rPr>
        <w:t xml:space="preserve"> further disrupted post</w:t>
      </w:r>
      <w:r w:rsidRPr="00757D20">
        <w:rPr>
          <w:rFonts w:cs="Arial"/>
        </w:rPr>
        <w:noBreakHyphen/>
        <w:t xml:space="preserve">school transitions—heightening stress and anxiety and amplifying equity gaps. </w:t>
      </w:r>
    </w:p>
    <w:p w14:paraId="70787F24" w14:textId="70A99569" w:rsidR="00B34C02" w:rsidRPr="00757D20" w:rsidRDefault="00B34C02" w:rsidP="00B34C02">
      <w:pPr>
        <w:rPr>
          <w:rFonts w:cs="Arial"/>
        </w:rPr>
      </w:pPr>
      <w:r w:rsidRPr="00757D20">
        <w:rPr>
          <w:rFonts w:cs="Arial"/>
        </w:rPr>
        <w:t>Drawing on multiple datasets involving secondary students, parents/carers, teachers</w:t>
      </w:r>
      <w:r w:rsidR="00C36C58" w:rsidRPr="00757D20">
        <w:rPr>
          <w:rFonts w:cs="Arial"/>
        </w:rPr>
        <w:t>,</w:t>
      </w:r>
      <w:r w:rsidRPr="00757D20">
        <w:rPr>
          <w:rFonts w:cs="Arial"/>
        </w:rPr>
        <w:t xml:space="preserve"> and community members in </w:t>
      </w:r>
      <w:r w:rsidR="004D1005" w:rsidRPr="00757D20">
        <w:rPr>
          <w:rFonts w:cs="Arial"/>
        </w:rPr>
        <w:t xml:space="preserve">New South Wales </w:t>
      </w:r>
      <w:r w:rsidRPr="00757D20">
        <w:rPr>
          <w:rFonts w:cs="Arial"/>
        </w:rPr>
        <w:t xml:space="preserve">collected over the last twelve years, we examined how current circumstances are shaping post-school aspirations and explored changes over time in how young people articulate their hopes for the future. We </w:t>
      </w:r>
      <w:r w:rsidRPr="00757D20">
        <w:rPr>
          <w:rFonts w:eastAsia="Times New Roman" w:cs="Arial"/>
          <w:bCs/>
        </w:rPr>
        <w:t>conducted new surveys, interviews</w:t>
      </w:r>
      <w:r w:rsidR="00C36C58" w:rsidRPr="00757D20">
        <w:rPr>
          <w:rFonts w:eastAsia="Times New Roman" w:cs="Arial"/>
          <w:bCs/>
        </w:rPr>
        <w:t>,</w:t>
      </w:r>
      <w:r w:rsidRPr="00757D20">
        <w:rPr>
          <w:rFonts w:eastAsia="Times New Roman" w:cs="Arial"/>
          <w:bCs/>
        </w:rPr>
        <w:t xml:space="preserve"> and focus groups with teachers, parents</w:t>
      </w:r>
      <w:r w:rsidR="00C36C58" w:rsidRPr="00757D20">
        <w:rPr>
          <w:rFonts w:eastAsia="Times New Roman" w:cs="Arial"/>
          <w:bCs/>
        </w:rPr>
        <w:t>,</w:t>
      </w:r>
      <w:r w:rsidRPr="00757D20">
        <w:rPr>
          <w:rFonts w:eastAsia="Times New Roman" w:cs="Arial"/>
          <w:bCs/>
        </w:rPr>
        <w:t xml:space="preserve"> and students in six high schools and one central school from the original study </w:t>
      </w:r>
      <w:r w:rsidR="00960991">
        <w:rPr>
          <w:rFonts w:eastAsia="Times New Roman" w:cs="Arial"/>
          <w:bCs/>
        </w:rPr>
        <w:t xml:space="preserve">conducted </w:t>
      </w:r>
      <w:r w:rsidRPr="00757D20">
        <w:rPr>
          <w:rFonts w:eastAsia="Times New Roman" w:cs="Arial"/>
          <w:bCs/>
        </w:rPr>
        <w:t>in 2012</w:t>
      </w:r>
      <w:r w:rsidR="004D1005" w:rsidRPr="00757D20">
        <w:rPr>
          <w:rFonts w:eastAsia="Times New Roman" w:cs="Arial"/>
          <w:bCs/>
        </w:rPr>
        <w:t>–</w:t>
      </w:r>
      <w:r w:rsidRPr="00757D20">
        <w:rPr>
          <w:rFonts w:eastAsia="Times New Roman" w:cs="Arial"/>
          <w:bCs/>
        </w:rPr>
        <w:t xml:space="preserve">15. The schools </w:t>
      </w:r>
      <w:proofErr w:type="gramStart"/>
      <w:r w:rsidRPr="00757D20">
        <w:rPr>
          <w:rFonts w:eastAsia="Times New Roman" w:cs="Arial"/>
          <w:bCs/>
        </w:rPr>
        <w:t>were located in</w:t>
      </w:r>
      <w:proofErr w:type="gramEnd"/>
      <w:r w:rsidRPr="00757D20">
        <w:rPr>
          <w:rFonts w:eastAsia="Times New Roman" w:cs="Arial"/>
          <w:bCs/>
        </w:rPr>
        <w:t xml:space="preserve"> regional and metropolitan areas, with a majority </w:t>
      </w:r>
      <w:r w:rsidR="004D1005" w:rsidRPr="00757D20">
        <w:rPr>
          <w:rFonts w:eastAsia="Times New Roman" w:cs="Arial"/>
          <w:bCs/>
        </w:rPr>
        <w:t xml:space="preserve">placed </w:t>
      </w:r>
      <w:r w:rsidRPr="00757D20">
        <w:rPr>
          <w:rFonts w:eastAsia="Times New Roman" w:cs="Arial"/>
          <w:bCs/>
        </w:rPr>
        <w:t>low</w:t>
      </w:r>
      <w:r w:rsidR="004D1005" w:rsidRPr="00757D20">
        <w:rPr>
          <w:rFonts w:eastAsia="Times New Roman" w:cs="Arial"/>
          <w:bCs/>
        </w:rPr>
        <w:t xml:space="preserve"> on the Index of Community Socio-Educational Advantage</w:t>
      </w:r>
      <w:r w:rsidRPr="00757D20">
        <w:rPr>
          <w:rFonts w:eastAsia="Times New Roman" w:cs="Arial"/>
          <w:bCs/>
        </w:rPr>
        <w:t xml:space="preserve"> </w:t>
      </w:r>
      <w:r w:rsidR="004D1005" w:rsidRPr="00757D20">
        <w:rPr>
          <w:rFonts w:eastAsia="Times New Roman" w:cs="Arial"/>
          <w:bCs/>
        </w:rPr>
        <w:t>(</w:t>
      </w:r>
      <w:r w:rsidRPr="00757D20">
        <w:rPr>
          <w:rFonts w:eastAsia="Times New Roman" w:cs="Arial"/>
          <w:bCs/>
        </w:rPr>
        <w:t>ICSEA</w:t>
      </w:r>
      <w:r w:rsidR="004D1005" w:rsidRPr="00757D20">
        <w:rPr>
          <w:rFonts w:eastAsia="Times New Roman" w:cs="Arial"/>
          <w:bCs/>
        </w:rPr>
        <w:t>)</w:t>
      </w:r>
      <w:r w:rsidRPr="00757D20">
        <w:rPr>
          <w:rFonts w:eastAsia="Times New Roman" w:cs="Arial"/>
          <w:bCs/>
        </w:rPr>
        <w:t>.</w:t>
      </w:r>
    </w:p>
    <w:p w14:paraId="59B2807D" w14:textId="77777777" w:rsidR="00B34C02" w:rsidRPr="00757D20" w:rsidRDefault="00B34C02" w:rsidP="00B34C02">
      <w:pPr>
        <w:spacing w:before="240" w:after="60"/>
        <w:rPr>
          <w:rFonts w:cs="Arial"/>
          <w:b/>
          <w:bCs/>
          <w:color w:val="6B3B57" w:themeColor="accent2"/>
          <w:sz w:val="24"/>
          <w:szCs w:val="24"/>
        </w:rPr>
      </w:pPr>
      <w:r w:rsidRPr="00757D20">
        <w:rPr>
          <w:rFonts w:cs="Arial"/>
          <w:b/>
          <w:bCs/>
          <w:color w:val="6B3B57" w:themeColor="accent2"/>
          <w:sz w:val="24"/>
          <w:szCs w:val="24"/>
        </w:rPr>
        <w:t>What we found</w:t>
      </w:r>
    </w:p>
    <w:p w14:paraId="2FF8115B" w14:textId="5A1DECD9" w:rsidR="00B34C02" w:rsidRPr="00757D20" w:rsidRDefault="00B34C02" w:rsidP="00B34C02">
      <w:pPr>
        <w:pStyle w:val="ListParagraph"/>
        <w:numPr>
          <w:ilvl w:val="0"/>
          <w:numId w:val="50"/>
        </w:numPr>
        <w:spacing w:after="100" w:afterAutospacing="1"/>
        <w:ind w:left="426" w:hanging="283"/>
        <w:rPr>
          <w:rFonts w:eastAsia="Times New Roman" w:cs="Arial"/>
          <w:kern w:val="0"/>
          <w:lang w:eastAsia="en-AU"/>
          <w14:ligatures w14:val="none"/>
        </w:rPr>
      </w:pPr>
      <w:r w:rsidRPr="00757D20">
        <w:rPr>
          <w:rFonts w:eastAsia="Times New Roman" w:cs="Arial"/>
          <w:kern w:val="0"/>
          <w:lang w:eastAsia="en-AU"/>
          <w14:ligatures w14:val="none"/>
        </w:rPr>
        <w:t>Interest in university in general remains high. However</w:t>
      </w:r>
      <w:r w:rsidR="004D1005" w:rsidRPr="00757D20">
        <w:rPr>
          <w:rFonts w:eastAsia="Times New Roman" w:cs="Arial"/>
          <w:kern w:val="0"/>
          <w:lang w:eastAsia="en-AU"/>
          <w14:ligatures w14:val="none"/>
        </w:rPr>
        <w:t>,</w:t>
      </w:r>
      <w:r w:rsidRPr="00757D20">
        <w:rPr>
          <w:rFonts w:eastAsia="Times New Roman" w:cs="Arial"/>
          <w:kern w:val="0"/>
          <w:lang w:eastAsia="en-AU"/>
          <w14:ligatures w14:val="none"/>
        </w:rPr>
        <w:t xml:space="preserve"> vocational education is gaining value, especially in communities with strong trades-based employment links. Educational aspirations are increasingly pragmatic</w:t>
      </w:r>
      <w:r w:rsidR="004D1005" w:rsidRPr="00757D20">
        <w:rPr>
          <w:rFonts w:eastAsia="Times New Roman" w:cs="Arial"/>
          <w:kern w:val="0"/>
          <w:lang w:eastAsia="en-AU"/>
          <w14:ligatures w14:val="none"/>
        </w:rPr>
        <w:t>; s</w:t>
      </w:r>
      <w:r w:rsidRPr="00757D20">
        <w:rPr>
          <w:rFonts w:eastAsia="Times New Roman" w:cs="Arial"/>
          <w:kern w:val="0"/>
          <w:lang w:eastAsia="en-AU"/>
          <w14:ligatures w14:val="none"/>
        </w:rPr>
        <w:t>tudents are making calculated choices based on perceived return on investment, financial risk, and community expectations.</w:t>
      </w:r>
    </w:p>
    <w:p w14:paraId="5ABE90A5" w14:textId="77777777" w:rsidR="00B34C02" w:rsidRPr="00757D20" w:rsidRDefault="00B34C02" w:rsidP="00B34C02">
      <w:pPr>
        <w:pStyle w:val="ListParagraph"/>
        <w:numPr>
          <w:ilvl w:val="0"/>
          <w:numId w:val="50"/>
        </w:numPr>
        <w:spacing w:before="100" w:beforeAutospacing="1" w:after="100" w:afterAutospacing="1"/>
        <w:ind w:left="426" w:hanging="283"/>
        <w:rPr>
          <w:rFonts w:eastAsia="Times New Roman" w:cs="Arial"/>
          <w:kern w:val="0"/>
          <w:lang w:eastAsia="en-AU"/>
          <w14:ligatures w14:val="none"/>
        </w:rPr>
      </w:pPr>
      <w:r w:rsidRPr="00757D20">
        <w:rPr>
          <w:rFonts w:eastAsia="Times New Roman" w:cs="Arial"/>
          <w:kern w:val="0"/>
          <w:lang w:eastAsia="en-AU"/>
          <w14:ligatures w14:val="none"/>
        </w:rPr>
        <w:t>Uncertainty is being experienced both emotionally and materially by young people as they think about their post-school futures. Young people express fear, stress, and doubt about their futures, often shaped by economic and material constraints, housing insecurity, and changing job prospects. Mental health has increasingly become a critical barrier to students’ futures—students across all communities report heightened anxiety about post-school transitions, with some communities seeing pandemic-related spikes in stress and performance pressure</w:t>
      </w:r>
      <w:r w:rsidRPr="00757D20">
        <w:rPr>
          <w:rFonts w:eastAsia="Times New Roman" w:cs="Arial"/>
          <w:kern w:val="0"/>
          <w:sz w:val="24"/>
          <w:szCs w:val="24"/>
          <w:lang w:eastAsia="en-AU"/>
          <w14:ligatures w14:val="none"/>
        </w:rPr>
        <w:t>.</w:t>
      </w:r>
    </w:p>
    <w:p w14:paraId="5BBFF9CF" w14:textId="77777777" w:rsidR="00B34C02" w:rsidRPr="00757D20" w:rsidRDefault="00B34C02" w:rsidP="00B34C02">
      <w:pPr>
        <w:pStyle w:val="ListParagraph"/>
        <w:numPr>
          <w:ilvl w:val="0"/>
          <w:numId w:val="50"/>
        </w:numPr>
        <w:spacing w:before="100" w:beforeAutospacing="1" w:after="100" w:afterAutospacing="1"/>
        <w:ind w:left="426" w:hanging="283"/>
        <w:rPr>
          <w:rFonts w:eastAsia="Times New Roman" w:cs="Arial"/>
          <w:kern w:val="0"/>
          <w:lang w:eastAsia="en-AU"/>
          <w14:ligatures w14:val="none"/>
        </w:rPr>
      </w:pPr>
      <w:r w:rsidRPr="00757D20">
        <w:rPr>
          <w:rFonts w:eastAsia="Times New Roman" w:cs="Arial"/>
          <w:kern w:val="0"/>
          <w:lang w:eastAsia="en-AU"/>
          <w14:ligatures w14:val="none"/>
        </w:rPr>
        <w:t>Disadvantaged students are increasingly concentrated in under-resourced public schools, compounding their exposure to instability and reducing access to future opportunities.</w:t>
      </w:r>
    </w:p>
    <w:p w14:paraId="6EDF5B4E" w14:textId="77777777" w:rsidR="00B34C02" w:rsidRPr="00757D20" w:rsidRDefault="00B34C02" w:rsidP="00B34C02">
      <w:pPr>
        <w:spacing w:before="240" w:after="60"/>
        <w:rPr>
          <w:rFonts w:cs="Arial"/>
          <w:b/>
          <w:bCs/>
          <w:color w:val="6B3B57" w:themeColor="accent2"/>
          <w:sz w:val="24"/>
          <w:szCs w:val="24"/>
        </w:rPr>
      </w:pPr>
      <w:r w:rsidRPr="00757D20">
        <w:rPr>
          <w:rFonts w:cs="Arial"/>
          <w:b/>
          <w:bCs/>
          <w:color w:val="6B3B57" w:themeColor="accent2"/>
          <w:sz w:val="24"/>
          <w:szCs w:val="24"/>
        </w:rPr>
        <w:t>What we recommend</w:t>
      </w:r>
    </w:p>
    <w:p w14:paraId="09BEA8C4" w14:textId="77777777" w:rsidR="00B34C02" w:rsidRPr="00757D20" w:rsidRDefault="00B34C02" w:rsidP="00B34C02">
      <w:pPr>
        <w:pStyle w:val="ListParagraph"/>
        <w:numPr>
          <w:ilvl w:val="0"/>
          <w:numId w:val="49"/>
        </w:numPr>
        <w:shd w:val="clear" w:color="auto" w:fill="FFFFFF"/>
        <w:spacing w:after="0"/>
        <w:ind w:left="426" w:hanging="284"/>
        <w:rPr>
          <w:rFonts w:eastAsia="Times New Roman" w:cs="Arial"/>
          <w:bCs/>
        </w:rPr>
      </w:pPr>
      <w:r w:rsidRPr="00757D20">
        <w:rPr>
          <w:rFonts w:eastAsia="Times New Roman" w:cs="Arial"/>
          <w:bCs/>
        </w:rPr>
        <w:t xml:space="preserve">Governments and schools should promote and celebrate </w:t>
      </w:r>
      <w:r w:rsidRPr="00757D20">
        <w:rPr>
          <w:rFonts w:cs="Arial"/>
          <w:lang w:eastAsia="en-AU"/>
        </w:rPr>
        <w:t xml:space="preserve">vocational and hybrid pathways, and universities need to </w:t>
      </w:r>
      <w:r w:rsidRPr="00757D20">
        <w:rPr>
          <w:rFonts w:eastAsia="Times New Roman" w:cs="Arial"/>
          <w:kern w:val="0"/>
          <w:lang w:eastAsia="en-AU"/>
          <w14:ligatures w14:val="none"/>
        </w:rPr>
        <w:t>build flexible, blended access models</w:t>
      </w:r>
      <w:r w:rsidRPr="00757D20">
        <w:rPr>
          <w:rFonts w:eastAsia="Times New Roman" w:cs="Arial"/>
          <w:bCs/>
        </w:rPr>
        <w:t xml:space="preserve">. </w:t>
      </w:r>
    </w:p>
    <w:p w14:paraId="725D0A31" w14:textId="77777777" w:rsidR="00B34C02" w:rsidRPr="00757D20" w:rsidRDefault="00B34C02" w:rsidP="00B34C02">
      <w:pPr>
        <w:pStyle w:val="ListParagraph"/>
        <w:numPr>
          <w:ilvl w:val="0"/>
          <w:numId w:val="49"/>
        </w:numPr>
        <w:shd w:val="clear" w:color="auto" w:fill="FFFFFF"/>
        <w:spacing w:before="240" w:after="0"/>
        <w:ind w:left="426" w:hanging="284"/>
        <w:rPr>
          <w:rFonts w:eastAsia="Times New Roman" w:cs="Arial"/>
          <w:bCs/>
        </w:rPr>
      </w:pPr>
      <w:r w:rsidRPr="00757D20">
        <w:rPr>
          <w:rFonts w:eastAsia="Times New Roman" w:cs="Arial"/>
          <w:bCs/>
        </w:rPr>
        <w:t xml:space="preserve">Career education needs to be strengthened through partnerships with local employers and tertiary education and vocational education providers. </w:t>
      </w:r>
    </w:p>
    <w:p w14:paraId="765CF355" w14:textId="77777777" w:rsidR="00B34C02" w:rsidRPr="00757D20" w:rsidRDefault="00B34C02" w:rsidP="00B34C02">
      <w:pPr>
        <w:pStyle w:val="ListParagraph"/>
        <w:numPr>
          <w:ilvl w:val="0"/>
          <w:numId w:val="49"/>
        </w:numPr>
        <w:shd w:val="clear" w:color="auto" w:fill="FFFFFF"/>
        <w:spacing w:before="240" w:after="0"/>
        <w:ind w:left="426" w:hanging="284"/>
        <w:rPr>
          <w:rFonts w:eastAsia="Times New Roman" w:cs="Arial"/>
          <w:bCs/>
        </w:rPr>
      </w:pPr>
      <w:r w:rsidRPr="00757D20">
        <w:rPr>
          <w:rFonts w:eastAsia="Times New Roman" w:cs="Arial"/>
          <w:bCs/>
        </w:rPr>
        <w:t xml:space="preserve">There needs to be greater focus on student wellbeing throughout their school and post-school lives, by better integrating mental health programs into schooling and addressing mental health in tertiary education settings. </w:t>
      </w:r>
    </w:p>
    <w:p w14:paraId="3B6D64BE" w14:textId="4706DF1E" w:rsidR="00315096" w:rsidRPr="00757D20" w:rsidRDefault="00B34C02" w:rsidP="00D618E7">
      <w:pPr>
        <w:pStyle w:val="ListParagraph"/>
        <w:numPr>
          <w:ilvl w:val="0"/>
          <w:numId w:val="49"/>
        </w:numPr>
        <w:shd w:val="clear" w:color="auto" w:fill="FFFFFF"/>
        <w:spacing w:before="240" w:after="0"/>
        <w:ind w:left="426" w:hanging="284"/>
        <w:rPr>
          <w:rFonts w:eastAsia="Times New Roman" w:cs="Arial"/>
          <w:bCs/>
        </w:rPr>
      </w:pPr>
      <w:r w:rsidRPr="00757D20">
        <w:rPr>
          <w:rFonts w:eastAsia="Times New Roman" w:cs="Arial"/>
          <w:bCs/>
        </w:rPr>
        <w:t>More support is needed for community infrastructure including transport, housing</w:t>
      </w:r>
      <w:r w:rsidR="004D1005" w:rsidRPr="00757D20">
        <w:rPr>
          <w:rFonts w:eastAsia="Times New Roman" w:cs="Arial"/>
          <w:bCs/>
        </w:rPr>
        <w:t>,</w:t>
      </w:r>
      <w:r w:rsidRPr="00757D20">
        <w:rPr>
          <w:rFonts w:eastAsia="Times New Roman" w:cs="Arial"/>
          <w:bCs/>
        </w:rPr>
        <w:t xml:space="preserve"> and digital connectivity, and more </w:t>
      </w:r>
      <w:r w:rsidRPr="00757D20">
        <w:rPr>
          <w:rFonts w:eastAsia="Times New Roman" w:cs="Arial"/>
          <w:kern w:val="0"/>
          <w:lang w:eastAsia="en-AU"/>
          <w14:ligatures w14:val="none"/>
        </w:rPr>
        <w:t xml:space="preserve">investment is needed in public schools, particularly in rural, regional, and low </w:t>
      </w:r>
      <w:r w:rsidR="00D618E7" w:rsidRPr="00757D20">
        <w:rPr>
          <w:rFonts w:eastAsia="Times New Roman" w:cs="Arial"/>
          <w:kern w:val="0"/>
          <w:lang w:eastAsia="en-AU"/>
          <w14:ligatures w14:val="none"/>
        </w:rPr>
        <w:t>s</w:t>
      </w:r>
      <w:r w:rsidR="000E1FE8" w:rsidRPr="00757D20">
        <w:rPr>
          <w:rFonts w:eastAsia="Times New Roman" w:cs="Arial"/>
          <w:kern w:val="0"/>
          <w:lang w:eastAsia="en-AU"/>
          <w14:ligatures w14:val="none"/>
        </w:rPr>
        <w:t>ocio</w:t>
      </w:r>
      <w:r w:rsidR="00D618E7" w:rsidRPr="00757D20">
        <w:rPr>
          <w:rFonts w:eastAsia="Times New Roman" w:cs="Arial"/>
          <w:kern w:val="0"/>
          <w:lang w:eastAsia="en-AU"/>
          <w14:ligatures w14:val="none"/>
        </w:rPr>
        <w:t>-</w:t>
      </w:r>
      <w:r w:rsidR="000E1FE8" w:rsidRPr="00757D20">
        <w:rPr>
          <w:rFonts w:eastAsia="Times New Roman" w:cs="Arial"/>
          <w:kern w:val="0"/>
          <w:lang w:eastAsia="en-AU"/>
          <w14:ligatures w14:val="none"/>
        </w:rPr>
        <w:t xml:space="preserve">economic </w:t>
      </w:r>
      <w:r w:rsidR="00D618E7" w:rsidRPr="00757D20">
        <w:rPr>
          <w:rFonts w:eastAsia="Times New Roman" w:cs="Arial"/>
          <w:kern w:val="0"/>
          <w:lang w:eastAsia="en-AU"/>
          <w14:ligatures w14:val="none"/>
        </w:rPr>
        <w:t>s</w:t>
      </w:r>
      <w:r w:rsidR="000E1FE8" w:rsidRPr="00757D20">
        <w:rPr>
          <w:rFonts w:eastAsia="Times New Roman" w:cs="Arial"/>
          <w:kern w:val="0"/>
          <w:lang w:eastAsia="en-AU"/>
          <w14:ligatures w14:val="none"/>
        </w:rPr>
        <w:t>tatus</w:t>
      </w:r>
      <w:r w:rsidRPr="00757D20">
        <w:rPr>
          <w:rFonts w:eastAsia="Times New Roman" w:cs="Arial"/>
          <w:kern w:val="0"/>
          <w:lang w:eastAsia="en-AU"/>
          <w14:ligatures w14:val="none"/>
        </w:rPr>
        <w:t xml:space="preserve"> areas.</w:t>
      </w:r>
    </w:p>
    <w:p w14:paraId="2CADA538" w14:textId="3A892C18" w:rsidR="00D77160" w:rsidRPr="00757D20" w:rsidRDefault="0073342F" w:rsidP="0073342F">
      <w:pPr>
        <w:pStyle w:val="Heading1"/>
        <w:numPr>
          <w:ilvl w:val="0"/>
          <w:numId w:val="0"/>
        </w:numPr>
      </w:pPr>
      <w:bookmarkStart w:id="5" w:name="_Toc219977186"/>
      <w:r w:rsidRPr="00757D20">
        <w:lastRenderedPageBreak/>
        <w:t>Acknowledgements</w:t>
      </w:r>
      <w:bookmarkEnd w:id="5"/>
      <w:r w:rsidR="00FB6831" w:rsidRPr="00757D20">
        <w:t xml:space="preserve"> </w:t>
      </w:r>
    </w:p>
    <w:p w14:paraId="13A66EA7" w14:textId="7568204E" w:rsidR="00634FE3" w:rsidRPr="00757D20" w:rsidRDefault="001535E4" w:rsidP="00AE3DFE">
      <w:r w:rsidRPr="00757D20">
        <w:t xml:space="preserve">We are most grateful </w:t>
      </w:r>
      <w:r w:rsidR="006612F4" w:rsidRPr="00757D20">
        <w:t>to</w:t>
      </w:r>
      <w:r w:rsidRPr="00757D20">
        <w:t xml:space="preserve"> the teachers, students</w:t>
      </w:r>
      <w:r w:rsidR="004D1005" w:rsidRPr="00757D20">
        <w:t>,</w:t>
      </w:r>
      <w:r w:rsidRPr="00757D20">
        <w:t xml:space="preserve"> and parents who gave their time to complete a survey and/or </w:t>
      </w:r>
      <w:r w:rsidR="006612F4" w:rsidRPr="00757D20">
        <w:t>participate</w:t>
      </w:r>
      <w:r w:rsidRPr="00757D20">
        <w:t xml:space="preserve"> in an interview </w:t>
      </w:r>
      <w:r w:rsidR="46797D40" w:rsidRPr="00757D20">
        <w:t>o</w:t>
      </w:r>
      <w:r w:rsidR="1FB76C8F" w:rsidRPr="00757D20">
        <w:t>r</w:t>
      </w:r>
      <w:r w:rsidRPr="00757D20">
        <w:t xml:space="preserve"> focus group for this study.</w:t>
      </w:r>
      <w:r w:rsidR="00634FE3" w:rsidRPr="00757D20">
        <w:t xml:space="preserve"> </w:t>
      </w:r>
    </w:p>
    <w:p w14:paraId="3C38AD8F" w14:textId="226C5506" w:rsidR="00F83B47" w:rsidRPr="00757D20" w:rsidRDefault="00F83B47" w:rsidP="000958B2">
      <w:r w:rsidRPr="00757D20">
        <w:t xml:space="preserve">We also thank: </w:t>
      </w:r>
      <w:r w:rsidR="00020335" w:rsidRPr="00757D20">
        <w:t xml:space="preserve">Jacquie Briskham, </w:t>
      </w:r>
      <w:r w:rsidR="00A45C3C" w:rsidRPr="00757D20">
        <w:t xml:space="preserve">Julie Cowan, </w:t>
      </w:r>
      <w:r w:rsidR="001948B0" w:rsidRPr="00757D20">
        <w:t xml:space="preserve">Tim Dean, </w:t>
      </w:r>
      <w:r w:rsidRPr="00757D20">
        <w:t xml:space="preserve">Matthew Harper, </w:t>
      </w:r>
      <w:r w:rsidR="001948B0" w:rsidRPr="00757D20">
        <w:t xml:space="preserve">Tim Kelso, and </w:t>
      </w:r>
      <w:r w:rsidR="00BD719B" w:rsidRPr="00757D20">
        <w:t>Skye Gibson</w:t>
      </w:r>
      <w:r w:rsidR="001948B0" w:rsidRPr="00757D20">
        <w:t xml:space="preserve"> for their support with data collection and analysis.</w:t>
      </w:r>
    </w:p>
    <w:p w14:paraId="2FAE87CE" w14:textId="53E800B2" w:rsidR="000958B2" w:rsidRPr="00757D20" w:rsidRDefault="000958B2" w:rsidP="000958B2">
      <w:r w:rsidRPr="00757D20">
        <w:t>This study was funded by the Australian Department of Education</w:t>
      </w:r>
      <w:r w:rsidR="00EB2B93" w:rsidRPr="00757D20">
        <w:t xml:space="preserve"> th</w:t>
      </w:r>
      <w:r w:rsidR="00AD76F4" w:rsidRPr="00757D20">
        <w:t>r</w:t>
      </w:r>
      <w:r w:rsidR="00EB2B93" w:rsidRPr="00757D20">
        <w:t>ough the Australian Centre for Student</w:t>
      </w:r>
      <w:r w:rsidR="00883490" w:rsidRPr="00757D20">
        <w:t xml:space="preserve"> Equity and Success (ACSES). Data for this project were also drawn from</w:t>
      </w:r>
      <w:r w:rsidR="002C3AAE" w:rsidRPr="00757D20">
        <w:t>:</w:t>
      </w:r>
      <w:r w:rsidR="00883490" w:rsidRPr="00757D20">
        <w:t xml:space="preserve"> the </w:t>
      </w:r>
      <w:r w:rsidR="00883490" w:rsidRPr="00757D20">
        <w:rPr>
          <w:i/>
        </w:rPr>
        <w:t>Aspirations Longitudinal</w:t>
      </w:r>
      <w:r w:rsidR="00883490" w:rsidRPr="004F20A7">
        <w:rPr>
          <w:i/>
        </w:rPr>
        <w:t xml:space="preserve"> </w:t>
      </w:r>
      <w:r w:rsidR="004F20A7" w:rsidRPr="006425B6">
        <w:rPr>
          <w:i/>
        </w:rPr>
        <w:t>Study</w:t>
      </w:r>
      <w:r w:rsidR="003260BA" w:rsidRPr="00757D20">
        <w:t xml:space="preserve"> (2012</w:t>
      </w:r>
      <w:r w:rsidR="009E3513" w:rsidRPr="00757D20">
        <w:t>–</w:t>
      </w:r>
      <w:r w:rsidR="003260BA" w:rsidRPr="00757D20">
        <w:t>2015), which was funded by the Australian Research Cou</w:t>
      </w:r>
      <w:r w:rsidR="00577C95" w:rsidRPr="00757D20">
        <w:t>ncil and the NSW Department of Education</w:t>
      </w:r>
      <w:r w:rsidR="00826370" w:rsidRPr="00757D20">
        <w:t xml:space="preserve">; </w:t>
      </w:r>
      <w:r w:rsidR="00577C95" w:rsidRPr="00757D20">
        <w:t xml:space="preserve">the </w:t>
      </w:r>
      <w:r w:rsidR="008A3E66" w:rsidRPr="00757D20">
        <w:rPr>
          <w:i/>
          <w:iCs/>
        </w:rPr>
        <w:t>Unlocking Capacity and Empowering Choice</w:t>
      </w:r>
      <w:r w:rsidR="008A3E66" w:rsidRPr="00757D20">
        <w:t xml:space="preserve"> project (2</w:t>
      </w:r>
      <w:r w:rsidR="000E1FE8" w:rsidRPr="00757D20">
        <w:t>016</w:t>
      </w:r>
      <w:r w:rsidR="006F38E9" w:rsidRPr="00757D20">
        <w:t xml:space="preserve">) and the </w:t>
      </w:r>
      <w:r w:rsidR="00577C95" w:rsidRPr="00757D20">
        <w:rPr>
          <w:i/>
        </w:rPr>
        <w:t xml:space="preserve">Locating Aspirations </w:t>
      </w:r>
      <w:r w:rsidR="004F20A7" w:rsidRPr="006425B6">
        <w:rPr>
          <w:i/>
        </w:rPr>
        <w:t>Study</w:t>
      </w:r>
      <w:r w:rsidR="008B7332" w:rsidRPr="00757D20">
        <w:t xml:space="preserve"> (2017</w:t>
      </w:r>
      <w:r w:rsidR="008A3E66" w:rsidRPr="00757D20">
        <w:t>)</w:t>
      </w:r>
      <w:r w:rsidR="00577C95" w:rsidRPr="00757D20">
        <w:t xml:space="preserve">, </w:t>
      </w:r>
      <w:r w:rsidR="008A3E66" w:rsidRPr="00757D20">
        <w:t>both</w:t>
      </w:r>
      <w:r w:rsidR="00577C95" w:rsidRPr="00757D20">
        <w:t xml:space="preserve"> funded by the Australian Government Department of Education Higher Education Participation and Partnerships Program within the National Priorities Pool scheme</w:t>
      </w:r>
      <w:r w:rsidR="001E73A4" w:rsidRPr="00757D20">
        <w:t xml:space="preserve">; </w:t>
      </w:r>
      <w:r w:rsidR="00E43F3A" w:rsidRPr="00757D20">
        <w:t xml:space="preserve">the </w:t>
      </w:r>
      <w:r w:rsidR="00E43F3A" w:rsidRPr="00757D20">
        <w:rPr>
          <w:i/>
          <w:iCs/>
        </w:rPr>
        <w:t>Girls in Maths</w:t>
      </w:r>
      <w:r w:rsidR="00E43F3A" w:rsidRPr="00757D20">
        <w:t xml:space="preserve"> project (2017) funded by </w:t>
      </w:r>
      <w:r w:rsidR="0017505C" w:rsidRPr="00757D20">
        <w:t xml:space="preserve">John and Margaret </w:t>
      </w:r>
      <w:r w:rsidR="00E43F3A" w:rsidRPr="00757D20">
        <w:t>Bower</w:t>
      </w:r>
      <w:r w:rsidR="0017505C" w:rsidRPr="00757D20">
        <w:t>s</w:t>
      </w:r>
      <w:r w:rsidR="00390A0E" w:rsidRPr="00757D20">
        <w:t xml:space="preserve">; the </w:t>
      </w:r>
      <w:r w:rsidR="00390A0E" w:rsidRPr="00757D20">
        <w:rPr>
          <w:i/>
          <w:iCs/>
        </w:rPr>
        <w:t>Choosing University</w:t>
      </w:r>
      <w:r w:rsidR="00390A0E" w:rsidRPr="00757D20">
        <w:t xml:space="preserve"> project (2015) </w:t>
      </w:r>
      <w:r w:rsidR="001E73A4" w:rsidRPr="00757D20">
        <w:t xml:space="preserve">and the </w:t>
      </w:r>
      <w:r w:rsidR="001E73A4" w:rsidRPr="00757D20">
        <w:rPr>
          <w:i/>
          <w:iCs/>
        </w:rPr>
        <w:t>Community Influence on University Aspirations</w:t>
      </w:r>
      <w:r w:rsidR="001E73A4" w:rsidRPr="00757D20">
        <w:t xml:space="preserve"> </w:t>
      </w:r>
      <w:r w:rsidR="008B4142" w:rsidRPr="00757D20">
        <w:t>study</w:t>
      </w:r>
      <w:r w:rsidR="008B7332" w:rsidRPr="00757D20">
        <w:t xml:space="preserve"> (2018)</w:t>
      </w:r>
      <w:r w:rsidR="008B4142" w:rsidRPr="00757D20">
        <w:t xml:space="preserve">, </w:t>
      </w:r>
      <w:r w:rsidR="00390A0E" w:rsidRPr="00757D20">
        <w:t xml:space="preserve">both </w:t>
      </w:r>
      <w:r w:rsidR="008B4142" w:rsidRPr="00757D20">
        <w:t xml:space="preserve">funded by </w:t>
      </w:r>
      <w:r w:rsidR="00C37AB3" w:rsidRPr="00757D20">
        <w:t>ACSES (then known as the National Centre for Student Equity in Higher Education)</w:t>
      </w:r>
      <w:r w:rsidR="00577C95" w:rsidRPr="00757D20">
        <w:t>. The views and opinions expressed in this report are those of the authors and do not necessarily reflect the views of the funding bodies.</w:t>
      </w:r>
    </w:p>
    <w:p w14:paraId="25511563" w14:textId="1BF25870" w:rsidR="008C7722" w:rsidRPr="00757D20" w:rsidRDefault="008C7722" w:rsidP="00A0576A">
      <w:r w:rsidRPr="00757D20">
        <w:br w:type="page"/>
      </w:r>
    </w:p>
    <w:p w14:paraId="32AE347C" w14:textId="3B747358" w:rsidR="008C7722" w:rsidRPr="00757D20" w:rsidRDefault="008C7722" w:rsidP="008C7722">
      <w:pPr>
        <w:pStyle w:val="Heading1"/>
        <w:numPr>
          <w:ilvl w:val="0"/>
          <w:numId w:val="0"/>
        </w:numPr>
        <w:rPr>
          <w:rFonts w:cs="Arial"/>
        </w:rPr>
      </w:pPr>
      <w:bookmarkStart w:id="6" w:name="_Toc170822381"/>
      <w:bookmarkStart w:id="7" w:name="_Toc219977187"/>
      <w:r w:rsidRPr="00757D20">
        <w:rPr>
          <w:rFonts w:cs="Arial"/>
        </w:rPr>
        <w:lastRenderedPageBreak/>
        <w:t xml:space="preserve">Table of </w:t>
      </w:r>
      <w:r w:rsidR="00D618E7" w:rsidRPr="00757D20">
        <w:rPr>
          <w:rFonts w:cs="Arial"/>
        </w:rPr>
        <w:t>c</w:t>
      </w:r>
      <w:r w:rsidRPr="00757D20">
        <w:rPr>
          <w:rFonts w:cs="Arial"/>
        </w:rPr>
        <w:t>ontents</w:t>
      </w:r>
      <w:bookmarkEnd w:id="6"/>
      <w:bookmarkEnd w:id="7"/>
    </w:p>
    <w:sdt>
      <w:sdtPr>
        <w:rPr>
          <w:rFonts w:eastAsiaTheme="minorHAnsi" w:cs="Arial"/>
          <w:b w:val="0"/>
          <w:kern w:val="2"/>
          <w:sz w:val="22"/>
          <w:szCs w:val="22"/>
        </w:rPr>
        <w:id w:val="-389729565"/>
        <w:docPartObj>
          <w:docPartGallery w:val="Table of Contents"/>
          <w:docPartUnique/>
        </w:docPartObj>
      </w:sdtPr>
      <w:sdtEndPr/>
      <w:sdtContent>
        <w:p w14:paraId="60204865" w14:textId="77777777" w:rsidR="008C7722" w:rsidRPr="00757D20" w:rsidRDefault="008C7722" w:rsidP="00271D48">
          <w:pPr>
            <w:pStyle w:val="TOCHeading"/>
            <w:rPr>
              <w:rFonts w:cs="Arial"/>
            </w:rPr>
          </w:pPr>
        </w:p>
        <w:p w14:paraId="5F73CD4A" w14:textId="0564BA3B" w:rsidR="007E37B1" w:rsidRDefault="009E3513">
          <w:pPr>
            <w:pStyle w:val="TOC1"/>
            <w:tabs>
              <w:tab w:val="right" w:leader="dot" w:pos="9016"/>
            </w:tabs>
            <w:rPr>
              <w:rFonts w:asciiTheme="minorHAnsi" w:eastAsiaTheme="minorEastAsia" w:hAnsiTheme="minorHAnsi"/>
              <w:noProof/>
              <w:sz w:val="24"/>
              <w:szCs w:val="24"/>
              <w:lang w:eastAsia="en-AU"/>
            </w:rPr>
          </w:pPr>
          <w:r w:rsidRPr="00757D20">
            <w:rPr>
              <w:rFonts w:cs="Arial"/>
            </w:rPr>
            <w:fldChar w:fldCharType="begin"/>
          </w:r>
          <w:r w:rsidRPr="00757D20">
            <w:rPr>
              <w:rFonts w:cs="Arial"/>
            </w:rPr>
            <w:instrText xml:space="preserve"> TOC \o "1-3" \h \z \u </w:instrText>
          </w:r>
          <w:r w:rsidRPr="00757D20">
            <w:rPr>
              <w:rFonts w:cs="Arial"/>
            </w:rPr>
            <w:fldChar w:fldCharType="separate"/>
          </w:r>
          <w:hyperlink w:anchor="_Toc219977185" w:history="1">
            <w:r w:rsidR="007E37B1" w:rsidRPr="002552D0">
              <w:rPr>
                <w:rStyle w:val="Hyperlink"/>
                <w:rFonts w:cs="Arial"/>
                <w:noProof/>
              </w:rPr>
              <w:t>Acknowledgement of Country</w:t>
            </w:r>
            <w:r w:rsidR="007E37B1">
              <w:rPr>
                <w:noProof/>
                <w:webHidden/>
              </w:rPr>
              <w:tab/>
            </w:r>
            <w:r w:rsidR="007E37B1">
              <w:rPr>
                <w:noProof/>
                <w:webHidden/>
              </w:rPr>
              <w:fldChar w:fldCharType="begin"/>
            </w:r>
            <w:r w:rsidR="007E37B1">
              <w:rPr>
                <w:noProof/>
                <w:webHidden/>
              </w:rPr>
              <w:instrText xml:space="preserve"> PAGEREF _Toc219977185 \h </w:instrText>
            </w:r>
            <w:r w:rsidR="007E37B1">
              <w:rPr>
                <w:noProof/>
                <w:webHidden/>
              </w:rPr>
            </w:r>
            <w:r w:rsidR="007E37B1">
              <w:rPr>
                <w:noProof/>
                <w:webHidden/>
              </w:rPr>
              <w:fldChar w:fldCharType="separate"/>
            </w:r>
            <w:r w:rsidR="007E37B1">
              <w:rPr>
                <w:noProof/>
                <w:webHidden/>
              </w:rPr>
              <w:t>ii</w:t>
            </w:r>
            <w:r w:rsidR="007E37B1">
              <w:rPr>
                <w:noProof/>
                <w:webHidden/>
              </w:rPr>
              <w:fldChar w:fldCharType="end"/>
            </w:r>
          </w:hyperlink>
        </w:p>
        <w:p w14:paraId="789771D0" w14:textId="04CCDDF9" w:rsidR="007E37B1" w:rsidRDefault="007E37B1">
          <w:pPr>
            <w:pStyle w:val="TOC1"/>
            <w:tabs>
              <w:tab w:val="right" w:leader="dot" w:pos="9016"/>
            </w:tabs>
            <w:rPr>
              <w:rFonts w:asciiTheme="minorHAnsi" w:eastAsiaTheme="minorEastAsia" w:hAnsiTheme="minorHAnsi"/>
              <w:noProof/>
              <w:sz w:val="24"/>
              <w:szCs w:val="24"/>
              <w:lang w:eastAsia="en-AU"/>
            </w:rPr>
          </w:pPr>
          <w:hyperlink w:anchor="_Toc219977186" w:history="1">
            <w:r w:rsidRPr="002552D0">
              <w:rPr>
                <w:rStyle w:val="Hyperlink"/>
                <w:noProof/>
              </w:rPr>
              <w:t>Acknowledgements</w:t>
            </w:r>
            <w:r>
              <w:rPr>
                <w:noProof/>
                <w:webHidden/>
              </w:rPr>
              <w:tab/>
            </w:r>
            <w:r>
              <w:rPr>
                <w:noProof/>
                <w:webHidden/>
              </w:rPr>
              <w:fldChar w:fldCharType="begin"/>
            </w:r>
            <w:r>
              <w:rPr>
                <w:noProof/>
                <w:webHidden/>
              </w:rPr>
              <w:instrText xml:space="preserve"> PAGEREF _Toc219977186 \h </w:instrText>
            </w:r>
            <w:r>
              <w:rPr>
                <w:noProof/>
                <w:webHidden/>
              </w:rPr>
            </w:r>
            <w:r>
              <w:rPr>
                <w:noProof/>
                <w:webHidden/>
              </w:rPr>
              <w:fldChar w:fldCharType="separate"/>
            </w:r>
            <w:r>
              <w:rPr>
                <w:noProof/>
                <w:webHidden/>
              </w:rPr>
              <w:t>iv</w:t>
            </w:r>
            <w:r>
              <w:rPr>
                <w:noProof/>
                <w:webHidden/>
              </w:rPr>
              <w:fldChar w:fldCharType="end"/>
            </w:r>
          </w:hyperlink>
        </w:p>
        <w:p w14:paraId="64F621E9" w14:textId="5214E45F" w:rsidR="007E37B1" w:rsidRDefault="007E37B1">
          <w:pPr>
            <w:pStyle w:val="TOC1"/>
            <w:tabs>
              <w:tab w:val="right" w:leader="dot" w:pos="9016"/>
            </w:tabs>
            <w:rPr>
              <w:rFonts w:asciiTheme="minorHAnsi" w:eastAsiaTheme="minorEastAsia" w:hAnsiTheme="minorHAnsi"/>
              <w:noProof/>
              <w:sz w:val="24"/>
              <w:szCs w:val="24"/>
              <w:lang w:eastAsia="en-AU"/>
            </w:rPr>
          </w:pPr>
          <w:hyperlink w:anchor="_Toc219977187" w:history="1">
            <w:r w:rsidRPr="002552D0">
              <w:rPr>
                <w:rStyle w:val="Hyperlink"/>
                <w:rFonts w:cs="Arial"/>
                <w:noProof/>
              </w:rPr>
              <w:t>Table of contents</w:t>
            </w:r>
            <w:r>
              <w:rPr>
                <w:noProof/>
                <w:webHidden/>
              </w:rPr>
              <w:tab/>
            </w:r>
            <w:r>
              <w:rPr>
                <w:noProof/>
                <w:webHidden/>
              </w:rPr>
              <w:fldChar w:fldCharType="begin"/>
            </w:r>
            <w:r>
              <w:rPr>
                <w:noProof/>
                <w:webHidden/>
              </w:rPr>
              <w:instrText xml:space="preserve"> PAGEREF _Toc219977187 \h </w:instrText>
            </w:r>
            <w:r>
              <w:rPr>
                <w:noProof/>
                <w:webHidden/>
              </w:rPr>
            </w:r>
            <w:r>
              <w:rPr>
                <w:noProof/>
                <w:webHidden/>
              </w:rPr>
              <w:fldChar w:fldCharType="separate"/>
            </w:r>
            <w:r>
              <w:rPr>
                <w:noProof/>
                <w:webHidden/>
              </w:rPr>
              <w:t>v</w:t>
            </w:r>
            <w:r>
              <w:rPr>
                <w:noProof/>
                <w:webHidden/>
              </w:rPr>
              <w:fldChar w:fldCharType="end"/>
            </w:r>
          </w:hyperlink>
        </w:p>
        <w:p w14:paraId="517FD078" w14:textId="7599BD39" w:rsidR="007E37B1" w:rsidRDefault="007E37B1">
          <w:pPr>
            <w:pStyle w:val="TOC2"/>
            <w:tabs>
              <w:tab w:val="right" w:leader="dot" w:pos="9016"/>
            </w:tabs>
            <w:rPr>
              <w:rFonts w:asciiTheme="minorHAnsi" w:eastAsiaTheme="minorEastAsia" w:hAnsiTheme="minorHAnsi"/>
              <w:noProof/>
              <w:sz w:val="24"/>
              <w:szCs w:val="24"/>
              <w:lang w:eastAsia="en-AU"/>
            </w:rPr>
          </w:pPr>
          <w:hyperlink w:anchor="_Toc219977188" w:history="1">
            <w:r w:rsidRPr="002552D0">
              <w:rPr>
                <w:rStyle w:val="Hyperlink"/>
                <w:noProof/>
              </w:rPr>
              <w:t>List of tables</w:t>
            </w:r>
            <w:r>
              <w:rPr>
                <w:noProof/>
                <w:webHidden/>
              </w:rPr>
              <w:tab/>
            </w:r>
            <w:r>
              <w:rPr>
                <w:noProof/>
                <w:webHidden/>
              </w:rPr>
              <w:fldChar w:fldCharType="begin"/>
            </w:r>
            <w:r>
              <w:rPr>
                <w:noProof/>
                <w:webHidden/>
              </w:rPr>
              <w:instrText xml:space="preserve"> PAGEREF _Toc219977188 \h </w:instrText>
            </w:r>
            <w:r>
              <w:rPr>
                <w:noProof/>
                <w:webHidden/>
              </w:rPr>
            </w:r>
            <w:r>
              <w:rPr>
                <w:noProof/>
                <w:webHidden/>
              </w:rPr>
              <w:fldChar w:fldCharType="separate"/>
            </w:r>
            <w:r>
              <w:rPr>
                <w:noProof/>
                <w:webHidden/>
              </w:rPr>
              <w:t>vii</w:t>
            </w:r>
            <w:r>
              <w:rPr>
                <w:noProof/>
                <w:webHidden/>
              </w:rPr>
              <w:fldChar w:fldCharType="end"/>
            </w:r>
          </w:hyperlink>
        </w:p>
        <w:p w14:paraId="2F6D69DB" w14:textId="7E417D70" w:rsidR="007E37B1" w:rsidRDefault="007E37B1">
          <w:pPr>
            <w:pStyle w:val="TOC2"/>
            <w:tabs>
              <w:tab w:val="right" w:leader="dot" w:pos="9016"/>
            </w:tabs>
            <w:rPr>
              <w:rFonts w:asciiTheme="minorHAnsi" w:eastAsiaTheme="minorEastAsia" w:hAnsiTheme="minorHAnsi"/>
              <w:noProof/>
              <w:sz w:val="24"/>
              <w:szCs w:val="24"/>
              <w:lang w:eastAsia="en-AU"/>
            </w:rPr>
          </w:pPr>
          <w:hyperlink w:anchor="_Toc219977189" w:history="1">
            <w:r w:rsidRPr="002552D0">
              <w:rPr>
                <w:rStyle w:val="Hyperlink"/>
                <w:noProof/>
              </w:rPr>
              <w:t>List of figures</w:t>
            </w:r>
            <w:r>
              <w:rPr>
                <w:noProof/>
                <w:webHidden/>
              </w:rPr>
              <w:tab/>
            </w:r>
            <w:r>
              <w:rPr>
                <w:noProof/>
                <w:webHidden/>
              </w:rPr>
              <w:fldChar w:fldCharType="begin"/>
            </w:r>
            <w:r>
              <w:rPr>
                <w:noProof/>
                <w:webHidden/>
              </w:rPr>
              <w:instrText xml:space="preserve"> PAGEREF _Toc219977189 \h </w:instrText>
            </w:r>
            <w:r>
              <w:rPr>
                <w:noProof/>
                <w:webHidden/>
              </w:rPr>
            </w:r>
            <w:r>
              <w:rPr>
                <w:noProof/>
                <w:webHidden/>
              </w:rPr>
              <w:fldChar w:fldCharType="separate"/>
            </w:r>
            <w:r>
              <w:rPr>
                <w:noProof/>
                <w:webHidden/>
              </w:rPr>
              <w:t>vii</w:t>
            </w:r>
            <w:r>
              <w:rPr>
                <w:noProof/>
                <w:webHidden/>
              </w:rPr>
              <w:fldChar w:fldCharType="end"/>
            </w:r>
          </w:hyperlink>
        </w:p>
        <w:p w14:paraId="1382BD5E" w14:textId="1FB51A5F" w:rsidR="007E37B1" w:rsidRDefault="007E37B1">
          <w:pPr>
            <w:pStyle w:val="TOC1"/>
            <w:tabs>
              <w:tab w:val="right" w:leader="dot" w:pos="9016"/>
            </w:tabs>
            <w:rPr>
              <w:rFonts w:asciiTheme="minorHAnsi" w:eastAsiaTheme="minorEastAsia" w:hAnsiTheme="minorHAnsi"/>
              <w:noProof/>
              <w:sz w:val="24"/>
              <w:szCs w:val="24"/>
              <w:lang w:eastAsia="en-AU"/>
            </w:rPr>
          </w:pPr>
          <w:hyperlink w:anchor="_Toc219977190" w:history="1">
            <w:r w:rsidRPr="002552D0">
              <w:rPr>
                <w:rStyle w:val="Hyperlink"/>
                <w:rFonts w:eastAsia="Times New Roman"/>
                <w:noProof/>
                <w:lang w:eastAsia="en-AU"/>
              </w:rPr>
              <w:t>Abbreviations</w:t>
            </w:r>
            <w:r>
              <w:rPr>
                <w:noProof/>
                <w:webHidden/>
              </w:rPr>
              <w:tab/>
            </w:r>
            <w:r>
              <w:rPr>
                <w:noProof/>
                <w:webHidden/>
              </w:rPr>
              <w:fldChar w:fldCharType="begin"/>
            </w:r>
            <w:r>
              <w:rPr>
                <w:noProof/>
                <w:webHidden/>
              </w:rPr>
              <w:instrText xml:space="preserve"> PAGEREF _Toc219977190 \h </w:instrText>
            </w:r>
            <w:r>
              <w:rPr>
                <w:noProof/>
                <w:webHidden/>
              </w:rPr>
            </w:r>
            <w:r>
              <w:rPr>
                <w:noProof/>
                <w:webHidden/>
              </w:rPr>
              <w:fldChar w:fldCharType="separate"/>
            </w:r>
            <w:r>
              <w:rPr>
                <w:noProof/>
                <w:webHidden/>
              </w:rPr>
              <w:t>viii</w:t>
            </w:r>
            <w:r>
              <w:rPr>
                <w:noProof/>
                <w:webHidden/>
              </w:rPr>
              <w:fldChar w:fldCharType="end"/>
            </w:r>
          </w:hyperlink>
        </w:p>
        <w:p w14:paraId="19A78B94" w14:textId="7542FCC6"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191" w:history="1">
            <w:r w:rsidRPr="002552D0">
              <w:rPr>
                <w:rStyle w:val="Hyperlink"/>
                <w:rFonts w:eastAsia="Times New Roman" w:cs="Arial"/>
                <w:noProof/>
                <w:lang w:eastAsia="en-AU"/>
              </w:rPr>
              <w:t>1.</w:t>
            </w:r>
            <w:r>
              <w:rPr>
                <w:rFonts w:asciiTheme="minorHAnsi" w:eastAsiaTheme="minorEastAsia" w:hAnsiTheme="minorHAnsi"/>
                <w:noProof/>
                <w:sz w:val="24"/>
                <w:szCs w:val="24"/>
                <w:lang w:eastAsia="en-AU"/>
              </w:rPr>
              <w:tab/>
            </w:r>
            <w:r w:rsidRPr="002552D0">
              <w:rPr>
                <w:rStyle w:val="Hyperlink"/>
                <w:rFonts w:eastAsia="Times New Roman" w:cs="Arial"/>
                <w:noProof/>
                <w:lang w:eastAsia="en-AU"/>
              </w:rPr>
              <w:t>Executive summary</w:t>
            </w:r>
            <w:r>
              <w:rPr>
                <w:noProof/>
                <w:webHidden/>
              </w:rPr>
              <w:tab/>
            </w:r>
            <w:r>
              <w:rPr>
                <w:noProof/>
                <w:webHidden/>
              </w:rPr>
              <w:fldChar w:fldCharType="begin"/>
            </w:r>
            <w:r>
              <w:rPr>
                <w:noProof/>
                <w:webHidden/>
              </w:rPr>
              <w:instrText xml:space="preserve"> PAGEREF _Toc219977191 \h </w:instrText>
            </w:r>
            <w:r>
              <w:rPr>
                <w:noProof/>
                <w:webHidden/>
              </w:rPr>
            </w:r>
            <w:r>
              <w:rPr>
                <w:noProof/>
                <w:webHidden/>
              </w:rPr>
              <w:fldChar w:fldCharType="separate"/>
            </w:r>
            <w:r>
              <w:rPr>
                <w:noProof/>
                <w:webHidden/>
              </w:rPr>
              <w:t>1</w:t>
            </w:r>
            <w:r>
              <w:rPr>
                <w:noProof/>
                <w:webHidden/>
              </w:rPr>
              <w:fldChar w:fldCharType="end"/>
            </w:r>
          </w:hyperlink>
        </w:p>
        <w:p w14:paraId="4BA26ABB" w14:textId="58204037"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192" w:history="1">
            <w:r w:rsidRPr="002552D0">
              <w:rPr>
                <w:rStyle w:val="Hyperlink"/>
                <w:noProof/>
              </w:rPr>
              <w:t>2.</w:t>
            </w:r>
            <w:r>
              <w:rPr>
                <w:rFonts w:asciiTheme="minorHAnsi" w:eastAsiaTheme="minorEastAsia" w:hAnsiTheme="minorHAnsi"/>
                <w:noProof/>
                <w:sz w:val="24"/>
                <w:szCs w:val="24"/>
                <w:lang w:eastAsia="en-AU"/>
              </w:rPr>
              <w:tab/>
            </w:r>
            <w:r w:rsidRPr="002552D0">
              <w:rPr>
                <w:rStyle w:val="Hyperlink"/>
                <w:noProof/>
              </w:rPr>
              <w:t>Recommendations</w:t>
            </w:r>
            <w:r>
              <w:rPr>
                <w:noProof/>
                <w:webHidden/>
              </w:rPr>
              <w:tab/>
            </w:r>
            <w:r>
              <w:rPr>
                <w:noProof/>
                <w:webHidden/>
              </w:rPr>
              <w:fldChar w:fldCharType="begin"/>
            </w:r>
            <w:r>
              <w:rPr>
                <w:noProof/>
                <w:webHidden/>
              </w:rPr>
              <w:instrText xml:space="preserve"> PAGEREF _Toc219977192 \h </w:instrText>
            </w:r>
            <w:r>
              <w:rPr>
                <w:noProof/>
                <w:webHidden/>
              </w:rPr>
            </w:r>
            <w:r>
              <w:rPr>
                <w:noProof/>
                <w:webHidden/>
              </w:rPr>
              <w:fldChar w:fldCharType="separate"/>
            </w:r>
            <w:r>
              <w:rPr>
                <w:noProof/>
                <w:webHidden/>
              </w:rPr>
              <w:t>3</w:t>
            </w:r>
            <w:r>
              <w:rPr>
                <w:noProof/>
                <w:webHidden/>
              </w:rPr>
              <w:fldChar w:fldCharType="end"/>
            </w:r>
          </w:hyperlink>
        </w:p>
        <w:p w14:paraId="30E56A17" w14:textId="52E90F6F"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193" w:history="1">
            <w:r w:rsidRPr="002552D0">
              <w:rPr>
                <w:rStyle w:val="Hyperlink"/>
                <w:noProof/>
              </w:rPr>
              <w:t>2.1</w:t>
            </w:r>
            <w:r>
              <w:rPr>
                <w:rFonts w:asciiTheme="minorHAnsi" w:eastAsiaTheme="minorEastAsia" w:hAnsiTheme="minorHAnsi"/>
                <w:noProof/>
                <w:sz w:val="24"/>
                <w:szCs w:val="24"/>
                <w:lang w:eastAsia="en-AU"/>
              </w:rPr>
              <w:tab/>
            </w:r>
            <w:r w:rsidRPr="002552D0">
              <w:rPr>
                <w:rStyle w:val="Hyperlink"/>
                <w:noProof/>
              </w:rPr>
              <w:t>Schools</w:t>
            </w:r>
            <w:r>
              <w:rPr>
                <w:noProof/>
                <w:webHidden/>
              </w:rPr>
              <w:tab/>
            </w:r>
            <w:r>
              <w:rPr>
                <w:noProof/>
                <w:webHidden/>
              </w:rPr>
              <w:fldChar w:fldCharType="begin"/>
            </w:r>
            <w:r>
              <w:rPr>
                <w:noProof/>
                <w:webHidden/>
              </w:rPr>
              <w:instrText xml:space="preserve"> PAGEREF _Toc219977193 \h </w:instrText>
            </w:r>
            <w:r>
              <w:rPr>
                <w:noProof/>
                <w:webHidden/>
              </w:rPr>
            </w:r>
            <w:r>
              <w:rPr>
                <w:noProof/>
                <w:webHidden/>
              </w:rPr>
              <w:fldChar w:fldCharType="separate"/>
            </w:r>
            <w:r>
              <w:rPr>
                <w:noProof/>
                <w:webHidden/>
              </w:rPr>
              <w:t>3</w:t>
            </w:r>
            <w:r>
              <w:rPr>
                <w:noProof/>
                <w:webHidden/>
              </w:rPr>
              <w:fldChar w:fldCharType="end"/>
            </w:r>
          </w:hyperlink>
        </w:p>
        <w:p w14:paraId="6C23CC3E" w14:textId="3337A247"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194" w:history="1">
            <w:r w:rsidRPr="002552D0">
              <w:rPr>
                <w:rStyle w:val="Hyperlink"/>
                <w:noProof/>
              </w:rPr>
              <w:t>2.2</w:t>
            </w:r>
            <w:r>
              <w:rPr>
                <w:rFonts w:asciiTheme="minorHAnsi" w:eastAsiaTheme="minorEastAsia" w:hAnsiTheme="minorHAnsi"/>
                <w:noProof/>
                <w:sz w:val="24"/>
                <w:szCs w:val="24"/>
                <w:lang w:eastAsia="en-AU"/>
              </w:rPr>
              <w:tab/>
            </w:r>
            <w:r w:rsidRPr="002552D0">
              <w:rPr>
                <w:rStyle w:val="Hyperlink"/>
                <w:noProof/>
              </w:rPr>
              <w:t>Higher education providers</w:t>
            </w:r>
            <w:r>
              <w:rPr>
                <w:noProof/>
                <w:webHidden/>
              </w:rPr>
              <w:tab/>
            </w:r>
            <w:r>
              <w:rPr>
                <w:noProof/>
                <w:webHidden/>
              </w:rPr>
              <w:fldChar w:fldCharType="begin"/>
            </w:r>
            <w:r>
              <w:rPr>
                <w:noProof/>
                <w:webHidden/>
              </w:rPr>
              <w:instrText xml:space="preserve"> PAGEREF _Toc219977194 \h </w:instrText>
            </w:r>
            <w:r>
              <w:rPr>
                <w:noProof/>
                <w:webHidden/>
              </w:rPr>
            </w:r>
            <w:r>
              <w:rPr>
                <w:noProof/>
                <w:webHidden/>
              </w:rPr>
              <w:fldChar w:fldCharType="separate"/>
            </w:r>
            <w:r>
              <w:rPr>
                <w:noProof/>
                <w:webHidden/>
              </w:rPr>
              <w:t>3</w:t>
            </w:r>
            <w:r>
              <w:rPr>
                <w:noProof/>
                <w:webHidden/>
              </w:rPr>
              <w:fldChar w:fldCharType="end"/>
            </w:r>
          </w:hyperlink>
        </w:p>
        <w:p w14:paraId="345F6933" w14:textId="16E84F00"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195" w:history="1">
            <w:r w:rsidRPr="002552D0">
              <w:rPr>
                <w:rStyle w:val="Hyperlink"/>
                <w:noProof/>
              </w:rPr>
              <w:t>2.3</w:t>
            </w:r>
            <w:r>
              <w:rPr>
                <w:rFonts w:asciiTheme="minorHAnsi" w:eastAsiaTheme="minorEastAsia" w:hAnsiTheme="minorHAnsi"/>
                <w:noProof/>
                <w:sz w:val="24"/>
                <w:szCs w:val="24"/>
                <w:lang w:eastAsia="en-AU"/>
              </w:rPr>
              <w:tab/>
            </w:r>
            <w:r w:rsidRPr="002552D0">
              <w:rPr>
                <w:rStyle w:val="Hyperlink"/>
                <w:noProof/>
              </w:rPr>
              <w:t>Government</w:t>
            </w:r>
            <w:r>
              <w:rPr>
                <w:noProof/>
                <w:webHidden/>
              </w:rPr>
              <w:tab/>
            </w:r>
            <w:r>
              <w:rPr>
                <w:noProof/>
                <w:webHidden/>
              </w:rPr>
              <w:fldChar w:fldCharType="begin"/>
            </w:r>
            <w:r>
              <w:rPr>
                <w:noProof/>
                <w:webHidden/>
              </w:rPr>
              <w:instrText xml:space="preserve"> PAGEREF _Toc219977195 \h </w:instrText>
            </w:r>
            <w:r>
              <w:rPr>
                <w:noProof/>
                <w:webHidden/>
              </w:rPr>
            </w:r>
            <w:r>
              <w:rPr>
                <w:noProof/>
                <w:webHidden/>
              </w:rPr>
              <w:fldChar w:fldCharType="separate"/>
            </w:r>
            <w:r>
              <w:rPr>
                <w:noProof/>
                <w:webHidden/>
              </w:rPr>
              <w:t>3</w:t>
            </w:r>
            <w:r>
              <w:rPr>
                <w:noProof/>
                <w:webHidden/>
              </w:rPr>
              <w:fldChar w:fldCharType="end"/>
            </w:r>
          </w:hyperlink>
        </w:p>
        <w:p w14:paraId="4B539AF9" w14:textId="425A58BB"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196" w:history="1">
            <w:r w:rsidRPr="002552D0">
              <w:rPr>
                <w:rStyle w:val="Hyperlink"/>
                <w:noProof/>
              </w:rPr>
              <w:t>3.</w:t>
            </w:r>
            <w:r>
              <w:rPr>
                <w:rFonts w:asciiTheme="minorHAnsi" w:eastAsiaTheme="minorEastAsia" w:hAnsiTheme="minorHAnsi"/>
                <w:noProof/>
                <w:sz w:val="24"/>
                <w:szCs w:val="24"/>
                <w:lang w:eastAsia="en-AU"/>
              </w:rPr>
              <w:tab/>
            </w:r>
            <w:r w:rsidRPr="002552D0">
              <w:rPr>
                <w:rStyle w:val="Hyperlink"/>
                <w:noProof/>
              </w:rPr>
              <w:t>Introduction</w:t>
            </w:r>
            <w:r>
              <w:rPr>
                <w:noProof/>
                <w:webHidden/>
              </w:rPr>
              <w:tab/>
            </w:r>
            <w:r>
              <w:rPr>
                <w:noProof/>
                <w:webHidden/>
              </w:rPr>
              <w:fldChar w:fldCharType="begin"/>
            </w:r>
            <w:r>
              <w:rPr>
                <w:noProof/>
                <w:webHidden/>
              </w:rPr>
              <w:instrText xml:space="preserve"> PAGEREF _Toc219977196 \h </w:instrText>
            </w:r>
            <w:r>
              <w:rPr>
                <w:noProof/>
                <w:webHidden/>
              </w:rPr>
            </w:r>
            <w:r>
              <w:rPr>
                <w:noProof/>
                <w:webHidden/>
              </w:rPr>
              <w:fldChar w:fldCharType="separate"/>
            </w:r>
            <w:r>
              <w:rPr>
                <w:noProof/>
                <w:webHidden/>
              </w:rPr>
              <w:t>5</w:t>
            </w:r>
            <w:r>
              <w:rPr>
                <w:noProof/>
                <w:webHidden/>
              </w:rPr>
              <w:fldChar w:fldCharType="end"/>
            </w:r>
          </w:hyperlink>
        </w:p>
        <w:p w14:paraId="616D2D4E" w14:textId="7FD083E8"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197" w:history="1">
            <w:r w:rsidRPr="002552D0">
              <w:rPr>
                <w:rStyle w:val="Hyperlink"/>
                <w:noProof/>
              </w:rPr>
              <w:t>4.</w:t>
            </w:r>
            <w:r>
              <w:rPr>
                <w:rFonts w:asciiTheme="minorHAnsi" w:eastAsiaTheme="minorEastAsia" w:hAnsiTheme="minorHAnsi"/>
                <w:noProof/>
                <w:sz w:val="24"/>
                <w:szCs w:val="24"/>
                <w:lang w:eastAsia="en-AU"/>
              </w:rPr>
              <w:tab/>
            </w:r>
            <w:r w:rsidRPr="002552D0">
              <w:rPr>
                <w:rStyle w:val="Hyperlink"/>
                <w:noProof/>
              </w:rPr>
              <w:t>Background</w:t>
            </w:r>
            <w:r>
              <w:rPr>
                <w:noProof/>
                <w:webHidden/>
              </w:rPr>
              <w:tab/>
            </w:r>
            <w:r>
              <w:rPr>
                <w:noProof/>
                <w:webHidden/>
              </w:rPr>
              <w:fldChar w:fldCharType="begin"/>
            </w:r>
            <w:r>
              <w:rPr>
                <w:noProof/>
                <w:webHidden/>
              </w:rPr>
              <w:instrText xml:space="preserve"> PAGEREF _Toc219977197 \h </w:instrText>
            </w:r>
            <w:r>
              <w:rPr>
                <w:noProof/>
                <w:webHidden/>
              </w:rPr>
            </w:r>
            <w:r>
              <w:rPr>
                <w:noProof/>
                <w:webHidden/>
              </w:rPr>
              <w:fldChar w:fldCharType="separate"/>
            </w:r>
            <w:r>
              <w:rPr>
                <w:noProof/>
                <w:webHidden/>
              </w:rPr>
              <w:t>7</w:t>
            </w:r>
            <w:r>
              <w:rPr>
                <w:noProof/>
                <w:webHidden/>
              </w:rPr>
              <w:fldChar w:fldCharType="end"/>
            </w:r>
          </w:hyperlink>
        </w:p>
        <w:p w14:paraId="346FE3ED" w14:textId="19DA42FD"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198" w:history="1">
            <w:r w:rsidRPr="002552D0">
              <w:rPr>
                <w:rStyle w:val="Hyperlink"/>
                <w:noProof/>
              </w:rPr>
              <w:t>4.1</w:t>
            </w:r>
            <w:r>
              <w:rPr>
                <w:rFonts w:asciiTheme="minorHAnsi" w:eastAsiaTheme="minorEastAsia" w:hAnsiTheme="minorHAnsi"/>
                <w:noProof/>
                <w:sz w:val="24"/>
                <w:szCs w:val="24"/>
                <w:lang w:eastAsia="en-AU"/>
              </w:rPr>
              <w:tab/>
            </w:r>
            <w:r w:rsidRPr="002552D0">
              <w:rPr>
                <w:rStyle w:val="Hyperlink"/>
                <w:noProof/>
              </w:rPr>
              <w:t>Why is university important?</w:t>
            </w:r>
            <w:r>
              <w:rPr>
                <w:noProof/>
                <w:webHidden/>
              </w:rPr>
              <w:tab/>
            </w:r>
            <w:r>
              <w:rPr>
                <w:noProof/>
                <w:webHidden/>
              </w:rPr>
              <w:fldChar w:fldCharType="begin"/>
            </w:r>
            <w:r>
              <w:rPr>
                <w:noProof/>
                <w:webHidden/>
              </w:rPr>
              <w:instrText xml:space="preserve"> PAGEREF _Toc219977198 \h </w:instrText>
            </w:r>
            <w:r>
              <w:rPr>
                <w:noProof/>
                <w:webHidden/>
              </w:rPr>
            </w:r>
            <w:r>
              <w:rPr>
                <w:noProof/>
                <w:webHidden/>
              </w:rPr>
              <w:fldChar w:fldCharType="separate"/>
            </w:r>
            <w:r>
              <w:rPr>
                <w:noProof/>
                <w:webHidden/>
              </w:rPr>
              <w:t>7</w:t>
            </w:r>
            <w:r>
              <w:rPr>
                <w:noProof/>
                <w:webHidden/>
              </w:rPr>
              <w:fldChar w:fldCharType="end"/>
            </w:r>
          </w:hyperlink>
        </w:p>
        <w:p w14:paraId="4387C5BA" w14:textId="2DA23A1A"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199" w:history="1">
            <w:r w:rsidRPr="002552D0">
              <w:rPr>
                <w:rStyle w:val="Hyperlink"/>
                <w:noProof/>
              </w:rPr>
              <w:t>4.2</w:t>
            </w:r>
            <w:r>
              <w:rPr>
                <w:rFonts w:asciiTheme="minorHAnsi" w:eastAsiaTheme="minorEastAsia" w:hAnsiTheme="minorHAnsi"/>
                <w:noProof/>
                <w:sz w:val="24"/>
                <w:szCs w:val="24"/>
                <w:lang w:eastAsia="en-AU"/>
              </w:rPr>
              <w:tab/>
            </w:r>
            <w:r w:rsidRPr="002552D0">
              <w:rPr>
                <w:rStyle w:val="Hyperlink"/>
                <w:noProof/>
              </w:rPr>
              <w:t>Why isn’t everyone choosing university?</w:t>
            </w:r>
            <w:r>
              <w:rPr>
                <w:noProof/>
                <w:webHidden/>
              </w:rPr>
              <w:tab/>
            </w:r>
            <w:r>
              <w:rPr>
                <w:noProof/>
                <w:webHidden/>
              </w:rPr>
              <w:fldChar w:fldCharType="begin"/>
            </w:r>
            <w:r>
              <w:rPr>
                <w:noProof/>
                <w:webHidden/>
              </w:rPr>
              <w:instrText xml:space="preserve"> PAGEREF _Toc219977199 \h </w:instrText>
            </w:r>
            <w:r>
              <w:rPr>
                <w:noProof/>
                <w:webHidden/>
              </w:rPr>
            </w:r>
            <w:r>
              <w:rPr>
                <w:noProof/>
                <w:webHidden/>
              </w:rPr>
              <w:fldChar w:fldCharType="separate"/>
            </w:r>
            <w:r>
              <w:rPr>
                <w:noProof/>
                <w:webHidden/>
              </w:rPr>
              <w:t>7</w:t>
            </w:r>
            <w:r>
              <w:rPr>
                <w:noProof/>
                <w:webHidden/>
              </w:rPr>
              <w:fldChar w:fldCharType="end"/>
            </w:r>
          </w:hyperlink>
        </w:p>
        <w:p w14:paraId="4AB9471D" w14:textId="4B2335EA"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00" w:history="1">
            <w:r w:rsidRPr="002552D0">
              <w:rPr>
                <w:rStyle w:val="Hyperlink"/>
                <w:noProof/>
              </w:rPr>
              <w:t>4.3</w:t>
            </w:r>
            <w:r>
              <w:rPr>
                <w:rFonts w:asciiTheme="minorHAnsi" w:eastAsiaTheme="minorEastAsia" w:hAnsiTheme="minorHAnsi"/>
                <w:noProof/>
                <w:sz w:val="24"/>
                <w:szCs w:val="24"/>
                <w:lang w:eastAsia="en-AU"/>
              </w:rPr>
              <w:tab/>
            </w:r>
            <w:r w:rsidRPr="002552D0">
              <w:rPr>
                <w:rStyle w:val="Hyperlink"/>
                <w:noProof/>
              </w:rPr>
              <w:t>Higher education in uncertain times</w:t>
            </w:r>
            <w:r>
              <w:rPr>
                <w:noProof/>
                <w:webHidden/>
              </w:rPr>
              <w:tab/>
            </w:r>
            <w:r>
              <w:rPr>
                <w:noProof/>
                <w:webHidden/>
              </w:rPr>
              <w:fldChar w:fldCharType="begin"/>
            </w:r>
            <w:r>
              <w:rPr>
                <w:noProof/>
                <w:webHidden/>
              </w:rPr>
              <w:instrText xml:space="preserve"> PAGEREF _Toc219977200 \h </w:instrText>
            </w:r>
            <w:r>
              <w:rPr>
                <w:noProof/>
                <w:webHidden/>
              </w:rPr>
            </w:r>
            <w:r>
              <w:rPr>
                <w:noProof/>
                <w:webHidden/>
              </w:rPr>
              <w:fldChar w:fldCharType="separate"/>
            </w:r>
            <w:r>
              <w:rPr>
                <w:noProof/>
                <w:webHidden/>
              </w:rPr>
              <w:t>9</w:t>
            </w:r>
            <w:r>
              <w:rPr>
                <w:noProof/>
                <w:webHidden/>
              </w:rPr>
              <w:fldChar w:fldCharType="end"/>
            </w:r>
          </w:hyperlink>
        </w:p>
        <w:p w14:paraId="40E9F582" w14:textId="23640F7C"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1" w:history="1">
            <w:r w:rsidRPr="002552D0">
              <w:rPr>
                <w:rStyle w:val="Hyperlink"/>
                <w:noProof/>
              </w:rPr>
              <w:t>4.3.1</w:t>
            </w:r>
            <w:r>
              <w:rPr>
                <w:rFonts w:asciiTheme="minorHAnsi" w:eastAsiaTheme="minorEastAsia" w:hAnsiTheme="minorHAnsi"/>
                <w:noProof/>
                <w:sz w:val="24"/>
                <w:szCs w:val="24"/>
                <w:lang w:eastAsia="en-AU"/>
              </w:rPr>
              <w:tab/>
            </w:r>
            <w:r w:rsidRPr="002552D0">
              <w:rPr>
                <w:rStyle w:val="Hyperlink"/>
                <w:noProof/>
              </w:rPr>
              <w:t>The economic landscape</w:t>
            </w:r>
            <w:r>
              <w:rPr>
                <w:noProof/>
                <w:webHidden/>
              </w:rPr>
              <w:tab/>
            </w:r>
            <w:r>
              <w:rPr>
                <w:noProof/>
                <w:webHidden/>
              </w:rPr>
              <w:fldChar w:fldCharType="begin"/>
            </w:r>
            <w:r>
              <w:rPr>
                <w:noProof/>
                <w:webHidden/>
              </w:rPr>
              <w:instrText xml:space="preserve"> PAGEREF _Toc219977201 \h </w:instrText>
            </w:r>
            <w:r>
              <w:rPr>
                <w:noProof/>
                <w:webHidden/>
              </w:rPr>
            </w:r>
            <w:r>
              <w:rPr>
                <w:noProof/>
                <w:webHidden/>
              </w:rPr>
              <w:fldChar w:fldCharType="separate"/>
            </w:r>
            <w:r>
              <w:rPr>
                <w:noProof/>
                <w:webHidden/>
              </w:rPr>
              <w:t>9</w:t>
            </w:r>
            <w:r>
              <w:rPr>
                <w:noProof/>
                <w:webHidden/>
              </w:rPr>
              <w:fldChar w:fldCharType="end"/>
            </w:r>
          </w:hyperlink>
        </w:p>
        <w:p w14:paraId="6A7C4B20" w14:textId="7626BA73"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2" w:history="1">
            <w:r w:rsidRPr="002552D0">
              <w:rPr>
                <w:rStyle w:val="Hyperlink"/>
                <w:noProof/>
              </w:rPr>
              <w:t>4.3.2</w:t>
            </w:r>
            <w:r>
              <w:rPr>
                <w:rFonts w:asciiTheme="minorHAnsi" w:eastAsiaTheme="minorEastAsia" w:hAnsiTheme="minorHAnsi"/>
                <w:noProof/>
                <w:sz w:val="24"/>
                <w:szCs w:val="24"/>
                <w:lang w:eastAsia="en-AU"/>
              </w:rPr>
              <w:tab/>
            </w:r>
            <w:r w:rsidRPr="002552D0">
              <w:rPr>
                <w:rStyle w:val="Hyperlink"/>
                <w:noProof/>
              </w:rPr>
              <w:t>The digital landscape</w:t>
            </w:r>
            <w:r>
              <w:rPr>
                <w:noProof/>
                <w:webHidden/>
              </w:rPr>
              <w:tab/>
            </w:r>
            <w:r>
              <w:rPr>
                <w:noProof/>
                <w:webHidden/>
              </w:rPr>
              <w:fldChar w:fldCharType="begin"/>
            </w:r>
            <w:r>
              <w:rPr>
                <w:noProof/>
                <w:webHidden/>
              </w:rPr>
              <w:instrText xml:space="preserve"> PAGEREF _Toc219977202 \h </w:instrText>
            </w:r>
            <w:r>
              <w:rPr>
                <w:noProof/>
                <w:webHidden/>
              </w:rPr>
            </w:r>
            <w:r>
              <w:rPr>
                <w:noProof/>
                <w:webHidden/>
              </w:rPr>
              <w:fldChar w:fldCharType="separate"/>
            </w:r>
            <w:r>
              <w:rPr>
                <w:noProof/>
                <w:webHidden/>
              </w:rPr>
              <w:t>11</w:t>
            </w:r>
            <w:r>
              <w:rPr>
                <w:noProof/>
                <w:webHidden/>
              </w:rPr>
              <w:fldChar w:fldCharType="end"/>
            </w:r>
          </w:hyperlink>
        </w:p>
        <w:p w14:paraId="3D5AEEBB" w14:textId="119EBF79"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3" w:history="1">
            <w:r w:rsidRPr="002552D0">
              <w:rPr>
                <w:rStyle w:val="Hyperlink"/>
                <w:noProof/>
              </w:rPr>
              <w:t>4.3.3</w:t>
            </w:r>
            <w:r>
              <w:rPr>
                <w:rFonts w:asciiTheme="minorHAnsi" w:eastAsiaTheme="minorEastAsia" w:hAnsiTheme="minorHAnsi"/>
                <w:noProof/>
                <w:sz w:val="24"/>
                <w:szCs w:val="24"/>
                <w:lang w:eastAsia="en-AU"/>
              </w:rPr>
              <w:tab/>
            </w:r>
            <w:r w:rsidRPr="002552D0">
              <w:rPr>
                <w:rStyle w:val="Hyperlink"/>
                <w:noProof/>
              </w:rPr>
              <w:t>The health landscape</w:t>
            </w:r>
            <w:r>
              <w:rPr>
                <w:noProof/>
                <w:webHidden/>
              </w:rPr>
              <w:tab/>
            </w:r>
            <w:r>
              <w:rPr>
                <w:noProof/>
                <w:webHidden/>
              </w:rPr>
              <w:fldChar w:fldCharType="begin"/>
            </w:r>
            <w:r>
              <w:rPr>
                <w:noProof/>
                <w:webHidden/>
              </w:rPr>
              <w:instrText xml:space="preserve"> PAGEREF _Toc219977203 \h </w:instrText>
            </w:r>
            <w:r>
              <w:rPr>
                <w:noProof/>
                <w:webHidden/>
              </w:rPr>
            </w:r>
            <w:r>
              <w:rPr>
                <w:noProof/>
                <w:webHidden/>
              </w:rPr>
              <w:fldChar w:fldCharType="separate"/>
            </w:r>
            <w:r>
              <w:rPr>
                <w:noProof/>
                <w:webHidden/>
              </w:rPr>
              <w:t>11</w:t>
            </w:r>
            <w:r>
              <w:rPr>
                <w:noProof/>
                <w:webHidden/>
              </w:rPr>
              <w:fldChar w:fldCharType="end"/>
            </w:r>
          </w:hyperlink>
        </w:p>
        <w:p w14:paraId="6485492F" w14:textId="10FABE7E"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4" w:history="1">
            <w:r w:rsidRPr="002552D0">
              <w:rPr>
                <w:rStyle w:val="Hyperlink"/>
                <w:noProof/>
              </w:rPr>
              <w:t>4.3.4</w:t>
            </w:r>
            <w:r>
              <w:rPr>
                <w:rFonts w:asciiTheme="minorHAnsi" w:eastAsiaTheme="minorEastAsia" w:hAnsiTheme="minorHAnsi"/>
                <w:noProof/>
                <w:sz w:val="24"/>
                <w:szCs w:val="24"/>
                <w:lang w:eastAsia="en-AU"/>
              </w:rPr>
              <w:tab/>
            </w:r>
            <w:r w:rsidRPr="002552D0">
              <w:rPr>
                <w:rStyle w:val="Hyperlink"/>
                <w:noProof/>
              </w:rPr>
              <w:t>The environmental landscape</w:t>
            </w:r>
            <w:r>
              <w:rPr>
                <w:noProof/>
                <w:webHidden/>
              </w:rPr>
              <w:tab/>
            </w:r>
            <w:r>
              <w:rPr>
                <w:noProof/>
                <w:webHidden/>
              </w:rPr>
              <w:fldChar w:fldCharType="begin"/>
            </w:r>
            <w:r>
              <w:rPr>
                <w:noProof/>
                <w:webHidden/>
              </w:rPr>
              <w:instrText xml:space="preserve"> PAGEREF _Toc219977204 \h </w:instrText>
            </w:r>
            <w:r>
              <w:rPr>
                <w:noProof/>
                <w:webHidden/>
              </w:rPr>
            </w:r>
            <w:r>
              <w:rPr>
                <w:noProof/>
                <w:webHidden/>
              </w:rPr>
              <w:fldChar w:fldCharType="separate"/>
            </w:r>
            <w:r>
              <w:rPr>
                <w:noProof/>
                <w:webHidden/>
              </w:rPr>
              <w:t>12</w:t>
            </w:r>
            <w:r>
              <w:rPr>
                <w:noProof/>
                <w:webHidden/>
              </w:rPr>
              <w:fldChar w:fldCharType="end"/>
            </w:r>
          </w:hyperlink>
        </w:p>
        <w:p w14:paraId="68557453" w14:textId="5CD540C5"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5" w:history="1">
            <w:r w:rsidRPr="002552D0">
              <w:rPr>
                <w:rStyle w:val="Hyperlink"/>
                <w:noProof/>
              </w:rPr>
              <w:t>4.3.5</w:t>
            </w:r>
            <w:r>
              <w:rPr>
                <w:rFonts w:asciiTheme="minorHAnsi" w:eastAsiaTheme="minorEastAsia" w:hAnsiTheme="minorHAnsi"/>
                <w:noProof/>
                <w:sz w:val="24"/>
                <w:szCs w:val="24"/>
                <w:lang w:eastAsia="en-AU"/>
              </w:rPr>
              <w:tab/>
            </w:r>
            <w:r w:rsidRPr="002552D0">
              <w:rPr>
                <w:rStyle w:val="Hyperlink"/>
                <w:noProof/>
              </w:rPr>
              <w:t>Complexity and uncertainty</w:t>
            </w:r>
            <w:r>
              <w:rPr>
                <w:noProof/>
                <w:webHidden/>
              </w:rPr>
              <w:tab/>
            </w:r>
            <w:r>
              <w:rPr>
                <w:noProof/>
                <w:webHidden/>
              </w:rPr>
              <w:fldChar w:fldCharType="begin"/>
            </w:r>
            <w:r>
              <w:rPr>
                <w:noProof/>
                <w:webHidden/>
              </w:rPr>
              <w:instrText xml:space="preserve"> PAGEREF _Toc219977205 \h </w:instrText>
            </w:r>
            <w:r>
              <w:rPr>
                <w:noProof/>
                <w:webHidden/>
              </w:rPr>
            </w:r>
            <w:r>
              <w:rPr>
                <w:noProof/>
                <w:webHidden/>
              </w:rPr>
              <w:fldChar w:fldCharType="separate"/>
            </w:r>
            <w:r>
              <w:rPr>
                <w:noProof/>
                <w:webHidden/>
              </w:rPr>
              <w:t>13</w:t>
            </w:r>
            <w:r>
              <w:rPr>
                <w:noProof/>
                <w:webHidden/>
              </w:rPr>
              <w:fldChar w:fldCharType="end"/>
            </w:r>
          </w:hyperlink>
        </w:p>
        <w:p w14:paraId="315C95B4" w14:textId="5BAB3804"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206" w:history="1">
            <w:r w:rsidRPr="002552D0">
              <w:rPr>
                <w:rStyle w:val="Hyperlink"/>
                <w:noProof/>
              </w:rPr>
              <w:t>5.</w:t>
            </w:r>
            <w:r>
              <w:rPr>
                <w:rFonts w:asciiTheme="minorHAnsi" w:eastAsiaTheme="minorEastAsia" w:hAnsiTheme="minorHAnsi"/>
                <w:noProof/>
                <w:sz w:val="24"/>
                <w:szCs w:val="24"/>
                <w:lang w:eastAsia="en-AU"/>
              </w:rPr>
              <w:tab/>
            </w:r>
            <w:r w:rsidRPr="002552D0">
              <w:rPr>
                <w:rStyle w:val="Hyperlink"/>
                <w:noProof/>
              </w:rPr>
              <w:t>Methods</w:t>
            </w:r>
            <w:r>
              <w:rPr>
                <w:noProof/>
                <w:webHidden/>
              </w:rPr>
              <w:tab/>
            </w:r>
            <w:r>
              <w:rPr>
                <w:noProof/>
                <w:webHidden/>
              </w:rPr>
              <w:fldChar w:fldCharType="begin"/>
            </w:r>
            <w:r>
              <w:rPr>
                <w:noProof/>
                <w:webHidden/>
              </w:rPr>
              <w:instrText xml:space="preserve"> PAGEREF _Toc219977206 \h </w:instrText>
            </w:r>
            <w:r>
              <w:rPr>
                <w:noProof/>
                <w:webHidden/>
              </w:rPr>
            </w:r>
            <w:r>
              <w:rPr>
                <w:noProof/>
                <w:webHidden/>
              </w:rPr>
              <w:fldChar w:fldCharType="separate"/>
            </w:r>
            <w:r>
              <w:rPr>
                <w:noProof/>
                <w:webHidden/>
              </w:rPr>
              <w:t>14</w:t>
            </w:r>
            <w:r>
              <w:rPr>
                <w:noProof/>
                <w:webHidden/>
              </w:rPr>
              <w:fldChar w:fldCharType="end"/>
            </w:r>
          </w:hyperlink>
        </w:p>
        <w:p w14:paraId="47E7F667" w14:textId="185DC7B7"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07" w:history="1">
            <w:r w:rsidRPr="002552D0">
              <w:rPr>
                <w:rStyle w:val="Hyperlink"/>
                <w:noProof/>
              </w:rPr>
              <w:t>5.1</w:t>
            </w:r>
            <w:r>
              <w:rPr>
                <w:rFonts w:asciiTheme="minorHAnsi" w:eastAsiaTheme="minorEastAsia" w:hAnsiTheme="minorHAnsi"/>
                <w:noProof/>
                <w:sz w:val="24"/>
                <w:szCs w:val="24"/>
                <w:lang w:eastAsia="en-AU"/>
              </w:rPr>
              <w:tab/>
            </w:r>
            <w:r w:rsidRPr="002552D0">
              <w:rPr>
                <w:rStyle w:val="Hyperlink"/>
                <w:noProof/>
              </w:rPr>
              <w:t>Research design</w:t>
            </w:r>
            <w:r>
              <w:rPr>
                <w:noProof/>
                <w:webHidden/>
              </w:rPr>
              <w:tab/>
            </w:r>
            <w:r>
              <w:rPr>
                <w:noProof/>
                <w:webHidden/>
              </w:rPr>
              <w:fldChar w:fldCharType="begin"/>
            </w:r>
            <w:r>
              <w:rPr>
                <w:noProof/>
                <w:webHidden/>
              </w:rPr>
              <w:instrText xml:space="preserve"> PAGEREF _Toc219977207 \h </w:instrText>
            </w:r>
            <w:r>
              <w:rPr>
                <w:noProof/>
                <w:webHidden/>
              </w:rPr>
            </w:r>
            <w:r>
              <w:rPr>
                <w:noProof/>
                <w:webHidden/>
              </w:rPr>
              <w:fldChar w:fldCharType="separate"/>
            </w:r>
            <w:r>
              <w:rPr>
                <w:noProof/>
                <w:webHidden/>
              </w:rPr>
              <w:t>14</w:t>
            </w:r>
            <w:r>
              <w:rPr>
                <w:noProof/>
                <w:webHidden/>
              </w:rPr>
              <w:fldChar w:fldCharType="end"/>
            </w:r>
          </w:hyperlink>
        </w:p>
        <w:p w14:paraId="28E4A95B" w14:textId="42F3D5CC"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8" w:history="1">
            <w:r w:rsidRPr="002552D0">
              <w:rPr>
                <w:rStyle w:val="Hyperlink"/>
                <w:noProof/>
              </w:rPr>
              <w:t>5.1.1</w:t>
            </w:r>
            <w:r>
              <w:rPr>
                <w:rFonts w:asciiTheme="minorHAnsi" w:eastAsiaTheme="minorEastAsia" w:hAnsiTheme="minorHAnsi"/>
                <w:noProof/>
                <w:sz w:val="24"/>
                <w:szCs w:val="24"/>
                <w:lang w:eastAsia="en-AU"/>
              </w:rPr>
              <w:tab/>
            </w:r>
            <w:r w:rsidRPr="002552D0">
              <w:rPr>
                <w:rStyle w:val="Hyperlink"/>
                <w:noProof/>
              </w:rPr>
              <w:t>Methods</w:t>
            </w:r>
            <w:r>
              <w:rPr>
                <w:noProof/>
                <w:webHidden/>
              </w:rPr>
              <w:tab/>
            </w:r>
            <w:r>
              <w:rPr>
                <w:noProof/>
                <w:webHidden/>
              </w:rPr>
              <w:fldChar w:fldCharType="begin"/>
            </w:r>
            <w:r>
              <w:rPr>
                <w:noProof/>
                <w:webHidden/>
              </w:rPr>
              <w:instrText xml:space="preserve"> PAGEREF _Toc219977208 \h </w:instrText>
            </w:r>
            <w:r>
              <w:rPr>
                <w:noProof/>
                <w:webHidden/>
              </w:rPr>
            </w:r>
            <w:r>
              <w:rPr>
                <w:noProof/>
                <w:webHidden/>
              </w:rPr>
              <w:fldChar w:fldCharType="separate"/>
            </w:r>
            <w:r>
              <w:rPr>
                <w:noProof/>
                <w:webHidden/>
              </w:rPr>
              <w:t>14</w:t>
            </w:r>
            <w:r>
              <w:rPr>
                <w:noProof/>
                <w:webHidden/>
              </w:rPr>
              <w:fldChar w:fldCharType="end"/>
            </w:r>
          </w:hyperlink>
        </w:p>
        <w:p w14:paraId="6741DD06" w14:textId="6DD9C8F2"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09" w:history="1">
            <w:r w:rsidRPr="002552D0">
              <w:rPr>
                <w:rStyle w:val="Hyperlink"/>
                <w:noProof/>
              </w:rPr>
              <w:t>5.1.2</w:t>
            </w:r>
            <w:r>
              <w:rPr>
                <w:rFonts w:asciiTheme="minorHAnsi" w:eastAsiaTheme="minorEastAsia" w:hAnsiTheme="minorHAnsi"/>
                <w:noProof/>
                <w:sz w:val="24"/>
                <w:szCs w:val="24"/>
                <w:lang w:eastAsia="en-AU"/>
              </w:rPr>
              <w:tab/>
            </w:r>
            <w:r w:rsidRPr="002552D0">
              <w:rPr>
                <w:rStyle w:val="Hyperlink"/>
                <w:noProof/>
              </w:rPr>
              <w:t>Analysis</w:t>
            </w:r>
            <w:r>
              <w:rPr>
                <w:noProof/>
                <w:webHidden/>
              </w:rPr>
              <w:tab/>
            </w:r>
            <w:r>
              <w:rPr>
                <w:noProof/>
                <w:webHidden/>
              </w:rPr>
              <w:fldChar w:fldCharType="begin"/>
            </w:r>
            <w:r>
              <w:rPr>
                <w:noProof/>
                <w:webHidden/>
              </w:rPr>
              <w:instrText xml:space="preserve"> PAGEREF _Toc219977209 \h </w:instrText>
            </w:r>
            <w:r>
              <w:rPr>
                <w:noProof/>
                <w:webHidden/>
              </w:rPr>
            </w:r>
            <w:r>
              <w:rPr>
                <w:noProof/>
                <w:webHidden/>
              </w:rPr>
              <w:fldChar w:fldCharType="separate"/>
            </w:r>
            <w:r>
              <w:rPr>
                <w:noProof/>
                <w:webHidden/>
              </w:rPr>
              <w:t>18</w:t>
            </w:r>
            <w:r>
              <w:rPr>
                <w:noProof/>
                <w:webHidden/>
              </w:rPr>
              <w:fldChar w:fldCharType="end"/>
            </w:r>
          </w:hyperlink>
        </w:p>
        <w:p w14:paraId="64C92EA1" w14:textId="09FD6BF2"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210" w:history="1">
            <w:r w:rsidRPr="002552D0">
              <w:rPr>
                <w:rStyle w:val="Hyperlink"/>
                <w:noProof/>
              </w:rPr>
              <w:t>6.</w:t>
            </w:r>
            <w:r>
              <w:rPr>
                <w:rFonts w:asciiTheme="minorHAnsi" w:eastAsiaTheme="minorEastAsia" w:hAnsiTheme="minorHAnsi"/>
                <w:noProof/>
                <w:sz w:val="24"/>
                <w:szCs w:val="24"/>
                <w:lang w:eastAsia="en-AU"/>
              </w:rPr>
              <w:tab/>
            </w:r>
            <w:r w:rsidRPr="002552D0">
              <w:rPr>
                <w:rStyle w:val="Hyperlink"/>
                <w:noProof/>
              </w:rPr>
              <w:t>Survey findings</w:t>
            </w:r>
            <w:r>
              <w:rPr>
                <w:noProof/>
                <w:webHidden/>
              </w:rPr>
              <w:tab/>
            </w:r>
            <w:r>
              <w:rPr>
                <w:noProof/>
                <w:webHidden/>
              </w:rPr>
              <w:fldChar w:fldCharType="begin"/>
            </w:r>
            <w:r>
              <w:rPr>
                <w:noProof/>
                <w:webHidden/>
              </w:rPr>
              <w:instrText xml:space="preserve"> PAGEREF _Toc219977210 \h </w:instrText>
            </w:r>
            <w:r>
              <w:rPr>
                <w:noProof/>
                <w:webHidden/>
              </w:rPr>
            </w:r>
            <w:r>
              <w:rPr>
                <w:noProof/>
                <w:webHidden/>
              </w:rPr>
              <w:fldChar w:fldCharType="separate"/>
            </w:r>
            <w:r>
              <w:rPr>
                <w:noProof/>
                <w:webHidden/>
              </w:rPr>
              <w:t>19</w:t>
            </w:r>
            <w:r>
              <w:rPr>
                <w:noProof/>
                <w:webHidden/>
              </w:rPr>
              <w:fldChar w:fldCharType="end"/>
            </w:r>
          </w:hyperlink>
        </w:p>
        <w:p w14:paraId="150ED592" w14:textId="067BE103"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11" w:history="1">
            <w:r w:rsidRPr="002552D0">
              <w:rPr>
                <w:rStyle w:val="Hyperlink"/>
                <w:noProof/>
              </w:rPr>
              <w:t>6.1</w:t>
            </w:r>
            <w:r>
              <w:rPr>
                <w:rFonts w:asciiTheme="minorHAnsi" w:eastAsiaTheme="minorEastAsia" w:hAnsiTheme="minorHAnsi"/>
                <w:noProof/>
                <w:sz w:val="24"/>
                <w:szCs w:val="24"/>
                <w:lang w:eastAsia="en-AU"/>
              </w:rPr>
              <w:tab/>
            </w:r>
            <w:r w:rsidRPr="002552D0">
              <w:rPr>
                <w:rStyle w:val="Hyperlink"/>
                <w:noProof/>
              </w:rPr>
              <w:t>Educational aspirations</w:t>
            </w:r>
            <w:r>
              <w:rPr>
                <w:noProof/>
                <w:webHidden/>
              </w:rPr>
              <w:tab/>
            </w:r>
            <w:r>
              <w:rPr>
                <w:noProof/>
                <w:webHidden/>
              </w:rPr>
              <w:fldChar w:fldCharType="begin"/>
            </w:r>
            <w:r>
              <w:rPr>
                <w:noProof/>
                <w:webHidden/>
              </w:rPr>
              <w:instrText xml:space="preserve"> PAGEREF _Toc219977211 \h </w:instrText>
            </w:r>
            <w:r>
              <w:rPr>
                <w:noProof/>
                <w:webHidden/>
              </w:rPr>
            </w:r>
            <w:r>
              <w:rPr>
                <w:noProof/>
                <w:webHidden/>
              </w:rPr>
              <w:fldChar w:fldCharType="separate"/>
            </w:r>
            <w:r>
              <w:rPr>
                <w:noProof/>
                <w:webHidden/>
              </w:rPr>
              <w:t>19</w:t>
            </w:r>
            <w:r>
              <w:rPr>
                <w:noProof/>
                <w:webHidden/>
              </w:rPr>
              <w:fldChar w:fldCharType="end"/>
            </w:r>
          </w:hyperlink>
        </w:p>
        <w:p w14:paraId="7523F7E9" w14:textId="4D1C2CCA"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12" w:history="1">
            <w:r w:rsidRPr="002552D0">
              <w:rPr>
                <w:rStyle w:val="Hyperlink"/>
                <w:noProof/>
              </w:rPr>
              <w:t>6.2</w:t>
            </w:r>
            <w:r>
              <w:rPr>
                <w:rFonts w:asciiTheme="minorHAnsi" w:eastAsiaTheme="minorEastAsia" w:hAnsiTheme="minorHAnsi"/>
                <w:noProof/>
                <w:sz w:val="24"/>
                <w:szCs w:val="24"/>
                <w:lang w:eastAsia="en-AU"/>
              </w:rPr>
              <w:tab/>
            </w:r>
            <w:r w:rsidRPr="002552D0">
              <w:rPr>
                <w:rStyle w:val="Hyperlink"/>
                <w:noProof/>
              </w:rPr>
              <w:t>Occupational aspirations</w:t>
            </w:r>
            <w:r>
              <w:rPr>
                <w:noProof/>
                <w:webHidden/>
              </w:rPr>
              <w:tab/>
            </w:r>
            <w:r>
              <w:rPr>
                <w:noProof/>
                <w:webHidden/>
              </w:rPr>
              <w:fldChar w:fldCharType="begin"/>
            </w:r>
            <w:r>
              <w:rPr>
                <w:noProof/>
                <w:webHidden/>
              </w:rPr>
              <w:instrText xml:space="preserve"> PAGEREF _Toc219977212 \h </w:instrText>
            </w:r>
            <w:r>
              <w:rPr>
                <w:noProof/>
                <w:webHidden/>
              </w:rPr>
            </w:r>
            <w:r>
              <w:rPr>
                <w:noProof/>
                <w:webHidden/>
              </w:rPr>
              <w:fldChar w:fldCharType="separate"/>
            </w:r>
            <w:r>
              <w:rPr>
                <w:noProof/>
                <w:webHidden/>
              </w:rPr>
              <w:t>21</w:t>
            </w:r>
            <w:r>
              <w:rPr>
                <w:noProof/>
                <w:webHidden/>
              </w:rPr>
              <w:fldChar w:fldCharType="end"/>
            </w:r>
          </w:hyperlink>
        </w:p>
        <w:p w14:paraId="7FEA967C" w14:textId="0AFA16A2"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13" w:history="1">
            <w:r w:rsidRPr="002552D0">
              <w:rPr>
                <w:rStyle w:val="Hyperlink"/>
                <w:noProof/>
              </w:rPr>
              <w:t>6.3</w:t>
            </w:r>
            <w:r>
              <w:rPr>
                <w:rFonts w:asciiTheme="minorHAnsi" w:eastAsiaTheme="minorEastAsia" w:hAnsiTheme="minorHAnsi"/>
                <w:noProof/>
                <w:sz w:val="24"/>
                <w:szCs w:val="24"/>
                <w:lang w:eastAsia="en-AU"/>
              </w:rPr>
              <w:tab/>
            </w:r>
            <w:r w:rsidRPr="002552D0">
              <w:rPr>
                <w:rStyle w:val="Hyperlink"/>
                <w:noProof/>
              </w:rPr>
              <w:t>Summary: Quantitative findings</w:t>
            </w:r>
            <w:r>
              <w:rPr>
                <w:noProof/>
                <w:webHidden/>
              </w:rPr>
              <w:tab/>
            </w:r>
            <w:r>
              <w:rPr>
                <w:noProof/>
                <w:webHidden/>
              </w:rPr>
              <w:fldChar w:fldCharType="begin"/>
            </w:r>
            <w:r>
              <w:rPr>
                <w:noProof/>
                <w:webHidden/>
              </w:rPr>
              <w:instrText xml:space="preserve"> PAGEREF _Toc219977213 \h </w:instrText>
            </w:r>
            <w:r>
              <w:rPr>
                <w:noProof/>
                <w:webHidden/>
              </w:rPr>
            </w:r>
            <w:r>
              <w:rPr>
                <w:noProof/>
                <w:webHidden/>
              </w:rPr>
              <w:fldChar w:fldCharType="separate"/>
            </w:r>
            <w:r>
              <w:rPr>
                <w:noProof/>
                <w:webHidden/>
              </w:rPr>
              <w:t>23</w:t>
            </w:r>
            <w:r>
              <w:rPr>
                <w:noProof/>
                <w:webHidden/>
              </w:rPr>
              <w:fldChar w:fldCharType="end"/>
            </w:r>
          </w:hyperlink>
        </w:p>
        <w:p w14:paraId="659C022A" w14:textId="21290A13"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214" w:history="1">
            <w:r w:rsidRPr="002552D0">
              <w:rPr>
                <w:rStyle w:val="Hyperlink"/>
                <w:noProof/>
              </w:rPr>
              <w:t>7.</w:t>
            </w:r>
            <w:r>
              <w:rPr>
                <w:rFonts w:asciiTheme="minorHAnsi" w:eastAsiaTheme="minorEastAsia" w:hAnsiTheme="minorHAnsi"/>
                <w:noProof/>
                <w:sz w:val="24"/>
                <w:szCs w:val="24"/>
                <w:lang w:eastAsia="en-AU"/>
              </w:rPr>
              <w:tab/>
            </w:r>
            <w:r w:rsidRPr="002552D0">
              <w:rPr>
                <w:rStyle w:val="Hyperlink"/>
                <w:noProof/>
              </w:rPr>
              <w:t>Longitudinal case studies</w:t>
            </w:r>
            <w:r>
              <w:rPr>
                <w:noProof/>
                <w:webHidden/>
              </w:rPr>
              <w:tab/>
            </w:r>
            <w:r>
              <w:rPr>
                <w:noProof/>
                <w:webHidden/>
              </w:rPr>
              <w:fldChar w:fldCharType="begin"/>
            </w:r>
            <w:r>
              <w:rPr>
                <w:noProof/>
                <w:webHidden/>
              </w:rPr>
              <w:instrText xml:space="preserve"> PAGEREF _Toc219977214 \h </w:instrText>
            </w:r>
            <w:r>
              <w:rPr>
                <w:noProof/>
                <w:webHidden/>
              </w:rPr>
            </w:r>
            <w:r>
              <w:rPr>
                <w:noProof/>
                <w:webHidden/>
              </w:rPr>
              <w:fldChar w:fldCharType="separate"/>
            </w:r>
            <w:r>
              <w:rPr>
                <w:noProof/>
                <w:webHidden/>
              </w:rPr>
              <w:t>24</w:t>
            </w:r>
            <w:r>
              <w:rPr>
                <w:noProof/>
                <w:webHidden/>
              </w:rPr>
              <w:fldChar w:fldCharType="end"/>
            </w:r>
          </w:hyperlink>
        </w:p>
        <w:p w14:paraId="2D0BED7C" w14:textId="0DB347EB"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15" w:history="1">
            <w:r w:rsidRPr="002552D0">
              <w:rPr>
                <w:rStyle w:val="Hyperlink"/>
                <w:noProof/>
              </w:rPr>
              <w:t>7.1</w:t>
            </w:r>
            <w:r>
              <w:rPr>
                <w:rFonts w:asciiTheme="minorHAnsi" w:eastAsiaTheme="minorEastAsia" w:hAnsiTheme="minorHAnsi"/>
                <w:noProof/>
                <w:sz w:val="24"/>
                <w:szCs w:val="24"/>
                <w:lang w:eastAsia="en-AU"/>
              </w:rPr>
              <w:tab/>
            </w:r>
            <w:r w:rsidRPr="002552D0">
              <w:rPr>
                <w:rStyle w:val="Hyperlink"/>
                <w:noProof/>
              </w:rPr>
              <w:t>Ironbark Plains High School</w:t>
            </w:r>
            <w:r>
              <w:rPr>
                <w:noProof/>
                <w:webHidden/>
              </w:rPr>
              <w:tab/>
            </w:r>
            <w:r>
              <w:rPr>
                <w:noProof/>
                <w:webHidden/>
              </w:rPr>
              <w:fldChar w:fldCharType="begin"/>
            </w:r>
            <w:r>
              <w:rPr>
                <w:noProof/>
                <w:webHidden/>
              </w:rPr>
              <w:instrText xml:space="preserve"> PAGEREF _Toc219977215 \h </w:instrText>
            </w:r>
            <w:r>
              <w:rPr>
                <w:noProof/>
                <w:webHidden/>
              </w:rPr>
            </w:r>
            <w:r>
              <w:rPr>
                <w:noProof/>
                <w:webHidden/>
              </w:rPr>
              <w:fldChar w:fldCharType="separate"/>
            </w:r>
            <w:r>
              <w:rPr>
                <w:noProof/>
                <w:webHidden/>
              </w:rPr>
              <w:t>25</w:t>
            </w:r>
            <w:r>
              <w:rPr>
                <w:noProof/>
                <w:webHidden/>
              </w:rPr>
              <w:fldChar w:fldCharType="end"/>
            </w:r>
          </w:hyperlink>
        </w:p>
        <w:p w14:paraId="3DA27AEC" w14:textId="2E203BC6" w:rsidR="007E37B1" w:rsidRDefault="007E37B1">
          <w:pPr>
            <w:pStyle w:val="TOC3"/>
            <w:tabs>
              <w:tab w:val="right" w:leader="dot" w:pos="9016"/>
            </w:tabs>
            <w:rPr>
              <w:rFonts w:asciiTheme="minorHAnsi" w:eastAsiaTheme="minorEastAsia" w:hAnsiTheme="minorHAnsi"/>
              <w:noProof/>
              <w:sz w:val="24"/>
              <w:szCs w:val="24"/>
              <w:lang w:eastAsia="en-AU"/>
            </w:rPr>
          </w:pPr>
          <w:hyperlink w:anchor="_Toc219977216" w:history="1">
            <w:r w:rsidRPr="002552D0">
              <w:rPr>
                <w:rStyle w:val="Hyperlink"/>
                <w:noProof/>
              </w:rPr>
              <w:t>Ironbark Plains High School: Overview</w:t>
            </w:r>
            <w:r>
              <w:rPr>
                <w:noProof/>
                <w:webHidden/>
              </w:rPr>
              <w:tab/>
            </w:r>
            <w:r>
              <w:rPr>
                <w:noProof/>
                <w:webHidden/>
              </w:rPr>
              <w:fldChar w:fldCharType="begin"/>
            </w:r>
            <w:r>
              <w:rPr>
                <w:noProof/>
                <w:webHidden/>
              </w:rPr>
              <w:instrText xml:space="preserve"> PAGEREF _Toc219977216 \h </w:instrText>
            </w:r>
            <w:r>
              <w:rPr>
                <w:noProof/>
                <w:webHidden/>
              </w:rPr>
            </w:r>
            <w:r>
              <w:rPr>
                <w:noProof/>
                <w:webHidden/>
              </w:rPr>
              <w:fldChar w:fldCharType="separate"/>
            </w:r>
            <w:r>
              <w:rPr>
                <w:noProof/>
                <w:webHidden/>
              </w:rPr>
              <w:t>26</w:t>
            </w:r>
            <w:r>
              <w:rPr>
                <w:noProof/>
                <w:webHidden/>
              </w:rPr>
              <w:fldChar w:fldCharType="end"/>
            </w:r>
          </w:hyperlink>
        </w:p>
        <w:p w14:paraId="1D529783" w14:textId="4E88FA26"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17" w:history="1">
            <w:r w:rsidRPr="002552D0">
              <w:rPr>
                <w:rStyle w:val="Hyperlink"/>
                <w:noProof/>
              </w:rPr>
              <w:t>7.1.1</w:t>
            </w:r>
            <w:r>
              <w:rPr>
                <w:rFonts w:asciiTheme="minorHAnsi" w:eastAsiaTheme="minorEastAsia" w:hAnsiTheme="minorHAnsi"/>
                <w:noProof/>
                <w:sz w:val="24"/>
                <w:szCs w:val="24"/>
                <w:lang w:eastAsia="en-AU"/>
              </w:rPr>
              <w:tab/>
            </w:r>
            <w:r w:rsidRPr="002552D0">
              <w:rPr>
                <w:rStyle w:val="Hyperlink"/>
                <w:noProof/>
              </w:rPr>
              <w:t>Diversity, equity, and community</w:t>
            </w:r>
            <w:r>
              <w:rPr>
                <w:noProof/>
                <w:webHidden/>
              </w:rPr>
              <w:tab/>
            </w:r>
            <w:r>
              <w:rPr>
                <w:noProof/>
                <w:webHidden/>
              </w:rPr>
              <w:fldChar w:fldCharType="begin"/>
            </w:r>
            <w:r>
              <w:rPr>
                <w:noProof/>
                <w:webHidden/>
              </w:rPr>
              <w:instrText xml:space="preserve"> PAGEREF _Toc219977217 \h </w:instrText>
            </w:r>
            <w:r>
              <w:rPr>
                <w:noProof/>
                <w:webHidden/>
              </w:rPr>
            </w:r>
            <w:r>
              <w:rPr>
                <w:noProof/>
                <w:webHidden/>
              </w:rPr>
              <w:fldChar w:fldCharType="separate"/>
            </w:r>
            <w:r>
              <w:rPr>
                <w:noProof/>
                <w:webHidden/>
              </w:rPr>
              <w:t>26</w:t>
            </w:r>
            <w:r>
              <w:rPr>
                <w:noProof/>
                <w:webHidden/>
              </w:rPr>
              <w:fldChar w:fldCharType="end"/>
            </w:r>
          </w:hyperlink>
        </w:p>
        <w:p w14:paraId="048B4606" w14:textId="7FB10AFC"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18" w:history="1">
            <w:r w:rsidRPr="002552D0">
              <w:rPr>
                <w:rStyle w:val="Hyperlink"/>
                <w:noProof/>
              </w:rPr>
              <w:t>7.1.2</w:t>
            </w:r>
            <w:r>
              <w:rPr>
                <w:rFonts w:asciiTheme="minorHAnsi" w:eastAsiaTheme="minorEastAsia" w:hAnsiTheme="minorHAnsi"/>
                <w:noProof/>
                <w:sz w:val="24"/>
                <w:szCs w:val="24"/>
                <w:lang w:eastAsia="en-AU"/>
              </w:rPr>
              <w:tab/>
            </w:r>
            <w:r w:rsidRPr="002552D0">
              <w:rPr>
                <w:rStyle w:val="Hyperlink"/>
                <w:noProof/>
              </w:rPr>
              <w:t>Socio-economic pressure and the value of work</w:t>
            </w:r>
            <w:r>
              <w:rPr>
                <w:noProof/>
                <w:webHidden/>
              </w:rPr>
              <w:tab/>
            </w:r>
            <w:r>
              <w:rPr>
                <w:noProof/>
                <w:webHidden/>
              </w:rPr>
              <w:fldChar w:fldCharType="begin"/>
            </w:r>
            <w:r>
              <w:rPr>
                <w:noProof/>
                <w:webHidden/>
              </w:rPr>
              <w:instrText xml:space="preserve"> PAGEREF _Toc219977218 \h </w:instrText>
            </w:r>
            <w:r>
              <w:rPr>
                <w:noProof/>
                <w:webHidden/>
              </w:rPr>
            </w:r>
            <w:r>
              <w:rPr>
                <w:noProof/>
                <w:webHidden/>
              </w:rPr>
              <w:fldChar w:fldCharType="separate"/>
            </w:r>
            <w:r>
              <w:rPr>
                <w:noProof/>
                <w:webHidden/>
              </w:rPr>
              <w:t>28</w:t>
            </w:r>
            <w:r>
              <w:rPr>
                <w:noProof/>
                <w:webHidden/>
              </w:rPr>
              <w:fldChar w:fldCharType="end"/>
            </w:r>
          </w:hyperlink>
        </w:p>
        <w:p w14:paraId="6E0A07F4" w14:textId="6F7CA4B0"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19" w:history="1">
            <w:r w:rsidRPr="002552D0">
              <w:rPr>
                <w:rStyle w:val="Hyperlink"/>
                <w:noProof/>
              </w:rPr>
              <w:t>7.1.3</w:t>
            </w:r>
            <w:r>
              <w:rPr>
                <w:rFonts w:asciiTheme="minorHAnsi" w:eastAsiaTheme="minorEastAsia" w:hAnsiTheme="minorHAnsi"/>
                <w:noProof/>
                <w:sz w:val="24"/>
                <w:szCs w:val="24"/>
                <w:lang w:eastAsia="en-AU"/>
              </w:rPr>
              <w:tab/>
            </w:r>
            <w:r w:rsidRPr="002552D0">
              <w:rPr>
                <w:rStyle w:val="Hyperlink"/>
                <w:noProof/>
              </w:rPr>
              <w:t>Influences on student post-school futures</w:t>
            </w:r>
            <w:r>
              <w:rPr>
                <w:noProof/>
                <w:webHidden/>
              </w:rPr>
              <w:tab/>
            </w:r>
            <w:r>
              <w:rPr>
                <w:noProof/>
                <w:webHidden/>
              </w:rPr>
              <w:fldChar w:fldCharType="begin"/>
            </w:r>
            <w:r>
              <w:rPr>
                <w:noProof/>
                <w:webHidden/>
              </w:rPr>
              <w:instrText xml:space="preserve"> PAGEREF _Toc219977219 \h </w:instrText>
            </w:r>
            <w:r>
              <w:rPr>
                <w:noProof/>
                <w:webHidden/>
              </w:rPr>
            </w:r>
            <w:r>
              <w:rPr>
                <w:noProof/>
                <w:webHidden/>
              </w:rPr>
              <w:fldChar w:fldCharType="separate"/>
            </w:r>
            <w:r>
              <w:rPr>
                <w:noProof/>
                <w:webHidden/>
              </w:rPr>
              <w:t>29</w:t>
            </w:r>
            <w:r>
              <w:rPr>
                <w:noProof/>
                <w:webHidden/>
              </w:rPr>
              <w:fldChar w:fldCharType="end"/>
            </w:r>
          </w:hyperlink>
        </w:p>
        <w:p w14:paraId="11E00930" w14:textId="3832560A"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0" w:history="1">
            <w:r w:rsidRPr="002552D0">
              <w:rPr>
                <w:rStyle w:val="Hyperlink"/>
                <w:noProof/>
              </w:rPr>
              <w:t>7.1.4</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_Toc219977220 \h </w:instrText>
            </w:r>
            <w:r>
              <w:rPr>
                <w:noProof/>
                <w:webHidden/>
              </w:rPr>
            </w:r>
            <w:r>
              <w:rPr>
                <w:noProof/>
                <w:webHidden/>
              </w:rPr>
              <w:fldChar w:fldCharType="separate"/>
            </w:r>
            <w:r>
              <w:rPr>
                <w:noProof/>
                <w:webHidden/>
              </w:rPr>
              <w:t>31</w:t>
            </w:r>
            <w:r>
              <w:rPr>
                <w:noProof/>
                <w:webHidden/>
              </w:rPr>
              <w:fldChar w:fldCharType="end"/>
            </w:r>
          </w:hyperlink>
        </w:p>
        <w:p w14:paraId="5ACD3F7E" w14:textId="01920586"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21" w:history="1">
            <w:r w:rsidRPr="002552D0">
              <w:rPr>
                <w:rStyle w:val="Hyperlink"/>
                <w:noProof/>
              </w:rPr>
              <w:t>7.2</w:t>
            </w:r>
            <w:r>
              <w:rPr>
                <w:rFonts w:asciiTheme="minorHAnsi" w:eastAsiaTheme="minorEastAsia" w:hAnsiTheme="minorHAnsi"/>
                <w:noProof/>
                <w:sz w:val="24"/>
                <w:szCs w:val="24"/>
                <w:lang w:eastAsia="en-AU"/>
              </w:rPr>
              <w:tab/>
            </w:r>
            <w:r w:rsidRPr="002552D0">
              <w:rPr>
                <w:rStyle w:val="Hyperlink"/>
                <w:noProof/>
              </w:rPr>
              <w:t>Oldfields Central School</w:t>
            </w:r>
            <w:r>
              <w:rPr>
                <w:noProof/>
                <w:webHidden/>
              </w:rPr>
              <w:tab/>
            </w:r>
            <w:r>
              <w:rPr>
                <w:noProof/>
                <w:webHidden/>
              </w:rPr>
              <w:fldChar w:fldCharType="begin"/>
            </w:r>
            <w:r>
              <w:rPr>
                <w:noProof/>
                <w:webHidden/>
              </w:rPr>
              <w:instrText xml:space="preserve"> PAGEREF _Toc219977221 \h </w:instrText>
            </w:r>
            <w:r>
              <w:rPr>
                <w:noProof/>
                <w:webHidden/>
              </w:rPr>
            </w:r>
            <w:r>
              <w:rPr>
                <w:noProof/>
                <w:webHidden/>
              </w:rPr>
              <w:fldChar w:fldCharType="separate"/>
            </w:r>
            <w:r>
              <w:rPr>
                <w:noProof/>
                <w:webHidden/>
              </w:rPr>
              <w:t>32</w:t>
            </w:r>
            <w:r>
              <w:rPr>
                <w:noProof/>
                <w:webHidden/>
              </w:rPr>
              <w:fldChar w:fldCharType="end"/>
            </w:r>
          </w:hyperlink>
        </w:p>
        <w:p w14:paraId="0F09A270" w14:textId="180824F3" w:rsidR="007E37B1" w:rsidRDefault="007E37B1">
          <w:pPr>
            <w:pStyle w:val="TOC3"/>
            <w:tabs>
              <w:tab w:val="right" w:leader="dot" w:pos="9016"/>
            </w:tabs>
            <w:rPr>
              <w:rFonts w:asciiTheme="minorHAnsi" w:eastAsiaTheme="minorEastAsia" w:hAnsiTheme="minorHAnsi"/>
              <w:noProof/>
              <w:sz w:val="24"/>
              <w:szCs w:val="24"/>
              <w:lang w:eastAsia="en-AU"/>
            </w:rPr>
          </w:pPr>
          <w:hyperlink w:anchor="_Toc219977222" w:history="1">
            <w:r w:rsidRPr="002552D0">
              <w:rPr>
                <w:rStyle w:val="Hyperlink"/>
                <w:noProof/>
              </w:rPr>
              <w:t>Oldfields Central School: Overview</w:t>
            </w:r>
            <w:r>
              <w:rPr>
                <w:noProof/>
                <w:webHidden/>
              </w:rPr>
              <w:tab/>
            </w:r>
            <w:r>
              <w:rPr>
                <w:noProof/>
                <w:webHidden/>
              </w:rPr>
              <w:fldChar w:fldCharType="begin"/>
            </w:r>
            <w:r>
              <w:rPr>
                <w:noProof/>
                <w:webHidden/>
              </w:rPr>
              <w:instrText xml:space="preserve"> PAGEREF _Toc219977222 \h </w:instrText>
            </w:r>
            <w:r>
              <w:rPr>
                <w:noProof/>
                <w:webHidden/>
              </w:rPr>
            </w:r>
            <w:r>
              <w:rPr>
                <w:noProof/>
                <w:webHidden/>
              </w:rPr>
              <w:fldChar w:fldCharType="separate"/>
            </w:r>
            <w:r>
              <w:rPr>
                <w:noProof/>
                <w:webHidden/>
              </w:rPr>
              <w:t>33</w:t>
            </w:r>
            <w:r>
              <w:rPr>
                <w:noProof/>
                <w:webHidden/>
              </w:rPr>
              <w:fldChar w:fldCharType="end"/>
            </w:r>
          </w:hyperlink>
        </w:p>
        <w:p w14:paraId="7FA9581C" w14:textId="03B1E601"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3" w:history="1">
            <w:r w:rsidRPr="002552D0">
              <w:rPr>
                <w:rStyle w:val="Hyperlink"/>
                <w:noProof/>
              </w:rPr>
              <w:t>7.2.1</w:t>
            </w:r>
            <w:r>
              <w:rPr>
                <w:rFonts w:asciiTheme="minorHAnsi" w:eastAsiaTheme="minorEastAsia" w:hAnsiTheme="minorHAnsi"/>
                <w:noProof/>
                <w:sz w:val="24"/>
                <w:szCs w:val="24"/>
                <w:lang w:eastAsia="en-AU"/>
              </w:rPr>
              <w:tab/>
            </w:r>
            <w:r w:rsidRPr="002552D0">
              <w:rPr>
                <w:rStyle w:val="Hyperlink"/>
                <w:noProof/>
              </w:rPr>
              <w:t>A community and school in decline</w:t>
            </w:r>
            <w:r>
              <w:rPr>
                <w:noProof/>
                <w:webHidden/>
              </w:rPr>
              <w:tab/>
            </w:r>
            <w:r>
              <w:rPr>
                <w:noProof/>
                <w:webHidden/>
              </w:rPr>
              <w:fldChar w:fldCharType="begin"/>
            </w:r>
            <w:r>
              <w:rPr>
                <w:noProof/>
                <w:webHidden/>
              </w:rPr>
              <w:instrText xml:space="preserve"> PAGEREF _Toc219977223 \h </w:instrText>
            </w:r>
            <w:r>
              <w:rPr>
                <w:noProof/>
                <w:webHidden/>
              </w:rPr>
            </w:r>
            <w:r>
              <w:rPr>
                <w:noProof/>
                <w:webHidden/>
              </w:rPr>
              <w:fldChar w:fldCharType="separate"/>
            </w:r>
            <w:r>
              <w:rPr>
                <w:noProof/>
                <w:webHidden/>
              </w:rPr>
              <w:t>33</w:t>
            </w:r>
            <w:r>
              <w:rPr>
                <w:noProof/>
                <w:webHidden/>
              </w:rPr>
              <w:fldChar w:fldCharType="end"/>
            </w:r>
          </w:hyperlink>
        </w:p>
        <w:p w14:paraId="1EA61792" w14:textId="2E9D93E0"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4" w:history="1">
            <w:r w:rsidRPr="002552D0">
              <w:rPr>
                <w:rStyle w:val="Hyperlink"/>
                <w:noProof/>
              </w:rPr>
              <w:t>7.2.2</w:t>
            </w:r>
            <w:r>
              <w:rPr>
                <w:rFonts w:asciiTheme="minorHAnsi" w:eastAsiaTheme="minorEastAsia" w:hAnsiTheme="minorHAnsi"/>
                <w:noProof/>
                <w:sz w:val="24"/>
                <w:szCs w:val="24"/>
                <w:lang w:eastAsia="en-AU"/>
              </w:rPr>
              <w:tab/>
            </w:r>
            <w:r w:rsidRPr="002552D0">
              <w:rPr>
                <w:rStyle w:val="Hyperlink"/>
                <w:noProof/>
              </w:rPr>
              <w:t>The more things change…</w:t>
            </w:r>
            <w:r>
              <w:rPr>
                <w:noProof/>
                <w:webHidden/>
              </w:rPr>
              <w:tab/>
            </w:r>
            <w:r>
              <w:rPr>
                <w:noProof/>
                <w:webHidden/>
              </w:rPr>
              <w:fldChar w:fldCharType="begin"/>
            </w:r>
            <w:r>
              <w:rPr>
                <w:noProof/>
                <w:webHidden/>
              </w:rPr>
              <w:instrText xml:space="preserve"> PAGEREF _Toc219977224 \h </w:instrText>
            </w:r>
            <w:r>
              <w:rPr>
                <w:noProof/>
                <w:webHidden/>
              </w:rPr>
            </w:r>
            <w:r>
              <w:rPr>
                <w:noProof/>
                <w:webHidden/>
              </w:rPr>
              <w:fldChar w:fldCharType="separate"/>
            </w:r>
            <w:r>
              <w:rPr>
                <w:noProof/>
                <w:webHidden/>
              </w:rPr>
              <w:t>34</w:t>
            </w:r>
            <w:r>
              <w:rPr>
                <w:noProof/>
                <w:webHidden/>
              </w:rPr>
              <w:fldChar w:fldCharType="end"/>
            </w:r>
          </w:hyperlink>
        </w:p>
        <w:p w14:paraId="64E2F701" w14:textId="76AF6C37"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5" w:history="1">
            <w:r w:rsidRPr="002552D0">
              <w:rPr>
                <w:rStyle w:val="Hyperlink"/>
                <w:noProof/>
              </w:rPr>
              <w:t>7.2.3</w:t>
            </w:r>
            <w:r>
              <w:rPr>
                <w:rFonts w:asciiTheme="minorHAnsi" w:eastAsiaTheme="minorEastAsia" w:hAnsiTheme="minorHAnsi"/>
                <w:noProof/>
                <w:sz w:val="24"/>
                <w:szCs w:val="24"/>
                <w:lang w:eastAsia="en-AU"/>
              </w:rPr>
              <w:tab/>
            </w:r>
            <w:r w:rsidRPr="002552D0">
              <w:rPr>
                <w:rStyle w:val="Hyperlink"/>
                <w:noProof/>
              </w:rPr>
              <w:t>…the more things stay the same</w:t>
            </w:r>
            <w:r>
              <w:rPr>
                <w:noProof/>
                <w:webHidden/>
              </w:rPr>
              <w:tab/>
            </w:r>
            <w:r>
              <w:rPr>
                <w:noProof/>
                <w:webHidden/>
              </w:rPr>
              <w:fldChar w:fldCharType="begin"/>
            </w:r>
            <w:r>
              <w:rPr>
                <w:noProof/>
                <w:webHidden/>
              </w:rPr>
              <w:instrText xml:space="preserve"> PAGEREF _Toc219977225 \h </w:instrText>
            </w:r>
            <w:r>
              <w:rPr>
                <w:noProof/>
                <w:webHidden/>
              </w:rPr>
            </w:r>
            <w:r>
              <w:rPr>
                <w:noProof/>
                <w:webHidden/>
              </w:rPr>
              <w:fldChar w:fldCharType="separate"/>
            </w:r>
            <w:r>
              <w:rPr>
                <w:noProof/>
                <w:webHidden/>
              </w:rPr>
              <w:t>36</w:t>
            </w:r>
            <w:r>
              <w:rPr>
                <w:noProof/>
                <w:webHidden/>
              </w:rPr>
              <w:fldChar w:fldCharType="end"/>
            </w:r>
          </w:hyperlink>
        </w:p>
        <w:p w14:paraId="722ADFB1" w14:textId="5F6BAF56"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6" w:history="1">
            <w:r w:rsidRPr="002552D0">
              <w:rPr>
                <w:rStyle w:val="Hyperlink"/>
                <w:noProof/>
              </w:rPr>
              <w:t>7.2.4</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_Toc219977226 \h </w:instrText>
            </w:r>
            <w:r>
              <w:rPr>
                <w:noProof/>
                <w:webHidden/>
              </w:rPr>
            </w:r>
            <w:r>
              <w:rPr>
                <w:noProof/>
                <w:webHidden/>
              </w:rPr>
              <w:fldChar w:fldCharType="separate"/>
            </w:r>
            <w:r>
              <w:rPr>
                <w:noProof/>
                <w:webHidden/>
              </w:rPr>
              <w:t>37</w:t>
            </w:r>
            <w:r>
              <w:rPr>
                <w:noProof/>
                <w:webHidden/>
              </w:rPr>
              <w:fldChar w:fldCharType="end"/>
            </w:r>
          </w:hyperlink>
        </w:p>
        <w:p w14:paraId="71D46C94" w14:textId="45A97F99"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27" w:history="1">
            <w:r w:rsidRPr="002552D0">
              <w:rPr>
                <w:rStyle w:val="Hyperlink"/>
                <w:noProof/>
              </w:rPr>
              <w:t>7.3</w:t>
            </w:r>
            <w:r>
              <w:rPr>
                <w:rFonts w:asciiTheme="minorHAnsi" w:eastAsiaTheme="minorEastAsia" w:hAnsiTheme="minorHAnsi"/>
                <w:noProof/>
                <w:sz w:val="24"/>
                <w:szCs w:val="24"/>
                <w:lang w:eastAsia="en-AU"/>
              </w:rPr>
              <w:tab/>
            </w:r>
            <w:r w:rsidRPr="002552D0">
              <w:rPr>
                <w:rStyle w:val="Hyperlink"/>
                <w:noProof/>
              </w:rPr>
              <w:t>Banks Hollow Secondary College</w:t>
            </w:r>
            <w:r>
              <w:rPr>
                <w:noProof/>
                <w:webHidden/>
              </w:rPr>
              <w:tab/>
            </w:r>
            <w:r>
              <w:rPr>
                <w:noProof/>
                <w:webHidden/>
              </w:rPr>
              <w:fldChar w:fldCharType="begin"/>
            </w:r>
            <w:r>
              <w:rPr>
                <w:noProof/>
                <w:webHidden/>
              </w:rPr>
              <w:instrText xml:space="preserve"> PAGEREF _Toc219977227 \h </w:instrText>
            </w:r>
            <w:r>
              <w:rPr>
                <w:noProof/>
                <w:webHidden/>
              </w:rPr>
            </w:r>
            <w:r>
              <w:rPr>
                <w:noProof/>
                <w:webHidden/>
              </w:rPr>
              <w:fldChar w:fldCharType="separate"/>
            </w:r>
            <w:r>
              <w:rPr>
                <w:noProof/>
                <w:webHidden/>
              </w:rPr>
              <w:t>38</w:t>
            </w:r>
            <w:r>
              <w:rPr>
                <w:noProof/>
                <w:webHidden/>
              </w:rPr>
              <w:fldChar w:fldCharType="end"/>
            </w:r>
          </w:hyperlink>
        </w:p>
        <w:p w14:paraId="7D565D87" w14:textId="5C8C6242" w:rsidR="007E37B1" w:rsidRDefault="007E37B1">
          <w:pPr>
            <w:pStyle w:val="TOC3"/>
            <w:tabs>
              <w:tab w:val="right" w:leader="dot" w:pos="9016"/>
            </w:tabs>
            <w:rPr>
              <w:rFonts w:asciiTheme="minorHAnsi" w:eastAsiaTheme="minorEastAsia" w:hAnsiTheme="minorHAnsi"/>
              <w:noProof/>
              <w:sz w:val="24"/>
              <w:szCs w:val="24"/>
              <w:lang w:eastAsia="en-AU"/>
            </w:rPr>
          </w:pPr>
          <w:hyperlink w:anchor="_Toc219977228" w:history="1">
            <w:r w:rsidRPr="002552D0">
              <w:rPr>
                <w:rStyle w:val="Hyperlink"/>
                <w:noProof/>
              </w:rPr>
              <w:t>Banks Hollow Secondary College: Overview</w:t>
            </w:r>
            <w:r>
              <w:rPr>
                <w:noProof/>
                <w:webHidden/>
              </w:rPr>
              <w:tab/>
            </w:r>
            <w:r>
              <w:rPr>
                <w:noProof/>
                <w:webHidden/>
              </w:rPr>
              <w:fldChar w:fldCharType="begin"/>
            </w:r>
            <w:r>
              <w:rPr>
                <w:noProof/>
                <w:webHidden/>
              </w:rPr>
              <w:instrText xml:space="preserve"> PAGEREF _Toc219977228 \h </w:instrText>
            </w:r>
            <w:r>
              <w:rPr>
                <w:noProof/>
                <w:webHidden/>
              </w:rPr>
            </w:r>
            <w:r>
              <w:rPr>
                <w:noProof/>
                <w:webHidden/>
              </w:rPr>
              <w:fldChar w:fldCharType="separate"/>
            </w:r>
            <w:r>
              <w:rPr>
                <w:noProof/>
                <w:webHidden/>
              </w:rPr>
              <w:t>39</w:t>
            </w:r>
            <w:r>
              <w:rPr>
                <w:noProof/>
                <w:webHidden/>
              </w:rPr>
              <w:fldChar w:fldCharType="end"/>
            </w:r>
          </w:hyperlink>
        </w:p>
        <w:p w14:paraId="754EF64E" w14:textId="41A7C0B9"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29" w:history="1">
            <w:r w:rsidRPr="002552D0">
              <w:rPr>
                <w:rStyle w:val="Hyperlink"/>
                <w:noProof/>
              </w:rPr>
              <w:t>7.3.1</w:t>
            </w:r>
            <w:r>
              <w:rPr>
                <w:rFonts w:asciiTheme="minorHAnsi" w:eastAsiaTheme="minorEastAsia" w:hAnsiTheme="minorHAnsi"/>
                <w:noProof/>
                <w:sz w:val="24"/>
                <w:szCs w:val="24"/>
                <w:lang w:eastAsia="en-AU"/>
              </w:rPr>
              <w:tab/>
            </w:r>
            <w:r w:rsidRPr="002552D0">
              <w:rPr>
                <w:rStyle w:val="Hyperlink"/>
                <w:noProof/>
              </w:rPr>
              <w:t>Growth and diversity</w:t>
            </w:r>
            <w:r>
              <w:rPr>
                <w:noProof/>
                <w:webHidden/>
              </w:rPr>
              <w:tab/>
            </w:r>
            <w:r>
              <w:rPr>
                <w:noProof/>
                <w:webHidden/>
              </w:rPr>
              <w:fldChar w:fldCharType="begin"/>
            </w:r>
            <w:r>
              <w:rPr>
                <w:noProof/>
                <w:webHidden/>
              </w:rPr>
              <w:instrText xml:space="preserve"> PAGEREF _Toc219977229 \h </w:instrText>
            </w:r>
            <w:r>
              <w:rPr>
                <w:noProof/>
                <w:webHidden/>
              </w:rPr>
            </w:r>
            <w:r>
              <w:rPr>
                <w:noProof/>
                <w:webHidden/>
              </w:rPr>
              <w:fldChar w:fldCharType="separate"/>
            </w:r>
            <w:r>
              <w:rPr>
                <w:noProof/>
                <w:webHidden/>
              </w:rPr>
              <w:t>39</w:t>
            </w:r>
            <w:r>
              <w:rPr>
                <w:noProof/>
                <w:webHidden/>
              </w:rPr>
              <w:fldChar w:fldCharType="end"/>
            </w:r>
          </w:hyperlink>
        </w:p>
        <w:p w14:paraId="714C0EAF" w14:textId="25139986"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0" w:history="1">
            <w:r w:rsidRPr="002552D0">
              <w:rPr>
                <w:rStyle w:val="Hyperlink"/>
                <w:noProof/>
              </w:rPr>
              <w:t>7.3.2</w:t>
            </w:r>
            <w:r>
              <w:rPr>
                <w:rFonts w:asciiTheme="minorHAnsi" w:eastAsiaTheme="minorEastAsia" w:hAnsiTheme="minorHAnsi"/>
                <w:noProof/>
                <w:sz w:val="24"/>
                <w:szCs w:val="24"/>
                <w:lang w:eastAsia="en-AU"/>
              </w:rPr>
              <w:tab/>
            </w:r>
            <w:r w:rsidRPr="002552D0">
              <w:rPr>
                <w:rStyle w:val="Hyperlink"/>
                <w:noProof/>
              </w:rPr>
              <w:t>Aspirational young people and families … with consequences</w:t>
            </w:r>
            <w:r>
              <w:rPr>
                <w:noProof/>
                <w:webHidden/>
              </w:rPr>
              <w:tab/>
            </w:r>
            <w:r>
              <w:rPr>
                <w:noProof/>
                <w:webHidden/>
              </w:rPr>
              <w:fldChar w:fldCharType="begin"/>
            </w:r>
            <w:r>
              <w:rPr>
                <w:noProof/>
                <w:webHidden/>
              </w:rPr>
              <w:instrText xml:space="preserve"> PAGEREF _Toc219977230 \h </w:instrText>
            </w:r>
            <w:r>
              <w:rPr>
                <w:noProof/>
                <w:webHidden/>
              </w:rPr>
            </w:r>
            <w:r>
              <w:rPr>
                <w:noProof/>
                <w:webHidden/>
              </w:rPr>
              <w:fldChar w:fldCharType="separate"/>
            </w:r>
            <w:r>
              <w:rPr>
                <w:noProof/>
                <w:webHidden/>
              </w:rPr>
              <w:t>40</w:t>
            </w:r>
            <w:r>
              <w:rPr>
                <w:noProof/>
                <w:webHidden/>
              </w:rPr>
              <w:fldChar w:fldCharType="end"/>
            </w:r>
          </w:hyperlink>
        </w:p>
        <w:p w14:paraId="0DDC55A0" w14:textId="11791CE2"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1" w:history="1">
            <w:r w:rsidRPr="002552D0">
              <w:rPr>
                <w:rStyle w:val="Hyperlink"/>
                <w:noProof/>
              </w:rPr>
              <w:t>7.3.3</w:t>
            </w:r>
            <w:r>
              <w:rPr>
                <w:rFonts w:asciiTheme="minorHAnsi" w:eastAsiaTheme="minorEastAsia" w:hAnsiTheme="minorHAnsi"/>
                <w:noProof/>
                <w:sz w:val="24"/>
                <w:szCs w:val="24"/>
                <w:lang w:eastAsia="en-AU"/>
              </w:rPr>
              <w:tab/>
            </w:r>
            <w:r w:rsidRPr="002552D0">
              <w:rPr>
                <w:rStyle w:val="Hyperlink"/>
                <w:noProof/>
              </w:rPr>
              <w:t>New worries in contemporary times</w:t>
            </w:r>
            <w:r>
              <w:rPr>
                <w:noProof/>
                <w:webHidden/>
              </w:rPr>
              <w:tab/>
            </w:r>
            <w:r>
              <w:rPr>
                <w:noProof/>
                <w:webHidden/>
              </w:rPr>
              <w:fldChar w:fldCharType="begin"/>
            </w:r>
            <w:r>
              <w:rPr>
                <w:noProof/>
                <w:webHidden/>
              </w:rPr>
              <w:instrText xml:space="preserve"> PAGEREF _Toc219977231 \h </w:instrText>
            </w:r>
            <w:r>
              <w:rPr>
                <w:noProof/>
                <w:webHidden/>
              </w:rPr>
            </w:r>
            <w:r>
              <w:rPr>
                <w:noProof/>
                <w:webHidden/>
              </w:rPr>
              <w:fldChar w:fldCharType="separate"/>
            </w:r>
            <w:r>
              <w:rPr>
                <w:noProof/>
                <w:webHidden/>
              </w:rPr>
              <w:t>42</w:t>
            </w:r>
            <w:r>
              <w:rPr>
                <w:noProof/>
                <w:webHidden/>
              </w:rPr>
              <w:fldChar w:fldCharType="end"/>
            </w:r>
          </w:hyperlink>
        </w:p>
        <w:p w14:paraId="58CD8CF3" w14:textId="6D02C9A8"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2" w:history="1">
            <w:r w:rsidRPr="002552D0">
              <w:rPr>
                <w:rStyle w:val="Hyperlink"/>
                <w:noProof/>
              </w:rPr>
              <w:t>7.3.4</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_Toc219977232 \h </w:instrText>
            </w:r>
            <w:r>
              <w:rPr>
                <w:noProof/>
                <w:webHidden/>
              </w:rPr>
            </w:r>
            <w:r>
              <w:rPr>
                <w:noProof/>
                <w:webHidden/>
              </w:rPr>
              <w:fldChar w:fldCharType="separate"/>
            </w:r>
            <w:r>
              <w:rPr>
                <w:noProof/>
                <w:webHidden/>
              </w:rPr>
              <w:t>44</w:t>
            </w:r>
            <w:r>
              <w:rPr>
                <w:noProof/>
                <w:webHidden/>
              </w:rPr>
              <w:fldChar w:fldCharType="end"/>
            </w:r>
          </w:hyperlink>
        </w:p>
        <w:p w14:paraId="60A53E76" w14:textId="3BE41FD3"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33" w:history="1">
            <w:r w:rsidRPr="002552D0">
              <w:rPr>
                <w:rStyle w:val="Hyperlink"/>
                <w:noProof/>
              </w:rPr>
              <w:t>7.4</w:t>
            </w:r>
            <w:r>
              <w:rPr>
                <w:rFonts w:asciiTheme="minorHAnsi" w:eastAsiaTheme="minorEastAsia" w:hAnsiTheme="minorHAnsi"/>
                <w:noProof/>
                <w:sz w:val="24"/>
                <w:szCs w:val="24"/>
                <w:lang w:eastAsia="en-AU"/>
              </w:rPr>
              <w:tab/>
            </w:r>
            <w:r w:rsidRPr="002552D0">
              <w:rPr>
                <w:rStyle w:val="Hyperlink"/>
                <w:noProof/>
              </w:rPr>
              <w:t>Riverbend College</w:t>
            </w:r>
            <w:r>
              <w:rPr>
                <w:noProof/>
                <w:webHidden/>
              </w:rPr>
              <w:tab/>
            </w:r>
            <w:r>
              <w:rPr>
                <w:noProof/>
                <w:webHidden/>
              </w:rPr>
              <w:fldChar w:fldCharType="begin"/>
            </w:r>
            <w:r>
              <w:rPr>
                <w:noProof/>
                <w:webHidden/>
              </w:rPr>
              <w:instrText xml:space="preserve"> PAGEREF _Toc219977233 \h </w:instrText>
            </w:r>
            <w:r>
              <w:rPr>
                <w:noProof/>
                <w:webHidden/>
              </w:rPr>
            </w:r>
            <w:r>
              <w:rPr>
                <w:noProof/>
                <w:webHidden/>
              </w:rPr>
              <w:fldChar w:fldCharType="separate"/>
            </w:r>
            <w:r>
              <w:rPr>
                <w:noProof/>
                <w:webHidden/>
              </w:rPr>
              <w:t>45</w:t>
            </w:r>
            <w:r>
              <w:rPr>
                <w:noProof/>
                <w:webHidden/>
              </w:rPr>
              <w:fldChar w:fldCharType="end"/>
            </w:r>
          </w:hyperlink>
        </w:p>
        <w:p w14:paraId="3E5A1C32" w14:textId="25E5C4A5" w:rsidR="007E37B1" w:rsidRDefault="007E37B1">
          <w:pPr>
            <w:pStyle w:val="TOC3"/>
            <w:tabs>
              <w:tab w:val="right" w:leader="dot" w:pos="9016"/>
            </w:tabs>
            <w:rPr>
              <w:rFonts w:asciiTheme="minorHAnsi" w:eastAsiaTheme="minorEastAsia" w:hAnsiTheme="minorHAnsi"/>
              <w:noProof/>
              <w:sz w:val="24"/>
              <w:szCs w:val="24"/>
              <w:lang w:eastAsia="en-AU"/>
            </w:rPr>
          </w:pPr>
          <w:hyperlink w:anchor="_Toc219977234" w:history="1">
            <w:r w:rsidRPr="002552D0">
              <w:rPr>
                <w:rStyle w:val="Hyperlink"/>
                <w:noProof/>
              </w:rPr>
              <w:t>Riverbend College: Overview</w:t>
            </w:r>
            <w:r>
              <w:rPr>
                <w:noProof/>
                <w:webHidden/>
              </w:rPr>
              <w:tab/>
            </w:r>
            <w:r>
              <w:rPr>
                <w:noProof/>
                <w:webHidden/>
              </w:rPr>
              <w:fldChar w:fldCharType="begin"/>
            </w:r>
            <w:r>
              <w:rPr>
                <w:noProof/>
                <w:webHidden/>
              </w:rPr>
              <w:instrText xml:space="preserve"> PAGEREF _Toc219977234 \h </w:instrText>
            </w:r>
            <w:r>
              <w:rPr>
                <w:noProof/>
                <w:webHidden/>
              </w:rPr>
            </w:r>
            <w:r>
              <w:rPr>
                <w:noProof/>
                <w:webHidden/>
              </w:rPr>
              <w:fldChar w:fldCharType="separate"/>
            </w:r>
            <w:r>
              <w:rPr>
                <w:noProof/>
                <w:webHidden/>
              </w:rPr>
              <w:t>46</w:t>
            </w:r>
            <w:r>
              <w:rPr>
                <w:noProof/>
                <w:webHidden/>
              </w:rPr>
              <w:fldChar w:fldCharType="end"/>
            </w:r>
          </w:hyperlink>
        </w:p>
        <w:p w14:paraId="21F87026" w14:textId="29AD019E"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5" w:history="1">
            <w:r w:rsidRPr="002552D0">
              <w:rPr>
                <w:rStyle w:val="Hyperlink"/>
                <w:noProof/>
              </w:rPr>
              <w:t>7.4.1</w:t>
            </w:r>
            <w:r>
              <w:rPr>
                <w:rFonts w:asciiTheme="minorHAnsi" w:eastAsiaTheme="minorEastAsia" w:hAnsiTheme="minorHAnsi"/>
                <w:noProof/>
                <w:sz w:val="24"/>
                <w:szCs w:val="24"/>
                <w:lang w:eastAsia="en-AU"/>
              </w:rPr>
              <w:tab/>
            </w:r>
            <w:r w:rsidRPr="002552D0">
              <w:rPr>
                <w:rStyle w:val="Hyperlink"/>
                <w:noProof/>
              </w:rPr>
              <w:t>From mining to “McMansions”</w:t>
            </w:r>
            <w:r>
              <w:rPr>
                <w:noProof/>
                <w:webHidden/>
              </w:rPr>
              <w:tab/>
            </w:r>
            <w:r>
              <w:rPr>
                <w:noProof/>
                <w:webHidden/>
              </w:rPr>
              <w:fldChar w:fldCharType="begin"/>
            </w:r>
            <w:r>
              <w:rPr>
                <w:noProof/>
                <w:webHidden/>
              </w:rPr>
              <w:instrText xml:space="preserve"> PAGEREF _Toc219977235 \h </w:instrText>
            </w:r>
            <w:r>
              <w:rPr>
                <w:noProof/>
                <w:webHidden/>
              </w:rPr>
            </w:r>
            <w:r>
              <w:rPr>
                <w:noProof/>
                <w:webHidden/>
              </w:rPr>
              <w:fldChar w:fldCharType="separate"/>
            </w:r>
            <w:r>
              <w:rPr>
                <w:noProof/>
                <w:webHidden/>
              </w:rPr>
              <w:t>46</w:t>
            </w:r>
            <w:r>
              <w:rPr>
                <w:noProof/>
                <w:webHidden/>
              </w:rPr>
              <w:fldChar w:fldCharType="end"/>
            </w:r>
          </w:hyperlink>
        </w:p>
        <w:p w14:paraId="52F32E4E" w14:textId="10577F1E"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6" w:history="1">
            <w:r w:rsidRPr="002552D0">
              <w:rPr>
                <w:rStyle w:val="Hyperlink"/>
                <w:noProof/>
              </w:rPr>
              <w:t>7.4.2</w:t>
            </w:r>
            <w:r>
              <w:rPr>
                <w:rFonts w:asciiTheme="minorHAnsi" w:eastAsiaTheme="minorEastAsia" w:hAnsiTheme="minorHAnsi"/>
                <w:noProof/>
                <w:sz w:val="24"/>
                <w:szCs w:val="24"/>
                <w:lang w:eastAsia="en-AU"/>
              </w:rPr>
              <w:tab/>
            </w:r>
            <w:r w:rsidRPr="002552D0">
              <w:rPr>
                <w:rStyle w:val="Hyperlink"/>
                <w:noProof/>
              </w:rPr>
              <w:t>Valuing vocational futures</w:t>
            </w:r>
            <w:r>
              <w:rPr>
                <w:noProof/>
                <w:webHidden/>
              </w:rPr>
              <w:tab/>
            </w:r>
            <w:r>
              <w:rPr>
                <w:noProof/>
                <w:webHidden/>
              </w:rPr>
              <w:fldChar w:fldCharType="begin"/>
            </w:r>
            <w:r>
              <w:rPr>
                <w:noProof/>
                <w:webHidden/>
              </w:rPr>
              <w:instrText xml:space="preserve"> PAGEREF _Toc219977236 \h </w:instrText>
            </w:r>
            <w:r>
              <w:rPr>
                <w:noProof/>
                <w:webHidden/>
              </w:rPr>
            </w:r>
            <w:r>
              <w:rPr>
                <w:noProof/>
                <w:webHidden/>
              </w:rPr>
              <w:fldChar w:fldCharType="separate"/>
            </w:r>
            <w:r>
              <w:rPr>
                <w:noProof/>
                <w:webHidden/>
              </w:rPr>
              <w:t>47</w:t>
            </w:r>
            <w:r>
              <w:rPr>
                <w:noProof/>
                <w:webHidden/>
              </w:rPr>
              <w:fldChar w:fldCharType="end"/>
            </w:r>
          </w:hyperlink>
        </w:p>
        <w:p w14:paraId="564451A2" w14:textId="2DAC04FF"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7" w:history="1">
            <w:r w:rsidRPr="002552D0">
              <w:rPr>
                <w:rStyle w:val="Hyperlink"/>
                <w:noProof/>
              </w:rPr>
              <w:t>7.4.3</w:t>
            </w:r>
            <w:r>
              <w:rPr>
                <w:rFonts w:asciiTheme="minorHAnsi" w:eastAsiaTheme="minorEastAsia" w:hAnsiTheme="minorHAnsi"/>
                <w:noProof/>
                <w:sz w:val="24"/>
                <w:szCs w:val="24"/>
                <w:lang w:eastAsia="en-AU"/>
              </w:rPr>
              <w:tab/>
            </w:r>
            <w:r w:rsidRPr="002552D0">
              <w:rPr>
                <w:rStyle w:val="Hyperlink"/>
                <w:noProof/>
              </w:rPr>
              <w:t>Navigating conflicting pressures</w:t>
            </w:r>
            <w:r>
              <w:rPr>
                <w:noProof/>
                <w:webHidden/>
              </w:rPr>
              <w:tab/>
            </w:r>
            <w:r>
              <w:rPr>
                <w:noProof/>
                <w:webHidden/>
              </w:rPr>
              <w:fldChar w:fldCharType="begin"/>
            </w:r>
            <w:r>
              <w:rPr>
                <w:noProof/>
                <w:webHidden/>
              </w:rPr>
              <w:instrText xml:space="preserve"> PAGEREF _Toc219977237 \h </w:instrText>
            </w:r>
            <w:r>
              <w:rPr>
                <w:noProof/>
                <w:webHidden/>
              </w:rPr>
            </w:r>
            <w:r>
              <w:rPr>
                <w:noProof/>
                <w:webHidden/>
              </w:rPr>
              <w:fldChar w:fldCharType="separate"/>
            </w:r>
            <w:r>
              <w:rPr>
                <w:noProof/>
                <w:webHidden/>
              </w:rPr>
              <w:t>49</w:t>
            </w:r>
            <w:r>
              <w:rPr>
                <w:noProof/>
                <w:webHidden/>
              </w:rPr>
              <w:fldChar w:fldCharType="end"/>
            </w:r>
          </w:hyperlink>
        </w:p>
        <w:p w14:paraId="15FC91E4" w14:textId="63AE006D"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38" w:history="1">
            <w:r w:rsidRPr="002552D0">
              <w:rPr>
                <w:rStyle w:val="Hyperlink"/>
                <w:noProof/>
              </w:rPr>
              <w:t>7.4.4</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_Toc219977238 \h </w:instrText>
            </w:r>
            <w:r>
              <w:rPr>
                <w:noProof/>
                <w:webHidden/>
              </w:rPr>
            </w:r>
            <w:r>
              <w:rPr>
                <w:noProof/>
                <w:webHidden/>
              </w:rPr>
              <w:fldChar w:fldCharType="separate"/>
            </w:r>
            <w:r>
              <w:rPr>
                <w:noProof/>
                <w:webHidden/>
              </w:rPr>
              <w:t>51</w:t>
            </w:r>
            <w:r>
              <w:rPr>
                <w:noProof/>
                <w:webHidden/>
              </w:rPr>
              <w:fldChar w:fldCharType="end"/>
            </w:r>
          </w:hyperlink>
        </w:p>
        <w:p w14:paraId="157589BC" w14:textId="0862F2E8"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39" w:history="1">
            <w:r w:rsidRPr="002552D0">
              <w:rPr>
                <w:rStyle w:val="Hyperlink"/>
                <w:noProof/>
              </w:rPr>
              <w:t>7.5</w:t>
            </w:r>
            <w:r>
              <w:rPr>
                <w:rFonts w:asciiTheme="minorHAnsi" w:eastAsiaTheme="minorEastAsia" w:hAnsiTheme="minorHAnsi"/>
                <w:noProof/>
                <w:sz w:val="24"/>
                <w:szCs w:val="24"/>
                <w:lang w:eastAsia="en-AU"/>
              </w:rPr>
              <w:tab/>
            </w:r>
            <w:r w:rsidRPr="002552D0">
              <w:rPr>
                <w:rStyle w:val="Hyperlink"/>
                <w:noProof/>
              </w:rPr>
              <w:t>Murrindah High School</w:t>
            </w:r>
            <w:r>
              <w:rPr>
                <w:noProof/>
                <w:webHidden/>
              </w:rPr>
              <w:tab/>
            </w:r>
            <w:r>
              <w:rPr>
                <w:noProof/>
                <w:webHidden/>
              </w:rPr>
              <w:fldChar w:fldCharType="begin"/>
            </w:r>
            <w:r>
              <w:rPr>
                <w:noProof/>
                <w:webHidden/>
              </w:rPr>
              <w:instrText xml:space="preserve"> PAGEREF _Toc219977239 \h </w:instrText>
            </w:r>
            <w:r>
              <w:rPr>
                <w:noProof/>
                <w:webHidden/>
              </w:rPr>
            </w:r>
            <w:r>
              <w:rPr>
                <w:noProof/>
                <w:webHidden/>
              </w:rPr>
              <w:fldChar w:fldCharType="separate"/>
            </w:r>
            <w:r>
              <w:rPr>
                <w:noProof/>
                <w:webHidden/>
              </w:rPr>
              <w:t>52</w:t>
            </w:r>
            <w:r>
              <w:rPr>
                <w:noProof/>
                <w:webHidden/>
              </w:rPr>
              <w:fldChar w:fldCharType="end"/>
            </w:r>
          </w:hyperlink>
        </w:p>
        <w:p w14:paraId="5931A3B9" w14:textId="39EA4470" w:rsidR="007E37B1" w:rsidRDefault="007E37B1">
          <w:pPr>
            <w:pStyle w:val="TOC3"/>
            <w:tabs>
              <w:tab w:val="right" w:leader="dot" w:pos="9016"/>
            </w:tabs>
            <w:rPr>
              <w:rFonts w:asciiTheme="minorHAnsi" w:eastAsiaTheme="minorEastAsia" w:hAnsiTheme="minorHAnsi"/>
              <w:noProof/>
              <w:sz w:val="24"/>
              <w:szCs w:val="24"/>
              <w:lang w:eastAsia="en-AU"/>
            </w:rPr>
          </w:pPr>
          <w:hyperlink w:anchor="_Toc219977240" w:history="1">
            <w:r w:rsidRPr="002552D0">
              <w:rPr>
                <w:rStyle w:val="Hyperlink"/>
                <w:noProof/>
              </w:rPr>
              <w:t>Murrindah High School: Overview</w:t>
            </w:r>
            <w:r>
              <w:rPr>
                <w:noProof/>
                <w:webHidden/>
              </w:rPr>
              <w:tab/>
            </w:r>
            <w:r>
              <w:rPr>
                <w:noProof/>
                <w:webHidden/>
              </w:rPr>
              <w:fldChar w:fldCharType="begin"/>
            </w:r>
            <w:r>
              <w:rPr>
                <w:noProof/>
                <w:webHidden/>
              </w:rPr>
              <w:instrText xml:space="preserve"> PAGEREF _Toc219977240 \h </w:instrText>
            </w:r>
            <w:r>
              <w:rPr>
                <w:noProof/>
                <w:webHidden/>
              </w:rPr>
            </w:r>
            <w:r>
              <w:rPr>
                <w:noProof/>
                <w:webHidden/>
              </w:rPr>
              <w:fldChar w:fldCharType="separate"/>
            </w:r>
            <w:r>
              <w:rPr>
                <w:noProof/>
                <w:webHidden/>
              </w:rPr>
              <w:t>53</w:t>
            </w:r>
            <w:r>
              <w:rPr>
                <w:noProof/>
                <w:webHidden/>
              </w:rPr>
              <w:fldChar w:fldCharType="end"/>
            </w:r>
          </w:hyperlink>
        </w:p>
        <w:p w14:paraId="6062D369" w14:textId="04E34168"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1" w:history="1">
            <w:r w:rsidRPr="002552D0">
              <w:rPr>
                <w:rStyle w:val="Hyperlink"/>
                <w:noProof/>
              </w:rPr>
              <w:t>7.5.1</w:t>
            </w:r>
            <w:r>
              <w:rPr>
                <w:rFonts w:asciiTheme="minorHAnsi" w:eastAsiaTheme="minorEastAsia" w:hAnsiTheme="minorHAnsi"/>
                <w:noProof/>
                <w:sz w:val="24"/>
                <w:szCs w:val="24"/>
                <w:lang w:eastAsia="en-AU"/>
              </w:rPr>
              <w:tab/>
            </w:r>
            <w:r w:rsidRPr="002552D0">
              <w:rPr>
                <w:rStyle w:val="Hyperlink"/>
                <w:noProof/>
              </w:rPr>
              <w:t>A community marked by both affluence and structural inequality</w:t>
            </w:r>
            <w:r>
              <w:rPr>
                <w:noProof/>
                <w:webHidden/>
              </w:rPr>
              <w:tab/>
            </w:r>
            <w:r>
              <w:rPr>
                <w:noProof/>
                <w:webHidden/>
              </w:rPr>
              <w:fldChar w:fldCharType="begin"/>
            </w:r>
            <w:r>
              <w:rPr>
                <w:noProof/>
                <w:webHidden/>
              </w:rPr>
              <w:instrText xml:space="preserve"> PAGEREF _Toc219977241 \h </w:instrText>
            </w:r>
            <w:r>
              <w:rPr>
                <w:noProof/>
                <w:webHidden/>
              </w:rPr>
            </w:r>
            <w:r>
              <w:rPr>
                <w:noProof/>
                <w:webHidden/>
              </w:rPr>
              <w:fldChar w:fldCharType="separate"/>
            </w:r>
            <w:r>
              <w:rPr>
                <w:noProof/>
                <w:webHidden/>
              </w:rPr>
              <w:t>53</w:t>
            </w:r>
            <w:r>
              <w:rPr>
                <w:noProof/>
                <w:webHidden/>
              </w:rPr>
              <w:fldChar w:fldCharType="end"/>
            </w:r>
          </w:hyperlink>
        </w:p>
        <w:p w14:paraId="4A554FDD" w14:textId="4519B294"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2" w:history="1">
            <w:r w:rsidRPr="002552D0">
              <w:rPr>
                <w:rStyle w:val="Hyperlink"/>
                <w:noProof/>
              </w:rPr>
              <w:t>7.5.2</w:t>
            </w:r>
            <w:r>
              <w:rPr>
                <w:rFonts w:asciiTheme="minorHAnsi" w:eastAsiaTheme="minorEastAsia" w:hAnsiTheme="minorHAnsi"/>
                <w:noProof/>
                <w:sz w:val="24"/>
                <w:szCs w:val="24"/>
                <w:lang w:eastAsia="en-AU"/>
              </w:rPr>
              <w:tab/>
            </w:r>
            <w:r w:rsidRPr="002552D0">
              <w:rPr>
                <w:rStyle w:val="Hyperlink"/>
                <w:noProof/>
              </w:rPr>
              <w:t>Challenges in accessing paid work</w:t>
            </w:r>
            <w:r>
              <w:rPr>
                <w:noProof/>
                <w:webHidden/>
              </w:rPr>
              <w:tab/>
            </w:r>
            <w:r>
              <w:rPr>
                <w:noProof/>
                <w:webHidden/>
              </w:rPr>
              <w:fldChar w:fldCharType="begin"/>
            </w:r>
            <w:r>
              <w:rPr>
                <w:noProof/>
                <w:webHidden/>
              </w:rPr>
              <w:instrText xml:space="preserve"> PAGEREF _Toc219977242 \h </w:instrText>
            </w:r>
            <w:r>
              <w:rPr>
                <w:noProof/>
                <w:webHidden/>
              </w:rPr>
            </w:r>
            <w:r>
              <w:rPr>
                <w:noProof/>
                <w:webHidden/>
              </w:rPr>
              <w:fldChar w:fldCharType="separate"/>
            </w:r>
            <w:r>
              <w:rPr>
                <w:noProof/>
                <w:webHidden/>
              </w:rPr>
              <w:t>55</w:t>
            </w:r>
            <w:r>
              <w:rPr>
                <w:noProof/>
                <w:webHidden/>
              </w:rPr>
              <w:fldChar w:fldCharType="end"/>
            </w:r>
          </w:hyperlink>
        </w:p>
        <w:p w14:paraId="45E5C0A1" w14:textId="3064A5A8"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3" w:history="1">
            <w:r w:rsidRPr="002552D0">
              <w:rPr>
                <w:rStyle w:val="Hyperlink"/>
                <w:noProof/>
              </w:rPr>
              <w:t>7.5.3</w:t>
            </w:r>
            <w:r>
              <w:rPr>
                <w:rFonts w:asciiTheme="minorHAnsi" w:eastAsiaTheme="minorEastAsia" w:hAnsiTheme="minorHAnsi"/>
                <w:noProof/>
                <w:sz w:val="24"/>
                <w:szCs w:val="24"/>
                <w:lang w:eastAsia="en-AU"/>
              </w:rPr>
              <w:tab/>
            </w:r>
            <w:r w:rsidRPr="002552D0">
              <w:rPr>
                <w:rStyle w:val="Hyperlink"/>
                <w:noProof/>
              </w:rPr>
              <w:t>Navigating uncertainty</w:t>
            </w:r>
            <w:r>
              <w:rPr>
                <w:noProof/>
                <w:webHidden/>
              </w:rPr>
              <w:tab/>
            </w:r>
            <w:r>
              <w:rPr>
                <w:noProof/>
                <w:webHidden/>
              </w:rPr>
              <w:fldChar w:fldCharType="begin"/>
            </w:r>
            <w:r>
              <w:rPr>
                <w:noProof/>
                <w:webHidden/>
              </w:rPr>
              <w:instrText xml:space="preserve"> PAGEREF _Toc219977243 \h </w:instrText>
            </w:r>
            <w:r>
              <w:rPr>
                <w:noProof/>
                <w:webHidden/>
              </w:rPr>
            </w:r>
            <w:r>
              <w:rPr>
                <w:noProof/>
                <w:webHidden/>
              </w:rPr>
              <w:fldChar w:fldCharType="separate"/>
            </w:r>
            <w:r>
              <w:rPr>
                <w:noProof/>
                <w:webHidden/>
              </w:rPr>
              <w:t>56</w:t>
            </w:r>
            <w:r>
              <w:rPr>
                <w:noProof/>
                <w:webHidden/>
              </w:rPr>
              <w:fldChar w:fldCharType="end"/>
            </w:r>
          </w:hyperlink>
        </w:p>
        <w:p w14:paraId="1A1BB72F" w14:textId="01F017C3"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4" w:history="1">
            <w:r w:rsidRPr="002552D0">
              <w:rPr>
                <w:rStyle w:val="Hyperlink"/>
                <w:noProof/>
              </w:rPr>
              <w:t>7.5.4</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_Toc219977244 \h </w:instrText>
            </w:r>
            <w:r>
              <w:rPr>
                <w:noProof/>
                <w:webHidden/>
              </w:rPr>
            </w:r>
            <w:r>
              <w:rPr>
                <w:noProof/>
                <w:webHidden/>
              </w:rPr>
              <w:fldChar w:fldCharType="separate"/>
            </w:r>
            <w:r>
              <w:rPr>
                <w:noProof/>
                <w:webHidden/>
              </w:rPr>
              <w:t>58</w:t>
            </w:r>
            <w:r>
              <w:rPr>
                <w:noProof/>
                <w:webHidden/>
              </w:rPr>
              <w:fldChar w:fldCharType="end"/>
            </w:r>
          </w:hyperlink>
        </w:p>
        <w:p w14:paraId="344F3F9F" w14:textId="1FB698AD"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245" w:history="1">
            <w:r w:rsidRPr="002552D0">
              <w:rPr>
                <w:rStyle w:val="Hyperlink"/>
                <w:noProof/>
              </w:rPr>
              <w:t>8.</w:t>
            </w:r>
            <w:r>
              <w:rPr>
                <w:rFonts w:asciiTheme="minorHAnsi" w:eastAsiaTheme="minorEastAsia" w:hAnsiTheme="minorHAnsi"/>
                <w:noProof/>
                <w:sz w:val="24"/>
                <w:szCs w:val="24"/>
                <w:lang w:eastAsia="en-AU"/>
              </w:rPr>
              <w:tab/>
            </w:r>
            <w:r w:rsidRPr="002552D0">
              <w:rPr>
                <w:rStyle w:val="Hyperlink"/>
                <w:noProof/>
              </w:rPr>
              <w:t>Discussion</w:t>
            </w:r>
            <w:r>
              <w:rPr>
                <w:noProof/>
                <w:webHidden/>
              </w:rPr>
              <w:tab/>
            </w:r>
            <w:r>
              <w:rPr>
                <w:noProof/>
                <w:webHidden/>
              </w:rPr>
              <w:fldChar w:fldCharType="begin"/>
            </w:r>
            <w:r>
              <w:rPr>
                <w:noProof/>
                <w:webHidden/>
              </w:rPr>
              <w:instrText xml:space="preserve"> PAGEREF _Toc219977245 \h </w:instrText>
            </w:r>
            <w:r>
              <w:rPr>
                <w:noProof/>
                <w:webHidden/>
              </w:rPr>
            </w:r>
            <w:r>
              <w:rPr>
                <w:noProof/>
                <w:webHidden/>
              </w:rPr>
              <w:fldChar w:fldCharType="separate"/>
            </w:r>
            <w:r>
              <w:rPr>
                <w:noProof/>
                <w:webHidden/>
              </w:rPr>
              <w:t>59</w:t>
            </w:r>
            <w:r>
              <w:rPr>
                <w:noProof/>
                <w:webHidden/>
              </w:rPr>
              <w:fldChar w:fldCharType="end"/>
            </w:r>
          </w:hyperlink>
        </w:p>
        <w:p w14:paraId="5F487D6B" w14:textId="5076B9D3"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46" w:history="1">
            <w:r w:rsidRPr="002552D0">
              <w:rPr>
                <w:rStyle w:val="Hyperlink"/>
                <w:noProof/>
              </w:rPr>
              <w:t>8.1</w:t>
            </w:r>
            <w:r>
              <w:rPr>
                <w:rFonts w:asciiTheme="minorHAnsi" w:eastAsiaTheme="minorEastAsia" w:hAnsiTheme="minorHAnsi"/>
                <w:noProof/>
                <w:sz w:val="24"/>
                <w:szCs w:val="24"/>
                <w:lang w:eastAsia="en-AU"/>
              </w:rPr>
              <w:tab/>
            </w:r>
            <w:r w:rsidRPr="002552D0">
              <w:rPr>
                <w:rStyle w:val="Hyperlink"/>
                <w:noProof/>
              </w:rPr>
              <w:t>Aspirations in an age of uncertainty</w:t>
            </w:r>
            <w:r>
              <w:rPr>
                <w:noProof/>
                <w:webHidden/>
              </w:rPr>
              <w:tab/>
            </w:r>
            <w:r>
              <w:rPr>
                <w:noProof/>
                <w:webHidden/>
              </w:rPr>
              <w:fldChar w:fldCharType="begin"/>
            </w:r>
            <w:r>
              <w:rPr>
                <w:noProof/>
                <w:webHidden/>
              </w:rPr>
              <w:instrText xml:space="preserve"> PAGEREF _Toc219977246 \h </w:instrText>
            </w:r>
            <w:r>
              <w:rPr>
                <w:noProof/>
                <w:webHidden/>
              </w:rPr>
            </w:r>
            <w:r>
              <w:rPr>
                <w:noProof/>
                <w:webHidden/>
              </w:rPr>
              <w:fldChar w:fldCharType="separate"/>
            </w:r>
            <w:r>
              <w:rPr>
                <w:noProof/>
                <w:webHidden/>
              </w:rPr>
              <w:t>59</w:t>
            </w:r>
            <w:r>
              <w:rPr>
                <w:noProof/>
                <w:webHidden/>
              </w:rPr>
              <w:fldChar w:fldCharType="end"/>
            </w:r>
          </w:hyperlink>
        </w:p>
        <w:p w14:paraId="7B0056B9" w14:textId="6ED24D38"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7" w:history="1">
            <w:r w:rsidRPr="002552D0">
              <w:rPr>
                <w:rStyle w:val="Hyperlink"/>
                <w:noProof/>
              </w:rPr>
              <w:t>8.1.1</w:t>
            </w:r>
            <w:r>
              <w:rPr>
                <w:rFonts w:asciiTheme="minorHAnsi" w:eastAsiaTheme="minorEastAsia" w:hAnsiTheme="minorHAnsi"/>
                <w:noProof/>
                <w:sz w:val="24"/>
                <w:szCs w:val="24"/>
                <w:lang w:eastAsia="en-AU"/>
              </w:rPr>
              <w:tab/>
            </w:r>
            <w:r w:rsidRPr="002552D0">
              <w:rPr>
                <w:rStyle w:val="Hyperlink"/>
                <w:noProof/>
              </w:rPr>
              <w:t>Uncertainty as a driver of mental ill-health</w:t>
            </w:r>
            <w:r>
              <w:rPr>
                <w:noProof/>
                <w:webHidden/>
              </w:rPr>
              <w:tab/>
            </w:r>
            <w:r>
              <w:rPr>
                <w:noProof/>
                <w:webHidden/>
              </w:rPr>
              <w:fldChar w:fldCharType="begin"/>
            </w:r>
            <w:r>
              <w:rPr>
                <w:noProof/>
                <w:webHidden/>
              </w:rPr>
              <w:instrText xml:space="preserve"> PAGEREF _Toc219977247 \h </w:instrText>
            </w:r>
            <w:r>
              <w:rPr>
                <w:noProof/>
                <w:webHidden/>
              </w:rPr>
            </w:r>
            <w:r>
              <w:rPr>
                <w:noProof/>
                <w:webHidden/>
              </w:rPr>
              <w:fldChar w:fldCharType="separate"/>
            </w:r>
            <w:r>
              <w:rPr>
                <w:noProof/>
                <w:webHidden/>
              </w:rPr>
              <w:t>60</w:t>
            </w:r>
            <w:r>
              <w:rPr>
                <w:noProof/>
                <w:webHidden/>
              </w:rPr>
              <w:fldChar w:fldCharType="end"/>
            </w:r>
          </w:hyperlink>
        </w:p>
        <w:p w14:paraId="570BE3C7" w14:textId="559A2DEB"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8" w:history="1">
            <w:r w:rsidRPr="002552D0">
              <w:rPr>
                <w:rStyle w:val="Hyperlink"/>
                <w:noProof/>
              </w:rPr>
              <w:t>8.1.2</w:t>
            </w:r>
            <w:r>
              <w:rPr>
                <w:rFonts w:asciiTheme="minorHAnsi" w:eastAsiaTheme="minorEastAsia" w:hAnsiTheme="minorHAnsi"/>
                <w:noProof/>
                <w:sz w:val="24"/>
                <w:szCs w:val="24"/>
                <w:lang w:eastAsia="en-AU"/>
              </w:rPr>
              <w:tab/>
            </w:r>
            <w:r w:rsidRPr="002552D0">
              <w:rPr>
                <w:rStyle w:val="Hyperlink"/>
                <w:noProof/>
              </w:rPr>
              <w:t>The value of university and TAFE in an age of uncertainty</w:t>
            </w:r>
            <w:r>
              <w:rPr>
                <w:noProof/>
                <w:webHidden/>
              </w:rPr>
              <w:tab/>
            </w:r>
            <w:r>
              <w:rPr>
                <w:noProof/>
                <w:webHidden/>
              </w:rPr>
              <w:fldChar w:fldCharType="begin"/>
            </w:r>
            <w:r>
              <w:rPr>
                <w:noProof/>
                <w:webHidden/>
              </w:rPr>
              <w:instrText xml:space="preserve"> PAGEREF _Toc219977248 \h </w:instrText>
            </w:r>
            <w:r>
              <w:rPr>
                <w:noProof/>
                <w:webHidden/>
              </w:rPr>
            </w:r>
            <w:r>
              <w:rPr>
                <w:noProof/>
                <w:webHidden/>
              </w:rPr>
              <w:fldChar w:fldCharType="separate"/>
            </w:r>
            <w:r>
              <w:rPr>
                <w:noProof/>
                <w:webHidden/>
              </w:rPr>
              <w:t>60</w:t>
            </w:r>
            <w:r>
              <w:rPr>
                <w:noProof/>
                <w:webHidden/>
              </w:rPr>
              <w:fldChar w:fldCharType="end"/>
            </w:r>
          </w:hyperlink>
        </w:p>
        <w:p w14:paraId="7E2E2AC5" w14:textId="3C70F31B"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49" w:history="1">
            <w:r w:rsidRPr="002552D0">
              <w:rPr>
                <w:rStyle w:val="Hyperlink"/>
                <w:noProof/>
              </w:rPr>
              <w:t>8.1.3</w:t>
            </w:r>
            <w:r>
              <w:rPr>
                <w:rFonts w:asciiTheme="minorHAnsi" w:eastAsiaTheme="minorEastAsia" w:hAnsiTheme="minorHAnsi"/>
                <w:noProof/>
                <w:sz w:val="24"/>
                <w:szCs w:val="24"/>
                <w:lang w:eastAsia="en-AU"/>
              </w:rPr>
              <w:tab/>
            </w:r>
            <w:r w:rsidRPr="002552D0">
              <w:rPr>
                <w:rStyle w:val="Hyperlink"/>
                <w:noProof/>
              </w:rPr>
              <w:t>The residualised public school: Students left behind in an age of uncertainty</w:t>
            </w:r>
            <w:r>
              <w:rPr>
                <w:noProof/>
                <w:webHidden/>
              </w:rPr>
              <w:tab/>
            </w:r>
            <w:r>
              <w:rPr>
                <w:noProof/>
                <w:webHidden/>
              </w:rPr>
              <w:fldChar w:fldCharType="begin"/>
            </w:r>
            <w:r>
              <w:rPr>
                <w:noProof/>
                <w:webHidden/>
              </w:rPr>
              <w:instrText xml:space="preserve"> PAGEREF _Toc219977249 \h </w:instrText>
            </w:r>
            <w:r>
              <w:rPr>
                <w:noProof/>
                <w:webHidden/>
              </w:rPr>
            </w:r>
            <w:r>
              <w:rPr>
                <w:noProof/>
                <w:webHidden/>
              </w:rPr>
              <w:fldChar w:fldCharType="separate"/>
            </w:r>
            <w:r>
              <w:rPr>
                <w:noProof/>
                <w:webHidden/>
              </w:rPr>
              <w:t>61</w:t>
            </w:r>
            <w:r>
              <w:rPr>
                <w:noProof/>
                <w:webHidden/>
              </w:rPr>
              <w:fldChar w:fldCharType="end"/>
            </w:r>
          </w:hyperlink>
        </w:p>
        <w:p w14:paraId="4C2BD3D5" w14:textId="16CA1493" w:rsidR="007E37B1" w:rsidRDefault="007E37B1">
          <w:pPr>
            <w:pStyle w:val="TOC1"/>
            <w:tabs>
              <w:tab w:val="left" w:pos="440"/>
              <w:tab w:val="right" w:leader="dot" w:pos="9016"/>
            </w:tabs>
            <w:rPr>
              <w:rFonts w:asciiTheme="minorHAnsi" w:eastAsiaTheme="minorEastAsia" w:hAnsiTheme="minorHAnsi"/>
              <w:noProof/>
              <w:sz w:val="24"/>
              <w:szCs w:val="24"/>
              <w:lang w:eastAsia="en-AU"/>
            </w:rPr>
          </w:pPr>
          <w:hyperlink w:anchor="_Toc219977250" w:history="1">
            <w:r w:rsidRPr="002552D0">
              <w:rPr>
                <w:rStyle w:val="Hyperlink"/>
                <w:noProof/>
              </w:rPr>
              <w:t>9.</w:t>
            </w:r>
            <w:r>
              <w:rPr>
                <w:rFonts w:asciiTheme="minorHAnsi" w:eastAsiaTheme="minorEastAsia" w:hAnsiTheme="minorHAnsi"/>
                <w:noProof/>
                <w:sz w:val="24"/>
                <w:szCs w:val="24"/>
                <w:lang w:eastAsia="en-AU"/>
              </w:rPr>
              <w:tab/>
            </w:r>
            <w:r w:rsidRPr="002552D0">
              <w:rPr>
                <w:rStyle w:val="Hyperlink"/>
                <w:noProof/>
              </w:rPr>
              <w:t>Conclusion</w:t>
            </w:r>
            <w:r>
              <w:rPr>
                <w:noProof/>
                <w:webHidden/>
              </w:rPr>
              <w:tab/>
            </w:r>
            <w:r>
              <w:rPr>
                <w:noProof/>
                <w:webHidden/>
              </w:rPr>
              <w:fldChar w:fldCharType="begin"/>
            </w:r>
            <w:r>
              <w:rPr>
                <w:noProof/>
                <w:webHidden/>
              </w:rPr>
              <w:instrText xml:space="preserve"> PAGEREF _Toc219977250 \h </w:instrText>
            </w:r>
            <w:r>
              <w:rPr>
                <w:noProof/>
                <w:webHidden/>
              </w:rPr>
            </w:r>
            <w:r>
              <w:rPr>
                <w:noProof/>
                <w:webHidden/>
              </w:rPr>
              <w:fldChar w:fldCharType="separate"/>
            </w:r>
            <w:r>
              <w:rPr>
                <w:noProof/>
                <w:webHidden/>
              </w:rPr>
              <w:t>63</w:t>
            </w:r>
            <w:r>
              <w:rPr>
                <w:noProof/>
                <w:webHidden/>
              </w:rPr>
              <w:fldChar w:fldCharType="end"/>
            </w:r>
          </w:hyperlink>
        </w:p>
        <w:p w14:paraId="486A6D6B" w14:textId="2284D081" w:rsidR="007E37B1" w:rsidRDefault="007E37B1">
          <w:pPr>
            <w:pStyle w:val="TOC2"/>
            <w:tabs>
              <w:tab w:val="left" w:pos="960"/>
              <w:tab w:val="right" w:leader="dot" w:pos="9016"/>
            </w:tabs>
            <w:rPr>
              <w:rFonts w:asciiTheme="minorHAnsi" w:eastAsiaTheme="minorEastAsia" w:hAnsiTheme="minorHAnsi"/>
              <w:noProof/>
              <w:sz w:val="24"/>
              <w:szCs w:val="24"/>
              <w:lang w:eastAsia="en-AU"/>
            </w:rPr>
          </w:pPr>
          <w:hyperlink w:anchor="_Toc219977251" w:history="1">
            <w:r w:rsidRPr="002552D0">
              <w:rPr>
                <w:rStyle w:val="Hyperlink"/>
                <w:noProof/>
              </w:rPr>
              <w:t>9.1</w:t>
            </w:r>
            <w:r>
              <w:rPr>
                <w:rFonts w:asciiTheme="minorHAnsi" w:eastAsiaTheme="minorEastAsia" w:hAnsiTheme="minorHAnsi"/>
                <w:noProof/>
                <w:sz w:val="24"/>
                <w:szCs w:val="24"/>
                <w:lang w:eastAsia="en-AU"/>
              </w:rPr>
              <w:tab/>
            </w:r>
            <w:r w:rsidRPr="002552D0">
              <w:rPr>
                <w:rStyle w:val="Hyperlink"/>
                <w:noProof/>
              </w:rPr>
              <w:t>Recommendations</w:t>
            </w:r>
            <w:r>
              <w:rPr>
                <w:noProof/>
                <w:webHidden/>
              </w:rPr>
              <w:tab/>
            </w:r>
            <w:r>
              <w:rPr>
                <w:noProof/>
                <w:webHidden/>
              </w:rPr>
              <w:fldChar w:fldCharType="begin"/>
            </w:r>
            <w:r>
              <w:rPr>
                <w:noProof/>
                <w:webHidden/>
              </w:rPr>
              <w:instrText xml:space="preserve"> PAGEREF _Toc219977251 \h </w:instrText>
            </w:r>
            <w:r>
              <w:rPr>
                <w:noProof/>
                <w:webHidden/>
              </w:rPr>
            </w:r>
            <w:r>
              <w:rPr>
                <w:noProof/>
                <w:webHidden/>
              </w:rPr>
              <w:fldChar w:fldCharType="separate"/>
            </w:r>
            <w:r>
              <w:rPr>
                <w:noProof/>
                <w:webHidden/>
              </w:rPr>
              <w:t>64</w:t>
            </w:r>
            <w:r>
              <w:rPr>
                <w:noProof/>
                <w:webHidden/>
              </w:rPr>
              <w:fldChar w:fldCharType="end"/>
            </w:r>
          </w:hyperlink>
        </w:p>
        <w:p w14:paraId="35F46FF3" w14:textId="1092DE76"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52" w:history="1">
            <w:r w:rsidRPr="002552D0">
              <w:rPr>
                <w:rStyle w:val="Hyperlink"/>
                <w:noProof/>
              </w:rPr>
              <w:t>9.1.1</w:t>
            </w:r>
            <w:r>
              <w:rPr>
                <w:rFonts w:asciiTheme="minorHAnsi" w:eastAsiaTheme="minorEastAsia" w:hAnsiTheme="minorHAnsi"/>
                <w:noProof/>
                <w:sz w:val="24"/>
                <w:szCs w:val="24"/>
                <w:lang w:eastAsia="en-AU"/>
              </w:rPr>
              <w:tab/>
            </w:r>
            <w:r w:rsidRPr="002552D0">
              <w:rPr>
                <w:rStyle w:val="Hyperlink"/>
                <w:noProof/>
              </w:rPr>
              <w:t>Schools</w:t>
            </w:r>
            <w:r>
              <w:rPr>
                <w:noProof/>
                <w:webHidden/>
              </w:rPr>
              <w:tab/>
            </w:r>
            <w:r>
              <w:rPr>
                <w:noProof/>
                <w:webHidden/>
              </w:rPr>
              <w:fldChar w:fldCharType="begin"/>
            </w:r>
            <w:r>
              <w:rPr>
                <w:noProof/>
                <w:webHidden/>
              </w:rPr>
              <w:instrText xml:space="preserve"> PAGEREF _Toc219977252 \h </w:instrText>
            </w:r>
            <w:r>
              <w:rPr>
                <w:noProof/>
                <w:webHidden/>
              </w:rPr>
            </w:r>
            <w:r>
              <w:rPr>
                <w:noProof/>
                <w:webHidden/>
              </w:rPr>
              <w:fldChar w:fldCharType="separate"/>
            </w:r>
            <w:r>
              <w:rPr>
                <w:noProof/>
                <w:webHidden/>
              </w:rPr>
              <w:t>64</w:t>
            </w:r>
            <w:r>
              <w:rPr>
                <w:noProof/>
                <w:webHidden/>
              </w:rPr>
              <w:fldChar w:fldCharType="end"/>
            </w:r>
          </w:hyperlink>
        </w:p>
        <w:p w14:paraId="7D777B17" w14:textId="09229DF3"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53" w:history="1">
            <w:r w:rsidRPr="002552D0">
              <w:rPr>
                <w:rStyle w:val="Hyperlink"/>
                <w:noProof/>
              </w:rPr>
              <w:t>9.1.2</w:t>
            </w:r>
            <w:r>
              <w:rPr>
                <w:rFonts w:asciiTheme="minorHAnsi" w:eastAsiaTheme="minorEastAsia" w:hAnsiTheme="minorHAnsi"/>
                <w:noProof/>
                <w:sz w:val="24"/>
                <w:szCs w:val="24"/>
                <w:lang w:eastAsia="en-AU"/>
              </w:rPr>
              <w:tab/>
            </w:r>
            <w:r w:rsidRPr="002552D0">
              <w:rPr>
                <w:rStyle w:val="Hyperlink"/>
                <w:noProof/>
              </w:rPr>
              <w:t>Higher education providers</w:t>
            </w:r>
            <w:r>
              <w:rPr>
                <w:noProof/>
                <w:webHidden/>
              </w:rPr>
              <w:tab/>
            </w:r>
            <w:r>
              <w:rPr>
                <w:noProof/>
                <w:webHidden/>
              </w:rPr>
              <w:fldChar w:fldCharType="begin"/>
            </w:r>
            <w:r>
              <w:rPr>
                <w:noProof/>
                <w:webHidden/>
              </w:rPr>
              <w:instrText xml:space="preserve"> PAGEREF _Toc219977253 \h </w:instrText>
            </w:r>
            <w:r>
              <w:rPr>
                <w:noProof/>
                <w:webHidden/>
              </w:rPr>
            </w:r>
            <w:r>
              <w:rPr>
                <w:noProof/>
                <w:webHidden/>
              </w:rPr>
              <w:fldChar w:fldCharType="separate"/>
            </w:r>
            <w:r>
              <w:rPr>
                <w:noProof/>
                <w:webHidden/>
              </w:rPr>
              <w:t>64</w:t>
            </w:r>
            <w:r>
              <w:rPr>
                <w:noProof/>
                <w:webHidden/>
              </w:rPr>
              <w:fldChar w:fldCharType="end"/>
            </w:r>
          </w:hyperlink>
        </w:p>
        <w:p w14:paraId="6BBA1BF0" w14:textId="2290D55B" w:rsidR="007E37B1" w:rsidRDefault="007E37B1">
          <w:pPr>
            <w:pStyle w:val="TOC3"/>
            <w:tabs>
              <w:tab w:val="left" w:pos="1200"/>
              <w:tab w:val="right" w:leader="dot" w:pos="9016"/>
            </w:tabs>
            <w:rPr>
              <w:rFonts w:asciiTheme="minorHAnsi" w:eastAsiaTheme="minorEastAsia" w:hAnsiTheme="minorHAnsi"/>
              <w:noProof/>
              <w:sz w:val="24"/>
              <w:szCs w:val="24"/>
              <w:lang w:eastAsia="en-AU"/>
            </w:rPr>
          </w:pPr>
          <w:hyperlink w:anchor="_Toc219977254" w:history="1">
            <w:r w:rsidRPr="002552D0">
              <w:rPr>
                <w:rStyle w:val="Hyperlink"/>
                <w:noProof/>
              </w:rPr>
              <w:t>9.1.3</w:t>
            </w:r>
            <w:r>
              <w:rPr>
                <w:rFonts w:asciiTheme="minorHAnsi" w:eastAsiaTheme="minorEastAsia" w:hAnsiTheme="minorHAnsi"/>
                <w:noProof/>
                <w:sz w:val="24"/>
                <w:szCs w:val="24"/>
                <w:lang w:eastAsia="en-AU"/>
              </w:rPr>
              <w:tab/>
            </w:r>
            <w:r w:rsidRPr="002552D0">
              <w:rPr>
                <w:rStyle w:val="Hyperlink"/>
                <w:noProof/>
              </w:rPr>
              <w:t>Government</w:t>
            </w:r>
            <w:r>
              <w:rPr>
                <w:noProof/>
                <w:webHidden/>
              </w:rPr>
              <w:tab/>
            </w:r>
            <w:r>
              <w:rPr>
                <w:noProof/>
                <w:webHidden/>
              </w:rPr>
              <w:fldChar w:fldCharType="begin"/>
            </w:r>
            <w:r>
              <w:rPr>
                <w:noProof/>
                <w:webHidden/>
              </w:rPr>
              <w:instrText xml:space="preserve"> PAGEREF _Toc219977254 \h </w:instrText>
            </w:r>
            <w:r>
              <w:rPr>
                <w:noProof/>
                <w:webHidden/>
              </w:rPr>
            </w:r>
            <w:r>
              <w:rPr>
                <w:noProof/>
                <w:webHidden/>
              </w:rPr>
              <w:fldChar w:fldCharType="separate"/>
            </w:r>
            <w:r>
              <w:rPr>
                <w:noProof/>
                <w:webHidden/>
              </w:rPr>
              <w:t>64</w:t>
            </w:r>
            <w:r>
              <w:rPr>
                <w:noProof/>
                <w:webHidden/>
              </w:rPr>
              <w:fldChar w:fldCharType="end"/>
            </w:r>
          </w:hyperlink>
        </w:p>
        <w:p w14:paraId="5DCEA652" w14:textId="5DD2965D" w:rsidR="007E37B1" w:rsidRDefault="007E37B1">
          <w:pPr>
            <w:pStyle w:val="TOC1"/>
            <w:tabs>
              <w:tab w:val="left" w:pos="720"/>
              <w:tab w:val="right" w:leader="dot" w:pos="9016"/>
            </w:tabs>
            <w:rPr>
              <w:rFonts w:asciiTheme="minorHAnsi" w:eastAsiaTheme="minorEastAsia" w:hAnsiTheme="minorHAnsi"/>
              <w:noProof/>
              <w:sz w:val="24"/>
              <w:szCs w:val="24"/>
              <w:lang w:eastAsia="en-AU"/>
            </w:rPr>
          </w:pPr>
          <w:hyperlink w:anchor="_Toc219977255" w:history="1">
            <w:r w:rsidRPr="002552D0">
              <w:rPr>
                <w:rStyle w:val="Hyperlink"/>
                <w:noProof/>
              </w:rPr>
              <w:t>10.</w:t>
            </w:r>
            <w:r>
              <w:rPr>
                <w:rFonts w:asciiTheme="minorHAnsi" w:eastAsiaTheme="minorEastAsia" w:hAnsiTheme="minorHAnsi"/>
                <w:noProof/>
                <w:sz w:val="24"/>
                <w:szCs w:val="24"/>
                <w:lang w:eastAsia="en-AU"/>
              </w:rPr>
              <w:tab/>
            </w:r>
            <w:r w:rsidRPr="002552D0">
              <w:rPr>
                <w:rStyle w:val="Hyperlink"/>
                <w:noProof/>
              </w:rPr>
              <w:t>References</w:t>
            </w:r>
            <w:r>
              <w:rPr>
                <w:noProof/>
                <w:webHidden/>
              </w:rPr>
              <w:tab/>
            </w:r>
            <w:r>
              <w:rPr>
                <w:noProof/>
                <w:webHidden/>
              </w:rPr>
              <w:fldChar w:fldCharType="begin"/>
            </w:r>
            <w:r>
              <w:rPr>
                <w:noProof/>
                <w:webHidden/>
              </w:rPr>
              <w:instrText xml:space="preserve"> PAGEREF _Toc219977255 \h </w:instrText>
            </w:r>
            <w:r>
              <w:rPr>
                <w:noProof/>
                <w:webHidden/>
              </w:rPr>
            </w:r>
            <w:r>
              <w:rPr>
                <w:noProof/>
                <w:webHidden/>
              </w:rPr>
              <w:fldChar w:fldCharType="separate"/>
            </w:r>
            <w:r>
              <w:rPr>
                <w:noProof/>
                <w:webHidden/>
              </w:rPr>
              <w:t>66</w:t>
            </w:r>
            <w:r>
              <w:rPr>
                <w:noProof/>
                <w:webHidden/>
              </w:rPr>
              <w:fldChar w:fldCharType="end"/>
            </w:r>
          </w:hyperlink>
        </w:p>
        <w:p w14:paraId="5BCF736D" w14:textId="7D3E3A9A" w:rsidR="007E37B1" w:rsidRDefault="007E37B1">
          <w:pPr>
            <w:pStyle w:val="TOC1"/>
            <w:tabs>
              <w:tab w:val="left" w:pos="720"/>
              <w:tab w:val="right" w:leader="dot" w:pos="9016"/>
            </w:tabs>
            <w:rPr>
              <w:rFonts w:asciiTheme="minorHAnsi" w:eastAsiaTheme="minorEastAsia" w:hAnsiTheme="minorHAnsi"/>
              <w:noProof/>
              <w:sz w:val="24"/>
              <w:szCs w:val="24"/>
              <w:lang w:eastAsia="en-AU"/>
            </w:rPr>
          </w:pPr>
          <w:hyperlink w:anchor="_Toc219977256" w:history="1">
            <w:r w:rsidRPr="002552D0">
              <w:rPr>
                <w:rStyle w:val="Hyperlink"/>
                <w:noProof/>
              </w:rPr>
              <w:t>11.</w:t>
            </w:r>
            <w:r>
              <w:rPr>
                <w:rFonts w:asciiTheme="minorHAnsi" w:eastAsiaTheme="minorEastAsia" w:hAnsiTheme="minorHAnsi"/>
                <w:noProof/>
                <w:sz w:val="24"/>
                <w:szCs w:val="24"/>
                <w:lang w:eastAsia="en-AU"/>
              </w:rPr>
              <w:tab/>
            </w:r>
            <w:r w:rsidRPr="002552D0">
              <w:rPr>
                <w:rStyle w:val="Hyperlink"/>
                <w:noProof/>
              </w:rPr>
              <w:t>Appendix</w:t>
            </w:r>
            <w:r>
              <w:rPr>
                <w:noProof/>
                <w:webHidden/>
              </w:rPr>
              <w:tab/>
            </w:r>
            <w:r>
              <w:rPr>
                <w:noProof/>
                <w:webHidden/>
              </w:rPr>
              <w:fldChar w:fldCharType="begin"/>
            </w:r>
            <w:r>
              <w:rPr>
                <w:noProof/>
                <w:webHidden/>
              </w:rPr>
              <w:instrText xml:space="preserve"> PAGEREF _Toc219977256 \h </w:instrText>
            </w:r>
            <w:r>
              <w:rPr>
                <w:noProof/>
                <w:webHidden/>
              </w:rPr>
            </w:r>
            <w:r>
              <w:rPr>
                <w:noProof/>
                <w:webHidden/>
              </w:rPr>
              <w:fldChar w:fldCharType="separate"/>
            </w:r>
            <w:r>
              <w:rPr>
                <w:noProof/>
                <w:webHidden/>
              </w:rPr>
              <w:t>79</w:t>
            </w:r>
            <w:r>
              <w:rPr>
                <w:noProof/>
                <w:webHidden/>
              </w:rPr>
              <w:fldChar w:fldCharType="end"/>
            </w:r>
          </w:hyperlink>
        </w:p>
        <w:p w14:paraId="7984CE41" w14:textId="408BFC0E" w:rsidR="00985F7E" w:rsidRPr="00757D20" w:rsidRDefault="009E3513" w:rsidP="008C7722">
          <w:pPr>
            <w:rPr>
              <w:rFonts w:cs="Arial"/>
              <w:noProof/>
            </w:rPr>
          </w:pPr>
          <w:r w:rsidRPr="00757D20">
            <w:rPr>
              <w:rFonts w:cs="Arial"/>
            </w:rPr>
            <w:fldChar w:fldCharType="end"/>
          </w:r>
        </w:p>
      </w:sdtContent>
    </w:sdt>
    <w:p w14:paraId="761875DD" w14:textId="650A7EA3" w:rsidR="009D6D47" w:rsidRPr="00757D20" w:rsidRDefault="009D6D47" w:rsidP="009D6D47">
      <w:pPr>
        <w:pStyle w:val="Heading2"/>
        <w:numPr>
          <w:ilvl w:val="0"/>
          <w:numId w:val="0"/>
        </w:numPr>
        <w:rPr>
          <w:noProof/>
        </w:rPr>
      </w:pPr>
      <w:bookmarkStart w:id="8" w:name="_Toc219977188"/>
      <w:r w:rsidRPr="00757D20">
        <w:rPr>
          <w:noProof/>
        </w:rPr>
        <w:lastRenderedPageBreak/>
        <w:t xml:space="preserve">List of </w:t>
      </w:r>
      <w:r w:rsidR="00D618E7" w:rsidRPr="00757D20">
        <w:rPr>
          <w:noProof/>
        </w:rPr>
        <w:t>t</w:t>
      </w:r>
      <w:r w:rsidRPr="00757D20">
        <w:rPr>
          <w:noProof/>
        </w:rPr>
        <w:t>ables</w:t>
      </w:r>
      <w:bookmarkEnd w:id="8"/>
    </w:p>
    <w:p w14:paraId="3DE793ED" w14:textId="12C627A1" w:rsidR="009D74C2" w:rsidRDefault="00CA4C1B">
      <w:pPr>
        <w:pStyle w:val="TableofFigures"/>
        <w:tabs>
          <w:tab w:val="right" w:leader="dot" w:pos="9016"/>
        </w:tabs>
        <w:rPr>
          <w:rFonts w:asciiTheme="minorHAnsi" w:eastAsiaTheme="minorEastAsia" w:hAnsiTheme="minorHAnsi"/>
          <w:noProof/>
          <w:sz w:val="24"/>
          <w:szCs w:val="24"/>
          <w:lang w:eastAsia="en-AU"/>
        </w:rPr>
      </w:pPr>
      <w:r w:rsidRPr="00757D20">
        <w:rPr>
          <w:rFonts w:cs="Arial"/>
          <w:noProof/>
        </w:rPr>
        <w:fldChar w:fldCharType="begin"/>
      </w:r>
      <w:r w:rsidRPr="00757D20">
        <w:rPr>
          <w:rFonts w:cs="Arial"/>
          <w:noProof/>
        </w:rPr>
        <w:instrText xml:space="preserve"> TOC \h \z \c "Table" </w:instrText>
      </w:r>
      <w:r w:rsidRPr="00757D20">
        <w:rPr>
          <w:rFonts w:cs="Arial"/>
          <w:noProof/>
        </w:rPr>
        <w:fldChar w:fldCharType="separate"/>
      </w:r>
      <w:hyperlink w:anchor="_Toc216774180" w:history="1">
        <w:r w:rsidR="009D74C2" w:rsidRPr="006C4912">
          <w:rPr>
            <w:rStyle w:val="Hyperlink"/>
            <w:noProof/>
          </w:rPr>
          <w:t>Table 1: Sample description by school, 2025</w:t>
        </w:r>
        <w:r w:rsidR="009D74C2">
          <w:rPr>
            <w:noProof/>
            <w:webHidden/>
          </w:rPr>
          <w:tab/>
        </w:r>
        <w:r w:rsidR="009D74C2">
          <w:rPr>
            <w:noProof/>
            <w:webHidden/>
          </w:rPr>
          <w:fldChar w:fldCharType="begin"/>
        </w:r>
        <w:r w:rsidR="009D74C2">
          <w:rPr>
            <w:noProof/>
            <w:webHidden/>
          </w:rPr>
          <w:instrText xml:space="preserve"> PAGEREF _Toc216774180 \h </w:instrText>
        </w:r>
        <w:r w:rsidR="009D74C2">
          <w:rPr>
            <w:noProof/>
            <w:webHidden/>
          </w:rPr>
        </w:r>
        <w:r w:rsidR="009D74C2">
          <w:rPr>
            <w:noProof/>
            <w:webHidden/>
          </w:rPr>
          <w:fldChar w:fldCharType="separate"/>
        </w:r>
        <w:r w:rsidR="007E37B1">
          <w:rPr>
            <w:noProof/>
            <w:webHidden/>
          </w:rPr>
          <w:t>17</w:t>
        </w:r>
        <w:r w:rsidR="009D74C2">
          <w:rPr>
            <w:noProof/>
            <w:webHidden/>
          </w:rPr>
          <w:fldChar w:fldCharType="end"/>
        </w:r>
      </w:hyperlink>
    </w:p>
    <w:p w14:paraId="7822B918" w14:textId="47CC2D98" w:rsidR="009D74C2" w:rsidRDefault="009D74C2">
      <w:pPr>
        <w:pStyle w:val="TableofFigures"/>
        <w:tabs>
          <w:tab w:val="right" w:leader="dot" w:pos="9016"/>
        </w:tabs>
        <w:rPr>
          <w:rFonts w:asciiTheme="minorHAnsi" w:eastAsiaTheme="minorEastAsia" w:hAnsiTheme="minorHAnsi"/>
          <w:noProof/>
          <w:sz w:val="24"/>
          <w:szCs w:val="24"/>
          <w:lang w:eastAsia="en-AU"/>
        </w:rPr>
      </w:pPr>
      <w:hyperlink w:anchor="_Toc216774181" w:history="1">
        <w:r w:rsidRPr="006C4912">
          <w:rPr>
            <w:rStyle w:val="Hyperlink"/>
            <w:noProof/>
          </w:rPr>
          <w:t>Table 2: Career aspirations, all students, 2025 (</w:t>
        </w:r>
        <w:r w:rsidRPr="00F86E54">
          <w:rPr>
            <w:rStyle w:val="Hyperlink"/>
            <w:i/>
            <w:iCs/>
            <w:noProof/>
          </w:rPr>
          <w:t>n</w:t>
        </w:r>
        <w:r w:rsidRPr="006C4912">
          <w:rPr>
            <w:rStyle w:val="Hyperlink"/>
            <w:noProof/>
          </w:rPr>
          <w:t xml:space="preserve"> = 154)</w:t>
        </w:r>
        <w:r>
          <w:rPr>
            <w:noProof/>
            <w:webHidden/>
          </w:rPr>
          <w:tab/>
        </w:r>
        <w:r>
          <w:rPr>
            <w:noProof/>
            <w:webHidden/>
          </w:rPr>
          <w:fldChar w:fldCharType="begin"/>
        </w:r>
        <w:r>
          <w:rPr>
            <w:noProof/>
            <w:webHidden/>
          </w:rPr>
          <w:instrText xml:space="preserve"> PAGEREF _Toc216774181 \h </w:instrText>
        </w:r>
        <w:r>
          <w:rPr>
            <w:noProof/>
            <w:webHidden/>
          </w:rPr>
        </w:r>
        <w:r>
          <w:rPr>
            <w:noProof/>
            <w:webHidden/>
          </w:rPr>
          <w:fldChar w:fldCharType="separate"/>
        </w:r>
        <w:r w:rsidR="007E37B1">
          <w:rPr>
            <w:noProof/>
            <w:webHidden/>
          </w:rPr>
          <w:t>22</w:t>
        </w:r>
        <w:r>
          <w:rPr>
            <w:noProof/>
            <w:webHidden/>
          </w:rPr>
          <w:fldChar w:fldCharType="end"/>
        </w:r>
      </w:hyperlink>
    </w:p>
    <w:p w14:paraId="236EA170" w14:textId="6723D14A" w:rsidR="009D6D47" w:rsidRPr="00757D20" w:rsidRDefault="00CA4C1B">
      <w:pPr>
        <w:spacing w:line="259" w:lineRule="auto"/>
        <w:rPr>
          <w:rFonts w:cs="Arial"/>
          <w:noProof/>
        </w:rPr>
      </w:pPr>
      <w:r w:rsidRPr="00757D20">
        <w:rPr>
          <w:rFonts w:cs="Arial"/>
          <w:noProof/>
        </w:rPr>
        <w:fldChar w:fldCharType="end"/>
      </w:r>
    </w:p>
    <w:p w14:paraId="66340CCB" w14:textId="77777777" w:rsidR="009D6D47" w:rsidRPr="00757D20" w:rsidRDefault="009D6D47">
      <w:pPr>
        <w:spacing w:line="259" w:lineRule="auto"/>
        <w:rPr>
          <w:rFonts w:cs="Arial"/>
          <w:noProof/>
        </w:rPr>
      </w:pPr>
    </w:p>
    <w:p w14:paraId="75DBB00B" w14:textId="0AA1C3EB" w:rsidR="009D6D47" w:rsidRPr="00757D20" w:rsidRDefault="009D6D47" w:rsidP="009D6D47">
      <w:pPr>
        <w:pStyle w:val="Heading2"/>
        <w:numPr>
          <w:ilvl w:val="0"/>
          <w:numId w:val="0"/>
        </w:numPr>
        <w:rPr>
          <w:noProof/>
        </w:rPr>
      </w:pPr>
      <w:bookmarkStart w:id="9" w:name="_Toc219977189"/>
      <w:r w:rsidRPr="00757D20">
        <w:rPr>
          <w:noProof/>
        </w:rPr>
        <w:t xml:space="preserve">List of </w:t>
      </w:r>
      <w:r w:rsidR="00D618E7" w:rsidRPr="00757D20">
        <w:rPr>
          <w:noProof/>
        </w:rPr>
        <w:t>f</w:t>
      </w:r>
      <w:r w:rsidRPr="00757D20">
        <w:rPr>
          <w:noProof/>
        </w:rPr>
        <w:t>igures</w:t>
      </w:r>
      <w:bookmarkEnd w:id="9"/>
    </w:p>
    <w:p w14:paraId="05964D74" w14:textId="34531FFF" w:rsidR="009D74C2" w:rsidRDefault="006B6534">
      <w:pPr>
        <w:pStyle w:val="TableofFigures"/>
        <w:tabs>
          <w:tab w:val="right" w:leader="dot" w:pos="9016"/>
        </w:tabs>
        <w:rPr>
          <w:rFonts w:asciiTheme="minorHAnsi" w:eastAsiaTheme="minorEastAsia" w:hAnsiTheme="minorHAnsi"/>
          <w:noProof/>
          <w:sz w:val="24"/>
          <w:szCs w:val="24"/>
          <w:lang w:eastAsia="en-AU"/>
        </w:rPr>
      </w:pPr>
      <w:r w:rsidRPr="00757D20">
        <w:rPr>
          <w:rFonts w:cs="Arial"/>
          <w:noProof/>
        </w:rPr>
        <w:fldChar w:fldCharType="begin"/>
      </w:r>
      <w:r w:rsidRPr="00757D20">
        <w:rPr>
          <w:rFonts w:cs="Arial"/>
          <w:noProof/>
        </w:rPr>
        <w:instrText xml:space="preserve"> TOC \h \z \c "Figure" </w:instrText>
      </w:r>
      <w:r w:rsidRPr="00757D20">
        <w:rPr>
          <w:rFonts w:cs="Arial"/>
          <w:noProof/>
        </w:rPr>
        <w:fldChar w:fldCharType="separate"/>
      </w:r>
      <w:hyperlink w:anchor="_Toc216774193" w:history="1">
        <w:r w:rsidR="009D74C2" w:rsidRPr="00FE3B46">
          <w:rPr>
            <w:rStyle w:val="Hyperlink"/>
            <w:noProof/>
          </w:rPr>
          <w:t>Figure 1: Educational aspirations, all students, 2025</w:t>
        </w:r>
        <w:r w:rsidR="009D74C2">
          <w:rPr>
            <w:noProof/>
            <w:webHidden/>
          </w:rPr>
          <w:tab/>
        </w:r>
        <w:r w:rsidR="009D74C2">
          <w:rPr>
            <w:noProof/>
            <w:webHidden/>
          </w:rPr>
          <w:fldChar w:fldCharType="begin"/>
        </w:r>
        <w:r w:rsidR="009D74C2">
          <w:rPr>
            <w:noProof/>
            <w:webHidden/>
          </w:rPr>
          <w:instrText xml:space="preserve"> PAGEREF _Toc216774193 \h </w:instrText>
        </w:r>
        <w:r w:rsidR="009D74C2">
          <w:rPr>
            <w:noProof/>
            <w:webHidden/>
          </w:rPr>
        </w:r>
        <w:r w:rsidR="009D74C2">
          <w:rPr>
            <w:noProof/>
            <w:webHidden/>
          </w:rPr>
          <w:fldChar w:fldCharType="separate"/>
        </w:r>
        <w:r w:rsidR="007E37B1">
          <w:rPr>
            <w:noProof/>
            <w:webHidden/>
          </w:rPr>
          <w:t>19</w:t>
        </w:r>
        <w:r w:rsidR="009D74C2">
          <w:rPr>
            <w:noProof/>
            <w:webHidden/>
          </w:rPr>
          <w:fldChar w:fldCharType="end"/>
        </w:r>
      </w:hyperlink>
    </w:p>
    <w:p w14:paraId="722601A7" w14:textId="38AF9EF0" w:rsidR="009D74C2" w:rsidRDefault="009D74C2">
      <w:pPr>
        <w:pStyle w:val="TableofFigures"/>
        <w:tabs>
          <w:tab w:val="right" w:leader="dot" w:pos="9016"/>
        </w:tabs>
        <w:rPr>
          <w:rFonts w:asciiTheme="minorHAnsi" w:eastAsiaTheme="minorEastAsia" w:hAnsiTheme="minorHAnsi"/>
          <w:noProof/>
          <w:sz w:val="24"/>
          <w:szCs w:val="24"/>
          <w:lang w:eastAsia="en-AU"/>
        </w:rPr>
      </w:pPr>
      <w:hyperlink w:anchor="_Toc216774194" w:history="1">
        <w:r w:rsidRPr="00FE3B46">
          <w:rPr>
            <w:rStyle w:val="Hyperlink"/>
            <w:noProof/>
          </w:rPr>
          <w:t>Figure 2: Educational aspirations by ICSEA, 2025</w:t>
        </w:r>
        <w:r>
          <w:rPr>
            <w:noProof/>
            <w:webHidden/>
          </w:rPr>
          <w:tab/>
        </w:r>
        <w:r>
          <w:rPr>
            <w:noProof/>
            <w:webHidden/>
          </w:rPr>
          <w:fldChar w:fldCharType="begin"/>
        </w:r>
        <w:r>
          <w:rPr>
            <w:noProof/>
            <w:webHidden/>
          </w:rPr>
          <w:instrText xml:space="preserve"> PAGEREF _Toc216774194 \h </w:instrText>
        </w:r>
        <w:r>
          <w:rPr>
            <w:noProof/>
            <w:webHidden/>
          </w:rPr>
        </w:r>
        <w:r>
          <w:rPr>
            <w:noProof/>
            <w:webHidden/>
          </w:rPr>
          <w:fldChar w:fldCharType="separate"/>
        </w:r>
        <w:r w:rsidR="007E37B1">
          <w:rPr>
            <w:noProof/>
            <w:webHidden/>
          </w:rPr>
          <w:t>20</w:t>
        </w:r>
        <w:r>
          <w:rPr>
            <w:noProof/>
            <w:webHidden/>
          </w:rPr>
          <w:fldChar w:fldCharType="end"/>
        </w:r>
      </w:hyperlink>
    </w:p>
    <w:p w14:paraId="371A4B72" w14:textId="10474375" w:rsidR="009D74C2" w:rsidRDefault="009D74C2">
      <w:pPr>
        <w:pStyle w:val="TableofFigures"/>
        <w:tabs>
          <w:tab w:val="right" w:leader="dot" w:pos="9016"/>
        </w:tabs>
        <w:rPr>
          <w:rFonts w:asciiTheme="minorHAnsi" w:eastAsiaTheme="minorEastAsia" w:hAnsiTheme="minorHAnsi"/>
          <w:noProof/>
          <w:sz w:val="24"/>
          <w:szCs w:val="24"/>
          <w:lang w:eastAsia="en-AU"/>
        </w:rPr>
      </w:pPr>
      <w:hyperlink w:anchor="_Toc216774195" w:history="1">
        <w:r w:rsidRPr="00FE3B46">
          <w:rPr>
            <w:rStyle w:val="Hyperlink"/>
            <w:noProof/>
          </w:rPr>
          <w:t>Figure 3: Educational aspirations by location, 2025</w:t>
        </w:r>
        <w:r>
          <w:rPr>
            <w:noProof/>
            <w:webHidden/>
          </w:rPr>
          <w:tab/>
        </w:r>
        <w:r>
          <w:rPr>
            <w:noProof/>
            <w:webHidden/>
          </w:rPr>
          <w:fldChar w:fldCharType="begin"/>
        </w:r>
        <w:r>
          <w:rPr>
            <w:noProof/>
            <w:webHidden/>
          </w:rPr>
          <w:instrText xml:space="preserve"> PAGEREF _Toc216774195 \h </w:instrText>
        </w:r>
        <w:r>
          <w:rPr>
            <w:noProof/>
            <w:webHidden/>
          </w:rPr>
        </w:r>
        <w:r>
          <w:rPr>
            <w:noProof/>
            <w:webHidden/>
          </w:rPr>
          <w:fldChar w:fldCharType="separate"/>
        </w:r>
        <w:r w:rsidR="007E37B1">
          <w:rPr>
            <w:noProof/>
            <w:webHidden/>
          </w:rPr>
          <w:t>21</w:t>
        </w:r>
        <w:r>
          <w:rPr>
            <w:noProof/>
            <w:webHidden/>
          </w:rPr>
          <w:fldChar w:fldCharType="end"/>
        </w:r>
      </w:hyperlink>
    </w:p>
    <w:p w14:paraId="255702D3" w14:textId="04D4E046" w:rsidR="004D1005" w:rsidRPr="00757D20" w:rsidRDefault="006B6534">
      <w:pPr>
        <w:spacing w:line="259" w:lineRule="auto"/>
        <w:rPr>
          <w:rFonts w:eastAsia="Times New Roman" w:cstheme="majorBidi"/>
          <w:color w:val="6B3B57"/>
          <w:sz w:val="52"/>
          <w:szCs w:val="40"/>
          <w:lang w:eastAsia="en-AU"/>
        </w:rPr>
      </w:pPr>
      <w:r w:rsidRPr="00757D20">
        <w:rPr>
          <w:rFonts w:cs="Arial"/>
          <w:noProof/>
        </w:rPr>
        <w:fldChar w:fldCharType="end"/>
      </w:r>
      <w:r w:rsidR="004D1005" w:rsidRPr="00757D20">
        <w:rPr>
          <w:rFonts w:eastAsia="Times New Roman"/>
          <w:lang w:eastAsia="en-AU"/>
        </w:rPr>
        <w:br w:type="page"/>
      </w:r>
    </w:p>
    <w:p w14:paraId="31EF5C44" w14:textId="5A024D29" w:rsidR="009D6D47" w:rsidRPr="00757D20" w:rsidRDefault="009D6D47" w:rsidP="009D6D47">
      <w:pPr>
        <w:pStyle w:val="Heading1"/>
        <w:numPr>
          <w:ilvl w:val="0"/>
          <w:numId w:val="0"/>
        </w:numPr>
        <w:rPr>
          <w:rFonts w:eastAsia="Times New Roman"/>
          <w:lang w:eastAsia="en-AU"/>
        </w:rPr>
      </w:pPr>
      <w:bookmarkStart w:id="10" w:name="_Toc219977190"/>
      <w:r w:rsidRPr="00757D20">
        <w:rPr>
          <w:rFonts w:eastAsia="Times New Roman"/>
          <w:lang w:eastAsia="en-AU"/>
        </w:rPr>
        <w:lastRenderedPageBreak/>
        <w:t>Abbreviations</w:t>
      </w:r>
      <w:bookmarkEnd w:id="10"/>
    </w:p>
    <w:p w14:paraId="5CC7A3DD" w14:textId="77777777" w:rsidR="00927622" w:rsidRPr="00757D20" w:rsidRDefault="00927622" w:rsidP="009D6D47">
      <w:pPr>
        <w:rPr>
          <w:noProof/>
        </w:rPr>
      </w:pPr>
      <w:r w:rsidRPr="00757D20">
        <w:rPr>
          <w:noProof/>
        </w:rPr>
        <w:t>ABS</w:t>
      </w:r>
      <w:r w:rsidRPr="00757D20">
        <w:rPr>
          <w:noProof/>
        </w:rPr>
        <w:tab/>
      </w:r>
      <w:r w:rsidRPr="00757D20">
        <w:rPr>
          <w:noProof/>
        </w:rPr>
        <w:tab/>
        <w:t>Australian Bureau of Statistics</w:t>
      </w:r>
    </w:p>
    <w:p w14:paraId="0D1E8DAF" w14:textId="7F2D7DD4" w:rsidR="00927622" w:rsidRDefault="00927622" w:rsidP="009D6D47">
      <w:r w:rsidRPr="00757D20">
        <w:rPr>
          <w:noProof/>
        </w:rPr>
        <w:t>ACARA</w:t>
      </w:r>
      <w:r w:rsidR="004C3902" w:rsidRPr="00757D20">
        <w:tab/>
        <w:t>Australian Curriculum and Assessment Reporting Authority</w:t>
      </w:r>
    </w:p>
    <w:p w14:paraId="71071466" w14:textId="5E746415" w:rsidR="009D74C2" w:rsidRPr="00757D20" w:rsidRDefault="009D74C2" w:rsidP="009D6D47">
      <w:r>
        <w:t>AI</w:t>
      </w:r>
      <w:r>
        <w:tab/>
      </w:r>
      <w:r>
        <w:tab/>
        <w:t>Artificial intelligence</w:t>
      </w:r>
    </w:p>
    <w:p w14:paraId="22C24F3D" w14:textId="7740D454" w:rsidR="00ED7A57" w:rsidRDefault="00ED7A57" w:rsidP="009D6D47">
      <w:r w:rsidRPr="00757D20">
        <w:t xml:space="preserve">ANZSCO </w:t>
      </w:r>
      <w:r w:rsidRPr="00757D20">
        <w:tab/>
        <w:t>Australian and New Zealand Standard Classification of Occupations</w:t>
      </w:r>
    </w:p>
    <w:p w14:paraId="2FBFEBCF" w14:textId="2327B464" w:rsidR="009D74C2" w:rsidRPr="00757D20" w:rsidRDefault="009D74C2" w:rsidP="009D6D47">
      <w:r>
        <w:t>ATAR</w:t>
      </w:r>
      <w:r>
        <w:tab/>
      </w:r>
      <w:r>
        <w:tab/>
      </w:r>
      <w:r w:rsidRPr="009D74C2">
        <w:t>Australian Tertiary Admission Rank</w:t>
      </w:r>
    </w:p>
    <w:p w14:paraId="46B37618" w14:textId="57C392FF" w:rsidR="009D6D47" w:rsidRDefault="00EA0642" w:rsidP="009D6D47">
      <w:pPr>
        <w:rPr>
          <w:lang w:eastAsia="en-AU"/>
        </w:rPr>
      </w:pPr>
      <w:r w:rsidRPr="00757D20">
        <w:rPr>
          <w:lang w:eastAsia="en-AU"/>
        </w:rPr>
        <w:t>FIF</w:t>
      </w:r>
      <w:r w:rsidRPr="00757D20">
        <w:rPr>
          <w:lang w:eastAsia="en-AU"/>
        </w:rPr>
        <w:tab/>
      </w:r>
      <w:r w:rsidRPr="00757D20">
        <w:rPr>
          <w:lang w:eastAsia="en-AU"/>
        </w:rPr>
        <w:tab/>
        <w:t>First</w:t>
      </w:r>
      <w:r w:rsidR="00EE5B5D" w:rsidRPr="00757D20">
        <w:rPr>
          <w:lang w:eastAsia="en-AU"/>
        </w:rPr>
        <w:t>-</w:t>
      </w:r>
      <w:r w:rsidRPr="00757D20">
        <w:rPr>
          <w:lang w:eastAsia="en-AU"/>
        </w:rPr>
        <w:t>in</w:t>
      </w:r>
      <w:r w:rsidR="00EE5B5D" w:rsidRPr="00757D20">
        <w:rPr>
          <w:lang w:eastAsia="en-AU"/>
        </w:rPr>
        <w:t>-</w:t>
      </w:r>
      <w:r w:rsidR="00C35DD7">
        <w:rPr>
          <w:lang w:eastAsia="en-AU"/>
        </w:rPr>
        <w:t>f</w:t>
      </w:r>
      <w:r w:rsidR="00C35DD7" w:rsidRPr="00757D20">
        <w:rPr>
          <w:lang w:eastAsia="en-AU"/>
        </w:rPr>
        <w:t>amily</w:t>
      </w:r>
    </w:p>
    <w:p w14:paraId="40DE63EC" w14:textId="2F64440F" w:rsidR="009D74C2" w:rsidRPr="00757D20" w:rsidRDefault="009D74C2" w:rsidP="009D6D47">
      <w:pPr>
        <w:rPr>
          <w:lang w:eastAsia="en-AU"/>
        </w:rPr>
      </w:pPr>
      <w:r>
        <w:rPr>
          <w:lang w:eastAsia="en-AU"/>
        </w:rPr>
        <w:t>FIFO</w:t>
      </w:r>
      <w:r>
        <w:rPr>
          <w:lang w:eastAsia="en-AU"/>
        </w:rPr>
        <w:tab/>
      </w:r>
      <w:r>
        <w:rPr>
          <w:lang w:eastAsia="en-AU"/>
        </w:rPr>
        <w:tab/>
        <w:t>Fly-in, fly-out</w:t>
      </w:r>
    </w:p>
    <w:p w14:paraId="22B03542" w14:textId="41E0CFC9" w:rsidR="00EA0642" w:rsidRPr="00757D20" w:rsidRDefault="00EA0642" w:rsidP="009D6D47">
      <w:pPr>
        <w:rPr>
          <w:lang w:eastAsia="en-AU"/>
        </w:rPr>
      </w:pPr>
      <w:r w:rsidRPr="00757D20">
        <w:rPr>
          <w:lang w:eastAsia="en-AU"/>
        </w:rPr>
        <w:t>HEPPP</w:t>
      </w:r>
      <w:r w:rsidRPr="00757D20">
        <w:rPr>
          <w:lang w:eastAsia="en-AU"/>
        </w:rPr>
        <w:tab/>
        <w:t>Higher Education Participation and Partnerships Program</w:t>
      </w:r>
    </w:p>
    <w:p w14:paraId="39777B96" w14:textId="5C6420D1" w:rsidR="00F772F4" w:rsidRPr="00757D20" w:rsidRDefault="00F772F4" w:rsidP="009D6D47">
      <w:pPr>
        <w:rPr>
          <w:lang w:eastAsia="en-AU"/>
        </w:rPr>
      </w:pPr>
      <w:r w:rsidRPr="00757D20">
        <w:t>HECS</w:t>
      </w:r>
      <w:r w:rsidRPr="00757D20">
        <w:tab/>
      </w:r>
      <w:r w:rsidRPr="00757D20">
        <w:tab/>
        <w:t>Higher Education Contribution Scheme</w:t>
      </w:r>
    </w:p>
    <w:p w14:paraId="52459870" w14:textId="35A5ECBA" w:rsidR="00FE5406" w:rsidRPr="00757D20" w:rsidRDefault="00FE5406" w:rsidP="009D6D47">
      <w:pPr>
        <w:rPr>
          <w:lang w:eastAsia="en-AU"/>
        </w:rPr>
      </w:pPr>
      <w:r w:rsidRPr="00757D20">
        <w:rPr>
          <w:lang w:eastAsia="en-AU"/>
        </w:rPr>
        <w:t>HSC</w:t>
      </w:r>
      <w:r w:rsidRPr="00757D20">
        <w:rPr>
          <w:lang w:eastAsia="en-AU"/>
        </w:rPr>
        <w:tab/>
      </w:r>
      <w:r w:rsidRPr="00757D20">
        <w:rPr>
          <w:lang w:eastAsia="en-AU"/>
        </w:rPr>
        <w:tab/>
        <w:t>Higher School Certificate</w:t>
      </w:r>
    </w:p>
    <w:p w14:paraId="09513292" w14:textId="4173201D" w:rsidR="00EA0642" w:rsidRPr="00757D20" w:rsidRDefault="00EA0642" w:rsidP="009D6D47">
      <w:pPr>
        <w:rPr>
          <w:lang w:eastAsia="en-AU"/>
        </w:rPr>
      </w:pPr>
      <w:r w:rsidRPr="00757D20">
        <w:rPr>
          <w:lang w:eastAsia="en-AU"/>
        </w:rPr>
        <w:t>ICSEA</w:t>
      </w:r>
      <w:r w:rsidRPr="00757D20">
        <w:rPr>
          <w:lang w:eastAsia="en-AU"/>
        </w:rPr>
        <w:tab/>
      </w:r>
      <w:r w:rsidRPr="00757D20">
        <w:rPr>
          <w:lang w:eastAsia="en-AU"/>
        </w:rPr>
        <w:tab/>
        <w:t xml:space="preserve">Index of </w:t>
      </w:r>
      <w:r w:rsidR="00FE5406" w:rsidRPr="00757D20">
        <w:rPr>
          <w:lang w:eastAsia="en-AU"/>
        </w:rPr>
        <w:t>Community Socio-Educational Advantage</w:t>
      </w:r>
    </w:p>
    <w:p w14:paraId="121EEB5C" w14:textId="2A996BAA" w:rsidR="00AE76D2" w:rsidRPr="00757D20" w:rsidRDefault="00AE76D2">
      <w:pPr>
        <w:spacing w:line="259" w:lineRule="auto"/>
        <w:rPr>
          <w:lang w:eastAsia="en-AU"/>
        </w:rPr>
      </w:pPr>
      <w:r w:rsidRPr="00757D20">
        <w:rPr>
          <w:lang w:eastAsia="en-AU"/>
        </w:rPr>
        <w:t>IPCC</w:t>
      </w:r>
      <w:r w:rsidRPr="00757D20">
        <w:rPr>
          <w:lang w:eastAsia="en-AU"/>
        </w:rPr>
        <w:tab/>
      </w:r>
      <w:r w:rsidRPr="00757D20">
        <w:rPr>
          <w:lang w:eastAsia="en-AU"/>
        </w:rPr>
        <w:tab/>
      </w:r>
      <w:r w:rsidRPr="00757D20">
        <w:t xml:space="preserve">Intergovernmental Panel on Climate Change </w:t>
      </w:r>
    </w:p>
    <w:p w14:paraId="5C3E4E23" w14:textId="7F1BCCE1" w:rsidR="009C5601" w:rsidRPr="00757D20" w:rsidRDefault="009C5601">
      <w:pPr>
        <w:spacing w:line="259" w:lineRule="auto"/>
        <w:rPr>
          <w:lang w:eastAsia="en-AU"/>
        </w:rPr>
      </w:pPr>
      <w:r w:rsidRPr="00757D20">
        <w:rPr>
          <w:lang w:eastAsia="en-AU"/>
        </w:rPr>
        <w:t>LBOTE</w:t>
      </w:r>
      <w:r w:rsidRPr="00757D20">
        <w:rPr>
          <w:lang w:eastAsia="en-AU"/>
        </w:rPr>
        <w:tab/>
        <w:t>Language Background Other Than English</w:t>
      </w:r>
    </w:p>
    <w:p w14:paraId="460FD84B" w14:textId="4E7DADB9" w:rsidR="009E3513" w:rsidRPr="00757D20" w:rsidRDefault="009E3513">
      <w:pPr>
        <w:spacing w:line="259" w:lineRule="auto"/>
        <w:rPr>
          <w:lang w:eastAsia="en-AU"/>
        </w:rPr>
      </w:pPr>
      <w:r w:rsidRPr="00757D20">
        <w:rPr>
          <w:lang w:eastAsia="en-AU"/>
        </w:rPr>
        <w:t>NSW</w:t>
      </w:r>
      <w:r w:rsidRPr="00757D20">
        <w:rPr>
          <w:lang w:eastAsia="en-AU"/>
        </w:rPr>
        <w:tab/>
      </w:r>
      <w:r w:rsidRPr="00757D20">
        <w:rPr>
          <w:lang w:eastAsia="en-AU"/>
        </w:rPr>
        <w:tab/>
        <w:t>New South Wales</w:t>
      </w:r>
    </w:p>
    <w:p w14:paraId="2727DD73" w14:textId="0619581C" w:rsidR="00B31516" w:rsidRPr="00757D20" w:rsidRDefault="00B31516">
      <w:pPr>
        <w:spacing w:line="259" w:lineRule="auto"/>
      </w:pPr>
      <w:r w:rsidRPr="00757D20">
        <w:t>SEA</w:t>
      </w:r>
      <w:r w:rsidRPr="00757D20">
        <w:tab/>
      </w:r>
      <w:r w:rsidRPr="00757D20">
        <w:tab/>
        <w:t>Socio-</w:t>
      </w:r>
      <w:r w:rsidR="009E3513" w:rsidRPr="00757D20">
        <w:t>e</w:t>
      </w:r>
      <w:r w:rsidRPr="00757D20">
        <w:t xml:space="preserve">ducational </w:t>
      </w:r>
      <w:r w:rsidR="009E3513" w:rsidRPr="00757D20">
        <w:t>a</w:t>
      </w:r>
      <w:r w:rsidRPr="00757D20">
        <w:t>dvantage</w:t>
      </w:r>
    </w:p>
    <w:p w14:paraId="61BD84D5" w14:textId="69752944" w:rsidR="00FA2A84" w:rsidRPr="00757D20" w:rsidRDefault="00FA2A84">
      <w:pPr>
        <w:spacing w:line="259" w:lineRule="auto"/>
        <w:rPr>
          <w:lang w:eastAsia="en-AU"/>
        </w:rPr>
      </w:pPr>
      <w:r w:rsidRPr="00757D20">
        <w:t>SERAP</w:t>
      </w:r>
      <w:r w:rsidRPr="00757D20">
        <w:tab/>
        <w:t>State Education Research Approval Process</w:t>
      </w:r>
    </w:p>
    <w:p w14:paraId="4C2034BC" w14:textId="607AF893" w:rsidR="000350A0" w:rsidRPr="00757D20" w:rsidRDefault="000350A0">
      <w:pPr>
        <w:spacing w:line="259" w:lineRule="auto"/>
        <w:rPr>
          <w:lang w:eastAsia="en-AU"/>
        </w:rPr>
      </w:pPr>
      <w:r w:rsidRPr="00757D20">
        <w:rPr>
          <w:lang w:eastAsia="en-AU"/>
        </w:rPr>
        <w:t>SES</w:t>
      </w:r>
      <w:r w:rsidRPr="00757D20">
        <w:rPr>
          <w:lang w:eastAsia="en-AU"/>
        </w:rPr>
        <w:tab/>
      </w:r>
      <w:r w:rsidRPr="00757D20">
        <w:rPr>
          <w:lang w:eastAsia="en-AU"/>
        </w:rPr>
        <w:tab/>
        <w:t>Socio</w:t>
      </w:r>
      <w:r w:rsidR="00D618E7" w:rsidRPr="00757D20">
        <w:rPr>
          <w:lang w:eastAsia="en-AU"/>
        </w:rPr>
        <w:t>-</w:t>
      </w:r>
      <w:r w:rsidR="006177E0" w:rsidRPr="00757D20">
        <w:rPr>
          <w:lang w:eastAsia="en-AU"/>
        </w:rPr>
        <w:t>e</w:t>
      </w:r>
      <w:r w:rsidRPr="00757D20">
        <w:rPr>
          <w:lang w:eastAsia="en-AU"/>
        </w:rPr>
        <w:t xml:space="preserve">conomic </w:t>
      </w:r>
      <w:r w:rsidR="00D618E7" w:rsidRPr="00757D20">
        <w:rPr>
          <w:lang w:eastAsia="en-AU"/>
        </w:rPr>
        <w:t>s</w:t>
      </w:r>
      <w:r w:rsidRPr="00757D20">
        <w:rPr>
          <w:lang w:eastAsia="en-AU"/>
        </w:rPr>
        <w:t>tatus</w:t>
      </w:r>
    </w:p>
    <w:p w14:paraId="0A312614" w14:textId="17E7A5A6" w:rsidR="00F772F4" w:rsidRPr="00757D20" w:rsidRDefault="00F772F4">
      <w:pPr>
        <w:spacing w:line="259" w:lineRule="auto"/>
        <w:rPr>
          <w:lang w:eastAsia="en-AU"/>
        </w:rPr>
      </w:pPr>
      <w:r w:rsidRPr="00757D20">
        <w:rPr>
          <w:lang w:eastAsia="en-AU"/>
        </w:rPr>
        <w:t>STEM</w:t>
      </w:r>
      <w:r w:rsidRPr="00757D20">
        <w:rPr>
          <w:lang w:eastAsia="en-AU"/>
        </w:rPr>
        <w:tab/>
      </w:r>
      <w:r w:rsidRPr="00757D20">
        <w:rPr>
          <w:lang w:eastAsia="en-AU"/>
        </w:rPr>
        <w:tab/>
        <w:t xml:space="preserve">Science, </w:t>
      </w:r>
      <w:r w:rsidR="009D74C2">
        <w:rPr>
          <w:lang w:eastAsia="en-AU"/>
        </w:rPr>
        <w:t>t</w:t>
      </w:r>
      <w:r w:rsidRPr="00757D20">
        <w:rPr>
          <w:lang w:eastAsia="en-AU"/>
        </w:rPr>
        <w:t xml:space="preserve">echnology, </w:t>
      </w:r>
      <w:r w:rsidR="009D74C2">
        <w:rPr>
          <w:lang w:eastAsia="en-AU"/>
        </w:rPr>
        <w:t>e</w:t>
      </w:r>
      <w:r w:rsidRPr="00757D20">
        <w:rPr>
          <w:lang w:eastAsia="en-AU"/>
        </w:rPr>
        <w:t>ngineering</w:t>
      </w:r>
      <w:r w:rsidR="00614AAD" w:rsidRPr="00757D20">
        <w:rPr>
          <w:lang w:eastAsia="en-AU"/>
        </w:rPr>
        <w:t>,</w:t>
      </w:r>
      <w:r w:rsidRPr="00757D20">
        <w:rPr>
          <w:lang w:eastAsia="en-AU"/>
        </w:rPr>
        <w:t xml:space="preserve"> and </w:t>
      </w:r>
      <w:r w:rsidR="009D74C2">
        <w:rPr>
          <w:lang w:eastAsia="en-AU"/>
        </w:rPr>
        <w:t>m</w:t>
      </w:r>
      <w:r w:rsidRPr="00757D20">
        <w:rPr>
          <w:lang w:eastAsia="en-AU"/>
        </w:rPr>
        <w:t>athematics</w:t>
      </w:r>
    </w:p>
    <w:p w14:paraId="7722C08C" w14:textId="5AE7D05B" w:rsidR="00D26A01" w:rsidRPr="00757D20" w:rsidRDefault="00D26A01">
      <w:pPr>
        <w:spacing w:line="259" w:lineRule="auto"/>
        <w:rPr>
          <w:lang w:eastAsia="en-AU"/>
        </w:rPr>
      </w:pPr>
      <w:r w:rsidRPr="00757D20">
        <w:rPr>
          <w:lang w:eastAsia="en-AU"/>
        </w:rPr>
        <w:t>TAFE</w:t>
      </w:r>
      <w:r w:rsidRPr="00757D20">
        <w:rPr>
          <w:lang w:eastAsia="en-AU"/>
        </w:rPr>
        <w:tab/>
      </w:r>
      <w:r w:rsidRPr="00757D20">
        <w:rPr>
          <w:lang w:eastAsia="en-AU"/>
        </w:rPr>
        <w:tab/>
        <w:t>Technical and Further Education</w:t>
      </w:r>
    </w:p>
    <w:p w14:paraId="265C7807" w14:textId="12316C80" w:rsidR="00D26A01" w:rsidRPr="00757D20" w:rsidRDefault="00D26A01">
      <w:pPr>
        <w:spacing w:line="259" w:lineRule="auto"/>
        <w:rPr>
          <w:lang w:eastAsia="en-AU"/>
        </w:rPr>
      </w:pPr>
      <w:r w:rsidRPr="00757D20">
        <w:rPr>
          <w:lang w:eastAsia="en-AU"/>
        </w:rPr>
        <w:t>VET</w:t>
      </w:r>
      <w:r w:rsidRPr="00757D20">
        <w:rPr>
          <w:lang w:eastAsia="en-AU"/>
        </w:rPr>
        <w:tab/>
      </w:r>
      <w:r w:rsidRPr="00757D20">
        <w:rPr>
          <w:lang w:eastAsia="en-AU"/>
        </w:rPr>
        <w:tab/>
        <w:t>Vocational Education and Training</w:t>
      </w:r>
    </w:p>
    <w:p w14:paraId="5161C3CA" w14:textId="6B3846E0" w:rsidR="00E65C05" w:rsidRPr="00757D20" w:rsidRDefault="00E65C05">
      <w:pPr>
        <w:spacing w:line="259" w:lineRule="auto"/>
      </w:pPr>
      <w:r w:rsidRPr="00757D20">
        <w:t>VUCA</w:t>
      </w:r>
      <w:r w:rsidRPr="00757D20">
        <w:tab/>
      </w:r>
      <w:r w:rsidRPr="00757D20">
        <w:tab/>
        <w:t>Volatile, Uncertain, Complex</w:t>
      </w:r>
      <w:r w:rsidR="00614AAD" w:rsidRPr="00757D20">
        <w:t>,</w:t>
      </w:r>
      <w:r w:rsidRPr="00757D20">
        <w:t xml:space="preserve"> and Ambiguous </w:t>
      </w:r>
    </w:p>
    <w:p w14:paraId="4C21B2C8" w14:textId="77777777" w:rsidR="004D1005" w:rsidRPr="00757D20" w:rsidRDefault="009D6D47">
      <w:pPr>
        <w:spacing w:line="259" w:lineRule="auto"/>
        <w:rPr>
          <w:lang w:eastAsia="en-AU"/>
        </w:rPr>
        <w:sectPr w:rsidR="004D1005" w:rsidRPr="00757D20" w:rsidSect="009D74C2">
          <w:pgSz w:w="11906" w:h="16838"/>
          <w:pgMar w:top="1440" w:right="1440" w:bottom="1440" w:left="1440" w:header="708" w:footer="397" w:gutter="0"/>
          <w:pgNumType w:fmt="lowerRoman" w:start="1"/>
          <w:cols w:space="708"/>
          <w:docGrid w:linePitch="360"/>
        </w:sectPr>
      </w:pPr>
      <w:r w:rsidRPr="00757D20">
        <w:rPr>
          <w:lang w:eastAsia="en-AU"/>
        </w:rPr>
        <w:br w:type="page"/>
      </w:r>
    </w:p>
    <w:p w14:paraId="6A4FC3AA" w14:textId="0F589017" w:rsidR="008C7722" w:rsidRPr="00757D20" w:rsidRDefault="0073342F" w:rsidP="008C7722">
      <w:pPr>
        <w:pStyle w:val="Heading1"/>
        <w:rPr>
          <w:rFonts w:eastAsia="Times New Roman" w:cs="Arial"/>
          <w:lang w:eastAsia="en-AU"/>
        </w:rPr>
      </w:pPr>
      <w:bookmarkStart w:id="11" w:name="_Toc216435206"/>
      <w:bookmarkStart w:id="12" w:name="_Toc216775037"/>
      <w:bookmarkStart w:id="13" w:name="_Toc219977191"/>
      <w:bookmarkEnd w:id="11"/>
      <w:bookmarkEnd w:id="12"/>
      <w:r w:rsidRPr="00757D20">
        <w:rPr>
          <w:rFonts w:eastAsia="Times New Roman" w:cs="Arial"/>
          <w:color w:val="6B3B57" w:themeColor="accent2"/>
          <w:lang w:eastAsia="en-AU"/>
        </w:rPr>
        <w:lastRenderedPageBreak/>
        <w:t xml:space="preserve">Executive </w:t>
      </w:r>
      <w:r w:rsidR="00D618E7" w:rsidRPr="00757D20">
        <w:rPr>
          <w:rFonts w:eastAsia="Times New Roman" w:cs="Arial"/>
          <w:color w:val="6B3B57" w:themeColor="accent2"/>
          <w:lang w:eastAsia="en-AU"/>
        </w:rPr>
        <w:t>s</w:t>
      </w:r>
      <w:r w:rsidRPr="00757D20">
        <w:rPr>
          <w:rFonts w:eastAsia="Times New Roman" w:cs="Arial"/>
          <w:color w:val="6B3B57" w:themeColor="accent2"/>
          <w:lang w:eastAsia="en-AU"/>
        </w:rPr>
        <w:t>um</w:t>
      </w:r>
      <w:r w:rsidRPr="00757D20">
        <w:rPr>
          <w:rFonts w:eastAsia="Times New Roman" w:cs="Arial"/>
          <w:lang w:eastAsia="en-AU"/>
        </w:rPr>
        <w:t>mary</w:t>
      </w:r>
      <w:bookmarkEnd w:id="13"/>
    </w:p>
    <w:p w14:paraId="3C658E82" w14:textId="5045FEC4" w:rsidR="006A397D" w:rsidRPr="00757D20" w:rsidRDefault="00ED2B4B" w:rsidP="009E108E">
      <w:pPr>
        <w:spacing w:line="259" w:lineRule="auto"/>
      </w:pPr>
      <w:r w:rsidRPr="00757D20">
        <w:rPr>
          <w:rFonts w:cs="Arial"/>
        </w:rPr>
        <w:t xml:space="preserve">This project, </w:t>
      </w:r>
      <w:proofErr w:type="gramStart"/>
      <w:r w:rsidRPr="00757D20">
        <w:rPr>
          <w:rFonts w:cs="Arial"/>
          <w:i/>
          <w:iCs/>
        </w:rPr>
        <w:t>Understanding</w:t>
      </w:r>
      <w:proofErr w:type="gramEnd"/>
      <w:r w:rsidRPr="00757D20">
        <w:rPr>
          <w:rFonts w:cs="Arial"/>
          <w:i/>
          <w:iCs/>
        </w:rPr>
        <w:t xml:space="preserve"> </w:t>
      </w:r>
      <w:r w:rsidR="009E3513" w:rsidRPr="00757D20">
        <w:rPr>
          <w:rFonts w:cs="Arial"/>
          <w:i/>
          <w:iCs/>
        </w:rPr>
        <w:t>s</w:t>
      </w:r>
      <w:r w:rsidRPr="00757D20">
        <w:rPr>
          <w:rFonts w:cs="Arial"/>
          <w:i/>
          <w:iCs/>
        </w:rPr>
        <w:t xml:space="preserve">chool </w:t>
      </w:r>
      <w:r w:rsidR="009E3513" w:rsidRPr="00757D20">
        <w:rPr>
          <w:rFonts w:cs="Arial"/>
          <w:i/>
          <w:iCs/>
        </w:rPr>
        <w:t>s</w:t>
      </w:r>
      <w:r w:rsidRPr="00757D20">
        <w:rPr>
          <w:rFonts w:cs="Arial"/>
          <w:i/>
          <w:iCs/>
        </w:rPr>
        <w:t>tudent</w:t>
      </w:r>
      <w:r w:rsidR="009E3513" w:rsidRPr="00757D20">
        <w:rPr>
          <w:rFonts w:cs="Arial"/>
          <w:i/>
          <w:iCs/>
        </w:rPr>
        <w:t>s’</w:t>
      </w:r>
      <w:r w:rsidRPr="00757D20">
        <w:rPr>
          <w:rFonts w:cs="Arial"/>
          <w:i/>
          <w:iCs/>
        </w:rPr>
        <w:t xml:space="preserve"> </w:t>
      </w:r>
      <w:r w:rsidR="009E3513" w:rsidRPr="00757D20">
        <w:rPr>
          <w:rFonts w:cs="Arial"/>
          <w:i/>
          <w:iCs/>
        </w:rPr>
        <w:t>a</w:t>
      </w:r>
      <w:r w:rsidRPr="00757D20">
        <w:rPr>
          <w:rFonts w:cs="Arial"/>
          <w:i/>
          <w:iCs/>
        </w:rPr>
        <w:t xml:space="preserve">spirations in </w:t>
      </w:r>
      <w:r w:rsidR="009E3513" w:rsidRPr="00757D20">
        <w:rPr>
          <w:rFonts w:cs="Arial"/>
          <w:i/>
          <w:iCs/>
        </w:rPr>
        <w:t>u</w:t>
      </w:r>
      <w:r w:rsidRPr="00757D20">
        <w:rPr>
          <w:rFonts w:cs="Arial"/>
          <w:i/>
          <w:iCs/>
        </w:rPr>
        <w:t xml:space="preserve">ncertain </w:t>
      </w:r>
      <w:r w:rsidR="009E3513" w:rsidRPr="00757D20">
        <w:rPr>
          <w:rFonts w:cs="Arial"/>
          <w:i/>
          <w:iCs/>
        </w:rPr>
        <w:t>t</w:t>
      </w:r>
      <w:r w:rsidRPr="00757D20">
        <w:rPr>
          <w:rFonts w:cs="Arial"/>
          <w:i/>
          <w:iCs/>
        </w:rPr>
        <w:t>imes</w:t>
      </w:r>
      <w:r w:rsidRPr="00757D20">
        <w:rPr>
          <w:rFonts w:cs="Arial"/>
        </w:rPr>
        <w:t xml:space="preserve">, </w:t>
      </w:r>
      <w:bookmarkStart w:id="14" w:name="_Hlk211951613"/>
      <w:r w:rsidR="003A2C58" w:rsidRPr="00757D20">
        <w:t>explores how evolving economic</w:t>
      </w:r>
      <w:r w:rsidR="00D76660" w:rsidRPr="00757D20">
        <w:t>, political</w:t>
      </w:r>
      <w:r w:rsidR="00614AAD" w:rsidRPr="00757D20">
        <w:t>,</w:t>
      </w:r>
      <w:r w:rsidR="001674A9" w:rsidRPr="00757D20">
        <w:t xml:space="preserve"> and </w:t>
      </w:r>
      <w:r w:rsidR="003A2C58" w:rsidRPr="00757D20">
        <w:t>soc</w:t>
      </w:r>
      <w:r w:rsidR="001674A9" w:rsidRPr="00757D20">
        <w:t xml:space="preserve">ial </w:t>
      </w:r>
      <w:r w:rsidR="003A2C58" w:rsidRPr="00757D20">
        <w:t>conditions are shaping young people’s aspirations</w:t>
      </w:r>
      <w:r w:rsidR="009E108E" w:rsidRPr="00757D20">
        <w:t xml:space="preserve">. </w:t>
      </w:r>
      <w:r w:rsidR="00B72687" w:rsidRPr="00757D20">
        <w:t xml:space="preserve">More than a decade after the first data wave of the </w:t>
      </w:r>
      <w:r w:rsidR="00B72687" w:rsidRPr="00757D20">
        <w:rPr>
          <w:i/>
          <w:iCs/>
        </w:rPr>
        <w:t xml:space="preserve">Aspirations </w:t>
      </w:r>
      <w:r w:rsidR="00B72687" w:rsidRPr="004F20A7">
        <w:rPr>
          <w:i/>
          <w:iCs/>
        </w:rPr>
        <w:t xml:space="preserve">Longitudinal </w:t>
      </w:r>
      <w:r w:rsidR="004F20A7" w:rsidRPr="006425B6">
        <w:rPr>
          <w:i/>
          <w:iCs/>
        </w:rPr>
        <w:t>Study</w:t>
      </w:r>
      <w:r w:rsidR="00A0109C">
        <w:rPr>
          <w:rStyle w:val="FootnoteReference"/>
        </w:rPr>
        <w:footnoteReference w:id="2"/>
      </w:r>
      <w:r w:rsidR="00B72687" w:rsidRPr="00757D20">
        <w:t>, both higher</w:t>
      </w:r>
      <w:r w:rsidR="001B1B8F" w:rsidRPr="00757D20">
        <w:t xml:space="preserve"> </w:t>
      </w:r>
      <w:r w:rsidR="00B72687" w:rsidRPr="00757D20">
        <w:t xml:space="preserve">education pathways and the labour market look very different. Today’s young people confront an age of precarity shaped by climate change, a succession of natural disasters, geopolitical conflicts, energy </w:t>
      </w:r>
      <w:r w:rsidR="00EA253C" w:rsidRPr="00757D20">
        <w:t>crises</w:t>
      </w:r>
      <w:r w:rsidR="00F10B16" w:rsidRPr="00757D20">
        <w:t>,</w:t>
      </w:r>
      <w:r w:rsidR="00B72687" w:rsidRPr="00757D20">
        <w:t xml:space="preserve"> and rising inflation. The COVID</w:t>
      </w:r>
      <w:r w:rsidR="00B72687" w:rsidRPr="00757D20">
        <w:noBreakHyphen/>
        <w:t>19 pandemic has further disrupted post</w:t>
      </w:r>
      <w:r w:rsidR="00B72687" w:rsidRPr="00757D20">
        <w:noBreakHyphen/>
        <w:t>school transitions—heightening stress and anxiety, lowering wellbeing</w:t>
      </w:r>
      <w:r w:rsidR="00F10B16" w:rsidRPr="00757D20">
        <w:t>,</w:t>
      </w:r>
      <w:r w:rsidR="00B72687" w:rsidRPr="00757D20">
        <w:t xml:space="preserve"> and amplifying equity gaps in the secto</w:t>
      </w:r>
      <w:r w:rsidR="006828CC" w:rsidRPr="00757D20">
        <w:t>r</w:t>
      </w:r>
      <w:r w:rsidR="00B72687" w:rsidRPr="00757D20">
        <w:t xml:space="preserve">. </w:t>
      </w:r>
      <w:bookmarkEnd w:id="14"/>
      <w:r w:rsidR="00B72687" w:rsidRPr="00757D20">
        <w:t>Now, more than ever, it is essential to help young people chart this complicated education</w:t>
      </w:r>
      <w:r w:rsidR="006828CC" w:rsidRPr="00757D20">
        <w:t xml:space="preserve"> </w:t>
      </w:r>
      <w:r w:rsidR="00B72687" w:rsidRPr="00757D20">
        <w:t>and</w:t>
      </w:r>
      <w:r w:rsidR="006828CC" w:rsidRPr="00757D20">
        <w:t xml:space="preserve"> </w:t>
      </w:r>
      <w:r w:rsidR="00B72687" w:rsidRPr="00757D20">
        <w:t xml:space="preserve">work landscape, and to recognise that those </w:t>
      </w:r>
      <w:r w:rsidR="00651582" w:rsidRPr="00757D20">
        <w:t xml:space="preserve">who </w:t>
      </w:r>
      <w:r w:rsidR="00B72687" w:rsidRPr="00757D20">
        <w:t>fac</w:t>
      </w:r>
      <w:r w:rsidR="00651582" w:rsidRPr="00757D20">
        <w:t>e</w:t>
      </w:r>
      <w:r w:rsidR="00B72687" w:rsidRPr="00757D20">
        <w:t xml:space="preserve"> cumulative disadvantage</w:t>
      </w:r>
      <w:r w:rsidR="00651582" w:rsidRPr="00757D20">
        <w:t>s</w:t>
      </w:r>
      <w:r w:rsidR="00B72687" w:rsidRPr="00757D20">
        <w:t xml:space="preserve"> may feel its pressures most acutely.</w:t>
      </w:r>
    </w:p>
    <w:p w14:paraId="183794C2" w14:textId="1DDE1CEB" w:rsidR="009E108E" w:rsidRPr="00757D20" w:rsidRDefault="009E108E" w:rsidP="009E108E">
      <w:pPr>
        <w:spacing w:line="259" w:lineRule="auto"/>
      </w:pPr>
      <w:bookmarkStart w:id="15" w:name="_Hlk211951697"/>
      <w:r w:rsidRPr="00757D20">
        <w:t xml:space="preserve">Focusing on targeted equity groups and students who would be </w:t>
      </w:r>
      <w:r w:rsidR="006425B6">
        <w:t>f</w:t>
      </w:r>
      <w:r w:rsidRPr="00757D20">
        <w:t>irst</w:t>
      </w:r>
      <w:r w:rsidR="00EE5B5D" w:rsidRPr="00757D20">
        <w:t>-</w:t>
      </w:r>
      <w:r w:rsidRPr="00757D20">
        <w:t>in</w:t>
      </w:r>
      <w:r w:rsidR="00EE5B5D" w:rsidRPr="00757D20">
        <w:t>-</w:t>
      </w:r>
      <w:r w:rsidR="003B035B">
        <w:t>f</w:t>
      </w:r>
      <w:r w:rsidRPr="00757D20">
        <w:t>amily</w:t>
      </w:r>
      <w:r w:rsidR="009E3513" w:rsidRPr="00757D20">
        <w:t xml:space="preserve"> (FiF)</w:t>
      </w:r>
      <w:r w:rsidRPr="00757D20">
        <w:t xml:space="preserve"> to go to university, the key questions addressed in this study were:  </w:t>
      </w:r>
    </w:p>
    <w:p w14:paraId="27529B30" w14:textId="69FD4CBA" w:rsidR="009E108E" w:rsidRPr="00757D20" w:rsidRDefault="009E108E" w:rsidP="009E108E">
      <w:pPr>
        <w:numPr>
          <w:ilvl w:val="0"/>
          <w:numId w:val="31"/>
        </w:numPr>
        <w:spacing w:line="259" w:lineRule="auto"/>
      </w:pPr>
      <w:r w:rsidRPr="00757D20">
        <w:t>What are the educational and occupational aspirations of secondary school students today and how do they differ (if at all) by equity group? </w:t>
      </w:r>
    </w:p>
    <w:p w14:paraId="27184992" w14:textId="7531DB8A" w:rsidR="009E108E" w:rsidRPr="00757D20" w:rsidRDefault="009E108E" w:rsidP="009E108E">
      <w:pPr>
        <w:numPr>
          <w:ilvl w:val="0"/>
          <w:numId w:val="29"/>
        </w:numPr>
        <w:spacing w:line="259" w:lineRule="auto"/>
      </w:pPr>
      <w:r w:rsidRPr="00757D20">
        <w:t>How has the current economic and social climate influenced young people’s thoughts and plans about their post-school futures? </w:t>
      </w:r>
    </w:p>
    <w:bookmarkEnd w:id="15"/>
    <w:p w14:paraId="69CB244D" w14:textId="1C9FFFF7" w:rsidR="009E108E" w:rsidRPr="00757D20" w:rsidRDefault="009E108E" w:rsidP="009E108E">
      <w:pPr>
        <w:numPr>
          <w:ilvl w:val="0"/>
          <w:numId w:val="30"/>
        </w:numPr>
        <w:spacing w:line="259" w:lineRule="auto"/>
      </w:pPr>
      <w:r w:rsidRPr="00757D20">
        <w:t>Given the findings from questions 1 and 2, how might recent environmental, health</w:t>
      </w:r>
      <w:r w:rsidR="00F10B16" w:rsidRPr="00757D20">
        <w:t>,</w:t>
      </w:r>
      <w:r w:rsidRPr="00757D20">
        <w:t xml:space="preserve"> and economic crises shape institutional efforts to ensure more equitable participation in higher education? </w:t>
      </w:r>
    </w:p>
    <w:p w14:paraId="278D05E6" w14:textId="0837A310" w:rsidR="00C33733" w:rsidRPr="00757D20" w:rsidRDefault="00D52330">
      <w:pPr>
        <w:spacing w:line="259" w:lineRule="auto"/>
      </w:pPr>
      <w:r w:rsidRPr="00757D20">
        <w:t>Drawing on multiple datasets involving secondary students, parents/carers, teachers</w:t>
      </w:r>
      <w:r w:rsidR="00F10B16" w:rsidRPr="00757D20">
        <w:t>,</w:t>
      </w:r>
      <w:r w:rsidRPr="00757D20">
        <w:t xml:space="preserve"> and community members in New South Wales (NSW) collected over the last twelve years</w:t>
      </w:r>
      <w:r w:rsidR="00F75F5A" w:rsidRPr="00757D20">
        <w:t>, our aim was to generate timely insights into how current circumstances are shaping post-school aspirations</w:t>
      </w:r>
      <w:r w:rsidR="009E3513" w:rsidRPr="00757D20">
        <w:t>,</w:t>
      </w:r>
      <w:r w:rsidR="00F75F5A" w:rsidRPr="00757D20">
        <w:t xml:space="preserve"> and to explore changes</w:t>
      </w:r>
      <w:r w:rsidR="00F26E85" w:rsidRPr="00757D20">
        <w:t xml:space="preserve"> over time</w:t>
      </w:r>
      <w:r w:rsidR="00F75F5A" w:rsidRPr="00757D20">
        <w:t xml:space="preserve"> in how young people articulate their hopes for the future. </w:t>
      </w:r>
      <w:r w:rsidR="003F7D57" w:rsidRPr="00757D20">
        <w:t>F</w:t>
      </w:r>
      <w:r w:rsidR="00093BF9" w:rsidRPr="00757D20">
        <w:t>ive longitudinal case studies were developed</w:t>
      </w:r>
      <w:r w:rsidR="00651A2A" w:rsidRPr="00757D20">
        <w:t xml:space="preserve"> to shed light </w:t>
      </w:r>
      <w:r w:rsidR="00CD6F6C" w:rsidRPr="00757D20">
        <w:t>on</w:t>
      </w:r>
      <w:r w:rsidR="00651A2A" w:rsidRPr="00757D20">
        <w:t xml:space="preserve"> the </w:t>
      </w:r>
      <w:r w:rsidR="00DE6FDE" w:rsidRPr="00757D20">
        <w:t>nuances and context</w:t>
      </w:r>
      <w:r w:rsidR="00CD6F6C" w:rsidRPr="00757D20">
        <w:t>s</w:t>
      </w:r>
      <w:r w:rsidR="00DE6FDE" w:rsidRPr="00757D20">
        <w:t xml:space="preserve"> </w:t>
      </w:r>
      <w:r w:rsidR="00651A2A" w:rsidRPr="00757D20">
        <w:t xml:space="preserve">of aspiration formation over time: </w:t>
      </w:r>
      <w:r w:rsidR="00C33733" w:rsidRPr="00757D20">
        <w:t>Ironbark Plains High School,</w:t>
      </w:r>
      <w:r w:rsidR="009E3513" w:rsidRPr="00757D20">
        <w:rPr>
          <w:rStyle w:val="FootnoteReference"/>
        </w:rPr>
        <w:footnoteReference w:id="3"/>
      </w:r>
      <w:r w:rsidR="00C33733" w:rsidRPr="00757D20">
        <w:t xml:space="preserve"> an outer regional, low-ICSEA</w:t>
      </w:r>
      <w:r w:rsidR="009E3513" w:rsidRPr="00757D20">
        <w:t xml:space="preserve"> (Index of Community Socio-Educational Advantage)</w:t>
      </w:r>
      <w:r w:rsidR="00694A8B">
        <w:rPr>
          <w:rStyle w:val="FootnoteReference"/>
        </w:rPr>
        <w:footnoteReference w:id="4"/>
      </w:r>
      <w:r w:rsidR="00C33733" w:rsidRPr="00757D20">
        <w:t xml:space="preserve"> school with many students from ethnically diverse backgrounds; </w:t>
      </w:r>
      <w:r w:rsidR="009B00C5" w:rsidRPr="00757D20">
        <w:t>Oldfields</w:t>
      </w:r>
      <w:r w:rsidR="00C77255" w:rsidRPr="00757D20">
        <w:t xml:space="preserve"> Central School</w:t>
      </w:r>
      <w:r w:rsidR="009B00C5" w:rsidRPr="00757D20">
        <w:t>, a low-ICSEA</w:t>
      </w:r>
      <w:r w:rsidR="00651A2A" w:rsidRPr="00757D20">
        <w:t xml:space="preserve"> school</w:t>
      </w:r>
      <w:r w:rsidR="009B00C5" w:rsidRPr="00757D20">
        <w:t xml:space="preserve">, </w:t>
      </w:r>
      <w:r w:rsidR="00C77255" w:rsidRPr="00757D20">
        <w:t xml:space="preserve">located in an </w:t>
      </w:r>
      <w:r w:rsidR="009B00C5" w:rsidRPr="00757D20">
        <w:t xml:space="preserve">outer regional community with a large proportion of </w:t>
      </w:r>
      <w:r w:rsidR="00CB4504" w:rsidRPr="00757D20">
        <w:t>students who would be</w:t>
      </w:r>
      <w:r w:rsidR="00FB07B0" w:rsidRPr="00757D20">
        <w:t xml:space="preserve"> first</w:t>
      </w:r>
      <w:r w:rsidR="00EE5B5D" w:rsidRPr="00757D20">
        <w:t>-</w:t>
      </w:r>
      <w:r w:rsidR="00FB07B0" w:rsidRPr="00757D20">
        <w:t>in</w:t>
      </w:r>
      <w:r w:rsidR="00EE5B5D" w:rsidRPr="00757D20">
        <w:t>-</w:t>
      </w:r>
      <w:r w:rsidR="00FB07B0" w:rsidRPr="00757D20">
        <w:t xml:space="preserve">family </w:t>
      </w:r>
      <w:r w:rsidR="00CB4504" w:rsidRPr="00757D20">
        <w:t>to finish Year 12</w:t>
      </w:r>
      <w:r w:rsidR="009B00C5" w:rsidRPr="00757D20">
        <w:t xml:space="preserve">; </w:t>
      </w:r>
      <w:r w:rsidR="00C33733" w:rsidRPr="00757D20">
        <w:t>Banks Hollow Secondary College, a high</w:t>
      </w:r>
      <w:r w:rsidR="00C43ED0" w:rsidRPr="00757D20">
        <w:t>-</w:t>
      </w:r>
      <w:r w:rsidR="00C33733" w:rsidRPr="00757D20">
        <w:t xml:space="preserve">ICSEA school located in a major city with the majority of students from ethnically diverse backgrounds; </w:t>
      </w:r>
      <w:r w:rsidR="003425B2" w:rsidRPr="00757D20">
        <w:t xml:space="preserve">Riverbend College, </w:t>
      </w:r>
      <w:r w:rsidR="00C142E3" w:rsidRPr="00757D20">
        <w:t>a low-ICSEA school situated in an outer suburb of a large regional city</w:t>
      </w:r>
      <w:r w:rsidR="009B00C5" w:rsidRPr="00757D20">
        <w:t>;</w:t>
      </w:r>
      <w:r w:rsidR="0058081F" w:rsidRPr="00757D20">
        <w:t xml:space="preserve"> and </w:t>
      </w:r>
      <w:proofErr w:type="spellStart"/>
      <w:r w:rsidR="00D12482" w:rsidRPr="00757D20">
        <w:t>Murrindah</w:t>
      </w:r>
      <w:proofErr w:type="spellEnd"/>
      <w:r w:rsidR="00D12482" w:rsidRPr="00757D20">
        <w:t xml:space="preserve"> High School</w:t>
      </w:r>
      <w:r w:rsidR="00FF6955" w:rsidRPr="00757D20">
        <w:t xml:space="preserve">, a </w:t>
      </w:r>
      <w:r w:rsidR="00D12482" w:rsidRPr="00757D20">
        <w:t>low-ICSEA school</w:t>
      </w:r>
      <w:r w:rsidR="00FF6955" w:rsidRPr="00757D20">
        <w:t xml:space="preserve"> located </w:t>
      </w:r>
      <w:r w:rsidR="00D12482" w:rsidRPr="00757D20">
        <w:t>on the fringes of a</w:t>
      </w:r>
      <w:r w:rsidR="00FF6955" w:rsidRPr="00757D20">
        <w:t xml:space="preserve"> major city </w:t>
      </w:r>
      <w:r w:rsidR="00C8647C" w:rsidRPr="00757D20">
        <w:t>bordered by seaside communities</w:t>
      </w:r>
      <w:r w:rsidR="00FB07B0" w:rsidRPr="00757D20">
        <w:t>.</w:t>
      </w:r>
    </w:p>
    <w:p w14:paraId="648FD0B5" w14:textId="5DB14EE1" w:rsidR="00134BEB" w:rsidRPr="00757D20" w:rsidRDefault="0047163C" w:rsidP="00134BEB">
      <w:r w:rsidRPr="00757D20">
        <w:t xml:space="preserve">Major </w:t>
      </w:r>
      <w:r w:rsidR="00134BEB" w:rsidRPr="00757D20">
        <w:t>findings from the project were</w:t>
      </w:r>
      <w:r w:rsidR="00D56412" w:rsidRPr="00757D20">
        <w:t xml:space="preserve"> as follows</w:t>
      </w:r>
      <w:r w:rsidR="00134BEB" w:rsidRPr="00757D20">
        <w:t>:</w:t>
      </w:r>
    </w:p>
    <w:p w14:paraId="1A032E19" w14:textId="2BAA2E66" w:rsidR="00455753" w:rsidRPr="00757D20" w:rsidRDefault="00455753" w:rsidP="00EB4186">
      <w:pPr>
        <w:pStyle w:val="ListParagraph"/>
        <w:numPr>
          <w:ilvl w:val="0"/>
          <w:numId w:val="43"/>
        </w:numPr>
        <w:spacing w:before="100" w:beforeAutospacing="1" w:after="100" w:afterAutospacing="1"/>
        <w:ind w:left="714" w:hanging="357"/>
        <w:rPr>
          <w:rFonts w:eastAsia="Times New Roman" w:cs="Times New Roman"/>
          <w:kern w:val="0"/>
          <w:lang w:eastAsia="en-AU"/>
          <w14:ligatures w14:val="none"/>
        </w:rPr>
      </w:pPr>
      <w:r w:rsidRPr="00757D20">
        <w:rPr>
          <w:rFonts w:eastAsia="Times New Roman" w:cs="Times New Roman"/>
          <w:kern w:val="0"/>
          <w:lang w:eastAsia="en-AU"/>
          <w14:ligatures w14:val="none"/>
        </w:rPr>
        <w:lastRenderedPageBreak/>
        <w:t xml:space="preserve">Uncertainty is </w:t>
      </w:r>
      <w:r w:rsidR="00C25E83" w:rsidRPr="00757D20">
        <w:rPr>
          <w:rFonts w:eastAsia="Times New Roman" w:cs="Times New Roman"/>
          <w:kern w:val="0"/>
          <w:lang w:eastAsia="en-AU"/>
          <w14:ligatures w14:val="none"/>
        </w:rPr>
        <w:t xml:space="preserve">currently being </w:t>
      </w:r>
      <w:r w:rsidRPr="00757D20">
        <w:rPr>
          <w:rFonts w:eastAsia="Times New Roman" w:cs="Times New Roman"/>
          <w:kern w:val="0"/>
          <w:lang w:eastAsia="en-AU"/>
          <w14:ligatures w14:val="none"/>
        </w:rPr>
        <w:t>experienced both emotionally and materially</w:t>
      </w:r>
      <w:r w:rsidR="00C25E83" w:rsidRPr="00757D20">
        <w:rPr>
          <w:rFonts w:eastAsia="Times New Roman" w:cs="Times New Roman"/>
          <w:kern w:val="0"/>
          <w:lang w:eastAsia="en-AU"/>
          <w14:ligatures w14:val="none"/>
        </w:rPr>
        <w:t xml:space="preserve"> by young people as they think about their post-school futures</w:t>
      </w:r>
      <w:r w:rsidRPr="00757D20">
        <w:rPr>
          <w:rFonts w:eastAsia="Times New Roman" w:cs="Times New Roman"/>
          <w:kern w:val="0"/>
          <w:lang w:eastAsia="en-AU"/>
          <w14:ligatures w14:val="none"/>
        </w:rPr>
        <w:t xml:space="preserve">—young people express fear, stress, and doubt about their futures, often shaped by economic </w:t>
      </w:r>
      <w:r w:rsidR="00C174B4" w:rsidRPr="00757D20">
        <w:rPr>
          <w:rFonts w:eastAsia="Times New Roman" w:cs="Times New Roman"/>
          <w:kern w:val="0"/>
          <w:lang w:eastAsia="en-AU"/>
          <w14:ligatures w14:val="none"/>
        </w:rPr>
        <w:t xml:space="preserve">and material </w:t>
      </w:r>
      <w:r w:rsidRPr="00757D20">
        <w:rPr>
          <w:rFonts w:eastAsia="Times New Roman" w:cs="Times New Roman"/>
          <w:kern w:val="0"/>
          <w:lang w:eastAsia="en-AU"/>
          <w14:ligatures w14:val="none"/>
        </w:rPr>
        <w:t>constraints, housing insecurity, and changing job prospects.</w:t>
      </w:r>
    </w:p>
    <w:p w14:paraId="070C2EDB" w14:textId="7CE3E1E0" w:rsidR="00455753" w:rsidRPr="00757D20" w:rsidRDefault="00455753" w:rsidP="00EB4186">
      <w:pPr>
        <w:pStyle w:val="ListParagraph"/>
        <w:numPr>
          <w:ilvl w:val="0"/>
          <w:numId w:val="43"/>
        </w:numPr>
        <w:spacing w:before="100" w:beforeAutospacing="1" w:after="100" w:afterAutospacing="1"/>
        <w:ind w:left="714" w:hanging="357"/>
        <w:rPr>
          <w:rFonts w:eastAsia="Times New Roman" w:cs="Times New Roman"/>
          <w:kern w:val="0"/>
          <w:lang w:eastAsia="en-AU"/>
          <w14:ligatures w14:val="none"/>
        </w:rPr>
      </w:pPr>
      <w:r w:rsidRPr="00757D20">
        <w:rPr>
          <w:rFonts w:eastAsia="Times New Roman" w:cs="Times New Roman"/>
          <w:kern w:val="0"/>
          <w:lang w:eastAsia="en-AU"/>
          <w14:ligatures w14:val="none"/>
        </w:rPr>
        <w:t>Educational aspirations are increasingly pragmatic</w:t>
      </w:r>
      <w:r w:rsidR="00C43ED0" w:rsidRPr="00757D20">
        <w:rPr>
          <w:rFonts w:eastAsia="Times New Roman" w:cs="Times New Roman"/>
          <w:kern w:val="0"/>
          <w:lang w:eastAsia="en-AU"/>
          <w14:ligatures w14:val="none"/>
        </w:rPr>
        <w:t xml:space="preserve">; </w:t>
      </w:r>
      <w:r w:rsidRPr="00757D20">
        <w:rPr>
          <w:rFonts w:eastAsia="Times New Roman" w:cs="Times New Roman"/>
          <w:kern w:val="0"/>
          <w:lang w:eastAsia="en-AU"/>
          <w14:ligatures w14:val="none"/>
        </w:rPr>
        <w:t>students are making calculated choices based on perceived return on investment, financial risk, and community expectations.</w:t>
      </w:r>
    </w:p>
    <w:p w14:paraId="29D89C3F" w14:textId="1B49E5EC" w:rsidR="00CA5647" w:rsidRPr="00757D20" w:rsidRDefault="00D47546" w:rsidP="00EB4186">
      <w:pPr>
        <w:pStyle w:val="ListParagraph"/>
        <w:numPr>
          <w:ilvl w:val="0"/>
          <w:numId w:val="43"/>
        </w:numPr>
        <w:spacing w:before="100" w:beforeAutospacing="1" w:after="100" w:afterAutospacing="1"/>
        <w:ind w:left="714" w:hanging="357"/>
        <w:rPr>
          <w:rFonts w:eastAsia="Times New Roman" w:cs="Times New Roman"/>
          <w:kern w:val="0"/>
          <w:lang w:eastAsia="en-AU"/>
          <w14:ligatures w14:val="none"/>
        </w:rPr>
      </w:pPr>
      <w:r w:rsidRPr="00757D20">
        <w:rPr>
          <w:rFonts w:eastAsia="Times New Roman" w:cs="Times New Roman"/>
          <w:kern w:val="0"/>
          <w:lang w:eastAsia="en-AU"/>
          <w14:ligatures w14:val="none"/>
        </w:rPr>
        <w:t>Interest in</w:t>
      </w:r>
      <w:r w:rsidR="00CA5647" w:rsidRPr="00757D20">
        <w:rPr>
          <w:rFonts w:eastAsia="Times New Roman" w:cs="Times New Roman"/>
          <w:kern w:val="0"/>
          <w:lang w:eastAsia="en-AU"/>
          <w14:ligatures w14:val="none"/>
        </w:rPr>
        <w:t xml:space="preserve"> university </w:t>
      </w:r>
      <w:r w:rsidR="002F7333" w:rsidRPr="00757D20">
        <w:rPr>
          <w:rFonts w:eastAsia="Times New Roman" w:cs="Times New Roman"/>
          <w:kern w:val="0"/>
          <w:lang w:eastAsia="en-AU"/>
          <w14:ligatures w14:val="none"/>
        </w:rPr>
        <w:t xml:space="preserve">in </w:t>
      </w:r>
      <w:r w:rsidRPr="00757D20">
        <w:rPr>
          <w:rFonts w:eastAsia="Times New Roman" w:cs="Times New Roman"/>
          <w:kern w:val="0"/>
          <w:lang w:eastAsia="en-AU"/>
          <w14:ligatures w14:val="none"/>
        </w:rPr>
        <w:t xml:space="preserve">general </w:t>
      </w:r>
      <w:r w:rsidR="00CA5647" w:rsidRPr="00757D20">
        <w:rPr>
          <w:rFonts w:eastAsia="Times New Roman" w:cs="Times New Roman"/>
          <w:kern w:val="0"/>
          <w:lang w:eastAsia="en-AU"/>
          <w14:ligatures w14:val="none"/>
        </w:rPr>
        <w:t>remain</w:t>
      </w:r>
      <w:r w:rsidRPr="00757D20">
        <w:rPr>
          <w:rFonts w:eastAsia="Times New Roman" w:cs="Times New Roman"/>
          <w:kern w:val="0"/>
          <w:lang w:eastAsia="en-AU"/>
          <w14:ligatures w14:val="none"/>
        </w:rPr>
        <w:t>s</w:t>
      </w:r>
      <w:r w:rsidR="00CA5647" w:rsidRPr="00757D20">
        <w:rPr>
          <w:rFonts w:eastAsia="Times New Roman" w:cs="Times New Roman"/>
          <w:kern w:val="0"/>
          <w:lang w:eastAsia="en-AU"/>
          <w14:ligatures w14:val="none"/>
        </w:rPr>
        <w:t xml:space="preserve"> high</w:t>
      </w:r>
      <w:r w:rsidR="00C43ED0" w:rsidRPr="00757D20">
        <w:rPr>
          <w:rFonts w:eastAsia="Times New Roman" w:cs="Times New Roman"/>
          <w:kern w:val="0"/>
          <w:lang w:eastAsia="en-AU"/>
          <w14:ligatures w14:val="none"/>
        </w:rPr>
        <w:t>. H</w:t>
      </w:r>
      <w:r w:rsidR="00CA5647" w:rsidRPr="00757D20">
        <w:rPr>
          <w:rFonts w:eastAsia="Times New Roman" w:cs="Times New Roman"/>
          <w:kern w:val="0"/>
          <w:lang w:eastAsia="en-AU"/>
          <w14:ligatures w14:val="none"/>
        </w:rPr>
        <w:t>owever</w:t>
      </w:r>
      <w:r w:rsidR="00C43ED0" w:rsidRPr="00757D20">
        <w:rPr>
          <w:rFonts w:eastAsia="Times New Roman" w:cs="Times New Roman"/>
          <w:kern w:val="0"/>
          <w:lang w:eastAsia="en-AU"/>
          <w14:ligatures w14:val="none"/>
        </w:rPr>
        <w:t>,</w:t>
      </w:r>
      <w:r w:rsidR="00CA5647" w:rsidRPr="00757D20">
        <w:rPr>
          <w:rFonts w:eastAsia="Times New Roman" w:cs="Times New Roman"/>
          <w:kern w:val="0"/>
          <w:lang w:eastAsia="en-AU"/>
          <w14:ligatures w14:val="none"/>
        </w:rPr>
        <w:t xml:space="preserve"> v</w:t>
      </w:r>
      <w:r w:rsidR="00455753" w:rsidRPr="00757D20">
        <w:rPr>
          <w:rFonts w:eastAsia="Times New Roman" w:cs="Times New Roman"/>
          <w:kern w:val="0"/>
          <w:lang w:eastAsia="en-AU"/>
          <w14:ligatures w14:val="none"/>
        </w:rPr>
        <w:t>ocational education is gaining value, especially in communities with strong trades-based employment links</w:t>
      </w:r>
      <w:r w:rsidR="00E60375" w:rsidRPr="00757D20">
        <w:rPr>
          <w:rFonts w:eastAsia="Times New Roman" w:cs="Times New Roman"/>
          <w:kern w:val="0"/>
          <w:lang w:eastAsia="en-AU"/>
          <w14:ligatures w14:val="none"/>
        </w:rPr>
        <w:t>—</w:t>
      </w:r>
      <w:r w:rsidR="006D53A6" w:rsidRPr="00757D20">
        <w:rPr>
          <w:rFonts w:eastAsia="Times New Roman" w:cs="Times New Roman"/>
          <w:kern w:val="0"/>
          <w:lang w:eastAsia="en-AU"/>
          <w14:ligatures w14:val="none"/>
        </w:rPr>
        <w:t>interestingly</w:t>
      </w:r>
      <w:r w:rsidR="00E60375" w:rsidRPr="00757D20">
        <w:rPr>
          <w:rFonts w:eastAsia="Times New Roman" w:cs="Times New Roman"/>
          <w:kern w:val="0"/>
          <w:lang w:eastAsia="en-AU"/>
          <w14:ligatures w14:val="none"/>
        </w:rPr>
        <w:t xml:space="preserve">, this </w:t>
      </w:r>
      <w:r w:rsidR="0096315D" w:rsidRPr="00757D20">
        <w:rPr>
          <w:rFonts w:eastAsia="Times New Roman" w:cs="Times New Roman"/>
          <w:kern w:val="0"/>
          <w:lang w:eastAsia="en-AU"/>
          <w14:ligatures w14:val="none"/>
        </w:rPr>
        <w:t xml:space="preserve">trend </w:t>
      </w:r>
      <w:r w:rsidR="00711DE1" w:rsidRPr="00757D20">
        <w:rPr>
          <w:rFonts w:eastAsia="Times New Roman" w:cs="Times New Roman"/>
          <w:kern w:val="0"/>
          <w:lang w:eastAsia="en-AU"/>
          <w14:ligatures w14:val="none"/>
        </w:rPr>
        <w:t xml:space="preserve">was </w:t>
      </w:r>
      <w:r w:rsidR="00E60375" w:rsidRPr="00757D20">
        <w:rPr>
          <w:rFonts w:eastAsia="Times New Roman" w:cs="Times New Roman"/>
          <w:kern w:val="0"/>
          <w:lang w:eastAsia="en-AU"/>
          <w14:ligatures w14:val="none"/>
        </w:rPr>
        <w:t xml:space="preserve">also </w:t>
      </w:r>
      <w:r w:rsidR="0096315D" w:rsidRPr="00757D20">
        <w:rPr>
          <w:rFonts w:eastAsia="Times New Roman" w:cs="Times New Roman"/>
          <w:kern w:val="0"/>
          <w:lang w:eastAsia="en-AU"/>
          <w14:ligatures w14:val="none"/>
        </w:rPr>
        <w:t>evident</w:t>
      </w:r>
      <w:r w:rsidR="00711DE1" w:rsidRPr="00757D20">
        <w:rPr>
          <w:rFonts w:eastAsia="Times New Roman" w:cs="Times New Roman"/>
          <w:kern w:val="0"/>
          <w:lang w:eastAsia="en-AU"/>
          <w14:ligatures w14:val="none"/>
        </w:rPr>
        <w:t xml:space="preserve"> </w:t>
      </w:r>
      <w:r w:rsidR="0096315D" w:rsidRPr="00757D20">
        <w:rPr>
          <w:rFonts w:eastAsia="Times New Roman" w:cs="Times New Roman"/>
          <w:kern w:val="0"/>
          <w:lang w:eastAsia="en-AU"/>
          <w14:ligatures w14:val="none"/>
        </w:rPr>
        <w:t xml:space="preserve">among students located in school communities </w:t>
      </w:r>
      <w:r w:rsidR="00221627" w:rsidRPr="00757D20">
        <w:rPr>
          <w:rFonts w:eastAsia="Times New Roman" w:cs="Times New Roman"/>
          <w:kern w:val="0"/>
          <w:lang w:eastAsia="en-AU"/>
          <w14:ligatures w14:val="none"/>
        </w:rPr>
        <w:t xml:space="preserve">that </w:t>
      </w:r>
      <w:r w:rsidR="0096315D" w:rsidRPr="00757D20">
        <w:rPr>
          <w:rFonts w:eastAsia="Times New Roman" w:cs="Times New Roman"/>
          <w:kern w:val="0"/>
          <w:lang w:eastAsia="en-AU"/>
          <w14:ligatures w14:val="none"/>
        </w:rPr>
        <w:t>have</w:t>
      </w:r>
      <w:r w:rsidR="001A58D9" w:rsidRPr="00757D20">
        <w:rPr>
          <w:rFonts w:eastAsia="Times New Roman" w:cs="Times New Roman"/>
          <w:kern w:val="0"/>
          <w:lang w:eastAsia="en-AU"/>
          <w14:ligatures w14:val="none"/>
        </w:rPr>
        <w:t xml:space="preserve"> traditionally </w:t>
      </w:r>
      <w:r w:rsidR="006D53A6" w:rsidRPr="00757D20">
        <w:rPr>
          <w:rFonts w:eastAsia="Times New Roman" w:cs="Times New Roman"/>
          <w:kern w:val="0"/>
          <w:lang w:eastAsia="en-AU"/>
          <w14:ligatures w14:val="none"/>
        </w:rPr>
        <w:t>devalued</w:t>
      </w:r>
      <w:r w:rsidR="001A58D9" w:rsidRPr="00757D20">
        <w:rPr>
          <w:rFonts w:eastAsia="Times New Roman" w:cs="Times New Roman"/>
          <w:kern w:val="0"/>
          <w:lang w:eastAsia="en-AU"/>
          <w14:ligatures w14:val="none"/>
        </w:rPr>
        <w:t xml:space="preserve"> vocational pathways. </w:t>
      </w:r>
    </w:p>
    <w:p w14:paraId="796E3CC1" w14:textId="3F072B85" w:rsidR="00455753" w:rsidRPr="00757D20" w:rsidRDefault="003F6C46" w:rsidP="00EB4186">
      <w:pPr>
        <w:pStyle w:val="ListParagraph"/>
        <w:numPr>
          <w:ilvl w:val="0"/>
          <w:numId w:val="43"/>
        </w:numPr>
        <w:spacing w:before="100" w:beforeAutospacing="1" w:after="100" w:afterAutospacing="1"/>
        <w:ind w:left="714" w:hanging="357"/>
        <w:rPr>
          <w:rFonts w:eastAsia="Times New Roman" w:cs="Times New Roman"/>
          <w:kern w:val="0"/>
          <w:lang w:eastAsia="en-AU"/>
          <w14:ligatures w14:val="none"/>
        </w:rPr>
      </w:pPr>
      <w:r w:rsidRPr="00757D20">
        <w:rPr>
          <w:rFonts w:eastAsia="Times New Roman" w:cs="Times New Roman"/>
          <w:kern w:val="0"/>
          <w:lang w:eastAsia="en-AU"/>
          <w14:ligatures w14:val="none"/>
        </w:rPr>
        <w:t>In</w:t>
      </w:r>
      <w:r w:rsidR="00455753" w:rsidRPr="00757D20">
        <w:rPr>
          <w:rFonts w:eastAsia="Times New Roman" w:cs="Times New Roman"/>
          <w:kern w:val="0"/>
          <w:lang w:eastAsia="en-AU"/>
          <w14:ligatures w14:val="none"/>
        </w:rPr>
        <w:t xml:space="preserve"> high-achieving urban schools, university remains a symbolic marker of success—though concerns about</w:t>
      </w:r>
      <w:r w:rsidR="001F13B0" w:rsidRPr="00757D20">
        <w:rPr>
          <w:rFonts w:eastAsia="Times New Roman" w:cs="Times New Roman"/>
          <w:kern w:val="0"/>
          <w:lang w:eastAsia="en-AU"/>
          <w14:ligatures w14:val="none"/>
        </w:rPr>
        <w:t xml:space="preserve"> Higher Education Contribution Scheme</w:t>
      </w:r>
      <w:r w:rsidR="00455753" w:rsidRPr="00757D20">
        <w:rPr>
          <w:rFonts w:eastAsia="Times New Roman" w:cs="Times New Roman"/>
          <w:kern w:val="0"/>
          <w:lang w:eastAsia="en-AU"/>
          <w14:ligatures w14:val="none"/>
        </w:rPr>
        <w:t xml:space="preserve"> </w:t>
      </w:r>
      <w:r w:rsidR="001F13B0" w:rsidRPr="00757D20">
        <w:rPr>
          <w:rFonts w:eastAsia="Times New Roman" w:cs="Times New Roman"/>
          <w:kern w:val="0"/>
          <w:lang w:eastAsia="en-AU"/>
          <w14:ligatures w14:val="none"/>
        </w:rPr>
        <w:t>(</w:t>
      </w:r>
      <w:r w:rsidR="00455753" w:rsidRPr="00757D20">
        <w:rPr>
          <w:rFonts w:eastAsia="Times New Roman" w:cs="Times New Roman"/>
          <w:kern w:val="0"/>
          <w:lang w:eastAsia="en-AU"/>
          <w14:ligatures w14:val="none"/>
        </w:rPr>
        <w:t>HECS</w:t>
      </w:r>
      <w:r w:rsidR="001F13B0" w:rsidRPr="00757D20">
        <w:rPr>
          <w:rFonts w:eastAsia="Times New Roman" w:cs="Times New Roman"/>
          <w:kern w:val="0"/>
          <w:lang w:eastAsia="en-AU"/>
          <w14:ligatures w14:val="none"/>
        </w:rPr>
        <w:t>)</w:t>
      </w:r>
      <w:r w:rsidR="00455753" w:rsidRPr="00757D20">
        <w:rPr>
          <w:rFonts w:eastAsia="Times New Roman" w:cs="Times New Roman"/>
          <w:kern w:val="0"/>
          <w:lang w:eastAsia="en-AU"/>
          <w14:ligatures w14:val="none"/>
        </w:rPr>
        <w:t xml:space="preserve"> debt and </w:t>
      </w:r>
      <w:r w:rsidR="00B070B6" w:rsidRPr="00757D20">
        <w:rPr>
          <w:rFonts w:eastAsia="Times New Roman" w:cs="Times New Roman"/>
          <w:kern w:val="0"/>
          <w:lang w:eastAsia="en-AU"/>
          <w14:ligatures w14:val="none"/>
        </w:rPr>
        <w:t>the value of a university education</w:t>
      </w:r>
      <w:r w:rsidR="00D810DD" w:rsidRPr="00757D20">
        <w:rPr>
          <w:rFonts w:eastAsia="Times New Roman" w:cs="Times New Roman"/>
          <w:kern w:val="0"/>
          <w:lang w:eastAsia="en-AU"/>
          <w14:ligatures w14:val="none"/>
        </w:rPr>
        <w:t xml:space="preserve"> (and the value of certain degrees) </w:t>
      </w:r>
      <w:r w:rsidR="00455753" w:rsidRPr="00757D20">
        <w:rPr>
          <w:rFonts w:eastAsia="Times New Roman" w:cs="Times New Roman"/>
          <w:kern w:val="0"/>
          <w:lang w:eastAsia="en-AU"/>
          <w14:ligatures w14:val="none"/>
        </w:rPr>
        <w:t>are growing.</w:t>
      </w:r>
    </w:p>
    <w:p w14:paraId="7175637A" w14:textId="77777777" w:rsidR="00CF3A99" w:rsidRPr="00757D20" w:rsidRDefault="00CF3A99" w:rsidP="00CF3A99">
      <w:pPr>
        <w:pStyle w:val="ListParagraph"/>
        <w:numPr>
          <w:ilvl w:val="0"/>
          <w:numId w:val="43"/>
        </w:numPr>
        <w:spacing w:before="100" w:beforeAutospacing="1" w:after="100" w:afterAutospacing="1"/>
        <w:ind w:left="714" w:hanging="357"/>
        <w:rPr>
          <w:rFonts w:ascii="Times New Roman" w:eastAsia="Times New Roman" w:hAnsi="Times New Roman" w:cs="Times New Roman"/>
          <w:kern w:val="0"/>
          <w:sz w:val="24"/>
          <w:szCs w:val="24"/>
          <w:lang w:eastAsia="en-AU"/>
          <w14:ligatures w14:val="none"/>
        </w:rPr>
      </w:pPr>
      <w:r w:rsidRPr="00757D20">
        <w:rPr>
          <w:rFonts w:eastAsia="Times New Roman" w:cs="Times New Roman"/>
          <w:kern w:val="0"/>
          <w:lang w:eastAsia="en-AU"/>
          <w14:ligatures w14:val="none"/>
        </w:rPr>
        <w:t>Mental health has increasingly become a critical barrier to students’ futures—students across all communities report heightened anxiety about post-school transitions, with some communities seeing pandemic-related spikes in stress and performance pressure</w:t>
      </w:r>
      <w:r w:rsidRPr="00757D20">
        <w:rPr>
          <w:rFonts w:ascii="Times New Roman" w:eastAsia="Times New Roman" w:hAnsi="Times New Roman" w:cs="Times New Roman"/>
          <w:kern w:val="0"/>
          <w:sz w:val="24"/>
          <w:szCs w:val="24"/>
          <w:lang w:eastAsia="en-AU"/>
          <w14:ligatures w14:val="none"/>
        </w:rPr>
        <w:t>.</w:t>
      </w:r>
    </w:p>
    <w:p w14:paraId="151DB6F8" w14:textId="7651C8D1" w:rsidR="00455753" w:rsidRPr="00757D20" w:rsidRDefault="00B070B6" w:rsidP="00EB4186">
      <w:pPr>
        <w:pStyle w:val="ListParagraph"/>
        <w:numPr>
          <w:ilvl w:val="0"/>
          <w:numId w:val="43"/>
        </w:numPr>
        <w:spacing w:before="100" w:beforeAutospacing="1" w:after="100" w:afterAutospacing="1"/>
        <w:ind w:left="714" w:hanging="357"/>
        <w:rPr>
          <w:rFonts w:eastAsia="Times New Roman" w:cs="Times New Roman"/>
          <w:kern w:val="0"/>
          <w:lang w:eastAsia="en-AU"/>
          <w14:ligatures w14:val="none"/>
        </w:rPr>
      </w:pPr>
      <w:r w:rsidRPr="00757D20">
        <w:rPr>
          <w:rFonts w:eastAsia="Times New Roman" w:cs="Times New Roman"/>
          <w:kern w:val="0"/>
          <w:lang w:eastAsia="en-AU"/>
          <w14:ligatures w14:val="none"/>
        </w:rPr>
        <w:t xml:space="preserve">The </w:t>
      </w:r>
      <w:proofErr w:type="spellStart"/>
      <w:r w:rsidRPr="00757D20">
        <w:rPr>
          <w:rFonts w:eastAsia="Times New Roman" w:cs="Times New Roman"/>
          <w:kern w:val="0"/>
          <w:lang w:eastAsia="en-AU"/>
          <w14:ligatures w14:val="none"/>
        </w:rPr>
        <w:t>r</w:t>
      </w:r>
      <w:r w:rsidR="00455753" w:rsidRPr="00757D20">
        <w:rPr>
          <w:rFonts w:eastAsia="Times New Roman" w:cs="Times New Roman"/>
          <w:kern w:val="0"/>
          <w:lang w:eastAsia="en-AU"/>
          <w14:ligatures w14:val="none"/>
        </w:rPr>
        <w:t>esidualisation</w:t>
      </w:r>
      <w:proofErr w:type="spellEnd"/>
      <w:r w:rsidR="00455753" w:rsidRPr="00757D20">
        <w:rPr>
          <w:rFonts w:eastAsia="Times New Roman" w:cs="Times New Roman"/>
          <w:kern w:val="0"/>
          <w:lang w:eastAsia="en-AU"/>
          <w14:ligatures w14:val="none"/>
        </w:rPr>
        <w:t xml:space="preserve"> of public schools is deepening </w:t>
      </w:r>
      <w:r w:rsidRPr="00757D20">
        <w:rPr>
          <w:rFonts w:eastAsia="Times New Roman" w:cs="Times New Roman"/>
          <w:kern w:val="0"/>
          <w:lang w:eastAsia="en-AU"/>
          <w14:ligatures w14:val="none"/>
        </w:rPr>
        <w:t>inequity</w:t>
      </w:r>
      <w:r w:rsidR="00455753" w:rsidRPr="00757D20">
        <w:rPr>
          <w:rFonts w:eastAsia="Times New Roman" w:cs="Times New Roman"/>
          <w:kern w:val="0"/>
          <w:lang w:eastAsia="en-AU"/>
          <w14:ligatures w14:val="none"/>
        </w:rPr>
        <w:t>—disadvantaged students are increasingly concentrated in under-resourced schools, compounding their exposure to instability and reducing access to future opportunities.</w:t>
      </w:r>
    </w:p>
    <w:p w14:paraId="17C8D4AE" w14:textId="6906710E" w:rsidR="00134BEB" w:rsidRPr="00757D20" w:rsidRDefault="00134BEB" w:rsidP="001B0A99">
      <w:pPr>
        <w:pStyle w:val="ListParagraph"/>
        <w:numPr>
          <w:ilvl w:val="0"/>
          <w:numId w:val="0"/>
        </w:numPr>
        <w:ind w:left="720"/>
      </w:pPr>
    </w:p>
    <w:p w14:paraId="2DA4792D" w14:textId="7074F5BD" w:rsidR="009D6D47" w:rsidRPr="00757D20" w:rsidRDefault="009D6D47">
      <w:pPr>
        <w:spacing w:line="259" w:lineRule="auto"/>
        <w:rPr>
          <w:rFonts w:cs="Arial"/>
        </w:rPr>
      </w:pPr>
      <w:r w:rsidRPr="00757D20">
        <w:rPr>
          <w:rFonts w:cs="Arial"/>
        </w:rPr>
        <w:br w:type="page"/>
      </w:r>
    </w:p>
    <w:p w14:paraId="19C98EEA" w14:textId="77777777" w:rsidR="00271D48" w:rsidRPr="00757D20" w:rsidRDefault="009D6D47" w:rsidP="009D6D47">
      <w:pPr>
        <w:pStyle w:val="Heading1"/>
      </w:pPr>
      <w:bookmarkStart w:id="16" w:name="_Toc219977192"/>
      <w:bookmarkStart w:id="17" w:name="_Hlk216774147"/>
      <w:r w:rsidRPr="00757D20">
        <w:lastRenderedPageBreak/>
        <w:t>Recommendations</w:t>
      </w:r>
      <w:bookmarkEnd w:id="16"/>
      <w:r w:rsidRPr="00757D20">
        <w:t xml:space="preserve"> </w:t>
      </w:r>
    </w:p>
    <w:p w14:paraId="4A193F22" w14:textId="113F12A8" w:rsidR="006544EA" w:rsidRPr="00757D20" w:rsidRDefault="00111D45" w:rsidP="006544EA">
      <w:pPr>
        <w:spacing w:line="259" w:lineRule="auto"/>
      </w:pPr>
      <w:r w:rsidRPr="00757D20">
        <w:t>We offer</w:t>
      </w:r>
      <w:r w:rsidRPr="00757D20" w:rsidDel="00E50243">
        <w:t xml:space="preserve"> </w:t>
      </w:r>
      <w:r w:rsidR="00E50243" w:rsidRPr="00757D20">
        <w:t xml:space="preserve">several </w:t>
      </w:r>
      <w:r w:rsidRPr="00757D20">
        <w:t>important recommendations for schools</w:t>
      </w:r>
      <w:r w:rsidR="006F30A6" w:rsidRPr="00757D20">
        <w:t xml:space="preserve">, </w:t>
      </w:r>
      <w:r w:rsidRPr="00757D20">
        <w:t>higher education providers,</w:t>
      </w:r>
      <w:r w:rsidR="006F30A6" w:rsidRPr="00757D20">
        <w:t xml:space="preserve"> and governments</w:t>
      </w:r>
      <w:r w:rsidR="00C43ED0" w:rsidRPr="00757D20">
        <w:t>. These are</w:t>
      </w:r>
      <w:r w:rsidRPr="00757D20">
        <w:t xml:space="preserve"> largely drawn from participants’</w:t>
      </w:r>
      <w:r w:rsidRPr="00757D20" w:rsidDel="00CB2901">
        <w:t xml:space="preserve"> </w:t>
      </w:r>
      <w:r w:rsidRPr="00757D20">
        <w:t xml:space="preserve">insights as conveyed in their interviews. </w:t>
      </w:r>
    </w:p>
    <w:p w14:paraId="19F51E27" w14:textId="108143F8" w:rsidR="004C16CE" w:rsidRPr="00757D20" w:rsidRDefault="004C16CE" w:rsidP="006544EA">
      <w:pPr>
        <w:pStyle w:val="Heading2"/>
      </w:pPr>
      <w:bookmarkStart w:id="18" w:name="_Toc219977193"/>
      <w:r w:rsidRPr="00757D20">
        <w:t>Schools</w:t>
      </w:r>
      <w:bookmarkEnd w:id="18"/>
    </w:p>
    <w:p w14:paraId="09514471" w14:textId="2AB77C92" w:rsidR="00583274" w:rsidRPr="00757D20" w:rsidRDefault="00583274" w:rsidP="00EB4186">
      <w:pPr>
        <w:pStyle w:val="ListParagraph"/>
        <w:numPr>
          <w:ilvl w:val="0"/>
          <w:numId w:val="42"/>
        </w:numPr>
        <w:rPr>
          <w:lang w:eastAsia="en-AU"/>
        </w:rPr>
      </w:pPr>
      <w:r w:rsidRPr="0051649D">
        <w:rPr>
          <w:b/>
          <w:bCs/>
          <w:lang w:eastAsia="en-AU"/>
        </w:rPr>
        <w:t>Embed future-oriented wellbeing supports</w:t>
      </w:r>
      <w:r w:rsidRPr="00757D20">
        <w:rPr>
          <w:lang w:eastAsia="en-AU"/>
        </w:rPr>
        <w:t>: Mental health programs must be integrated into everyday schooling, not offered as add-ons. This includes training staff to support students</w:t>
      </w:r>
      <w:r w:rsidR="00C43ED0" w:rsidRPr="00757D20">
        <w:rPr>
          <w:lang w:eastAsia="en-AU"/>
        </w:rPr>
        <w:t xml:space="preserve"> experiencing</w:t>
      </w:r>
      <w:r w:rsidRPr="00757D20">
        <w:rPr>
          <w:lang w:eastAsia="en-AU"/>
        </w:rPr>
        <w:t xml:space="preserve"> stress about future pathways and foster conversations about diverse futures.</w:t>
      </w:r>
    </w:p>
    <w:p w14:paraId="64A6053A" w14:textId="37D7D89A" w:rsidR="00583274" w:rsidRPr="00757D20" w:rsidRDefault="00583274" w:rsidP="00EB4186">
      <w:pPr>
        <w:pStyle w:val="ListParagraph"/>
        <w:numPr>
          <w:ilvl w:val="0"/>
          <w:numId w:val="42"/>
        </w:numPr>
        <w:rPr>
          <w:lang w:eastAsia="en-AU"/>
        </w:rPr>
      </w:pPr>
      <w:r w:rsidRPr="0051649D">
        <w:rPr>
          <w:b/>
          <w:bCs/>
          <w:lang w:eastAsia="en-AU"/>
        </w:rPr>
        <w:t>Strengthen career education</w:t>
      </w:r>
      <w:r w:rsidRPr="00757D20">
        <w:rPr>
          <w:lang w:eastAsia="en-AU"/>
        </w:rPr>
        <w:t xml:space="preserve">: Offer early, community-connected, and culturally responsive career </w:t>
      </w:r>
      <w:r w:rsidR="00CB3900" w:rsidRPr="00757D20">
        <w:rPr>
          <w:lang w:eastAsia="en-AU"/>
        </w:rPr>
        <w:t>support</w:t>
      </w:r>
      <w:r w:rsidRPr="00757D20">
        <w:rPr>
          <w:lang w:eastAsia="en-AU"/>
        </w:rPr>
        <w:t xml:space="preserve">, especially in schools facing </w:t>
      </w:r>
      <w:proofErr w:type="spellStart"/>
      <w:r w:rsidRPr="00757D20">
        <w:rPr>
          <w:lang w:eastAsia="en-AU"/>
        </w:rPr>
        <w:t>residualisation</w:t>
      </w:r>
      <w:proofErr w:type="spellEnd"/>
      <w:r w:rsidRPr="00757D20">
        <w:rPr>
          <w:lang w:eastAsia="en-AU"/>
        </w:rPr>
        <w:t>. Partner with local employers, VET providers, and universities to expand real-world exposure.</w:t>
      </w:r>
    </w:p>
    <w:p w14:paraId="3BB55E22" w14:textId="77982AAB" w:rsidR="00D565B3" w:rsidRPr="00757D20" w:rsidRDefault="00583274" w:rsidP="00EB4186">
      <w:pPr>
        <w:pStyle w:val="ListParagraph"/>
        <w:numPr>
          <w:ilvl w:val="0"/>
          <w:numId w:val="42"/>
        </w:numPr>
        <w:rPr>
          <w:lang w:eastAsia="en-AU"/>
        </w:rPr>
      </w:pPr>
      <w:r w:rsidRPr="0051649D">
        <w:rPr>
          <w:b/>
          <w:bCs/>
          <w:lang w:eastAsia="en-AU"/>
        </w:rPr>
        <w:t>Celebrate vocational and hybrid pathways</w:t>
      </w:r>
      <w:r w:rsidRPr="00757D20">
        <w:rPr>
          <w:lang w:eastAsia="en-AU"/>
        </w:rPr>
        <w:t>: Challenge the academic/vocational binary by elevating trades and TAFE as valuable and respectable options. Include alumni stories from varied post-school routes to build local aspiration narratives.</w:t>
      </w:r>
    </w:p>
    <w:p w14:paraId="29C890A8" w14:textId="1DC7074D" w:rsidR="00801383" w:rsidRPr="00757D20" w:rsidRDefault="00801383" w:rsidP="0050420B">
      <w:pPr>
        <w:pStyle w:val="Heading2"/>
      </w:pPr>
      <w:bookmarkStart w:id="19" w:name="_Toc219977194"/>
      <w:r w:rsidRPr="00757D20">
        <w:t>Higher education providers</w:t>
      </w:r>
      <w:bookmarkEnd w:id="19"/>
    </w:p>
    <w:p w14:paraId="70F4E5E4" w14:textId="0CD15E92" w:rsidR="00727212" w:rsidRPr="00757D20" w:rsidRDefault="00727212"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Build flexible, blended access models</w:t>
      </w:r>
      <w:r w:rsidRPr="00757D20">
        <w:rPr>
          <w:rFonts w:eastAsia="Times New Roman" w:cs="Times New Roman"/>
          <w:kern w:val="0"/>
          <w:lang w:eastAsia="en-AU"/>
          <w14:ligatures w14:val="none"/>
        </w:rPr>
        <w:t xml:space="preserve">: Expand regional campuses, </w:t>
      </w:r>
      <w:r w:rsidR="0002017D" w:rsidRPr="00757D20">
        <w:rPr>
          <w:rFonts w:eastAsia="Times New Roman" w:cs="Times New Roman"/>
          <w:kern w:val="0"/>
          <w:lang w:eastAsia="en-AU"/>
          <w14:ligatures w14:val="none"/>
        </w:rPr>
        <w:t xml:space="preserve">study hubs, </w:t>
      </w:r>
      <w:r w:rsidRPr="00757D20">
        <w:rPr>
          <w:rFonts w:eastAsia="Times New Roman" w:cs="Times New Roman"/>
          <w:kern w:val="0"/>
          <w:lang w:eastAsia="en-AU"/>
          <w14:ligatures w14:val="none"/>
        </w:rPr>
        <w:t xml:space="preserve">hybrid learning options, and bridging programs that </w:t>
      </w:r>
      <w:r w:rsidR="00184C94">
        <w:rPr>
          <w:rFonts w:eastAsia="Times New Roman" w:cs="Times New Roman"/>
          <w:kern w:val="0"/>
          <w:lang w:eastAsia="en-AU"/>
          <w14:ligatures w14:val="none"/>
        </w:rPr>
        <w:t>alleviate</w:t>
      </w:r>
      <w:r w:rsidRPr="00757D20">
        <w:rPr>
          <w:rFonts w:eastAsia="Times New Roman" w:cs="Times New Roman"/>
          <w:kern w:val="0"/>
          <w:lang w:eastAsia="en-AU"/>
          <w14:ligatures w14:val="none"/>
        </w:rPr>
        <w:t xml:space="preserve"> cost-of-living pressures and work-study demands.</w:t>
      </w:r>
    </w:p>
    <w:p w14:paraId="1EE7A334" w14:textId="77777777" w:rsidR="00727212" w:rsidRPr="00757D20" w:rsidRDefault="00727212"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Address mental health and belonging</w:t>
      </w:r>
      <w:r w:rsidRPr="00757D20">
        <w:rPr>
          <w:rFonts w:eastAsia="Times New Roman" w:cs="Times New Roman"/>
          <w:kern w:val="0"/>
          <w:lang w:eastAsia="en-AU"/>
          <w14:ligatures w14:val="none"/>
        </w:rPr>
        <w:t>: Prioritise initiatives that support transition, mental wellbeing, and community for students from underrepresented backgrounds. This includes culturally safe spaces, mentoring, and inclusive pedagogies.</w:t>
      </w:r>
    </w:p>
    <w:p w14:paraId="484E7C0D" w14:textId="55213A02" w:rsidR="003803B0" w:rsidRPr="00757D20" w:rsidRDefault="00727212"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Co-design outreach with communities</w:t>
      </w:r>
      <w:r w:rsidRPr="00757D20">
        <w:rPr>
          <w:rFonts w:eastAsia="Times New Roman" w:cs="Times New Roman"/>
          <w:kern w:val="0"/>
          <w:lang w:eastAsia="en-AU"/>
          <w14:ligatures w14:val="none"/>
        </w:rPr>
        <w:t>: Shift from aspiration-raising to co-creating pathways. Engage families, schools, and local leaders in outreach and recruitment efforts that respond to community-specific needs and values.</w:t>
      </w:r>
    </w:p>
    <w:p w14:paraId="163E9764" w14:textId="4D403C31" w:rsidR="00801383" w:rsidRPr="00757D20" w:rsidRDefault="00801383" w:rsidP="0050420B">
      <w:pPr>
        <w:pStyle w:val="Heading2"/>
      </w:pPr>
      <w:bookmarkStart w:id="20" w:name="_Toc219977195"/>
      <w:r w:rsidRPr="00757D20">
        <w:t>Government</w:t>
      </w:r>
      <w:bookmarkEnd w:id="20"/>
    </w:p>
    <w:p w14:paraId="56C54DFE" w14:textId="6072A9ED" w:rsidR="004E7755" w:rsidRPr="00757D20" w:rsidRDefault="004E7755"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Tackle school funding inequity</w:t>
      </w:r>
      <w:r w:rsidRPr="00757D20">
        <w:rPr>
          <w:rFonts w:eastAsia="Times New Roman" w:cs="Times New Roman"/>
          <w:kern w:val="0"/>
          <w:lang w:eastAsia="en-AU"/>
          <w14:ligatures w14:val="none"/>
        </w:rPr>
        <w:t xml:space="preserve">: Reverse the trend of </w:t>
      </w:r>
      <w:proofErr w:type="spellStart"/>
      <w:r w:rsidRPr="00757D20">
        <w:rPr>
          <w:rFonts w:eastAsia="Times New Roman" w:cs="Times New Roman"/>
          <w:kern w:val="0"/>
          <w:lang w:eastAsia="en-AU"/>
          <w14:ligatures w14:val="none"/>
        </w:rPr>
        <w:t>residualisation</w:t>
      </w:r>
      <w:proofErr w:type="spellEnd"/>
      <w:r w:rsidRPr="00757D20">
        <w:rPr>
          <w:rFonts w:eastAsia="Times New Roman" w:cs="Times New Roman"/>
          <w:kern w:val="0"/>
          <w:lang w:eastAsia="en-AU"/>
          <w14:ligatures w14:val="none"/>
        </w:rPr>
        <w:t xml:space="preserve"> by investing in public schools, particularly in rural, regional, and low</w:t>
      </w:r>
      <w:r w:rsidR="00FF30F2" w:rsidRPr="00757D20">
        <w:rPr>
          <w:rFonts w:eastAsia="Times New Roman" w:cs="Times New Roman"/>
          <w:kern w:val="0"/>
          <w:lang w:eastAsia="en-AU"/>
          <w14:ligatures w14:val="none"/>
        </w:rPr>
        <w:t xml:space="preserve"> </w:t>
      </w:r>
      <w:r w:rsidR="00C43ED0" w:rsidRPr="00757D20">
        <w:rPr>
          <w:rFonts w:eastAsia="Times New Roman" w:cs="Times New Roman"/>
          <w:kern w:val="0"/>
          <w:lang w:eastAsia="en-AU"/>
          <w14:ligatures w14:val="none"/>
        </w:rPr>
        <w:t>socio-economic status (</w:t>
      </w:r>
      <w:r w:rsidRPr="00757D20">
        <w:rPr>
          <w:rFonts w:eastAsia="Times New Roman" w:cs="Times New Roman"/>
          <w:kern w:val="0"/>
          <w:lang w:eastAsia="en-AU"/>
          <w14:ligatures w14:val="none"/>
        </w:rPr>
        <w:t>SES</w:t>
      </w:r>
      <w:r w:rsidR="00C43ED0" w:rsidRPr="00757D20">
        <w:rPr>
          <w:rFonts w:eastAsia="Times New Roman" w:cs="Times New Roman"/>
          <w:kern w:val="0"/>
          <w:lang w:eastAsia="en-AU"/>
          <w14:ligatures w14:val="none"/>
        </w:rPr>
        <w:t>)</w:t>
      </w:r>
      <w:r w:rsidRPr="00757D20">
        <w:rPr>
          <w:rFonts w:eastAsia="Times New Roman" w:cs="Times New Roman"/>
          <w:kern w:val="0"/>
          <w:lang w:eastAsia="en-AU"/>
          <w14:ligatures w14:val="none"/>
        </w:rPr>
        <w:t xml:space="preserve"> areas. This includes adequate staffing, infrastructure upgrades, and targeted support for </w:t>
      </w:r>
      <w:r w:rsidR="00406F56" w:rsidRPr="00757D20">
        <w:rPr>
          <w:rFonts w:eastAsia="Times New Roman" w:cs="Times New Roman"/>
          <w:kern w:val="0"/>
          <w:lang w:eastAsia="en-AU"/>
          <w14:ligatures w14:val="none"/>
        </w:rPr>
        <w:t>careers education.</w:t>
      </w:r>
    </w:p>
    <w:p w14:paraId="6A4DF04C" w14:textId="24DD9330" w:rsidR="004E7755" w:rsidRPr="00757D20" w:rsidRDefault="004E7755"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Reform higher education and VET funding models</w:t>
      </w:r>
      <w:r w:rsidRPr="00757D20">
        <w:rPr>
          <w:rFonts w:eastAsia="Times New Roman" w:cs="Times New Roman"/>
          <w:kern w:val="0"/>
          <w:lang w:eastAsia="en-AU"/>
          <w14:ligatures w14:val="none"/>
        </w:rPr>
        <w:t xml:space="preserve">: Ensure affordability and accessibility by expanding fee-free TAFE and offering more scholarships and income support to </w:t>
      </w:r>
      <w:r w:rsidR="00CB4B8B" w:rsidRPr="00757D20">
        <w:rPr>
          <w:rFonts w:eastAsia="Times New Roman" w:cs="Times New Roman"/>
          <w:kern w:val="0"/>
          <w:lang w:eastAsia="en-AU"/>
          <w14:ligatures w14:val="none"/>
        </w:rPr>
        <w:t>students in key equity groups.</w:t>
      </w:r>
    </w:p>
    <w:p w14:paraId="1D9FA880" w14:textId="21B41467" w:rsidR="004E7755" w:rsidRPr="00757D20" w:rsidRDefault="004E7755"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Invest in regional and commuter infrastructure</w:t>
      </w:r>
      <w:r w:rsidRPr="00757D20">
        <w:rPr>
          <w:rFonts w:eastAsia="Times New Roman" w:cs="Times New Roman"/>
          <w:kern w:val="0"/>
          <w:lang w:eastAsia="en-AU"/>
          <w14:ligatures w14:val="none"/>
        </w:rPr>
        <w:t>: Improve transport, housing, and digital connectivity to enable rural students to access education and training beyond their immediate community without relocation pressure.</w:t>
      </w:r>
    </w:p>
    <w:p w14:paraId="20345D46" w14:textId="7D9B97B3" w:rsidR="0074273C" w:rsidRPr="00757D20" w:rsidRDefault="0074273C"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lastRenderedPageBreak/>
        <w:t>Elevate the standing of TAFE and vocational pathways</w:t>
      </w:r>
      <w:r w:rsidR="00C43ED0" w:rsidRPr="00757D20">
        <w:rPr>
          <w:rFonts w:eastAsia="Times New Roman" w:cs="Times New Roman"/>
          <w:kern w:val="0"/>
          <w:lang w:eastAsia="en-AU"/>
          <w14:ligatures w14:val="none"/>
        </w:rPr>
        <w:t>:</w:t>
      </w:r>
      <w:r w:rsidRPr="00757D20">
        <w:rPr>
          <w:rFonts w:eastAsia="Times New Roman" w:cs="Times New Roman"/>
          <w:kern w:val="0"/>
          <w:lang w:eastAsia="en-AU"/>
          <w14:ligatures w14:val="none"/>
        </w:rPr>
        <w:t xml:space="preserve"> </w:t>
      </w:r>
      <w:r w:rsidR="00C43ED0" w:rsidRPr="00757D20">
        <w:rPr>
          <w:rFonts w:eastAsia="Times New Roman" w:cs="Times New Roman"/>
          <w:kern w:val="0"/>
          <w:lang w:eastAsia="en-AU"/>
          <w14:ligatures w14:val="none"/>
        </w:rPr>
        <w:t>A</w:t>
      </w:r>
      <w:r w:rsidRPr="00757D20">
        <w:rPr>
          <w:rFonts w:eastAsia="Times New Roman" w:cs="Times New Roman"/>
          <w:kern w:val="0"/>
          <w:lang w:eastAsia="en-AU"/>
          <w14:ligatures w14:val="none"/>
        </w:rPr>
        <w:t>dopt policies that highlight their social value, acknowledge that healthy societies rely on all kinds of work, and ease the blanket expectation that every young person must attend university.</w:t>
      </w:r>
    </w:p>
    <w:p w14:paraId="13EB0872" w14:textId="68B9BFE0" w:rsidR="0074273C" w:rsidRPr="00757D20" w:rsidRDefault="0074273C"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Expand mental</w:t>
      </w:r>
      <w:r w:rsidR="00D769A3" w:rsidRPr="0051649D">
        <w:rPr>
          <w:rFonts w:eastAsia="Times New Roman" w:cs="Times New Roman"/>
          <w:b/>
          <w:bCs/>
          <w:kern w:val="0"/>
          <w:lang w:eastAsia="en-AU"/>
          <w14:ligatures w14:val="none"/>
        </w:rPr>
        <w:t xml:space="preserve"> </w:t>
      </w:r>
      <w:r w:rsidRPr="0051649D">
        <w:rPr>
          <w:rFonts w:eastAsia="Times New Roman" w:cs="Times New Roman"/>
          <w:b/>
          <w:bCs/>
          <w:kern w:val="0"/>
          <w:lang w:eastAsia="en-AU"/>
          <w14:ligatures w14:val="none"/>
        </w:rPr>
        <w:t>health support for youth</w:t>
      </w:r>
      <w:r w:rsidR="00C43ED0" w:rsidRPr="00757D20">
        <w:rPr>
          <w:rFonts w:eastAsia="Times New Roman" w:cs="Times New Roman"/>
          <w:kern w:val="0"/>
          <w:lang w:eastAsia="en-AU"/>
          <w14:ligatures w14:val="none"/>
        </w:rPr>
        <w:t>: G</w:t>
      </w:r>
      <w:r w:rsidRPr="00757D20">
        <w:rPr>
          <w:rFonts w:eastAsia="Times New Roman" w:cs="Times New Roman"/>
          <w:kern w:val="0"/>
          <w:lang w:eastAsia="en-AU"/>
          <w14:ligatures w14:val="none"/>
        </w:rPr>
        <w:t>uarantee free, bulk</w:t>
      </w:r>
      <w:r w:rsidRPr="00757D20">
        <w:rPr>
          <w:rFonts w:eastAsia="Times New Roman" w:cs="Times New Roman"/>
          <w:kern w:val="0"/>
          <w:lang w:eastAsia="en-AU"/>
          <w14:ligatures w14:val="none"/>
        </w:rPr>
        <w:noBreakHyphen/>
        <w:t>billed access to mental</w:t>
      </w:r>
      <w:r w:rsidRPr="00757D20">
        <w:rPr>
          <w:rFonts w:eastAsia="Times New Roman" w:cs="Times New Roman"/>
          <w:kern w:val="0"/>
          <w:lang w:eastAsia="en-AU"/>
          <w14:ligatures w14:val="none"/>
        </w:rPr>
        <w:noBreakHyphen/>
        <w:t xml:space="preserve">health professionals—an urgent need as </w:t>
      </w:r>
      <w:r w:rsidR="004A0FFB" w:rsidRPr="00757D20">
        <w:rPr>
          <w:rFonts w:eastAsia="Times New Roman" w:cs="Times New Roman"/>
          <w:kern w:val="0"/>
          <w:lang w:eastAsia="en-AU"/>
          <w14:ligatures w14:val="none"/>
        </w:rPr>
        <w:t>young people today</w:t>
      </w:r>
      <w:r w:rsidRPr="00757D20">
        <w:rPr>
          <w:rFonts w:eastAsia="Times New Roman" w:cs="Times New Roman"/>
          <w:kern w:val="0"/>
          <w:lang w:eastAsia="en-AU"/>
          <w14:ligatures w14:val="none"/>
        </w:rPr>
        <w:t xml:space="preserve"> </w:t>
      </w:r>
      <w:proofErr w:type="gramStart"/>
      <w:r w:rsidRPr="00757D20">
        <w:rPr>
          <w:rFonts w:eastAsia="Times New Roman" w:cs="Times New Roman"/>
          <w:kern w:val="0"/>
          <w:lang w:eastAsia="en-AU"/>
          <w14:ligatures w14:val="none"/>
        </w:rPr>
        <w:t>navigate</w:t>
      </w:r>
      <w:proofErr w:type="gramEnd"/>
      <w:r w:rsidRPr="00757D20">
        <w:rPr>
          <w:rFonts w:eastAsia="Times New Roman" w:cs="Times New Roman"/>
          <w:kern w:val="0"/>
          <w:lang w:eastAsia="en-AU"/>
          <w14:ligatures w14:val="none"/>
        </w:rPr>
        <w:t xml:space="preserve"> </w:t>
      </w:r>
      <w:r w:rsidR="004A0FFB" w:rsidRPr="00757D20">
        <w:rPr>
          <w:rFonts w:eastAsia="Times New Roman" w:cs="Times New Roman"/>
          <w:kern w:val="0"/>
          <w:lang w:eastAsia="en-AU"/>
          <w14:ligatures w14:val="none"/>
        </w:rPr>
        <w:t>significant</w:t>
      </w:r>
      <w:r w:rsidRPr="00757D20">
        <w:rPr>
          <w:rFonts w:eastAsia="Times New Roman" w:cs="Times New Roman"/>
          <w:kern w:val="0"/>
          <w:lang w:eastAsia="en-AU"/>
          <w14:ligatures w14:val="none"/>
        </w:rPr>
        <w:t xml:space="preserve"> economic, social, and environmental pressures.</w:t>
      </w:r>
    </w:p>
    <w:p w14:paraId="70AF80A6" w14:textId="3F524C9C" w:rsidR="00C43ED0" w:rsidRPr="00757D20" w:rsidRDefault="0074273C" w:rsidP="00EB4186">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51649D">
        <w:rPr>
          <w:rFonts w:eastAsia="Times New Roman" w:cs="Times New Roman"/>
          <w:b/>
          <w:bCs/>
          <w:kern w:val="0"/>
          <w:lang w:eastAsia="en-AU"/>
          <w14:ligatures w14:val="none"/>
        </w:rPr>
        <w:t>Subsidise affordable student housing</w:t>
      </w:r>
      <w:r w:rsidR="004D13A5" w:rsidRPr="00757D20">
        <w:rPr>
          <w:rFonts w:eastAsia="Times New Roman" w:cs="Times New Roman"/>
          <w:kern w:val="0"/>
          <w:lang w:eastAsia="en-AU"/>
          <w14:ligatures w14:val="none"/>
        </w:rPr>
        <w:t>:</w:t>
      </w:r>
      <w:r w:rsidRPr="00757D20">
        <w:rPr>
          <w:rFonts w:eastAsia="Times New Roman" w:cs="Times New Roman"/>
          <w:kern w:val="0"/>
          <w:lang w:eastAsia="en-AU"/>
          <w14:ligatures w14:val="none"/>
        </w:rPr>
        <w:t xml:space="preserve"> </w:t>
      </w:r>
      <w:r w:rsidR="004D13A5" w:rsidRPr="00757D20">
        <w:rPr>
          <w:rFonts w:eastAsia="Times New Roman" w:cs="Times New Roman"/>
          <w:kern w:val="0"/>
          <w:lang w:eastAsia="en-AU"/>
          <w14:ligatures w14:val="none"/>
        </w:rPr>
        <w:t xml:space="preserve">Provide support </w:t>
      </w:r>
      <w:r w:rsidRPr="00757D20">
        <w:rPr>
          <w:rFonts w:eastAsia="Times New Roman" w:cs="Times New Roman"/>
          <w:kern w:val="0"/>
          <w:lang w:eastAsia="en-AU"/>
          <w14:ligatures w14:val="none"/>
        </w:rPr>
        <w:t>for those who must move away from home to study, offsetting the extra financial load of university attendance.</w:t>
      </w:r>
    </w:p>
    <w:bookmarkEnd w:id="17"/>
    <w:p w14:paraId="647C5922" w14:textId="0A872CB2" w:rsidR="009D6D47" w:rsidRPr="00757D20" w:rsidRDefault="009D6D47">
      <w:pPr>
        <w:spacing w:line="259" w:lineRule="auto"/>
      </w:pPr>
      <w:r w:rsidRPr="00757D20">
        <w:br w:type="page"/>
      </w:r>
    </w:p>
    <w:p w14:paraId="11745B0D" w14:textId="276C5F25" w:rsidR="009D6D47" w:rsidRPr="00757D20" w:rsidRDefault="009D6D47" w:rsidP="009D6D47">
      <w:pPr>
        <w:pStyle w:val="Heading1"/>
      </w:pPr>
      <w:bookmarkStart w:id="21" w:name="_Toc219977196"/>
      <w:r w:rsidRPr="00757D20">
        <w:lastRenderedPageBreak/>
        <w:t>Introduction</w:t>
      </w:r>
      <w:bookmarkEnd w:id="21"/>
    </w:p>
    <w:p w14:paraId="3E16E798" w14:textId="328B04D0" w:rsidR="00164A27" w:rsidRPr="00757D20" w:rsidRDefault="00164A27" w:rsidP="00164A27">
      <w:pPr>
        <w:spacing w:line="259" w:lineRule="auto"/>
      </w:pPr>
      <w:r w:rsidRPr="00757D20">
        <w:t xml:space="preserve">Australian governments, like those in many other Western nations, have long seen university education as essential </w:t>
      </w:r>
      <w:r w:rsidR="006612F4" w:rsidRPr="00757D20">
        <w:t>to</w:t>
      </w:r>
      <w:r w:rsidRPr="00757D20">
        <w:t xml:space="preserve"> building a strong society in a rapidly changing world </w:t>
      </w:r>
      <w:r w:rsidR="00C222A0" w:rsidRPr="00757D20">
        <w:fldChar w:fldCharType="begin">
          <w:fldData xml:space="preserve">PEVuZE5vdGU+PENpdGU+PEF1dGhvcj5CcmFkbGV5PC9BdXRob3I+PFllYXI+MjAwODwvWWVhcj48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</w:fldData>
        </w:fldChar>
      </w:r>
      <w:r w:rsidR="00FC33F9" w:rsidRPr="00757D20">
        <w:instrText xml:space="preserve"> ADDIN EN.CITE </w:instrText>
      </w:r>
      <w:r w:rsidR="00FC33F9" w:rsidRPr="00757D20">
        <w:fldChar w:fldCharType="begin">
          <w:fldData xml:space="preserve">PEVuZE5vdGU+PENpdGU+PEF1dGhvcj5CcmFkbGV5PC9BdXRob3I+PFllYXI+MjAwODwvWWVhcj48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</w:fldData>
        </w:fldChar>
      </w:r>
      <w:r w:rsidR="00FC33F9" w:rsidRPr="00757D20">
        <w:instrText xml:space="preserve"> ADDIN EN.CITE.DATA </w:instrText>
      </w:r>
      <w:r w:rsidR="00FC33F9" w:rsidRPr="00757D20">
        <w:fldChar w:fldCharType="end"/>
      </w:r>
      <w:r w:rsidR="00C222A0" w:rsidRPr="00757D20">
        <w:fldChar w:fldCharType="separate"/>
      </w:r>
      <w:r w:rsidR="00FC33F9" w:rsidRPr="00757D20">
        <w:rPr>
          <w:noProof/>
        </w:rPr>
        <w:t xml:space="preserve">(Bradley et al., 2008; Department of Education, 2024; </w:t>
      </w:r>
      <w:r w:rsidR="00301879">
        <w:rPr>
          <w:noProof/>
        </w:rPr>
        <w:t>McMahon,</w:t>
      </w:r>
      <w:r w:rsidR="002111FD">
        <w:rPr>
          <w:noProof/>
        </w:rPr>
        <w:t xml:space="preserve"> 2009; </w:t>
      </w:r>
      <w:r w:rsidR="0091514A">
        <w:rPr>
          <w:noProof/>
        </w:rPr>
        <w:t xml:space="preserve">Pee </w:t>
      </w:r>
      <w:r w:rsidR="006210D5">
        <w:rPr>
          <w:noProof/>
        </w:rPr>
        <w:t xml:space="preserve">&amp; </w:t>
      </w:r>
      <w:r w:rsidR="005831BB">
        <w:rPr>
          <w:noProof/>
        </w:rPr>
        <w:t>Vulhulleh</w:t>
      </w:r>
      <w:r w:rsidR="0086340A">
        <w:rPr>
          <w:noProof/>
        </w:rPr>
        <w:t>, 2020</w:t>
      </w:r>
      <w:r w:rsidR="00C222A0" w:rsidRPr="00757D20">
        <w:fldChar w:fldCharType="end"/>
      </w:r>
      <w:r w:rsidR="000E317F">
        <w:t>; Scott, 2024)</w:t>
      </w:r>
      <w:r w:rsidRPr="00757D20">
        <w:t xml:space="preserve">. A major approach to increasing university enrolment has been to encourage those from underrepresented groups to attend university </w:t>
      </w:r>
      <w:r w:rsidR="00C222A0" w:rsidRPr="00757D20">
        <w:fldChar w:fldCharType="begin">
          <w:fldData xml:space="preserve">PEVuZE5vdGU+PENpdGU+PEF1dGhvcj5CZW5uZXR0PC9BdXRob3I+PFllYXI+MjAxNTwvWWVhcj48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</w:fldData>
        </w:fldChar>
      </w:r>
      <w:r w:rsidR="00FC33F9" w:rsidRPr="00757D20">
        <w:instrText xml:space="preserve"> ADDIN EN.CITE </w:instrText>
      </w:r>
      <w:r w:rsidR="00FC33F9" w:rsidRPr="00757D20">
        <w:fldChar w:fldCharType="begin">
          <w:fldData xml:space="preserve">PEVuZE5vdGU+PENpdGU+PEF1dGhvcj5CZW5uZXR0PC9BdXRob3I+PFllYXI+MjAxNTwvWWVhcj48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</w:fldData>
        </w:fldChar>
      </w:r>
      <w:r w:rsidR="00FC33F9" w:rsidRPr="00757D20">
        <w:instrText xml:space="preserve"> ADDIN EN.CITE.DATA </w:instrText>
      </w:r>
      <w:r w:rsidR="00FC33F9" w:rsidRPr="00757D20">
        <w:fldChar w:fldCharType="end"/>
      </w:r>
      <w:r w:rsidR="00C222A0" w:rsidRPr="00757D20">
        <w:fldChar w:fldCharType="separate"/>
      </w:r>
      <w:r w:rsidR="00FC33F9" w:rsidRPr="00757D20">
        <w:rPr>
          <w:noProof/>
        </w:rPr>
        <w:t>(Bennett et al., 2015; Bradley et al., 2008; Department of Education, 2024)</w:t>
      </w:r>
      <w:r w:rsidR="00C222A0" w:rsidRPr="00757D20">
        <w:fldChar w:fldCharType="end"/>
      </w:r>
      <w:r w:rsidRPr="00757D20">
        <w:t xml:space="preserve">. However, while higher education enrolments have increased dramatically in recent decades, participation rates still fail to reflect the broad diversity of Australian society </w:t>
      </w:r>
      <w:r w:rsidR="00FC33F9" w:rsidRPr="00757D20">
        <w:fldChar w:fldCharType="begin">
          <w:fldData xml:space="preserve">PEVuZE5vdGU+PENpdGU+PEF1dGhvcj5EZXBhcnRtZW50IG9mIEVkdWNhdGlvbjwvQXV0aG9yPjxZ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</w:fldData>
        </w:fldChar>
      </w:r>
      <w:r w:rsidR="00C133D0" w:rsidRPr="00757D20">
        <w:instrText xml:space="preserve"> ADDIN EN.CITE </w:instrText>
      </w:r>
      <w:r w:rsidR="00C133D0" w:rsidRPr="00757D20">
        <w:fldChar w:fldCharType="begin">
          <w:fldData xml:space="preserve">PEVuZE5vdGU+PENpdGU+PEF1dGhvcj5EZXBhcnRtZW50IG9mIEVkdWNhdGlvbjwvQXV0aG9yPjxZ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</w:fldData>
        </w:fldChar>
      </w:r>
      <w:r w:rsidR="00C133D0" w:rsidRPr="00757D20">
        <w:instrText xml:space="preserve"> ADDIN EN.CITE.DATA </w:instrText>
      </w:r>
      <w:r w:rsidR="00C133D0" w:rsidRPr="00757D20">
        <w:fldChar w:fldCharType="end"/>
      </w:r>
      <w:r w:rsidR="00FC33F9" w:rsidRPr="00757D20">
        <w:fldChar w:fldCharType="separate"/>
      </w:r>
      <w:r w:rsidR="00C133D0" w:rsidRPr="00757D20">
        <w:rPr>
          <w:noProof/>
        </w:rPr>
        <w:t>(Bennett et al., 2015; Department of Education, 2024; Fray et al., 2020; Gore et al., 2017; Naylor et al., 2015)</w:t>
      </w:r>
      <w:r w:rsidR="00FC33F9" w:rsidRPr="00757D20">
        <w:fldChar w:fldCharType="end"/>
      </w:r>
      <w:r w:rsidR="00C133D0" w:rsidRPr="00757D20">
        <w:t>.</w:t>
      </w:r>
    </w:p>
    <w:p w14:paraId="0FBF7DF9" w14:textId="46A549DE" w:rsidR="00164A27" w:rsidRPr="00757D20" w:rsidRDefault="00164A27" w:rsidP="00164A27">
      <w:pPr>
        <w:spacing w:line="259" w:lineRule="auto"/>
      </w:pPr>
      <w:r w:rsidRPr="00757D20">
        <w:t>Prompted by the 2008 Review of Australian Higher Education (</w:t>
      </w:r>
      <w:r w:rsidR="003B10A8" w:rsidRPr="00757D20">
        <w:t xml:space="preserve">colloquially </w:t>
      </w:r>
      <w:r w:rsidRPr="00757D20">
        <w:t xml:space="preserve">known as the </w:t>
      </w:r>
      <w:r w:rsidR="00B72DD8" w:rsidRPr="00757D20">
        <w:t>“</w:t>
      </w:r>
      <w:r w:rsidRPr="00757D20">
        <w:t>Bradley Review</w:t>
      </w:r>
      <w:r w:rsidR="00B72DD8" w:rsidRPr="00757D20">
        <w:t>”</w:t>
      </w:r>
      <w:r w:rsidRPr="00757D20">
        <w:t xml:space="preserve">), new targets were set and new initiatives put in place to increase the proportion of students from underrepresented groups </w:t>
      </w:r>
      <w:r w:rsidR="00EB2F4C" w:rsidRPr="00757D20">
        <w:t xml:space="preserve">who </w:t>
      </w:r>
      <w:r w:rsidRPr="00757D20">
        <w:t xml:space="preserve">access higher education. Specifically, the Commonwealth created a (now defunct) demand-driven funding system in which university places in most undergraduate degrees were </w:t>
      </w:r>
      <w:r w:rsidR="00D30A0D" w:rsidRPr="00757D20">
        <w:t>uncapped</w:t>
      </w:r>
      <w:r w:rsidR="00F04E8C" w:rsidRPr="00757D20">
        <w:t xml:space="preserve">. </w:t>
      </w:r>
      <w:r w:rsidR="00D8593F" w:rsidRPr="00757D20">
        <w:t>Alongside this</w:t>
      </w:r>
      <w:r w:rsidR="004C529C" w:rsidRPr="00757D20">
        <w:t xml:space="preserve"> system</w:t>
      </w:r>
      <w:r w:rsidR="00D8593F" w:rsidRPr="00757D20">
        <w:t>, it proposed that</w:t>
      </w:r>
      <w:r w:rsidR="00C81C4C" w:rsidRPr="00757D20">
        <w:t>,</w:t>
      </w:r>
      <w:r w:rsidR="00D8593F" w:rsidRPr="00757D20">
        <w:t xml:space="preserve"> by 2020, 40% of Australians aged 25 to 34 should hold a bachelor’s degree </w:t>
      </w:r>
      <w:r w:rsidR="00047FC7" w:rsidRPr="00757D20">
        <w:t xml:space="preserve">and </w:t>
      </w:r>
      <w:r w:rsidR="00D8593F" w:rsidRPr="00757D20">
        <w:t xml:space="preserve">20% of all undergraduate students </w:t>
      </w:r>
      <w:r w:rsidR="00C81C4C" w:rsidRPr="00757D20">
        <w:t xml:space="preserve">should </w:t>
      </w:r>
      <w:r w:rsidR="00D8593F" w:rsidRPr="00757D20">
        <w:t xml:space="preserve">come from lower SES backgrounds (Bradley et al., 2008). </w:t>
      </w:r>
      <w:r w:rsidRPr="00757D20">
        <w:t>The Higher Education Participation and Partnerships Program (HEPPP) was also established to provide funding to universities to support the enrolment, retention</w:t>
      </w:r>
      <w:r w:rsidR="004D13A5" w:rsidRPr="00757D20">
        <w:t>,</w:t>
      </w:r>
      <w:r w:rsidRPr="00757D20">
        <w:t xml:space="preserve"> and completion of students from low SES backgrounds, prompting a wide range of new institutional programs implemented by universities </w:t>
      </w:r>
      <w:r w:rsidR="00DC193B" w:rsidRPr="00757D20">
        <w:fldChar w:fldCharType="begin"/>
      </w:r>
      <w:r w:rsidR="00DC193B" w:rsidRPr="00757D20">
        <w:instrText xml:space="preserve"> ADDIN EN.CITE &lt;EndNote&gt;&lt;Cite&gt;&lt;Author&gt;ACIL Allen Consulting&lt;/Author&gt;&lt;Year&gt;2017&lt;/Year&gt;&lt;RecNum&gt;1679&lt;/RecNum&gt;&lt;DisplayText&gt;(ACIL Allen Consulting, 2017)&lt;/DisplayText&gt;&lt;record&gt;&lt;rec-number&gt;1679&lt;/rec-number&gt;&lt;foreign-keys&gt;&lt;key app="EN" db-id="f2ftvv5v02e9v3e22psx2f91zs990eeafs5f" timestamp="1725316601" guid="2661069f-7667-4a3d-9ae3-1fb1533fa52a"&gt;1679&lt;/key&gt;&lt;/foreign-keys&gt;&lt;ref-type name="Report"&gt;27&lt;/ref-type&gt;&lt;contributors&gt;&lt;authors&gt;&lt;author&gt;ACIL Allen Consulting,&lt;/author&gt;&lt;/authors&gt;&lt;/contributors&gt;&lt;titles&gt;&lt;title&gt;Evaluation of the Higher Education Participation and Partnerships Program&lt;/title&gt;&lt;/titles&gt;&lt;dates&gt;&lt;year&gt;2017&lt;/year&gt;&lt;/dates&gt;&lt;pub-location&gt;Melbourne&lt;/pub-location&gt;&lt;publisher&gt;ACIL Allen Consulting&lt;/publisher&gt;&lt;urls&gt;&lt;related-urls&gt;&lt;url&gt;https://docs.education.gov.au/system/files/doc/other/final_heppp_evaluation_report_2017.03.16_0.pdf&lt;/url&gt;&lt;/related-urls&gt;&lt;/urls&gt;&lt;/record&gt;&lt;/Cite&gt;&lt;/EndNote&gt;</w:instrText>
      </w:r>
      <w:r w:rsidR="00DC193B" w:rsidRPr="00757D20">
        <w:fldChar w:fldCharType="separate"/>
      </w:r>
      <w:r w:rsidR="00DC193B" w:rsidRPr="00757D20">
        <w:rPr>
          <w:noProof/>
        </w:rPr>
        <w:t>(ACIL Allen Consulting, 2017)</w:t>
      </w:r>
      <w:r w:rsidR="00DC193B" w:rsidRPr="00757D20">
        <w:fldChar w:fldCharType="end"/>
      </w:r>
      <w:r w:rsidR="00DC193B" w:rsidRPr="00757D20">
        <w:t>.</w:t>
      </w:r>
    </w:p>
    <w:p w14:paraId="4050856F" w14:textId="73CB13C9" w:rsidR="00164A27" w:rsidRPr="00757D20" w:rsidRDefault="00164A27" w:rsidP="00164A27">
      <w:pPr>
        <w:spacing w:line="259" w:lineRule="auto"/>
      </w:pPr>
      <w:r w:rsidRPr="00757D20">
        <w:t xml:space="preserve">Although these initiatives contributed to </w:t>
      </w:r>
      <w:r w:rsidR="002A6E44" w:rsidRPr="00757D20">
        <w:t>increased</w:t>
      </w:r>
      <w:r w:rsidRPr="00757D20">
        <w:t xml:space="preserve"> enrolment, </w:t>
      </w:r>
      <w:r w:rsidR="004D13A5" w:rsidRPr="00757D20">
        <w:t>Aboriginal and Torres Strait Islander</w:t>
      </w:r>
      <w:r w:rsidRPr="00757D20">
        <w:t xml:space="preserve"> peoples, people with a disability, people from regional, rural</w:t>
      </w:r>
      <w:r w:rsidR="004D13A5" w:rsidRPr="00757D20">
        <w:t>,</w:t>
      </w:r>
      <w:r w:rsidRPr="00757D20">
        <w:t xml:space="preserve"> and remote areas</w:t>
      </w:r>
      <w:r w:rsidR="00D8677A" w:rsidRPr="00757D20">
        <w:t>,</w:t>
      </w:r>
      <w:r w:rsidRPr="00757D20">
        <w:t xml:space="preserve"> and people from low</w:t>
      </w:r>
      <w:r w:rsidR="0081429A" w:rsidRPr="00757D20">
        <w:t xml:space="preserve"> </w:t>
      </w:r>
      <w:r w:rsidRPr="00757D20">
        <w:t>SES backgrounds continue to be underrepresented in Australian higher education (Department of Education, 2024a). The Universities Accord, a 2022</w:t>
      </w:r>
      <w:r w:rsidR="004D13A5" w:rsidRPr="00757D20">
        <w:t>–</w:t>
      </w:r>
      <w:r w:rsidRPr="00757D20">
        <w:t xml:space="preserve">2023 review of the sector aiming to drive university reform in Australia, </w:t>
      </w:r>
      <w:r w:rsidR="002A6E44" w:rsidRPr="00757D20">
        <w:t>seeks</w:t>
      </w:r>
      <w:r w:rsidRPr="00757D20">
        <w:t xml:space="preserve"> to tackle these </w:t>
      </w:r>
      <w:r w:rsidR="009453CC" w:rsidRPr="00757D20">
        <w:t xml:space="preserve">ongoing </w:t>
      </w:r>
      <w:r w:rsidRPr="00757D20">
        <w:t>challenges (Department of Education, 2024a)</w:t>
      </w:r>
      <w:r w:rsidR="00D36108" w:rsidRPr="00757D20">
        <w:t>, demonstrat</w:t>
      </w:r>
      <w:r w:rsidR="00F06060" w:rsidRPr="00757D20">
        <w:t>ing</w:t>
      </w:r>
      <w:r w:rsidR="00D36108" w:rsidRPr="00757D20">
        <w:t xml:space="preserve"> the Commonwealth’s longstanding commitment to </w:t>
      </w:r>
      <w:r w:rsidR="00F06060" w:rsidRPr="00757D20">
        <w:t xml:space="preserve">achieving </w:t>
      </w:r>
      <w:r w:rsidR="00D36108" w:rsidRPr="00757D20">
        <w:t>equity in higher education.</w:t>
      </w:r>
      <w:r w:rsidRPr="00757D20">
        <w:t xml:space="preserve"> Importantly, the Accord </w:t>
      </w:r>
      <w:r w:rsidR="00A71498" w:rsidRPr="00757D20">
        <w:t>f</w:t>
      </w:r>
      <w:r w:rsidRPr="00757D20">
        <w:t>inal report also acknowledges the “rapid technological, social, political and environmental change” occurring in Australian society</w:t>
      </w:r>
      <w:r w:rsidR="006B6718" w:rsidRPr="00757D20">
        <w:t xml:space="preserve">, recognising the </w:t>
      </w:r>
      <w:r w:rsidRPr="00757D20">
        <w:t xml:space="preserve">need for the tertiary education system to respond to these </w:t>
      </w:r>
      <w:r w:rsidR="006B6718" w:rsidRPr="00757D20">
        <w:t xml:space="preserve">mounting </w:t>
      </w:r>
      <w:r w:rsidR="009C2832" w:rsidRPr="00757D20">
        <w:t xml:space="preserve">complexities </w:t>
      </w:r>
      <w:r w:rsidRPr="00757D20">
        <w:t xml:space="preserve">(Department of Education, 2024a, p. 1). </w:t>
      </w:r>
    </w:p>
    <w:p w14:paraId="6C1BD434" w14:textId="61D62B9B" w:rsidR="00164A27" w:rsidRPr="00757D20" w:rsidRDefault="00164A27" w:rsidP="00164A27">
      <w:pPr>
        <w:spacing w:line="259" w:lineRule="auto"/>
      </w:pPr>
      <w:r w:rsidRPr="00757D20">
        <w:t xml:space="preserve">Since the global financial crisis of 2008, the nature of employment has changed, with casual positions increasingly common and job insecurity deepening </w:t>
      </w:r>
      <w:r w:rsidR="00011576" w:rsidRPr="00757D20">
        <w:fldChar w:fldCharType="begin"/>
      </w:r>
      <w:r w:rsidR="00011576" w:rsidRPr="00757D20">
        <w:instrText xml:space="preserve"> ADDIN EN.CITE &lt;EndNote&gt;&lt;Cite&gt;&lt;Author&gt;Jaremus&lt;/Author&gt;&lt;Year&gt;2022&lt;/Year&gt;&lt;RecNum&gt;3856&lt;/RecNum&gt;&lt;DisplayText&gt;(Jaremus et al., 2022)&lt;/DisplayText&gt;&lt;record&gt;&lt;rec-number&gt;3856&lt;/rec-number&gt;&lt;foreign-keys&gt;&lt;key app="EN" db-id="f2ftvv5v02e9v3e22psx2f91zs990eeafs5f" timestamp="1733784715" guid="6df9ad52-e66e-4cf7-aa86-1c7c3e7c4704"&gt;3856&lt;/key&gt;&lt;/foreign-keys&gt;&lt;ref-type name="Report"&gt;27&lt;/ref-type&gt;&lt;contributors&gt;&lt;authors&gt;&lt;author&gt;Jaremus, Felicia&lt;/author&gt;&lt;author&gt;Sincock, Kristina&lt;/author&gt;&lt;author&gt;Patfield, Sally&lt;/author&gt;&lt;author&gt;Prieto, Elena&lt;/author&gt;&lt;author&gt;Fray, Leanne&lt;/author&gt;&lt;author&gt;Gore, Jennifer M.&lt;/author&gt;&lt;/authors&gt;&lt;tertiary-authors&gt;&lt;author&gt;National Centre for Student Equity in Higher Education&lt;/author&gt;&lt;/tertiary-authors&gt;&lt;/contributors&gt;&lt;titles&gt;&lt;title&gt;Aspirations, equity and higher education course choice: The path travelled&lt;/title&gt;&lt;/titles&gt;&lt;dates&gt;&lt;year&gt;2022&lt;/year&gt;&lt;/dates&gt;&lt;publisher&gt;University of Newcastle&lt;/publisher&gt;&lt;urls&gt;&lt;related-urls&gt;&lt;url&gt;https://www.acses.edu.au/app/uploads/2022/04/Jaremus_UON_Final.pdf&lt;/url&gt;&lt;/related-urls&gt;&lt;/urls&gt;&lt;/record&gt;&lt;/Cite&gt;&lt;/EndNote&gt;</w:instrText>
      </w:r>
      <w:r w:rsidR="00011576" w:rsidRPr="00757D20">
        <w:fldChar w:fldCharType="separate"/>
      </w:r>
      <w:r w:rsidR="00011576" w:rsidRPr="00757D20">
        <w:rPr>
          <w:noProof/>
        </w:rPr>
        <w:t>(Jaremus et al., 2022)</w:t>
      </w:r>
      <w:r w:rsidR="00011576" w:rsidRPr="00757D20">
        <w:fldChar w:fldCharType="end"/>
      </w:r>
      <w:r w:rsidRPr="00757D20">
        <w:t xml:space="preserve">. In 2020, the COVID-19 pandemic had a further destabilising impact on many industries, leading to changes in workplace practices (Galanti et al., 2021; Kramer &amp; Kramer, 2020; Vyas &amp; </w:t>
      </w:r>
      <w:proofErr w:type="spellStart"/>
      <w:r w:rsidRPr="00757D20">
        <w:t>Butakhieo</w:t>
      </w:r>
      <w:proofErr w:type="spellEnd"/>
      <w:r w:rsidRPr="00757D20">
        <w:t>, 2021) and leaving many, often those in face-to-face positions or already insecure employment, with little or no work (</w:t>
      </w:r>
      <w:proofErr w:type="spellStart"/>
      <w:r w:rsidRPr="00757D20">
        <w:t>Cotofan</w:t>
      </w:r>
      <w:proofErr w:type="spellEnd"/>
      <w:r w:rsidRPr="00757D20">
        <w:t xml:space="preserve"> et al., 2021; </w:t>
      </w:r>
      <w:proofErr w:type="spellStart"/>
      <w:r w:rsidRPr="00757D20">
        <w:t>Montenovo</w:t>
      </w:r>
      <w:proofErr w:type="spellEnd"/>
      <w:r w:rsidRPr="00757D20">
        <w:t xml:space="preserve"> et al., 2022). The education, health</w:t>
      </w:r>
      <w:r w:rsidR="0047786D" w:rsidRPr="00757D20">
        <w:t>,</w:t>
      </w:r>
      <w:r w:rsidRPr="00757D20">
        <w:t xml:space="preserve"> and trade sectors all now face labour shortages (Department of Education, 2024a). Events such as the pandemic, the ongoing war in Ukraine</w:t>
      </w:r>
      <w:r w:rsidR="0047786D" w:rsidRPr="00757D20">
        <w:t>,</w:t>
      </w:r>
      <w:r w:rsidRPr="00757D20">
        <w:t xml:space="preserve"> and high rates of inflation have also contributed to increases in the cost of living worldwide. In Australia, casualisation and the </w:t>
      </w:r>
      <w:r w:rsidR="00B72DD8" w:rsidRPr="00757D20">
        <w:t>“</w:t>
      </w:r>
      <w:r w:rsidRPr="00757D20">
        <w:t>gig</w:t>
      </w:r>
      <w:r w:rsidR="00B72DD8" w:rsidRPr="00757D20">
        <w:t>”</w:t>
      </w:r>
      <w:r w:rsidRPr="00757D20">
        <w:t xml:space="preserve"> economy, combined with the </w:t>
      </w:r>
      <w:r w:rsidR="009453CC" w:rsidRPr="00757D20">
        <w:t>effects</w:t>
      </w:r>
      <w:r w:rsidRPr="00757D20">
        <w:t xml:space="preserve"> of the pandemic, have disproportionally impacted young people (Cuervo &amp; Chesters, 2019; O’Keeffe et al., 2021). </w:t>
      </w:r>
      <w:r w:rsidR="00FD5A25" w:rsidRPr="00757D20">
        <w:t>P</w:t>
      </w:r>
      <w:r w:rsidRPr="00757D20">
        <w:t>ersistent periods of drought (Alston, 2010; Lester et al., 2022), the bushfires during the summer of 2019</w:t>
      </w:r>
      <w:r w:rsidR="004D13A5" w:rsidRPr="00757D20">
        <w:t>–</w:t>
      </w:r>
      <w:r w:rsidRPr="00757D20">
        <w:t xml:space="preserve">20 (Fray et al., 2023), the flooding in 2021 and 2022, and the increasing prevalence of </w:t>
      </w:r>
      <w:r w:rsidR="000F6650" w:rsidRPr="00757D20">
        <w:t>a</w:t>
      </w:r>
      <w:r w:rsidRPr="00757D20">
        <w:t xml:space="preserve">rtificial </w:t>
      </w:r>
      <w:r w:rsidR="000F6650" w:rsidRPr="00757D20">
        <w:t>i</w:t>
      </w:r>
      <w:r w:rsidRPr="00757D20">
        <w:t xml:space="preserve">ntelligence (AI) have </w:t>
      </w:r>
      <w:r w:rsidR="00FD5A25" w:rsidRPr="00757D20">
        <w:t xml:space="preserve">all </w:t>
      </w:r>
      <w:r w:rsidRPr="00757D20">
        <w:t xml:space="preserve">exacerbated these challenges. </w:t>
      </w:r>
      <w:r w:rsidRPr="00757D20">
        <w:lastRenderedPageBreak/>
        <w:t xml:space="preserve">Complicating these circumstances is uncertainty about the jobs that will emerge in the future and </w:t>
      </w:r>
      <w:r w:rsidR="00CE2F2A" w:rsidRPr="00757D20">
        <w:t xml:space="preserve">are </w:t>
      </w:r>
      <w:r w:rsidRPr="00757D20">
        <w:t>likely to dominate our economies (Ansell et al., 2022). For those young people transitioning from school into further education and employment, these circumstances have created a complex set of challenges</w:t>
      </w:r>
      <w:r w:rsidR="0020750C" w:rsidRPr="00757D20">
        <w:t>;</w:t>
      </w:r>
      <w:r w:rsidRPr="00757D20" w:rsidDel="0020750C">
        <w:t xml:space="preserve"> </w:t>
      </w:r>
      <w:r w:rsidRPr="00757D20">
        <w:t>even more so for those from underrepresented equity groups who tend to be disproportionately</w:t>
      </w:r>
      <w:r w:rsidR="00AE3203" w:rsidRPr="00757D20">
        <w:t xml:space="preserve"> </w:t>
      </w:r>
      <w:r w:rsidRPr="00757D20">
        <w:t xml:space="preserve">impacted by </w:t>
      </w:r>
      <w:r w:rsidR="002B48C2" w:rsidRPr="00757D20">
        <w:t>these</w:t>
      </w:r>
      <w:r w:rsidRPr="00757D20">
        <w:t xml:space="preserve"> global megatrends (</w:t>
      </w:r>
      <w:proofErr w:type="spellStart"/>
      <w:r w:rsidRPr="00757D20">
        <w:t>Garretsen</w:t>
      </w:r>
      <w:proofErr w:type="spellEnd"/>
      <w:r w:rsidRPr="00757D20">
        <w:t xml:space="preserve"> et al., 2025).</w:t>
      </w:r>
    </w:p>
    <w:p w14:paraId="02A8C9C7" w14:textId="79D31111" w:rsidR="00164A27" w:rsidRPr="00757D20" w:rsidRDefault="00B4095D" w:rsidP="00164A27">
      <w:pPr>
        <w:spacing w:line="259" w:lineRule="auto"/>
      </w:pPr>
      <w:r w:rsidRPr="00757D20">
        <w:t>Amid</w:t>
      </w:r>
      <w:r w:rsidR="00AD52CE" w:rsidRPr="00757D20">
        <w:t xml:space="preserve"> these</w:t>
      </w:r>
      <w:r w:rsidRPr="00757D20">
        <w:t xml:space="preserve"> ongoing economic, socio-political, and environmental changes, this project set out to examine how </w:t>
      </w:r>
      <w:r w:rsidR="0020750C" w:rsidRPr="00757D20">
        <w:t>such</w:t>
      </w:r>
      <w:r w:rsidR="00681A02" w:rsidRPr="00757D20">
        <w:t xml:space="preserve"> </w:t>
      </w:r>
      <w:r w:rsidRPr="00757D20">
        <w:t xml:space="preserve">conditions are affecting the aspirations of young people. By </w:t>
      </w:r>
      <w:r w:rsidR="001D4CA5" w:rsidRPr="00757D20">
        <w:t xml:space="preserve">going back </w:t>
      </w:r>
      <w:r w:rsidRPr="00757D20">
        <w:t xml:space="preserve">to schools in </w:t>
      </w:r>
      <w:r w:rsidR="00624957" w:rsidRPr="00757D20">
        <w:t xml:space="preserve">NSW </w:t>
      </w:r>
      <w:r w:rsidRPr="00757D20">
        <w:t xml:space="preserve">that we first </w:t>
      </w:r>
      <w:r w:rsidR="00771F86" w:rsidRPr="00757D20">
        <w:t>worked</w:t>
      </w:r>
      <w:r w:rsidRPr="00757D20">
        <w:t xml:space="preserve"> with in 2012, our aim</w:t>
      </w:r>
      <w:r w:rsidR="001D4CA5" w:rsidRPr="00757D20">
        <w:t>s</w:t>
      </w:r>
      <w:r w:rsidRPr="00757D20">
        <w:t xml:space="preserve"> w</w:t>
      </w:r>
      <w:r w:rsidR="001D4CA5" w:rsidRPr="00757D20">
        <w:t>ere</w:t>
      </w:r>
      <w:r w:rsidRPr="00757D20">
        <w:t xml:space="preserve"> to </w:t>
      </w:r>
      <w:r w:rsidR="00E560D9" w:rsidRPr="00757D20">
        <w:t xml:space="preserve">generate </w:t>
      </w:r>
      <w:r w:rsidRPr="00757D20">
        <w:t>timely insights into how current circumstances are shaping post-school aspirations and to explore any changes in how young people articulate their hopes for the future.</w:t>
      </w:r>
      <w:r w:rsidR="00771F86" w:rsidRPr="00757D20">
        <w:t xml:space="preserve"> </w:t>
      </w:r>
      <w:r w:rsidR="00164A27" w:rsidRPr="00757D20">
        <w:t xml:space="preserve">Focusing on targeted equity groups and students who would be first-in-family to go to university, the key questions addressed in this study were:  </w:t>
      </w:r>
    </w:p>
    <w:p w14:paraId="57A72329" w14:textId="070EF8AF" w:rsidR="00736623" w:rsidRPr="00757D20" w:rsidRDefault="00164A27" w:rsidP="00736623">
      <w:pPr>
        <w:pStyle w:val="ListParagraph"/>
        <w:numPr>
          <w:ilvl w:val="0"/>
          <w:numId w:val="44"/>
        </w:numPr>
        <w:spacing w:line="259" w:lineRule="auto"/>
      </w:pPr>
      <w:r w:rsidRPr="00757D20">
        <w:t>What are the educational and occupational aspirations of secondary school students today and how do they differ (if at all) by equity group? </w:t>
      </w:r>
    </w:p>
    <w:p w14:paraId="5B55A36E" w14:textId="77777777" w:rsidR="00736623" w:rsidRPr="00757D20" w:rsidRDefault="00164A27" w:rsidP="00736623">
      <w:pPr>
        <w:pStyle w:val="ListParagraph"/>
        <w:numPr>
          <w:ilvl w:val="0"/>
          <w:numId w:val="44"/>
        </w:numPr>
        <w:spacing w:line="259" w:lineRule="auto"/>
      </w:pPr>
      <w:r w:rsidRPr="00757D20">
        <w:t>How has the current economic and social climate influenced young people’s thoughts and plans about their post-school futures? </w:t>
      </w:r>
    </w:p>
    <w:p w14:paraId="2BE1DFAD" w14:textId="1B2416DC" w:rsidR="00164A27" w:rsidRPr="00757D20" w:rsidRDefault="00164A27" w:rsidP="00736623">
      <w:pPr>
        <w:pStyle w:val="ListParagraph"/>
        <w:numPr>
          <w:ilvl w:val="0"/>
          <w:numId w:val="44"/>
        </w:numPr>
        <w:spacing w:line="259" w:lineRule="auto"/>
      </w:pPr>
      <w:r w:rsidRPr="00757D20">
        <w:t>Given the findings from questions 1 and 2, how might recent environmental, health</w:t>
      </w:r>
      <w:r w:rsidR="00AC39BF" w:rsidRPr="00757D20">
        <w:t>,</w:t>
      </w:r>
      <w:r w:rsidRPr="00757D20">
        <w:t xml:space="preserve"> and economic crises shape institutional efforts to ensure more equitable participation in higher education? </w:t>
      </w:r>
    </w:p>
    <w:p w14:paraId="37D5B234" w14:textId="24599516" w:rsidR="009D6D47" w:rsidRPr="00757D20" w:rsidRDefault="009D6D47" w:rsidP="007832D0">
      <w:pPr>
        <w:spacing w:line="259" w:lineRule="auto"/>
      </w:pPr>
      <w:r w:rsidRPr="00757D20">
        <w:br w:type="page"/>
      </w:r>
    </w:p>
    <w:p w14:paraId="1C223C60" w14:textId="77777777" w:rsidR="009D6D47" w:rsidRPr="00757D20" w:rsidRDefault="009D6D47" w:rsidP="009D6D47">
      <w:pPr>
        <w:pStyle w:val="Heading1"/>
      </w:pPr>
      <w:bookmarkStart w:id="22" w:name="_Toc219977197"/>
      <w:r w:rsidRPr="00757D20">
        <w:lastRenderedPageBreak/>
        <w:t>Background</w:t>
      </w:r>
      <w:bookmarkEnd w:id="22"/>
    </w:p>
    <w:p w14:paraId="0FD465FD" w14:textId="37CBB323" w:rsidR="0073700D" w:rsidRPr="00757D20" w:rsidRDefault="0073700D" w:rsidP="0073700D">
      <w:pPr>
        <w:pStyle w:val="Heading2"/>
      </w:pPr>
      <w:bookmarkStart w:id="23" w:name="_Toc219977198"/>
      <w:r w:rsidRPr="00757D20">
        <w:t xml:space="preserve">Why </w:t>
      </w:r>
      <w:r w:rsidR="00A00E38" w:rsidRPr="00757D20">
        <w:t xml:space="preserve">is </w:t>
      </w:r>
      <w:r w:rsidRPr="00757D20">
        <w:t>university</w:t>
      </w:r>
      <w:r w:rsidR="00A00E38" w:rsidRPr="00757D20">
        <w:t xml:space="preserve"> important</w:t>
      </w:r>
      <w:r w:rsidRPr="00757D20">
        <w:t>?</w:t>
      </w:r>
      <w:bookmarkEnd w:id="23"/>
    </w:p>
    <w:p w14:paraId="5169CE3F" w14:textId="31445D7B" w:rsidR="00074DEE" w:rsidRPr="00757D20" w:rsidRDefault="00074DEE" w:rsidP="00B92F13">
      <w:r w:rsidRPr="00757D20">
        <w:t>The government’s aim to widen participation</w:t>
      </w:r>
      <w:r w:rsidR="007508B1" w:rsidRPr="00757D20">
        <w:t xml:space="preserve"> </w:t>
      </w:r>
      <w:r w:rsidRPr="00757D20">
        <w:t xml:space="preserve">in university is rooted in the premise that education is key to social mobility and that education “develops skills, attitudes and attributes that are essential for creating active, engaged and productive citizens” (Perry, 2018, p. 57). Higher education is linked to higher income and higher standards of living (Department of Education, 2019; OECD, 2023). </w:t>
      </w:r>
      <w:r w:rsidR="00D52539" w:rsidRPr="00757D20">
        <w:t xml:space="preserve">Empowering young people to achieve their educational potential strengthens both the social and </w:t>
      </w:r>
      <w:r w:rsidR="002701BD" w:rsidRPr="00757D20">
        <w:t xml:space="preserve">the </w:t>
      </w:r>
      <w:r w:rsidR="00D52539" w:rsidRPr="00757D20">
        <w:t>economic fabric of society</w:t>
      </w:r>
      <w:r w:rsidR="00D52539" w:rsidRPr="00757D20" w:rsidDel="00D52539">
        <w:t xml:space="preserve"> </w:t>
      </w:r>
      <w:r w:rsidRPr="00757D20">
        <w:t xml:space="preserve">(Salmi &amp; D’Addio, 2021). </w:t>
      </w:r>
    </w:p>
    <w:p w14:paraId="324B3C76" w14:textId="20DA0DAF" w:rsidR="00074DEE" w:rsidRPr="00757D20" w:rsidRDefault="00282E52" w:rsidP="00B92F13">
      <w:pPr>
        <w:rPr>
          <w:rFonts w:eastAsiaTheme="majorEastAsia" w:cstheme="majorBidi"/>
          <w:color w:val="6B3B57"/>
          <w:sz w:val="40"/>
          <w:szCs w:val="40"/>
          <w:lang w:eastAsia="en-AU"/>
        </w:rPr>
      </w:pPr>
      <w:r w:rsidRPr="00757D20">
        <w:t>While a u</w:t>
      </w:r>
      <w:r w:rsidR="00074DEE" w:rsidRPr="00757D20">
        <w:t>niversity education is valued in terms of the economic outcomes it might provide, happiness, life satisfaction</w:t>
      </w:r>
      <w:r w:rsidR="00AC39BF" w:rsidRPr="00757D20">
        <w:t>,</w:t>
      </w:r>
      <w:r w:rsidR="00074DEE" w:rsidRPr="00757D20">
        <w:t xml:space="preserve"> and social capital </w:t>
      </w:r>
      <w:r w:rsidR="00A14FB4" w:rsidRPr="00757D20">
        <w:t xml:space="preserve">are </w:t>
      </w:r>
      <w:r w:rsidR="00074DEE" w:rsidRPr="00757D20">
        <w:t>also often counted amongst its benefits (McMahon, 2009; Salmi &amp; D’Addio, 2020). Indeed, long</w:t>
      </w:r>
      <w:r w:rsidR="00F77703" w:rsidRPr="00757D20">
        <w:t>-</w:t>
      </w:r>
      <w:r w:rsidR="00074DEE" w:rsidRPr="00757D20">
        <w:t xml:space="preserve">term trends indicate that students are more likely to choose courses based on interest rather than improving their job prospects (Baik et al., 2015), with the Morrison government’s failed Job Ready Graduates package evidence of this inclination (Department of Education, 2024a). In 2020, this package increased government investment in national priority areas by subsidising (for students) areas such as teaching, nursing, and STEM that were believed to lead to strong employment prospects, </w:t>
      </w:r>
      <w:r w:rsidR="001B3C9B" w:rsidRPr="00757D20">
        <w:t xml:space="preserve">while students were required to contribute more </w:t>
      </w:r>
      <w:r w:rsidR="00074DEE" w:rsidRPr="00757D20">
        <w:t>for courses believed to not benefit the labour market, such as in the arts, social sciences</w:t>
      </w:r>
      <w:r w:rsidR="00AC39BF" w:rsidRPr="00757D20">
        <w:t>,</w:t>
      </w:r>
      <w:r w:rsidR="00074DEE" w:rsidRPr="00757D20">
        <w:t xml:space="preserve"> and humanities (Norton, 2020). </w:t>
      </w:r>
      <w:r w:rsidR="005A2B88" w:rsidRPr="00757D20">
        <w:t xml:space="preserve">Just </w:t>
      </w:r>
      <w:r w:rsidR="00074DEE" w:rsidRPr="00757D20">
        <w:t xml:space="preserve">four years later, the Universities Accord pointed out that only 1.5% of students applying for courses would not have previously selected their degree prior to the Job Ready Graduates reforms, signalling that the pricing of courses generally has little impact on student choice (Department of Education, 2024a). </w:t>
      </w:r>
    </w:p>
    <w:p w14:paraId="37C5D1C4" w14:textId="47A86E20" w:rsidR="00BC1F28" w:rsidRPr="00757D20" w:rsidRDefault="00074DEE" w:rsidP="00074DEE">
      <w:pPr>
        <w:pStyle w:val="Heading2"/>
      </w:pPr>
      <w:bookmarkStart w:id="24" w:name="_Toc219977199"/>
      <w:r w:rsidRPr="00757D20">
        <w:t>W</w:t>
      </w:r>
      <w:r w:rsidR="00BC1F28" w:rsidRPr="00757D20">
        <w:t>hy isn’t everyone choosing university?</w:t>
      </w:r>
      <w:bookmarkEnd w:id="24"/>
    </w:p>
    <w:p w14:paraId="63590883" w14:textId="22B0A3DE" w:rsidR="00C415D4" w:rsidRPr="00757D20" w:rsidRDefault="00C415D4" w:rsidP="00C415D4">
      <w:r w:rsidRPr="00757D20">
        <w:t xml:space="preserve">Deficit narratives about the aspirations of young people from disadvantaged backgrounds are well established in research and policy, with </w:t>
      </w:r>
      <w:r w:rsidR="0066554C" w:rsidRPr="00757D20">
        <w:t xml:space="preserve">calls to </w:t>
      </w:r>
      <w:r w:rsidR="00D73EB8" w:rsidRPr="00757D20">
        <w:t>“</w:t>
      </w:r>
      <w:r w:rsidR="0066554C" w:rsidRPr="00757D20">
        <w:t>raise</w:t>
      </w:r>
      <w:r w:rsidR="00D73EB8" w:rsidRPr="00757D20">
        <w:t>”</w:t>
      </w:r>
      <w:r w:rsidRPr="00757D20">
        <w:t xml:space="preserve"> student aspirations integral to the </w:t>
      </w:r>
      <w:r w:rsidR="008D03AA" w:rsidRPr="00757D20">
        <w:t xml:space="preserve">federal </w:t>
      </w:r>
      <w:r w:rsidRPr="00757D20">
        <w:t xml:space="preserve">government’s agenda to widen participation (Cunninghame et al, 2020; </w:t>
      </w:r>
      <w:proofErr w:type="spellStart"/>
      <w:r w:rsidRPr="00757D20">
        <w:t>Prodonovich</w:t>
      </w:r>
      <w:proofErr w:type="spellEnd"/>
      <w:r w:rsidRPr="00757D20">
        <w:t xml:space="preserve"> et al., 2014). This narrative is reflected in the more than 15 years during which policymakers have positioned certain groups of students as </w:t>
      </w:r>
      <w:r w:rsidR="00D73EB8" w:rsidRPr="00757D20">
        <w:t>“</w:t>
      </w:r>
      <w:r w:rsidRPr="00757D20">
        <w:t>lacking</w:t>
      </w:r>
      <w:r w:rsidR="00D73EB8" w:rsidRPr="00757D20">
        <w:t>”</w:t>
      </w:r>
      <w:r w:rsidRPr="00757D20">
        <w:t xml:space="preserve"> in aspiration. For example, in Australia, the Bradley Review</w:t>
      </w:r>
      <w:r w:rsidR="00F77703" w:rsidRPr="00757D20">
        <w:t xml:space="preserve"> (2008)</w:t>
      </w:r>
      <w:r w:rsidRPr="00757D20">
        <w:t xml:space="preserve"> claimed that those from low SES </w:t>
      </w:r>
      <w:r w:rsidR="00435C00" w:rsidRPr="00757D20">
        <w:t>backgrounds</w:t>
      </w:r>
      <w:r w:rsidRPr="00757D20">
        <w:t xml:space="preserve"> had “little aspiration to participate” in university (p. 13). Similarly, in Britain, Prime Minister David Cameron suggested </w:t>
      </w:r>
      <w:r w:rsidR="001346E5" w:rsidRPr="00757D20">
        <w:t xml:space="preserve">a </w:t>
      </w:r>
      <w:r w:rsidRPr="00757D20">
        <w:t>“toxic culture of low expectations” was holding the country back (Cameron 2012 cited in Wintour, 2012, np.). More recently,</w:t>
      </w:r>
      <w:r w:rsidR="00D255CE" w:rsidRPr="00757D20">
        <w:t xml:space="preserve"> while</w:t>
      </w:r>
      <w:r w:rsidRPr="00757D20">
        <w:t xml:space="preserve"> the Universities Accord final report acknowledge</w:t>
      </w:r>
      <w:r w:rsidR="008850EC" w:rsidRPr="00757D20">
        <w:t>s</w:t>
      </w:r>
      <w:r w:rsidRPr="00757D20">
        <w:t xml:space="preserve"> the structural barriers to access</w:t>
      </w:r>
      <w:r w:rsidR="00C473FC" w:rsidRPr="00757D20">
        <w:t>ing</w:t>
      </w:r>
      <w:r w:rsidRPr="00757D20">
        <w:t xml:space="preserve"> higher education, the </w:t>
      </w:r>
      <w:r w:rsidR="00D73EB8" w:rsidRPr="00757D20">
        <w:t>“</w:t>
      </w:r>
      <w:r w:rsidRPr="00757D20">
        <w:t>raising aspirations</w:t>
      </w:r>
      <w:r w:rsidR="00D73EB8" w:rsidRPr="00757D20">
        <w:t>”</w:t>
      </w:r>
      <w:r w:rsidRPr="00757D20">
        <w:t xml:space="preserve"> rhetoric persists, with the review committee claiming that “increasing equity in tertiary education requires raising aspiration levels among currently under-represented groups” (Department of Education, 2024a, p. 4).</w:t>
      </w:r>
    </w:p>
    <w:p w14:paraId="69A8690C" w14:textId="76AC4ABC" w:rsidR="00C415D4" w:rsidRPr="00757D20" w:rsidRDefault="00C415D4" w:rsidP="00C415D4">
      <w:r w:rsidRPr="00757D20">
        <w:t xml:space="preserve">This longstanding reliance on “potentially unfounded assumptions and conventional understandings” of aspirations </w:t>
      </w:r>
      <w:r w:rsidR="007A5C55" w:rsidRPr="00757D20">
        <w:t>has since been</w:t>
      </w:r>
      <w:r w:rsidRPr="00757D20">
        <w:t xml:space="preserve"> disrupted (Gore et al., 2015, p. 157). </w:t>
      </w:r>
      <w:r w:rsidR="00FA4AF0" w:rsidRPr="00757D20">
        <w:t>Research has shown</w:t>
      </w:r>
      <w:r w:rsidRPr="00757D20">
        <w:t xml:space="preserve"> that young people in equity groups </w:t>
      </w:r>
      <w:r w:rsidRPr="00757D20">
        <w:rPr>
          <w:i/>
          <w:iCs/>
        </w:rPr>
        <w:t>do</w:t>
      </w:r>
      <w:r w:rsidRPr="00757D20">
        <w:t xml:space="preserve"> aspire to higher education at a </w:t>
      </w:r>
      <w:r w:rsidRPr="00757D20">
        <w:lastRenderedPageBreak/>
        <w:t xml:space="preserve">similar rate to the broader population (Croll, 2008; Gore et al., 2019; </w:t>
      </w:r>
      <w:proofErr w:type="spellStart"/>
      <w:r w:rsidRPr="00757D20">
        <w:t>Prodonovich</w:t>
      </w:r>
      <w:proofErr w:type="spellEnd"/>
      <w:r w:rsidRPr="00757D20">
        <w:t xml:space="preserve"> et al., 2014), but that they are underrepresented due to structural, rather than individual, barriers (Gale, 2015; </w:t>
      </w:r>
      <w:proofErr w:type="spellStart"/>
      <w:r w:rsidRPr="00757D20">
        <w:t>Prodonovich</w:t>
      </w:r>
      <w:proofErr w:type="spellEnd"/>
      <w:r w:rsidRPr="00757D20">
        <w:t xml:space="preserve"> et al., 2014; Rainford, 2023; </w:t>
      </w:r>
      <w:proofErr w:type="spellStart"/>
      <w:r w:rsidRPr="00757D20">
        <w:t>Zipin</w:t>
      </w:r>
      <w:proofErr w:type="spellEnd"/>
      <w:r w:rsidRPr="00757D20">
        <w:t xml:space="preserve"> et al., 2015). </w:t>
      </w:r>
      <w:r w:rsidR="00D9305A" w:rsidRPr="00757D20">
        <w:t xml:space="preserve">At a theoretical level, </w:t>
      </w:r>
      <w:r w:rsidRPr="00757D20">
        <w:t xml:space="preserve">Appadurai’s </w:t>
      </w:r>
      <w:r w:rsidR="00F203DC" w:rsidRPr="00757D20">
        <w:t xml:space="preserve">(2004) </w:t>
      </w:r>
      <w:r w:rsidRPr="00757D20">
        <w:t xml:space="preserve">concept of </w:t>
      </w:r>
      <w:r w:rsidR="00D40429" w:rsidRPr="00757D20">
        <w:t xml:space="preserve">the </w:t>
      </w:r>
      <w:r w:rsidR="00D73EB8" w:rsidRPr="00757D20">
        <w:t>“</w:t>
      </w:r>
      <w:r w:rsidRPr="00757D20">
        <w:t>capacity to aspire</w:t>
      </w:r>
      <w:r w:rsidR="00D73EB8" w:rsidRPr="00757D20">
        <w:t>”</w:t>
      </w:r>
      <w:r w:rsidRPr="00757D20">
        <w:t xml:space="preserve"> supports this understanding of aspiration formation and realisation. Appadurai reminds us that aspirations are “always formed in interaction and in the thick of social life” (p. 67), meaning that aspirations do not simply deliver someone from a start</w:t>
      </w:r>
      <w:r w:rsidR="004C4CBD" w:rsidRPr="00757D20">
        <w:t>ing</w:t>
      </w:r>
      <w:r w:rsidRPr="00757D20">
        <w:t xml:space="preserve"> point to an end point but, instead, exist amidst a set of beliefs and understandings that constitute the local life of individuals (</w:t>
      </w:r>
      <w:proofErr w:type="spellStart"/>
      <w:r w:rsidRPr="00757D20">
        <w:t>Prodonovich</w:t>
      </w:r>
      <w:proofErr w:type="spellEnd"/>
      <w:r w:rsidRPr="00757D20">
        <w:t xml:space="preserve"> et al., 2014). </w:t>
      </w:r>
      <w:proofErr w:type="gramStart"/>
      <w:r w:rsidRPr="00757D20">
        <w:t>In particular, aspirations</w:t>
      </w:r>
      <w:proofErr w:type="gramEnd"/>
      <w:r w:rsidRPr="00757D20">
        <w:t xml:space="preserve"> are formed through young people’s relationships with their broader social context, including home and school (Archer et al., 2014), which ultimately means that the capacity to aspire is unevenly distributed across society (Appadurai, 2004). While advantaged groups can more easily access </w:t>
      </w:r>
      <w:r w:rsidR="00A61EAD" w:rsidRPr="00757D20">
        <w:t xml:space="preserve">valued </w:t>
      </w:r>
      <w:r w:rsidRPr="00757D20">
        <w:t xml:space="preserve">experiences and opportunities that expand their </w:t>
      </w:r>
      <w:r w:rsidR="00552403" w:rsidRPr="00757D20">
        <w:t xml:space="preserve">capacity to </w:t>
      </w:r>
      <w:r w:rsidRPr="00757D20">
        <w:t>navigat</w:t>
      </w:r>
      <w:r w:rsidR="00552403" w:rsidRPr="00757D20">
        <w:t>e the path from school to university</w:t>
      </w:r>
      <w:r w:rsidRPr="00757D20">
        <w:t xml:space="preserve">, those from disadvantaged groups might not be exposed </w:t>
      </w:r>
      <w:r w:rsidR="00A277A0" w:rsidRPr="00757D20">
        <w:t>to the kinds of</w:t>
      </w:r>
      <w:r w:rsidRPr="00757D20">
        <w:t xml:space="preserve"> experiences and knowledge necessary to reading and following the aspiration </w:t>
      </w:r>
      <w:r w:rsidR="00D73EB8" w:rsidRPr="00757D20">
        <w:t>“</w:t>
      </w:r>
      <w:r w:rsidRPr="00757D20">
        <w:t>map</w:t>
      </w:r>
      <w:r w:rsidR="00D73EB8" w:rsidRPr="00757D20">
        <w:t>”</w:t>
      </w:r>
      <w:r w:rsidRPr="00757D20">
        <w:t xml:space="preserve"> (Bok, 2010). </w:t>
      </w:r>
    </w:p>
    <w:p w14:paraId="7CD2DAEE" w14:textId="62898EB5" w:rsidR="00C415D4" w:rsidRPr="00757D20" w:rsidRDefault="00257B4D" w:rsidP="00C415D4">
      <w:r w:rsidRPr="00757D20">
        <w:t>In this light, t</w:t>
      </w:r>
      <w:r w:rsidR="00C415D4" w:rsidRPr="00757D20">
        <w:t xml:space="preserve">he failure of the widening participation agenda to produce parity in higher education participation across Australian society suggests the challenge is much more complex than policymakers </w:t>
      </w:r>
      <w:r w:rsidR="000A12A7" w:rsidRPr="00757D20">
        <w:t xml:space="preserve">might </w:t>
      </w:r>
      <w:r w:rsidR="00C415D4" w:rsidRPr="00757D20">
        <w:t>have assumed (</w:t>
      </w:r>
      <w:r w:rsidR="00E06F9E" w:rsidRPr="00757D20">
        <w:t xml:space="preserve">see, for example, </w:t>
      </w:r>
      <w:r w:rsidR="00C415D4" w:rsidRPr="00757D20">
        <w:t xml:space="preserve">Dollinger et al., 2022; Gibson et al., 2022). Some scholars have suggested this may be due to the conflation of social justice and social mobility in policy and political commentary (Cunninghame, 2022; </w:t>
      </w:r>
      <w:proofErr w:type="spellStart"/>
      <w:r w:rsidR="00C415D4" w:rsidRPr="00757D20">
        <w:t>Zipin</w:t>
      </w:r>
      <w:proofErr w:type="spellEnd"/>
      <w:r w:rsidR="00C415D4" w:rsidRPr="00757D20">
        <w:t xml:space="preserve"> et al., 2015). While social justice can be described as a “quest for the correction of past and ongoing harms resulting from structural injustices” (Cunninghame, 2022, p. 1229), social mobility is based on the notion that individuals will develop socially valuable attributes </w:t>
      </w:r>
      <w:r w:rsidR="00B5075D" w:rsidRPr="00757D20">
        <w:t>that enable them to</w:t>
      </w:r>
      <w:r w:rsidR="00C415D4" w:rsidRPr="00757D20">
        <w:t xml:space="preserve"> “fulfil their potential” (Cunninghame, 2022, p. 1230). Rather than actively redistributing opportunity by correcting inequitable power dynamics (a social justice approach), neoliberal policies for higher education tend to utilise “equal opportunity-based financial support” such as the Higher Education Contribution Scheme (HECS)</w:t>
      </w:r>
      <w:r w:rsidR="00C415D4" w:rsidRPr="00757D20">
        <w:rPr>
          <w:vertAlign w:val="superscript"/>
        </w:rPr>
        <w:footnoteReference w:id="5"/>
      </w:r>
      <w:r w:rsidR="00C415D4" w:rsidRPr="00757D20">
        <w:t xml:space="preserve"> (Cunninghame, 2022, p.1229). This approach employs a neoliberal rationale to facilitate social mobility in a model that “stimulates and rewards individual entrepreneurialism” (Sellar et al., 2011, p. 43; </w:t>
      </w:r>
      <w:proofErr w:type="spellStart"/>
      <w:r w:rsidR="00C415D4" w:rsidRPr="00757D20">
        <w:t>Zipin</w:t>
      </w:r>
      <w:proofErr w:type="spellEnd"/>
      <w:r w:rsidR="00C415D4" w:rsidRPr="00757D20">
        <w:t xml:space="preserve"> et al., 2015). However, creating equitable capacity to realise aspiration</w:t>
      </w:r>
      <w:r w:rsidR="00070F2F" w:rsidRPr="00757D20">
        <w:t>s</w:t>
      </w:r>
      <w:r w:rsidR="00C415D4" w:rsidRPr="00757D20">
        <w:t xml:space="preserve"> is a murkier and more complicated terrain than attempting to remove financial barriers (Reay, 2021). </w:t>
      </w:r>
      <w:r w:rsidR="00667F53" w:rsidRPr="00757D20">
        <w:t>Moreover</w:t>
      </w:r>
      <w:r w:rsidR="00C415D4" w:rsidRPr="00757D20">
        <w:t xml:space="preserve">, not all young people perceive university </w:t>
      </w:r>
      <w:proofErr w:type="gramStart"/>
      <w:r w:rsidR="00C415D4" w:rsidRPr="00757D20">
        <w:t>as a means to</w:t>
      </w:r>
      <w:proofErr w:type="gramEnd"/>
      <w:r w:rsidR="00C415D4" w:rsidRPr="00757D20">
        <w:t xml:space="preserve"> achieve social mobility, with many seeking economic security, but not necessarily an </w:t>
      </w:r>
      <w:r w:rsidR="00015318" w:rsidRPr="00757D20">
        <w:t>“</w:t>
      </w:r>
      <w:r w:rsidR="00C415D4" w:rsidRPr="00757D20">
        <w:t>escape</w:t>
      </w:r>
      <w:r w:rsidR="00015318" w:rsidRPr="00757D20">
        <w:t>”</w:t>
      </w:r>
      <w:r w:rsidR="00C415D4" w:rsidRPr="00757D20">
        <w:t xml:space="preserve"> from their </w:t>
      </w:r>
      <w:r w:rsidR="00385227" w:rsidRPr="00757D20">
        <w:t xml:space="preserve">social </w:t>
      </w:r>
      <w:r w:rsidR="00C415D4" w:rsidRPr="00757D20">
        <w:t>class, locality</w:t>
      </w:r>
      <w:r w:rsidR="00AC39BF" w:rsidRPr="00757D20">
        <w:t>,</w:t>
      </w:r>
      <w:r w:rsidR="00C415D4" w:rsidRPr="00757D20">
        <w:t xml:space="preserve"> and community (Coleman, 2022). Attachments to place and social commitments can mean graduates desire a return to home, to “</w:t>
      </w:r>
      <w:r w:rsidR="00C415D4" w:rsidRPr="00757D20">
        <w:rPr>
          <w:i/>
        </w:rPr>
        <w:t>a</w:t>
      </w:r>
      <w:r w:rsidR="00C415D4" w:rsidRPr="00757D20">
        <w:t xml:space="preserve"> good life” (Coleman, 2022, p. 72</w:t>
      </w:r>
      <w:r w:rsidR="00C27570" w:rsidRPr="00757D20">
        <w:t>, emphasis added</w:t>
      </w:r>
      <w:r w:rsidR="00C415D4" w:rsidRPr="00757D20">
        <w:t xml:space="preserve">) </w:t>
      </w:r>
      <w:r w:rsidR="00874879" w:rsidRPr="00757D20">
        <w:t>rather than</w:t>
      </w:r>
      <w:r w:rsidR="00C415D4" w:rsidRPr="00757D20">
        <w:t xml:space="preserve"> </w:t>
      </w:r>
      <w:r w:rsidR="00C870FB" w:rsidRPr="00757D20">
        <w:t>“</w:t>
      </w:r>
      <w:r w:rsidR="00C415D4" w:rsidRPr="00757D20">
        <w:rPr>
          <w:i/>
          <w:iCs/>
        </w:rPr>
        <w:t>the</w:t>
      </w:r>
      <w:r w:rsidR="00C415D4" w:rsidRPr="00757D20">
        <w:t xml:space="preserve"> good life</w:t>
      </w:r>
      <w:r w:rsidR="00C870FB" w:rsidRPr="00757D20">
        <w:t>”</w:t>
      </w:r>
      <w:r w:rsidR="00C415D4" w:rsidRPr="00757D20">
        <w:t xml:space="preserve"> </w:t>
      </w:r>
      <w:r w:rsidR="00D5570D" w:rsidRPr="00757D20">
        <w:t xml:space="preserve">narrowly </w:t>
      </w:r>
      <w:r w:rsidR="00C415D4" w:rsidRPr="00757D20">
        <w:t>envisioned by policymakers.</w:t>
      </w:r>
    </w:p>
    <w:p w14:paraId="4025DA0B" w14:textId="7DC12572" w:rsidR="00C415D4" w:rsidRPr="00757D20" w:rsidRDefault="00C415D4" w:rsidP="00C415D4">
      <w:pPr>
        <w:rPr>
          <w:rFonts w:cs="Myriad Pro Light"/>
          <w:color w:val="000000"/>
        </w:rPr>
      </w:pPr>
      <w:r w:rsidRPr="00757D20">
        <w:t xml:space="preserve">It should also be noted that many individuals </w:t>
      </w:r>
      <w:proofErr w:type="gramStart"/>
      <w:r w:rsidRPr="00757D20">
        <w:t>have aspirations</w:t>
      </w:r>
      <w:proofErr w:type="gramEnd"/>
      <w:r w:rsidRPr="00757D20">
        <w:t xml:space="preserve"> that do not include university. While aspirations considered </w:t>
      </w:r>
      <w:r w:rsidR="00973F14" w:rsidRPr="00757D20">
        <w:t>“</w:t>
      </w:r>
      <w:r w:rsidRPr="00757D20">
        <w:t>socially desirable</w:t>
      </w:r>
      <w:r w:rsidR="00973F14" w:rsidRPr="00757D20">
        <w:t>”</w:t>
      </w:r>
      <w:r w:rsidRPr="00757D20">
        <w:t xml:space="preserve"> are often those dependent on a university education (Rainford, 2023), there are many understandings of the </w:t>
      </w:r>
      <w:r w:rsidR="00AC39BF" w:rsidRPr="00757D20">
        <w:t>“</w:t>
      </w:r>
      <w:r w:rsidRPr="00757D20">
        <w:t>good life</w:t>
      </w:r>
      <w:r w:rsidR="00AC39BF" w:rsidRPr="00757D20">
        <w:t>”</w:t>
      </w:r>
      <w:r w:rsidRPr="00757D20">
        <w:t xml:space="preserve"> (Appadurai, 2004) and what might be required to achieve it. Aspirations that do not include higher education might be better described as </w:t>
      </w:r>
      <w:r w:rsidR="00AC39BF" w:rsidRPr="00757D20">
        <w:t>“</w:t>
      </w:r>
      <w:r w:rsidRPr="00757D20">
        <w:t>different</w:t>
      </w:r>
      <w:r w:rsidR="00AC39BF" w:rsidRPr="00757D20">
        <w:t>”</w:t>
      </w:r>
      <w:r w:rsidRPr="00757D20">
        <w:t xml:space="preserve"> rather than </w:t>
      </w:r>
      <w:r w:rsidR="00AC39BF" w:rsidRPr="00757D20">
        <w:t>“</w:t>
      </w:r>
      <w:r w:rsidRPr="00757D20">
        <w:t>lower</w:t>
      </w:r>
      <w:r w:rsidR="00AC39BF" w:rsidRPr="00757D20">
        <w:t>”</w:t>
      </w:r>
      <w:r w:rsidRPr="00757D20">
        <w:t xml:space="preserve"> (</w:t>
      </w:r>
      <w:proofErr w:type="spellStart"/>
      <w:r w:rsidRPr="00757D20">
        <w:t>Prodonovich</w:t>
      </w:r>
      <w:proofErr w:type="spellEnd"/>
      <w:r w:rsidRPr="00757D20">
        <w:t xml:space="preserve"> et al., </w:t>
      </w:r>
      <w:r w:rsidRPr="00757D20">
        <w:lastRenderedPageBreak/>
        <w:t>2014). This perspective unsettles rhetoric that devalues non-university pathways (Sellar et al., 2011) or positions vocational education pathways as second-rate (Gleeson et al., 2022; Walker, 2019). The Universities Accord final report acknowledges the need for VET to be supported for the complementary strengths it brings to tertiary education (Department of Education, 2024a). In fact, the Accord calls for a system in which students can “</w:t>
      </w:r>
      <w:r w:rsidRPr="00757D20">
        <w:rPr>
          <w:rFonts w:cs="Myriad Pro Light"/>
          <w:color w:val="000000"/>
        </w:rPr>
        <w:t>more seamlessly navigate between VET and higher education” (Department of Education, 2024a, p. 3) and which allows for “cross-provision” between VET and higher education (Department of Education, 2024a, p. 7). This opens the door to a more interconnected and perhaps less hierarchical tertiary education system in the future.</w:t>
      </w:r>
    </w:p>
    <w:p w14:paraId="7BD99314" w14:textId="77777777" w:rsidR="00140221" w:rsidRPr="00757D20" w:rsidRDefault="00140221" w:rsidP="00140221">
      <w:pPr>
        <w:pStyle w:val="Heading2"/>
      </w:pPr>
      <w:bookmarkStart w:id="25" w:name="_Toc219977200"/>
      <w:r w:rsidRPr="00757D20">
        <w:t>Higher education in uncertain times</w:t>
      </w:r>
      <w:bookmarkEnd w:id="25"/>
    </w:p>
    <w:p w14:paraId="6EA8B22D" w14:textId="1D356FA3" w:rsidR="00473E5D" w:rsidRPr="00757D20" w:rsidRDefault="00906E88" w:rsidP="00473E5D">
      <w:r w:rsidRPr="00757D20">
        <w:t>Within this context</w:t>
      </w:r>
      <w:r w:rsidR="00473E5D" w:rsidRPr="00757D20">
        <w:t xml:space="preserve">, questions have been raised </w:t>
      </w:r>
      <w:r w:rsidR="00ED3836" w:rsidRPr="00757D20">
        <w:t xml:space="preserve">about </w:t>
      </w:r>
      <w:r w:rsidR="00473E5D" w:rsidRPr="00757D20">
        <w:t xml:space="preserve">whether it remains reasonable, in today’s changing economic and employment climate, to assume that university participation </w:t>
      </w:r>
      <w:r w:rsidR="00ED3836" w:rsidRPr="00757D20">
        <w:t>provides</w:t>
      </w:r>
      <w:r w:rsidR="00473E5D" w:rsidRPr="00757D20">
        <w:t xml:space="preserve"> a guaranteed pathway into secure, well-paid employment (Sellar et al., 2011). For some young people, the </w:t>
      </w:r>
      <w:r w:rsidR="00277773" w:rsidRPr="00757D20">
        <w:t xml:space="preserve">concept of </w:t>
      </w:r>
      <w:r w:rsidR="00DE2438" w:rsidRPr="00757D20">
        <w:t xml:space="preserve">a </w:t>
      </w:r>
      <w:r w:rsidR="00473E5D" w:rsidRPr="00757D20">
        <w:t xml:space="preserve">“graduate waiting room” (Coleman, 2022, p. 98) reflects the challenges graduates can face when seeking employment </w:t>
      </w:r>
      <w:r w:rsidR="0052078C" w:rsidRPr="00757D20">
        <w:t>as</w:t>
      </w:r>
      <w:r w:rsidR="00473E5D" w:rsidRPr="00757D20">
        <w:t xml:space="preserve"> they leave university. Young people face an emerging “divergence between [their] aspirations and the opportunities in front of [them]” (Rayn</w:t>
      </w:r>
      <w:r w:rsidR="00ED277F" w:rsidRPr="00757D20">
        <w:t>e</w:t>
      </w:r>
      <w:r w:rsidR="00473E5D" w:rsidRPr="00757D20">
        <w:t xml:space="preserve">r, 2016, p.77), with traditional, predictable pathways from university to a career now less stable (Ansell et al., 2022; Raciti, 2019). </w:t>
      </w:r>
      <w:r w:rsidR="00F96D62" w:rsidRPr="00757D20">
        <w:t>C</w:t>
      </w:r>
      <w:r w:rsidR="00473E5D" w:rsidRPr="00757D20">
        <w:t xml:space="preserve">alls for “wider conversations as to what higher education represents” (Tham et al., 2023, p. 10) </w:t>
      </w:r>
      <w:r w:rsidR="00EE0E4A" w:rsidRPr="00757D20">
        <w:t xml:space="preserve">challenge </w:t>
      </w:r>
      <w:r w:rsidR="00473E5D" w:rsidRPr="00757D20">
        <w:t xml:space="preserve">the “simple reductive model” (Rainford, 2023, p. 412) that links a lack of aspiration to lack of achievement and assumes employment is dependent on university qualifications. This oversimplification of the pathway from education to work is inadequate in an employment environment in which most people are likely to change jobs frequently </w:t>
      </w:r>
      <w:r w:rsidR="002A33B2" w:rsidRPr="00757D20">
        <w:t xml:space="preserve">during </w:t>
      </w:r>
      <w:r w:rsidR="00473E5D" w:rsidRPr="00757D20">
        <w:t>their working life, often requiring them to upskill as they transition into new roles throughout their adulthood (LeBlanc, 2018; Sinha, 2024).</w:t>
      </w:r>
    </w:p>
    <w:p w14:paraId="58C8591D" w14:textId="640EA2FB" w:rsidR="00473E5D" w:rsidRPr="00757D20" w:rsidRDefault="00473E5D" w:rsidP="00473E5D">
      <w:r w:rsidRPr="00757D20">
        <w:t>The idea of a volatile, uncertain, complex</w:t>
      </w:r>
      <w:r w:rsidR="00AC39BF" w:rsidRPr="00757D20">
        <w:t>,</w:t>
      </w:r>
      <w:r w:rsidRPr="00757D20">
        <w:t xml:space="preserve"> and ambiguous (VUCA) world is becoming increasingly relevant. First coined by the US military post-Cold War, th</w:t>
      </w:r>
      <w:r w:rsidR="008D4BCB" w:rsidRPr="00757D20">
        <w:t>is</w:t>
      </w:r>
      <w:r w:rsidRPr="00757D20">
        <w:t xml:space="preserve"> acronym summarises the overlapping challenges facing the world today (Stein, 2021) including “climate change, societal and political turmoil, and enormous and growing wealth inequity” (LeBlanc, 2018, p. 23). Interestingly, some scholars take a positive approach to these challenges, claiming that engagement with the challenges and uncertainty of a VUCA world can lead to </w:t>
      </w:r>
      <w:r w:rsidR="001F360C" w:rsidRPr="00757D20">
        <w:t xml:space="preserve">greater </w:t>
      </w:r>
      <w:r w:rsidRPr="00757D20">
        <w:t>vision and opportunity (Johansen &amp; Euchner, 2013). Uncertainty can be viewed as motivating, generative</w:t>
      </w:r>
      <w:r w:rsidR="00117565" w:rsidRPr="00757D20">
        <w:t>,</w:t>
      </w:r>
      <w:r w:rsidRPr="00757D20">
        <w:t xml:space="preserve"> and productive as some young people find new ways to face a changing world (Ansell et al., 2022). In terms of higher education, VUCA emphasises the need for innovative approaches, including lifelong learning opportunities from diverse providers, personalised education tailored to individual needs, and awareness of the impact of technology on certain job roles (LeBlanc, 2018). Current working conditions might also be the push </w:t>
      </w:r>
      <w:r w:rsidR="00952132" w:rsidRPr="00757D20">
        <w:t xml:space="preserve">needed by </w:t>
      </w:r>
      <w:r w:rsidRPr="00757D20">
        <w:t xml:space="preserve">school leaders, career practitioners, and even governments to reconsider and reform contemporary attitudes towards careers </w:t>
      </w:r>
      <w:r w:rsidR="00505697" w:rsidRPr="00757D20">
        <w:t>and post-school pathways more broadly</w:t>
      </w:r>
      <w:r w:rsidRPr="00757D20">
        <w:t xml:space="preserve"> (Walsh et al., 2021).</w:t>
      </w:r>
    </w:p>
    <w:p w14:paraId="3E2D773D" w14:textId="77777777" w:rsidR="00BA24CA" w:rsidRPr="00757D20" w:rsidRDefault="00BA24CA" w:rsidP="00BA24CA">
      <w:pPr>
        <w:pStyle w:val="Heading3"/>
      </w:pPr>
      <w:bookmarkStart w:id="26" w:name="_Toc219977201"/>
      <w:r w:rsidRPr="00757D20">
        <w:t>The economic landscape</w:t>
      </w:r>
      <w:bookmarkEnd w:id="26"/>
    </w:p>
    <w:p w14:paraId="438FCE0B" w14:textId="4A730327" w:rsidR="00F27856" w:rsidRPr="00757D20" w:rsidRDefault="00F27856" w:rsidP="00F27856">
      <w:r w:rsidRPr="00757D20">
        <w:t xml:space="preserve">In many nations, the economic landscape impacts young people in their day-to-day experiences as students. Nascent research on the current cost-of-living crisis in the United </w:t>
      </w:r>
      <w:r w:rsidRPr="00757D20">
        <w:lastRenderedPageBreak/>
        <w:t>States and United Kingdom</w:t>
      </w:r>
      <w:r w:rsidR="00191E6C" w:rsidRPr="00757D20">
        <w:t>, for example,</w:t>
      </w:r>
      <w:r w:rsidRPr="00757D20">
        <w:t xml:space="preserve"> acknowledges that university students are feeling the burden of increasing financial pressures, impacting their access to food, daily travel, healthcare (National Union of Students [UK], 2024)</w:t>
      </w:r>
      <w:r w:rsidR="006952B7" w:rsidRPr="00757D20">
        <w:t>,</w:t>
      </w:r>
      <w:r w:rsidRPr="00757D20">
        <w:t xml:space="preserve"> and affordable housing (Higher Education Policy Institute, 2023; Wood &amp; Schuch, 2021), especially if they were already economically disadvantaged (Wicklow, 2023). In Australia, the National Union of Students (2022) reported that</w:t>
      </w:r>
      <w:r w:rsidR="00C738F2" w:rsidRPr="00757D20">
        <w:t>,</w:t>
      </w:r>
      <w:r w:rsidRPr="00757D20">
        <w:t xml:space="preserve"> post-COVID-19, seven out of 10 young people studying full-time struggled with high rent and cost-of-living pressures and </w:t>
      </w:r>
      <w:r w:rsidR="002F2E43" w:rsidRPr="00757D20">
        <w:t>can</w:t>
      </w:r>
      <w:r w:rsidR="00DF0BDF" w:rsidRPr="00757D20">
        <w:t>not</w:t>
      </w:r>
      <w:r w:rsidRPr="00757D20">
        <w:t xml:space="preserve"> find enough work to support themselves. Many of these young people were not eligible for Youth Allowance as they were under 22 years old, Centrelink’s</w:t>
      </w:r>
      <w:r w:rsidRPr="00757D20">
        <w:rPr>
          <w:rStyle w:val="FootnoteReference"/>
        </w:rPr>
        <w:footnoteReference w:id="6"/>
      </w:r>
      <w:r w:rsidRPr="00757D20">
        <w:t xml:space="preserve"> </w:t>
      </w:r>
      <w:r w:rsidR="00EE1F32" w:rsidRPr="00757D20">
        <w:t>“</w:t>
      </w:r>
      <w:r w:rsidRPr="00757D20">
        <w:t>age of independence</w:t>
      </w:r>
      <w:r w:rsidR="00EE1F32" w:rsidRPr="00757D20">
        <w:t>”</w:t>
      </w:r>
      <w:r w:rsidRPr="00757D20">
        <w:t xml:space="preserve"> (National Union of Students, 2022). For </w:t>
      </w:r>
      <w:r w:rsidR="00EA7A42" w:rsidRPr="00757D20">
        <w:t xml:space="preserve">such </w:t>
      </w:r>
      <w:r w:rsidRPr="00757D20">
        <w:t>students, it is expected that their parents will support them, unless there are exceptional circumstances which mean that they must live away from home (Services Australia, 2022).</w:t>
      </w:r>
    </w:p>
    <w:p w14:paraId="7EE063EB" w14:textId="5EE05F00" w:rsidR="00F27856" w:rsidRPr="00757D20" w:rsidRDefault="00F27856" w:rsidP="00F27856">
      <w:r w:rsidRPr="00757D20">
        <w:t>The financial burden of studying at university is felt in different ways</w:t>
      </w:r>
      <w:r w:rsidR="00EB5F3B" w:rsidRPr="00757D20">
        <w:t xml:space="preserve">, but for </w:t>
      </w:r>
      <w:r w:rsidRPr="00757D20">
        <w:t xml:space="preserve">students </w:t>
      </w:r>
      <w:r w:rsidR="00864F10" w:rsidRPr="00757D20">
        <w:t>in</w:t>
      </w:r>
      <w:r w:rsidRPr="00757D20">
        <w:t xml:space="preserve"> multiple equity groups, </w:t>
      </w:r>
      <w:r w:rsidR="005B2745" w:rsidRPr="00757D20">
        <w:t xml:space="preserve">the </w:t>
      </w:r>
      <w:r w:rsidRPr="00757D20">
        <w:t xml:space="preserve">challenges in both entering and completing higher education can compound (Devlin &amp; McKay, 2018). Many students are obliged to work to support themselves financially, with the latest Universities Australia student finance survey revealing that almost a third of full-time students in Australia work more than 20 hours per week and a quarter regularly miss classes because they need to work (Universities Australia, 2017). </w:t>
      </w:r>
      <w:r w:rsidR="00F53A7B" w:rsidRPr="00757D20">
        <w:t>S</w:t>
      </w:r>
      <w:r w:rsidRPr="00757D20">
        <w:t xml:space="preserve">tudents </w:t>
      </w:r>
      <w:r w:rsidR="00F53A7B" w:rsidRPr="00757D20">
        <w:t xml:space="preserve">who </w:t>
      </w:r>
      <w:r w:rsidRPr="00757D20">
        <w:t xml:space="preserve">have caring commitments </w:t>
      </w:r>
      <w:r w:rsidR="00196CE7" w:rsidRPr="00757D20">
        <w:t xml:space="preserve">often </w:t>
      </w:r>
      <w:r w:rsidR="00640344" w:rsidRPr="00757D20">
        <w:t xml:space="preserve">have </w:t>
      </w:r>
      <w:r w:rsidR="00BC3827" w:rsidRPr="00757D20">
        <w:t>reduced capacity</w:t>
      </w:r>
      <w:r w:rsidRPr="00757D20">
        <w:t xml:space="preserve"> to work, </w:t>
      </w:r>
      <w:r w:rsidR="0012321D" w:rsidRPr="00757D20">
        <w:t xml:space="preserve">which contributes </w:t>
      </w:r>
      <w:r w:rsidRPr="00757D20">
        <w:t xml:space="preserve">to psychological distress (Larcombe et al., 2016). Regional students experience diverse contexts and influences, but many </w:t>
      </w:r>
      <w:proofErr w:type="gramStart"/>
      <w:r w:rsidRPr="00757D20">
        <w:t>face</w:t>
      </w:r>
      <w:proofErr w:type="gramEnd"/>
      <w:r w:rsidRPr="00757D20">
        <w:t xml:space="preserve"> financial barriers such as the cost of relocating and limited access to affordable accommodation as obstacles to university (Fray et al., 2020). Course choice is also influenced by financial concerns, with those from low SES backgrounds more likely than their higher SES peers to choose university courses that lead directly to employment (Cunninghame et al., 2020). </w:t>
      </w:r>
      <w:r w:rsidR="00083D89" w:rsidRPr="00757D20">
        <w:t>In this way, h</w:t>
      </w:r>
      <w:r w:rsidRPr="00757D20">
        <w:t xml:space="preserve">igher education </w:t>
      </w:r>
      <w:r w:rsidR="00637F97" w:rsidRPr="00757D20">
        <w:t xml:space="preserve">can be </w:t>
      </w:r>
      <w:r w:rsidRPr="00757D20">
        <w:t xml:space="preserve">positioned </w:t>
      </w:r>
      <w:proofErr w:type="gramStart"/>
      <w:r w:rsidRPr="00757D20">
        <w:t xml:space="preserve">as </w:t>
      </w:r>
      <w:r w:rsidR="00260A2E" w:rsidRPr="00757D20">
        <w:t xml:space="preserve">a </w:t>
      </w:r>
      <w:r w:rsidRPr="00757D20">
        <w:t>means to</w:t>
      </w:r>
      <w:proofErr w:type="gramEnd"/>
      <w:r w:rsidRPr="00757D20">
        <w:t xml:space="preserve"> overcome disadvantage, with students making deliberate choices to navigate towards financial security (Devlin &amp; McKay, 2018).</w:t>
      </w:r>
    </w:p>
    <w:p w14:paraId="01662C1B" w14:textId="091C5A45" w:rsidR="00F27856" w:rsidRPr="00757D20" w:rsidRDefault="00F27856" w:rsidP="00F27856">
      <w:r w:rsidRPr="00757D20">
        <w:t>Financial pressures are compounded for students with compulsory internships in degrees such as social work, nursing</w:t>
      </w:r>
      <w:r w:rsidR="006B294A" w:rsidRPr="00757D20">
        <w:t>,</w:t>
      </w:r>
      <w:r w:rsidRPr="00757D20">
        <w:t xml:space="preserve"> and education (Cassidy, 2024; Morley et al., 2022), some of whom </w:t>
      </w:r>
      <w:proofErr w:type="gramStart"/>
      <w:r w:rsidRPr="00757D20">
        <w:t>have to</w:t>
      </w:r>
      <w:proofErr w:type="gramEnd"/>
      <w:r w:rsidRPr="00757D20">
        <w:t xml:space="preserve"> sacrifice paid work or relocate to complete </w:t>
      </w:r>
      <w:r w:rsidR="00404D16" w:rsidRPr="00757D20">
        <w:t>this requirement</w:t>
      </w:r>
      <w:r w:rsidRPr="00757D20">
        <w:t xml:space="preserve"> (Department of Education, 2024a). Students in equity groups are particularly vulnerable to </w:t>
      </w:r>
      <w:r w:rsidR="004601D5" w:rsidRPr="00757D20">
        <w:t xml:space="preserve">this </w:t>
      </w:r>
      <w:r w:rsidR="00A53831" w:rsidRPr="00757D20">
        <w:t>“</w:t>
      </w:r>
      <w:r w:rsidRPr="00757D20">
        <w:t>placement poverty</w:t>
      </w:r>
      <w:r w:rsidR="00A53831" w:rsidRPr="00757D20">
        <w:t>”</w:t>
      </w:r>
      <w:r w:rsidRPr="00757D20">
        <w:t xml:space="preserve"> as they may already face financial stress and</w:t>
      </w:r>
      <w:r w:rsidR="003B1247" w:rsidRPr="00757D20">
        <w:t>/or</w:t>
      </w:r>
      <w:r w:rsidR="005C1932" w:rsidRPr="00757D20">
        <w:t xml:space="preserve"> </w:t>
      </w:r>
      <w:r w:rsidRPr="00757D20">
        <w:t>live in regional or rural areas where accessing suitable workplaces is challenging (Universities Australia, 2019). The unpaid status of most internships suggests the government assume</w:t>
      </w:r>
      <w:r w:rsidR="00847632" w:rsidRPr="00757D20">
        <w:t>s</w:t>
      </w:r>
      <w:r w:rsidRPr="00757D20">
        <w:t xml:space="preserve"> university students can rely on financial support from their families (Oke et al., 2023). However, research suggests this is not the case; even prior to the current </w:t>
      </w:r>
      <w:r w:rsidR="00A53831" w:rsidRPr="00757D20">
        <w:t>“</w:t>
      </w:r>
      <w:r w:rsidRPr="00757D20">
        <w:t>cost-of-living crisis,</w:t>
      </w:r>
      <w:r w:rsidR="00A53831" w:rsidRPr="00757D20">
        <w:t>”</w:t>
      </w:r>
      <w:r w:rsidRPr="00757D20">
        <w:t xml:space="preserve"> more than 70% of full-time undergraduate students were employed during the semester (Universities Australia, 2018)</w:t>
      </w:r>
      <w:r w:rsidR="00B66B82" w:rsidRPr="00757D20">
        <w:t>. W</w:t>
      </w:r>
      <w:r w:rsidRPr="00757D20">
        <w:t xml:space="preserve">orking while studying is </w:t>
      </w:r>
      <w:r w:rsidR="00B74D24" w:rsidRPr="00757D20">
        <w:t xml:space="preserve">exacerbating </w:t>
      </w:r>
      <w:r w:rsidRPr="00757D20">
        <w:t>student stress levels (Ross, 2023). The Universities Accord final report directly addresse</w:t>
      </w:r>
      <w:r w:rsidR="00910894" w:rsidRPr="00757D20">
        <w:t>d</w:t>
      </w:r>
      <w:r w:rsidRPr="00757D20">
        <w:t xml:space="preserve"> </w:t>
      </w:r>
      <w:r w:rsidR="00A53831" w:rsidRPr="00757D20">
        <w:t>“</w:t>
      </w:r>
      <w:r w:rsidRPr="00757D20">
        <w:t>placement poverty,</w:t>
      </w:r>
      <w:r w:rsidR="00A53831" w:rsidRPr="00757D20">
        <w:t>”</w:t>
      </w:r>
      <w:r w:rsidRPr="00757D20">
        <w:t xml:space="preserve"> with the recommendation that universities and government work to provide financial support for these students (Department of Education, 2024a). As a result, in May 2024, the Commonwealth announced that the budget would include a means</w:t>
      </w:r>
      <w:r w:rsidR="002A7A97" w:rsidRPr="00757D20">
        <w:t>-</w:t>
      </w:r>
      <w:r w:rsidRPr="00757D20">
        <w:t xml:space="preserve">tested $320 per week </w:t>
      </w:r>
      <w:r w:rsidR="00A53831" w:rsidRPr="00757D20">
        <w:t>“</w:t>
      </w:r>
      <w:proofErr w:type="spellStart"/>
      <w:r w:rsidR="006A01CF" w:rsidRPr="00757D20">
        <w:t>p</w:t>
      </w:r>
      <w:r w:rsidRPr="00757D20">
        <w:t>rac</w:t>
      </w:r>
      <w:proofErr w:type="spellEnd"/>
      <w:r w:rsidRPr="00757D20">
        <w:t xml:space="preserve"> </w:t>
      </w:r>
      <w:r w:rsidR="006A01CF" w:rsidRPr="00757D20">
        <w:t>p</w:t>
      </w:r>
      <w:r w:rsidRPr="00757D20">
        <w:t>ayment</w:t>
      </w:r>
      <w:r w:rsidR="00A53831" w:rsidRPr="00757D20">
        <w:t>”</w:t>
      </w:r>
      <w:r w:rsidRPr="00757D20">
        <w:t xml:space="preserve"> for teaching, nursing, midwifery</w:t>
      </w:r>
      <w:r w:rsidR="00F07969" w:rsidRPr="00757D20">
        <w:t>,</w:t>
      </w:r>
      <w:r w:rsidRPr="00757D20">
        <w:t xml:space="preserve"> and social work students (Department of Education, 2024c). This payment m</w:t>
      </w:r>
      <w:r w:rsidR="002A7A97" w:rsidRPr="00757D20">
        <w:t>ight</w:t>
      </w:r>
      <w:r w:rsidRPr="00757D20">
        <w:t xml:space="preserve"> go some way towards supporting some students for whom placements</w:t>
      </w:r>
      <w:r w:rsidR="009C6522" w:rsidRPr="00757D20">
        <w:rPr>
          <w:rFonts w:eastAsia="Times New Roman" w:cs="Times New Roman"/>
          <w:kern w:val="0"/>
          <w:lang w:eastAsia="en-AU"/>
          <w14:ligatures w14:val="none"/>
        </w:rPr>
        <w:t>—</w:t>
      </w:r>
      <w:r w:rsidRPr="00757D20">
        <w:t xml:space="preserve">and </w:t>
      </w:r>
      <w:r w:rsidRPr="00757D20">
        <w:lastRenderedPageBreak/>
        <w:t>therefore completing their degree</w:t>
      </w:r>
      <w:r w:rsidR="009C6522" w:rsidRPr="00757D20">
        <w:rPr>
          <w:rFonts w:eastAsia="Times New Roman" w:cs="Times New Roman"/>
          <w:kern w:val="0"/>
          <w:lang w:eastAsia="en-AU"/>
          <w14:ligatures w14:val="none"/>
        </w:rPr>
        <w:t>—</w:t>
      </w:r>
      <w:r w:rsidRPr="00757D20">
        <w:t xml:space="preserve">might otherwise </w:t>
      </w:r>
      <w:r w:rsidR="00D92C17" w:rsidRPr="00757D20">
        <w:t>pos</w:t>
      </w:r>
      <w:r w:rsidR="00D12B57" w:rsidRPr="00757D20">
        <w:t>e</w:t>
      </w:r>
      <w:r w:rsidR="00D92C17" w:rsidRPr="00757D20">
        <w:t xml:space="preserve"> too great an economic challenge</w:t>
      </w:r>
      <w:r w:rsidRPr="00757D20">
        <w:t xml:space="preserve"> (Oke et al., 2023). </w:t>
      </w:r>
    </w:p>
    <w:p w14:paraId="3A96190B" w14:textId="77777777" w:rsidR="00F27856" w:rsidRPr="00757D20" w:rsidRDefault="00F27856" w:rsidP="00BA24CA">
      <w:pPr>
        <w:pStyle w:val="Heading3"/>
      </w:pPr>
      <w:bookmarkStart w:id="27" w:name="_Toc219977202"/>
      <w:r w:rsidRPr="00757D20">
        <w:t>The digital landscape</w:t>
      </w:r>
      <w:bookmarkEnd w:id="27"/>
    </w:p>
    <w:p w14:paraId="6EA9F3AF" w14:textId="39A9E345" w:rsidR="000C3D43" w:rsidRPr="00757D20" w:rsidRDefault="000C3D43" w:rsidP="000C3D43">
      <w:r w:rsidRPr="00757D20">
        <w:t>The changing digital landscape also has implications for access to post-school pathways. The COVID-19 pandemic accelerated trends towards the use of digital technologies in higher education, transforming the “educational ecosystem” and altering learning environments, pedagogy, and management processes (</w:t>
      </w:r>
      <w:bookmarkStart w:id="28" w:name="_Hlk187832479"/>
      <w:proofErr w:type="spellStart"/>
      <w:r w:rsidRPr="00757D20">
        <w:t>Matsieli</w:t>
      </w:r>
      <w:proofErr w:type="spellEnd"/>
      <w:r w:rsidRPr="00757D20">
        <w:t xml:space="preserve"> &amp; Mutula, 2024</w:t>
      </w:r>
      <w:bookmarkEnd w:id="28"/>
      <w:r w:rsidRPr="00757D20">
        <w:t>, p. 2). This new “panic-</w:t>
      </w:r>
      <w:proofErr w:type="spellStart"/>
      <w:r w:rsidRPr="00757D20">
        <w:t>gogy</w:t>
      </w:r>
      <w:proofErr w:type="spellEnd"/>
      <w:r w:rsidRPr="00757D20">
        <w:t>” required sudden and often un-prepared changes (Price et al., 2022, p. 19), some of which had the potential to make higher education more inclusive, improving opportunities for regional and remote students and those with disabilities (</w:t>
      </w:r>
      <w:proofErr w:type="spellStart"/>
      <w:r w:rsidRPr="00757D20">
        <w:t>Matsieli</w:t>
      </w:r>
      <w:proofErr w:type="spellEnd"/>
      <w:r w:rsidRPr="00757D20">
        <w:t xml:space="preserve"> &amp; Mutula, 2024)</w:t>
      </w:r>
      <w:r w:rsidR="0021729D" w:rsidRPr="00757D20">
        <w:t>,</w:t>
      </w:r>
      <w:r w:rsidRPr="00757D20">
        <w:t xml:space="preserve"> and </w:t>
      </w:r>
      <w:r w:rsidR="0021729D" w:rsidRPr="00757D20">
        <w:t xml:space="preserve">to </w:t>
      </w:r>
      <w:r w:rsidRPr="00757D20">
        <w:t>teach students digital skills (Filho et al., 2023). Post-</w:t>
      </w:r>
      <w:r w:rsidR="00E610B2" w:rsidRPr="00757D20">
        <w:t>pandemic</w:t>
      </w:r>
      <w:r w:rsidRPr="00757D20">
        <w:t>, some students now prefer blended learning options</w:t>
      </w:r>
      <w:r w:rsidR="009C6522" w:rsidRPr="00757D20">
        <w:rPr>
          <w:rFonts w:eastAsia="Times New Roman" w:cs="Times New Roman"/>
          <w:kern w:val="0"/>
          <w:lang w:eastAsia="en-AU"/>
          <w14:ligatures w14:val="none"/>
        </w:rPr>
        <w:t>—</w:t>
      </w:r>
      <w:r w:rsidRPr="00757D20">
        <w:t xml:space="preserve">perhaps </w:t>
      </w:r>
      <w:r w:rsidR="00D32E5F" w:rsidRPr="00757D20">
        <w:t xml:space="preserve">because </w:t>
      </w:r>
      <w:r w:rsidR="00690692" w:rsidRPr="00757D20">
        <w:t xml:space="preserve">they </w:t>
      </w:r>
      <w:r w:rsidRPr="00757D20">
        <w:t>reduce</w:t>
      </w:r>
      <w:r w:rsidRPr="00757D20" w:rsidDel="00690692">
        <w:t xml:space="preserve"> </w:t>
      </w:r>
      <w:r w:rsidRPr="00757D20">
        <w:t xml:space="preserve">travel time and provide more flexibility to engage in paid work (Mehta et al., 2024). However, it is important to note the digital gap experienced by those with limited access to information and communication technology infrastructure and skills </w:t>
      </w:r>
      <w:bookmarkStart w:id="29" w:name="_Hlk187837677"/>
      <w:r w:rsidRPr="00757D20">
        <w:t>(</w:t>
      </w:r>
      <w:proofErr w:type="spellStart"/>
      <w:r w:rsidRPr="00757D20">
        <w:t>Matsieli</w:t>
      </w:r>
      <w:proofErr w:type="spellEnd"/>
      <w:r w:rsidRPr="00757D20">
        <w:t xml:space="preserve"> &amp; Mutula, 2024)</w:t>
      </w:r>
      <w:bookmarkEnd w:id="29"/>
      <w:r w:rsidRPr="00757D20">
        <w:t xml:space="preserve">. During the pandemic, this </w:t>
      </w:r>
      <w:r w:rsidR="00C7434A" w:rsidRPr="00757D20">
        <w:t xml:space="preserve">challenge </w:t>
      </w:r>
      <w:r w:rsidRPr="00757D20">
        <w:t xml:space="preserve">was particularly </w:t>
      </w:r>
      <w:r w:rsidR="00C7434A" w:rsidRPr="00757D20">
        <w:t xml:space="preserve">great </w:t>
      </w:r>
      <w:r w:rsidRPr="00757D20">
        <w:t>for those in low</w:t>
      </w:r>
      <w:r w:rsidR="00D87018" w:rsidRPr="00757D20">
        <w:t xml:space="preserve"> </w:t>
      </w:r>
      <w:r w:rsidRPr="00757D20">
        <w:t>SES communities or living away from metropolitan areas (Catalano et al., 2021; Drane et al., 2020; O’Shea et al., 2021). As trends towards digitalisation have often not been reversed post-pandemic (Pham &amp; Chau, 2024; Price et al., 2022)</w:t>
      </w:r>
      <w:r w:rsidR="00D87018" w:rsidRPr="00757D20">
        <w:t>,</w:t>
      </w:r>
      <w:r w:rsidRPr="00757D20">
        <w:t xml:space="preserve"> these challenges must be addressed. </w:t>
      </w:r>
    </w:p>
    <w:p w14:paraId="08F665CE" w14:textId="1825281C" w:rsidR="000C3D43" w:rsidRPr="00757D20" w:rsidRDefault="000C3D43" w:rsidP="000C3D43">
      <w:r w:rsidRPr="00757D20">
        <w:t>AI also has an increasing presence in all aspects of society, with many fearing that it may replace human workers (</w:t>
      </w:r>
      <w:proofErr w:type="spellStart"/>
      <w:r w:rsidRPr="00757D20">
        <w:t>Mabungela</w:t>
      </w:r>
      <w:proofErr w:type="spellEnd"/>
      <w:r w:rsidRPr="00757D20">
        <w:t xml:space="preserve">, 2023; </w:t>
      </w:r>
      <w:proofErr w:type="spellStart"/>
      <w:r w:rsidRPr="00757D20">
        <w:t>Mirbabaie</w:t>
      </w:r>
      <w:proofErr w:type="spellEnd"/>
      <w:r w:rsidRPr="00757D20">
        <w:t xml:space="preserve"> et al., 2022). AI has been found to threaten workers’ sense of professional identity and self-esteem as they feel their livelihoods are threatened (</w:t>
      </w:r>
      <w:proofErr w:type="spellStart"/>
      <w:r w:rsidRPr="00757D20">
        <w:t>Mirbabaie</w:t>
      </w:r>
      <w:proofErr w:type="spellEnd"/>
      <w:r w:rsidRPr="00757D20">
        <w:t xml:space="preserve"> et al., 2022). One study, for example, found that while many people are confused about AI, and </w:t>
      </w:r>
      <w:r w:rsidR="00C7434A" w:rsidRPr="00757D20">
        <w:t xml:space="preserve">more than </w:t>
      </w:r>
      <w:r w:rsidRPr="00757D20">
        <w:t>60% of respondents believed AI will increase efficiency</w:t>
      </w:r>
      <w:r w:rsidR="002F100D" w:rsidRPr="00757D20">
        <w:t xml:space="preserve"> and</w:t>
      </w:r>
      <w:r w:rsidRPr="00757D20">
        <w:t xml:space="preserve"> mak</w:t>
      </w:r>
      <w:r w:rsidR="002F100D" w:rsidRPr="00757D20">
        <w:t>e</w:t>
      </w:r>
      <w:r w:rsidRPr="00757D20">
        <w:t xml:space="preserve"> life easier, around half worried that unemployment will rise and social </w:t>
      </w:r>
      <w:r w:rsidR="00312726" w:rsidRPr="00757D20">
        <w:t>inequities</w:t>
      </w:r>
      <w:r w:rsidRPr="00757D20">
        <w:t xml:space="preserve"> will deepen (Bozkurt &amp; Gursoy, 2023). Interestingly, the study also found those who were trying to </w:t>
      </w:r>
      <w:r w:rsidR="003538BD" w:rsidRPr="00757D20">
        <w:t xml:space="preserve">enter, </w:t>
      </w:r>
      <w:r w:rsidRPr="00757D20">
        <w:t>or had just entered</w:t>
      </w:r>
      <w:r w:rsidR="00F053AA" w:rsidRPr="00757D20">
        <w:t>,</w:t>
      </w:r>
      <w:r w:rsidRPr="00757D20">
        <w:t xml:space="preserve"> the workforce</w:t>
      </w:r>
      <w:r w:rsidR="00323DB2" w:rsidRPr="00757D20">
        <w:t xml:space="preserve"> </w:t>
      </w:r>
      <w:r w:rsidRPr="00757D20">
        <w:t>held more anxiety regarding AI’s impact on employment compared to those who were slightly older</w:t>
      </w:r>
      <w:r w:rsidR="006D4B90" w:rsidRPr="00757D20">
        <w:t xml:space="preserve"> </w:t>
      </w:r>
      <w:r w:rsidRPr="00757D20">
        <w:t xml:space="preserve">but already employed, with the authors suggesting the </w:t>
      </w:r>
      <w:r w:rsidR="00216051" w:rsidRPr="00757D20">
        <w:t xml:space="preserve">greater </w:t>
      </w:r>
      <w:r w:rsidRPr="00757D20">
        <w:t xml:space="preserve">awareness </w:t>
      </w:r>
      <w:r w:rsidR="006D4B90" w:rsidRPr="00757D20">
        <w:t>of</w:t>
      </w:r>
      <w:r w:rsidRPr="00757D20">
        <w:t xml:space="preserve"> AI in young people might exacerbate their fears (Bozkurt &amp; Gursoy, 2023).  </w:t>
      </w:r>
    </w:p>
    <w:p w14:paraId="69D41E97" w14:textId="77777777" w:rsidR="000C3D43" w:rsidRPr="00757D20" w:rsidRDefault="000C3D43" w:rsidP="00BA24CA">
      <w:pPr>
        <w:pStyle w:val="Heading3"/>
      </w:pPr>
      <w:bookmarkStart w:id="30" w:name="_Toc219977203"/>
      <w:r w:rsidRPr="00757D20">
        <w:t>The health landscape</w:t>
      </w:r>
      <w:bookmarkEnd w:id="30"/>
    </w:p>
    <w:p w14:paraId="2DC8015D" w14:textId="3D275970" w:rsidR="00D64F00" w:rsidRPr="00757D20" w:rsidRDefault="00FA40F2" w:rsidP="00D64F00">
      <w:r w:rsidRPr="00757D20">
        <w:t>In the current climate, y</w:t>
      </w:r>
      <w:r w:rsidR="00D64F00" w:rsidRPr="00757D20">
        <w:t xml:space="preserve">oung people are </w:t>
      </w:r>
      <w:r w:rsidRPr="00757D20">
        <w:t>also</w:t>
      </w:r>
      <w:r w:rsidR="00D64F00" w:rsidRPr="00757D20">
        <w:t xml:space="preserve"> </w:t>
      </w:r>
      <w:r w:rsidR="006D7D49" w:rsidRPr="00757D20">
        <w:t xml:space="preserve">disproportionately </w:t>
      </w:r>
      <w:r w:rsidR="00D64F00" w:rsidRPr="00757D20">
        <w:t xml:space="preserve">impacted by mental ill-health, with </w:t>
      </w:r>
      <w:r w:rsidR="0068430E" w:rsidRPr="00757D20">
        <w:t xml:space="preserve">more than </w:t>
      </w:r>
      <w:r w:rsidR="00D64F00" w:rsidRPr="00757D20">
        <w:t xml:space="preserve">60% of those who experience mental ill-health during their lifetime experiencing symptoms before the age of 25 (Ramadan et al., 2023). Even before the COVID-19 pandemic, youth mental ill-health was impacting young people’s ability to complete high school, with </w:t>
      </w:r>
      <w:r w:rsidR="00D92031" w:rsidRPr="00757D20">
        <w:t xml:space="preserve">further </w:t>
      </w:r>
      <w:r w:rsidR="00D64F00" w:rsidRPr="00757D20">
        <w:t xml:space="preserve">impacts on educational and employment outcomes </w:t>
      </w:r>
      <w:r w:rsidR="002A4C03" w:rsidRPr="00757D20">
        <w:t>leading</w:t>
      </w:r>
      <w:r w:rsidR="00D64F00" w:rsidRPr="00757D20">
        <w:t xml:space="preserve"> to severe levels of disadvantage (Bowman et al., 2017). With at least 50% of young Australians experiencing mental ill-health, this trend has serious implications (McGorry, 2021). The situation was worse in rural populations in Australia</w:t>
      </w:r>
      <w:r w:rsidR="003A6235" w:rsidRPr="00757D20">
        <w:t>,</w:t>
      </w:r>
      <w:r w:rsidR="00D64F00" w:rsidRPr="00757D20">
        <w:t xml:space="preserve"> where there is less access to services and mental ill-health can go undiagnosed for longer periods </w:t>
      </w:r>
      <w:r w:rsidR="00C755EB" w:rsidRPr="00757D20">
        <w:t xml:space="preserve">of time </w:t>
      </w:r>
      <w:r w:rsidR="00D64F00" w:rsidRPr="00757D20">
        <w:t>(Bowman et al., 2017). There are</w:t>
      </w:r>
      <w:r w:rsidR="005F09ED" w:rsidRPr="00757D20">
        <w:t xml:space="preserve"> also</w:t>
      </w:r>
      <w:r w:rsidR="00D64F00" w:rsidRPr="00757D20">
        <w:t xml:space="preserve"> indications that student mental health has deteriorated since the pandemic (</w:t>
      </w:r>
      <w:proofErr w:type="spellStart"/>
      <w:r w:rsidR="00D64F00" w:rsidRPr="00757D20">
        <w:t>Jehi</w:t>
      </w:r>
      <w:proofErr w:type="spellEnd"/>
      <w:r w:rsidR="00D64F00" w:rsidRPr="00757D20">
        <w:t xml:space="preserve"> et al., 2023), with social isolation, uncertainty and emotional issues around change all contributing (O’Shea et al., 2021). Some scholars have called this a “shadow pandemic,” with a 25% global increase in anxiety and depression during 2020 (McGorry, </w:t>
      </w:r>
      <w:r w:rsidR="00D64F00" w:rsidRPr="00757D20">
        <w:lastRenderedPageBreak/>
        <w:t>2021). The impact across demographic groups is unequal</w:t>
      </w:r>
      <w:r w:rsidR="00992444" w:rsidRPr="00757D20">
        <w:t>,</w:t>
      </w:r>
      <w:r w:rsidR="00D64F00" w:rsidRPr="00757D20">
        <w:t xml:space="preserve"> with pre-</w:t>
      </w:r>
      <w:r w:rsidR="00E610B2" w:rsidRPr="00757D20">
        <w:t xml:space="preserve">pandemic </w:t>
      </w:r>
      <w:r w:rsidR="00D64F00" w:rsidRPr="00757D20">
        <w:t>inequalities exacerbated, especially for young people (McGorry, 2021).</w:t>
      </w:r>
    </w:p>
    <w:p w14:paraId="6CE91F81" w14:textId="4630E833" w:rsidR="00D64F00" w:rsidRPr="00757D20" w:rsidRDefault="00D64F00" w:rsidP="00D64F00">
      <w:r w:rsidRPr="00757D20">
        <w:t xml:space="preserve">Climate change has also been identified as impacting the mental health of young people. This trend occurs in two </w:t>
      </w:r>
      <w:r w:rsidR="00557FD1" w:rsidRPr="00757D20">
        <w:t xml:space="preserve">key </w:t>
      </w:r>
      <w:r w:rsidRPr="00757D20">
        <w:t>ways: first, via exposure to events such as floods and cyclones</w:t>
      </w:r>
      <w:r w:rsidR="00E610B2" w:rsidRPr="00757D20">
        <w:t>,</w:t>
      </w:r>
      <w:r w:rsidRPr="00757D20">
        <w:t xml:space="preserve"> which can lead to depression </w:t>
      </w:r>
      <w:r w:rsidR="00620C18" w:rsidRPr="00757D20">
        <w:t>or</w:t>
      </w:r>
      <w:r w:rsidRPr="00757D20">
        <w:t xml:space="preserve"> post-traumatic stress; and second, due to anxiety and worry about climate change (often referred to as climate anxiety), which have been associated with panic attacks, insomnia</w:t>
      </w:r>
      <w:r w:rsidR="00E610B2" w:rsidRPr="00757D20">
        <w:t>,</w:t>
      </w:r>
      <w:r w:rsidRPr="00757D20">
        <w:t xml:space="preserve"> and obsessive thinking (Ramadan et al., 2023; Wu et al., 2020). Indigenous people and those connected to the natural world, many of whom reside in non-Western countries, are most impacted by climate anxiety (Cowley-Cunningham et al., 2023). </w:t>
      </w:r>
      <w:r w:rsidR="00D914AA" w:rsidRPr="00757D20">
        <w:t>For example, o</w:t>
      </w:r>
      <w:r w:rsidRPr="00757D20">
        <w:t>ne Australian study indicated that climate anxiety can be more pronounced for people in First Nations communities as they experience loss of place, culture</w:t>
      </w:r>
      <w:r w:rsidR="00CA3D32" w:rsidRPr="00757D20">
        <w:t>,</w:t>
      </w:r>
      <w:r w:rsidRPr="00757D20">
        <w:t xml:space="preserve"> and identity when Country is impacted (Godden et al., 2021). </w:t>
      </w:r>
    </w:p>
    <w:p w14:paraId="20958FD4" w14:textId="1DBD605B" w:rsidR="00D64F00" w:rsidRPr="00757D20" w:rsidRDefault="00D64F00" w:rsidP="00D64F00">
      <w:r w:rsidRPr="00757D20">
        <w:t xml:space="preserve">Other factors </w:t>
      </w:r>
      <w:r w:rsidR="00400662" w:rsidRPr="00757D20">
        <w:t xml:space="preserve">similarly </w:t>
      </w:r>
      <w:r w:rsidRPr="00757D20">
        <w:t>impact young people’s mental health, with academic stress so common as to have become normalised (Jiménez-Mijangos et al., 2023). Sometimes th</w:t>
      </w:r>
      <w:r w:rsidR="008E75A2" w:rsidRPr="00757D20">
        <w:t>is</w:t>
      </w:r>
      <w:r w:rsidRPr="00757D20">
        <w:t xml:space="preserve"> stress serves to motivate students but</w:t>
      </w:r>
      <w:r w:rsidR="00853C66" w:rsidRPr="00757D20">
        <w:t>,</w:t>
      </w:r>
      <w:r w:rsidRPr="00757D20">
        <w:t xml:space="preserve"> conversely, stress often negatively </w:t>
      </w:r>
      <w:r w:rsidR="00E610B2" w:rsidRPr="00757D20">
        <w:t xml:space="preserve">affects </w:t>
      </w:r>
      <w:r w:rsidRPr="00757D20">
        <w:t>performance and can even lead students to leave school or university early (Jim</w:t>
      </w:r>
      <w:r w:rsidRPr="00757D20">
        <w:rPr>
          <w:rFonts w:cstheme="minorHAnsi"/>
        </w:rPr>
        <w:t>é</w:t>
      </w:r>
      <w:r w:rsidRPr="00757D20">
        <w:t>nez-Mijangos et al., 2023). One Australian longitudinal study</w:t>
      </w:r>
      <w:r w:rsidR="00476EAE" w:rsidRPr="00757D20">
        <w:t xml:space="preserve"> </w:t>
      </w:r>
      <w:r w:rsidRPr="00757D20">
        <w:t>found that anxiety increased over the final year of schooling, with 20-30% of students experiencing clinical levels of stress (Wuthrich et al., 2021). In another study on post-school pathways, mental ill-health was common among participants who reported feeling pressure to achieve highly in the final years of s</w:t>
      </w:r>
      <w:r w:rsidR="00476EAE" w:rsidRPr="00757D20">
        <w:t>econdary s</w:t>
      </w:r>
      <w:r w:rsidRPr="00757D20">
        <w:t>chool (</w:t>
      </w:r>
      <w:proofErr w:type="spellStart"/>
      <w:r w:rsidRPr="00757D20">
        <w:t>Jaremus</w:t>
      </w:r>
      <w:proofErr w:type="spellEnd"/>
      <w:r w:rsidRPr="00757D20">
        <w:t xml:space="preserve"> et al., 2022). The study found that anxiety and stress were exacerbated by the belief that a high ATAR</w:t>
      </w:r>
      <w:r w:rsidRPr="00757D20">
        <w:rPr>
          <w:rStyle w:val="FootnoteReference"/>
        </w:rPr>
        <w:footnoteReference w:id="7"/>
      </w:r>
      <w:r w:rsidRPr="00757D20">
        <w:t xml:space="preserve"> and university entry were often seen as the only pathway to the </w:t>
      </w:r>
      <w:r w:rsidR="00A56EE2" w:rsidRPr="00757D20">
        <w:t>“</w:t>
      </w:r>
      <w:r w:rsidRPr="00757D20">
        <w:t>good life,</w:t>
      </w:r>
      <w:r w:rsidR="00A56EE2" w:rsidRPr="00757D20">
        <w:t>”</w:t>
      </w:r>
      <w:r w:rsidRPr="00757D20">
        <w:t xml:space="preserve"> with other pathways deemed less worthy (</w:t>
      </w:r>
      <w:proofErr w:type="spellStart"/>
      <w:r w:rsidRPr="00757D20">
        <w:t>Jaremus</w:t>
      </w:r>
      <w:proofErr w:type="spellEnd"/>
      <w:r w:rsidRPr="00757D20">
        <w:t xml:space="preserve"> et al., 2023). </w:t>
      </w:r>
    </w:p>
    <w:p w14:paraId="3B67E1A3" w14:textId="77777777" w:rsidR="00B34731" w:rsidRPr="00757D20" w:rsidRDefault="00D64F00" w:rsidP="00D64F00">
      <w:pPr>
        <w:pStyle w:val="Heading3"/>
      </w:pPr>
      <w:bookmarkStart w:id="31" w:name="_Toc219977204"/>
      <w:r w:rsidRPr="00757D20">
        <w:t>The environmental landscape</w:t>
      </w:r>
      <w:bookmarkEnd w:id="31"/>
    </w:p>
    <w:p w14:paraId="1B47EAE1" w14:textId="266FC72C" w:rsidR="00B34731" w:rsidRPr="00757D20" w:rsidRDefault="00B34731" w:rsidP="00B34731">
      <w:r w:rsidRPr="00757D20">
        <w:t xml:space="preserve">Much of the literature on the impact of climate change on employment considers the influence of mitigation factors on current employment (see, for example, Chateau &amp; Saint-Martin, 2013; Godinho, 2022). The Intergovernmental Panel on Climate Change (IPCC), a body of the United Nations, observes that climate change has already </w:t>
      </w:r>
      <w:r w:rsidR="00E610B2" w:rsidRPr="00757D20">
        <w:t xml:space="preserve">affected </w:t>
      </w:r>
      <w:r w:rsidRPr="00757D20">
        <w:t>livelihoods</w:t>
      </w:r>
      <w:r w:rsidR="00117040" w:rsidRPr="00757D20">
        <w:t>,</w:t>
      </w:r>
      <w:r w:rsidRPr="00757D20">
        <w:t xml:space="preserve"> with the poorest and most vulnerable most at risk </w:t>
      </w:r>
      <w:r w:rsidR="004D1C77" w:rsidRPr="00757D20">
        <w:t xml:space="preserve">because of the </w:t>
      </w:r>
      <w:r w:rsidRPr="00757D20">
        <w:t>intersect</w:t>
      </w:r>
      <w:r w:rsidR="004D1C77" w:rsidRPr="00757D20">
        <w:t>ion</w:t>
      </w:r>
      <w:r w:rsidRPr="00757D20">
        <w:t xml:space="preserve"> with other social structures that shape inequality (IPCC, 2022). </w:t>
      </w:r>
    </w:p>
    <w:p w14:paraId="310A8A36" w14:textId="1E42C480" w:rsidR="00B34731" w:rsidRPr="00757D20" w:rsidRDefault="00B34731" w:rsidP="00B34731">
      <w:r w:rsidRPr="00757D20">
        <w:t>In Australian</w:t>
      </w:r>
      <w:r w:rsidR="000D55DD" w:rsidRPr="00757D20">
        <w:t>,</w:t>
      </w:r>
      <w:r w:rsidRPr="00757D20">
        <w:t xml:space="preserve"> </w:t>
      </w:r>
      <w:r w:rsidR="000D55DD" w:rsidRPr="00757D20">
        <w:t xml:space="preserve">those living in low-lying coastal areas </w:t>
      </w:r>
      <w:r w:rsidRPr="00757D20">
        <w:t>such as the Torres Strait, are particularly vulnerable to climate change, with severe consequences for traditional livelihoods (IPCC, 2022). With rising sea-levels and extreme weather events such as cyclones, fires</w:t>
      </w:r>
      <w:r w:rsidR="00E610B2" w:rsidRPr="00757D20">
        <w:t>,</w:t>
      </w:r>
      <w:r w:rsidRPr="00757D20">
        <w:t xml:space="preserve"> and floods </w:t>
      </w:r>
      <w:r w:rsidR="00327828" w:rsidRPr="00757D20">
        <w:t>due to</w:t>
      </w:r>
      <w:r w:rsidRPr="00757D20">
        <w:t xml:space="preserve"> global warming, agriculture and tourism will be impacted in many regions, with knock</w:t>
      </w:r>
      <w:r w:rsidR="00E610B2" w:rsidRPr="00757D20">
        <w:t>-</w:t>
      </w:r>
      <w:r w:rsidRPr="00757D20">
        <w:t xml:space="preserve">on effects for employment (Head et al., 2014). In the Hunter Valley of NSW, for example, which is close to the where our current study was mainly conducted, mining has long been a </w:t>
      </w:r>
      <w:r w:rsidR="005C1297" w:rsidRPr="00757D20">
        <w:t xml:space="preserve">major </w:t>
      </w:r>
      <w:r w:rsidRPr="00757D20">
        <w:t xml:space="preserve">employer. A shift towards alternative sources of energy will see a progressive decline in this industry with </w:t>
      </w:r>
      <w:r w:rsidR="001E2812" w:rsidRPr="00757D20">
        <w:t xml:space="preserve">significant </w:t>
      </w:r>
      <w:r w:rsidRPr="00757D20">
        <w:t>impacts on employment, sense of community</w:t>
      </w:r>
      <w:r w:rsidR="004D7D59" w:rsidRPr="00757D20">
        <w:t>,</w:t>
      </w:r>
      <w:r w:rsidRPr="00757D20">
        <w:t xml:space="preserve"> and way of life, unless alternative modes of employment are developed (Holmes et al., 2024).</w:t>
      </w:r>
    </w:p>
    <w:p w14:paraId="17FAFB6D" w14:textId="77777777" w:rsidR="00B34731" w:rsidRPr="00757D20" w:rsidRDefault="00B34731" w:rsidP="00D64F00">
      <w:pPr>
        <w:pStyle w:val="Heading3"/>
      </w:pPr>
      <w:bookmarkStart w:id="32" w:name="_Toc219977205"/>
      <w:r w:rsidRPr="00757D20">
        <w:lastRenderedPageBreak/>
        <w:t>Complexity and uncertainty</w:t>
      </w:r>
      <w:bookmarkEnd w:id="32"/>
    </w:p>
    <w:p w14:paraId="372FE910" w14:textId="46379F77" w:rsidR="00443C6F" w:rsidRPr="00757D20" w:rsidRDefault="00443C6F" w:rsidP="00443C6F">
      <w:r w:rsidRPr="00757D20">
        <w:t xml:space="preserve">In sum, uncertainty and social change can have a large and destabilising influence on how young people imagine their futures (Walsh &amp; Black, 2022). The evolving </w:t>
      </w:r>
      <w:r w:rsidR="00906D32" w:rsidRPr="00757D20">
        <w:t xml:space="preserve">effects </w:t>
      </w:r>
      <w:r w:rsidR="000D6D1A" w:rsidRPr="00757D20">
        <w:t>a</w:t>
      </w:r>
      <w:r w:rsidR="00C31E4C" w:rsidRPr="00757D20">
        <w:t>r</w:t>
      </w:r>
      <w:r w:rsidR="000D6D1A" w:rsidRPr="00757D20">
        <w:t>isi</w:t>
      </w:r>
      <w:r w:rsidR="00C31E4C" w:rsidRPr="00757D20">
        <w:t>ng from</w:t>
      </w:r>
      <w:r w:rsidR="000D6D1A" w:rsidRPr="00757D20">
        <w:t xml:space="preserve"> </w:t>
      </w:r>
      <w:r w:rsidRPr="00757D20">
        <w:t>the high cost of living, climate change</w:t>
      </w:r>
      <w:r w:rsidR="00FD3431" w:rsidRPr="00757D20">
        <w:t>,</w:t>
      </w:r>
      <w:r w:rsidRPr="00757D20">
        <w:t xml:space="preserve"> and AI create a complex environment for today’s young people as they plan their educational and career pathways. Rapid change is transforming the world of work (Ansell et al., 2022) and young people must navigate uncertainty “based on the capacity to understand the options available, avoiding immobility and failure to recognise opportunities or to promote and create them” (Colombo &amp; </w:t>
      </w:r>
      <w:proofErr w:type="spellStart"/>
      <w:r w:rsidRPr="00757D20">
        <w:t>Rebughini</w:t>
      </w:r>
      <w:proofErr w:type="spellEnd"/>
      <w:r w:rsidRPr="00757D20">
        <w:t>, 2019, p</w:t>
      </w:r>
      <w:r w:rsidR="00906D32" w:rsidRPr="00757D20">
        <w:t>p</w:t>
      </w:r>
      <w:r w:rsidRPr="00757D20">
        <w:t>. 8</w:t>
      </w:r>
      <w:r w:rsidR="00906D32" w:rsidRPr="00757D20">
        <w:t>–</w:t>
      </w:r>
      <w:r w:rsidRPr="00757D20">
        <w:t xml:space="preserve">9). This capacity will depend on young people’s contexts and the material and cultural resources available to them (Ansell et al., 2022; Colombo &amp; </w:t>
      </w:r>
      <w:proofErr w:type="spellStart"/>
      <w:r w:rsidRPr="00757D20">
        <w:t>Rebughini</w:t>
      </w:r>
      <w:proofErr w:type="spellEnd"/>
      <w:r w:rsidRPr="00757D20">
        <w:t xml:space="preserve">, 2019), with those </w:t>
      </w:r>
      <w:r w:rsidR="00750850" w:rsidRPr="00757D20">
        <w:t>who have limited resources</w:t>
      </w:r>
      <w:r w:rsidRPr="00757D20">
        <w:t xml:space="preserve"> most at risk of being left behind. </w:t>
      </w:r>
    </w:p>
    <w:p w14:paraId="440CCB67" w14:textId="44795528" w:rsidR="00443C6F" w:rsidRPr="00757D20" w:rsidRDefault="00443C6F" w:rsidP="00443C6F">
      <w:r w:rsidRPr="00757D20">
        <w:t>To achieve</w:t>
      </w:r>
      <w:r w:rsidR="006857DB" w:rsidRPr="00757D20">
        <w:t xml:space="preserve"> and </w:t>
      </w:r>
      <w:r w:rsidR="00D47CA8" w:rsidRPr="00757D20">
        <w:t>fulfil</w:t>
      </w:r>
      <w:r w:rsidRPr="00757D20">
        <w:t xml:space="preserve"> their aspirations, young people need to draw on as many resources as possible</w:t>
      </w:r>
      <w:r w:rsidR="00476430" w:rsidRPr="00757D20">
        <w:t>.</w:t>
      </w:r>
      <w:r w:rsidRPr="00757D20">
        <w:t xml:space="preserve"> </w:t>
      </w:r>
      <w:r w:rsidR="00476430" w:rsidRPr="00757D20">
        <w:t>S</w:t>
      </w:r>
      <w:r w:rsidRPr="00757D20">
        <w:t xml:space="preserve">chools </w:t>
      </w:r>
      <w:r w:rsidR="00476430" w:rsidRPr="00757D20">
        <w:t xml:space="preserve">play a </w:t>
      </w:r>
      <w:r w:rsidRPr="00757D20">
        <w:t xml:space="preserve">potentially important role (Schoon &amp; </w:t>
      </w:r>
      <w:proofErr w:type="spellStart"/>
      <w:r w:rsidRPr="00757D20">
        <w:t>Henseke</w:t>
      </w:r>
      <w:proofErr w:type="spellEnd"/>
      <w:r w:rsidRPr="00757D20">
        <w:t xml:space="preserve">, 2023). </w:t>
      </w:r>
      <w:r w:rsidR="008A6264" w:rsidRPr="00757D20">
        <w:t>For example, f</w:t>
      </w:r>
      <w:r w:rsidRPr="00757D20">
        <w:t>or many young people from disadvantaged backgrounds, in-school career advice can compensate for the more limited forms of information and resources available through their home</w:t>
      </w:r>
      <w:r w:rsidR="008A6264" w:rsidRPr="00757D20">
        <w:t>s</w:t>
      </w:r>
      <w:r w:rsidRPr="00757D20">
        <w:t xml:space="preserve"> (Bennett et al., 2022; Smyth, 2023). Career education that focuses on “collaboration with employers, facilitating social networks, exposure to real-life challenges and opportunities, and providing relevant skills of how to manage new social roles” </w:t>
      </w:r>
      <w:r w:rsidR="007C0AFF" w:rsidRPr="00757D20">
        <w:t xml:space="preserve">(Schoon &amp; </w:t>
      </w:r>
      <w:proofErr w:type="spellStart"/>
      <w:r w:rsidR="007C0AFF" w:rsidRPr="00757D20">
        <w:t>Henseke</w:t>
      </w:r>
      <w:proofErr w:type="spellEnd"/>
      <w:r w:rsidR="007C0AFF" w:rsidRPr="00757D20">
        <w:t xml:space="preserve">, 2023, p. 16) </w:t>
      </w:r>
      <w:r w:rsidRPr="00757D20">
        <w:t>is likely to be more useful than simply guiding students on practical tasks, such as how to apply to university</w:t>
      </w:r>
      <w:r w:rsidR="00951CC4" w:rsidRPr="00757D20">
        <w:t>.</w:t>
      </w:r>
      <w:r w:rsidRPr="00757D20">
        <w:t xml:space="preserve"> Universities also play a</w:t>
      </w:r>
      <w:r w:rsidR="00284864" w:rsidRPr="00757D20">
        <w:t xml:space="preserve"> crucial</w:t>
      </w:r>
      <w:r w:rsidRPr="00757D20">
        <w:t xml:space="preserve"> role </w:t>
      </w:r>
      <w:r w:rsidR="00270039" w:rsidRPr="00757D20">
        <w:t xml:space="preserve">by </w:t>
      </w:r>
      <w:r w:rsidRPr="00757D20">
        <w:t>offering opportunities to high school students for learning skills, meeting role models (Baines et al., 2024), and other activities that normalise university, making it a more comfortable and familiar option (</w:t>
      </w:r>
      <w:proofErr w:type="spellStart"/>
      <w:r w:rsidRPr="00757D20">
        <w:t>Ravulo</w:t>
      </w:r>
      <w:proofErr w:type="spellEnd"/>
      <w:r w:rsidRPr="00757D20">
        <w:t xml:space="preserve"> et al., 2020). </w:t>
      </w:r>
    </w:p>
    <w:p w14:paraId="39E3F7EC" w14:textId="209349B0" w:rsidR="00443C6F" w:rsidRPr="00757D20" w:rsidRDefault="00443C6F" w:rsidP="00443C6F">
      <w:r w:rsidRPr="00757D20">
        <w:t>The Universities Accord acknowledges that tertiary education is at a critical moment</w:t>
      </w:r>
      <w:r w:rsidR="00185E7F" w:rsidRPr="00757D20">
        <w:t xml:space="preserve">, </w:t>
      </w:r>
      <w:r w:rsidRPr="00757D20">
        <w:t xml:space="preserve">with change and innovation required to meet </w:t>
      </w:r>
      <w:r w:rsidR="00185E7F" w:rsidRPr="00757D20">
        <w:t xml:space="preserve">the need for </w:t>
      </w:r>
      <w:r w:rsidRPr="00757D20">
        <w:t>essential skills (Department of Education, 2024a). Australia’s tertiary education system will play a key role in producing research, knowledge</w:t>
      </w:r>
      <w:r w:rsidR="00BC47E7" w:rsidRPr="00757D20">
        <w:t>,</w:t>
      </w:r>
      <w:r w:rsidRPr="00757D20">
        <w:t xml:space="preserve"> and innovation to build resilience through climate change and associated weather events, and to continue to compete globally (Department of Education, 2024a). Young people from across society are central to these goals and must be armed with the tools to manage “complexity, plurality, uncertainty and variability” (Colombo &amp; </w:t>
      </w:r>
      <w:proofErr w:type="spellStart"/>
      <w:r w:rsidRPr="00757D20">
        <w:t>Rebughini</w:t>
      </w:r>
      <w:proofErr w:type="spellEnd"/>
      <w:r w:rsidRPr="00757D20">
        <w:t xml:space="preserve">, 2019, p. 4). In turn, attempts to widen participation must evolve to better meet this contemporary landscape. </w:t>
      </w:r>
    </w:p>
    <w:p w14:paraId="516C12D7" w14:textId="387D9875" w:rsidR="009D6D47" w:rsidRPr="00757D20" w:rsidRDefault="009D6D47">
      <w:r w:rsidRPr="00757D20">
        <w:br w:type="page"/>
      </w:r>
    </w:p>
    <w:p w14:paraId="1C06157D" w14:textId="2E768329" w:rsidR="009D6D47" w:rsidRPr="00757D20" w:rsidRDefault="009D6D47" w:rsidP="009D6D47">
      <w:pPr>
        <w:pStyle w:val="Heading1"/>
      </w:pPr>
      <w:bookmarkStart w:id="33" w:name="_Toc219977206"/>
      <w:r w:rsidRPr="00757D20">
        <w:lastRenderedPageBreak/>
        <w:t>Methods</w:t>
      </w:r>
      <w:bookmarkEnd w:id="33"/>
    </w:p>
    <w:p w14:paraId="0BBE2626" w14:textId="20939B0B" w:rsidR="003E3409" w:rsidRPr="00757D20" w:rsidRDefault="003E3409" w:rsidP="003E3409">
      <w:pPr>
        <w:pStyle w:val="Heading2"/>
      </w:pPr>
      <w:bookmarkStart w:id="34" w:name="_Toc219977207"/>
      <w:r w:rsidRPr="00757D20">
        <w:t xml:space="preserve">Research </w:t>
      </w:r>
      <w:r w:rsidR="00D618E7" w:rsidRPr="00757D20">
        <w:t>d</w:t>
      </w:r>
      <w:r w:rsidRPr="00757D20">
        <w:t>esign</w:t>
      </w:r>
      <w:bookmarkEnd w:id="34"/>
    </w:p>
    <w:p w14:paraId="18CA3515" w14:textId="2D7FB8CE" w:rsidR="003E3409" w:rsidRPr="00757D20" w:rsidRDefault="003E3409" w:rsidP="003E3409">
      <w:r w:rsidRPr="00757D20">
        <w:t xml:space="preserve">Drawing on multiple datasets involving </w:t>
      </w:r>
      <w:r w:rsidR="00B523F1" w:rsidRPr="00757D20">
        <w:t xml:space="preserve">high school </w:t>
      </w:r>
      <w:r w:rsidRPr="00757D20">
        <w:t>students</w:t>
      </w:r>
      <w:r w:rsidR="00B523F1" w:rsidRPr="00757D20">
        <w:t>, parents/carers, teachers</w:t>
      </w:r>
      <w:r w:rsidR="00F72248" w:rsidRPr="00757D20">
        <w:t>,</w:t>
      </w:r>
      <w:r w:rsidR="00B523F1" w:rsidRPr="00757D20">
        <w:t xml:space="preserve"> and community members</w:t>
      </w:r>
      <w:r w:rsidRPr="00757D20">
        <w:t xml:space="preserve"> in NSW </w:t>
      </w:r>
      <w:r w:rsidR="00122F1D" w:rsidRPr="00757D20">
        <w:t xml:space="preserve">collected </w:t>
      </w:r>
      <w:r w:rsidR="005312C7" w:rsidRPr="00757D20">
        <w:t>over</w:t>
      </w:r>
      <w:r w:rsidR="001F1DB3" w:rsidRPr="00757D20">
        <w:t xml:space="preserve"> the </w:t>
      </w:r>
      <w:r w:rsidR="009C0C1C" w:rsidRPr="00757D20">
        <w:t>p</w:t>
      </w:r>
      <w:r w:rsidR="001F1DB3" w:rsidRPr="00757D20">
        <w:t>ast t</w:t>
      </w:r>
      <w:r w:rsidR="00EE1DEA" w:rsidRPr="00757D20">
        <w:t>welve</w:t>
      </w:r>
      <w:r w:rsidR="001F1DB3" w:rsidRPr="00757D20">
        <w:t xml:space="preserve"> years</w:t>
      </w:r>
      <w:r w:rsidRPr="00757D20">
        <w:t>, our study was designed to analyse how post-school aspirations are influenced and shaped by rapidly changing political, economic</w:t>
      </w:r>
      <w:r w:rsidR="00F72248" w:rsidRPr="00757D20">
        <w:t>,</w:t>
      </w:r>
      <w:r w:rsidRPr="00757D20">
        <w:t xml:space="preserve"> and social conditions. Using a longitudinal case study design </w:t>
      </w:r>
      <w:r w:rsidRPr="00757D20">
        <w:fldChar w:fldCharType="begin"/>
      </w:r>
      <w:r w:rsidRPr="00757D20">
        <w:instrText xml:space="preserve"> ADDIN EN.CITE &lt;EndNote&gt;&lt;Cite&gt;&lt;Author&gt;Sena&lt;/Author&gt;&lt;Year&gt;2024&lt;/Year&gt;&lt;RecNum&gt;3987&lt;/RecNum&gt;&lt;DisplayText&gt;(Sena, 2024)&lt;/DisplayText&gt;&lt;record&gt;&lt;rec-number&gt;3987&lt;/rec-number&gt;&lt;foreign-keys&gt;&lt;key app="EN" db-id="f2ftvv5v02e9v3e22psx2f91zs990eeafs5f" timestamp="1743299578" guid="90c2e459-f382-4c97-965c-de06aa7986ce"&gt;3987&lt;/key&gt;&lt;/foreign-keys&gt;&lt;ref-type name="Electronic Book"&gt;44&lt;/ref-type&gt;&lt;contributors&gt;&lt;authors&gt;&lt;author&gt;Sena, Barbara&lt;/author&gt;&lt;/authors&gt;&lt;/contributors&gt;&lt;titles&gt;&lt;title&gt;The Case Study in Social Research&lt;/title&gt;&lt;/titles&gt;&lt;dates&gt;&lt;year&gt;2024&lt;/year&gt;&lt;/dates&gt;&lt;publisher&gt;Routledge&lt;/publisher&gt;&lt;urls&gt;&lt;related-urls&gt;&lt;url&gt;10.4324/9781003318255&lt;/url&gt;&lt;/related-urls&gt;&lt;/urls&gt;&lt;/record&gt;&lt;/Cite&gt;&lt;/EndNote&gt;</w:instrText>
      </w:r>
      <w:r w:rsidRPr="00757D20">
        <w:fldChar w:fldCharType="separate"/>
      </w:r>
      <w:r w:rsidRPr="00757D20">
        <w:rPr>
          <w:noProof/>
        </w:rPr>
        <w:t>(Sena, 2024)</w:t>
      </w:r>
      <w:r w:rsidRPr="00757D20">
        <w:fldChar w:fldCharType="end"/>
      </w:r>
      <w:r w:rsidRPr="00757D20">
        <w:t>, we examine</w:t>
      </w:r>
      <w:r w:rsidR="00526752" w:rsidRPr="00757D20">
        <w:t>d</w:t>
      </w:r>
      <w:r w:rsidRPr="00757D20">
        <w:t xml:space="preserve"> changes in students</w:t>
      </w:r>
      <w:r w:rsidR="29747819" w:rsidRPr="00757D20">
        <w:t>’</w:t>
      </w:r>
      <w:r w:rsidRPr="00757D20">
        <w:t xml:space="preserve"> </w:t>
      </w:r>
      <w:r w:rsidR="003738F6" w:rsidRPr="00757D20">
        <w:t xml:space="preserve">career and educational </w:t>
      </w:r>
      <w:r w:rsidRPr="00757D20">
        <w:t>aspirations</w:t>
      </w:r>
      <w:r w:rsidR="009E23AC" w:rsidRPr="00757D20">
        <w:t>,</w:t>
      </w:r>
      <w:r w:rsidRPr="00757D20">
        <w:t xml:space="preserve"> </w:t>
      </w:r>
      <w:r w:rsidR="004F5B80" w:rsidRPr="00757D20">
        <w:t>and shed light on how current circumstances are shaping thoughts about the</w:t>
      </w:r>
      <w:r w:rsidR="00450E2B" w:rsidRPr="00757D20">
        <w:t>ir</w:t>
      </w:r>
      <w:r w:rsidR="004F5B80" w:rsidRPr="00757D20">
        <w:t xml:space="preserve"> future</w:t>
      </w:r>
      <w:r w:rsidR="00450E2B" w:rsidRPr="00757D20">
        <w:t>s</w:t>
      </w:r>
      <w:r w:rsidR="004F5B80" w:rsidRPr="00757D20">
        <w:t>.</w:t>
      </w:r>
      <w:r w:rsidRPr="00757D20">
        <w:t xml:space="preserve"> A three-step process was utilised:</w:t>
      </w:r>
    </w:p>
    <w:p w14:paraId="274A00AA" w14:textId="3B824700" w:rsidR="00F605DB" w:rsidRPr="00757D20" w:rsidRDefault="003E3409" w:rsidP="00F605DB">
      <w:pPr>
        <w:pStyle w:val="ListParagraph"/>
        <w:numPr>
          <w:ilvl w:val="0"/>
          <w:numId w:val="32"/>
        </w:numPr>
        <w:spacing w:line="259" w:lineRule="auto"/>
      </w:pPr>
      <w:r w:rsidRPr="00757D20">
        <w:t xml:space="preserve">Step 1: New </w:t>
      </w:r>
      <w:r w:rsidR="0064258C" w:rsidRPr="00757D20">
        <w:t xml:space="preserve">student </w:t>
      </w:r>
      <w:r w:rsidRPr="00757D20">
        <w:t>survey data were collected. All schools (</w:t>
      </w:r>
      <w:r w:rsidRPr="00757D20">
        <w:rPr>
          <w:i/>
          <w:iCs/>
        </w:rPr>
        <w:t>n</w:t>
      </w:r>
      <w:r w:rsidRPr="00757D20">
        <w:t xml:space="preserve"> = 32) </w:t>
      </w:r>
      <w:r w:rsidR="00F3398E" w:rsidRPr="00757D20">
        <w:t xml:space="preserve">that </w:t>
      </w:r>
      <w:r w:rsidRPr="00757D20">
        <w:t xml:space="preserve">had participated in our original </w:t>
      </w:r>
      <w:r w:rsidRPr="00757D20">
        <w:rPr>
          <w:i/>
          <w:iCs/>
        </w:rPr>
        <w:t>Aspirations Longitudinal Study (2012</w:t>
      </w:r>
      <w:r w:rsidR="00906D32" w:rsidRPr="00757D20">
        <w:rPr>
          <w:i/>
          <w:iCs/>
        </w:rPr>
        <w:t>–</w:t>
      </w:r>
      <w:r w:rsidRPr="00757D20">
        <w:rPr>
          <w:i/>
          <w:iCs/>
        </w:rPr>
        <w:t>2015)</w:t>
      </w:r>
      <w:r w:rsidRPr="00757D20">
        <w:t xml:space="preserve"> and the </w:t>
      </w:r>
      <w:r w:rsidRPr="00757D20">
        <w:rPr>
          <w:i/>
          <w:iCs/>
        </w:rPr>
        <w:t>Locating Aspirations Study</w:t>
      </w:r>
      <w:r w:rsidR="0045380C">
        <w:rPr>
          <w:rStyle w:val="FootnoteReference"/>
          <w:i/>
          <w:iCs/>
        </w:rPr>
        <w:footnoteReference w:id="8"/>
      </w:r>
      <w:r w:rsidRPr="00757D20">
        <w:rPr>
          <w:i/>
          <w:iCs/>
        </w:rPr>
        <w:t xml:space="preserve"> (201</w:t>
      </w:r>
      <w:r w:rsidR="0075649C" w:rsidRPr="00757D20">
        <w:rPr>
          <w:i/>
          <w:iCs/>
        </w:rPr>
        <w:t>7</w:t>
      </w:r>
      <w:r w:rsidRPr="00757D20">
        <w:rPr>
          <w:i/>
          <w:iCs/>
        </w:rPr>
        <w:t xml:space="preserve">) </w:t>
      </w:r>
      <w:r w:rsidRPr="00757D20">
        <w:t>were</w:t>
      </w:r>
      <w:r w:rsidRPr="00757D20">
        <w:rPr>
          <w:i/>
          <w:iCs/>
        </w:rPr>
        <w:t xml:space="preserve"> </w:t>
      </w:r>
      <w:r w:rsidRPr="00757D20">
        <w:t xml:space="preserve">invited to participate in a survey designed to understand student aspirations </w:t>
      </w:r>
      <w:r w:rsidR="00E90C35" w:rsidRPr="00757D20">
        <w:t>today</w:t>
      </w:r>
      <w:r w:rsidR="006D305B" w:rsidRPr="00757D20">
        <w:t xml:space="preserve"> (in</w:t>
      </w:r>
      <w:r w:rsidRPr="00757D20">
        <w:t xml:space="preserve"> 2024</w:t>
      </w:r>
      <w:r w:rsidR="00906D32" w:rsidRPr="00757D20">
        <w:t>–</w:t>
      </w:r>
      <w:r w:rsidR="00772922" w:rsidRPr="00757D20">
        <w:t>2025</w:t>
      </w:r>
      <w:r w:rsidR="00E90C35" w:rsidRPr="00757D20">
        <w:t>).</w:t>
      </w:r>
      <w:r w:rsidR="00F028F2" w:rsidRPr="00757D20">
        <w:t xml:space="preserve"> Th</w:t>
      </w:r>
      <w:r w:rsidR="00F3398E" w:rsidRPr="00757D20">
        <w:t>e</w:t>
      </w:r>
      <w:r w:rsidR="00F028F2" w:rsidRPr="00757D20">
        <w:t>s</w:t>
      </w:r>
      <w:r w:rsidR="00F3398E" w:rsidRPr="00757D20">
        <w:t>e</w:t>
      </w:r>
      <w:r w:rsidR="00F028F2" w:rsidRPr="00757D20">
        <w:t xml:space="preserve"> data set the scene for the</w:t>
      </w:r>
      <w:r w:rsidR="00066765" w:rsidRPr="00757D20">
        <w:t xml:space="preserve"> development of the</w:t>
      </w:r>
      <w:r w:rsidR="00F028F2" w:rsidRPr="00757D20">
        <w:t xml:space="preserve"> </w:t>
      </w:r>
      <w:r w:rsidR="0008079D" w:rsidRPr="00757D20">
        <w:t>in-depth cases studies.</w:t>
      </w:r>
    </w:p>
    <w:p w14:paraId="15C4E5C9" w14:textId="6D58E1BD" w:rsidR="003E3409" w:rsidRPr="00757D20" w:rsidRDefault="003E3409" w:rsidP="00F605DB">
      <w:pPr>
        <w:pStyle w:val="ListParagraph"/>
        <w:numPr>
          <w:ilvl w:val="0"/>
          <w:numId w:val="32"/>
        </w:numPr>
        <w:spacing w:line="259" w:lineRule="auto"/>
      </w:pPr>
      <w:r w:rsidRPr="00757D20">
        <w:t>Step 2: New focus group data were collected. A sub</w:t>
      </w:r>
      <w:r w:rsidR="00125CF4" w:rsidRPr="00757D20">
        <w:t>-</w:t>
      </w:r>
      <w:r w:rsidRPr="00757D20">
        <w:t xml:space="preserve">sample of teachers, </w:t>
      </w:r>
      <w:r w:rsidR="000A6A67" w:rsidRPr="00757D20">
        <w:t xml:space="preserve">high school </w:t>
      </w:r>
      <w:r w:rsidRPr="00757D20">
        <w:t>students</w:t>
      </w:r>
      <w:r w:rsidR="008C0F8A" w:rsidRPr="00757D20">
        <w:t>,</w:t>
      </w:r>
      <w:r w:rsidRPr="00757D20">
        <w:t xml:space="preserve"> and parents</w:t>
      </w:r>
      <w:r w:rsidR="00E90C35" w:rsidRPr="00757D20">
        <w:t>/carers</w:t>
      </w:r>
      <w:r w:rsidRPr="00757D20">
        <w:t xml:space="preserve"> from school</w:t>
      </w:r>
      <w:r w:rsidR="00F22491" w:rsidRPr="00757D20">
        <w:t xml:space="preserve"> communities </w:t>
      </w:r>
      <w:r w:rsidR="00E10BA8" w:rsidRPr="00757D20">
        <w:t xml:space="preserve">involved in the initial research </w:t>
      </w:r>
      <w:r w:rsidRPr="00757D20">
        <w:t>were invited to participate in interviews and focus groups.</w:t>
      </w:r>
    </w:p>
    <w:p w14:paraId="241E5556" w14:textId="7FAFFA5E" w:rsidR="003E3409" w:rsidRPr="00757D20" w:rsidRDefault="003E3409">
      <w:pPr>
        <w:pStyle w:val="ListParagraph"/>
        <w:numPr>
          <w:ilvl w:val="0"/>
          <w:numId w:val="32"/>
        </w:numPr>
        <w:spacing w:line="259" w:lineRule="auto"/>
      </w:pPr>
      <w:r w:rsidRPr="00757D20">
        <w:t>Step 3: Longitudinal case studies were developed. A series of five longitudinal case studies w</w:t>
      </w:r>
      <w:r w:rsidR="0094597E" w:rsidRPr="00757D20">
        <w:t>as</w:t>
      </w:r>
      <w:r w:rsidRPr="00757D20">
        <w:t xml:space="preserve"> developed to examine </w:t>
      </w:r>
      <w:r w:rsidR="00AF53D4" w:rsidRPr="00757D20">
        <w:t>how shifting economic, socio-political, and environmental changes are affecting the aspirations of young people today.</w:t>
      </w:r>
    </w:p>
    <w:p w14:paraId="0C6DFFE4" w14:textId="594EE811" w:rsidR="00FE4277" w:rsidRPr="00757D20" w:rsidRDefault="00FE4277" w:rsidP="00FE4277">
      <w:pPr>
        <w:spacing w:line="259" w:lineRule="auto"/>
      </w:pPr>
      <w:r w:rsidRPr="00757D20">
        <w:t>These steps are elaborated below.</w:t>
      </w:r>
    </w:p>
    <w:p w14:paraId="3ABC946B" w14:textId="1DC7F0D7" w:rsidR="003E3409" w:rsidRPr="00757D20" w:rsidRDefault="003E3409" w:rsidP="003E3409">
      <w:pPr>
        <w:pStyle w:val="Heading3"/>
      </w:pPr>
      <w:bookmarkStart w:id="35" w:name="_Toc219977208"/>
      <w:r w:rsidRPr="00757D20">
        <w:t>Methods</w:t>
      </w:r>
      <w:bookmarkEnd w:id="35"/>
    </w:p>
    <w:p w14:paraId="6F968DFB" w14:textId="3F9D2862" w:rsidR="003E3409" w:rsidRPr="00757D20" w:rsidRDefault="003E3409" w:rsidP="000320C8">
      <w:pPr>
        <w:pStyle w:val="Heading4"/>
        <w:numPr>
          <w:ilvl w:val="0"/>
          <w:numId w:val="0"/>
        </w:numPr>
        <w:ind w:left="1304" w:hanging="1304"/>
      </w:pPr>
      <w:r w:rsidRPr="00757D20">
        <w:t xml:space="preserve">Existing </w:t>
      </w:r>
      <w:r w:rsidR="00877A27" w:rsidRPr="00757D20">
        <w:t>d</w:t>
      </w:r>
      <w:r w:rsidRPr="00757D20">
        <w:t>ata</w:t>
      </w:r>
    </w:p>
    <w:p w14:paraId="7DD1D077" w14:textId="569FCDDF" w:rsidR="003E3409" w:rsidRPr="00757D20" w:rsidRDefault="003E3409" w:rsidP="003E3409">
      <w:r w:rsidRPr="00757D20">
        <w:t xml:space="preserve">Our existing database on students’ aspirations was developed as part of two foundational research projects: the </w:t>
      </w:r>
      <w:r w:rsidRPr="00757D20">
        <w:rPr>
          <w:i/>
          <w:iCs/>
        </w:rPr>
        <w:t xml:space="preserve">Aspirations Longitudinal </w:t>
      </w:r>
      <w:r w:rsidR="00FA6DF6">
        <w:rPr>
          <w:i/>
          <w:iCs/>
        </w:rPr>
        <w:t>S</w:t>
      </w:r>
      <w:r w:rsidRPr="00FA6DF6">
        <w:rPr>
          <w:i/>
          <w:iCs/>
        </w:rPr>
        <w:t>tudy</w:t>
      </w:r>
      <w:r w:rsidRPr="00757D20">
        <w:t xml:space="preserve"> </w:t>
      </w:r>
      <w:r w:rsidRPr="00757D20">
        <w:fldChar w:fldCharType="begin">
          <w:fldData xml:space="preserve">PEVuZE5vdGU+PENpdGU+PEF1dGhvcj5Hb3JlPC9BdXRob3I+PFllYXI+MjAxNTwvWWVhcj48UmVj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</w:fldData>
        </w:fldChar>
      </w:r>
      <w:r w:rsidRPr="00757D20">
        <w:instrText xml:space="preserve"> ADDIN EN.CITE </w:instrText>
      </w:r>
      <w:r w:rsidRPr="00757D20">
        <w:fldChar w:fldCharType="begin">
          <w:fldData xml:space="preserve">PEVuZE5vdGU+PENpdGU+PEF1dGhvcj5Hb3JlPC9BdXRob3I+PFllYXI+MjAxNTwvWWVhcj48UmVj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</w:fldData>
        </w:fldChar>
      </w:r>
      <w:r w:rsidRPr="00757D20">
        <w:instrText xml:space="preserve"> ADDIN EN.CITE.DATA </w:instrText>
      </w:r>
      <w:r w:rsidRPr="00757D20">
        <w:fldChar w:fldCharType="end"/>
      </w:r>
      <w:r w:rsidRPr="00757D20">
        <w:fldChar w:fldCharType="separate"/>
      </w:r>
      <w:r w:rsidRPr="00757D20">
        <w:rPr>
          <w:noProof/>
        </w:rPr>
        <w:t>(see, for example, Gore, Holmes, Smith, Lyell, et al., 2015; Gore, Holmes, Smith, Southgate, et al., 2015)</w:t>
      </w:r>
      <w:r w:rsidRPr="00757D20">
        <w:fldChar w:fldCharType="end"/>
      </w:r>
      <w:r w:rsidRPr="00757D20">
        <w:t xml:space="preserve"> and the </w:t>
      </w:r>
      <w:r w:rsidRPr="00757D20">
        <w:rPr>
          <w:i/>
          <w:iCs/>
        </w:rPr>
        <w:t xml:space="preserve">Locating Aspirations </w:t>
      </w:r>
      <w:r w:rsidR="00CD2D30">
        <w:rPr>
          <w:i/>
          <w:iCs/>
        </w:rPr>
        <w:t>Study</w:t>
      </w:r>
      <w:r w:rsidRPr="00757D20">
        <w:t>. These studies provided a robust empirical basis for understanding the formation and development of student aspirations over time</w:t>
      </w:r>
      <w:r w:rsidR="00302F1B" w:rsidRPr="00757D20">
        <w:t>,</w:t>
      </w:r>
      <w:r w:rsidRPr="00757D20">
        <w:t xml:space="preserve"> collectively underpin</w:t>
      </w:r>
      <w:r w:rsidR="00302F1B" w:rsidRPr="00757D20">
        <w:t>ning</w:t>
      </w:r>
      <w:r w:rsidRPr="00757D20">
        <w:t xml:space="preserve"> the current </w:t>
      </w:r>
      <w:r w:rsidR="00E16733" w:rsidRPr="00757D20">
        <w:t>study</w:t>
      </w:r>
      <w:r w:rsidRPr="00757D20">
        <w:t>.</w:t>
      </w:r>
      <w:r w:rsidR="00807C26" w:rsidRPr="00757D20">
        <w:t xml:space="preserve"> In the present study, </w:t>
      </w:r>
      <w:r w:rsidR="00ED4C85" w:rsidRPr="00757D20">
        <w:t xml:space="preserve">given the nature of the </w:t>
      </w:r>
      <w:r w:rsidR="00F40624" w:rsidRPr="00757D20">
        <w:t>research questions</w:t>
      </w:r>
      <w:r w:rsidR="00120B89" w:rsidRPr="00757D20">
        <w:t>, we narrow our attention to secondary school students.</w:t>
      </w:r>
    </w:p>
    <w:p w14:paraId="75374FDA" w14:textId="3CAFCB1A" w:rsidR="003E3409" w:rsidRPr="00757D20" w:rsidRDefault="003E3409" w:rsidP="003E3409">
      <w:r w:rsidRPr="00757D20">
        <w:t xml:space="preserve">The </w:t>
      </w:r>
      <w:r w:rsidRPr="00757D20">
        <w:rPr>
          <w:i/>
          <w:iCs/>
        </w:rPr>
        <w:t xml:space="preserve">Aspirations Longitudinal Study </w:t>
      </w:r>
      <w:r w:rsidRPr="00757D20">
        <w:t>involved school students from 64 NSW government schools. Schools were located east of the Great Dividing Range, from north of Sydney to the Queensland border. Four cohorts of students took part in the study over four years of their schooling (2012–2015), commencing when they were in Years 3, 5, 7, or 9 and concluding when they were in Years 6, 8, 10</w:t>
      </w:r>
      <w:r w:rsidR="008B666D" w:rsidRPr="00757D20">
        <w:t>,</w:t>
      </w:r>
      <w:r w:rsidRPr="00757D20">
        <w:t xml:space="preserve"> or 12. </w:t>
      </w:r>
    </w:p>
    <w:p w14:paraId="65FF4A51" w14:textId="1BF2DC32" w:rsidR="003E3409" w:rsidRPr="00757D20" w:rsidRDefault="003E3409" w:rsidP="003E3409">
      <w:r w:rsidRPr="00757D20">
        <w:lastRenderedPageBreak/>
        <w:t xml:space="preserve">Student surveys were administered annually using SurveyMonkey. The survey focused on students' educational and career aspirations after high school, along with questions about their background and home environment. Primary and secondary student surveys differed slightly, with some questions modified to account for age. A total of </w:t>
      </w:r>
      <w:r w:rsidR="00612CAD" w:rsidRPr="00757D20">
        <w:t>3,675</w:t>
      </w:r>
      <w:r w:rsidRPr="00757D20">
        <w:t xml:space="preserve"> individual </w:t>
      </w:r>
      <w:r w:rsidR="00612CAD" w:rsidRPr="00757D20">
        <w:t xml:space="preserve">secondary </w:t>
      </w:r>
      <w:r w:rsidRPr="00757D20">
        <w:t xml:space="preserve">students completed the survey in one or more waves of the study, generating </w:t>
      </w:r>
      <w:r w:rsidR="003E0BD6" w:rsidRPr="00757D20">
        <w:t>5,640</w:t>
      </w:r>
      <w:r w:rsidRPr="00757D20">
        <w:t xml:space="preserve"> </w:t>
      </w:r>
      <w:r w:rsidR="00B87977" w:rsidRPr="00757D20">
        <w:t xml:space="preserve">secondary </w:t>
      </w:r>
      <w:r w:rsidRPr="00757D20">
        <w:t xml:space="preserve">student surveys overall. </w:t>
      </w:r>
    </w:p>
    <w:p w14:paraId="0DD2E377" w14:textId="6C6B9206" w:rsidR="003E3409" w:rsidRPr="00757D20" w:rsidRDefault="003E3409" w:rsidP="003E3409">
      <w:r w:rsidRPr="00757D20">
        <w:t>Between 2013 and 2015, focus groups were also held in a subset of 30 schools to gain deeper understanding of students' aspirations. Students were purposively sampled in relation to SES, prior academic achievement</w:t>
      </w:r>
      <w:r w:rsidR="003F6BBF" w:rsidRPr="00757D20">
        <w:t>,</w:t>
      </w:r>
      <w:r w:rsidRPr="00757D20">
        <w:t xml:space="preserve"> and the prestige of their stated occupational aspirations, based on the answers they provided during the first year of the s</w:t>
      </w:r>
      <w:r w:rsidR="00B0626D" w:rsidRPr="00757D20">
        <w:t>urv</w:t>
      </w:r>
      <w:r w:rsidR="006D1BB0" w:rsidRPr="00757D20">
        <w:t>ey</w:t>
      </w:r>
      <w:r w:rsidRPr="00757D20">
        <w:t xml:space="preserve">. In total, </w:t>
      </w:r>
      <w:r w:rsidR="00816D08" w:rsidRPr="00757D20">
        <w:t xml:space="preserve">424 secondary students participated in </w:t>
      </w:r>
      <w:r w:rsidR="0083152B" w:rsidRPr="00757D20">
        <w:t xml:space="preserve">interviews and </w:t>
      </w:r>
      <w:r w:rsidR="00816D08" w:rsidRPr="00757D20">
        <w:t>focus groups over the course of the study</w:t>
      </w:r>
      <w:r w:rsidRPr="00757D20">
        <w:t xml:space="preserve">. </w:t>
      </w:r>
      <w:r w:rsidR="004D5B66" w:rsidRPr="00757D20">
        <w:t>These conversations</w:t>
      </w:r>
      <w:r w:rsidRPr="00757D20">
        <w:t xml:space="preserve"> focused on: post-school plans; job interests; who they discussed </w:t>
      </w:r>
      <w:proofErr w:type="gramStart"/>
      <w:r w:rsidRPr="00757D20">
        <w:t>future plans</w:t>
      </w:r>
      <w:proofErr w:type="gramEnd"/>
      <w:r w:rsidRPr="00757D20">
        <w:t xml:space="preserve"> with; and thoughts about university and/or TAFE. In addition, focus groups were conducted with </w:t>
      </w:r>
      <w:r w:rsidR="00637ACB" w:rsidRPr="00757D20">
        <w:t xml:space="preserve">30 </w:t>
      </w:r>
      <w:r w:rsidRPr="00757D20">
        <w:t>parents</w:t>
      </w:r>
      <w:r w:rsidR="006D1BB0" w:rsidRPr="00757D20">
        <w:t>/</w:t>
      </w:r>
      <w:r w:rsidRPr="00757D20">
        <w:t xml:space="preserve">carers and </w:t>
      </w:r>
      <w:r w:rsidR="00637ACB" w:rsidRPr="00757D20">
        <w:t xml:space="preserve">89 </w:t>
      </w:r>
      <w:r w:rsidRPr="00757D20">
        <w:t>teachers (including career</w:t>
      </w:r>
      <w:r w:rsidR="004D7D59" w:rsidRPr="00757D20">
        <w:t>s</w:t>
      </w:r>
      <w:r w:rsidRPr="00757D20">
        <w:t xml:space="preserve"> advisers and school principals) to gain their perspectives on students’ aspirations. </w:t>
      </w:r>
    </w:p>
    <w:p w14:paraId="665E3724" w14:textId="311C0E2A" w:rsidR="003E3409" w:rsidRPr="00757D20" w:rsidRDefault="003E3409" w:rsidP="003E3409">
      <w:r w:rsidRPr="00757D20">
        <w:t xml:space="preserve">The </w:t>
      </w:r>
      <w:r w:rsidRPr="00757D20">
        <w:rPr>
          <w:i/>
          <w:iCs/>
        </w:rPr>
        <w:t xml:space="preserve">Locating Aspirations </w:t>
      </w:r>
      <w:r w:rsidR="00CD2D30">
        <w:rPr>
          <w:i/>
          <w:iCs/>
        </w:rPr>
        <w:t>Study</w:t>
      </w:r>
      <w:r w:rsidRPr="00757D20">
        <w:rPr>
          <w:i/>
          <w:iCs/>
        </w:rPr>
        <w:t xml:space="preserve"> </w:t>
      </w:r>
      <w:r w:rsidRPr="00757D20">
        <w:t xml:space="preserve">extended the </w:t>
      </w:r>
      <w:r w:rsidRPr="00757D20">
        <w:rPr>
          <w:i/>
          <w:iCs/>
        </w:rPr>
        <w:t xml:space="preserve">Aspirations Longitudinal </w:t>
      </w:r>
      <w:r w:rsidR="007B3C4A" w:rsidRPr="006425B6">
        <w:rPr>
          <w:i/>
          <w:iCs/>
        </w:rPr>
        <w:t>Study</w:t>
      </w:r>
      <w:r w:rsidRPr="00757D20">
        <w:t xml:space="preserve"> into 33 additional government schools situated in Local Government Areas across regional, remote</w:t>
      </w:r>
      <w:r w:rsidR="003F6BBF" w:rsidRPr="00757D20">
        <w:t>,</w:t>
      </w:r>
      <w:r w:rsidRPr="00757D20">
        <w:t xml:space="preserve"> and very remote areas of NSW during 2017. A total of </w:t>
      </w:r>
      <w:r w:rsidR="00914F49" w:rsidRPr="00757D20">
        <w:t xml:space="preserve">843 secondary </w:t>
      </w:r>
      <w:r w:rsidRPr="00757D20">
        <w:t>students completed the survey.</w:t>
      </w:r>
      <w:r w:rsidR="00DA3615" w:rsidRPr="00757D20">
        <w:t xml:space="preserve"> </w:t>
      </w:r>
      <w:r w:rsidRPr="00757D20">
        <w:t xml:space="preserve">Focus groups were similarly conducted with students, some of their teachers, and parents/carers to gain a deeper understanding of the formation of post-school educational and occupational aspirations in these </w:t>
      </w:r>
      <w:r w:rsidR="007B7C76" w:rsidRPr="00757D20">
        <w:t>contexts.</w:t>
      </w:r>
      <w:r w:rsidRPr="00757D20">
        <w:t xml:space="preserve"> In total,</w:t>
      </w:r>
      <w:r w:rsidR="00583DCD" w:rsidRPr="00757D20">
        <w:t xml:space="preserve"> </w:t>
      </w:r>
      <w:r w:rsidRPr="00757D20">
        <w:t xml:space="preserve">focus groups and interviews were conducted with </w:t>
      </w:r>
      <w:r w:rsidR="00846AEC" w:rsidRPr="00757D20">
        <w:t xml:space="preserve">27 secondary </w:t>
      </w:r>
      <w:r w:rsidRPr="00757D20">
        <w:t>students</w:t>
      </w:r>
      <w:r w:rsidR="00846AEC" w:rsidRPr="00757D20">
        <w:t xml:space="preserve">, </w:t>
      </w:r>
      <w:r w:rsidR="00BC7DEB" w:rsidRPr="00757D20">
        <w:t>12 teachers</w:t>
      </w:r>
      <w:r w:rsidR="003F6BBF" w:rsidRPr="00757D20">
        <w:t>,</w:t>
      </w:r>
      <w:r w:rsidR="00BC7DEB" w:rsidRPr="00757D20">
        <w:t xml:space="preserve"> and 20 parents.</w:t>
      </w:r>
      <w:r w:rsidRPr="00757D20">
        <w:t xml:space="preserve"> </w:t>
      </w:r>
    </w:p>
    <w:p w14:paraId="7F833BC7" w14:textId="043D79A6" w:rsidR="005A512F" w:rsidRPr="00757D20" w:rsidRDefault="00785F07" w:rsidP="003E3409">
      <w:r w:rsidRPr="00757D20">
        <w:t>Building</w:t>
      </w:r>
      <w:r w:rsidR="0092383E" w:rsidRPr="00757D20">
        <w:t xml:space="preserve"> on the </w:t>
      </w:r>
      <w:r w:rsidR="0092383E" w:rsidRPr="00757D20">
        <w:rPr>
          <w:i/>
          <w:iCs/>
        </w:rPr>
        <w:t xml:space="preserve">Aspirations Longitudinal </w:t>
      </w:r>
      <w:r w:rsidR="00EC45C5">
        <w:rPr>
          <w:i/>
          <w:iCs/>
        </w:rPr>
        <w:t>Study</w:t>
      </w:r>
      <w:r w:rsidR="0092383E" w:rsidRPr="00757D20">
        <w:t xml:space="preserve"> and the </w:t>
      </w:r>
      <w:r w:rsidR="0092383E" w:rsidRPr="00757D20">
        <w:rPr>
          <w:i/>
          <w:iCs/>
        </w:rPr>
        <w:t>Locating Aspirations</w:t>
      </w:r>
      <w:r w:rsidR="0092383E" w:rsidRPr="00757D20">
        <w:t xml:space="preserve"> </w:t>
      </w:r>
      <w:r w:rsidR="00EC45C5">
        <w:rPr>
          <w:i/>
          <w:iCs/>
        </w:rPr>
        <w:t>Study</w:t>
      </w:r>
      <w:r w:rsidR="0092383E" w:rsidRPr="00757D20">
        <w:t xml:space="preserve">, </w:t>
      </w:r>
      <w:r w:rsidR="00213777" w:rsidRPr="00757D20">
        <w:t>s</w:t>
      </w:r>
      <w:r w:rsidR="009055CC" w:rsidRPr="00757D20">
        <w:t xml:space="preserve">everal </w:t>
      </w:r>
      <w:r w:rsidR="009B757D" w:rsidRPr="00757D20">
        <w:t>supplementary</w:t>
      </w:r>
      <w:r w:rsidR="009055CC" w:rsidRPr="00757D20">
        <w:t xml:space="preserve"> </w:t>
      </w:r>
      <w:r w:rsidR="00667E8A" w:rsidRPr="00757D20">
        <w:t xml:space="preserve">projects </w:t>
      </w:r>
      <w:r w:rsidR="009055CC" w:rsidRPr="00757D20">
        <w:t>were conducted</w:t>
      </w:r>
      <w:r w:rsidR="00594204" w:rsidRPr="00757D20">
        <w:t xml:space="preserve"> between 201</w:t>
      </w:r>
      <w:r w:rsidR="002121A9" w:rsidRPr="00757D20">
        <w:t>4</w:t>
      </w:r>
      <w:r w:rsidR="00594204" w:rsidRPr="00757D20">
        <w:t xml:space="preserve"> and 201</w:t>
      </w:r>
      <w:r w:rsidR="00213777" w:rsidRPr="00757D20">
        <w:t>8</w:t>
      </w:r>
      <w:r w:rsidR="00016F70" w:rsidRPr="00757D20">
        <w:t>, partnering with a sub-sample of the same school communities</w:t>
      </w:r>
      <w:r w:rsidR="00BD2553" w:rsidRPr="00757D20">
        <w:t xml:space="preserve"> depending on the nature of the research</w:t>
      </w:r>
      <w:r w:rsidR="003D2401" w:rsidRPr="00757D20">
        <w:t xml:space="preserve">. These </w:t>
      </w:r>
      <w:r w:rsidR="00667E8A" w:rsidRPr="00757D20">
        <w:t>studies</w:t>
      </w:r>
      <w:r w:rsidR="003D2A28" w:rsidRPr="00757D20">
        <w:t xml:space="preserve"> </w:t>
      </w:r>
      <w:r w:rsidR="00A72055" w:rsidRPr="00757D20">
        <w:t>expand</w:t>
      </w:r>
      <w:r w:rsidR="003D2401" w:rsidRPr="00757D20">
        <w:t>ed</w:t>
      </w:r>
      <w:r w:rsidR="00A72055" w:rsidRPr="00757D20">
        <w:t xml:space="preserve"> the interview sample</w:t>
      </w:r>
      <w:r w:rsidR="007C1FA3" w:rsidRPr="00757D20">
        <w:t xml:space="preserve"> to include</w:t>
      </w:r>
      <w:r w:rsidR="006157FD" w:rsidRPr="00757D20">
        <w:t xml:space="preserve"> focus group and interview data from</w:t>
      </w:r>
      <w:r w:rsidR="007C1FA3" w:rsidRPr="00757D20">
        <w:t xml:space="preserve"> </w:t>
      </w:r>
      <w:r w:rsidR="00345EC1" w:rsidRPr="00757D20">
        <w:t>an additional 53</w:t>
      </w:r>
      <w:r w:rsidR="007C1FA3" w:rsidRPr="00757D20">
        <w:t xml:space="preserve"> </w:t>
      </w:r>
      <w:r w:rsidR="008067D7" w:rsidRPr="00757D20">
        <w:t xml:space="preserve">secondary </w:t>
      </w:r>
      <w:r w:rsidR="007C1FA3" w:rsidRPr="00757D20">
        <w:t>students</w:t>
      </w:r>
      <w:r w:rsidR="00345EC1" w:rsidRPr="00757D20">
        <w:t xml:space="preserve">, </w:t>
      </w:r>
      <w:r w:rsidR="00B31823" w:rsidRPr="00757D20">
        <w:t xml:space="preserve">49 </w:t>
      </w:r>
      <w:r w:rsidR="007C1FA3" w:rsidRPr="00757D20">
        <w:t>teachers</w:t>
      </w:r>
      <w:r w:rsidR="00B31823" w:rsidRPr="00757D20">
        <w:t>,</w:t>
      </w:r>
      <w:r w:rsidR="007B7C76" w:rsidRPr="00757D20">
        <w:t xml:space="preserve"> </w:t>
      </w:r>
      <w:r w:rsidR="0092383E" w:rsidRPr="00757D20">
        <w:t>18 parents</w:t>
      </w:r>
      <w:r w:rsidR="007B7C76" w:rsidRPr="00757D20">
        <w:t>/carers</w:t>
      </w:r>
      <w:r w:rsidR="003F6BBF" w:rsidRPr="00757D20">
        <w:t>,</w:t>
      </w:r>
      <w:r w:rsidR="0092383E" w:rsidRPr="00757D20">
        <w:t xml:space="preserve"> and </w:t>
      </w:r>
      <w:r w:rsidR="00125CF4" w:rsidRPr="00757D20">
        <w:t>nine</w:t>
      </w:r>
      <w:r w:rsidR="0092383E" w:rsidRPr="00757D20">
        <w:t xml:space="preserve"> community members</w:t>
      </w:r>
      <w:r w:rsidR="007C1FA3" w:rsidRPr="00757D20">
        <w:t xml:space="preserve">. </w:t>
      </w:r>
      <w:r w:rsidR="005A512F" w:rsidRPr="00757D20">
        <w:t xml:space="preserve">The studies </w:t>
      </w:r>
      <w:r w:rsidR="00536221" w:rsidRPr="00757D20">
        <w:t>were</w:t>
      </w:r>
      <w:r w:rsidR="005A512F" w:rsidRPr="00757D20">
        <w:t>:</w:t>
      </w:r>
    </w:p>
    <w:p w14:paraId="416EBB26" w14:textId="1987D8D0" w:rsidR="008A13F0" w:rsidRPr="00757D20" w:rsidRDefault="008A13F0" w:rsidP="00A635DF">
      <w:pPr>
        <w:pStyle w:val="ListParagraph"/>
        <w:numPr>
          <w:ilvl w:val="0"/>
          <w:numId w:val="32"/>
        </w:numPr>
      </w:pPr>
      <w:r w:rsidRPr="00757D20">
        <w:rPr>
          <w:i/>
          <w:iCs/>
        </w:rPr>
        <w:t xml:space="preserve">Choosing </w:t>
      </w:r>
      <w:r w:rsidR="00115953" w:rsidRPr="00757D20">
        <w:rPr>
          <w:i/>
          <w:iCs/>
        </w:rPr>
        <w:t>U</w:t>
      </w:r>
      <w:r w:rsidRPr="00757D20">
        <w:rPr>
          <w:i/>
          <w:iCs/>
        </w:rPr>
        <w:t xml:space="preserve">niversity: The </w:t>
      </w:r>
      <w:r w:rsidR="00115953" w:rsidRPr="00757D20">
        <w:rPr>
          <w:i/>
          <w:iCs/>
        </w:rPr>
        <w:t>I</w:t>
      </w:r>
      <w:r w:rsidRPr="00757D20">
        <w:rPr>
          <w:i/>
          <w:iCs/>
        </w:rPr>
        <w:t xml:space="preserve">mpact of </w:t>
      </w:r>
      <w:r w:rsidR="00115953" w:rsidRPr="00757D20">
        <w:rPr>
          <w:i/>
          <w:iCs/>
        </w:rPr>
        <w:t>S</w:t>
      </w:r>
      <w:r w:rsidRPr="00757D20">
        <w:rPr>
          <w:i/>
          <w:iCs/>
        </w:rPr>
        <w:t xml:space="preserve">chools and </w:t>
      </w:r>
      <w:r w:rsidR="00115953" w:rsidRPr="00757D20">
        <w:rPr>
          <w:i/>
          <w:iCs/>
        </w:rPr>
        <w:t>S</w:t>
      </w:r>
      <w:r w:rsidRPr="00757D20">
        <w:rPr>
          <w:i/>
          <w:iCs/>
        </w:rPr>
        <w:t>chooling</w:t>
      </w:r>
      <w:r w:rsidRPr="00757D20">
        <w:t xml:space="preserve"> (2014)</w:t>
      </w:r>
    </w:p>
    <w:p w14:paraId="14529EDA" w14:textId="74D3AD71" w:rsidR="00F87907" w:rsidRPr="00757D20" w:rsidRDefault="00F87907" w:rsidP="00A635DF">
      <w:pPr>
        <w:pStyle w:val="ListParagraph"/>
        <w:numPr>
          <w:ilvl w:val="0"/>
          <w:numId w:val="32"/>
        </w:numPr>
      </w:pPr>
      <w:r w:rsidRPr="00757D20">
        <w:rPr>
          <w:i/>
          <w:iCs/>
        </w:rPr>
        <w:t xml:space="preserve">Unlocking </w:t>
      </w:r>
      <w:r w:rsidR="00115953" w:rsidRPr="00757D20">
        <w:rPr>
          <w:i/>
          <w:iCs/>
        </w:rPr>
        <w:t>C</w:t>
      </w:r>
      <w:r w:rsidRPr="00757D20">
        <w:rPr>
          <w:i/>
          <w:iCs/>
        </w:rPr>
        <w:t xml:space="preserve">apacity and </w:t>
      </w:r>
      <w:r w:rsidR="00115953" w:rsidRPr="00757D20">
        <w:rPr>
          <w:i/>
          <w:iCs/>
        </w:rPr>
        <w:t>E</w:t>
      </w:r>
      <w:r w:rsidRPr="00757D20">
        <w:rPr>
          <w:i/>
          <w:iCs/>
        </w:rPr>
        <w:t xml:space="preserve">mpowering </w:t>
      </w:r>
      <w:r w:rsidR="00115953" w:rsidRPr="00757D20">
        <w:rPr>
          <w:i/>
          <w:iCs/>
        </w:rPr>
        <w:t>C</w:t>
      </w:r>
      <w:r w:rsidRPr="00757D20">
        <w:rPr>
          <w:i/>
          <w:iCs/>
        </w:rPr>
        <w:t xml:space="preserve">hoices: Indigenous </w:t>
      </w:r>
      <w:r w:rsidR="00115953" w:rsidRPr="00757D20">
        <w:rPr>
          <w:i/>
          <w:iCs/>
        </w:rPr>
        <w:t>S</w:t>
      </w:r>
      <w:r w:rsidRPr="00757D20">
        <w:rPr>
          <w:i/>
          <w:iCs/>
        </w:rPr>
        <w:t xml:space="preserve">tudents’ </w:t>
      </w:r>
      <w:r w:rsidR="00115953" w:rsidRPr="00757D20">
        <w:rPr>
          <w:i/>
          <w:iCs/>
        </w:rPr>
        <w:t>A</w:t>
      </w:r>
      <w:r w:rsidRPr="00757D20">
        <w:rPr>
          <w:i/>
          <w:iCs/>
        </w:rPr>
        <w:t xml:space="preserve">spirations for </w:t>
      </w:r>
      <w:r w:rsidR="00115953" w:rsidRPr="00757D20">
        <w:rPr>
          <w:i/>
          <w:iCs/>
        </w:rPr>
        <w:t>H</w:t>
      </w:r>
      <w:r w:rsidRPr="00757D20">
        <w:rPr>
          <w:i/>
          <w:iCs/>
        </w:rPr>
        <w:t xml:space="preserve">igher </w:t>
      </w:r>
      <w:r w:rsidR="00115953" w:rsidRPr="00757D20">
        <w:rPr>
          <w:i/>
          <w:iCs/>
        </w:rPr>
        <w:t>E</w:t>
      </w:r>
      <w:r w:rsidRPr="00757D20">
        <w:rPr>
          <w:i/>
          <w:iCs/>
        </w:rPr>
        <w:t>ducation</w:t>
      </w:r>
      <w:r w:rsidRPr="00757D20">
        <w:t xml:space="preserve"> (2016)</w:t>
      </w:r>
    </w:p>
    <w:p w14:paraId="2D58B273" w14:textId="7B4EAD13" w:rsidR="00AA4AC0" w:rsidRPr="00757D20" w:rsidRDefault="003602B6" w:rsidP="00A635DF">
      <w:pPr>
        <w:pStyle w:val="ListParagraph"/>
        <w:numPr>
          <w:ilvl w:val="0"/>
          <w:numId w:val="32"/>
        </w:numPr>
      </w:pPr>
      <w:r w:rsidRPr="00757D20">
        <w:rPr>
          <w:i/>
          <w:iCs/>
        </w:rPr>
        <w:t>Girls in Maths</w:t>
      </w:r>
      <w:r w:rsidR="00623613" w:rsidRPr="00757D20">
        <w:t xml:space="preserve"> (2017)</w:t>
      </w:r>
    </w:p>
    <w:p w14:paraId="7C13A640" w14:textId="14D61763" w:rsidR="00623613" w:rsidRPr="00757D20" w:rsidRDefault="00623613" w:rsidP="00623613">
      <w:pPr>
        <w:pStyle w:val="ListParagraph"/>
        <w:numPr>
          <w:ilvl w:val="0"/>
          <w:numId w:val="32"/>
        </w:numPr>
      </w:pPr>
      <w:r w:rsidRPr="00757D20">
        <w:rPr>
          <w:i/>
          <w:iCs/>
        </w:rPr>
        <w:t xml:space="preserve">Community </w:t>
      </w:r>
      <w:r w:rsidR="00115953" w:rsidRPr="00757D20">
        <w:rPr>
          <w:i/>
          <w:iCs/>
        </w:rPr>
        <w:t>I</w:t>
      </w:r>
      <w:r w:rsidRPr="00757D20">
        <w:rPr>
          <w:i/>
          <w:iCs/>
        </w:rPr>
        <w:t xml:space="preserve">nfluence on </w:t>
      </w:r>
      <w:r w:rsidR="00115953" w:rsidRPr="00757D20">
        <w:rPr>
          <w:i/>
          <w:iCs/>
        </w:rPr>
        <w:t>U</w:t>
      </w:r>
      <w:r w:rsidRPr="00757D20">
        <w:rPr>
          <w:i/>
          <w:iCs/>
        </w:rPr>
        <w:t xml:space="preserve">niversity </w:t>
      </w:r>
      <w:r w:rsidR="00115953" w:rsidRPr="00757D20">
        <w:rPr>
          <w:i/>
          <w:iCs/>
        </w:rPr>
        <w:t>A</w:t>
      </w:r>
      <w:r w:rsidRPr="00757D20">
        <w:rPr>
          <w:i/>
          <w:iCs/>
        </w:rPr>
        <w:t xml:space="preserve">spirations: Does it </w:t>
      </w:r>
      <w:r w:rsidR="00115953" w:rsidRPr="00757D20">
        <w:rPr>
          <w:i/>
          <w:iCs/>
        </w:rPr>
        <w:t>T</w:t>
      </w:r>
      <w:r w:rsidRPr="00757D20">
        <w:rPr>
          <w:i/>
          <w:iCs/>
        </w:rPr>
        <w:t xml:space="preserve">ake a </w:t>
      </w:r>
      <w:r w:rsidR="00115953" w:rsidRPr="00757D20">
        <w:rPr>
          <w:i/>
          <w:iCs/>
        </w:rPr>
        <w:t>V</w:t>
      </w:r>
      <w:r w:rsidRPr="00757D20">
        <w:rPr>
          <w:i/>
          <w:iCs/>
        </w:rPr>
        <w:t>illage?</w:t>
      </w:r>
      <w:r w:rsidRPr="00757D20">
        <w:t xml:space="preserve"> (2018)</w:t>
      </w:r>
    </w:p>
    <w:p w14:paraId="7DD846E4" w14:textId="767EE227" w:rsidR="002022EB" w:rsidRPr="00757D20" w:rsidRDefault="00C052D6" w:rsidP="003E3409">
      <w:r w:rsidRPr="00757D20">
        <w:t>D</w:t>
      </w:r>
      <w:r w:rsidR="0086760B" w:rsidRPr="00757D20">
        <w:t xml:space="preserve">etails of </w:t>
      </w:r>
      <w:r w:rsidR="000D7A82" w:rsidRPr="00757D20">
        <w:t xml:space="preserve">the </w:t>
      </w:r>
      <w:r w:rsidR="0086760B" w:rsidRPr="00757D20">
        <w:t xml:space="preserve">additional </w:t>
      </w:r>
      <w:r w:rsidR="000D7A82" w:rsidRPr="00757D20">
        <w:t xml:space="preserve">studies are available in </w:t>
      </w:r>
      <w:r w:rsidR="00396CC4" w:rsidRPr="00757D20">
        <w:t xml:space="preserve">the </w:t>
      </w:r>
      <w:hyperlink w:anchor="_Appendix" w:history="1">
        <w:r w:rsidR="000D7A82" w:rsidRPr="00757D20">
          <w:rPr>
            <w:rStyle w:val="Hyperlink"/>
          </w:rPr>
          <w:t>Appendix</w:t>
        </w:r>
      </w:hyperlink>
      <w:r w:rsidR="000D7A82" w:rsidRPr="00757D20">
        <w:t>.</w:t>
      </w:r>
    </w:p>
    <w:p w14:paraId="1F02EDC0" w14:textId="20B9CBFB" w:rsidR="003E3409" w:rsidRPr="00757D20" w:rsidRDefault="000320C8" w:rsidP="000320C8">
      <w:pPr>
        <w:pStyle w:val="Heading4"/>
        <w:numPr>
          <w:ilvl w:val="0"/>
          <w:numId w:val="0"/>
        </w:numPr>
        <w:ind w:left="1304" w:hanging="1304"/>
      </w:pPr>
      <w:r w:rsidRPr="00757D20">
        <w:t>N</w:t>
      </w:r>
      <w:r w:rsidR="003E3409" w:rsidRPr="00757D20">
        <w:t xml:space="preserve">ew </w:t>
      </w:r>
      <w:r w:rsidR="00877A27" w:rsidRPr="00757D20">
        <w:t>d</w:t>
      </w:r>
      <w:r w:rsidR="003E3409" w:rsidRPr="00757D20">
        <w:t>ata</w:t>
      </w:r>
      <w:r w:rsidR="00736C30" w:rsidRPr="00757D20">
        <w:t>: Investigating s</w:t>
      </w:r>
      <w:r w:rsidR="001574D5" w:rsidRPr="00757D20">
        <w:t>chool s</w:t>
      </w:r>
      <w:r w:rsidR="00736C30" w:rsidRPr="00757D20">
        <w:t>tudent</w:t>
      </w:r>
      <w:r w:rsidR="001574D5" w:rsidRPr="00757D20">
        <w:t>s’</w:t>
      </w:r>
      <w:r w:rsidR="00736C30" w:rsidRPr="00757D20">
        <w:t xml:space="preserve"> aspirations in uncertain times</w:t>
      </w:r>
    </w:p>
    <w:p w14:paraId="6E3F55C2" w14:textId="591FB9D4" w:rsidR="00314A70" w:rsidRPr="00757D20" w:rsidRDefault="003E3409" w:rsidP="003E3409">
      <w:r w:rsidRPr="00757D20">
        <w:t xml:space="preserve">The </w:t>
      </w:r>
      <w:r w:rsidRPr="00757D20">
        <w:rPr>
          <w:i/>
          <w:iCs/>
        </w:rPr>
        <w:t xml:space="preserve">Aspirations in Uncertain Times </w:t>
      </w:r>
      <w:r w:rsidR="00115953" w:rsidRPr="00757D20">
        <w:t>s</w:t>
      </w:r>
      <w:r w:rsidRPr="00757D20">
        <w:t xml:space="preserve">tudy </w:t>
      </w:r>
      <w:r w:rsidR="00667D8F" w:rsidRPr="00757D20">
        <w:t xml:space="preserve">invited </w:t>
      </w:r>
      <w:r w:rsidRPr="00757D20">
        <w:t xml:space="preserve">each of the 32 secondary and central schools involved in the original </w:t>
      </w:r>
      <w:r w:rsidRPr="00757D20">
        <w:rPr>
          <w:i/>
          <w:iCs/>
        </w:rPr>
        <w:t xml:space="preserve">Aspirations </w:t>
      </w:r>
      <w:r w:rsidRPr="007B3C4A">
        <w:rPr>
          <w:i/>
          <w:iCs/>
        </w:rPr>
        <w:t>Longitudinal</w:t>
      </w:r>
      <w:r w:rsidRPr="00757D20">
        <w:rPr>
          <w:i/>
          <w:iCs/>
        </w:rPr>
        <w:t xml:space="preserve"> </w:t>
      </w:r>
      <w:r w:rsidR="007B3C4A">
        <w:rPr>
          <w:i/>
          <w:iCs/>
        </w:rPr>
        <w:t>Study</w:t>
      </w:r>
      <w:r w:rsidRPr="00757D20">
        <w:t xml:space="preserve"> and the </w:t>
      </w:r>
      <w:r w:rsidRPr="00757D20">
        <w:rPr>
          <w:i/>
          <w:iCs/>
        </w:rPr>
        <w:t xml:space="preserve">Locating Aspirations </w:t>
      </w:r>
      <w:r w:rsidR="007B3C4A">
        <w:rPr>
          <w:i/>
          <w:iCs/>
        </w:rPr>
        <w:t>Study</w:t>
      </w:r>
      <w:r w:rsidRPr="00757D20">
        <w:t xml:space="preserve"> to participate in a new round of research in </w:t>
      </w:r>
      <w:r w:rsidR="00C97CB2" w:rsidRPr="00757D20">
        <w:t>2024</w:t>
      </w:r>
      <w:r w:rsidR="00125CF4" w:rsidRPr="00757D20">
        <w:t>–</w:t>
      </w:r>
      <w:r w:rsidRPr="00757D20">
        <w:t xml:space="preserve">2025. </w:t>
      </w:r>
    </w:p>
    <w:p w14:paraId="0731250D" w14:textId="41ACCA08" w:rsidR="003E3409" w:rsidRPr="00757D20" w:rsidRDefault="00A27A95" w:rsidP="003E3409">
      <w:r w:rsidRPr="00757D20">
        <w:t xml:space="preserve">This research aimed to replicate the methodology used in the original two projects, drawing on </w:t>
      </w:r>
      <w:r w:rsidR="005204BF" w:rsidRPr="00757D20">
        <w:t xml:space="preserve">both </w:t>
      </w:r>
      <w:r w:rsidRPr="00757D20">
        <w:t>survey and interview/focus group data.</w:t>
      </w:r>
      <w:r w:rsidR="00314A70" w:rsidRPr="00757D20">
        <w:t xml:space="preserve"> However, </w:t>
      </w:r>
      <w:r w:rsidR="00346318" w:rsidRPr="00757D20">
        <w:t xml:space="preserve">several </w:t>
      </w:r>
      <w:r w:rsidR="003E3409" w:rsidRPr="00757D20">
        <w:t xml:space="preserve">significant factors influenced </w:t>
      </w:r>
      <w:r w:rsidR="00A90C42" w:rsidRPr="00757D20">
        <w:t>recruitment and data collection</w:t>
      </w:r>
      <w:r w:rsidR="003E3409" w:rsidRPr="00757D20">
        <w:t xml:space="preserve"> for this project. First, the collection of data was hampered significantly by the changing educational landscape. Abrupt funding cuts to schools and the redeployment of school leaders into classrooms </w:t>
      </w:r>
      <w:r w:rsidR="003E3409" w:rsidRPr="00757D20">
        <w:fldChar w:fldCharType="begin"/>
      </w:r>
      <w:r w:rsidR="003E3409" w:rsidRPr="00757D20">
        <w:instrText xml:space="preserve"> ADDIN EN.CITE &lt;EndNote&gt;&lt;Cite&gt;&lt;Author&gt;Kennedy&lt;/Author&gt;&lt;Year&gt;2024&lt;/Year&gt;&lt;RecNum&gt;4000&lt;/RecNum&gt;&lt;DisplayText&gt;(Kennedy et al., 2024)&lt;/DisplayText&gt;&lt;record&gt;&lt;rec-number&gt;4000&lt;/rec-number&gt;&lt;foreign-keys&gt;&lt;key app="EN" db-id="f2ftvv5v02e9v3e22psx2f91zs990eeafs5f" timestamp="1744273773" guid="21830b4c-ef23-45d2-9f50-1b4515b10e4f"&gt;4000&lt;/key&gt;&lt;/foreign-keys&gt;&lt;ref-type name="Electronic Article"&gt;43&lt;/ref-type&gt;&lt;contributors&gt;&lt;authors&gt;&lt;author&gt;Kennedy, Jean&lt;/author&gt;&lt;author&gt;Tregenza, Hollly&lt;/author&gt;&lt;author&gt;Kidd, Jessica&lt;/author&gt;&lt;/authors&gt;&lt;/contributors&gt;&lt;titles&gt;&lt;title&gt;$148 million slashed from NSW public school funding as deputy principals forced back to classrooms&lt;/title&gt;&lt;secondary-title&gt;ABC News&lt;/secondary-title&gt;&lt;/titles&gt;&lt;periodical&gt;&lt;full-title&gt;ABC News&lt;/full-title&gt;&lt;/periodical&gt;&lt;dates&gt;&lt;year&gt;2024&lt;/year&gt;&lt;/dates&gt;&lt;urls&gt;&lt;related-urls&gt;&lt;url&gt;https://www.abc.net.au/news/2024-04-10/nsw-public-school-funding-to-be-slashed-by-148-million/103688640&lt;/url&gt;&lt;/related-urls&gt;&lt;/urls&gt;&lt;/record&gt;&lt;/Cite&gt;&lt;/EndNote&gt;</w:instrText>
      </w:r>
      <w:r w:rsidR="003E3409" w:rsidRPr="00757D20">
        <w:fldChar w:fldCharType="separate"/>
      </w:r>
      <w:r w:rsidR="003E3409" w:rsidRPr="00757D20">
        <w:rPr>
          <w:noProof/>
        </w:rPr>
        <w:t>(Kennedy et al., 2024)</w:t>
      </w:r>
      <w:r w:rsidR="003E3409" w:rsidRPr="00757D20">
        <w:fldChar w:fldCharType="end"/>
      </w:r>
      <w:r w:rsidR="003E3409" w:rsidRPr="00757D20">
        <w:t xml:space="preserve"> </w:t>
      </w:r>
      <w:r w:rsidR="00125CF4" w:rsidRPr="00757D20">
        <w:t xml:space="preserve">affected </w:t>
      </w:r>
      <w:r w:rsidR="003E3409" w:rsidRPr="00757D20">
        <w:t xml:space="preserve">teacher and school leader morale and trust in leadership, building on pre-existing </w:t>
      </w:r>
      <w:r w:rsidR="003E3409" w:rsidRPr="00757D20">
        <w:lastRenderedPageBreak/>
        <w:t xml:space="preserve">low levels of professional morale across the teaching workforce </w:t>
      </w:r>
      <w:r w:rsidR="003E3409" w:rsidRPr="00757D20">
        <w:fldChar w:fldCharType="begin"/>
      </w:r>
      <w:r w:rsidR="00A75186" w:rsidRPr="00757D20">
        <w:instrText xml:space="preserve"> ADDIN EN.CITE &lt;EndNote&gt;&lt;Cite&gt;&lt;Author&gt;Australian Education Union&lt;/Author&gt;&lt;Year&gt;2025&lt;/Year&gt;&lt;RecNum&gt;3998&lt;/RecNum&gt;&lt;DisplayText&gt;(Australian Education Union, 2025)&lt;/DisplayText&gt;&lt;record&gt;&lt;rec-number&gt;3998&lt;/rec-number&gt;&lt;foreign-keys&gt;&lt;key app="EN" db-id="f2ftvv5v02e9v3e22psx2f91zs990eeafs5f" timestamp="1744272649" guid="a0e3c0a0-e254-48b4-8db4-c2fee88166ee"&gt;3998&lt;/key&gt;&lt;/foreign-keys&gt;&lt;ref-type name="Electronic Article"&gt;43&lt;/ref-type&gt;&lt;contributors&gt;&lt;authors&gt;&lt;author&gt;Australian Education Union,&lt;/author&gt;&lt;/authors&gt;&lt;/contributors&gt;&lt;titles&gt;&lt;title&gt;Students and teachers need better wellbeing support&lt;/title&gt;&lt;/titles&gt;&lt;dates&gt;&lt;year&gt;2025&lt;/year&gt;&lt;/dates&gt;&lt;urls&gt;&lt;related-urls&gt;&lt;url&gt;https://www.aeufederal.org.au/news-media/news/2025/students-and-teachers-need-better-wellbeing-support&lt;/url&gt;&lt;/related-urls&gt;&lt;/urls&gt;&lt;/record&gt;&lt;/Cite&gt;&lt;/EndNote&gt;</w:instrText>
      </w:r>
      <w:r w:rsidR="003E3409" w:rsidRPr="00757D20">
        <w:fldChar w:fldCharType="separate"/>
      </w:r>
      <w:r w:rsidR="003E3409" w:rsidRPr="00757D20">
        <w:rPr>
          <w:noProof/>
        </w:rPr>
        <w:t>(Australian Education Union, 2025)</w:t>
      </w:r>
      <w:r w:rsidR="003E3409" w:rsidRPr="00757D20">
        <w:fldChar w:fldCharType="end"/>
      </w:r>
      <w:r w:rsidR="003E3409" w:rsidRPr="00757D20">
        <w:t>. In addition, the ongoing casual teacher shortage</w:t>
      </w:r>
      <w:r w:rsidR="00125CF4" w:rsidRPr="00757D20">
        <w:t>,</w:t>
      </w:r>
      <w:r w:rsidR="003E3409" w:rsidRPr="00757D20">
        <w:t xml:space="preserve"> and teacher shortages </w:t>
      </w:r>
      <w:r w:rsidR="002F5A89" w:rsidRPr="00757D20">
        <w:t>more broadly</w:t>
      </w:r>
      <w:r w:rsidR="00125CF4" w:rsidRPr="00757D20">
        <w:t>,</w:t>
      </w:r>
      <w:r w:rsidR="002F5A89" w:rsidRPr="00757D20">
        <w:t xml:space="preserve"> </w:t>
      </w:r>
      <w:r w:rsidR="003E3409" w:rsidRPr="00757D20">
        <w:t xml:space="preserve">continued to disrupt scheduled teaching and non-teaching periods </w:t>
      </w:r>
      <w:r w:rsidR="003E3409" w:rsidRPr="00757D20">
        <w:fldChar w:fldCharType="begin"/>
      </w:r>
      <w:r w:rsidR="003E3409" w:rsidRPr="00757D20">
        <w:instrText xml:space="preserve"> ADDIN EN.CITE &lt;EndNote&gt;&lt;Cite&gt;&lt;Author&gt;McPherson&lt;/Author&gt;&lt;Year&gt;2025&lt;/Year&gt;&lt;RecNum&gt;3999&lt;/RecNum&gt;&lt;DisplayText&gt;(McPherson &amp;amp; Lampert, 2025)&lt;/DisplayText&gt;&lt;record&gt;&lt;rec-number&gt;3999&lt;/rec-number&gt;&lt;foreign-keys&gt;&lt;key app="EN" db-id="f2ftvv5v02e9v3e22psx2f91zs990eeafs5f" timestamp="1744272805" guid="5db4e96d-4a72-4e14-afac-338049f059f8"&gt;3999&lt;/key&gt;&lt;/foreign-keys&gt;&lt;ref-type name="Journal Article"&gt;17&lt;/ref-type&gt;&lt;contributors&gt;&lt;authors&gt;&lt;author&gt;McPherson, Amy &lt;/author&gt;&lt;author&gt;Lampert, Jo &lt;/author&gt;&lt;/authors&gt;&lt;/contributors&gt;&lt;titles&gt;&lt;title&gt;An analysis of Australian teacher workforce policy: Challenges and opportunities for teacher recruitment and retention&lt;/title&gt;&lt;secondary-title&gt;Policy Futures in Education&lt;/secondary-title&gt;&lt;/titles&gt;&lt;periodical&gt;&lt;full-title&gt;Policy Futures in Education&lt;/full-title&gt;&lt;/periodical&gt;&lt;volume&gt;23&lt;/volume&gt;&lt;number&gt;2&lt;/number&gt;&lt;dates&gt;&lt;year&gt;2025&lt;/year&gt;&lt;/dates&gt;&lt;isbn&gt;1478-2103&lt;/isbn&gt;&lt;urls&gt;&lt;related-urls&gt;&lt;url&gt;https://journals-sagepub-com.ezproxy.newcastle.edu.au/doi/full/10.1177/14782103241283106&lt;/url&gt;&lt;/related-urls&gt;&lt;/urls&gt;&lt;electronic-resource-num&gt;10.1177/14782103241283106&lt;/electronic-resource-num&gt;&lt;/record&gt;&lt;/Cite&gt;&lt;/EndNote&gt;</w:instrText>
      </w:r>
      <w:r w:rsidR="003E3409" w:rsidRPr="00757D20">
        <w:fldChar w:fldCharType="separate"/>
      </w:r>
      <w:r w:rsidR="003E3409" w:rsidRPr="00757D20">
        <w:rPr>
          <w:noProof/>
        </w:rPr>
        <w:t>(McPherson &amp; Lampert, 2025)</w:t>
      </w:r>
      <w:r w:rsidR="003E3409" w:rsidRPr="00757D20">
        <w:fldChar w:fldCharType="end"/>
      </w:r>
      <w:r w:rsidR="003E3409" w:rsidRPr="00757D20">
        <w:t xml:space="preserve">. Many teachers and school leaders simply did not have time </w:t>
      </w:r>
      <w:r w:rsidR="002A21E9" w:rsidRPr="00757D20">
        <w:t>or</w:t>
      </w:r>
      <w:r w:rsidR="003C7865" w:rsidRPr="00757D20">
        <w:t xml:space="preserve"> capacity</w:t>
      </w:r>
      <w:r w:rsidR="003E3409" w:rsidRPr="00757D20">
        <w:t xml:space="preserve"> to take part in research.</w:t>
      </w:r>
    </w:p>
    <w:p w14:paraId="036715DB" w14:textId="0E1BABB2" w:rsidR="003E3409" w:rsidRPr="00757D20" w:rsidRDefault="003E3409" w:rsidP="003E3409">
      <w:r w:rsidRPr="00757D20">
        <w:t>Second, delay</w:t>
      </w:r>
      <w:r w:rsidR="00917AF2" w:rsidRPr="00757D20">
        <w:t xml:space="preserve">ed </w:t>
      </w:r>
      <w:r w:rsidRPr="00757D20">
        <w:t>approval</w:t>
      </w:r>
      <w:r w:rsidR="00917AF2" w:rsidRPr="00757D20">
        <w:t xml:space="preserve"> for conducting the research in schools</w:t>
      </w:r>
      <w:r w:rsidRPr="00757D20">
        <w:t xml:space="preserve"> </w:t>
      </w:r>
      <w:r w:rsidR="00917AF2" w:rsidRPr="00757D20">
        <w:t xml:space="preserve">significantly hampered </w:t>
      </w:r>
      <w:r w:rsidR="007C5FA7" w:rsidRPr="00757D20">
        <w:t>recruit</w:t>
      </w:r>
      <w:r w:rsidR="00917AF2" w:rsidRPr="00757D20">
        <w:t xml:space="preserve">ment and </w:t>
      </w:r>
      <w:r w:rsidRPr="00757D20">
        <w:t>data</w:t>
      </w:r>
      <w:r w:rsidR="00917AF2" w:rsidRPr="00757D20">
        <w:t xml:space="preserve"> collection</w:t>
      </w:r>
      <w:r w:rsidRPr="00757D20">
        <w:t xml:space="preserve">. </w:t>
      </w:r>
      <w:r w:rsidR="006F2616" w:rsidRPr="00757D20">
        <w:t>Notably, t</w:t>
      </w:r>
      <w:r w:rsidRPr="00757D20">
        <w:t xml:space="preserve">he project was impacted by an extensive delay in receiving </w:t>
      </w:r>
      <w:r w:rsidR="00125CF4" w:rsidRPr="00757D20">
        <w:t>State Education Research Approval Process (</w:t>
      </w:r>
      <w:r w:rsidRPr="00757D20">
        <w:t>SERAP</w:t>
      </w:r>
      <w:r w:rsidR="00125CF4" w:rsidRPr="00757D20">
        <w:t>)</w:t>
      </w:r>
      <w:r w:rsidRPr="00757D20">
        <w:t xml:space="preserve"> approval from the NSW Department of Education, which disrupted the planned schedule of research activities and impacted the success of the project. </w:t>
      </w:r>
      <w:r w:rsidR="004320D6" w:rsidRPr="00757D20">
        <w:t>In 2024, t</w:t>
      </w:r>
      <w:r w:rsidR="00FB573C" w:rsidRPr="00757D20">
        <w:t>he NSW Department of Education</w:t>
      </w:r>
      <w:r w:rsidR="004A1E21" w:rsidRPr="00757D20">
        <w:t xml:space="preserve"> </w:t>
      </w:r>
      <w:r w:rsidR="00DC70AB" w:rsidRPr="00757D20">
        <w:t>was</w:t>
      </w:r>
      <w:r w:rsidR="0071790A" w:rsidRPr="00757D20">
        <w:t xml:space="preserve"> </w:t>
      </w:r>
      <w:r w:rsidR="002479C4" w:rsidRPr="00757D20">
        <w:t xml:space="preserve">continuing to work </w:t>
      </w:r>
      <w:r w:rsidR="0071790A" w:rsidRPr="00757D20">
        <w:t>through a backlog of SERAP approvals caused by the COVID-19 pandemic</w:t>
      </w:r>
      <w:r w:rsidR="00443984" w:rsidRPr="00757D20">
        <w:t xml:space="preserve"> and had also begun to implement new procedures </w:t>
      </w:r>
      <w:r w:rsidR="005C7009" w:rsidRPr="00757D20">
        <w:t xml:space="preserve">for approving research </w:t>
      </w:r>
      <w:r w:rsidR="007F0368" w:rsidRPr="00757D20">
        <w:t>in schools</w:t>
      </w:r>
      <w:r w:rsidR="007B328F" w:rsidRPr="00757D20">
        <w:t xml:space="preserve"> </w:t>
      </w:r>
      <w:proofErr w:type="gramStart"/>
      <w:r w:rsidR="007B328F" w:rsidRPr="00757D20">
        <w:t>in light of</w:t>
      </w:r>
      <w:proofErr w:type="gramEnd"/>
      <w:r w:rsidR="007B328F" w:rsidRPr="00757D20">
        <w:t xml:space="preserve"> the current educational climate</w:t>
      </w:r>
      <w:r w:rsidR="00417299" w:rsidRPr="00757D20">
        <w:t>.</w:t>
      </w:r>
      <w:r w:rsidR="00D42EA6" w:rsidRPr="00757D20">
        <w:t xml:space="preserve"> Despite receiving ethics approval for the conduct of this research in February 2024, approval to recruit schools and collect data for this project was </w:t>
      </w:r>
      <w:r w:rsidR="005F0161" w:rsidRPr="00757D20">
        <w:t xml:space="preserve">only </w:t>
      </w:r>
      <w:r w:rsidR="00D42EA6" w:rsidRPr="00757D20">
        <w:t>granted in late September 2024. As a result, recruitment and data collection commenced in Term 4 of 2024, just as Year 12 were commencing their HSC examinations.</w:t>
      </w:r>
      <w:r w:rsidRPr="00757D20">
        <w:t xml:space="preserve"> </w:t>
      </w:r>
      <w:r w:rsidR="00E62940" w:rsidRPr="00757D20">
        <w:t xml:space="preserve">Recruitment and data collection </w:t>
      </w:r>
      <w:r w:rsidR="00D9741E" w:rsidRPr="00757D20">
        <w:t>were</w:t>
      </w:r>
      <w:r w:rsidR="00E62940" w:rsidRPr="00757D20">
        <w:t xml:space="preserve"> completed in Term 1</w:t>
      </w:r>
      <w:r w:rsidR="00125CF4" w:rsidRPr="00757D20">
        <w:t xml:space="preserve"> of</w:t>
      </w:r>
      <w:r w:rsidR="00E62940" w:rsidRPr="00757D20">
        <w:t xml:space="preserve"> 2025.</w:t>
      </w:r>
    </w:p>
    <w:p w14:paraId="5B161FE8" w14:textId="3D0DCF04" w:rsidR="00762FF1" w:rsidRPr="00757D20" w:rsidRDefault="003E3409" w:rsidP="00B02E64">
      <w:pPr>
        <w:rPr>
          <w:color w:val="FF0000"/>
        </w:rPr>
      </w:pPr>
      <w:r w:rsidRPr="00757D20">
        <w:t xml:space="preserve">Third, </w:t>
      </w:r>
      <w:r w:rsidR="007544E0" w:rsidRPr="00757D20">
        <w:t>and relatedly</w:t>
      </w:r>
      <w:r w:rsidRPr="00757D20">
        <w:t>, substantial changes to ethical considerations surround</w:t>
      </w:r>
      <w:r w:rsidR="00DA6765" w:rsidRPr="00757D20">
        <w:t>ed</w:t>
      </w:r>
      <w:r w:rsidRPr="00757D20">
        <w:t xml:space="preserve"> the collection of survey data from students in NSW </w:t>
      </w:r>
      <w:r w:rsidR="00F71335" w:rsidRPr="00757D20">
        <w:t>government s</w:t>
      </w:r>
      <w:r w:rsidRPr="00757D20">
        <w:t>chools</w:t>
      </w:r>
      <w:r w:rsidR="00F71335" w:rsidRPr="00757D20">
        <w:t xml:space="preserve"> since our initial research began</w:t>
      </w:r>
      <w:r w:rsidRPr="00757D20">
        <w:t xml:space="preserve">. In our original two studies, the </w:t>
      </w:r>
      <w:r w:rsidRPr="00757D20">
        <w:rPr>
          <w:i/>
          <w:iCs/>
        </w:rPr>
        <w:t xml:space="preserve">Aspirations Longitudinal </w:t>
      </w:r>
      <w:r w:rsidR="00EC45C5">
        <w:rPr>
          <w:i/>
          <w:iCs/>
        </w:rPr>
        <w:t>Study</w:t>
      </w:r>
      <w:r w:rsidRPr="00757D20">
        <w:rPr>
          <w:i/>
          <w:iCs/>
        </w:rPr>
        <w:t xml:space="preserve"> </w:t>
      </w:r>
      <w:r w:rsidRPr="00757D20">
        <w:t>(2012</w:t>
      </w:r>
      <w:r w:rsidR="00125CF4" w:rsidRPr="00757D20">
        <w:t>–</w:t>
      </w:r>
      <w:r w:rsidRPr="00757D20">
        <w:t xml:space="preserve">2015) and the </w:t>
      </w:r>
      <w:r w:rsidRPr="00757D20">
        <w:rPr>
          <w:i/>
          <w:iCs/>
        </w:rPr>
        <w:t xml:space="preserve">Locating Aspirations </w:t>
      </w:r>
      <w:r w:rsidR="00EC45C5">
        <w:rPr>
          <w:i/>
          <w:iCs/>
        </w:rPr>
        <w:t>S</w:t>
      </w:r>
      <w:r w:rsidRPr="00EC45C5">
        <w:rPr>
          <w:i/>
          <w:iCs/>
        </w:rPr>
        <w:t>tudy</w:t>
      </w:r>
      <w:r w:rsidRPr="00757D20">
        <w:rPr>
          <w:i/>
          <w:iCs/>
        </w:rPr>
        <w:t xml:space="preserve"> </w:t>
      </w:r>
      <w:r w:rsidRPr="00757D20">
        <w:t>(201</w:t>
      </w:r>
      <w:r w:rsidR="00F71335" w:rsidRPr="00757D20">
        <w:t>7</w:t>
      </w:r>
      <w:r w:rsidRPr="00757D20">
        <w:t>)</w:t>
      </w:r>
      <w:r w:rsidR="00F71335" w:rsidRPr="00757D20">
        <w:t>,</w:t>
      </w:r>
      <w:r w:rsidRPr="00757D20">
        <w:t xml:space="preserve"> we were able to gain approval for opt-out consent. </w:t>
      </w:r>
      <w:r w:rsidR="00C042A6" w:rsidRPr="00757D20">
        <w:t xml:space="preserve">This meant that </w:t>
      </w:r>
      <w:r w:rsidR="008C7084" w:rsidRPr="00757D20">
        <w:t>students</w:t>
      </w:r>
      <w:r w:rsidR="00503A4D" w:rsidRPr="00757D20">
        <w:t xml:space="preserve"> could take part in the research </w:t>
      </w:r>
      <w:r w:rsidR="00B11D8B" w:rsidRPr="00757D20">
        <w:t xml:space="preserve">based on a process of </w:t>
      </w:r>
      <w:r w:rsidR="005124C1" w:rsidRPr="00757D20">
        <w:t>“</w:t>
      </w:r>
      <w:r w:rsidR="00B11D8B" w:rsidRPr="00757D20">
        <w:t>standing consent</w:t>
      </w:r>
      <w:r w:rsidR="005124C1" w:rsidRPr="00757D20">
        <w:t>”</w:t>
      </w:r>
      <w:r w:rsidR="007D6EF3" w:rsidRPr="00757D20">
        <w:t xml:space="preserve"> </w:t>
      </w:r>
      <w:r w:rsidR="00F57786" w:rsidRPr="00757D20">
        <w:t>implemented by each school</w:t>
      </w:r>
      <w:r w:rsidR="002C3D7A" w:rsidRPr="00757D20">
        <w:t>, with</w:t>
      </w:r>
      <w:r w:rsidR="007D6EF3" w:rsidRPr="00757D20">
        <w:t xml:space="preserve"> parents/carers </w:t>
      </w:r>
      <w:r w:rsidR="002C3D7A" w:rsidRPr="00757D20">
        <w:t xml:space="preserve">able to </w:t>
      </w:r>
      <w:r w:rsidR="007D6EF3" w:rsidRPr="00757D20">
        <w:t>withdraw their child from the study at any time</w:t>
      </w:r>
      <w:r w:rsidR="004B3E9D" w:rsidRPr="00757D20">
        <w:t xml:space="preserve">. To support data collection, </w:t>
      </w:r>
      <w:r w:rsidR="00373045" w:rsidRPr="00757D20">
        <w:t>lesson plans</w:t>
      </w:r>
      <w:r w:rsidR="00323F7A" w:rsidRPr="00757D20">
        <w:t xml:space="preserve"> linked to the NSW curriculum</w:t>
      </w:r>
      <w:r w:rsidR="00373045" w:rsidRPr="00757D20">
        <w:t xml:space="preserve"> were developed by the research team so that survey</w:t>
      </w:r>
      <w:r w:rsidR="004451B8" w:rsidRPr="00757D20">
        <w:t xml:space="preserve">s could be </w:t>
      </w:r>
      <w:r w:rsidR="00373045" w:rsidRPr="00757D20">
        <w:t>administ</w:t>
      </w:r>
      <w:r w:rsidR="004451B8" w:rsidRPr="00757D20">
        <w:t>ered</w:t>
      </w:r>
      <w:r w:rsidR="00373045" w:rsidRPr="00757D20">
        <w:t xml:space="preserve"> by a classroom teacher as part of </w:t>
      </w:r>
      <w:r w:rsidR="00BA1FA0" w:rsidRPr="00757D20">
        <w:t xml:space="preserve">a normal lesson during class time. </w:t>
      </w:r>
      <w:r w:rsidR="00B02E64" w:rsidRPr="00757D20">
        <w:t>T</w:t>
      </w:r>
      <w:r w:rsidRPr="00757D20">
        <w:t xml:space="preserve">his </w:t>
      </w:r>
      <w:r w:rsidR="00B02E64" w:rsidRPr="00757D20">
        <w:t>process</w:t>
      </w:r>
      <w:r w:rsidRPr="00757D20">
        <w:t xml:space="preserve"> yielded exceptionally high response rates and, notably, facilitated the inclusion of a substantial number of students from </w:t>
      </w:r>
      <w:r w:rsidR="00087D45" w:rsidRPr="00757D20">
        <w:t xml:space="preserve">marginalised and disadvantaged backgrounds </w:t>
      </w:r>
      <w:r w:rsidRPr="00757D20">
        <w:t xml:space="preserve">who may otherwise </w:t>
      </w:r>
      <w:r w:rsidR="00DF3674" w:rsidRPr="00757D20">
        <w:t xml:space="preserve">have </w:t>
      </w:r>
      <w:r w:rsidRPr="00757D20">
        <w:t xml:space="preserve">been underrepresented. </w:t>
      </w:r>
      <w:r w:rsidR="00237298" w:rsidRPr="00757D20">
        <w:t>By comparison, i</w:t>
      </w:r>
      <w:r w:rsidRPr="00757D20">
        <w:t xml:space="preserve">n the current study, students and their parents were required to opt-in to the </w:t>
      </w:r>
      <w:r w:rsidR="00E36146" w:rsidRPr="00757D20">
        <w:t>research (</w:t>
      </w:r>
      <w:r w:rsidR="00D23B0C" w:rsidRPr="00757D20">
        <w:t xml:space="preserve">the NSW Department of Education no longer </w:t>
      </w:r>
      <w:r w:rsidR="00E36146" w:rsidRPr="00757D20">
        <w:t xml:space="preserve">allows </w:t>
      </w:r>
      <w:r w:rsidR="00D23B0C" w:rsidRPr="00757D20">
        <w:t>opt-out consent</w:t>
      </w:r>
      <w:r w:rsidR="0079548E" w:rsidRPr="00757D20">
        <w:t>)</w:t>
      </w:r>
      <w:r w:rsidRPr="00757D20">
        <w:t>. This meant that written</w:t>
      </w:r>
      <w:r w:rsidR="00125CF4" w:rsidRPr="00757D20">
        <w:t>,</w:t>
      </w:r>
      <w:r w:rsidRPr="00757D20">
        <w:t xml:space="preserve"> informed consent from both parents and their </w:t>
      </w:r>
      <w:r w:rsidR="007D1467" w:rsidRPr="00757D20">
        <w:t xml:space="preserve">children </w:t>
      </w:r>
      <w:r w:rsidRPr="00757D20">
        <w:t xml:space="preserve">was required for </w:t>
      </w:r>
      <w:r w:rsidR="00125CF4" w:rsidRPr="00757D20">
        <w:t xml:space="preserve">a </w:t>
      </w:r>
      <w:r w:rsidRPr="00757D20">
        <w:t>student</w:t>
      </w:r>
      <w:r w:rsidR="00125CF4" w:rsidRPr="00757D20">
        <w:t>’</w:t>
      </w:r>
      <w:r w:rsidRPr="00757D20">
        <w:t>s data to be included</w:t>
      </w:r>
      <w:r w:rsidR="00130FA1" w:rsidRPr="00757D20">
        <w:t xml:space="preserve"> in the </w:t>
      </w:r>
      <w:proofErr w:type="gramStart"/>
      <w:r w:rsidR="002A44E4" w:rsidRPr="00757D20">
        <w:t>research</w:t>
      </w:r>
      <w:r w:rsidR="00B96002" w:rsidRPr="00757D20">
        <w:t>;</w:t>
      </w:r>
      <w:proofErr w:type="gramEnd"/>
      <w:r w:rsidR="0092757A" w:rsidRPr="00757D20">
        <w:t xml:space="preserve"> an onerous process for teachers and school leaders in the current educational climate</w:t>
      </w:r>
      <w:r w:rsidR="00130FA1" w:rsidRPr="00757D20">
        <w:t xml:space="preserve">. </w:t>
      </w:r>
      <w:r w:rsidR="005C1167" w:rsidRPr="00B55B77">
        <w:t>While more than 300 students completed a survey, the dual consent process (needing to secure permission from both students and their parents) led to a final survey sample of just 78 students. This study highlights the impact of such consent processes compared with the original study’s opt-out consent</w:t>
      </w:r>
      <w:r w:rsidR="00125CF4" w:rsidRPr="00757D20">
        <w:t>,</w:t>
      </w:r>
      <w:r w:rsidR="005C1167" w:rsidRPr="00D017A0">
        <w:t xml:space="preserve"> which generated many more usable responses.</w:t>
      </w:r>
    </w:p>
    <w:p w14:paraId="0C97F3FF" w14:textId="7BC67F13" w:rsidR="003E72C1" w:rsidRPr="00757D20" w:rsidRDefault="00A307CB" w:rsidP="00E2261E">
      <w:pPr>
        <w:pStyle w:val="Heading4"/>
        <w:numPr>
          <w:ilvl w:val="0"/>
          <w:numId w:val="0"/>
        </w:numPr>
      </w:pPr>
      <w:r w:rsidRPr="00757D20">
        <w:t>Current s</w:t>
      </w:r>
      <w:r w:rsidR="003E72C1" w:rsidRPr="00757D20">
        <w:t>ample</w:t>
      </w:r>
    </w:p>
    <w:p w14:paraId="6897EB66" w14:textId="37CDC6C7" w:rsidR="00F42F20" w:rsidRPr="00757D20" w:rsidRDefault="007823E6" w:rsidP="00B86380">
      <w:pPr>
        <w:widowControl w:val="0"/>
      </w:pPr>
      <w:r w:rsidRPr="00757D20">
        <w:t>Overall, seven school</w:t>
      </w:r>
      <w:r w:rsidR="001E19A7" w:rsidRPr="00757D20">
        <w:t>s (</w:t>
      </w:r>
      <w:r w:rsidR="00CF489D" w:rsidRPr="00757D20">
        <w:t xml:space="preserve">six </w:t>
      </w:r>
      <w:r w:rsidR="00571710" w:rsidRPr="00757D20">
        <w:t>secondary</w:t>
      </w:r>
      <w:r w:rsidR="00CF489D" w:rsidRPr="00757D20">
        <w:t xml:space="preserve"> schools and one</w:t>
      </w:r>
      <w:r w:rsidR="003A5C8A" w:rsidRPr="00757D20">
        <w:t xml:space="preserve"> central school) were recruited</w:t>
      </w:r>
      <w:r w:rsidR="009C4E57" w:rsidRPr="00757D20">
        <w:t xml:space="preserve"> from the</w:t>
      </w:r>
      <w:r w:rsidR="00571710" w:rsidRPr="00757D20">
        <w:t xml:space="preserve"> original research.</w:t>
      </w:r>
      <w:r w:rsidR="003A5C8A" w:rsidRPr="00757D20">
        <w:t xml:space="preserve"> </w:t>
      </w:r>
      <w:r w:rsidR="00571710" w:rsidRPr="00757D20">
        <w:t xml:space="preserve">As shown in Table </w:t>
      </w:r>
      <w:r w:rsidR="00072457" w:rsidRPr="00757D20">
        <w:t>1</w:t>
      </w:r>
      <w:r w:rsidR="00571710" w:rsidRPr="00757D20">
        <w:t>, p</w:t>
      </w:r>
      <w:r w:rsidR="006B3389" w:rsidRPr="00757D20">
        <w:t xml:space="preserve">articipating schools had </w:t>
      </w:r>
      <w:r w:rsidR="002C553F" w:rsidRPr="00757D20">
        <w:t xml:space="preserve">a </w:t>
      </w:r>
      <w:r w:rsidR="006B3389" w:rsidRPr="00757D20">
        <w:t>range of ICSEA</w:t>
      </w:r>
      <w:r w:rsidR="006B3389" w:rsidRPr="00757D20">
        <w:rPr>
          <w:rStyle w:val="FootnoteReference"/>
        </w:rPr>
        <w:footnoteReference w:id="9"/>
      </w:r>
      <w:r w:rsidR="006B3389" w:rsidRPr="00757D20">
        <w:t xml:space="preserve"> values, representing different socio</w:t>
      </w:r>
      <w:r w:rsidR="00125CF4" w:rsidRPr="00757D20">
        <w:t>-</w:t>
      </w:r>
      <w:r w:rsidR="006B3389" w:rsidRPr="00757D20">
        <w:t xml:space="preserve">economic backgrounds. </w:t>
      </w:r>
      <w:proofErr w:type="gramStart"/>
      <w:r w:rsidR="006B3389" w:rsidRPr="00757D20">
        <w:t>A majority of</w:t>
      </w:r>
      <w:proofErr w:type="gramEnd"/>
      <w:r w:rsidR="006B3389" w:rsidRPr="00757D20">
        <w:t xml:space="preserve"> schools had low-ICSEA values (&lt;950) (Ironbark Plains, </w:t>
      </w:r>
      <w:proofErr w:type="spellStart"/>
      <w:r w:rsidR="006B3389" w:rsidRPr="00757D20">
        <w:t>Murrindah</w:t>
      </w:r>
      <w:proofErr w:type="spellEnd"/>
      <w:r w:rsidR="006B3389" w:rsidRPr="00757D20">
        <w:t>, Riverbend, Oldfields</w:t>
      </w:r>
      <w:r w:rsidR="00FF4302" w:rsidRPr="00757D20">
        <w:t>)</w:t>
      </w:r>
      <w:r w:rsidR="006B3389" w:rsidRPr="00757D20">
        <w:t xml:space="preserve">, reflecting a lower </w:t>
      </w:r>
      <w:r w:rsidR="00125CF4" w:rsidRPr="00757D20">
        <w:t>SES</w:t>
      </w:r>
      <w:r w:rsidR="006B3389" w:rsidRPr="00757D20">
        <w:t xml:space="preserve"> region. Two schools (</w:t>
      </w:r>
      <w:proofErr w:type="spellStart"/>
      <w:r w:rsidR="006B3389" w:rsidRPr="00757D20">
        <w:t>Wattlebrook</w:t>
      </w:r>
      <w:proofErr w:type="spellEnd"/>
      <w:r w:rsidR="006B3389" w:rsidRPr="00757D20">
        <w:t xml:space="preserve"> and </w:t>
      </w:r>
      <w:proofErr w:type="spellStart"/>
      <w:r w:rsidR="006B3389" w:rsidRPr="00757D20">
        <w:t>Southvale</w:t>
      </w:r>
      <w:proofErr w:type="spellEnd"/>
      <w:r w:rsidR="006B3389" w:rsidRPr="00757D20">
        <w:t>) had mid-ICSEA values (950-1000</w:t>
      </w:r>
      <w:proofErr w:type="gramStart"/>
      <w:r w:rsidR="006B3389" w:rsidRPr="00757D20">
        <w:t>)</w:t>
      </w:r>
      <w:proofErr w:type="gramEnd"/>
      <w:r w:rsidR="006B3389" w:rsidRPr="00757D20">
        <w:t xml:space="preserve"> and one school (Banks Hollow) had a high-ICSEA value (&gt;1050)</w:t>
      </w:r>
      <w:r w:rsidR="005F1BC0" w:rsidRPr="00757D20">
        <w:t>.</w:t>
      </w:r>
    </w:p>
    <w:p w14:paraId="1E3ECA56" w14:textId="56731971" w:rsidR="006B3389" w:rsidRPr="00757D20" w:rsidRDefault="006B3389" w:rsidP="00B86380">
      <w:pPr>
        <w:pStyle w:val="Caption"/>
        <w:widowControl w:val="0"/>
      </w:pPr>
      <w:bookmarkStart w:id="36" w:name="_Toc216774180"/>
      <w:r w:rsidRPr="00757D20">
        <w:lastRenderedPageBreak/>
        <w:t xml:space="preserve">Table </w:t>
      </w:r>
      <w:r w:rsidRPr="00757D20">
        <w:fldChar w:fldCharType="begin"/>
      </w:r>
      <w:r w:rsidRPr="00757D20">
        <w:instrText>SEQ Table \* ARABIC</w:instrText>
      </w:r>
      <w:r w:rsidRPr="00757D20">
        <w:fldChar w:fldCharType="separate"/>
      </w:r>
      <w:r w:rsidR="00456DBD" w:rsidRPr="00757D20">
        <w:rPr>
          <w:noProof/>
        </w:rPr>
        <w:t>1</w:t>
      </w:r>
      <w:r w:rsidRPr="00757D20">
        <w:fldChar w:fldCharType="end"/>
      </w:r>
      <w:r w:rsidR="00D618E7" w:rsidRPr="00757D20">
        <w:t>:</w:t>
      </w:r>
      <w:r w:rsidRPr="00757D20">
        <w:t xml:space="preserve"> Sample description</w:t>
      </w:r>
      <w:r w:rsidR="00944C8E" w:rsidRPr="00757D20">
        <w:t xml:space="preserve"> by school</w:t>
      </w:r>
      <w:r w:rsidRPr="00757D20">
        <w:t>, 2025</w:t>
      </w:r>
      <w:bookmarkEnd w:id="3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93"/>
        <w:gridCol w:w="950"/>
        <w:gridCol w:w="1401"/>
        <w:gridCol w:w="1134"/>
        <w:gridCol w:w="1086"/>
        <w:gridCol w:w="1087"/>
        <w:gridCol w:w="1087"/>
      </w:tblGrid>
      <w:tr w:rsidR="00FE38F3" w:rsidRPr="00757D20" w14:paraId="6642866B" w14:textId="77777777" w:rsidTr="00097952">
        <w:trPr>
          <w:trHeight w:val="420"/>
        </w:trPr>
        <w:tc>
          <w:tcPr>
            <w:tcW w:w="1413" w:type="dxa"/>
            <w:vMerge w:val="restart"/>
            <w:shd w:val="clear" w:color="auto" w:fill="78DED9" w:themeFill="accent1"/>
          </w:tcPr>
          <w:p w14:paraId="69E5120B" w14:textId="77777777" w:rsidR="006B3389" w:rsidRPr="00757D20" w:rsidRDefault="006B3389" w:rsidP="00B86380">
            <w:pPr>
              <w:pStyle w:val="TOCHeading"/>
              <w:widowControl w:val="0"/>
              <w:rPr>
                <w:rFonts w:cs="Arial"/>
                <w:bCs/>
                <w:sz w:val="21"/>
                <w:szCs w:val="21"/>
              </w:rPr>
            </w:pPr>
            <w:r w:rsidRPr="00757D20">
              <w:rPr>
                <w:rFonts w:cs="Arial"/>
                <w:bCs/>
                <w:sz w:val="21"/>
                <w:szCs w:val="21"/>
              </w:rPr>
              <w:t>School</w:t>
            </w:r>
          </w:p>
        </w:tc>
        <w:tc>
          <w:tcPr>
            <w:tcW w:w="1193" w:type="dxa"/>
            <w:vMerge w:val="restart"/>
            <w:shd w:val="clear" w:color="auto" w:fill="78DED9" w:themeFill="accent1"/>
          </w:tcPr>
          <w:p w14:paraId="13F210CE" w14:textId="77777777" w:rsidR="006B3389" w:rsidRPr="00757D20" w:rsidRDefault="006B3389" w:rsidP="00B86380">
            <w:pPr>
              <w:pStyle w:val="TOCHeading"/>
              <w:widowControl w:val="0"/>
              <w:rPr>
                <w:rFonts w:cs="Arial"/>
                <w:bCs/>
                <w:sz w:val="21"/>
                <w:szCs w:val="21"/>
              </w:rPr>
            </w:pPr>
            <w:r w:rsidRPr="00757D20">
              <w:rPr>
                <w:rFonts w:cs="Arial"/>
                <w:bCs/>
                <w:sz w:val="21"/>
                <w:szCs w:val="21"/>
              </w:rPr>
              <w:t>Location</w:t>
            </w:r>
          </w:p>
        </w:tc>
        <w:tc>
          <w:tcPr>
            <w:tcW w:w="950" w:type="dxa"/>
            <w:vMerge w:val="restart"/>
            <w:shd w:val="clear" w:color="auto" w:fill="78DED9" w:themeFill="accent1"/>
          </w:tcPr>
          <w:p w14:paraId="487B7C63" w14:textId="77777777" w:rsidR="006B3389" w:rsidRPr="00757D20" w:rsidRDefault="006B3389" w:rsidP="00B86380">
            <w:pPr>
              <w:pStyle w:val="TOCHeading"/>
              <w:widowControl w:val="0"/>
              <w:rPr>
                <w:rFonts w:cs="Arial"/>
                <w:bCs/>
                <w:sz w:val="21"/>
                <w:szCs w:val="21"/>
              </w:rPr>
            </w:pPr>
            <w:r w:rsidRPr="00757D20">
              <w:rPr>
                <w:rFonts w:cs="Arial"/>
                <w:bCs/>
                <w:sz w:val="21"/>
                <w:szCs w:val="21"/>
              </w:rPr>
              <w:t>ICSEA</w:t>
            </w:r>
          </w:p>
        </w:tc>
        <w:tc>
          <w:tcPr>
            <w:tcW w:w="1401" w:type="dxa"/>
            <w:vMerge w:val="restart"/>
            <w:shd w:val="clear" w:color="auto" w:fill="78DED9" w:themeFill="accent1"/>
          </w:tcPr>
          <w:p w14:paraId="023F1032" w14:textId="77777777" w:rsidR="002F6BB5" w:rsidRPr="00757D20" w:rsidRDefault="006B3389" w:rsidP="00B86380">
            <w:pPr>
              <w:pStyle w:val="TOCHeading"/>
              <w:widowControl w:val="0"/>
              <w:spacing w:after="0"/>
              <w:ind w:right="-1230"/>
              <w:rPr>
                <w:rFonts w:cs="Arial"/>
                <w:bCs/>
                <w:sz w:val="21"/>
                <w:szCs w:val="21"/>
              </w:rPr>
            </w:pPr>
            <w:r w:rsidRPr="00757D20">
              <w:rPr>
                <w:rFonts w:cs="Arial"/>
                <w:bCs/>
                <w:sz w:val="21"/>
                <w:szCs w:val="21"/>
              </w:rPr>
              <w:t xml:space="preserve">School </w:t>
            </w:r>
          </w:p>
          <w:p w14:paraId="445FBBBB" w14:textId="51B7F2E6" w:rsidR="006B3389" w:rsidRPr="00757D20" w:rsidRDefault="002F6BB5" w:rsidP="00B86380">
            <w:pPr>
              <w:pStyle w:val="TOCHeading"/>
              <w:widowControl w:val="0"/>
              <w:spacing w:after="0"/>
              <w:ind w:right="-1230"/>
              <w:rPr>
                <w:rFonts w:cs="Arial"/>
                <w:bCs/>
                <w:sz w:val="21"/>
                <w:szCs w:val="21"/>
              </w:rPr>
            </w:pPr>
            <w:r w:rsidRPr="00757D20">
              <w:rPr>
                <w:rFonts w:cs="Arial"/>
                <w:bCs/>
                <w:sz w:val="21"/>
                <w:szCs w:val="21"/>
              </w:rPr>
              <w:t>enrolments</w:t>
            </w:r>
          </w:p>
        </w:tc>
        <w:tc>
          <w:tcPr>
            <w:tcW w:w="1134" w:type="dxa"/>
            <w:vMerge w:val="restart"/>
            <w:shd w:val="clear" w:color="auto" w:fill="78DED9" w:themeFill="accent1"/>
          </w:tcPr>
          <w:p w14:paraId="27B1BFA4" w14:textId="77777777" w:rsidR="006B3389" w:rsidRPr="00757D20" w:rsidRDefault="006B3389" w:rsidP="00B86380">
            <w:pPr>
              <w:pStyle w:val="TOCHeading"/>
              <w:widowControl w:val="0"/>
              <w:rPr>
                <w:rFonts w:cs="Arial"/>
                <w:bCs/>
                <w:sz w:val="21"/>
                <w:szCs w:val="21"/>
              </w:rPr>
            </w:pPr>
            <w:r w:rsidRPr="00757D20">
              <w:rPr>
                <w:rFonts w:cs="Arial"/>
                <w:bCs/>
                <w:sz w:val="21"/>
                <w:szCs w:val="21"/>
              </w:rPr>
              <w:t>Student surveys</w:t>
            </w:r>
          </w:p>
        </w:tc>
        <w:tc>
          <w:tcPr>
            <w:tcW w:w="3260" w:type="dxa"/>
            <w:gridSpan w:val="3"/>
            <w:shd w:val="clear" w:color="auto" w:fill="78DED9" w:themeFill="accent1"/>
            <w:vAlign w:val="center"/>
          </w:tcPr>
          <w:p w14:paraId="6911ADB9" w14:textId="77777777" w:rsidR="006B3389" w:rsidRPr="00757D20" w:rsidRDefault="006B3389" w:rsidP="00B86380">
            <w:pPr>
              <w:pStyle w:val="TOCHeading"/>
              <w:widowControl w:val="0"/>
              <w:jc w:val="center"/>
              <w:rPr>
                <w:rFonts w:cs="Arial"/>
                <w:bCs/>
                <w:sz w:val="21"/>
                <w:szCs w:val="21"/>
              </w:rPr>
            </w:pPr>
            <w:r w:rsidRPr="00757D20">
              <w:rPr>
                <w:rFonts w:cs="Arial"/>
                <w:bCs/>
                <w:sz w:val="21"/>
                <w:szCs w:val="21"/>
              </w:rPr>
              <w:t>Interview and focus group participants</w:t>
            </w:r>
          </w:p>
        </w:tc>
      </w:tr>
      <w:tr w:rsidR="00B93BE1" w:rsidRPr="00757D20" w14:paraId="34715DE1" w14:textId="77777777" w:rsidTr="00097952">
        <w:trPr>
          <w:trHeight w:val="420"/>
        </w:trPr>
        <w:tc>
          <w:tcPr>
            <w:tcW w:w="1413" w:type="dxa"/>
            <w:vMerge/>
            <w:shd w:val="clear" w:color="auto" w:fill="78DED9" w:themeFill="accent1"/>
            <w:vAlign w:val="center"/>
          </w:tcPr>
          <w:p w14:paraId="212BAC83" w14:textId="77777777" w:rsidR="006B3389" w:rsidRPr="00757D20" w:rsidRDefault="006B3389" w:rsidP="00B86380">
            <w:pPr>
              <w:pStyle w:val="TOCHeading"/>
              <w:widowControl w:val="0"/>
              <w:rPr>
                <w:rFonts w:cs="Arial"/>
                <w:bCs/>
                <w:sz w:val="21"/>
                <w:szCs w:val="21"/>
              </w:rPr>
            </w:pPr>
          </w:p>
        </w:tc>
        <w:tc>
          <w:tcPr>
            <w:tcW w:w="1193" w:type="dxa"/>
            <w:vMerge/>
            <w:shd w:val="clear" w:color="auto" w:fill="78DED9" w:themeFill="accent1"/>
            <w:vAlign w:val="center"/>
          </w:tcPr>
          <w:p w14:paraId="2385D7D0" w14:textId="77777777" w:rsidR="006B3389" w:rsidRPr="00757D20" w:rsidRDefault="006B3389" w:rsidP="00B86380">
            <w:pPr>
              <w:pStyle w:val="TOCHeading"/>
              <w:widowControl w:val="0"/>
              <w:rPr>
                <w:rFonts w:cs="Arial"/>
                <w:bCs/>
                <w:sz w:val="21"/>
                <w:szCs w:val="21"/>
              </w:rPr>
            </w:pPr>
          </w:p>
        </w:tc>
        <w:tc>
          <w:tcPr>
            <w:tcW w:w="950" w:type="dxa"/>
            <w:vMerge/>
            <w:shd w:val="clear" w:color="auto" w:fill="78DED9" w:themeFill="accent1"/>
            <w:vAlign w:val="center"/>
          </w:tcPr>
          <w:p w14:paraId="60B4FF35" w14:textId="77777777" w:rsidR="006B3389" w:rsidRPr="00757D20" w:rsidRDefault="006B3389" w:rsidP="00B86380">
            <w:pPr>
              <w:pStyle w:val="TOCHeading"/>
              <w:widowControl w:val="0"/>
              <w:rPr>
                <w:rFonts w:cs="Arial"/>
                <w:bCs/>
                <w:sz w:val="21"/>
                <w:szCs w:val="21"/>
              </w:rPr>
            </w:pPr>
          </w:p>
        </w:tc>
        <w:tc>
          <w:tcPr>
            <w:tcW w:w="1401" w:type="dxa"/>
            <w:vMerge/>
            <w:shd w:val="clear" w:color="auto" w:fill="78DED9" w:themeFill="accent1"/>
            <w:vAlign w:val="center"/>
          </w:tcPr>
          <w:p w14:paraId="1AAF7A62" w14:textId="77777777" w:rsidR="006B3389" w:rsidRPr="00757D20" w:rsidRDefault="006B3389" w:rsidP="00B86380">
            <w:pPr>
              <w:pStyle w:val="TOCHeading"/>
              <w:widowControl w:val="0"/>
              <w:rPr>
                <w:rFonts w:cs="Arial"/>
                <w:bCs/>
                <w:sz w:val="21"/>
                <w:szCs w:val="21"/>
              </w:rPr>
            </w:pPr>
          </w:p>
        </w:tc>
        <w:tc>
          <w:tcPr>
            <w:tcW w:w="1134" w:type="dxa"/>
            <w:vMerge/>
            <w:shd w:val="clear" w:color="auto" w:fill="78DED9" w:themeFill="accent1"/>
            <w:vAlign w:val="center"/>
          </w:tcPr>
          <w:p w14:paraId="58F6CB2E" w14:textId="77777777" w:rsidR="006B3389" w:rsidRPr="00757D20" w:rsidRDefault="006B3389" w:rsidP="00B86380">
            <w:pPr>
              <w:pStyle w:val="TOCHeading"/>
              <w:widowControl w:val="0"/>
              <w:rPr>
                <w:rFonts w:cs="Arial"/>
                <w:bCs/>
                <w:sz w:val="21"/>
                <w:szCs w:val="21"/>
              </w:rPr>
            </w:pPr>
          </w:p>
        </w:tc>
        <w:tc>
          <w:tcPr>
            <w:tcW w:w="1086" w:type="dxa"/>
            <w:shd w:val="clear" w:color="auto" w:fill="78DED9" w:themeFill="accent1"/>
            <w:vAlign w:val="center"/>
          </w:tcPr>
          <w:p w14:paraId="0EDD8BCA" w14:textId="77777777" w:rsidR="006B3389" w:rsidRPr="00757D20" w:rsidRDefault="006B3389" w:rsidP="00B86380">
            <w:pPr>
              <w:pStyle w:val="TOCHeading"/>
              <w:widowControl w:val="0"/>
              <w:rPr>
                <w:rFonts w:cs="Arial"/>
                <w:bCs/>
                <w:sz w:val="21"/>
                <w:szCs w:val="21"/>
              </w:rPr>
            </w:pPr>
            <w:r w:rsidRPr="00757D20">
              <w:rPr>
                <w:rFonts w:cs="Arial"/>
                <w:bCs/>
                <w:sz w:val="21"/>
                <w:szCs w:val="21"/>
              </w:rPr>
              <w:t>Student</w:t>
            </w:r>
          </w:p>
        </w:tc>
        <w:tc>
          <w:tcPr>
            <w:tcW w:w="1087" w:type="dxa"/>
            <w:shd w:val="clear" w:color="auto" w:fill="78DED9" w:themeFill="accent1"/>
            <w:vAlign w:val="center"/>
          </w:tcPr>
          <w:p w14:paraId="64488352" w14:textId="77777777" w:rsidR="006B3389" w:rsidRPr="00757D20" w:rsidRDefault="006B3389" w:rsidP="00B86380">
            <w:pPr>
              <w:pStyle w:val="TOCHeading"/>
              <w:widowControl w:val="0"/>
              <w:rPr>
                <w:rFonts w:cs="Arial"/>
                <w:bCs/>
                <w:sz w:val="21"/>
                <w:szCs w:val="21"/>
              </w:rPr>
            </w:pPr>
            <w:r w:rsidRPr="00757D20">
              <w:rPr>
                <w:rFonts w:cs="Arial"/>
                <w:bCs/>
                <w:sz w:val="21"/>
                <w:szCs w:val="21"/>
              </w:rPr>
              <w:t>Teacher</w:t>
            </w:r>
          </w:p>
        </w:tc>
        <w:tc>
          <w:tcPr>
            <w:tcW w:w="1087" w:type="dxa"/>
            <w:shd w:val="clear" w:color="auto" w:fill="78DED9" w:themeFill="accent1"/>
            <w:vAlign w:val="center"/>
          </w:tcPr>
          <w:p w14:paraId="4CE2D0CE" w14:textId="77777777" w:rsidR="006B3389" w:rsidRPr="00757D20" w:rsidRDefault="006B3389" w:rsidP="00B86380">
            <w:pPr>
              <w:pStyle w:val="TOCHeading"/>
              <w:widowControl w:val="0"/>
              <w:rPr>
                <w:rFonts w:cs="Arial"/>
                <w:bCs/>
                <w:sz w:val="21"/>
                <w:szCs w:val="21"/>
              </w:rPr>
            </w:pPr>
            <w:r w:rsidRPr="00757D20">
              <w:rPr>
                <w:rFonts w:cs="Arial"/>
                <w:bCs/>
                <w:sz w:val="21"/>
                <w:szCs w:val="21"/>
              </w:rPr>
              <w:t>Parent</w:t>
            </w:r>
          </w:p>
        </w:tc>
      </w:tr>
      <w:tr w:rsidR="000F61A2" w:rsidRPr="00757D20" w14:paraId="48524DC8" w14:textId="77777777" w:rsidTr="00097952">
        <w:trPr>
          <w:trHeight w:val="840"/>
        </w:trPr>
        <w:tc>
          <w:tcPr>
            <w:tcW w:w="1413" w:type="dxa"/>
            <w:vAlign w:val="center"/>
            <w:hideMark/>
          </w:tcPr>
          <w:p w14:paraId="7C2B61EB" w14:textId="18EE34F4"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Ironbark Plains High School</w:t>
            </w:r>
            <w:r w:rsidR="00456DBD" w:rsidRPr="00757D20">
              <w:rPr>
                <w:rFonts w:eastAsia="Times New Roman" w:cs="Arial"/>
                <w:color w:val="000000"/>
                <w:kern w:val="0"/>
                <w:sz w:val="21"/>
                <w:szCs w:val="21"/>
                <w:vertAlign w:val="superscript"/>
                <w:lang w:eastAsia="en-AU"/>
                <w14:ligatures w14:val="none"/>
              </w:rPr>
              <w:t>1</w:t>
            </w:r>
          </w:p>
        </w:tc>
        <w:tc>
          <w:tcPr>
            <w:tcW w:w="1193" w:type="dxa"/>
            <w:vAlign w:val="center"/>
            <w:hideMark/>
          </w:tcPr>
          <w:p w14:paraId="275864C4"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Regional</w:t>
            </w:r>
          </w:p>
        </w:tc>
        <w:tc>
          <w:tcPr>
            <w:tcW w:w="950" w:type="dxa"/>
            <w:vAlign w:val="center"/>
            <w:hideMark/>
          </w:tcPr>
          <w:p w14:paraId="3013A642" w14:textId="77777777" w:rsidR="00864826"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&lt;950</w:t>
            </w:r>
          </w:p>
          <w:p w14:paraId="051E785E" w14:textId="77CCD858"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(low)</w:t>
            </w:r>
          </w:p>
        </w:tc>
        <w:tc>
          <w:tcPr>
            <w:tcW w:w="1401" w:type="dxa"/>
            <w:vAlign w:val="center"/>
            <w:hideMark/>
          </w:tcPr>
          <w:p w14:paraId="7CFC545C"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500-750</w:t>
            </w:r>
          </w:p>
        </w:tc>
        <w:tc>
          <w:tcPr>
            <w:tcW w:w="1134" w:type="dxa"/>
            <w:vAlign w:val="center"/>
            <w:hideMark/>
          </w:tcPr>
          <w:p w14:paraId="773D3FAF"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9</w:t>
            </w:r>
          </w:p>
        </w:tc>
        <w:tc>
          <w:tcPr>
            <w:tcW w:w="1086" w:type="dxa"/>
            <w:vAlign w:val="center"/>
            <w:hideMark/>
          </w:tcPr>
          <w:p w14:paraId="03C11CEE"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20</w:t>
            </w:r>
          </w:p>
        </w:tc>
        <w:tc>
          <w:tcPr>
            <w:tcW w:w="1087" w:type="dxa"/>
            <w:vAlign w:val="center"/>
            <w:hideMark/>
          </w:tcPr>
          <w:p w14:paraId="227F8FC9"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3</w:t>
            </w:r>
          </w:p>
        </w:tc>
        <w:tc>
          <w:tcPr>
            <w:tcW w:w="1087" w:type="dxa"/>
            <w:vAlign w:val="center"/>
            <w:hideMark/>
          </w:tcPr>
          <w:p w14:paraId="12BBC3C6"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0</w:t>
            </w:r>
          </w:p>
        </w:tc>
      </w:tr>
      <w:tr w:rsidR="000F61A2" w:rsidRPr="00757D20" w14:paraId="4EE9D9DC" w14:textId="77777777" w:rsidTr="00097952">
        <w:trPr>
          <w:trHeight w:val="840"/>
        </w:trPr>
        <w:tc>
          <w:tcPr>
            <w:tcW w:w="1413" w:type="dxa"/>
            <w:vAlign w:val="center"/>
            <w:hideMark/>
          </w:tcPr>
          <w:p w14:paraId="187EDD1B" w14:textId="05722E7D"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Oldfields Central School</w:t>
            </w:r>
            <w:r w:rsidR="00456DBD" w:rsidRPr="00757D20">
              <w:rPr>
                <w:rFonts w:eastAsia="Times New Roman" w:cs="Arial"/>
                <w:color w:val="000000"/>
                <w:kern w:val="0"/>
                <w:sz w:val="21"/>
                <w:szCs w:val="21"/>
                <w:vertAlign w:val="superscript"/>
                <w:lang w:eastAsia="en-AU"/>
                <w14:ligatures w14:val="none"/>
              </w:rPr>
              <w:t>1</w:t>
            </w:r>
          </w:p>
        </w:tc>
        <w:tc>
          <w:tcPr>
            <w:tcW w:w="1193" w:type="dxa"/>
            <w:vAlign w:val="center"/>
            <w:hideMark/>
          </w:tcPr>
          <w:p w14:paraId="55F51A6A"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Regional</w:t>
            </w:r>
          </w:p>
        </w:tc>
        <w:tc>
          <w:tcPr>
            <w:tcW w:w="950" w:type="dxa"/>
            <w:vAlign w:val="center"/>
            <w:hideMark/>
          </w:tcPr>
          <w:p w14:paraId="3A5BB86D"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&lt;950</w:t>
            </w:r>
          </w:p>
          <w:p w14:paraId="37034AE5" w14:textId="63FE5729"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(low)</w:t>
            </w:r>
          </w:p>
        </w:tc>
        <w:tc>
          <w:tcPr>
            <w:tcW w:w="1401" w:type="dxa"/>
            <w:vAlign w:val="center"/>
            <w:hideMark/>
          </w:tcPr>
          <w:p w14:paraId="145D0CBC"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&lt;250</w:t>
            </w:r>
          </w:p>
        </w:tc>
        <w:tc>
          <w:tcPr>
            <w:tcW w:w="1134" w:type="dxa"/>
            <w:vAlign w:val="center"/>
            <w:hideMark/>
          </w:tcPr>
          <w:p w14:paraId="50BE3E1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3</w:t>
            </w:r>
          </w:p>
        </w:tc>
        <w:tc>
          <w:tcPr>
            <w:tcW w:w="1086" w:type="dxa"/>
            <w:vAlign w:val="center"/>
            <w:hideMark/>
          </w:tcPr>
          <w:p w14:paraId="2D61089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3</w:t>
            </w:r>
          </w:p>
        </w:tc>
        <w:tc>
          <w:tcPr>
            <w:tcW w:w="1087" w:type="dxa"/>
            <w:vAlign w:val="center"/>
            <w:hideMark/>
          </w:tcPr>
          <w:p w14:paraId="7E937BF1"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w:t>
            </w:r>
          </w:p>
        </w:tc>
        <w:tc>
          <w:tcPr>
            <w:tcW w:w="1087" w:type="dxa"/>
            <w:vAlign w:val="center"/>
            <w:hideMark/>
          </w:tcPr>
          <w:p w14:paraId="7B06CCC0"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0</w:t>
            </w:r>
          </w:p>
        </w:tc>
      </w:tr>
      <w:tr w:rsidR="000F61A2" w:rsidRPr="00757D20" w14:paraId="060EFBDC" w14:textId="77777777" w:rsidTr="00097952">
        <w:trPr>
          <w:trHeight w:val="630"/>
        </w:trPr>
        <w:tc>
          <w:tcPr>
            <w:tcW w:w="1413" w:type="dxa"/>
            <w:vAlign w:val="center"/>
            <w:hideMark/>
          </w:tcPr>
          <w:p w14:paraId="7C57AD5A"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proofErr w:type="spellStart"/>
            <w:r w:rsidRPr="00757D20">
              <w:rPr>
                <w:rFonts w:eastAsia="Times New Roman" w:cs="Arial"/>
                <w:color w:val="000000"/>
                <w:kern w:val="0"/>
                <w:sz w:val="21"/>
                <w:szCs w:val="21"/>
                <w:lang w:eastAsia="en-AU"/>
                <w14:ligatures w14:val="none"/>
              </w:rPr>
              <w:t>Wattlebrook</w:t>
            </w:r>
            <w:proofErr w:type="spellEnd"/>
            <w:r w:rsidRPr="00757D20">
              <w:rPr>
                <w:rFonts w:eastAsia="Times New Roman" w:cs="Arial"/>
                <w:color w:val="000000"/>
                <w:kern w:val="0"/>
                <w:sz w:val="21"/>
                <w:szCs w:val="21"/>
                <w:lang w:eastAsia="en-AU"/>
                <w14:ligatures w14:val="none"/>
              </w:rPr>
              <w:t xml:space="preserve"> High School </w:t>
            </w:r>
          </w:p>
        </w:tc>
        <w:tc>
          <w:tcPr>
            <w:tcW w:w="1193" w:type="dxa"/>
            <w:vAlign w:val="center"/>
            <w:hideMark/>
          </w:tcPr>
          <w:p w14:paraId="4AA24D21"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Major Cities </w:t>
            </w:r>
          </w:p>
        </w:tc>
        <w:tc>
          <w:tcPr>
            <w:tcW w:w="950" w:type="dxa"/>
            <w:vAlign w:val="center"/>
            <w:hideMark/>
          </w:tcPr>
          <w:p w14:paraId="29E782F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950-1000</w:t>
            </w:r>
          </w:p>
          <w:p w14:paraId="4F75D982" w14:textId="37AE5C33"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(mid)</w:t>
            </w:r>
          </w:p>
        </w:tc>
        <w:tc>
          <w:tcPr>
            <w:tcW w:w="1401" w:type="dxa"/>
            <w:vAlign w:val="center"/>
            <w:hideMark/>
          </w:tcPr>
          <w:p w14:paraId="772626FE"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136</w:t>
            </w:r>
          </w:p>
        </w:tc>
        <w:tc>
          <w:tcPr>
            <w:tcW w:w="1134" w:type="dxa"/>
            <w:vAlign w:val="center"/>
            <w:hideMark/>
          </w:tcPr>
          <w:p w14:paraId="0DB2C527"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15</w:t>
            </w:r>
          </w:p>
        </w:tc>
        <w:tc>
          <w:tcPr>
            <w:tcW w:w="1086" w:type="dxa"/>
            <w:vAlign w:val="center"/>
            <w:hideMark/>
          </w:tcPr>
          <w:p w14:paraId="1E422BC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11</w:t>
            </w:r>
          </w:p>
        </w:tc>
        <w:tc>
          <w:tcPr>
            <w:tcW w:w="1087" w:type="dxa"/>
            <w:vAlign w:val="center"/>
            <w:hideMark/>
          </w:tcPr>
          <w:p w14:paraId="6B965D7D"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2</w:t>
            </w:r>
          </w:p>
        </w:tc>
        <w:tc>
          <w:tcPr>
            <w:tcW w:w="1087" w:type="dxa"/>
            <w:vAlign w:val="center"/>
            <w:hideMark/>
          </w:tcPr>
          <w:p w14:paraId="028D6958"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1</w:t>
            </w:r>
          </w:p>
        </w:tc>
      </w:tr>
      <w:tr w:rsidR="000F61A2" w:rsidRPr="00757D20" w14:paraId="5018269C" w14:textId="77777777" w:rsidTr="00097952">
        <w:trPr>
          <w:trHeight w:val="840"/>
        </w:trPr>
        <w:tc>
          <w:tcPr>
            <w:tcW w:w="1413" w:type="dxa"/>
            <w:vAlign w:val="center"/>
            <w:hideMark/>
          </w:tcPr>
          <w:p w14:paraId="07E0E4D2" w14:textId="7803E94B"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Banks Hollow Secondary College</w:t>
            </w:r>
            <w:r w:rsidR="00456DBD" w:rsidRPr="00757D20">
              <w:rPr>
                <w:rFonts w:eastAsia="Times New Roman" w:cs="Arial"/>
                <w:color w:val="000000"/>
                <w:kern w:val="0"/>
                <w:sz w:val="21"/>
                <w:szCs w:val="21"/>
                <w:vertAlign w:val="superscript"/>
                <w:lang w:eastAsia="en-AU"/>
                <w14:ligatures w14:val="none"/>
              </w:rPr>
              <w:t>1</w:t>
            </w:r>
            <w:r w:rsidRPr="00757D20">
              <w:rPr>
                <w:rFonts w:eastAsia="Times New Roman" w:cs="Arial"/>
                <w:color w:val="000000"/>
                <w:kern w:val="0"/>
                <w:sz w:val="21"/>
                <w:szCs w:val="21"/>
                <w:lang w:eastAsia="en-AU"/>
                <w14:ligatures w14:val="none"/>
              </w:rPr>
              <w:t xml:space="preserve"> </w:t>
            </w:r>
          </w:p>
        </w:tc>
        <w:tc>
          <w:tcPr>
            <w:tcW w:w="1193" w:type="dxa"/>
            <w:vAlign w:val="center"/>
            <w:hideMark/>
          </w:tcPr>
          <w:p w14:paraId="59B6F1BE"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Major Cities</w:t>
            </w:r>
          </w:p>
        </w:tc>
        <w:tc>
          <w:tcPr>
            <w:tcW w:w="950" w:type="dxa"/>
            <w:vAlign w:val="center"/>
            <w:hideMark/>
          </w:tcPr>
          <w:p w14:paraId="1BD60BF0"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&gt;1050</w:t>
            </w:r>
          </w:p>
          <w:p w14:paraId="5A64F013" w14:textId="52964DE8"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(high)</w:t>
            </w:r>
          </w:p>
        </w:tc>
        <w:tc>
          <w:tcPr>
            <w:tcW w:w="1401" w:type="dxa"/>
            <w:vAlign w:val="center"/>
            <w:hideMark/>
          </w:tcPr>
          <w:p w14:paraId="6D5AEAFB"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&gt;1000</w:t>
            </w:r>
          </w:p>
        </w:tc>
        <w:tc>
          <w:tcPr>
            <w:tcW w:w="1134" w:type="dxa"/>
            <w:vAlign w:val="center"/>
            <w:hideMark/>
          </w:tcPr>
          <w:p w14:paraId="53F5967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16</w:t>
            </w:r>
          </w:p>
        </w:tc>
        <w:tc>
          <w:tcPr>
            <w:tcW w:w="1086" w:type="dxa"/>
            <w:vAlign w:val="center"/>
            <w:hideMark/>
          </w:tcPr>
          <w:p w14:paraId="0F9A5A0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10</w:t>
            </w:r>
          </w:p>
        </w:tc>
        <w:tc>
          <w:tcPr>
            <w:tcW w:w="1087" w:type="dxa"/>
            <w:vAlign w:val="center"/>
            <w:hideMark/>
          </w:tcPr>
          <w:p w14:paraId="2F7C8F9E"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2</w:t>
            </w:r>
          </w:p>
        </w:tc>
        <w:tc>
          <w:tcPr>
            <w:tcW w:w="1087" w:type="dxa"/>
            <w:vAlign w:val="center"/>
            <w:hideMark/>
          </w:tcPr>
          <w:p w14:paraId="589E6867"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2</w:t>
            </w:r>
          </w:p>
        </w:tc>
      </w:tr>
      <w:tr w:rsidR="000F61A2" w:rsidRPr="00757D20" w14:paraId="298CD84D" w14:textId="77777777" w:rsidTr="00097952">
        <w:trPr>
          <w:trHeight w:val="630"/>
        </w:trPr>
        <w:tc>
          <w:tcPr>
            <w:tcW w:w="1413" w:type="dxa"/>
            <w:vAlign w:val="center"/>
            <w:hideMark/>
          </w:tcPr>
          <w:p w14:paraId="498E1DCA"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proofErr w:type="spellStart"/>
            <w:r w:rsidRPr="00757D20">
              <w:rPr>
                <w:rFonts w:eastAsia="Times New Roman" w:cs="Arial"/>
                <w:color w:val="000000"/>
                <w:kern w:val="0"/>
                <w:sz w:val="21"/>
                <w:szCs w:val="21"/>
                <w:lang w:eastAsia="en-AU"/>
                <w14:ligatures w14:val="none"/>
              </w:rPr>
              <w:t>Southvale</w:t>
            </w:r>
            <w:proofErr w:type="spellEnd"/>
            <w:r w:rsidRPr="00757D20">
              <w:rPr>
                <w:rFonts w:eastAsia="Times New Roman" w:cs="Arial"/>
                <w:color w:val="000000"/>
                <w:kern w:val="0"/>
                <w:sz w:val="21"/>
                <w:szCs w:val="21"/>
                <w:lang w:eastAsia="en-AU"/>
                <w14:ligatures w14:val="none"/>
              </w:rPr>
              <w:t xml:space="preserve"> High School </w:t>
            </w:r>
          </w:p>
        </w:tc>
        <w:tc>
          <w:tcPr>
            <w:tcW w:w="1193" w:type="dxa"/>
            <w:vAlign w:val="center"/>
            <w:hideMark/>
          </w:tcPr>
          <w:p w14:paraId="6C19B688"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Major Cities</w:t>
            </w:r>
          </w:p>
        </w:tc>
        <w:tc>
          <w:tcPr>
            <w:tcW w:w="950" w:type="dxa"/>
            <w:vAlign w:val="center"/>
            <w:hideMark/>
          </w:tcPr>
          <w:p w14:paraId="3DCC9325"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950-1000</w:t>
            </w:r>
          </w:p>
          <w:p w14:paraId="317C6BAE" w14:textId="33C51F14"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(mid)</w:t>
            </w:r>
          </w:p>
        </w:tc>
        <w:tc>
          <w:tcPr>
            <w:tcW w:w="1401" w:type="dxa"/>
            <w:vAlign w:val="center"/>
            <w:hideMark/>
          </w:tcPr>
          <w:p w14:paraId="0D3BB7D3"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500-750</w:t>
            </w:r>
          </w:p>
        </w:tc>
        <w:tc>
          <w:tcPr>
            <w:tcW w:w="1134" w:type="dxa"/>
            <w:vAlign w:val="center"/>
            <w:hideMark/>
          </w:tcPr>
          <w:p w14:paraId="4707C350" w14:textId="629786AC" w:rsidR="006B3389" w:rsidRPr="00757D20" w:rsidRDefault="002C31A5"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11</w:t>
            </w:r>
          </w:p>
        </w:tc>
        <w:tc>
          <w:tcPr>
            <w:tcW w:w="1086" w:type="dxa"/>
            <w:vAlign w:val="center"/>
            <w:hideMark/>
          </w:tcPr>
          <w:p w14:paraId="0FDCAD9B"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17</w:t>
            </w:r>
          </w:p>
        </w:tc>
        <w:tc>
          <w:tcPr>
            <w:tcW w:w="1087" w:type="dxa"/>
            <w:vAlign w:val="center"/>
            <w:hideMark/>
          </w:tcPr>
          <w:p w14:paraId="1FFCC91C" w14:textId="7A1EB87F" w:rsidR="006B3389" w:rsidRPr="00757D20" w:rsidRDefault="00640202"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2</w:t>
            </w:r>
          </w:p>
        </w:tc>
        <w:tc>
          <w:tcPr>
            <w:tcW w:w="1087" w:type="dxa"/>
            <w:vAlign w:val="center"/>
            <w:hideMark/>
          </w:tcPr>
          <w:p w14:paraId="3FBBFAAF" w14:textId="723FBC63" w:rsidR="006B3389" w:rsidRPr="00757D20" w:rsidRDefault="00640202"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4</w:t>
            </w:r>
          </w:p>
        </w:tc>
      </w:tr>
      <w:tr w:rsidR="000F61A2" w:rsidRPr="00757D20" w14:paraId="21EE823D" w14:textId="77777777" w:rsidTr="00097952">
        <w:trPr>
          <w:trHeight w:val="840"/>
        </w:trPr>
        <w:tc>
          <w:tcPr>
            <w:tcW w:w="1413" w:type="dxa"/>
            <w:vAlign w:val="center"/>
            <w:hideMark/>
          </w:tcPr>
          <w:p w14:paraId="1B52DBD0" w14:textId="1FD1AD22"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Riverbend College</w:t>
            </w:r>
            <w:r w:rsidR="00456DBD" w:rsidRPr="00757D20">
              <w:rPr>
                <w:rFonts w:eastAsia="Times New Roman" w:cs="Arial"/>
                <w:color w:val="000000"/>
                <w:kern w:val="0"/>
                <w:sz w:val="21"/>
                <w:szCs w:val="21"/>
                <w:vertAlign w:val="superscript"/>
                <w:lang w:eastAsia="en-AU"/>
                <w14:ligatures w14:val="none"/>
              </w:rPr>
              <w:t>1</w:t>
            </w:r>
            <w:r w:rsidRPr="00757D20">
              <w:rPr>
                <w:rFonts w:eastAsia="Times New Roman" w:cs="Arial"/>
                <w:color w:val="000000"/>
                <w:kern w:val="0"/>
                <w:sz w:val="21"/>
                <w:szCs w:val="21"/>
                <w:lang w:eastAsia="en-AU"/>
                <w14:ligatures w14:val="none"/>
              </w:rPr>
              <w:t xml:space="preserve"> </w:t>
            </w:r>
          </w:p>
        </w:tc>
        <w:tc>
          <w:tcPr>
            <w:tcW w:w="1193" w:type="dxa"/>
            <w:vAlign w:val="center"/>
            <w:hideMark/>
          </w:tcPr>
          <w:p w14:paraId="54C78C3C"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Major Cities</w:t>
            </w:r>
          </w:p>
        </w:tc>
        <w:tc>
          <w:tcPr>
            <w:tcW w:w="950" w:type="dxa"/>
            <w:vAlign w:val="center"/>
            <w:hideMark/>
          </w:tcPr>
          <w:p w14:paraId="72C3A79A"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&lt;950</w:t>
            </w:r>
          </w:p>
          <w:p w14:paraId="065BB331" w14:textId="5B1E5DCD"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(low)</w:t>
            </w:r>
          </w:p>
        </w:tc>
        <w:tc>
          <w:tcPr>
            <w:tcW w:w="1401" w:type="dxa"/>
            <w:vAlign w:val="center"/>
            <w:hideMark/>
          </w:tcPr>
          <w:p w14:paraId="06F606AB"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500-750</w:t>
            </w:r>
          </w:p>
        </w:tc>
        <w:tc>
          <w:tcPr>
            <w:tcW w:w="1134" w:type="dxa"/>
            <w:vAlign w:val="center"/>
            <w:hideMark/>
          </w:tcPr>
          <w:p w14:paraId="276A7383"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24</w:t>
            </w:r>
          </w:p>
        </w:tc>
        <w:tc>
          <w:tcPr>
            <w:tcW w:w="1086" w:type="dxa"/>
            <w:vAlign w:val="center"/>
            <w:hideMark/>
          </w:tcPr>
          <w:p w14:paraId="39DE3491"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18</w:t>
            </w:r>
          </w:p>
        </w:tc>
        <w:tc>
          <w:tcPr>
            <w:tcW w:w="1087" w:type="dxa"/>
            <w:vAlign w:val="center"/>
            <w:hideMark/>
          </w:tcPr>
          <w:p w14:paraId="1C937F90"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4</w:t>
            </w:r>
          </w:p>
        </w:tc>
        <w:tc>
          <w:tcPr>
            <w:tcW w:w="1087" w:type="dxa"/>
            <w:vAlign w:val="center"/>
            <w:hideMark/>
          </w:tcPr>
          <w:p w14:paraId="61916577"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5</w:t>
            </w:r>
          </w:p>
        </w:tc>
      </w:tr>
      <w:tr w:rsidR="000F61A2" w:rsidRPr="00757D20" w14:paraId="58582640" w14:textId="77777777" w:rsidTr="00097952">
        <w:trPr>
          <w:trHeight w:val="630"/>
        </w:trPr>
        <w:tc>
          <w:tcPr>
            <w:tcW w:w="1413" w:type="dxa"/>
            <w:vAlign w:val="center"/>
            <w:hideMark/>
          </w:tcPr>
          <w:p w14:paraId="5607293D" w14:textId="294531D8" w:rsidR="006B3389" w:rsidRPr="00757D20" w:rsidRDefault="006B3389" w:rsidP="00B86380">
            <w:pPr>
              <w:widowControl w:val="0"/>
              <w:spacing w:after="0" w:line="240" w:lineRule="auto"/>
              <w:rPr>
                <w:rFonts w:eastAsia="Times New Roman" w:cs="Arial"/>
                <w:color w:val="000000"/>
                <w:kern w:val="0"/>
                <w:sz w:val="21"/>
                <w:szCs w:val="21"/>
                <w:vertAlign w:val="superscript"/>
                <w:lang w:eastAsia="en-AU"/>
                <w14:ligatures w14:val="none"/>
              </w:rPr>
            </w:pPr>
            <w:proofErr w:type="spellStart"/>
            <w:r w:rsidRPr="00757D20">
              <w:rPr>
                <w:rFonts w:eastAsia="Times New Roman" w:cs="Arial"/>
                <w:color w:val="000000"/>
                <w:kern w:val="0"/>
                <w:sz w:val="21"/>
                <w:szCs w:val="21"/>
                <w:lang w:eastAsia="en-AU"/>
                <w14:ligatures w14:val="none"/>
              </w:rPr>
              <w:t>Murrindah</w:t>
            </w:r>
            <w:proofErr w:type="spellEnd"/>
            <w:r w:rsidRPr="00757D20">
              <w:rPr>
                <w:rFonts w:eastAsia="Times New Roman" w:cs="Arial"/>
                <w:color w:val="000000"/>
                <w:kern w:val="0"/>
                <w:sz w:val="21"/>
                <w:szCs w:val="21"/>
                <w:lang w:eastAsia="en-AU"/>
                <w14:ligatures w14:val="none"/>
              </w:rPr>
              <w:t xml:space="preserve"> High School*</w:t>
            </w:r>
            <w:r w:rsidR="00456DBD" w:rsidRPr="00757D20">
              <w:rPr>
                <w:rFonts w:eastAsia="Times New Roman" w:cs="Arial"/>
                <w:color w:val="000000"/>
                <w:kern w:val="0"/>
                <w:sz w:val="21"/>
                <w:szCs w:val="21"/>
                <w:vertAlign w:val="superscript"/>
                <w:lang w:eastAsia="en-AU"/>
                <w14:ligatures w14:val="none"/>
              </w:rPr>
              <w:t>1</w:t>
            </w:r>
          </w:p>
        </w:tc>
        <w:tc>
          <w:tcPr>
            <w:tcW w:w="1193" w:type="dxa"/>
            <w:vAlign w:val="center"/>
            <w:hideMark/>
          </w:tcPr>
          <w:p w14:paraId="6BC5E326" w14:textId="77777777" w:rsidR="006B3389" w:rsidRPr="00757D20" w:rsidRDefault="006B3389" w:rsidP="00B86380">
            <w:pPr>
              <w:widowControl w:val="0"/>
              <w:spacing w:after="0" w:line="240" w:lineRule="auto"/>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Major Cities</w:t>
            </w:r>
          </w:p>
        </w:tc>
        <w:tc>
          <w:tcPr>
            <w:tcW w:w="950" w:type="dxa"/>
            <w:vAlign w:val="center"/>
            <w:hideMark/>
          </w:tcPr>
          <w:p w14:paraId="50FDE080"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&lt;950</w:t>
            </w:r>
          </w:p>
          <w:p w14:paraId="21A8086A" w14:textId="39B18167" w:rsidR="00A82E90" w:rsidRPr="00757D20" w:rsidRDefault="00A82E90"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(low)</w:t>
            </w:r>
          </w:p>
        </w:tc>
        <w:tc>
          <w:tcPr>
            <w:tcW w:w="1401" w:type="dxa"/>
            <w:vAlign w:val="center"/>
            <w:hideMark/>
          </w:tcPr>
          <w:p w14:paraId="46579BA8"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500-750</w:t>
            </w:r>
          </w:p>
        </w:tc>
        <w:tc>
          <w:tcPr>
            <w:tcW w:w="1134" w:type="dxa"/>
            <w:vAlign w:val="center"/>
            <w:hideMark/>
          </w:tcPr>
          <w:p w14:paraId="29FB4B02"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0</w:t>
            </w:r>
          </w:p>
        </w:tc>
        <w:tc>
          <w:tcPr>
            <w:tcW w:w="1086" w:type="dxa"/>
            <w:vAlign w:val="center"/>
            <w:hideMark/>
          </w:tcPr>
          <w:p w14:paraId="28795070" w14:textId="77777777" w:rsidR="006B3389" w:rsidRPr="00757D20" w:rsidRDefault="006B3389" w:rsidP="00B86380">
            <w:pPr>
              <w:widowControl w:val="0"/>
              <w:spacing w:after="0" w:line="240" w:lineRule="auto"/>
              <w:jc w:val="right"/>
              <w:rPr>
                <w:rFonts w:eastAsia="Times New Roman" w:cs="Arial"/>
                <w:color w:val="000000"/>
                <w:kern w:val="0"/>
                <w:sz w:val="21"/>
                <w:szCs w:val="21"/>
                <w:lang w:eastAsia="en-AU"/>
                <w14:ligatures w14:val="none"/>
              </w:rPr>
            </w:pPr>
            <w:r w:rsidRPr="00757D20">
              <w:rPr>
                <w:rFonts w:eastAsia="Times New Roman" w:cs="Arial"/>
                <w:color w:val="000000"/>
                <w:kern w:val="0"/>
                <w:sz w:val="21"/>
                <w:szCs w:val="21"/>
                <w:lang w:eastAsia="en-AU"/>
                <w14:ligatures w14:val="none"/>
              </w:rPr>
              <w:t>19</w:t>
            </w:r>
          </w:p>
        </w:tc>
        <w:tc>
          <w:tcPr>
            <w:tcW w:w="1087" w:type="dxa"/>
            <w:vAlign w:val="center"/>
            <w:hideMark/>
          </w:tcPr>
          <w:p w14:paraId="510FA1D1"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0</w:t>
            </w:r>
          </w:p>
        </w:tc>
        <w:tc>
          <w:tcPr>
            <w:tcW w:w="1087" w:type="dxa"/>
            <w:vAlign w:val="center"/>
            <w:hideMark/>
          </w:tcPr>
          <w:p w14:paraId="5FBFB38E" w14:textId="77777777" w:rsidR="006B3389" w:rsidRPr="00757D20" w:rsidRDefault="006B3389" w:rsidP="00B86380">
            <w:pPr>
              <w:widowControl w:val="0"/>
              <w:spacing w:after="0" w:line="240" w:lineRule="auto"/>
              <w:jc w:val="right"/>
              <w:rPr>
                <w:rFonts w:eastAsia="Times New Roman" w:cs="Arial"/>
                <w:kern w:val="0"/>
                <w:sz w:val="21"/>
                <w:szCs w:val="21"/>
                <w:lang w:eastAsia="en-AU"/>
                <w14:ligatures w14:val="none"/>
              </w:rPr>
            </w:pPr>
            <w:r w:rsidRPr="00757D20">
              <w:rPr>
                <w:rFonts w:eastAsia="Times New Roman" w:cs="Arial"/>
                <w:kern w:val="0"/>
                <w:sz w:val="21"/>
                <w:szCs w:val="21"/>
                <w:lang w:eastAsia="en-AU"/>
                <w14:ligatures w14:val="none"/>
              </w:rPr>
              <w:t>4</w:t>
            </w:r>
          </w:p>
        </w:tc>
      </w:tr>
    </w:tbl>
    <w:p w14:paraId="48C05305" w14:textId="05D75B24" w:rsidR="006B3389" w:rsidRPr="00757D20" w:rsidRDefault="00456DBD" w:rsidP="00B86380">
      <w:pPr>
        <w:widowControl w:val="0"/>
        <w:spacing w:after="0"/>
        <w:rPr>
          <w:sz w:val="18"/>
          <w:szCs w:val="18"/>
        </w:rPr>
      </w:pPr>
      <w:r w:rsidRPr="00757D20">
        <w:rPr>
          <w:sz w:val="18"/>
          <w:szCs w:val="18"/>
        </w:rPr>
        <w:t>*</w:t>
      </w:r>
      <w:r w:rsidR="006B3389" w:rsidRPr="00757D20">
        <w:rPr>
          <w:sz w:val="18"/>
          <w:szCs w:val="18"/>
        </w:rPr>
        <w:t xml:space="preserve"> </w:t>
      </w:r>
      <w:proofErr w:type="spellStart"/>
      <w:r w:rsidR="00EF65CF" w:rsidRPr="00757D20">
        <w:rPr>
          <w:sz w:val="18"/>
          <w:szCs w:val="18"/>
        </w:rPr>
        <w:t>Murrindah</w:t>
      </w:r>
      <w:proofErr w:type="spellEnd"/>
      <w:r w:rsidR="00EF65CF" w:rsidRPr="00757D20">
        <w:rPr>
          <w:sz w:val="18"/>
          <w:szCs w:val="18"/>
        </w:rPr>
        <w:t xml:space="preserve"> High School</w:t>
      </w:r>
      <w:r w:rsidR="006B3389" w:rsidRPr="00757D20">
        <w:rPr>
          <w:sz w:val="18"/>
          <w:szCs w:val="18"/>
        </w:rPr>
        <w:t xml:space="preserve"> elected only to participate in the qualitative component of the study</w:t>
      </w:r>
    </w:p>
    <w:p w14:paraId="735095CB" w14:textId="1B77AE51" w:rsidR="00AD660A" w:rsidRPr="00757D20" w:rsidRDefault="00AD660A" w:rsidP="00B86380">
      <w:pPr>
        <w:widowControl w:val="0"/>
        <w:spacing w:after="0"/>
        <w:rPr>
          <w:sz w:val="18"/>
          <w:szCs w:val="18"/>
        </w:rPr>
      </w:pPr>
      <w:r w:rsidRPr="00757D20">
        <w:rPr>
          <w:rFonts w:cs="Arial"/>
          <w:sz w:val="18"/>
          <w:szCs w:val="18"/>
          <w:vertAlign w:val="superscript"/>
        </w:rPr>
        <w:t>1</w:t>
      </w:r>
      <w:r w:rsidR="00097952" w:rsidRPr="00757D20">
        <w:rPr>
          <w:rFonts w:cs="Arial"/>
          <w:sz w:val="18"/>
          <w:szCs w:val="18"/>
          <w:vertAlign w:val="superscript"/>
        </w:rPr>
        <w:t xml:space="preserve"> </w:t>
      </w:r>
      <w:r w:rsidRPr="00757D20">
        <w:rPr>
          <w:sz w:val="18"/>
          <w:szCs w:val="18"/>
        </w:rPr>
        <w:t>Longitudinal case study schools</w:t>
      </w:r>
    </w:p>
    <w:p w14:paraId="05060F15" w14:textId="77777777" w:rsidR="00AD660A" w:rsidRPr="00757D20" w:rsidRDefault="00AD660A" w:rsidP="00B86380">
      <w:pPr>
        <w:widowControl w:val="0"/>
        <w:rPr>
          <w:sz w:val="18"/>
          <w:szCs w:val="18"/>
        </w:rPr>
      </w:pPr>
    </w:p>
    <w:p w14:paraId="68DF59B6" w14:textId="5AAADD6B" w:rsidR="00F46F2C" w:rsidRPr="00757D20" w:rsidRDefault="00F46F2C" w:rsidP="00F46F2C">
      <w:pPr>
        <w:widowControl w:val="0"/>
      </w:pPr>
      <w:r w:rsidRPr="00757D20">
        <w:t xml:space="preserve">In terms of location, </w:t>
      </w:r>
      <w:proofErr w:type="gramStart"/>
      <w:r w:rsidRPr="00757D20">
        <w:t>the majority of</w:t>
      </w:r>
      <w:proofErr w:type="gramEnd"/>
      <w:r w:rsidRPr="00757D20">
        <w:t xml:space="preserve"> the schools </w:t>
      </w:r>
      <w:proofErr w:type="gramStart"/>
      <w:r w:rsidRPr="00757D20">
        <w:t>are located in</w:t>
      </w:r>
      <w:proofErr w:type="gramEnd"/>
      <w:r w:rsidRPr="00757D20">
        <w:t xml:space="preserve"> major cities, with </w:t>
      </w:r>
      <w:proofErr w:type="spellStart"/>
      <w:r w:rsidRPr="00757D20">
        <w:t>Wattlebrook</w:t>
      </w:r>
      <w:proofErr w:type="spellEnd"/>
      <w:r w:rsidRPr="00757D20">
        <w:t xml:space="preserve">, Banks Hollow, </w:t>
      </w:r>
      <w:proofErr w:type="spellStart"/>
      <w:r w:rsidRPr="00757D20">
        <w:t>Southvale</w:t>
      </w:r>
      <w:proofErr w:type="spellEnd"/>
      <w:r w:rsidRPr="00757D20">
        <w:t>, Riverbend</w:t>
      </w:r>
      <w:r w:rsidR="006F37F4" w:rsidRPr="00757D20">
        <w:t>,</w:t>
      </w:r>
      <w:r w:rsidRPr="00757D20">
        <w:t xml:space="preserve"> and </w:t>
      </w:r>
      <w:proofErr w:type="spellStart"/>
      <w:r w:rsidRPr="00757D20">
        <w:t>Murrindah</w:t>
      </w:r>
      <w:proofErr w:type="spellEnd"/>
      <w:r w:rsidRPr="00757D20">
        <w:t xml:space="preserve"> all situated in urban areas. Ironbark Plains and Oldfields </w:t>
      </w:r>
      <w:proofErr w:type="gramStart"/>
      <w:r w:rsidRPr="00757D20">
        <w:t>are located in</w:t>
      </w:r>
      <w:proofErr w:type="gramEnd"/>
      <w:r w:rsidRPr="00757D20">
        <w:t xml:space="preserve"> regional areas.</w:t>
      </w:r>
      <w:r w:rsidR="001B20E6" w:rsidRPr="00757D20">
        <w:t xml:space="preserve"> </w:t>
      </w:r>
    </w:p>
    <w:p w14:paraId="78A06FBD" w14:textId="28F1893A" w:rsidR="00A307CB" w:rsidRPr="00757D20" w:rsidRDefault="00A307CB" w:rsidP="00A307CB">
      <w:r w:rsidRPr="00757D20">
        <w:t xml:space="preserve">As shown in Table </w:t>
      </w:r>
      <w:r w:rsidR="00456DBD" w:rsidRPr="00757D20">
        <w:t>1</w:t>
      </w:r>
      <w:r w:rsidRPr="00757D20">
        <w:t>, the</w:t>
      </w:r>
      <w:r w:rsidR="008F79A2" w:rsidRPr="00757D20">
        <w:t xml:space="preserve"> student</w:t>
      </w:r>
      <w:r w:rsidRPr="00757D20">
        <w:t xml:space="preserve"> survey sample </w:t>
      </w:r>
      <w:r w:rsidR="008F79A2" w:rsidRPr="00757D20">
        <w:t xml:space="preserve">consisted of </w:t>
      </w:r>
      <w:r w:rsidRPr="00757D20">
        <w:t>78 participants</w:t>
      </w:r>
      <w:r w:rsidR="008F79A2" w:rsidRPr="00757D20">
        <w:t xml:space="preserve">. Within this overall sample, </w:t>
      </w:r>
      <w:r w:rsidRPr="00757D20">
        <w:t xml:space="preserve">66 </w:t>
      </w:r>
      <w:r w:rsidR="002F7DA5" w:rsidRPr="00757D20">
        <w:t xml:space="preserve">students </w:t>
      </w:r>
      <w:proofErr w:type="gramStart"/>
      <w:r w:rsidR="002F7DA5" w:rsidRPr="00757D20">
        <w:t>were located in</w:t>
      </w:r>
      <w:proofErr w:type="gramEnd"/>
      <w:r w:rsidR="002F7DA5" w:rsidRPr="00757D20">
        <w:t xml:space="preserve"> </w:t>
      </w:r>
      <w:r w:rsidRPr="00757D20">
        <w:t xml:space="preserve">major cities and 12 </w:t>
      </w:r>
      <w:r w:rsidR="002F7DA5" w:rsidRPr="00757D20">
        <w:t>in</w:t>
      </w:r>
      <w:r w:rsidRPr="00757D20">
        <w:t xml:space="preserve"> regional areas. Most students (</w:t>
      </w:r>
      <w:r w:rsidRPr="00757D20">
        <w:rPr>
          <w:i/>
          <w:iCs/>
        </w:rPr>
        <w:t>n</w:t>
      </w:r>
      <w:r w:rsidR="009F0ABC" w:rsidRPr="00757D20">
        <w:rPr>
          <w:i/>
          <w:iCs/>
        </w:rPr>
        <w:t xml:space="preserve"> </w:t>
      </w:r>
      <w:r w:rsidRPr="00757D20">
        <w:t>=</w:t>
      </w:r>
      <w:r w:rsidR="009F0ABC" w:rsidRPr="00757D20">
        <w:t xml:space="preserve"> </w:t>
      </w:r>
      <w:r w:rsidRPr="00757D20">
        <w:t>36) were from low</w:t>
      </w:r>
      <w:r w:rsidR="001F13B0" w:rsidRPr="00757D20">
        <w:t>-</w:t>
      </w:r>
      <w:r w:rsidRPr="00757D20">
        <w:t xml:space="preserve">ICSEA schools (ICSEA &lt;950), </w:t>
      </w:r>
      <w:r w:rsidR="00DB7616" w:rsidRPr="00757D20">
        <w:t>26</w:t>
      </w:r>
      <w:r w:rsidRPr="00757D20">
        <w:t xml:space="preserve"> were from mid</w:t>
      </w:r>
      <w:r w:rsidR="001F13B0" w:rsidRPr="00757D20">
        <w:t>-</w:t>
      </w:r>
      <w:r w:rsidRPr="00757D20">
        <w:t>ICSEA school</w:t>
      </w:r>
      <w:r w:rsidR="00FF535A" w:rsidRPr="00757D20">
        <w:t>s</w:t>
      </w:r>
      <w:r w:rsidRPr="00757D20">
        <w:t xml:space="preserve"> (ICSEA 950-1050)</w:t>
      </w:r>
      <w:r w:rsidR="001F13B0" w:rsidRPr="00757D20">
        <w:t>,</w:t>
      </w:r>
      <w:r w:rsidRPr="00757D20">
        <w:t xml:space="preserve"> and 16 were from high</w:t>
      </w:r>
      <w:r w:rsidR="001F13B0" w:rsidRPr="00757D20">
        <w:t>-</w:t>
      </w:r>
      <w:r w:rsidRPr="00757D20">
        <w:t xml:space="preserve">ICSEA schools (ICSEA&gt;1050). </w:t>
      </w:r>
      <w:r w:rsidR="00BC4599" w:rsidRPr="00757D20">
        <w:t>The survey was conducted online, taking between 10</w:t>
      </w:r>
      <w:r w:rsidR="001F13B0" w:rsidRPr="00757D20">
        <w:t>–</w:t>
      </w:r>
      <w:r w:rsidR="00BC4599" w:rsidRPr="00757D20">
        <w:t>15 minutes</w:t>
      </w:r>
      <w:r w:rsidR="00833728" w:rsidRPr="00757D20">
        <w:t xml:space="preserve"> to complete</w:t>
      </w:r>
      <w:r w:rsidR="00BC4599" w:rsidRPr="00757D20">
        <w:t>. It contained the same questions as the original studies</w:t>
      </w:r>
      <w:r w:rsidR="004F6656" w:rsidRPr="00757D20">
        <w:t>, largely focusing on students’ educational and occupational aspirations</w:t>
      </w:r>
      <w:r w:rsidR="00BC4599" w:rsidRPr="00757D20">
        <w:t xml:space="preserve"> with some minor amendments to account for social and technological changes. </w:t>
      </w:r>
      <w:r w:rsidR="00994976" w:rsidRPr="00D017A0">
        <w:t>One school (</w:t>
      </w:r>
      <w:proofErr w:type="spellStart"/>
      <w:r w:rsidR="00994976" w:rsidRPr="00D017A0">
        <w:t>Murrindah</w:t>
      </w:r>
      <w:proofErr w:type="spellEnd"/>
      <w:r w:rsidR="00994976" w:rsidRPr="00D017A0">
        <w:t xml:space="preserve"> High School) elected to participate only in the qualitative </w:t>
      </w:r>
      <w:r w:rsidR="00946B67" w:rsidRPr="00D017A0">
        <w:t>component of the study.</w:t>
      </w:r>
    </w:p>
    <w:p w14:paraId="17457923" w14:textId="23736C05" w:rsidR="004F6656" w:rsidRPr="00757D20" w:rsidRDefault="004F6656" w:rsidP="0064258C">
      <w:r w:rsidRPr="00757D20">
        <w:t xml:space="preserve">Overall, focus groups involving </w:t>
      </w:r>
      <w:r w:rsidR="006A1339" w:rsidRPr="00757D20">
        <w:t xml:space="preserve">98 </w:t>
      </w:r>
      <w:r w:rsidRPr="00757D20">
        <w:t xml:space="preserve">students and </w:t>
      </w:r>
      <w:r w:rsidR="00CE7D87" w:rsidRPr="00757D20">
        <w:t>interviews</w:t>
      </w:r>
      <w:r w:rsidRPr="00757D20">
        <w:t xml:space="preserve"> with </w:t>
      </w:r>
      <w:r w:rsidR="006A1339" w:rsidRPr="00757D20">
        <w:t>1</w:t>
      </w:r>
      <w:r w:rsidR="00DC5BB9" w:rsidRPr="00757D20">
        <w:t>6</w:t>
      </w:r>
      <w:r w:rsidR="006A1339" w:rsidRPr="00757D20">
        <w:t xml:space="preserve"> </w:t>
      </w:r>
      <w:r w:rsidRPr="00757D20">
        <w:t xml:space="preserve">parents/carers and </w:t>
      </w:r>
      <w:r w:rsidR="006A1339" w:rsidRPr="00757D20">
        <w:t>1</w:t>
      </w:r>
      <w:r w:rsidR="00316483" w:rsidRPr="00757D20">
        <w:t>4</w:t>
      </w:r>
      <w:r w:rsidR="006A1339" w:rsidRPr="00757D20">
        <w:t xml:space="preserve"> </w:t>
      </w:r>
      <w:r w:rsidRPr="00757D20">
        <w:t xml:space="preserve">teachers were conducted. </w:t>
      </w:r>
      <w:r w:rsidR="0064258C" w:rsidRPr="00757D20">
        <w:t xml:space="preserve">Interviews and focus groups were designed </w:t>
      </w:r>
      <w:r w:rsidRPr="00757D20">
        <w:t>to understand student aspirations today</w:t>
      </w:r>
      <w:r w:rsidR="00A27C9A" w:rsidRPr="00757D20">
        <w:t xml:space="preserve">, </w:t>
      </w:r>
      <w:r w:rsidRPr="00757D20">
        <w:t xml:space="preserve">the impact of </w:t>
      </w:r>
      <w:r w:rsidR="0064258C" w:rsidRPr="00757D20">
        <w:t xml:space="preserve">contemporary </w:t>
      </w:r>
      <w:r w:rsidRPr="00757D20">
        <w:t>political, economic</w:t>
      </w:r>
      <w:r w:rsidR="00B423AA" w:rsidRPr="00757D20">
        <w:t>,</w:t>
      </w:r>
      <w:r w:rsidRPr="00757D20">
        <w:t xml:space="preserve"> and social conditions</w:t>
      </w:r>
      <w:r w:rsidR="00A27C9A" w:rsidRPr="00757D20">
        <w:t>, and feelings about the present and future</w:t>
      </w:r>
      <w:r w:rsidRPr="00757D20">
        <w:t>. Interviews and focus groups took between 30</w:t>
      </w:r>
      <w:r w:rsidR="001F13B0" w:rsidRPr="00757D20">
        <w:t>–</w:t>
      </w:r>
      <w:r w:rsidRPr="00757D20">
        <w:t>60 minutes. Student focus groups were conducted in schools</w:t>
      </w:r>
      <w:r w:rsidR="00BE4BDD" w:rsidRPr="00757D20">
        <w:t xml:space="preserve"> during normal school hours</w:t>
      </w:r>
      <w:r w:rsidRPr="00757D20">
        <w:t>, in person</w:t>
      </w:r>
      <w:r w:rsidR="004C56AC" w:rsidRPr="00757D20">
        <w:t xml:space="preserve"> by a member of the research team</w:t>
      </w:r>
      <w:r w:rsidRPr="00757D20">
        <w:t xml:space="preserve">. Teacher and parent interviews and focus groups were conducted in person or via </w:t>
      </w:r>
      <w:r w:rsidR="000A68C5" w:rsidRPr="00757D20">
        <w:t xml:space="preserve">telephone or </w:t>
      </w:r>
      <w:proofErr w:type="gramStart"/>
      <w:r w:rsidRPr="00757D20">
        <w:t>Zoom</w:t>
      </w:r>
      <w:proofErr w:type="gramEnd"/>
      <w:r w:rsidRPr="00757D20">
        <w:t>.</w:t>
      </w:r>
    </w:p>
    <w:p w14:paraId="05304B65" w14:textId="3403C0BD" w:rsidR="003C2DEE" w:rsidRPr="00757D20" w:rsidRDefault="000028F7" w:rsidP="009C710D">
      <w:r w:rsidRPr="00757D20">
        <w:lastRenderedPageBreak/>
        <w:t>T</w:t>
      </w:r>
      <w:r w:rsidR="002C0963" w:rsidRPr="00757D20">
        <w:t xml:space="preserve">o ensure a diverse representation of school communities and voices in the </w:t>
      </w:r>
      <w:r w:rsidR="00E168E7" w:rsidRPr="00757D20">
        <w:t xml:space="preserve">longitudinal </w:t>
      </w:r>
      <w:r w:rsidR="002C0963" w:rsidRPr="00757D20">
        <w:t>case studies</w:t>
      </w:r>
      <w:r w:rsidR="00D11335" w:rsidRPr="00757D20">
        <w:t xml:space="preserve"> (by ICSEA and geographic location)</w:t>
      </w:r>
      <w:r w:rsidR="002C0963" w:rsidRPr="00757D20">
        <w:t xml:space="preserve">, the following five schools were identified </w:t>
      </w:r>
      <w:r w:rsidR="00194A14" w:rsidRPr="00757D20">
        <w:t>for inclusion</w:t>
      </w:r>
      <w:r w:rsidR="00D429DA" w:rsidRPr="00757D20">
        <w:t>: Ironbark Plains High School, Banks Hollow Secondary College, Oldfields Central School, Riverbend College</w:t>
      </w:r>
      <w:r w:rsidR="00A5037B" w:rsidRPr="00757D20">
        <w:t>,</w:t>
      </w:r>
      <w:r w:rsidR="00D429DA" w:rsidRPr="00757D20">
        <w:t xml:space="preserve"> and </w:t>
      </w:r>
      <w:proofErr w:type="spellStart"/>
      <w:r w:rsidR="00D429DA" w:rsidRPr="00757D20">
        <w:t>Murrindah</w:t>
      </w:r>
      <w:proofErr w:type="spellEnd"/>
      <w:r w:rsidR="00D429DA" w:rsidRPr="00757D20">
        <w:t xml:space="preserve"> High School. </w:t>
      </w:r>
    </w:p>
    <w:p w14:paraId="02F7C536" w14:textId="44E013E9" w:rsidR="003E3409" w:rsidRPr="00757D20" w:rsidRDefault="003E3409" w:rsidP="003C2DEE">
      <w:pPr>
        <w:pStyle w:val="Heading3"/>
      </w:pPr>
      <w:bookmarkStart w:id="37" w:name="_Toc219977209"/>
      <w:r w:rsidRPr="00757D20">
        <w:t>Analysis</w:t>
      </w:r>
      <w:bookmarkEnd w:id="37"/>
    </w:p>
    <w:p w14:paraId="765556EB" w14:textId="3ACCE123" w:rsidR="003E3409" w:rsidRPr="00757D20" w:rsidRDefault="001F13B0" w:rsidP="003E3409">
      <w:r w:rsidRPr="00757D20">
        <w:t>To</w:t>
      </w:r>
      <w:r w:rsidR="00A0148C" w:rsidRPr="00757D20">
        <w:t xml:space="preserve"> gain an overall picture of </w:t>
      </w:r>
      <w:r w:rsidR="002F3187" w:rsidRPr="00757D20">
        <w:t xml:space="preserve">the </w:t>
      </w:r>
      <w:r w:rsidR="00A0148C" w:rsidRPr="00757D20">
        <w:t>post-school education</w:t>
      </w:r>
      <w:r w:rsidR="002F3187" w:rsidRPr="00757D20">
        <w:t>al</w:t>
      </w:r>
      <w:r w:rsidR="00A0148C" w:rsidRPr="00757D20">
        <w:t xml:space="preserve"> and </w:t>
      </w:r>
      <w:r w:rsidR="00120E69" w:rsidRPr="00757D20">
        <w:t>occupational</w:t>
      </w:r>
      <w:r w:rsidR="00A0148C" w:rsidRPr="00757D20">
        <w:t xml:space="preserve"> aspirations of </w:t>
      </w:r>
      <w:r w:rsidR="00120E69" w:rsidRPr="00757D20">
        <w:t>students</w:t>
      </w:r>
      <w:r w:rsidR="003F15D0" w:rsidRPr="00757D20">
        <w:t xml:space="preserve">, </w:t>
      </w:r>
      <w:r w:rsidR="003E3409" w:rsidRPr="00757D20">
        <w:t>survey data were analysed in SPSS using descriptive statistics. Responses related to occupations were obtained through open-ended survey questions and were coded according to the Australian and New Zealand Standard Classification of Occupations (ANZSCO)</w:t>
      </w:r>
      <w:r w:rsidR="00A70EDF" w:rsidRPr="00757D20">
        <w:t xml:space="preserve"> </w:t>
      </w:r>
      <w:r w:rsidR="00B941DA" w:rsidRPr="00757D20">
        <w:fldChar w:fldCharType="begin"/>
      </w:r>
      <w:r w:rsidR="00321559" w:rsidRPr="00757D20">
        <w:instrText xml:space="preserve"> ADDIN EN.CITE &lt;EndNote&gt;&lt;Cite&gt;&lt;Author&gt;ABS&lt;/Author&gt;&lt;Year&gt;2022&lt;/Year&gt;&lt;RecNum&gt;961&lt;/RecNum&gt;&lt;DisplayText&gt;(ABS, 2022)&lt;/DisplayText&gt;&lt;record&gt;&lt;rec-number&gt;961&lt;/rec-number&gt;&lt;foreign-keys&gt;&lt;key app="EN" db-id="f2ftvv5v02e9v3e22psx2f91zs990eeafs5f" timestamp="1725316601" guid="ce9bb700-c295-4577-9731-0037ba9b3ff0"&gt;961&lt;/key&gt;&lt;/foreign-keys&gt;&lt;ref-type name="Generic"&gt;13&lt;/ref-type&gt;&lt;contributors&gt;&lt;authors&gt;&lt;author&gt;ABS&lt;/author&gt;&lt;/authors&gt;&lt;/contributors&gt;&lt;titles&gt;&lt;title&gt;1220.0 - ANZSCO - Australian and New Zealand Standard Classification of Occupations, 2022&lt;/title&gt;&lt;/titles&gt;&lt;dates&gt;&lt;year&gt;2022&lt;/year&gt;&lt;/dates&gt;&lt;urls&gt;&lt;related-urls&gt;&lt;url&gt;https://www.abs.gov.au/statistics/classifications/anzsco-australian-and-new-zealand-standard-classification-occupations/2022&lt;/url&gt;&lt;/related-urls&gt;&lt;/urls&gt;&lt;/record&gt;&lt;/Cite&gt;&lt;/EndNote&gt;</w:instrText>
      </w:r>
      <w:r w:rsidR="00B941DA" w:rsidRPr="00757D20">
        <w:fldChar w:fldCharType="separate"/>
      </w:r>
      <w:r w:rsidR="00321559" w:rsidRPr="00757D20">
        <w:rPr>
          <w:noProof/>
        </w:rPr>
        <w:t>(ABS, 2022)</w:t>
      </w:r>
      <w:r w:rsidR="00B941DA" w:rsidRPr="00757D20">
        <w:fldChar w:fldCharType="end"/>
      </w:r>
      <w:r w:rsidR="003E3409" w:rsidRPr="00757D20">
        <w:t>, the national standard for classifying occupations based on all jobs in the Australian workforce.</w:t>
      </w:r>
    </w:p>
    <w:p w14:paraId="42F47F51" w14:textId="6293ADC5" w:rsidR="003E3409" w:rsidRPr="00757D20" w:rsidRDefault="003E3409" w:rsidP="003E3409">
      <w:r w:rsidRPr="00757D20">
        <w:t xml:space="preserve">Data from focus groups and interviews conducted in the </w:t>
      </w:r>
      <w:r w:rsidR="00822B09">
        <w:t>wider</w:t>
      </w:r>
      <w:r w:rsidR="00822B09" w:rsidRPr="00757D20">
        <w:t xml:space="preserve"> </w:t>
      </w:r>
      <w:r w:rsidRPr="00A11571">
        <w:rPr>
          <w:i/>
          <w:iCs/>
        </w:rPr>
        <w:t>Aspirations</w:t>
      </w:r>
      <w:r w:rsidRPr="00757D20">
        <w:t xml:space="preserve"> program of work</w:t>
      </w:r>
      <w:r w:rsidR="000C6A41" w:rsidRPr="00757D20">
        <w:t>,</w:t>
      </w:r>
      <w:r w:rsidRPr="00757D20">
        <w:t xml:space="preserve"> along with additional interviews with students</w:t>
      </w:r>
      <w:r w:rsidR="004A68E5" w:rsidRPr="00757D20">
        <w:t>,</w:t>
      </w:r>
      <w:r w:rsidRPr="00757D20">
        <w:t xml:space="preserve"> teachers</w:t>
      </w:r>
      <w:r w:rsidR="007835F4" w:rsidRPr="00757D20">
        <w:t>,</w:t>
      </w:r>
      <w:r w:rsidRPr="00757D20">
        <w:t xml:space="preserve"> </w:t>
      </w:r>
      <w:r w:rsidR="000C6A41" w:rsidRPr="00757D20">
        <w:t xml:space="preserve">and parents </w:t>
      </w:r>
      <w:r w:rsidRPr="00757D20">
        <w:t>from participating schools</w:t>
      </w:r>
      <w:r w:rsidR="00AB0665" w:rsidRPr="00757D20">
        <w:t xml:space="preserve"> in 2024</w:t>
      </w:r>
      <w:r w:rsidR="001F13B0" w:rsidRPr="00757D20">
        <w:t>–</w:t>
      </w:r>
      <w:r w:rsidR="00AB0665" w:rsidRPr="00757D20">
        <w:t>2025</w:t>
      </w:r>
      <w:r w:rsidRPr="00757D20">
        <w:t xml:space="preserve">, were analysed using thematic coding that combined inductive and deductive approaches </w:t>
      </w:r>
      <w:r w:rsidR="000C6A41" w:rsidRPr="00757D20">
        <w:t xml:space="preserve">using the NVivo software program </w:t>
      </w:r>
      <w:r w:rsidRPr="00757D20">
        <w:fldChar w:fldCharType="begin"/>
      </w:r>
      <w:r w:rsidRPr="00757D20">
        <w:instrText xml:space="preserve"> ADDIN EN.CITE &lt;EndNote&gt;&lt;Cite&gt;&lt;Author&gt;Creswell&lt;/Author&gt;&lt;Year&gt;2013&lt;/Year&gt;&lt;RecNum&gt;1186&lt;/RecNum&gt;&lt;DisplayText&gt;(Creswell, 2013)&lt;/DisplayText&gt;&lt;record&gt;&lt;rec-number&gt;1186&lt;/rec-number&gt;&lt;foreign-keys&gt;&lt;key app="EN" db-id="f2ftvv5v02e9v3e22psx2f91zs990eeafs5f" timestamp="1725316601" guid="0b9e7f6a-f176-43ba-bfd5-9d3689ff8ad0"&gt;1186&lt;/key&gt;&lt;/foreign-keys&gt;&lt;ref-type name="Book"&gt;6&lt;/ref-type&gt;&lt;contributors&gt;&lt;authors&gt;&lt;author&gt;Creswell, John W.&lt;/author&gt;&lt;/authors&gt;&lt;/contributors&gt;&lt;titles&gt;&lt;title&gt;Qualitative Inquiry and Research Design&lt;/title&gt;&lt;/titles&gt;&lt;dates&gt;&lt;year&gt;2013&lt;/year&gt;&lt;/dates&gt;&lt;publisher&gt;Sage Publishing&lt;/publisher&gt;&lt;urls&gt;&lt;related-urls&gt;&lt;url&gt;https://au.sagepub.com/en-gb/oce/qualitative-inquiry-and-research-design/book246896&lt;/url&gt;&lt;/related-urls&gt;&lt;/urls&gt;&lt;/record&gt;&lt;/Cite&gt;&lt;/EndNote&gt;</w:instrText>
      </w:r>
      <w:r w:rsidRPr="00757D20">
        <w:fldChar w:fldCharType="separate"/>
      </w:r>
      <w:r w:rsidRPr="00757D20">
        <w:rPr>
          <w:noProof/>
        </w:rPr>
        <w:t>(Creswell, 2013)</w:t>
      </w:r>
      <w:r w:rsidRPr="00757D20">
        <w:fldChar w:fldCharType="end"/>
      </w:r>
      <w:r w:rsidRPr="00757D20">
        <w:t xml:space="preserve">. The findings from these analyses </w:t>
      </w:r>
      <w:r w:rsidR="00D83408" w:rsidRPr="00757D20">
        <w:t xml:space="preserve">directly </w:t>
      </w:r>
      <w:r w:rsidRPr="00757D20">
        <w:t xml:space="preserve">informed the development of </w:t>
      </w:r>
      <w:r w:rsidR="0008362B" w:rsidRPr="00757D20">
        <w:t xml:space="preserve">the </w:t>
      </w:r>
      <w:r w:rsidRPr="00757D20">
        <w:t xml:space="preserve">longitudinal case studies </w:t>
      </w:r>
      <w:r w:rsidR="0008362B" w:rsidRPr="00757D20">
        <w:t>in order to delve more deeply</w:t>
      </w:r>
      <w:r w:rsidR="00A449CA" w:rsidRPr="00757D20">
        <w:t xml:space="preserve"> </w:t>
      </w:r>
      <w:r w:rsidR="003E68BF" w:rsidRPr="00757D20">
        <w:t>into the</w:t>
      </w:r>
      <w:r w:rsidRPr="00757D20">
        <w:t xml:space="preserve"> context</w:t>
      </w:r>
      <w:r w:rsidR="00A5327A" w:rsidRPr="00757D20">
        <w:t xml:space="preserve"> and nuances of </w:t>
      </w:r>
      <w:r w:rsidRPr="00757D20">
        <w:t>aspiration</w:t>
      </w:r>
      <w:r w:rsidR="00A5327A" w:rsidRPr="00757D20">
        <w:t xml:space="preserve"> formation over time</w:t>
      </w:r>
      <w:r w:rsidRPr="00757D20">
        <w:t xml:space="preserve">, integrating insights from diverse </w:t>
      </w:r>
      <w:r w:rsidR="00CF12DC" w:rsidRPr="00757D20">
        <w:t>perspectives</w:t>
      </w:r>
      <w:r w:rsidRPr="00757D20">
        <w:t xml:space="preserve"> </w:t>
      </w:r>
      <w:r w:rsidRPr="00757D20">
        <w:fldChar w:fldCharType="begin"/>
      </w:r>
      <w:r w:rsidRPr="00757D20">
        <w:instrText xml:space="preserve"> ADDIN EN.CITE &lt;EndNote&gt;&lt;Cite&gt;&lt;Author&gt;Yin&lt;/Author&gt;&lt;Year&gt;2018&lt;/Year&gt;&lt;RecNum&gt;3993&lt;/RecNum&gt;&lt;DisplayText&gt;(Simons, 2009; Yin, 2018)&lt;/DisplayText&gt;&lt;record&gt;&lt;rec-number&gt;3993&lt;/rec-number&gt;&lt;foreign-keys&gt;&lt;key app="EN" db-id="f2ftvv5v02e9v3e22psx2f91zs990eeafs5f" timestamp="1743915077" guid="0a3227f1-9c66-4a50-b53e-40a7079408ed"&gt;3993&lt;/key&gt;&lt;/foreign-keys&gt;&lt;ref-type name="Book"&gt;6&lt;/ref-type&gt;&lt;contributors&gt;&lt;authors&gt;&lt;author&gt;Yin, Robert K&lt;/author&gt;&lt;/authors&gt;&lt;/contributors&gt;&lt;titles&gt;&lt;title&gt;Case Study Research and Applicaions. Design and Methods&lt;/title&gt;&lt;/titles&gt;&lt;edition&gt;6th&lt;/edition&gt;&lt;dates&gt;&lt;year&gt;2018&lt;/year&gt;&lt;/dates&gt;&lt;pub-location&gt;London&lt;/pub-location&gt;&lt;publisher&gt;Sage&lt;/publisher&gt;&lt;urls&gt;&lt;/urls&gt;&lt;/record&gt;&lt;/Cite&gt;&lt;Cite&gt;&lt;Author&gt;Simons&lt;/Author&gt;&lt;Year&gt;2009&lt;/Year&gt;&lt;RecNum&gt;3997&lt;/RecNum&gt;&lt;record&gt;&lt;rec-number&gt;3997&lt;/rec-number&gt;&lt;foreign-keys&gt;&lt;key app="EN" db-id="f2ftvv5v02e9v3e22psx2f91zs990eeafs5f" timestamp="1743919962" guid="49b44e9e-712b-4a2b-8b7a-d2217523876e"&gt;3997&lt;/key&gt;&lt;/foreign-keys&gt;&lt;ref-type name="Electronic Book"&gt;44&lt;/ref-type&gt;&lt;contributors&gt;&lt;authors&gt;&lt;author&gt;Simons, Helen&lt;/author&gt;&lt;/authors&gt;&lt;/contributors&gt;&lt;titles&gt;&lt;title&gt;Case Study Research in Practice&lt;/title&gt;&lt;/titles&gt;&lt;dates&gt;&lt;year&gt;2009&lt;/year&gt;&lt;/dates&gt;&lt;publisher&gt;Sage Publications&lt;/publisher&gt;&lt;isbn&gt;9781446205365&lt;/isbn&gt;&lt;urls&gt;&lt;related-urls&gt;&lt;url&gt;https://ebookcentral.proquest.com/lib/newcastle/detail.action?pq-origsite=primo&amp;amp;docID=743724&lt;/url&gt;&lt;/related-urls&gt;&lt;/urls&gt;&lt;/record&gt;&lt;/Cite&gt;&lt;/EndNote&gt;</w:instrText>
      </w:r>
      <w:r w:rsidRPr="00757D20">
        <w:fldChar w:fldCharType="separate"/>
      </w:r>
      <w:r w:rsidRPr="00757D20">
        <w:rPr>
          <w:noProof/>
        </w:rPr>
        <w:t>(Simons, 2009; Yin, 2018)</w:t>
      </w:r>
      <w:r w:rsidRPr="00757D20">
        <w:fldChar w:fldCharType="end"/>
      </w:r>
      <w:r w:rsidRPr="00757D20">
        <w:t>.</w:t>
      </w:r>
    </w:p>
    <w:p w14:paraId="38C52044" w14:textId="49136623" w:rsidR="003E3409" w:rsidRPr="00757D20" w:rsidRDefault="003E3409" w:rsidP="003C2DEE">
      <w:r w:rsidRPr="00757D20">
        <w:t xml:space="preserve">Longitudinal case studies </w:t>
      </w:r>
      <w:r w:rsidR="006175B8" w:rsidRPr="00757D20">
        <w:t xml:space="preserve">were chosen as the </w:t>
      </w:r>
      <w:r w:rsidR="00CF12DC" w:rsidRPr="00757D20">
        <w:t xml:space="preserve">design </w:t>
      </w:r>
      <w:r w:rsidR="00C56D44" w:rsidRPr="00757D20">
        <w:t xml:space="preserve">for </w:t>
      </w:r>
      <w:r w:rsidR="00295510" w:rsidRPr="00757D20">
        <w:t>analysis given that they can</w:t>
      </w:r>
      <w:r w:rsidRPr="00757D20">
        <w:t xml:space="preserve"> provide a rich, in-depth understanding of changes and developments over time, revealing the lived experiences and complex factors that influence individuals, schools</w:t>
      </w:r>
      <w:r w:rsidR="0076001F" w:rsidRPr="00757D20">
        <w:t>,</w:t>
      </w:r>
      <w:r w:rsidRPr="00757D20">
        <w:t xml:space="preserve"> and communities </w:t>
      </w:r>
      <w:r w:rsidRPr="00757D20">
        <w:fldChar w:fldCharType="begin"/>
      </w:r>
      <w:r w:rsidRPr="00757D20">
        <w:instrText xml:space="preserve"> ADDIN EN.CITE &lt;EndNote&gt;&lt;Cite&gt;&lt;Author&gt;Yin&lt;/Author&gt;&lt;Year&gt;2018&lt;/Year&gt;&lt;RecNum&gt;3993&lt;/RecNum&gt;&lt;DisplayText&gt;(Yin, 2018)&lt;/DisplayText&gt;&lt;record&gt;&lt;rec-number&gt;3993&lt;/rec-number&gt;&lt;foreign-keys&gt;&lt;key app="EN" db-id="f2ftvv5v02e9v3e22psx2f91zs990eeafs5f" timestamp="1743915077" guid="0a3227f1-9c66-4a50-b53e-40a7079408ed"&gt;3993&lt;/key&gt;&lt;/foreign-keys&gt;&lt;ref-type name="Book"&gt;6&lt;/ref-type&gt;&lt;contributors&gt;&lt;authors&gt;&lt;author&gt;Yin, Robert K&lt;/author&gt;&lt;/authors&gt;&lt;/contributors&gt;&lt;titles&gt;&lt;title&gt;Case Study Research and Applicaions. Design and Methods&lt;/title&gt;&lt;/titles&gt;&lt;edition&gt;6th&lt;/edition&gt;&lt;dates&gt;&lt;year&gt;2018&lt;/year&gt;&lt;/dates&gt;&lt;pub-location&gt;London&lt;/pub-location&gt;&lt;publisher&gt;Sage&lt;/publisher&gt;&lt;urls&gt;&lt;/urls&gt;&lt;/record&gt;&lt;/Cite&gt;&lt;/EndNote&gt;</w:instrText>
      </w:r>
      <w:r w:rsidRPr="00757D20">
        <w:fldChar w:fldCharType="separate"/>
      </w:r>
      <w:r w:rsidRPr="00757D20">
        <w:rPr>
          <w:noProof/>
        </w:rPr>
        <w:t>(Yin, 2018)</w:t>
      </w:r>
      <w:r w:rsidRPr="00757D20">
        <w:fldChar w:fldCharType="end"/>
      </w:r>
      <w:r w:rsidRPr="00757D20">
        <w:t xml:space="preserve">. While most longitudinal case studies in education focus on individuals, following them over an identified period of time </w:t>
      </w:r>
      <w:r w:rsidRPr="00757D20">
        <w:fldChar w:fldCharType="begin">
          <w:fldData xml:space="preserve">PEVuZE5vdGU+PENpdGU+PEF1dGhvcj5MZXZpbjwvQXV0aG9yPjxZZWFyPjIwMDE8L1llYXI+PFJl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==
</w:fldData>
        </w:fldChar>
      </w:r>
      <w:r w:rsidRPr="00757D20">
        <w:instrText xml:space="preserve"> ADDIN EN.CITE </w:instrText>
      </w:r>
      <w:r w:rsidRPr="00757D20">
        <w:fldChar w:fldCharType="begin">
          <w:fldData xml:space="preserve">PEVuZE5vdGU+PENpdGU+PEF1dGhvcj5MZXZpbjwvQXV0aG9yPjxZZWFyPjIwMDE8L1llYXI+PFJl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==
</w:fldData>
        </w:fldChar>
      </w:r>
      <w:r w:rsidRPr="00757D20">
        <w:instrText xml:space="preserve"> ADDIN EN.CITE.DATA </w:instrText>
      </w:r>
      <w:r w:rsidRPr="00757D20">
        <w:fldChar w:fldCharType="end"/>
      </w:r>
      <w:r w:rsidRPr="00757D20">
        <w:fldChar w:fldCharType="separate"/>
      </w:r>
      <w:r w:rsidRPr="00757D20">
        <w:rPr>
          <w:noProof/>
        </w:rPr>
        <w:t>(see, for example, Levin, 2001; Martin et al., 2007; Rose &amp; Shevlin, 2016)</w:t>
      </w:r>
      <w:r w:rsidRPr="00757D20">
        <w:fldChar w:fldCharType="end"/>
      </w:r>
      <w:r w:rsidRPr="00757D20">
        <w:t xml:space="preserve">, </w:t>
      </w:r>
      <w:r w:rsidR="005445A2" w:rsidRPr="00757D20">
        <w:t xml:space="preserve">in this study </w:t>
      </w:r>
      <w:r w:rsidRPr="00757D20">
        <w:t>longitudinal case studies place</w:t>
      </w:r>
      <w:r w:rsidR="005445A2" w:rsidRPr="00757D20">
        <w:t>d</w:t>
      </w:r>
      <w:r w:rsidRPr="00757D20">
        <w:t xml:space="preserve"> schools at the centre of analysis. Each case study draws on </w:t>
      </w:r>
      <w:r w:rsidR="0007126F" w:rsidRPr="00757D20">
        <w:t>focus groups and</w:t>
      </w:r>
      <w:r w:rsidRPr="00757D20">
        <w:t xml:space="preserve"> interview</w:t>
      </w:r>
      <w:r w:rsidR="003238CC" w:rsidRPr="00757D20">
        <w:t>s with</w:t>
      </w:r>
      <w:r w:rsidRPr="00757D20">
        <w:t xml:space="preserve"> teachers, parents, students</w:t>
      </w:r>
      <w:r w:rsidR="00936B07" w:rsidRPr="00757D20">
        <w:t>,</w:t>
      </w:r>
      <w:r w:rsidRPr="00757D20">
        <w:t xml:space="preserve"> and, in some cases, community members, </w:t>
      </w:r>
      <w:r w:rsidR="0007126F" w:rsidRPr="00757D20">
        <w:t>along with</w:t>
      </w:r>
      <w:r w:rsidRPr="00757D20">
        <w:t xml:space="preserve"> MySchool data </w:t>
      </w:r>
      <w:r w:rsidR="000B7B55" w:rsidRPr="00757D20">
        <w:fldChar w:fldCharType="begin"/>
      </w:r>
      <w:r w:rsidR="00BC28C3" w:rsidRPr="00757D20">
        <w:instrText xml:space="preserve"> ADDIN EN.CITE &lt;EndNote&gt;&lt;Cite&gt;&lt;Author&gt;ACARA&lt;/Author&gt;&lt;Year&gt;2025&lt;/Year&gt;&lt;RecNum&gt;4001&lt;/RecNum&gt;&lt;DisplayText&gt;(ACARA, 2025)&lt;/DisplayText&gt;&lt;record&gt;&lt;rec-number&gt;4001&lt;/rec-number&gt;&lt;foreign-keys&gt;&lt;key app="EN" db-id="f2ftvv5v02e9v3e22psx2f91zs990eeafs5f" timestamp="1744363206" guid="f237d5d9-17e6-492a-8943-400f9de5df0c"&gt;4001&lt;/key&gt;&lt;/foreign-keys&gt;&lt;ref-type name="Web Page"&gt;12&lt;/ref-type&gt;&lt;contributors&gt;&lt;authors&gt;&lt;author&gt;ACARA,&lt;/author&gt;&lt;/authors&gt;&lt;/contributors&gt;&lt;titles&gt;&lt;title&gt;MySchools&lt;/title&gt;&lt;/titles&gt;&lt;dates&gt;&lt;year&gt;2025&lt;/year&gt;&lt;/dates&gt;&lt;urls&gt;&lt;related-urls&gt;&lt;url&gt;https://www.myschool.edu.au/&lt;/url&gt;&lt;/related-urls&gt;&lt;/urls&gt;&lt;/record&gt;&lt;/Cite&gt;&lt;/EndNote&gt;</w:instrText>
      </w:r>
      <w:r w:rsidR="000B7B55" w:rsidRPr="00757D20">
        <w:fldChar w:fldCharType="separate"/>
      </w:r>
      <w:r w:rsidR="00BC28C3" w:rsidRPr="00757D20">
        <w:rPr>
          <w:noProof/>
        </w:rPr>
        <w:t>(ACARA, 2025)</w:t>
      </w:r>
      <w:r w:rsidR="000B7B55" w:rsidRPr="00757D20">
        <w:fldChar w:fldCharType="end"/>
      </w:r>
      <w:r w:rsidR="0007126F" w:rsidRPr="00757D20">
        <w:t xml:space="preserve"> </w:t>
      </w:r>
      <w:r w:rsidR="00E66508" w:rsidRPr="00757D20">
        <w:t xml:space="preserve">and </w:t>
      </w:r>
      <w:r w:rsidRPr="00757D20">
        <w:t>ABS census data</w:t>
      </w:r>
      <w:r w:rsidR="0007126F" w:rsidRPr="00757D20">
        <w:t xml:space="preserve"> </w:t>
      </w:r>
      <w:r w:rsidR="002B05AB" w:rsidRPr="00757D20">
        <w:t>(</w:t>
      </w:r>
      <w:r w:rsidR="002B05AB" w:rsidRPr="00D017A0">
        <w:rPr>
          <w:rFonts w:hint="eastAsia"/>
        </w:rPr>
        <w:t>ABS, 2022)</w:t>
      </w:r>
      <w:r w:rsidR="002B05AB" w:rsidRPr="00757D20">
        <w:rPr>
          <w:rStyle w:val="cf01"/>
          <w:rFonts w:asciiTheme="minorHAnsi" w:eastAsiaTheme="majorEastAsia" w:hAnsiTheme="minorHAnsi"/>
          <w:sz w:val="22"/>
          <w:szCs w:val="22"/>
        </w:rPr>
        <w:t xml:space="preserve"> </w:t>
      </w:r>
      <w:r w:rsidR="0007126F" w:rsidRPr="00757D20">
        <w:t xml:space="preserve">to provide </w:t>
      </w:r>
      <w:r w:rsidR="00302E88" w:rsidRPr="00757D20">
        <w:t>additional</w:t>
      </w:r>
      <w:r w:rsidR="0007126F" w:rsidRPr="00757D20">
        <w:t xml:space="preserve"> contextual in</w:t>
      </w:r>
      <w:r w:rsidR="0043468B" w:rsidRPr="00757D20">
        <w:t>sights</w:t>
      </w:r>
      <w:r w:rsidRPr="00757D20">
        <w:t>.</w:t>
      </w:r>
    </w:p>
    <w:p w14:paraId="30731B93" w14:textId="7E153D3C" w:rsidR="009D6D47" w:rsidRPr="00757D20" w:rsidRDefault="009D6D47" w:rsidP="00DB33BD">
      <w:r w:rsidRPr="00757D20">
        <w:br w:type="page"/>
      </w:r>
    </w:p>
    <w:p w14:paraId="3F143338" w14:textId="6E8E9CE8" w:rsidR="00C055DD" w:rsidRPr="00757D20" w:rsidRDefault="00C055DD" w:rsidP="00616FFC">
      <w:pPr>
        <w:pStyle w:val="Heading1"/>
      </w:pPr>
      <w:bookmarkStart w:id="38" w:name="_Toc219977210"/>
      <w:r w:rsidRPr="00757D20">
        <w:lastRenderedPageBreak/>
        <w:t xml:space="preserve">Survey </w:t>
      </w:r>
      <w:r w:rsidR="00D618E7" w:rsidRPr="00757D20">
        <w:t>f</w:t>
      </w:r>
      <w:r w:rsidR="00616FFC" w:rsidRPr="00757D20">
        <w:t>indings</w:t>
      </w:r>
      <w:bookmarkEnd w:id="38"/>
    </w:p>
    <w:p w14:paraId="148B6462" w14:textId="48EDEC03" w:rsidR="00C055DD" w:rsidRPr="00757D20" w:rsidRDefault="00C055DD" w:rsidP="00C055DD">
      <w:pPr>
        <w:pStyle w:val="Heading2"/>
      </w:pPr>
      <w:bookmarkStart w:id="39" w:name="_Toc219977211"/>
      <w:r w:rsidRPr="00757D20">
        <w:t xml:space="preserve">Educational </w:t>
      </w:r>
      <w:r w:rsidR="00D618E7" w:rsidRPr="00757D20">
        <w:t>a</w:t>
      </w:r>
      <w:r w:rsidRPr="00757D20">
        <w:t>spirations</w:t>
      </w:r>
      <w:bookmarkEnd w:id="39"/>
    </w:p>
    <w:p w14:paraId="29C0FA09" w14:textId="6A916EA3" w:rsidR="00C055DD" w:rsidRPr="00757D20" w:rsidRDefault="00C055DD" w:rsidP="007A2F5C">
      <w:r w:rsidRPr="00757D20">
        <w:t xml:space="preserve">Students who completed the survey in 2025 were asked, </w:t>
      </w:r>
      <w:r w:rsidR="00936B07" w:rsidRPr="00757D20">
        <w:t>“</w:t>
      </w:r>
      <w:r w:rsidRPr="00757D20">
        <w:rPr>
          <w:i/>
          <w:iCs/>
        </w:rPr>
        <w:t>What is the highest level of education you plan to complete?</w:t>
      </w:r>
      <w:r w:rsidR="00936B07" w:rsidRPr="00757D20">
        <w:rPr>
          <w:i/>
          <w:iCs/>
        </w:rPr>
        <w:t>”</w:t>
      </w:r>
      <w:r w:rsidRPr="00757D20">
        <w:rPr>
          <w:i/>
          <w:iCs/>
        </w:rPr>
        <w:t xml:space="preserve"> </w:t>
      </w:r>
      <w:r w:rsidRPr="00757D20">
        <w:t xml:space="preserve">As shown in Figure </w:t>
      </w:r>
      <w:r w:rsidR="002020F4" w:rsidRPr="00757D20">
        <w:t>1</w:t>
      </w:r>
      <w:r w:rsidRPr="00757D20">
        <w:t xml:space="preserve">, university was the </w:t>
      </w:r>
      <w:proofErr w:type="gramStart"/>
      <w:r w:rsidRPr="00757D20">
        <w:t>most commonly selected</w:t>
      </w:r>
      <w:proofErr w:type="gramEnd"/>
      <w:r w:rsidRPr="00757D20">
        <w:t xml:space="preserve"> form of educational attainment, with 43% of students (</w:t>
      </w:r>
      <w:r w:rsidRPr="00757D20">
        <w:rPr>
          <w:i/>
        </w:rPr>
        <w:t>n</w:t>
      </w:r>
      <w:r w:rsidRPr="00757D20">
        <w:t xml:space="preserve"> = 32) choosing this option. The second highest response was </w:t>
      </w:r>
      <w:r w:rsidR="00AE58A5" w:rsidRPr="00757D20">
        <w:t>“</w:t>
      </w:r>
      <w:r w:rsidRPr="00757D20">
        <w:t>I don’t know yet</w:t>
      </w:r>
      <w:r w:rsidR="00B74E33" w:rsidRPr="00757D20">
        <w:t>”</w:t>
      </w:r>
      <w:r w:rsidRPr="00757D20">
        <w:t xml:space="preserve">, with 25% of students </w:t>
      </w:r>
      <w:r w:rsidR="00FD7F80" w:rsidRPr="00757D20">
        <w:t>(</w:t>
      </w:r>
      <w:r w:rsidR="00FD7F80" w:rsidRPr="00757D20">
        <w:rPr>
          <w:i/>
          <w:iCs/>
        </w:rPr>
        <w:t>n</w:t>
      </w:r>
      <w:r w:rsidR="00FD7F80" w:rsidRPr="00757D20">
        <w:t xml:space="preserve"> = 19) </w:t>
      </w:r>
      <w:r w:rsidRPr="00757D20">
        <w:t>indicating uncertainty regarding their future educational trajectory. TAFE was selected by 19% of students</w:t>
      </w:r>
      <w:r w:rsidR="00FD7F80" w:rsidRPr="00757D20">
        <w:t xml:space="preserve"> (</w:t>
      </w:r>
      <w:r w:rsidR="00FD7F80" w:rsidRPr="00757D20">
        <w:rPr>
          <w:i/>
          <w:iCs/>
        </w:rPr>
        <w:t>n</w:t>
      </w:r>
      <w:r w:rsidR="00FD7F80" w:rsidRPr="00757D20">
        <w:t xml:space="preserve"> = 14)</w:t>
      </w:r>
      <w:r w:rsidRPr="00757D20">
        <w:t xml:space="preserve">, while 13% of students </w:t>
      </w:r>
      <w:r w:rsidR="00FD7F80" w:rsidRPr="00757D20">
        <w:t>(</w:t>
      </w:r>
      <w:r w:rsidR="00FD7F80" w:rsidRPr="00757D20">
        <w:rPr>
          <w:i/>
          <w:iCs/>
        </w:rPr>
        <w:t>n</w:t>
      </w:r>
      <w:r w:rsidR="00FD7F80" w:rsidRPr="00757D20">
        <w:t xml:space="preserve"> = 10) </w:t>
      </w:r>
      <w:r w:rsidRPr="00757D20">
        <w:t xml:space="preserve">indicated that they intend to complete their education at the end of high school. These findings suggest a strong inclination toward higher education among the cohort, </w:t>
      </w:r>
      <w:r w:rsidR="00F631E9" w:rsidRPr="00757D20">
        <w:t xml:space="preserve">despite the uncertainty and social change characterising contemporary society. </w:t>
      </w:r>
      <w:r w:rsidR="00C342A6" w:rsidRPr="00757D20">
        <w:t>Notwithstanding</w:t>
      </w:r>
      <w:r w:rsidR="0077003B" w:rsidRPr="00757D20">
        <w:t xml:space="preserve"> th</w:t>
      </w:r>
      <w:r w:rsidR="005E49CD" w:rsidRPr="00757D20">
        <w:t>is preference</w:t>
      </w:r>
      <w:r w:rsidR="00F3120E" w:rsidRPr="00757D20">
        <w:t xml:space="preserve">, </w:t>
      </w:r>
      <w:r w:rsidR="003D0BC9" w:rsidRPr="00757D20">
        <w:t>one quarter of the cohort</w:t>
      </w:r>
      <w:r w:rsidRPr="00757D20">
        <w:t xml:space="preserve"> express</w:t>
      </w:r>
      <w:r w:rsidR="00FD0978" w:rsidRPr="00757D20">
        <w:t>ed</w:t>
      </w:r>
      <w:r w:rsidRPr="00757D20">
        <w:t xml:space="preserve"> </w:t>
      </w:r>
      <w:r w:rsidR="00FD0978" w:rsidRPr="00757D20">
        <w:t xml:space="preserve">considerable </w:t>
      </w:r>
      <w:r w:rsidRPr="00757D20">
        <w:t>indecision</w:t>
      </w:r>
      <w:r w:rsidR="003D0BC9" w:rsidRPr="00757D20">
        <w:t xml:space="preserve"> about their educational future</w:t>
      </w:r>
      <w:r w:rsidR="004648BF" w:rsidRPr="00757D20">
        <w:t>s</w:t>
      </w:r>
      <w:r w:rsidRPr="00757D20">
        <w:t>.</w:t>
      </w:r>
    </w:p>
    <w:p w14:paraId="6B44F97E" w14:textId="6285E7DF" w:rsidR="00C055DD" w:rsidRPr="00757D20" w:rsidRDefault="00C055DD" w:rsidP="00C055DD">
      <w:pPr>
        <w:pStyle w:val="Caption"/>
        <w:widowControl w:val="0"/>
      </w:pPr>
      <w:bookmarkStart w:id="40" w:name="_Toc216774193"/>
      <w:r w:rsidRPr="00757D20">
        <w:t xml:space="preserve">Figure </w:t>
      </w:r>
      <w:r w:rsidRPr="00757D20">
        <w:fldChar w:fldCharType="begin"/>
      </w:r>
      <w:r w:rsidRPr="00757D20">
        <w:instrText>SEQ Figure \* ARABIC</w:instrText>
      </w:r>
      <w:r w:rsidRPr="00757D20">
        <w:fldChar w:fldCharType="separate"/>
      </w:r>
      <w:r w:rsidRPr="00757D20">
        <w:rPr>
          <w:noProof/>
        </w:rPr>
        <w:t>1</w:t>
      </w:r>
      <w:r w:rsidRPr="00757D20">
        <w:fldChar w:fldCharType="end"/>
      </w:r>
      <w:r w:rsidR="00D618E7" w:rsidRPr="00757D20">
        <w:t>:</w:t>
      </w:r>
      <w:r w:rsidRPr="00757D20">
        <w:t xml:space="preserve"> Educational aspirations, all students, 2025</w:t>
      </w:r>
      <w:bookmarkEnd w:id="40"/>
    </w:p>
    <w:p w14:paraId="502448E3" w14:textId="77777777" w:rsidR="00C055DD" w:rsidRPr="00757D20" w:rsidRDefault="00C055DD" w:rsidP="00C055DD">
      <w:pPr>
        <w:spacing w:line="259" w:lineRule="auto"/>
      </w:pPr>
      <w:r w:rsidRPr="00757D20">
        <w:rPr>
          <w:noProof/>
        </w:rPr>
        <w:drawing>
          <wp:inline distT="0" distB="0" distL="0" distR="0" wp14:anchorId="43E806BB" wp14:editId="0B197CF1">
            <wp:extent cx="4968000" cy="2731051"/>
            <wp:effectExtent l="0" t="0" r="4445" b="0"/>
            <wp:docPr id="1900864817" name="Picture 1" descr="Bar chart showing highest education level planned for completion in 2025, titled &quot;Educational Aspirations, all students, 2025&quot;. University leads with 43%, followed by &quot;I don't know yet&quot; at 25%, TAFE at 19%, and High School at 13%, with percentages and sample sizes labeled above 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64817" name="Picture 1" descr="Bar chart showing highest education level planned for completion in 2025, titled &quot;Educational Aspirations, all students, 2025&quot;. University leads with 43%, followed by &quot;I don't know yet&quot; at 25%, TAFE at 19%, and High School at 13%, with percentages and sample sizes labeled above each ba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0428"/>
                    <a:stretch/>
                  </pic:blipFill>
                  <pic:spPr bwMode="auto">
                    <a:xfrm>
                      <a:off x="0" y="0"/>
                      <a:ext cx="4968000" cy="2731051"/>
                    </a:xfrm>
                    <a:prstGeom prst="rect">
                      <a:avLst/>
                    </a:prstGeom>
                    <a:noFill/>
                    <a:ln>
                      <a:noFill/>
                    </a:ln>
                    <a:extLst>
                      <a:ext uri="{53640926-AAD7-44D8-BBD7-CCE9431645EC}">
                        <a14:shadowObscured xmlns:a14="http://schemas.microsoft.com/office/drawing/2010/main"/>
                      </a:ext>
                    </a:extLst>
                  </pic:spPr>
                </pic:pic>
              </a:graphicData>
            </a:graphic>
          </wp:inline>
        </w:drawing>
      </w:r>
    </w:p>
    <w:p w14:paraId="1B0D1EE2" w14:textId="7F579F4D" w:rsidR="00C055DD" w:rsidRPr="00757D20" w:rsidRDefault="00FD0978" w:rsidP="00C055DD">
      <w:pPr>
        <w:widowControl w:val="0"/>
      </w:pPr>
      <w:r w:rsidRPr="00757D20">
        <w:t xml:space="preserve">Given our </w:t>
      </w:r>
      <w:r w:rsidR="00C055DD" w:rsidRPr="00757D20">
        <w:t>focus on equity, we were also interested in understanding if educational aspirations var</w:t>
      </w:r>
      <w:r w:rsidR="00E25A94" w:rsidRPr="00757D20">
        <w:t>ied</w:t>
      </w:r>
      <w:r w:rsidR="00C055DD" w:rsidRPr="00757D20">
        <w:t xml:space="preserve"> by school ICSEA. Here, students’ intended highest level of educational attainment was disaggregated by school ICSEA, categorised into below 950 (low ICSEA), between 950–1050 (mid ICSEA), and above 1050 (high ICSEA).</w:t>
      </w:r>
    </w:p>
    <w:p w14:paraId="351FC241" w14:textId="5307F8FF" w:rsidR="00C055DD" w:rsidRPr="00757D20" w:rsidRDefault="00C055DD" w:rsidP="001364C8">
      <w:pPr>
        <w:widowControl w:val="0"/>
      </w:pPr>
      <w:r w:rsidRPr="00757D20">
        <w:t>As shown in Figure 2, for students who attend low</w:t>
      </w:r>
      <w:r w:rsidR="00936B07" w:rsidRPr="00757D20">
        <w:t>-</w:t>
      </w:r>
      <w:r w:rsidRPr="00757D20">
        <w:t>ICSEA schools, educational aspirations are relatively evenly distributed, with 25% (</w:t>
      </w:r>
      <w:r w:rsidRPr="00757D20">
        <w:rPr>
          <w:i/>
        </w:rPr>
        <w:t>n</w:t>
      </w:r>
      <w:r w:rsidRPr="00757D20">
        <w:t xml:space="preserve"> = 9) of students indicating university and high school completion respectively, 17% (</w:t>
      </w:r>
      <w:r w:rsidRPr="00757D20">
        <w:rPr>
          <w:i/>
        </w:rPr>
        <w:t>n</w:t>
      </w:r>
      <w:r w:rsidRPr="00757D20">
        <w:t xml:space="preserve"> = 6) selecting TAFE, and 33% (</w:t>
      </w:r>
      <w:r w:rsidRPr="00757D20">
        <w:rPr>
          <w:i/>
        </w:rPr>
        <w:t>n</w:t>
      </w:r>
      <w:r w:rsidRPr="00757D20">
        <w:t xml:space="preserve"> = 12) reporting uncertainty. For those students attending mid-ICSEA schools, there is a notable shift in aspirations, with 50% (</w:t>
      </w:r>
      <w:r w:rsidRPr="00757D20">
        <w:rPr>
          <w:i/>
        </w:rPr>
        <w:t>n</w:t>
      </w:r>
      <w:r w:rsidRPr="00757D20">
        <w:t xml:space="preserve"> = 7) of students aiming for university. TAFE and uncertainty are reported by 21% (</w:t>
      </w:r>
      <w:r w:rsidRPr="00757D20">
        <w:rPr>
          <w:i/>
        </w:rPr>
        <w:t>n</w:t>
      </w:r>
      <w:r w:rsidRPr="00757D20">
        <w:t xml:space="preserve"> = 3) and 29% (</w:t>
      </w:r>
      <w:r w:rsidRPr="00757D20">
        <w:rPr>
          <w:i/>
        </w:rPr>
        <w:t>n</w:t>
      </w:r>
      <w:r w:rsidRPr="00757D20">
        <w:t xml:space="preserve"> = 4) of students respectively, while no respondents in this category selected high school as their final level of education. For students who attended the highest ICSEA schools, university aspirations dominate, with 73% (</w:t>
      </w:r>
      <w:r w:rsidRPr="00757D20">
        <w:rPr>
          <w:i/>
        </w:rPr>
        <w:t>n</w:t>
      </w:r>
      <w:r w:rsidRPr="00757D20">
        <w:t xml:space="preserve"> = 11) of students planning to complete university. This group reports the lowest levels of aspiration for TAFE (13%, </w:t>
      </w:r>
      <w:r w:rsidRPr="00757D20">
        <w:rPr>
          <w:i/>
        </w:rPr>
        <w:t>n</w:t>
      </w:r>
      <w:r w:rsidRPr="00757D20">
        <w:t xml:space="preserve"> = 2), high school (7%, </w:t>
      </w:r>
      <w:r w:rsidRPr="00757D20">
        <w:rPr>
          <w:i/>
        </w:rPr>
        <w:t>n</w:t>
      </w:r>
      <w:r w:rsidRPr="00757D20">
        <w:t xml:space="preserve"> = 1), and uncertainty (7%, </w:t>
      </w:r>
      <w:r w:rsidRPr="00757D20">
        <w:rPr>
          <w:i/>
        </w:rPr>
        <w:t>n</w:t>
      </w:r>
      <w:r w:rsidRPr="00757D20">
        <w:t xml:space="preserve"> = 1). These patterns </w:t>
      </w:r>
      <w:r w:rsidRPr="00757D20">
        <w:lastRenderedPageBreak/>
        <w:t xml:space="preserve">suggest a positive relationship between ICSEA and the intention to pursue university education, with students attending the lowest ICSEA schools more likely to express uncertainty or opt for vocational or secondary pathways. </w:t>
      </w:r>
      <w:r w:rsidR="008368D0" w:rsidRPr="00757D20">
        <w:t xml:space="preserve">However, </w:t>
      </w:r>
      <w:r w:rsidR="00C052D6" w:rsidRPr="00757D20">
        <w:t>these</w:t>
      </w:r>
      <w:r w:rsidR="008368D0" w:rsidRPr="00757D20">
        <w:t xml:space="preserve"> findings must be interpreted in </w:t>
      </w:r>
      <w:r w:rsidR="00564AD1" w:rsidRPr="00757D20">
        <w:t xml:space="preserve">the </w:t>
      </w:r>
      <w:r w:rsidR="008368D0" w:rsidRPr="00757D20">
        <w:t>light of the small sample</w:t>
      </w:r>
      <w:r w:rsidR="00877481" w:rsidRPr="00757D20">
        <w:t>s</w:t>
      </w:r>
      <w:r w:rsidR="008368D0" w:rsidRPr="00757D20">
        <w:t xml:space="preserve"> in each category.</w:t>
      </w:r>
    </w:p>
    <w:p w14:paraId="1E6C0DA2" w14:textId="2D495831" w:rsidR="00C055DD" w:rsidRPr="00757D20" w:rsidRDefault="00C055DD" w:rsidP="00C055DD">
      <w:pPr>
        <w:pStyle w:val="Caption"/>
        <w:keepNext/>
      </w:pPr>
      <w:bookmarkStart w:id="41" w:name="_Toc216774194"/>
      <w:r w:rsidRPr="00757D20">
        <w:t xml:space="preserve">Figure </w:t>
      </w:r>
      <w:r w:rsidRPr="00757D20">
        <w:fldChar w:fldCharType="begin"/>
      </w:r>
      <w:r w:rsidRPr="00757D20">
        <w:instrText>SEQ Figure \* ARABIC</w:instrText>
      </w:r>
      <w:r w:rsidRPr="00757D20">
        <w:fldChar w:fldCharType="separate"/>
      </w:r>
      <w:r w:rsidRPr="00757D20">
        <w:rPr>
          <w:noProof/>
        </w:rPr>
        <w:t>2</w:t>
      </w:r>
      <w:r w:rsidRPr="00757D20">
        <w:fldChar w:fldCharType="end"/>
      </w:r>
      <w:r w:rsidR="00D618E7" w:rsidRPr="00757D20">
        <w:t>:</w:t>
      </w:r>
      <w:r w:rsidRPr="00757D20">
        <w:t xml:space="preserve"> Educational </w:t>
      </w:r>
      <w:r w:rsidR="00DC3BDA" w:rsidRPr="00757D20">
        <w:t>a</w:t>
      </w:r>
      <w:r w:rsidRPr="00757D20">
        <w:t>spirations by ICSEA</w:t>
      </w:r>
      <w:r w:rsidR="00DC3BDA" w:rsidRPr="00757D20">
        <w:t xml:space="preserve">, </w:t>
      </w:r>
      <w:r w:rsidRPr="00757D20">
        <w:t>2025</w:t>
      </w:r>
      <w:bookmarkEnd w:id="41"/>
    </w:p>
    <w:p w14:paraId="3253C769" w14:textId="77777777" w:rsidR="00C055DD" w:rsidRPr="00757D20" w:rsidRDefault="00C055DD" w:rsidP="00C055DD">
      <w:pPr>
        <w:spacing w:line="259" w:lineRule="auto"/>
      </w:pPr>
      <w:r w:rsidRPr="00757D20">
        <w:rPr>
          <w:noProof/>
        </w:rPr>
        <w:drawing>
          <wp:inline distT="0" distB="0" distL="0" distR="0" wp14:anchorId="1F59B1E4" wp14:editId="5D781707">
            <wp:extent cx="4968000" cy="3715624"/>
            <wp:effectExtent l="0" t="0" r="4445" b="0"/>
            <wp:docPr id="1652794978" name="Picture 3" descr="Bar chart showing highest education level planned by ICSEA (&lt;950, 950-1050, &gt;1050) for 2025. University plans increase with income from 25% to 73%, while TAFE, High School, and uncertainty decrease or remain low across incom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94978" name="Picture 3" descr="Bar chart showing highest education level planned by ICSEA (&lt;950, 950-1050, &gt;1050) for 2025. University plans increase with income from 25% to 73%, while TAFE, High School, and uncertainty decrease or remain low across income bracket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766"/>
                    <a:stretch/>
                  </pic:blipFill>
                  <pic:spPr bwMode="auto">
                    <a:xfrm>
                      <a:off x="0" y="0"/>
                      <a:ext cx="4968000" cy="3715624"/>
                    </a:xfrm>
                    <a:prstGeom prst="rect">
                      <a:avLst/>
                    </a:prstGeom>
                    <a:noFill/>
                    <a:ln>
                      <a:noFill/>
                    </a:ln>
                    <a:extLst>
                      <a:ext uri="{53640926-AAD7-44D8-BBD7-CCE9431645EC}">
                        <a14:shadowObscured xmlns:a14="http://schemas.microsoft.com/office/drawing/2010/main"/>
                      </a:ext>
                    </a:extLst>
                  </pic:spPr>
                </pic:pic>
              </a:graphicData>
            </a:graphic>
          </wp:inline>
        </w:drawing>
      </w:r>
    </w:p>
    <w:p w14:paraId="06543887" w14:textId="67E414A5" w:rsidR="00C055DD" w:rsidRPr="00757D20" w:rsidRDefault="00C055DD" w:rsidP="00C055DD">
      <w:r w:rsidRPr="00757D20">
        <w:t xml:space="preserve">Educational aspirations were also disaggregated by geographic location—specifically between those residing in major cities and those in regional areas. As shown in Figure </w:t>
      </w:r>
      <w:r w:rsidR="0092565B" w:rsidRPr="00757D20">
        <w:t>3</w:t>
      </w:r>
      <w:r w:rsidRPr="00757D20">
        <w:t>, among students in major cities, 46% (</w:t>
      </w:r>
      <w:r w:rsidRPr="00757D20">
        <w:rPr>
          <w:i/>
        </w:rPr>
        <w:t>n</w:t>
      </w:r>
      <w:r w:rsidRPr="00757D20">
        <w:t xml:space="preserve"> = 29) reported plans to complete university, making it the most frequently selected option within this subgroup. This was followed by 24% of students </w:t>
      </w:r>
      <w:r w:rsidR="000920DC" w:rsidRPr="00757D20">
        <w:t>(</w:t>
      </w:r>
      <w:r w:rsidR="000920DC" w:rsidRPr="00757D20">
        <w:rPr>
          <w:i/>
          <w:iCs/>
        </w:rPr>
        <w:t>n</w:t>
      </w:r>
      <w:r w:rsidR="000920DC" w:rsidRPr="00757D20">
        <w:t xml:space="preserve"> = 15) </w:t>
      </w:r>
      <w:r w:rsidRPr="00757D20">
        <w:t>who expressed uncertainty about their future educational trajectory, 19% (</w:t>
      </w:r>
      <w:r w:rsidRPr="00757D20">
        <w:rPr>
          <w:i/>
        </w:rPr>
        <w:t>n</w:t>
      </w:r>
      <w:r w:rsidRPr="00757D20">
        <w:t xml:space="preserve"> = 12) who intended to complete TAFE, and 11% (</w:t>
      </w:r>
      <w:r w:rsidRPr="00757D20">
        <w:rPr>
          <w:i/>
        </w:rPr>
        <w:t>n</w:t>
      </w:r>
      <w:r w:rsidRPr="00757D20">
        <w:t xml:space="preserve"> = 7) who indicated high school as their final level of education. </w:t>
      </w:r>
    </w:p>
    <w:p w14:paraId="68095294" w14:textId="67E15C82" w:rsidR="00C055DD" w:rsidRPr="00757D20" w:rsidRDefault="00C055DD" w:rsidP="00C055DD">
      <w:r w:rsidRPr="00757D20">
        <w:t xml:space="preserve">By contrast, students from regional areas displayed more variance in their </w:t>
      </w:r>
      <w:r w:rsidR="007522B5" w:rsidRPr="00757D20">
        <w:t>educational</w:t>
      </w:r>
      <w:r w:rsidRPr="00757D20">
        <w:t xml:space="preserve"> aspirations. University and high school completion were each selected by 25% of students</w:t>
      </w:r>
      <w:r w:rsidR="00434991" w:rsidRPr="00757D20">
        <w:t xml:space="preserve"> </w:t>
      </w:r>
      <w:r w:rsidR="007522B5" w:rsidRPr="00757D20">
        <w:t>(</w:t>
      </w:r>
      <w:r w:rsidR="007522B5" w:rsidRPr="00757D20">
        <w:rPr>
          <w:i/>
          <w:iCs/>
        </w:rPr>
        <w:t>n</w:t>
      </w:r>
      <w:r w:rsidR="007522B5" w:rsidRPr="00757D20">
        <w:t xml:space="preserve"> = 3)</w:t>
      </w:r>
      <w:r w:rsidRPr="00757D20">
        <w:t>, while 17% (</w:t>
      </w:r>
      <w:r w:rsidRPr="00757D20">
        <w:rPr>
          <w:i/>
        </w:rPr>
        <w:t>n</w:t>
      </w:r>
      <w:r w:rsidRPr="00757D20">
        <w:t xml:space="preserve"> = 2) indicated plans to attend TAFE. Notably, a larger proportion—33% (</w:t>
      </w:r>
      <w:r w:rsidRPr="00757D20">
        <w:rPr>
          <w:i/>
        </w:rPr>
        <w:t>n</w:t>
      </w:r>
      <w:r w:rsidRPr="00757D20">
        <w:t xml:space="preserve"> = 4)—expressed uncertainty about the level of education they wish to pursue. These data suggest a geographic disparity in educational aspirations, with urban respondents demonstrating a stronger inclination toward university education. </w:t>
      </w:r>
      <w:r w:rsidR="008368D0" w:rsidRPr="00757D20">
        <w:t xml:space="preserve">However, </w:t>
      </w:r>
      <w:r w:rsidR="00832401" w:rsidRPr="00757D20">
        <w:t>these</w:t>
      </w:r>
      <w:r w:rsidR="008368D0" w:rsidRPr="00757D20">
        <w:t xml:space="preserve"> findings must </w:t>
      </w:r>
      <w:r w:rsidR="00832401" w:rsidRPr="00757D20">
        <w:t xml:space="preserve">again </w:t>
      </w:r>
      <w:r w:rsidR="008368D0" w:rsidRPr="00757D20">
        <w:t xml:space="preserve">be interpreted in </w:t>
      </w:r>
      <w:r w:rsidR="00832401" w:rsidRPr="00757D20">
        <w:t xml:space="preserve">the </w:t>
      </w:r>
      <w:r w:rsidR="008368D0" w:rsidRPr="00757D20">
        <w:t>light of the small sample in each category.</w:t>
      </w:r>
    </w:p>
    <w:p w14:paraId="48B1F92B" w14:textId="77777777" w:rsidR="00C055DD" w:rsidRPr="00757D20" w:rsidRDefault="00C055DD" w:rsidP="00C055DD"/>
    <w:p w14:paraId="6EB0B4B2" w14:textId="0629E710" w:rsidR="00C055DD" w:rsidRPr="00757D20" w:rsidRDefault="00C055DD" w:rsidP="00C055DD">
      <w:pPr>
        <w:pStyle w:val="Caption"/>
        <w:keepNext/>
      </w:pPr>
      <w:bookmarkStart w:id="42" w:name="_Toc216774195"/>
      <w:r w:rsidRPr="00757D20">
        <w:lastRenderedPageBreak/>
        <w:t xml:space="preserve">Figure </w:t>
      </w:r>
      <w:r w:rsidRPr="00757D20">
        <w:fldChar w:fldCharType="begin"/>
      </w:r>
      <w:r w:rsidRPr="00757D20">
        <w:instrText>SEQ Figure \* ARABIC</w:instrText>
      </w:r>
      <w:r w:rsidRPr="00757D20">
        <w:fldChar w:fldCharType="separate"/>
      </w:r>
      <w:r w:rsidRPr="00757D20">
        <w:rPr>
          <w:noProof/>
        </w:rPr>
        <w:t>3</w:t>
      </w:r>
      <w:r w:rsidRPr="00757D20">
        <w:fldChar w:fldCharType="end"/>
      </w:r>
      <w:r w:rsidR="00D618E7" w:rsidRPr="00757D20">
        <w:t>:</w:t>
      </w:r>
      <w:r w:rsidRPr="00757D20">
        <w:t xml:space="preserve"> Educational aspirations by location</w:t>
      </w:r>
      <w:r w:rsidR="00DC3BDA" w:rsidRPr="00757D20">
        <w:t xml:space="preserve">, </w:t>
      </w:r>
      <w:r w:rsidRPr="00757D20">
        <w:t>2025</w:t>
      </w:r>
      <w:bookmarkEnd w:id="42"/>
    </w:p>
    <w:p w14:paraId="0C10F4D9" w14:textId="77777777" w:rsidR="00C055DD" w:rsidRPr="00757D20" w:rsidRDefault="00C055DD" w:rsidP="00C055DD">
      <w:pPr>
        <w:spacing w:line="259" w:lineRule="auto"/>
      </w:pPr>
      <w:r w:rsidRPr="00757D20">
        <w:rPr>
          <w:noProof/>
        </w:rPr>
        <w:drawing>
          <wp:inline distT="0" distB="0" distL="0" distR="0" wp14:anchorId="57EF15AF" wp14:editId="73584EBB">
            <wp:extent cx="4972914" cy="3240000"/>
            <wp:effectExtent l="0" t="0" r="0" b="0"/>
            <wp:docPr id="1820229915" name="Picture 4" descr="Bar chart comparing highest education level plans between major cities and regional areas in 2025. Major cities show 46% aiming for university, 19% TAFE, 11% high school, and 24% uncertain, while regional areas have 25% university, 17% TAFE, 25% high school, and 33% uncer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29915" name="Picture 4" descr="Bar chart comparing highest education level plans between major cities and regional areas in 2025. Major cities show 46% aiming for university, 19% TAFE, 11% high school, and 24% uncertain, while regional areas have 25% university, 17% TAFE, 25% high school, and 33% uncertai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676"/>
                    <a:stretch/>
                  </pic:blipFill>
                  <pic:spPr bwMode="auto">
                    <a:xfrm>
                      <a:off x="0" y="0"/>
                      <a:ext cx="4972914" cy="3240000"/>
                    </a:xfrm>
                    <a:prstGeom prst="rect">
                      <a:avLst/>
                    </a:prstGeom>
                    <a:noFill/>
                    <a:ln>
                      <a:noFill/>
                    </a:ln>
                    <a:extLst>
                      <a:ext uri="{53640926-AAD7-44D8-BBD7-CCE9431645EC}">
                        <a14:shadowObscured xmlns:a14="http://schemas.microsoft.com/office/drawing/2010/main"/>
                      </a:ext>
                    </a:extLst>
                  </pic:spPr>
                </pic:pic>
              </a:graphicData>
            </a:graphic>
          </wp:inline>
        </w:drawing>
      </w:r>
    </w:p>
    <w:p w14:paraId="018DD6C4" w14:textId="77777777" w:rsidR="00C055DD" w:rsidRPr="00757D20" w:rsidRDefault="00C055DD" w:rsidP="00C055DD"/>
    <w:p w14:paraId="3974DDF1" w14:textId="1BB10CA0" w:rsidR="00C055DD" w:rsidRPr="00757D20" w:rsidRDefault="00C055DD" w:rsidP="00C055DD">
      <w:pPr>
        <w:pStyle w:val="Heading2"/>
      </w:pPr>
      <w:bookmarkStart w:id="43" w:name="_Toc219977212"/>
      <w:r w:rsidRPr="00757D20">
        <w:t xml:space="preserve">Occupational </w:t>
      </w:r>
      <w:r w:rsidR="00D618E7" w:rsidRPr="00757D20">
        <w:t>a</w:t>
      </w:r>
      <w:r w:rsidRPr="00757D20">
        <w:t>spirations</w:t>
      </w:r>
      <w:bookmarkEnd w:id="43"/>
    </w:p>
    <w:p w14:paraId="071E1D9B" w14:textId="3690D797" w:rsidR="00C055DD" w:rsidRPr="00757D20" w:rsidRDefault="00C055DD" w:rsidP="00C055DD">
      <w:r w:rsidRPr="00757D20">
        <w:t xml:space="preserve">The </w:t>
      </w:r>
      <w:r w:rsidR="00554705" w:rsidRPr="00757D20">
        <w:t xml:space="preserve">survey </w:t>
      </w:r>
      <w:r w:rsidRPr="00757D20">
        <w:t xml:space="preserve">data revealed a diverse range of career aspirations among students, with certain professions emerging as particularly prominent. As shown in Table </w:t>
      </w:r>
      <w:r w:rsidR="00C82D74" w:rsidRPr="00757D20">
        <w:t>2</w:t>
      </w:r>
      <w:r w:rsidRPr="00757D20">
        <w:t xml:space="preserve">, </w:t>
      </w:r>
      <w:proofErr w:type="gramStart"/>
      <w:r w:rsidR="009212C3" w:rsidRPr="00757D20">
        <w:t>s</w:t>
      </w:r>
      <w:r w:rsidR="00D268CB" w:rsidRPr="00757D20">
        <w:t xml:space="preserve">chool </w:t>
      </w:r>
      <w:r w:rsidR="009212C3" w:rsidRPr="00757D20">
        <w:t>t</w:t>
      </w:r>
      <w:r w:rsidR="00D268CB" w:rsidRPr="00757D20">
        <w:t>eachers</w:t>
      </w:r>
      <w:proofErr w:type="gramEnd"/>
      <w:r w:rsidRPr="00757D20">
        <w:t xml:space="preserve"> represent the most frequently cited aspiration, accounting for 6.</w:t>
      </w:r>
      <w:r w:rsidR="00D268CB" w:rsidRPr="00757D20">
        <w:t>32</w:t>
      </w:r>
      <w:r w:rsidRPr="00757D20">
        <w:t>% of responses (</w:t>
      </w:r>
      <w:r w:rsidRPr="00757D20">
        <w:rPr>
          <w:i/>
        </w:rPr>
        <w:t>n</w:t>
      </w:r>
      <w:r w:rsidRPr="00757D20">
        <w:t xml:space="preserve"> = </w:t>
      </w:r>
      <w:r w:rsidR="00D268CB" w:rsidRPr="00757D20">
        <w:t>11</w:t>
      </w:r>
      <w:r w:rsidRPr="00757D20">
        <w:t xml:space="preserve">), followed closely by </w:t>
      </w:r>
      <w:r w:rsidR="009212C3" w:rsidRPr="00757D20">
        <w:t>r</w:t>
      </w:r>
      <w:r w:rsidR="00D268CB" w:rsidRPr="00757D20">
        <w:t xml:space="preserve">egistered </w:t>
      </w:r>
      <w:r w:rsidR="009212C3" w:rsidRPr="00757D20">
        <w:t>n</w:t>
      </w:r>
      <w:r w:rsidR="00D268CB" w:rsidRPr="00757D20">
        <w:t>urses</w:t>
      </w:r>
      <w:r w:rsidRPr="00757D20">
        <w:t xml:space="preserve"> at 5.</w:t>
      </w:r>
      <w:r w:rsidR="00D268CB" w:rsidRPr="00757D20">
        <w:t>75</w:t>
      </w:r>
      <w:r w:rsidRPr="00757D20">
        <w:t>% (</w:t>
      </w:r>
      <w:r w:rsidRPr="00757D20">
        <w:rPr>
          <w:i/>
        </w:rPr>
        <w:t>n</w:t>
      </w:r>
      <w:r w:rsidRPr="00757D20">
        <w:t xml:space="preserve"> = </w:t>
      </w:r>
      <w:r w:rsidR="00D268CB" w:rsidRPr="00757D20">
        <w:t>10</w:t>
      </w:r>
      <w:r w:rsidRPr="00757D20">
        <w:t>)</w:t>
      </w:r>
      <w:r w:rsidR="008928DC" w:rsidRPr="00757D20">
        <w:t>,</w:t>
      </w:r>
      <w:r w:rsidRPr="00757D20">
        <w:t xml:space="preserve"> </w:t>
      </w:r>
      <w:r w:rsidR="00FD450B" w:rsidRPr="00757D20">
        <w:t>with notable interest also shown in legal professions and motor mechanics (each 4.02%</w:t>
      </w:r>
      <w:r w:rsidR="00936B07" w:rsidRPr="00757D20">
        <w:t xml:space="preserve">, </w:t>
      </w:r>
      <w:r w:rsidR="00936B07" w:rsidRPr="00757D20">
        <w:rPr>
          <w:i/>
          <w:iCs/>
        </w:rPr>
        <w:t xml:space="preserve">n </w:t>
      </w:r>
      <w:r w:rsidR="00936B07" w:rsidRPr="00757D20">
        <w:t>= 7</w:t>
      </w:r>
      <w:r w:rsidR="00FD450B" w:rsidRPr="00757D20">
        <w:t>). Careers in science, healthcare, and design—including veterinarians, psychologists, architects, and graphic designers—featured prominently, indicating a strong interest in both STEM and</w:t>
      </w:r>
      <w:r w:rsidR="009212C3" w:rsidRPr="00757D20">
        <w:t xml:space="preserve"> the</w:t>
      </w:r>
      <w:r w:rsidR="00FD450B" w:rsidRPr="00757D20">
        <w:t xml:space="preserve"> creative industries. </w:t>
      </w:r>
      <w:proofErr w:type="gramStart"/>
      <w:r w:rsidR="00FD450B" w:rsidRPr="00757D20">
        <w:t>A number of</w:t>
      </w:r>
      <w:proofErr w:type="gramEnd"/>
      <w:r w:rsidR="00FD450B" w:rsidRPr="00757D20">
        <w:t xml:space="preserve"> respondents also expressed aspirations</w:t>
      </w:r>
      <w:r w:rsidR="009951BC" w:rsidRPr="00757D20">
        <w:t xml:space="preserve"> for</w:t>
      </w:r>
      <w:r w:rsidR="00FD450B" w:rsidRPr="00757D20">
        <w:t xml:space="preserve"> trades and vocational roles, such as electricians, plumbers, and beauty therapists. </w:t>
      </w:r>
      <w:r w:rsidR="00003C9C" w:rsidRPr="00757D20">
        <w:t>Additionally, a small proportion were either unsure (2.87%</w:t>
      </w:r>
      <w:r w:rsidR="00936B07" w:rsidRPr="00757D20">
        <w:t xml:space="preserve">, </w:t>
      </w:r>
      <w:r w:rsidR="00936B07" w:rsidRPr="00757D20">
        <w:rPr>
          <w:i/>
          <w:iCs/>
        </w:rPr>
        <w:t xml:space="preserve">n </w:t>
      </w:r>
      <w:r w:rsidR="00936B07" w:rsidRPr="00757D20">
        <w:t>= 5</w:t>
      </w:r>
      <w:r w:rsidR="00003C9C" w:rsidRPr="00757D20">
        <w:t>) or provided inconclusive responses (1.15%</w:t>
      </w:r>
      <w:r w:rsidR="00936B07" w:rsidRPr="00757D20">
        <w:t xml:space="preserve">, </w:t>
      </w:r>
      <w:r w:rsidR="00936B07" w:rsidRPr="00757D20">
        <w:rPr>
          <w:i/>
          <w:iCs/>
        </w:rPr>
        <w:t xml:space="preserve">n </w:t>
      </w:r>
      <w:r w:rsidR="00936B07" w:rsidRPr="00757D20">
        <w:t>= 2</w:t>
      </w:r>
      <w:r w:rsidR="00003C9C" w:rsidRPr="00757D20">
        <w:t xml:space="preserve">), suggesting some uncertainty or evolving career interests. Overall, the data highlights a broad spectrum of </w:t>
      </w:r>
      <w:r w:rsidR="007B34B6" w:rsidRPr="00757D20">
        <w:t>occupational</w:t>
      </w:r>
      <w:r w:rsidR="00003C9C" w:rsidRPr="00757D20">
        <w:t xml:space="preserve"> aspirations, with a particular emphasis on education, healthcare, and creative professions.</w:t>
      </w:r>
    </w:p>
    <w:p w14:paraId="29627F1A" w14:textId="1F6BCEAD" w:rsidR="00C055DD" w:rsidRPr="00757D20" w:rsidRDefault="00C055DD" w:rsidP="00C055DD">
      <w:pPr>
        <w:pStyle w:val="Caption"/>
        <w:keepNext/>
        <w:keepLines/>
      </w:pPr>
      <w:bookmarkStart w:id="44" w:name="_Toc216774181"/>
      <w:r w:rsidRPr="00757D20">
        <w:lastRenderedPageBreak/>
        <w:t xml:space="preserve">Table </w:t>
      </w:r>
      <w:r w:rsidR="00C82D74">
        <w:fldChar w:fldCharType="begin"/>
      </w:r>
      <w:r w:rsidR="00C82D74">
        <w:instrText xml:space="preserve"> SEQ Table \* ARABIC </w:instrText>
      </w:r>
      <w:r w:rsidR="00C82D74">
        <w:fldChar w:fldCharType="separate"/>
      </w:r>
      <w:r w:rsidR="00C82D74" w:rsidRPr="00757D20">
        <w:rPr>
          <w:noProof/>
        </w:rPr>
        <w:t>2</w:t>
      </w:r>
      <w:r w:rsidR="00C82D74">
        <w:rPr>
          <w:noProof/>
        </w:rPr>
        <w:fldChar w:fldCharType="end"/>
      </w:r>
      <w:r w:rsidR="00D618E7" w:rsidRPr="00757D20">
        <w:t>:</w:t>
      </w:r>
      <w:r w:rsidRPr="00757D20">
        <w:t xml:space="preserve"> Career </w:t>
      </w:r>
      <w:r w:rsidR="005C7C37" w:rsidRPr="00757D20">
        <w:t>a</w:t>
      </w:r>
      <w:r w:rsidRPr="00757D20">
        <w:t>spirations, all students, 2025 (</w:t>
      </w:r>
      <w:r w:rsidRPr="00D017A0">
        <w:rPr>
          <w:i w:val="0"/>
          <w:iCs w:val="0"/>
        </w:rPr>
        <w:t>n</w:t>
      </w:r>
      <w:r w:rsidRPr="00757D20">
        <w:t xml:space="preserve"> = 154)</w:t>
      </w:r>
      <w:r w:rsidR="000F4166" w:rsidRPr="00757D20">
        <w:rPr>
          <w:rStyle w:val="FootnoteReference"/>
        </w:rPr>
        <w:footnoteReference w:id="10"/>
      </w:r>
      <w:bookmarkEnd w:id="44"/>
    </w:p>
    <w:tbl>
      <w:tblPr>
        <w:tblW w:w="8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954"/>
        <w:gridCol w:w="567"/>
        <w:gridCol w:w="1927"/>
      </w:tblGrid>
      <w:tr w:rsidR="00C055DD" w:rsidRPr="00757D20" w14:paraId="7CDF89C0" w14:textId="77777777" w:rsidTr="00D017A0">
        <w:trPr>
          <w:trHeight w:val="300"/>
        </w:trPr>
        <w:tc>
          <w:tcPr>
            <w:tcW w:w="5954" w:type="dxa"/>
            <w:shd w:val="clear" w:color="auto" w:fill="78DED9" w:themeFill="accent1"/>
            <w:noWrap/>
            <w:vAlign w:val="bottom"/>
            <w:hideMark/>
          </w:tcPr>
          <w:p w14:paraId="42B2E056" w14:textId="5883416A" w:rsidR="00C055DD" w:rsidRPr="00757D20" w:rsidRDefault="00C055DD" w:rsidP="0021124D">
            <w:pPr>
              <w:pStyle w:val="TOCHeading"/>
              <w:keepNext/>
              <w:keepLines/>
              <w:rPr>
                <w:rFonts w:cs="Arial"/>
                <w:bCs/>
                <w:sz w:val="22"/>
                <w:szCs w:val="22"/>
              </w:rPr>
            </w:pPr>
            <w:r w:rsidRPr="00757D20">
              <w:rPr>
                <w:rFonts w:cs="Arial"/>
                <w:bCs/>
                <w:sz w:val="22"/>
                <w:szCs w:val="22"/>
              </w:rPr>
              <w:t xml:space="preserve">Career </w:t>
            </w:r>
            <w:r w:rsidR="00936B07" w:rsidRPr="00757D20">
              <w:rPr>
                <w:rFonts w:cs="Arial"/>
                <w:bCs/>
                <w:sz w:val="22"/>
                <w:szCs w:val="22"/>
              </w:rPr>
              <w:t>a</w:t>
            </w:r>
            <w:r w:rsidRPr="00757D20">
              <w:rPr>
                <w:rFonts w:cs="Arial"/>
                <w:bCs/>
                <w:sz w:val="22"/>
                <w:szCs w:val="22"/>
              </w:rPr>
              <w:t>spiration</w:t>
            </w:r>
          </w:p>
        </w:tc>
        <w:tc>
          <w:tcPr>
            <w:tcW w:w="567" w:type="dxa"/>
            <w:shd w:val="clear" w:color="auto" w:fill="78DED9" w:themeFill="accent1"/>
            <w:noWrap/>
            <w:vAlign w:val="bottom"/>
            <w:hideMark/>
          </w:tcPr>
          <w:p w14:paraId="63551F8D" w14:textId="77777777" w:rsidR="00C055DD" w:rsidRPr="00757D20" w:rsidRDefault="00C055DD" w:rsidP="0021124D">
            <w:pPr>
              <w:pStyle w:val="TOCHeading"/>
              <w:keepNext/>
              <w:keepLines/>
              <w:jc w:val="right"/>
              <w:rPr>
                <w:rFonts w:cs="Arial"/>
                <w:bCs/>
                <w:sz w:val="22"/>
                <w:szCs w:val="22"/>
              </w:rPr>
            </w:pPr>
            <w:r w:rsidRPr="00757D20">
              <w:rPr>
                <w:rFonts w:cs="Arial"/>
                <w:bCs/>
                <w:sz w:val="22"/>
                <w:szCs w:val="22"/>
              </w:rPr>
              <w:t>n</w:t>
            </w:r>
          </w:p>
        </w:tc>
        <w:tc>
          <w:tcPr>
            <w:tcW w:w="1927" w:type="dxa"/>
            <w:shd w:val="clear" w:color="auto" w:fill="78DED9" w:themeFill="accent1"/>
            <w:noWrap/>
            <w:vAlign w:val="bottom"/>
            <w:hideMark/>
          </w:tcPr>
          <w:p w14:paraId="53A85C08" w14:textId="77777777" w:rsidR="00C055DD" w:rsidRPr="00757D20" w:rsidRDefault="00C055DD" w:rsidP="0021124D">
            <w:pPr>
              <w:pStyle w:val="TOCHeading"/>
              <w:keepNext/>
              <w:keepLines/>
              <w:jc w:val="right"/>
              <w:rPr>
                <w:rFonts w:cs="Arial"/>
                <w:bCs/>
                <w:sz w:val="22"/>
                <w:szCs w:val="22"/>
              </w:rPr>
            </w:pPr>
            <w:r w:rsidRPr="00757D20">
              <w:rPr>
                <w:rFonts w:cs="Arial"/>
                <w:bCs/>
                <w:sz w:val="22"/>
                <w:szCs w:val="22"/>
              </w:rPr>
              <w:t>Proportion (%)</w:t>
            </w:r>
          </w:p>
        </w:tc>
      </w:tr>
      <w:tr w:rsidR="00C055DD" w:rsidRPr="00757D20" w14:paraId="2AA01E49" w14:textId="77777777" w:rsidTr="00D017A0">
        <w:trPr>
          <w:trHeight w:val="300"/>
        </w:trPr>
        <w:tc>
          <w:tcPr>
            <w:tcW w:w="5954" w:type="dxa"/>
            <w:noWrap/>
            <w:hideMark/>
          </w:tcPr>
          <w:p w14:paraId="26B48BB4" w14:textId="0BAEDDDC"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School </w:t>
            </w:r>
            <w:r w:rsidR="00936B07" w:rsidRPr="00757D20">
              <w:rPr>
                <w:rFonts w:cs="Arial"/>
              </w:rPr>
              <w:t>t</w:t>
            </w:r>
            <w:r w:rsidRPr="00757D20">
              <w:rPr>
                <w:rFonts w:cs="Arial"/>
              </w:rPr>
              <w:t>eachers</w:t>
            </w:r>
          </w:p>
        </w:tc>
        <w:tc>
          <w:tcPr>
            <w:tcW w:w="567" w:type="dxa"/>
            <w:noWrap/>
            <w:hideMark/>
          </w:tcPr>
          <w:p w14:paraId="77604317"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w:t>
            </w:r>
          </w:p>
        </w:tc>
        <w:tc>
          <w:tcPr>
            <w:tcW w:w="1927" w:type="dxa"/>
            <w:noWrap/>
            <w:hideMark/>
          </w:tcPr>
          <w:p w14:paraId="42FACD3B"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6.32</w:t>
            </w:r>
          </w:p>
        </w:tc>
      </w:tr>
      <w:tr w:rsidR="00C055DD" w:rsidRPr="00757D20" w14:paraId="355260CF" w14:textId="77777777" w:rsidTr="00D017A0">
        <w:trPr>
          <w:trHeight w:val="300"/>
        </w:trPr>
        <w:tc>
          <w:tcPr>
            <w:tcW w:w="5954" w:type="dxa"/>
            <w:noWrap/>
            <w:hideMark/>
          </w:tcPr>
          <w:p w14:paraId="5BB6A5CB" w14:textId="5FFEAF73"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Registered </w:t>
            </w:r>
            <w:r w:rsidR="00936B07" w:rsidRPr="00757D20">
              <w:rPr>
                <w:rFonts w:cs="Arial"/>
              </w:rPr>
              <w:t>n</w:t>
            </w:r>
            <w:r w:rsidRPr="00757D20">
              <w:rPr>
                <w:rFonts w:cs="Arial"/>
              </w:rPr>
              <w:t>urses</w:t>
            </w:r>
          </w:p>
        </w:tc>
        <w:tc>
          <w:tcPr>
            <w:tcW w:w="567" w:type="dxa"/>
            <w:noWrap/>
            <w:hideMark/>
          </w:tcPr>
          <w:p w14:paraId="09033D55"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10</w:t>
            </w:r>
          </w:p>
        </w:tc>
        <w:tc>
          <w:tcPr>
            <w:tcW w:w="1927" w:type="dxa"/>
            <w:noWrap/>
            <w:hideMark/>
          </w:tcPr>
          <w:p w14:paraId="5C549E86"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5.75</w:t>
            </w:r>
          </w:p>
        </w:tc>
      </w:tr>
      <w:tr w:rsidR="00C055DD" w:rsidRPr="00757D20" w14:paraId="52B6CACB" w14:textId="77777777" w:rsidTr="00D017A0">
        <w:trPr>
          <w:trHeight w:val="300"/>
        </w:trPr>
        <w:tc>
          <w:tcPr>
            <w:tcW w:w="5954" w:type="dxa"/>
            <w:noWrap/>
            <w:hideMark/>
          </w:tcPr>
          <w:p w14:paraId="3458AEC8" w14:textId="60A62C5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Judicial and </w:t>
            </w:r>
            <w:r w:rsidR="00936B07" w:rsidRPr="00757D20">
              <w:rPr>
                <w:rFonts w:cs="Arial"/>
              </w:rPr>
              <w:t>o</w:t>
            </w:r>
            <w:r w:rsidRPr="00757D20">
              <w:rPr>
                <w:rFonts w:cs="Arial"/>
              </w:rPr>
              <w:t xml:space="preserve">ther </w:t>
            </w:r>
            <w:r w:rsidR="00936B07" w:rsidRPr="00757D20">
              <w:rPr>
                <w:rFonts w:cs="Arial"/>
              </w:rPr>
              <w:t>l</w:t>
            </w:r>
            <w:r w:rsidRPr="00757D20">
              <w:rPr>
                <w:rFonts w:cs="Arial"/>
              </w:rPr>
              <w:t xml:space="preserve">egal </w:t>
            </w:r>
            <w:r w:rsidR="00936B07" w:rsidRPr="00757D20">
              <w:rPr>
                <w:rFonts w:cs="Arial"/>
              </w:rPr>
              <w:t>p</w:t>
            </w:r>
            <w:r w:rsidRPr="00757D20">
              <w:rPr>
                <w:rFonts w:cs="Arial"/>
              </w:rPr>
              <w:t>rofessionals</w:t>
            </w:r>
          </w:p>
        </w:tc>
        <w:tc>
          <w:tcPr>
            <w:tcW w:w="567" w:type="dxa"/>
            <w:noWrap/>
            <w:hideMark/>
          </w:tcPr>
          <w:p w14:paraId="4935F05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7</w:t>
            </w:r>
          </w:p>
        </w:tc>
        <w:tc>
          <w:tcPr>
            <w:tcW w:w="1927" w:type="dxa"/>
            <w:noWrap/>
            <w:hideMark/>
          </w:tcPr>
          <w:p w14:paraId="35532B7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4.02</w:t>
            </w:r>
          </w:p>
        </w:tc>
      </w:tr>
      <w:tr w:rsidR="00C055DD" w:rsidRPr="00757D20" w14:paraId="06E25AEB" w14:textId="77777777" w:rsidTr="00D017A0">
        <w:trPr>
          <w:trHeight w:val="300"/>
        </w:trPr>
        <w:tc>
          <w:tcPr>
            <w:tcW w:w="5954" w:type="dxa"/>
            <w:noWrap/>
            <w:hideMark/>
          </w:tcPr>
          <w:p w14:paraId="498EBCCA" w14:textId="462F6103"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Motor </w:t>
            </w:r>
            <w:r w:rsidR="00936B07" w:rsidRPr="00757D20">
              <w:rPr>
                <w:rFonts w:cs="Arial"/>
              </w:rPr>
              <w:t>m</w:t>
            </w:r>
            <w:r w:rsidRPr="00757D20">
              <w:rPr>
                <w:rFonts w:cs="Arial"/>
              </w:rPr>
              <w:t>echanics</w:t>
            </w:r>
          </w:p>
        </w:tc>
        <w:tc>
          <w:tcPr>
            <w:tcW w:w="567" w:type="dxa"/>
            <w:noWrap/>
            <w:hideMark/>
          </w:tcPr>
          <w:p w14:paraId="03ED7292"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7</w:t>
            </w:r>
          </w:p>
        </w:tc>
        <w:tc>
          <w:tcPr>
            <w:tcW w:w="1927" w:type="dxa"/>
            <w:noWrap/>
            <w:hideMark/>
          </w:tcPr>
          <w:p w14:paraId="4750EEB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4.02</w:t>
            </w:r>
          </w:p>
        </w:tc>
      </w:tr>
      <w:tr w:rsidR="00C055DD" w:rsidRPr="00757D20" w14:paraId="33AF5FF3" w14:textId="77777777" w:rsidTr="00D017A0">
        <w:trPr>
          <w:trHeight w:val="300"/>
        </w:trPr>
        <w:tc>
          <w:tcPr>
            <w:tcW w:w="5954" w:type="dxa"/>
            <w:noWrap/>
            <w:hideMark/>
          </w:tcPr>
          <w:p w14:paraId="34C68F96" w14:textId="69ABF021"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Life </w:t>
            </w:r>
            <w:r w:rsidR="00936B07" w:rsidRPr="00757D20">
              <w:rPr>
                <w:rFonts w:cs="Arial"/>
              </w:rPr>
              <w:t>s</w:t>
            </w:r>
            <w:r w:rsidRPr="00757D20">
              <w:rPr>
                <w:rFonts w:cs="Arial"/>
              </w:rPr>
              <w:t>cientists</w:t>
            </w:r>
          </w:p>
        </w:tc>
        <w:tc>
          <w:tcPr>
            <w:tcW w:w="567" w:type="dxa"/>
            <w:noWrap/>
            <w:hideMark/>
          </w:tcPr>
          <w:p w14:paraId="407F3965"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6</w:t>
            </w:r>
          </w:p>
        </w:tc>
        <w:tc>
          <w:tcPr>
            <w:tcW w:w="1927" w:type="dxa"/>
            <w:noWrap/>
            <w:hideMark/>
          </w:tcPr>
          <w:p w14:paraId="6BC9B19A"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3.45</w:t>
            </w:r>
          </w:p>
        </w:tc>
      </w:tr>
      <w:tr w:rsidR="00C055DD" w:rsidRPr="00757D20" w14:paraId="4397C305" w14:textId="77777777" w:rsidTr="00D017A0">
        <w:trPr>
          <w:trHeight w:val="300"/>
        </w:trPr>
        <w:tc>
          <w:tcPr>
            <w:tcW w:w="5954" w:type="dxa"/>
            <w:noWrap/>
            <w:hideMark/>
          </w:tcPr>
          <w:p w14:paraId="6A00C29E"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Veterinarians</w:t>
            </w:r>
          </w:p>
        </w:tc>
        <w:tc>
          <w:tcPr>
            <w:tcW w:w="567" w:type="dxa"/>
            <w:noWrap/>
            <w:hideMark/>
          </w:tcPr>
          <w:p w14:paraId="3A372355"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6</w:t>
            </w:r>
          </w:p>
        </w:tc>
        <w:tc>
          <w:tcPr>
            <w:tcW w:w="1927" w:type="dxa"/>
            <w:noWrap/>
            <w:hideMark/>
          </w:tcPr>
          <w:p w14:paraId="705337FC"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3.45</w:t>
            </w:r>
          </w:p>
        </w:tc>
      </w:tr>
      <w:tr w:rsidR="00C055DD" w:rsidRPr="00757D20" w14:paraId="0EC63D7C" w14:textId="77777777" w:rsidTr="00D017A0">
        <w:trPr>
          <w:trHeight w:val="300"/>
        </w:trPr>
        <w:tc>
          <w:tcPr>
            <w:tcW w:w="5954" w:type="dxa"/>
            <w:noWrap/>
            <w:hideMark/>
          </w:tcPr>
          <w:p w14:paraId="3021760D" w14:textId="2DDF6AE9"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Defence Force </w:t>
            </w:r>
            <w:r w:rsidR="00936B07" w:rsidRPr="00757D20">
              <w:rPr>
                <w:rFonts w:cs="Arial"/>
              </w:rPr>
              <w:t>m</w:t>
            </w:r>
            <w:r w:rsidRPr="00757D20">
              <w:rPr>
                <w:rFonts w:cs="Arial"/>
              </w:rPr>
              <w:t xml:space="preserve">embers </w:t>
            </w:r>
            <w:r w:rsidR="00936B07" w:rsidRPr="00757D20">
              <w:rPr>
                <w:rFonts w:cs="Arial"/>
              </w:rPr>
              <w:t>–</w:t>
            </w:r>
            <w:r w:rsidRPr="00757D20">
              <w:rPr>
                <w:rFonts w:cs="Arial"/>
              </w:rPr>
              <w:t xml:space="preserve"> Other </w:t>
            </w:r>
            <w:r w:rsidR="00936B07" w:rsidRPr="00757D20">
              <w:rPr>
                <w:rFonts w:cs="Arial"/>
              </w:rPr>
              <w:t>r</w:t>
            </w:r>
            <w:r w:rsidRPr="00757D20">
              <w:rPr>
                <w:rFonts w:cs="Arial"/>
              </w:rPr>
              <w:t>anks</w:t>
            </w:r>
          </w:p>
        </w:tc>
        <w:tc>
          <w:tcPr>
            <w:tcW w:w="567" w:type="dxa"/>
            <w:noWrap/>
            <w:hideMark/>
          </w:tcPr>
          <w:p w14:paraId="0EBAA565"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5</w:t>
            </w:r>
          </w:p>
        </w:tc>
        <w:tc>
          <w:tcPr>
            <w:tcW w:w="1927" w:type="dxa"/>
            <w:noWrap/>
            <w:hideMark/>
          </w:tcPr>
          <w:p w14:paraId="2967D0E9"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2.87</w:t>
            </w:r>
          </w:p>
        </w:tc>
      </w:tr>
      <w:tr w:rsidR="00C055DD" w:rsidRPr="00757D20" w14:paraId="76DAE5A6" w14:textId="77777777" w:rsidTr="00D017A0">
        <w:trPr>
          <w:trHeight w:val="300"/>
        </w:trPr>
        <w:tc>
          <w:tcPr>
            <w:tcW w:w="5954" w:type="dxa"/>
            <w:noWrap/>
            <w:hideMark/>
          </w:tcPr>
          <w:p w14:paraId="6631726B"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Psychologists</w:t>
            </w:r>
          </w:p>
        </w:tc>
        <w:tc>
          <w:tcPr>
            <w:tcW w:w="567" w:type="dxa"/>
            <w:noWrap/>
            <w:hideMark/>
          </w:tcPr>
          <w:p w14:paraId="11FF71C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5</w:t>
            </w:r>
          </w:p>
        </w:tc>
        <w:tc>
          <w:tcPr>
            <w:tcW w:w="1927" w:type="dxa"/>
            <w:noWrap/>
            <w:hideMark/>
          </w:tcPr>
          <w:p w14:paraId="0FBD93C7"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2.87</w:t>
            </w:r>
          </w:p>
        </w:tc>
      </w:tr>
      <w:tr w:rsidR="00C055DD" w:rsidRPr="00757D20" w14:paraId="2A095C5E" w14:textId="77777777" w:rsidTr="00D017A0">
        <w:trPr>
          <w:trHeight w:val="300"/>
        </w:trPr>
        <w:tc>
          <w:tcPr>
            <w:tcW w:w="5954" w:type="dxa"/>
            <w:noWrap/>
            <w:hideMark/>
          </w:tcPr>
          <w:p w14:paraId="46A8FF86"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Unsure</w:t>
            </w:r>
          </w:p>
        </w:tc>
        <w:tc>
          <w:tcPr>
            <w:tcW w:w="567" w:type="dxa"/>
            <w:noWrap/>
            <w:hideMark/>
          </w:tcPr>
          <w:p w14:paraId="5C5F9903"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5</w:t>
            </w:r>
          </w:p>
        </w:tc>
        <w:tc>
          <w:tcPr>
            <w:tcW w:w="1927" w:type="dxa"/>
            <w:noWrap/>
            <w:hideMark/>
          </w:tcPr>
          <w:p w14:paraId="5A7DE00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2.87</w:t>
            </w:r>
          </w:p>
        </w:tc>
      </w:tr>
      <w:tr w:rsidR="00C055DD" w:rsidRPr="00757D20" w14:paraId="01985DD5" w14:textId="77777777" w:rsidTr="00D017A0">
        <w:trPr>
          <w:trHeight w:val="300"/>
        </w:trPr>
        <w:tc>
          <w:tcPr>
            <w:tcW w:w="5954" w:type="dxa"/>
            <w:noWrap/>
            <w:hideMark/>
          </w:tcPr>
          <w:p w14:paraId="44294F79" w14:textId="0C507DFC"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Advertising and </w:t>
            </w:r>
            <w:r w:rsidR="00936B07" w:rsidRPr="00757D20">
              <w:rPr>
                <w:rFonts w:cs="Arial"/>
              </w:rPr>
              <w:t>m</w:t>
            </w:r>
            <w:r w:rsidRPr="00757D20">
              <w:rPr>
                <w:rFonts w:cs="Arial"/>
              </w:rPr>
              <w:t xml:space="preserve">arketing </w:t>
            </w:r>
            <w:r w:rsidR="00936B07" w:rsidRPr="00757D20">
              <w:rPr>
                <w:rFonts w:cs="Arial"/>
              </w:rPr>
              <w:t>p</w:t>
            </w:r>
            <w:r w:rsidRPr="00757D20">
              <w:rPr>
                <w:rFonts w:cs="Arial"/>
              </w:rPr>
              <w:t>rofessionals</w:t>
            </w:r>
          </w:p>
        </w:tc>
        <w:tc>
          <w:tcPr>
            <w:tcW w:w="567" w:type="dxa"/>
            <w:noWrap/>
            <w:hideMark/>
          </w:tcPr>
          <w:p w14:paraId="7FDAC02D"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060B7BC8"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4FF778F4" w14:textId="77777777" w:rsidTr="00D017A0">
        <w:trPr>
          <w:trHeight w:val="300"/>
        </w:trPr>
        <w:tc>
          <w:tcPr>
            <w:tcW w:w="5954" w:type="dxa"/>
            <w:noWrap/>
            <w:hideMark/>
          </w:tcPr>
          <w:p w14:paraId="4D54745E" w14:textId="6321BAC9"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Architects and </w:t>
            </w:r>
            <w:r w:rsidR="00936B07" w:rsidRPr="00757D20">
              <w:rPr>
                <w:rFonts w:cs="Arial"/>
              </w:rPr>
              <w:t>l</w:t>
            </w:r>
            <w:r w:rsidRPr="00757D20">
              <w:rPr>
                <w:rFonts w:cs="Arial"/>
              </w:rPr>
              <w:t xml:space="preserve">andscape </w:t>
            </w:r>
            <w:r w:rsidR="00936B07" w:rsidRPr="00757D20">
              <w:rPr>
                <w:rFonts w:cs="Arial"/>
              </w:rPr>
              <w:t>a</w:t>
            </w:r>
            <w:r w:rsidRPr="00757D20">
              <w:rPr>
                <w:rFonts w:cs="Arial"/>
              </w:rPr>
              <w:t>rchitects</w:t>
            </w:r>
          </w:p>
        </w:tc>
        <w:tc>
          <w:tcPr>
            <w:tcW w:w="567" w:type="dxa"/>
            <w:noWrap/>
            <w:hideMark/>
          </w:tcPr>
          <w:p w14:paraId="3C0118A2"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111AE608"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7AC11236" w14:textId="77777777" w:rsidTr="00D017A0">
        <w:trPr>
          <w:trHeight w:val="300"/>
        </w:trPr>
        <w:tc>
          <w:tcPr>
            <w:tcW w:w="5954" w:type="dxa"/>
            <w:noWrap/>
            <w:hideMark/>
          </w:tcPr>
          <w:p w14:paraId="63E7FD62" w14:textId="3E09B830"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General </w:t>
            </w:r>
            <w:r w:rsidR="00936B07" w:rsidRPr="00757D20">
              <w:rPr>
                <w:rFonts w:cs="Arial"/>
              </w:rPr>
              <w:t>p</w:t>
            </w:r>
            <w:r w:rsidRPr="00757D20">
              <w:rPr>
                <w:rFonts w:cs="Arial"/>
              </w:rPr>
              <w:t xml:space="preserve">ractitioners and </w:t>
            </w:r>
            <w:r w:rsidR="00936B07" w:rsidRPr="00757D20">
              <w:rPr>
                <w:rFonts w:cs="Arial"/>
              </w:rPr>
              <w:t>r</w:t>
            </w:r>
            <w:r w:rsidRPr="00757D20">
              <w:rPr>
                <w:rFonts w:cs="Arial"/>
              </w:rPr>
              <w:t xml:space="preserve">esident </w:t>
            </w:r>
            <w:r w:rsidR="00936B07" w:rsidRPr="00757D20">
              <w:rPr>
                <w:rFonts w:cs="Arial"/>
              </w:rPr>
              <w:t>m</w:t>
            </w:r>
            <w:r w:rsidRPr="00757D20">
              <w:rPr>
                <w:rFonts w:cs="Arial"/>
              </w:rPr>
              <w:t xml:space="preserve">edical </w:t>
            </w:r>
            <w:r w:rsidR="00936B07" w:rsidRPr="00757D20">
              <w:rPr>
                <w:rFonts w:cs="Arial"/>
              </w:rPr>
              <w:t>o</w:t>
            </w:r>
            <w:r w:rsidRPr="00757D20">
              <w:rPr>
                <w:rFonts w:cs="Arial"/>
              </w:rPr>
              <w:t>fficers</w:t>
            </w:r>
          </w:p>
        </w:tc>
        <w:tc>
          <w:tcPr>
            <w:tcW w:w="567" w:type="dxa"/>
            <w:noWrap/>
            <w:hideMark/>
          </w:tcPr>
          <w:p w14:paraId="55F08326"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06E42DE3"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1358D1C5" w14:textId="77777777" w:rsidTr="00D017A0">
        <w:trPr>
          <w:trHeight w:val="300"/>
        </w:trPr>
        <w:tc>
          <w:tcPr>
            <w:tcW w:w="5954" w:type="dxa"/>
            <w:noWrap/>
            <w:hideMark/>
          </w:tcPr>
          <w:p w14:paraId="5BE49D06" w14:textId="7EFBFBA2"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Interior </w:t>
            </w:r>
            <w:r w:rsidR="00936B07" w:rsidRPr="00757D20">
              <w:rPr>
                <w:rFonts w:cs="Arial"/>
              </w:rPr>
              <w:t>d</w:t>
            </w:r>
            <w:r w:rsidRPr="00757D20">
              <w:rPr>
                <w:rFonts w:cs="Arial"/>
              </w:rPr>
              <w:t>esigners</w:t>
            </w:r>
          </w:p>
        </w:tc>
        <w:tc>
          <w:tcPr>
            <w:tcW w:w="567" w:type="dxa"/>
            <w:noWrap/>
            <w:hideMark/>
          </w:tcPr>
          <w:p w14:paraId="6C68CF4F"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0BE60BA1"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410C7572" w14:textId="77777777" w:rsidTr="00D017A0">
        <w:trPr>
          <w:trHeight w:val="300"/>
        </w:trPr>
        <w:tc>
          <w:tcPr>
            <w:tcW w:w="5954" w:type="dxa"/>
            <w:noWrap/>
            <w:hideMark/>
          </w:tcPr>
          <w:p w14:paraId="51742179" w14:textId="2A546395"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Other </w:t>
            </w:r>
            <w:r w:rsidR="00936B07" w:rsidRPr="00757D20">
              <w:rPr>
                <w:rFonts w:cs="Arial"/>
              </w:rPr>
              <w:t>n</w:t>
            </w:r>
            <w:r w:rsidRPr="00757D20">
              <w:rPr>
                <w:rFonts w:cs="Arial"/>
              </w:rPr>
              <w:t xml:space="preserve">atural and </w:t>
            </w:r>
            <w:r w:rsidR="00936B07" w:rsidRPr="00757D20">
              <w:rPr>
                <w:rFonts w:cs="Arial"/>
              </w:rPr>
              <w:t>p</w:t>
            </w:r>
            <w:r w:rsidRPr="00757D20">
              <w:rPr>
                <w:rFonts w:cs="Arial"/>
              </w:rPr>
              <w:t xml:space="preserve">hysical </w:t>
            </w:r>
            <w:r w:rsidR="00936B07" w:rsidRPr="00757D20">
              <w:rPr>
                <w:rFonts w:cs="Arial"/>
              </w:rPr>
              <w:t>s</w:t>
            </w:r>
            <w:r w:rsidRPr="00757D20">
              <w:rPr>
                <w:rFonts w:cs="Arial"/>
              </w:rPr>
              <w:t xml:space="preserve">cience </w:t>
            </w:r>
            <w:r w:rsidR="00936B07" w:rsidRPr="00757D20">
              <w:rPr>
                <w:rFonts w:cs="Arial"/>
              </w:rPr>
              <w:t>p</w:t>
            </w:r>
            <w:r w:rsidRPr="00757D20">
              <w:rPr>
                <w:rFonts w:cs="Arial"/>
              </w:rPr>
              <w:t>rofessionals</w:t>
            </w:r>
          </w:p>
        </w:tc>
        <w:tc>
          <w:tcPr>
            <w:tcW w:w="567" w:type="dxa"/>
            <w:noWrap/>
            <w:hideMark/>
          </w:tcPr>
          <w:p w14:paraId="6F34ED8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5C8A4F2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45F87D00" w14:textId="77777777" w:rsidTr="00D017A0">
        <w:trPr>
          <w:trHeight w:val="300"/>
        </w:trPr>
        <w:tc>
          <w:tcPr>
            <w:tcW w:w="5954" w:type="dxa"/>
            <w:noWrap/>
            <w:hideMark/>
          </w:tcPr>
          <w:p w14:paraId="1602792C"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Police</w:t>
            </w:r>
          </w:p>
        </w:tc>
        <w:tc>
          <w:tcPr>
            <w:tcW w:w="567" w:type="dxa"/>
            <w:noWrap/>
            <w:hideMark/>
          </w:tcPr>
          <w:p w14:paraId="77EF4FE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32D8E5E6"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5690D396" w14:textId="77777777" w:rsidTr="00D017A0">
        <w:trPr>
          <w:trHeight w:val="300"/>
        </w:trPr>
        <w:tc>
          <w:tcPr>
            <w:tcW w:w="5954" w:type="dxa"/>
            <w:noWrap/>
            <w:hideMark/>
          </w:tcPr>
          <w:p w14:paraId="68E037AC"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Sportspersons</w:t>
            </w:r>
          </w:p>
        </w:tc>
        <w:tc>
          <w:tcPr>
            <w:tcW w:w="567" w:type="dxa"/>
            <w:noWrap/>
            <w:hideMark/>
          </w:tcPr>
          <w:p w14:paraId="7CC4B70B"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4</w:t>
            </w:r>
          </w:p>
        </w:tc>
        <w:tc>
          <w:tcPr>
            <w:tcW w:w="1927" w:type="dxa"/>
            <w:noWrap/>
            <w:hideMark/>
          </w:tcPr>
          <w:p w14:paraId="21AF20FA"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2.3</w:t>
            </w:r>
          </w:p>
        </w:tc>
      </w:tr>
      <w:tr w:rsidR="00C055DD" w:rsidRPr="00757D20" w14:paraId="53565C80" w14:textId="77777777" w:rsidTr="00D017A0">
        <w:trPr>
          <w:trHeight w:val="300"/>
        </w:trPr>
        <w:tc>
          <w:tcPr>
            <w:tcW w:w="5954" w:type="dxa"/>
            <w:noWrap/>
            <w:hideMark/>
          </w:tcPr>
          <w:p w14:paraId="0D120740" w14:textId="5C6F654F"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Beauty </w:t>
            </w:r>
            <w:r w:rsidR="00936B07" w:rsidRPr="00757D20">
              <w:rPr>
                <w:rFonts w:cs="Arial"/>
              </w:rPr>
              <w:t>t</w:t>
            </w:r>
            <w:r w:rsidRPr="00757D20">
              <w:rPr>
                <w:rFonts w:cs="Arial"/>
              </w:rPr>
              <w:t>herapists</w:t>
            </w:r>
          </w:p>
        </w:tc>
        <w:tc>
          <w:tcPr>
            <w:tcW w:w="567" w:type="dxa"/>
            <w:noWrap/>
            <w:hideMark/>
          </w:tcPr>
          <w:p w14:paraId="07ACC8F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0AA7683B"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5F356D26" w14:textId="77777777" w:rsidTr="00D017A0">
        <w:trPr>
          <w:trHeight w:val="300"/>
        </w:trPr>
        <w:tc>
          <w:tcPr>
            <w:tcW w:w="5954" w:type="dxa"/>
            <w:noWrap/>
            <w:hideMark/>
          </w:tcPr>
          <w:p w14:paraId="332775C4" w14:textId="7B8B5BB6"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Child </w:t>
            </w:r>
            <w:r w:rsidR="00936B07" w:rsidRPr="00757D20">
              <w:rPr>
                <w:rFonts w:cs="Arial"/>
              </w:rPr>
              <w:t>c</w:t>
            </w:r>
            <w:r w:rsidRPr="00757D20">
              <w:rPr>
                <w:rFonts w:cs="Arial"/>
              </w:rPr>
              <w:t>arers</w:t>
            </w:r>
          </w:p>
        </w:tc>
        <w:tc>
          <w:tcPr>
            <w:tcW w:w="567" w:type="dxa"/>
            <w:noWrap/>
            <w:hideMark/>
          </w:tcPr>
          <w:p w14:paraId="0BDD9CD3"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4FD5FC1B"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65BD6714" w14:textId="77777777" w:rsidTr="00D017A0">
        <w:trPr>
          <w:trHeight w:val="300"/>
        </w:trPr>
        <w:tc>
          <w:tcPr>
            <w:tcW w:w="5954" w:type="dxa"/>
            <w:noWrap/>
            <w:hideMark/>
          </w:tcPr>
          <w:p w14:paraId="1FA946BD" w14:textId="1238C198"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Fashion, </w:t>
            </w:r>
            <w:r w:rsidR="00936B07" w:rsidRPr="00757D20">
              <w:rPr>
                <w:rFonts w:cs="Arial"/>
              </w:rPr>
              <w:t>i</w:t>
            </w:r>
            <w:r w:rsidRPr="00757D20">
              <w:rPr>
                <w:rFonts w:cs="Arial"/>
              </w:rPr>
              <w:t>ndustrial</w:t>
            </w:r>
            <w:r w:rsidR="00936B07" w:rsidRPr="00757D20">
              <w:rPr>
                <w:rFonts w:cs="Arial"/>
              </w:rPr>
              <w:t>,</w:t>
            </w:r>
            <w:r w:rsidRPr="00757D20">
              <w:rPr>
                <w:rFonts w:cs="Arial"/>
              </w:rPr>
              <w:t xml:space="preserve"> and </w:t>
            </w:r>
            <w:r w:rsidR="00936B07" w:rsidRPr="00757D20">
              <w:rPr>
                <w:rFonts w:cs="Arial"/>
              </w:rPr>
              <w:t>j</w:t>
            </w:r>
            <w:r w:rsidRPr="00757D20">
              <w:rPr>
                <w:rFonts w:cs="Arial"/>
              </w:rPr>
              <w:t xml:space="preserve">ewellery </w:t>
            </w:r>
            <w:r w:rsidR="00936B07" w:rsidRPr="00757D20">
              <w:rPr>
                <w:rFonts w:cs="Arial"/>
              </w:rPr>
              <w:t>d</w:t>
            </w:r>
            <w:r w:rsidRPr="00757D20">
              <w:rPr>
                <w:rFonts w:cs="Arial"/>
              </w:rPr>
              <w:t>esigners</w:t>
            </w:r>
          </w:p>
        </w:tc>
        <w:tc>
          <w:tcPr>
            <w:tcW w:w="567" w:type="dxa"/>
            <w:noWrap/>
            <w:hideMark/>
          </w:tcPr>
          <w:p w14:paraId="3C0B84C5"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20F157A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4D7B71F4" w14:textId="77777777" w:rsidTr="00D017A0">
        <w:trPr>
          <w:trHeight w:val="300"/>
        </w:trPr>
        <w:tc>
          <w:tcPr>
            <w:tcW w:w="5954" w:type="dxa"/>
            <w:noWrap/>
            <w:hideMark/>
          </w:tcPr>
          <w:p w14:paraId="2E28654D" w14:textId="484CB3CB"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Graphic and </w:t>
            </w:r>
            <w:r w:rsidR="00936B07" w:rsidRPr="00757D20">
              <w:rPr>
                <w:rFonts w:cs="Arial"/>
              </w:rPr>
              <w:t>w</w:t>
            </w:r>
            <w:r w:rsidRPr="00757D20">
              <w:rPr>
                <w:rFonts w:cs="Arial"/>
              </w:rPr>
              <w:t xml:space="preserve">eb </w:t>
            </w:r>
            <w:r w:rsidR="00936B07" w:rsidRPr="00757D20">
              <w:rPr>
                <w:rFonts w:cs="Arial"/>
              </w:rPr>
              <w:t>d</w:t>
            </w:r>
            <w:r w:rsidRPr="00757D20">
              <w:rPr>
                <w:rFonts w:cs="Arial"/>
              </w:rPr>
              <w:t xml:space="preserve">esigners, and </w:t>
            </w:r>
            <w:r w:rsidR="00936B07" w:rsidRPr="00757D20">
              <w:rPr>
                <w:rFonts w:cs="Arial"/>
              </w:rPr>
              <w:t>i</w:t>
            </w:r>
            <w:r w:rsidRPr="00757D20">
              <w:rPr>
                <w:rFonts w:cs="Arial"/>
              </w:rPr>
              <w:t>llustrators</w:t>
            </w:r>
          </w:p>
        </w:tc>
        <w:tc>
          <w:tcPr>
            <w:tcW w:w="567" w:type="dxa"/>
            <w:noWrap/>
            <w:hideMark/>
          </w:tcPr>
          <w:p w14:paraId="5EC2F830"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78B832A2"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582EA5C2" w14:textId="77777777" w:rsidTr="00D017A0">
        <w:trPr>
          <w:trHeight w:val="300"/>
        </w:trPr>
        <w:tc>
          <w:tcPr>
            <w:tcW w:w="5954" w:type="dxa"/>
            <w:noWrap/>
            <w:hideMark/>
          </w:tcPr>
          <w:p w14:paraId="13CF7649" w14:textId="2FD4C67A"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Other </w:t>
            </w:r>
            <w:r w:rsidR="00936B07" w:rsidRPr="00757D20">
              <w:rPr>
                <w:rFonts w:cs="Arial"/>
              </w:rPr>
              <w:t>m</w:t>
            </w:r>
            <w:r w:rsidRPr="00757D20">
              <w:rPr>
                <w:rFonts w:cs="Arial"/>
              </w:rPr>
              <w:t xml:space="preserve">edical </w:t>
            </w:r>
            <w:r w:rsidR="00936B07" w:rsidRPr="00757D20">
              <w:rPr>
                <w:rFonts w:cs="Arial"/>
              </w:rPr>
              <w:t>p</w:t>
            </w:r>
            <w:r w:rsidRPr="00757D20">
              <w:rPr>
                <w:rFonts w:cs="Arial"/>
              </w:rPr>
              <w:t>ractitioners</w:t>
            </w:r>
          </w:p>
        </w:tc>
        <w:tc>
          <w:tcPr>
            <w:tcW w:w="567" w:type="dxa"/>
            <w:noWrap/>
            <w:hideMark/>
          </w:tcPr>
          <w:p w14:paraId="18F97D6D"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364D8D33"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3F5920CD" w14:textId="77777777" w:rsidTr="00D017A0">
        <w:trPr>
          <w:trHeight w:val="300"/>
        </w:trPr>
        <w:tc>
          <w:tcPr>
            <w:tcW w:w="5954" w:type="dxa"/>
            <w:noWrap/>
            <w:hideMark/>
          </w:tcPr>
          <w:p w14:paraId="1099E137" w14:textId="02A05B5D"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Other </w:t>
            </w:r>
            <w:r w:rsidR="00936B07" w:rsidRPr="00757D20">
              <w:rPr>
                <w:rFonts w:cs="Arial"/>
              </w:rPr>
              <w:t>m</w:t>
            </w:r>
            <w:r w:rsidRPr="00757D20">
              <w:rPr>
                <w:rFonts w:cs="Arial"/>
              </w:rPr>
              <w:t xml:space="preserve">iscellaneous </w:t>
            </w:r>
            <w:r w:rsidR="00936B07" w:rsidRPr="00757D20">
              <w:rPr>
                <w:rFonts w:cs="Arial"/>
              </w:rPr>
              <w:t>t</w:t>
            </w:r>
            <w:r w:rsidRPr="00757D20">
              <w:rPr>
                <w:rFonts w:cs="Arial"/>
              </w:rPr>
              <w:t xml:space="preserve">echnicians and </w:t>
            </w:r>
            <w:r w:rsidR="00936B07" w:rsidRPr="00757D20">
              <w:rPr>
                <w:rFonts w:cs="Arial"/>
              </w:rPr>
              <w:t>t</w:t>
            </w:r>
            <w:r w:rsidRPr="00757D20">
              <w:rPr>
                <w:rFonts w:cs="Arial"/>
              </w:rPr>
              <w:t xml:space="preserve">rades </w:t>
            </w:r>
            <w:r w:rsidR="00936B07" w:rsidRPr="00757D20">
              <w:rPr>
                <w:rFonts w:cs="Arial"/>
              </w:rPr>
              <w:t>w</w:t>
            </w:r>
            <w:r w:rsidRPr="00757D20">
              <w:rPr>
                <w:rFonts w:cs="Arial"/>
              </w:rPr>
              <w:t>orkers</w:t>
            </w:r>
          </w:p>
        </w:tc>
        <w:tc>
          <w:tcPr>
            <w:tcW w:w="567" w:type="dxa"/>
            <w:noWrap/>
            <w:hideMark/>
          </w:tcPr>
          <w:p w14:paraId="7A61B75F"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11C4A0CA"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192B4B6C" w14:textId="77777777" w:rsidTr="00D017A0">
        <w:trPr>
          <w:trHeight w:val="300"/>
        </w:trPr>
        <w:tc>
          <w:tcPr>
            <w:tcW w:w="5954" w:type="dxa"/>
            <w:noWrap/>
            <w:hideMark/>
          </w:tcPr>
          <w:p w14:paraId="594C33E2" w14:textId="2EC3C3AD"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Sales </w:t>
            </w:r>
            <w:r w:rsidR="00936B07" w:rsidRPr="00757D20">
              <w:rPr>
                <w:rFonts w:cs="Arial"/>
              </w:rPr>
              <w:t>a</w:t>
            </w:r>
            <w:r w:rsidRPr="00757D20">
              <w:rPr>
                <w:rFonts w:cs="Arial"/>
              </w:rPr>
              <w:t>ssistants (</w:t>
            </w:r>
            <w:r w:rsidR="00936B07" w:rsidRPr="00757D20">
              <w:rPr>
                <w:rFonts w:cs="Arial"/>
              </w:rPr>
              <w:t>g</w:t>
            </w:r>
            <w:r w:rsidRPr="00757D20">
              <w:rPr>
                <w:rFonts w:cs="Arial"/>
              </w:rPr>
              <w:t>eneral)</w:t>
            </w:r>
          </w:p>
        </w:tc>
        <w:tc>
          <w:tcPr>
            <w:tcW w:w="567" w:type="dxa"/>
            <w:noWrap/>
            <w:hideMark/>
          </w:tcPr>
          <w:p w14:paraId="5B6F560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5943CD6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51002D81" w14:textId="77777777" w:rsidTr="00D017A0">
        <w:trPr>
          <w:trHeight w:val="300"/>
        </w:trPr>
        <w:tc>
          <w:tcPr>
            <w:tcW w:w="5954" w:type="dxa"/>
            <w:noWrap/>
            <w:hideMark/>
          </w:tcPr>
          <w:p w14:paraId="2CF93CC3" w14:textId="6ED8686C"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Visual </w:t>
            </w:r>
            <w:r w:rsidR="00936B07" w:rsidRPr="00757D20">
              <w:rPr>
                <w:rFonts w:cs="Arial"/>
              </w:rPr>
              <w:t>a</w:t>
            </w:r>
            <w:r w:rsidRPr="00757D20">
              <w:rPr>
                <w:rFonts w:cs="Arial"/>
              </w:rPr>
              <w:t xml:space="preserve">rts and </w:t>
            </w:r>
            <w:r w:rsidR="00936B07" w:rsidRPr="00757D20">
              <w:rPr>
                <w:rFonts w:cs="Arial"/>
              </w:rPr>
              <w:t>c</w:t>
            </w:r>
            <w:r w:rsidRPr="00757D20">
              <w:rPr>
                <w:rFonts w:cs="Arial"/>
              </w:rPr>
              <w:t xml:space="preserve">rafts </w:t>
            </w:r>
            <w:r w:rsidR="00936B07" w:rsidRPr="00757D20">
              <w:rPr>
                <w:rFonts w:cs="Arial"/>
              </w:rPr>
              <w:t>p</w:t>
            </w:r>
            <w:r w:rsidRPr="00757D20">
              <w:rPr>
                <w:rFonts w:cs="Arial"/>
              </w:rPr>
              <w:t>rofessionals</w:t>
            </w:r>
          </w:p>
        </w:tc>
        <w:tc>
          <w:tcPr>
            <w:tcW w:w="567" w:type="dxa"/>
            <w:noWrap/>
            <w:hideMark/>
          </w:tcPr>
          <w:p w14:paraId="709CC61A"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3</w:t>
            </w:r>
          </w:p>
        </w:tc>
        <w:tc>
          <w:tcPr>
            <w:tcW w:w="1927" w:type="dxa"/>
            <w:noWrap/>
            <w:hideMark/>
          </w:tcPr>
          <w:p w14:paraId="4968B54D"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1.72</w:t>
            </w:r>
          </w:p>
        </w:tc>
      </w:tr>
      <w:tr w:rsidR="00C055DD" w:rsidRPr="00757D20" w14:paraId="5323A350" w14:textId="77777777" w:rsidTr="00D017A0">
        <w:trPr>
          <w:trHeight w:val="300"/>
        </w:trPr>
        <w:tc>
          <w:tcPr>
            <w:tcW w:w="5954" w:type="dxa"/>
            <w:noWrap/>
            <w:hideMark/>
          </w:tcPr>
          <w:p w14:paraId="0EDE823C" w14:textId="52A9473A"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Actors, </w:t>
            </w:r>
            <w:r w:rsidR="00936B07" w:rsidRPr="00757D20">
              <w:rPr>
                <w:rFonts w:cs="Arial"/>
              </w:rPr>
              <w:t>d</w:t>
            </w:r>
            <w:r w:rsidRPr="00757D20">
              <w:rPr>
                <w:rFonts w:cs="Arial"/>
              </w:rPr>
              <w:t>ancers</w:t>
            </w:r>
            <w:r w:rsidR="00936B07" w:rsidRPr="00757D20">
              <w:rPr>
                <w:rFonts w:cs="Arial"/>
              </w:rPr>
              <w:t>,</w:t>
            </w:r>
            <w:r w:rsidRPr="00757D20">
              <w:rPr>
                <w:rFonts w:cs="Arial"/>
              </w:rPr>
              <w:t xml:space="preserve"> and </w:t>
            </w:r>
            <w:r w:rsidR="00936B07" w:rsidRPr="00757D20">
              <w:rPr>
                <w:rFonts w:cs="Arial"/>
              </w:rPr>
              <w:t>o</w:t>
            </w:r>
            <w:r w:rsidRPr="00757D20">
              <w:rPr>
                <w:rFonts w:cs="Arial"/>
              </w:rPr>
              <w:t xml:space="preserve">ther </w:t>
            </w:r>
            <w:r w:rsidR="00936B07" w:rsidRPr="00757D20">
              <w:rPr>
                <w:rFonts w:cs="Arial"/>
              </w:rPr>
              <w:t>e</w:t>
            </w:r>
            <w:r w:rsidRPr="00757D20">
              <w:rPr>
                <w:rFonts w:cs="Arial"/>
              </w:rPr>
              <w:t>ntertainers</w:t>
            </w:r>
          </w:p>
        </w:tc>
        <w:tc>
          <w:tcPr>
            <w:tcW w:w="567" w:type="dxa"/>
            <w:noWrap/>
            <w:hideMark/>
          </w:tcPr>
          <w:p w14:paraId="0936FF82"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1DF4CB30"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04998BCA" w14:textId="77777777" w:rsidTr="00D017A0">
        <w:trPr>
          <w:trHeight w:val="300"/>
        </w:trPr>
        <w:tc>
          <w:tcPr>
            <w:tcW w:w="5954" w:type="dxa"/>
            <w:noWrap/>
            <w:hideMark/>
          </w:tcPr>
          <w:p w14:paraId="193D1AB8" w14:textId="24DE21E3"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Artistic </w:t>
            </w:r>
            <w:r w:rsidR="00936B07" w:rsidRPr="00757D20">
              <w:rPr>
                <w:rFonts w:cs="Arial"/>
              </w:rPr>
              <w:t>d</w:t>
            </w:r>
            <w:r w:rsidRPr="00757D20">
              <w:rPr>
                <w:rFonts w:cs="Arial"/>
              </w:rPr>
              <w:t xml:space="preserve">irectors, and </w:t>
            </w:r>
            <w:r w:rsidR="00936B07" w:rsidRPr="00757D20">
              <w:rPr>
                <w:rFonts w:cs="Arial"/>
              </w:rPr>
              <w:t>m</w:t>
            </w:r>
            <w:r w:rsidRPr="00757D20">
              <w:rPr>
                <w:rFonts w:cs="Arial"/>
              </w:rPr>
              <w:t xml:space="preserve">edia </w:t>
            </w:r>
            <w:r w:rsidR="00936B07" w:rsidRPr="00757D20">
              <w:rPr>
                <w:rFonts w:cs="Arial"/>
              </w:rPr>
              <w:t>p</w:t>
            </w:r>
            <w:r w:rsidRPr="00757D20">
              <w:rPr>
                <w:rFonts w:cs="Arial"/>
              </w:rPr>
              <w:t xml:space="preserve">roducers and </w:t>
            </w:r>
            <w:r w:rsidR="00936B07" w:rsidRPr="00757D20">
              <w:rPr>
                <w:rFonts w:cs="Arial"/>
              </w:rPr>
              <w:t>p</w:t>
            </w:r>
            <w:r w:rsidRPr="00757D20">
              <w:rPr>
                <w:rFonts w:cs="Arial"/>
              </w:rPr>
              <w:t>resenters</w:t>
            </w:r>
          </w:p>
        </w:tc>
        <w:tc>
          <w:tcPr>
            <w:tcW w:w="567" w:type="dxa"/>
            <w:noWrap/>
            <w:hideMark/>
          </w:tcPr>
          <w:p w14:paraId="5836B279"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4569BD8C"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59351C34" w14:textId="77777777" w:rsidTr="00D017A0">
        <w:trPr>
          <w:trHeight w:val="300"/>
        </w:trPr>
        <w:tc>
          <w:tcPr>
            <w:tcW w:w="5954" w:type="dxa"/>
            <w:noWrap/>
            <w:hideMark/>
          </w:tcPr>
          <w:p w14:paraId="11947564" w14:textId="0157DDEF"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 xml:space="preserve">Carpenters and </w:t>
            </w:r>
            <w:r w:rsidR="00936B07" w:rsidRPr="00757D20">
              <w:rPr>
                <w:rFonts w:cs="Arial"/>
              </w:rPr>
              <w:t>j</w:t>
            </w:r>
            <w:r w:rsidRPr="00757D20">
              <w:rPr>
                <w:rFonts w:cs="Arial"/>
              </w:rPr>
              <w:t>oiners</w:t>
            </w:r>
          </w:p>
        </w:tc>
        <w:tc>
          <w:tcPr>
            <w:tcW w:w="567" w:type="dxa"/>
            <w:noWrap/>
            <w:hideMark/>
          </w:tcPr>
          <w:p w14:paraId="076828DE"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41F46E37"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19159BFE" w14:textId="77777777" w:rsidTr="00D017A0">
        <w:trPr>
          <w:trHeight w:val="300"/>
        </w:trPr>
        <w:tc>
          <w:tcPr>
            <w:tcW w:w="5954" w:type="dxa"/>
            <w:noWrap/>
            <w:hideMark/>
          </w:tcPr>
          <w:p w14:paraId="6587EA21"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Electricians</w:t>
            </w:r>
          </w:p>
        </w:tc>
        <w:tc>
          <w:tcPr>
            <w:tcW w:w="567" w:type="dxa"/>
            <w:noWrap/>
            <w:hideMark/>
          </w:tcPr>
          <w:p w14:paraId="2A2DDBC4"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3C54B7A2"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4DC2DE8C" w14:textId="77777777" w:rsidTr="00D017A0">
        <w:trPr>
          <w:trHeight w:val="300"/>
        </w:trPr>
        <w:tc>
          <w:tcPr>
            <w:tcW w:w="5954" w:type="dxa"/>
            <w:noWrap/>
            <w:hideMark/>
          </w:tcPr>
          <w:p w14:paraId="6D0E2674"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Inconclusive</w:t>
            </w:r>
          </w:p>
        </w:tc>
        <w:tc>
          <w:tcPr>
            <w:tcW w:w="567" w:type="dxa"/>
            <w:noWrap/>
            <w:hideMark/>
          </w:tcPr>
          <w:p w14:paraId="52E61F69"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614FCEF1"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2961E0D7" w14:textId="77777777" w:rsidTr="00D017A0">
        <w:trPr>
          <w:trHeight w:val="300"/>
        </w:trPr>
        <w:tc>
          <w:tcPr>
            <w:tcW w:w="5954" w:type="dxa"/>
            <w:noWrap/>
            <w:hideMark/>
          </w:tcPr>
          <w:p w14:paraId="47E08962"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Librarians</w:t>
            </w:r>
          </w:p>
        </w:tc>
        <w:tc>
          <w:tcPr>
            <w:tcW w:w="567" w:type="dxa"/>
            <w:noWrap/>
            <w:hideMark/>
          </w:tcPr>
          <w:p w14:paraId="0C035D5B"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78211CFC"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r w:rsidR="00C055DD" w:rsidRPr="00757D20" w14:paraId="01B7E006" w14:textId="77777777" w:rsidTr="00D017A0">
        <w:trPr>
          <w:trHeight w:val="300"/>
        </w:trPr>
        <w:tc>
          <w:tcPr>
            <w:tcW w:w="5954" w:type="dxa"/>
            <w:noWrap/>
            <w:hideMark/>
          </w:tcPr>
          <w:p w14:paraId="2AFB6429" w14:textId="77777777" w:rsidR="00C055DD" w:rsidRPr="00757D20" w:rsidRDefault="00C055DD" w:rsidP="00BF7169">
            <w:pPr>
              <w:keepNext/>
              <w:keepLines/>
              <w:spacing w:after="0" w:line="240" w:lineRule="auto"/>
              <w:rPr>
                <w:rFonts w:eastAsia="Times New Roman" w:cs="Arial"/>
                <w:color w:val="000000"/>
                <w:kern w:val="0"/>
                <w:lang w:eastAsia="en-AU"/>
                <w14:ligatures w14:val="none"/>
              </w:rPr>
            </w:pPr>
            <w:r w:rsidRPr="00757D20">
              <w:rPr>
                <w:rFonts w:cs="Arial"/>
              </w:rPr>
              <w:t>Plumbers</w:t>
            </w:r>
          </w:p>
        </w:tc>
        <w:tc>
          <w:tcPr>
            <w:tcW w:w="567" w:type="dxa"/>
            <w:noWrap/>
            <w:hideMark/>
          </w:tcPr>
          <w:p w14:paraId="093E3A63"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2</w:t>
            </w:r>
          </w:p>
        </w:tc>
        <w:tc>
          <w:tcPr>
            <w:tcW w:w="1927" w:type="dxa"/>
            <w:noWrap/>
            <w:hideMark/>
          </w:tcPr>
          <w:p w14:paraId="33529200" w14:textId="77777777" w:rsidR="00C055DD" w:rsidRPr="00757D20" w:rsidRDefault="00C055DD" w:rsidP="00BF7169">
            <w:pPr>
              <w:keepNext/>
              <w:keepLines/>
              <w:spacing w:after="0" w:line="240" w:lineRule="auto"/>
              <w:jc w:val="right"/>
              <w:rPr>
                <w:rFonts w:eastAsia="Times New Roman" w:cs="Arial"/>
                <w:color w:val="000000"/>
                <w:kern w:val="0"/>
                <w:lang w:eastAsia="en-AU"/>
                <w14:ligatures w14:val="none"/>
              </w:rPr>
            </w:pPr>
            <w:r w:rsidRPr="00757D20">
              <w:rPr>
                <w:rFonts w:cs="Arial"/>
              </w:rPr>
              <w:t>1.15</w:t>
            </w:r>
          </w:p>
        </w:tc>
      </w:tr>
    </w:tbl>
    <w:p w14:paraId="0619E760" w14:textId="77777777" w:rsidR="00C055DD" w:rsidRPr="00757D20" w:rsidRDefault="00C055DD" w:rsidP="00C055DD">
      <w:pPr>
        <w:keepNext/>
        <w:keepLines/>
      </w:pPr>
    </w:p>
    <w:p w14:paraId="6CFECED4" w14:textId="77777777" w:rsidR="00A11571" w:rsidRDefault="00A11571">
      <w:pPr>
        <w:spacing w:line="259" w:lineRule="auto"/>
        <w:rPr>
          <w:rFonts w:eastAsiaTheme="majorEastAsia" w:cstheme="majorBidi"/>
          <w:color w:val="6B3B57"/>
          <w:sz w:val="40"/>
          <w:szCs w:val="40"/>
          <w:lang w:eastAsia="en-AU"/>
        </w:rPr>
      </w:pPr>
      <w:r>
        <w:br w:type="page"/>
      </w:r>
    </w:p>
    <w:p w14:paraId="2ACE1343" w14:textId="697C9F79" w:rsidR="00C055DD" w:rsidRPr="00757D20" w:rsidRDefault="0072264F" w:rsidP="008C33BF">
      <w:pPr>
        <w:pStyle w:val="Heading2"/>
      </w:pPr>
      <w:bookmarkStart w:id="45" w:name="_Toc219977213"/>
      <w:r w:rsidRPr="00757D20">
        <w:lastRenderedPageBreak/>
        <w:t>Summary</w:t>
      </w:r>
      <w:r w:rsidR="005609D6" w:rsidRPr="00757D20">
        <w:t>: Quantitative findings</w:t>
      </w:r>
      <w:bookmarkEnd w:id="45"/>
    </w:p>
    <w:p w14:paraId="7A9A047B" w14:textId="2038050D" w:rsidR="0072264F" w:rsidRPr="00757D20" w:rsidRDefault="005C7C37" w:rsidP="00C055DD">
      <w:pPr>
        <w:spacing w:line="259" w:lineRule="auto"/>
      </w:pPr>
      <w:r w:rsidRPr="00757D20">
        <w:t xml:space="preserve">Overall, the quantitative findings </w:t>
      </w:r>
      <w:r w:rsidR="0072264F" w:rsidRPr="00757D20">
        <w:t>illustrate clear aspirations among many students for higher education, with university emerging as the most frequently cited goal. However, levels of aspiration vary notably by both school ICSEA and geographic location, with students from lower</w:t>
      </w:r>
      <w:r w:rsidR="007074E2" w:rsidRPr="00757D20">
        <w:t>-</w:t>
      </w:r>
      <w:r w:rsidR="0072264F" w:rsidRPr="00757D20">
        <w:t>ICSEA schools and regional areas more likely to express uncertainty or lean toward vocational or secondary pathways. These patterns highlight the ongoing influence of socio</w:t>
      </w:r>
      <w:r w:rsidR="007074E2" w:rsidRPr="00757D20">
        <w:t>-</w:t>
      </w:r>
      <w:r w:rsidR="0072264F" w:rsidRPr="00757D20">
        <w:t>economic and geographic factors on students’ educational trajectories</w:t>
      </w:r>
      <w:r w:rsidR="00AF1E58" w:rsidRPr="00757D20">
        <w:t xml:space="preserve"> </w:t>
      </w:r>
      <w:r w:rsidR="00AF1E58" w:rsidRPr="00757D20">
        <w:fldChar w:fldCharType="begin">
          <w:fldData xml:space="preserve">PEVuZE5vdGU+PENpdGU+PEF1dGhvcj5NYXJrczwvQXV0aG9yPjxZZWFyPjIwMTc8L1llYXI+PFJl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</w:fldData>
        </w:fldChar>
      </w:r>
      <w:r w:rsidR="00C222A0" w:rsidRPr="00757D20">
        <w:instrText xml:space="preserve"> ADDIN EN.CITE </w:instrText>
      </w:r>
      <w:r w:rsidR="00C222A0" w:rsidRPr="00757D20">
        <w:fldChar w:fldCharType="begin">
          <w:fldData xml:space="preserve">PEVuZE5vdGU+PENpdGU+PEF1dGhvcj5NYXJrczwvQXV0aG9yPjxZZWFyPjIwMTc8L1llYXI+PFJl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</w:fldData>
        </w:fldChar>
      </w:r>
      <w:r w:rsidR="00C222A0" w:rsidRPr="00757D20">
        <w:instrText xml:space="preserve"> ADDIN EN.CITE.DATA </w:instrText>
      </w:r>
      <w:r w:rsidR="00C222A0" w:rsidRPr="00757D20">
        <w:fldChar w:fldCharType="end"/>
      </w:r>
      <w:r w:rsidR="00AF1E58" w:rsidRPr="00757D20">
        <w:fldChar w:fldCharType="separate"/>
      </w:r>
      <w:r w:rsidR="00C222A0" w:rsidRPr="00757D20">
        <w:rPr>
          <w:noProof/>
        </w:rPr>
        <w:t>(Cooper et al., 2017; Marks, 2017; Webb et al., 2015)</w:t>
      </w:r>
      <w:r w:rsidR="00AF1E58" w:rsidRPr="00757D20">
        <w:fldChar w:fldCharType="end"/>
      </w:r>
      <w:r w:rsidR="0072264F" w:rsidRPr="00757D20">
        <w:t xml:space="preserve">. The diversity of career aspirations further reflects a broad range of interests, though many are clustered around professions requiring post-secondary qualifications. </w:t>
      </w:r>
      <w:r w:rsidR="00082988" w:rsidRPr="00757D20">
        <w:t xml:space="preserve">Given the limited sample size of the survey data, </w:t>
      </w:r>
      <w:r w:rsidR="00C61EF7" w:rsidRPr="00757D20">
        <w:t xml:space="preserve">the longitudinal case studies provide deeper insights </w:t>
      </w:r>
      <w:r w:rsidR="00C14421" w:rsidRPr="00757D20">
        <w:t xml:space="preserve">into these </w:t>
      </w:r>
      <w:proofErr w:type="gramStart"/>
      <w:r w:rsidR="002B69D2" w:rsidRPr="00757D20">
        <w:t>trends</w:t>
      </w:r>
      <w:r w:rsidR="00311A8A" w:rsidRPr="00757D20">
        <w:t>,</w:t>
      </w:r>
      <w:proofErr w:type="gramEnd"/>
      <w:r w:rsidR="00311A8A" w:rsidRPr="00757D20">
        <w:t xml:space="preserve"> while also </w:t>
      </w:r>
      <w:r w:rsidR="00F249BE" w:rsidRPr="00757D20">
        <w:t>bringing to light how economic, socio-political, and environmental changes are affecting the aspirations of young people today.</w:t>
      </w:r>
    </w:p>
    <w:p w14:paraId="6927BF34" w14:textId="43A22938" w:rsidR="00616FFC" w:rsidRPr="00757D20" w:rsidRDefault="00616FFC" w:rsidP="008E1A9D">
      <w:r w:rsidRPr="00757D20">
        <w:br w:type="page"/>
      </w:r>
    </w:p>
    <w:p w14:paraId="17886ECF" w14:textId="623A1440" w:rsidR="003338B4" w:rsidRPr="00757D20" w:rsidRDefault="003338B4" w:rsidP="003338B4">
      <w:pPr>
        <w:pStyle w:val="Heading1"/>
      </w:pPr>
      <w:bookmarkStart w:id="46" w:name="_Toc219977214"/>
      <w:r w:rsidRPr="00757D20">
        <w:lastRenderedPageBreak/>
        <w:t>Longitudinal case studies</w:t>
      </w:r>
      <w:bookmarkEnd w:id="46"/>
    </w:p>
    <w:p w14:paraId="3A1A75EF" w14:textId="75B64F81" w:rsidR="00464D43" w:rsidRPr="00757D20" w:rsidRDefault="00464D43" w:rsidP="00464D43">
      <w:r w:rsidRPr="00757D20">
        <w:t xml:space="preserve">Each case study begins with a </w:t>
      </w:r>
      <w:r w:rsidR="00541E06" w:rsidRPr="00757D20">
        <w:t>“</w:t>
      </w:r>
      <w:r w:rsidRPr="00757D20">
        <w:t>snapshot</w:t>
      </w:r>
      <w:r w:rsidR="00541E06" w:rsidRPr="00757D20">
        <w:t>”</w:t>
      </w:r>
      <w:r w:rsidRPr="00757D20">
        <w:t xml:space="preserve"> of the school and its broader community, highlighting any changes over time. The data sources drawn on here align with the dates of data collection from the</w:t>
      </w:r>
      <w:r w:rsidR="00A11571">
        <w:t xml:space="preserve"> whole of the</w:t>
      </w:r>
      <w:r w:rsidRPr="00757D20">
        <w:t xml:space="preserve"> </w:t>
      </w:r>
      <w:r w:rsidRPr="00A11571">
        <w:rPr>
          <w:i/>
          <w:iCs/>
        </w:rPr>
        <w:t>Aspirations</w:t>
      </w:r>
      <w:r w:rsidRPr="00757D20">
        <w:t xml:space="preserve"> program of work, with MySchool data </w:t>
      </w:r>
      <w:r w:rsidR="005565AE" w:rsidRPr="0051649D">
        <w:rPr>
          <w:rFonts w:hint="eastAsia"/>
        </w:rPr>
        <w:t>(ACARA, 2025)</w:t>
      </w:r>
      <w:r w:rsidR="005565AE" w:rsidRPr="00757D20">
        <w:rPr>
          <w:rStyle w:val="cf01"/>
          <w:rFonts w:asciiTheme="minorHAnsi" w:eastAsiaTheme="majorEastAsia" w:hAnsiTheme="minorHAnsi"/>
          <w:sz w:val="22"/>
          <w:szCs w:val="22"/>
        </w:rPr>
        <w:t xml:space="preserve"> </w:t>
      </w:r>
      <w:r w:rsidRPr="00757D20">
        <w:t xml:space="preserve">used for each relevant year of data collection at the school level, and the most recent ABS census </w:t>
      </w:r>
      <w:r w:rsidRPr="00757D20">
        <w:rPr>
          <w:rFonts w:cs="Arial"/>
        </w:rPr>
        <w:t xml:space="preserve">data </w:t>
      </w:r>
      <w:r w:rsidR="005565AE" w:rsidRPr="0051649D">
        <w:rPr>
          <w:rStyle w:val="cf01"/>
          <w:rFonts w:ascii="Arial" w:eastAsiaTheme="majorEastAsia" w:hAnsi="Arial" w:cs="Arial" w:hint="eastAsia"/>
          <w:sz w:val="22"/>
          <w:szCs w:val="22"/>
        </w:rPr>
        <w:t>(</w:t>
      </w:r>
      <w:r w:rsidR="005565AE" w:rsidRPr="0051649D">
        <w:rPr>
          <w:rFonts w:hint="eastAsia"/>
        </w:rPr>
        <w:t>ABS, 2022)</w:t>
      </w:r>
      <w:r w:rsidR="005565AE" w:rsidRPr="00757D20">
        <w:rPr>
          <w:rStyle w:val="cf01"/>
          <w:rFonts w:asciiTheme="minorHAnsi" w:eastAsiaTheme="majorEastAsia" w:hAnsiTheme="minorHAnsi"/>
          <w:sz w:val="22"/>
          <w:szCs w:val="22"/>
        </w:rPr>
        <w:t xml:space="preserve"> </w:t>
      </w:r>
      <w:r w:rsidRPr="00757D20">
        <w:t>used to reflect community characteristics over the same period of time.</w:t>
      </w:r>
    </w:p>
    <w:p w14:paraId="0A183ACD" w14:textId="63FBF83A" w:rsidR="000477A0" w:rsidRPr="00757D20" w:rsidRDefault="00296238" w:rsidP="00D618E7">
      <w:pPr>
        <w:rPr>
          <w:rFonts w:cs="Arial"/>
        </w:rPr>
      </w:pPr>
      <w:r w:rsidRPr="00757D20">
        <w:t xml:space="preserve">In terms of the census data, </w:t>
      </w:r>
      <w:r w:rsidR="0051268F" w:rsidRPr="00757D20">
        <w:t>information is presented on the educational attainment levels of community members, along with their distribution across occupational categories, classified according to ANZSCO</w:t>
      </w:r>
      <w:r w:rsidR="007074E2" w:rsidRPr="00757D20">
        <w:t xml:space="preserve"> </w:t>
      </w:r>
      <w:r w:rsidR="007074E2" w:rsidRPr="00757D20">
        <w:rPr>
          <w:rStyle w:val="cf01"/>
          <w:rFonts w:ascii="Arial" w:hAnsi="Arial" w:cstheme="minorBidi"/>
          <w:sz w:val="22"/>
          <w:szCs w:val="22"/>
        </w:rPr>
        <w:t>(ABS, 2022)</w:t>
      </w:r>
      <w:r w:rsidR="0051268F" w:rsidRPr="00757D20">
        <w:t>. The occupational categories include:</w:t>
      </w:r>
    </w:p>
    <w:p w14:paraId="21E397FB" w14:textId="2F4E5DE1" w:rsidR="000636DB"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l</w:t>
      </w:r>
      <w:r w:rsidR="000A41CC" w:rsidRPr="00757D20">
        <w:rPr>
          <w:rStyle w:val="cf01"/>
          <w:rFonts w:ascii="Arial" w:hAnsi="Arial" w:cstheme="minorBidi"/>
          <w:sz w:val="22"/>
          <w:szCs w:val="22"/>
        </w:rPr>
        <w:t>abourers</w:t>
      </w:r>
    </w:p>
    <w:p w14:paraId="4AE3C661" w14:textId="541CEA0C" w:rsidR="000A41CC"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m</w:t>
      </w:r>
      <w:r w:rsidR="000A41CC" w:rsidRPr="00757D20">
        <w:rPr>
          <w:rStyle w:val="cf01"/>
          <w:rFonts w:ascii="Arial" w:hAnsi="Arial" w:cstheme="minorBidi"/>
          <w:sz w:val="22"/>
          <w:szCs w:val="22"/>
        </w:rPr>
        <w:t xml:space="preserve">achinery </w:t>
      </w:r>
      <w:r w:rsidRPr="00757D20">
        <w:rPr>
          <w:rStyle w:val="cf01"/>
          <w:rFonts w:ascii="Arial" w:hAnsi="Arial" w:cstheme="minorBidi"/>
          <w:sz w:val="22"/>
          <w:szCs w:val="22"/>
        </w:rPr>
        <w:t>o</w:t>
      </w:r>
      <w:r w:rsidR="000A41CC" w:rsidRPr="00757D20">
        <w:rPr>
          <w:rStyle w:val="cf01"/>
          <w:rFonts w:ascii="Arial" w:hAnsi="Arial" w:cstheme="minorBidi"/>
          <w:sz w:val="22"/>
          <w:szCs w:val="22"/>
        </w:rPr>
        <w:t xml:space="preserve">perators and </w:t>
      </w:r>
      <w:r w:rsidRPr="00757D20">
        <w:rPr>
          <w:rStyle w:val="cf01"/>
          <w:rFonts w:ascii="Arial" w:hAnsi="Arial" w:cstheme="minorBidi"/>
          <w:sz w:val="22"/>
          <w:szCs w:val="22"/>
        </w:rPr>
        <w:t>d</w:t>
      </w:r>
      <w:r w:rsidR="000A41CC" w:rsidRPr="00757D20">
        <w:rPr>
          <w:rStyle w:val="cf01"/>
          <w:rFonts w:ascii="Arial" w:hAnsi="Arial" w:cstheme="minorBidi"/>
          <w:sz w:val="22"/>
          <w:szCs w:val="22"/>
        </w:rPr>
        <w:t>rivers</w:t>
      </w:r>
    </w:p>
    <w:p w14:paraId="1C0A8F25" w14:textId="145C71B5" w:rsidR="000A41CC"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s</w:t>
      </w:r>
      <w:r w:rsidR="000A41CC" w:rsidRPr="00757D20">
        <w:rPr>
          <w:rStyle w:val="cf01"/>
          <w:rFonts w:ascii="Arial" w:hAnsi="Arial" w:cstheme="minorBidi"/>
          <w:sz w:val="22"/>
          <w:szCs w:val="22"/>
        </w:rPr>
        <w:t xml:space="preserve">ales </w:t>
      </w:r>
      <w:r w:rsidRPr="00757D20">
        <w:rPr>
          <w:rStyle w:val="cf01"/>
          <w:rFonts w:ascii="Arial" w:hAnsi="Arial" w:cstheme="minorBidi"/>
          <w:sz w:val="22"/>
          <w:szCs w:val="22"/>
        </w:rPr>
        <w:t>w</w:t>
      </w:r>
      <w:r w:rsidR="000A41CC" w:rsidRPr="00757D20">
        <w:rPr>
          <w:rStyle w:val="cf01"/>
          <w:rFonts w:ascii="Arial" w:hAnsi="Arial" w:cstheme="minorBidi"/>
          <w:sz w:val="22"/>
          <w:szCs w:val="22"/>
        </w:rPr>
        <w:t>orkers</w:t>
      </w:r>
    </w:p>
    <w:p w14:paraId="31424BCB" w14:textId="7CF7FDF3" w:rsidR="000A41CC"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c</w:t>
      </w:r>
      <w:r w:rsidR="000A41CC" w:rsidRPr="00757D20">
        <w:rPr>
          <w:rStyle w:val="cf01"/>
          <w:rFonts w:ascii="Arial" w:hAnsi="Arial" w:cstheme="minorBidi"/>
          <w:sz w:val="22"/>
          <w:szCs w:val="22"/>
        </w:rPr>
        <w:t xml:space="preserve">lerical and </w:t>
      </w:r>
      <w:r w:rsidRPr="00757D20">
        <w:rPr>
          <w:rStyle w:val="cf01"/>
          <w:rFonts w:ascii="Arial" w:hAnsi="Arial" w:cstheme="minorBidi"/>
          <w:sz w:val="22"/>
          <w:szCs w:val="22"/>
        </w:rPr>
        <w:t>a</w:t>
      </w:r>
      <w:r w:rsidR="000A41CC" w:rsidRPr="00757D20">
        <w:rPr>
          <w:rStyle w:val="cf01"/>
          <w:rFonts w:ascii="Arial" w:hAnsi="Arial" w:cstheme="minorBidi"/>
          <w:sz w:val="22"/>
          <w:szCs w:val="22"/>
        </w:rPr>
        <w:t xml:space="preserve">dministrative </w:t>
      </w:r>
      <w:r w:rsidRPr="00757D20">
        <w:rPr>
          <w:rStyle w:val="cf01"/>
          <w:rFonts w:ascii="Arial" w:hAnsi="Arial" w:cstheme="minorBidi"/>
          <w:sz w:val="22"/>
          <w:szCs w:val="22"/>
        </w:rPr>
        <w:t>s</w:t>
      </w:r>
      <w:r w:rsidR="000A41CC" w:rsidRPr="00757D20">
        <w:rPr>
          <w:rStyle w:val="cf01"/>
          <w:rFonts w:ascii="Arial" w:hAnsi="Arial" w:cstheme="minorBidi"/>
          <w:sz w:val="22"/>
          <w:szCs w:val="22"/>
        </w:rPr>
        <w:t xml:space="preserve">ales </w:t>
      </w:r>
      <w:r w:rsidRPr="00757D20">
        <w:rPr>
          <w:rStyle w:val="cf01"/>
          <w:rFonts w:ascii="Arial" w:hAnsi="Arial" w:cstheme="minorBidi"/>
          <w:sz w:val="22"/>
          <w:szCs w:val="22"/>
        </w:rPr>
        <w:t>w</w:t>
      </w:r>
      <w:r w:rsidR="000A41CC" w:rsidRPr="00757D20">
        <w:rPr>
          <w:rStyle w:val="cf01"/>
          <w:rFonts w:ascii="Arial" w:hAnsi="Arial" w:cstheme="minorBidi"/>
          <w:sz w:val="22"/>
          <w:szCs w:val="22"/>
        </w:rPr>
        <w:t>orkers</w:t>
      </w:r>
    </w:p>
    <w:p w14:paraId="7B73F56F" w14:textId="4B692800" w:rsidR="000A41CC"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c</w:t>
      </w:r>
      <w:r w:rsidR="000A41CC" w:rsidRPr="00757D20">
        <w:rPr>
          <w:rStyle w:val="cf01"/>
          <w:rFonts w:ascii="Arial" w:hAnsi="Arial" w:cstheme="minorBidi"/>
          <w:sz w:val="22"/>
          <w:szCs w:val="22"/>
        </w:rPr>
        <w:t xml:space="preserve">ommunity and </w:t>
      </w:r>
      <w:r w:rsidRPr="00757D20">
        <w:rPr>
          <w:rStyle w:val="cf01"/>
          <w:rFonts w:ascii="Arial" w:hAnsi="Arial" w:cstheme="minorBidi"/>
          <w:sz w:val="22"/>
          <w:szCs w:val="22"/>
        </w:rPr>
        <w:t>p</w:t>
      </w:r>
      <w:r w:rsidR="000A41CC" w:rsidRPr="00757D20">
        <w:rPr>
          <w:rStyle w:val="cf01"/>
          <w:rFonts w:ascii="Arial" w:hAnsi="Arial" w:cstheme="minorBidi"/>
          <w:sz w:val="22"/>
          <w:szCs w:val="22"/>
        </w:rPr>
        <w:t xml:space="preserve">ersonal </w:t>
      </w:r>
      <w:r w:rsidRPr="00757D20">
        <w:rPr>
          <w:rStyle w:val="cf01"/>
          <w:rFonts w:ascii="Arial" w:hAnsi="Arial" w:cstheme="minorBidi"/>
          <w:sz w:val="22"/>
          <w:szCs w:val="22"/>
        </w:rPr>
        <w:t>s</w:t>
      </w:r>
      <w:r w:rsidR="000A41CC" w:rsidRPr="00757D20">
        <w:rPr>
          <w:rStyle w:val="cf01"/>
          <w:rFonts w:ascii="Arial" w:hAnsi="Arial" w:cstheme="minorBidi"/>
          <w:sz w:val="22"/>
          <w:szCs w:val="22"/>
        </w:rPr>
        <w:t xml:space="preserve">ervice </w:t>
      </w:r>
      <w:r w:rsidRPr="00757D20">
        <w:rPr>
          <w:rStyle w:val="cf01"/>
          <w:rFonts w:ascii="Arial" w:hAnsi="Arial" w:cstheme="minorBidi"/>
          <w:sz w:val="22"/>
          <w:szCs w:val="22"/>
        </w:rPr>
        <w:t>w</w:t>
      </w:r>
      <w:r w:rsidR="000A41CC" w:rsidRPr="00757D20">
        <w:rPr>
          <w:rStyle w:val="cf01"/>
          <w:rFonts w:ascii="Arial" w:hAnsi="Arial" w:cstheme="minorBidi"/>
          <w:sz w:val="22"/>
          <w:szCs w:val="22"/>
        </w:rPr>
        <w:t>orkers</w:t>
      </w:r>
    </w:p>
    <w:p w14:paraId="26C432A2" w14:textId="703A3B08" w:rsidR="000A41CC"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t</w:t>
      </w:r>
      <w:r w:rsidR="00C36C53" w:rsidRPr="00757D20">
        <w:rPr>
          <w:rStyle w:val="cf01"/>
          <w:rFonts w:ascii="Arial" w:hAnsi="Arial" w:cstheme="minorBidi"/>
          <w:sz w:val="22"/>
          <w:szCs w:val="22"/>
        </w:rPr>
        <w:t xml:space="preserve">echnicians and </w:t>
      </w:r>
      <w:r w:rsidRPr="00757D20">
        <w:rPr>
          <w:rStyle w:val="cf01"/>
          <w:rFonts w:ascii="Arial" w:hAnsi="Arial" w:cstheme="minorBidi"/>
          <w:sz w:val="22"/>
          <w:szCs w:val="22"/>
        </w:rPr>
        <w:t>t</w:t>
      </w:r>
      <w:r w:rsidR="00C36C53" w:rsidRPr="00757D20">
        <w:rPr>
          <w:rStyle w:val="cf01"/>
          <w:rFonts w:ascii="Arial" w:hAnsi="Arial" w:cstheme="minorBidi"/>
          <w:sz w:val="22"/>
          <w:szCs w:val="22"/>
        </w:rPr>
        <w:t xml:space="preserve">rades </w:t>
      </w:r>
      <w:r w:rsidRPr="00757D20">
        <w:rPr>
          <w:rStyle w:val="cf01"/>
          <w:rFonts w:ascii="Arial" w:hAnsi="Arial" w:cstheme="minorBidi"/>
          <w:sz w:val="22"/>
          <w:szCs w:val="22"/>
        </w:rPr>
        <w:t>w</w:t>
      </w:r>
      <w:r w:rsidR="00C36C53" w:rsidRPr="00757D20">
        <w:rPr>
          <w:rStyle w:val="cf01"/>
          <w:rFonts w:ascii="Arial" w:hAnsi="Arial" w:cstheme="minorBidi"/>
          <w:sz w:val="22"/>
          <w:szCs w:val="22"/>
        </w:rPr>
        <w:t>orkers</w:t>
      </w:r>
    </w:p>
    <w:p w14:paraId="500E13FC" w14:textId="68625CE4" w:rsidR="00C36C53"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p</w:t>
      </w:r>
      <w:r w:rsidR="00C36C53" w:rsidRPr="00757D20">
        <w:rPr>
          <w:rStyle w:val="cf01"/>
          <w:rFonts w:ascii="Arial" w:hAnsi="Arial" w:cstheme="minorBidi"/>
          <w:sz w:val="22"/>
          <w:szCs w:val="22"/>
        </w:rPr>
        <w:t>rofessionals</w:t>
      </w:r>
    </w:p>
    <w:p w14:paraId="4C81EACC" w14:textId="70786F39" w:rsidR="00C36C53" w:rsidRPr="00757D20" w:rsidRDefault="007074E2" w:rsidP="00D618E7">
      <w:pPr>
        <w:pStyle w:val="ListParagraph"/>
        <w:rPr>
          <w:rStyle w:val="cf01"/>
          <w:rFonts w:ascii="Arial" w:hAnsi="Arial" w:cstheme="minorBidi"/>
          <w:sz w:val="22"/>
          <w:szCs w:val="22"/>
        </w:rPr>
      </w:pPr>
      <w:r w:rsidRPr="00757D20">
        <w:rPr>
          <w:rStyle w:val="cf01"/>
          <w:rFonts w:ascii="Arial" w:hAnsi="Arial" w:cstheme="minorBidi"/>
          <w:sz w:val="22"/>
          <w:szCs w:val="22"/>
        </w:rPr>
        <w:t>m</w:t>
      </w:r>
      <w:r w:rsidR="00C36C53" w:rsidRPr="00757D20">
        <w:rPr>
          <w:rStyle w:val="cf01"/>
          <w:rFonts w:ascii="Arial" w:hAnsi="Arial" w:cstheme="minorBidi"/>
          <w:sz w:val="22"/>
          <w:szCs w:val="22"/>
        </w:rPr>
        <w:t>anagers</w:t>
      </w:r>
      <w:r w:rsidRPr="00757D20">
        <w:rPr>
          <w:rStyle w:val="cf01"/>
          <w:rFonts w:ascii="Arial" w:hAnsi="Arial" w:cstheme="minorBidi"/>
          <w:sz w:val="22"/>
          <w:szCs w:val="22"/>
        </w:rPr>
        <w:t>.</w:t>
      </w:r>
      <w:r w:rsidR="00C36C53" w:rsidRPr="00757D20">
        <w:rPr>
          <w:rStyle w:val="cf01"/>
          <w:rFonts w:ascii="Arial" w:hAnsi="Arial" w:cstheme="minorBidi"/>
          <w:sz w:val="22"/>
          <w:szCs w:val="22"/>
        </w:rPr>
        <w:t xml:space="preserve"> </w:t>
      </w:r>
    </w:p>
    <w:p w14:paraId="04BE81C7" w14:textId="01FFB8F7" w:rsidR="000477A0" w:rsidRPr="00757D20" w:rsidRDefault="000477A0" w:rsidP="00D618E7">
      <w:pPr>
        <w:rPr>
          <w:rStyle w:val="cf01"/>
          <w:rFonts w:ascii="Arial" w:eastAsiaTheme="majorEastAsia" w:hAnsi="Arial" w:cs="Arial"/>
          <w:sz w:val="22"/>
          <w:szCs w:val="22"/>
        </w:rPr>
      </w:pPr>
      <w:r w:rsidRPr="00757D20">
        <w:rPr>
          <w:rStyle w:val="cf01"/>
          <w:rFonts w:ascii="Arial" w:eastAsiaTheme="majorEastAsia" w:hAnsi="Arial" w:cs="Arial"/>
          <w:sz w:val="22"/>
          <w:szCs w:val="22"/>
        </w:rPr>
        <w:t>Finally, the top industries of employment are listed, to provide a finer grained account of employment in each community.</w:t>
      </w:r>
    </w:p>
    <w:p w14:paraId="2A089297" w14:textId="494864C7" w:rsidR="00E718EA" w:rsidRPr="00757D20" w:rsidRDefault="00E718EA" w:rsidP="000477A0">
      <w:pPr>
        <w:pStyle w:val="pf0"/>
        <w:rPr>
          <w:rStyle w:val="cf01"/>
          <w:rFonts w:asciiTheme="minorHAnsi" w:eastAsiaTheme="majorEastAsia" w:hAnsiTheme="minorHAnsi"/>
          <w:sz w:val="22"/>
          <w:szCs w:val="22"/>
        </w:rPr>
      </w:pPr>
      <w:r w:rsidRPr="00757D20">
        <w:rPr>
          <w:rStyle w:val="cf01"/>
          <w:rFonts w:asciiTheme="minorHAnsi" w:eastAsiaTheme="majorEastAsia" w:hAnsiTheme="minorHAnsi"/>
          <w:sz w:val="22"/>
          <w:szCs w:val="22"/>
        </w:rPr>
        <w:br/>
      </w:r>
    </w:p>
    <w:p w14:paraId="041489E3" w14:textId="77777777" w:rsidR="00E718EA" w:rsidRPr="00757D20" w:rsidRDefault="00E718EA">
      <w:pPr>
        <w:spacing w:line="259" w:lineRule="auto"/>
        <w:rPr>
          <w:rStyle w:val="cf01"/>
          <w:rFonts w:asciiTheme="minorHAnsi" w:eastAsiaTheme="majorEastAsia" w:hAnsiTheme="minorHAnsi"/>
          <w:kern w:val="0"/>
          <w:sz w:val="22"/>
          <w:szCs w:val="22"/>
          <w:lang w:eastAsia="en-AU"/>
          <w14:ligatures w14:val="none"/>
        </w:rPr>
      </w:pPr>
      <w:r w:rsidRPr="00757D20">
        <w:rPr>
          <w:rStyle w:val="cf01"/>
          <w:rFonts w:asciiTheme="minorHAnsi" w:eastAsiaTheme="majorEastAsia" w:hAnsiTheme="minorHAnsi"/>
          <w:sz w:val="22"/>
          <w:szCs w:val="22"/>
        </w:rPr>
        <w:br w:type="page"/>
      </w:r>
    </w:p>
    <w:p w14:paraId="680FC3A7" w14:textId="0791B4D5" w:rsidR="003338B4" w:rsidRPr="00757D20" w:rsidRDefault="003338B4" w:rsidP="003338B4">
      <w:pPr>
        <w:pStyle w:val="Heading2"/>
      </w:pPr>
      <w:bookmarkStart w:id="47" w:name="_Toc219977215"/>
      <w:r w:rsidRPr="00757D20">
        <w:lastRenderedPageBreak/>
        <w:t>Ironbark Plains High School</w:t>
      </w:r>
      <w:bookmarkEnd w:id="47"/>
    </w:p>
    <w:p w14:paraId="3FD1D04F" w14:textId="77777777" w:rsidR="003338B4" w:rsidRPr="00757D20" w:rsidRDefault="003338B4" w:rsidP="003338B4">
      <w:pPr>
        <w:pStyle w:val="NormalWeb"/>
      </w:pPr>
      <w:r w:rsidRPr="00757D20">
        <w:rPr>
          <w:noProof/>
        </w:rPr>
        <w:drawing>
          <wp:inline distT="0" distB="0" distL="0" distR="0" wp14:anchorId="5B295A62" wp14:editId="47103AB9">
            <wp:extent cx="2700000" cy="2700000"/>
            <wp:effectExtent l="0" t="0" r="5715" b="5715"/>
            <wp:docPr id="6" name="Picture 5" descr="Table showing school profile snapshot for ASGS Locality Outer Regional with data from 2017, 2018, and 2024. It includes ICSEA scores increasing from 902 to 918, student enrollments fluctuating around 550-576, gender ratios slightly shifting towards males, Indigenous percentages rising from 15% to 19%, and LBOTE percentages decreasing from 41% to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able showing school profile snapshot for ASGS Locality Outer Regional with data from 2017, 2018, and 2024. It includes ICSEA scores increasing from 902 to 918, student enrollments fluctuating around 550-576, gender ratios slightly shifting towards males, Indigenous percentages rising from 15% to 19%, and LBOTE percentages decreasing from 41% to 3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r w:rsidRPr="00757D20">
        <w:rPr>
          <w:noProof/>
        </w:rPr>
        <w:tab/>
        <w:t xml:space="preserve">    </w:t>
      </w:r>
      <w:r w:rsidRPr="00757D20">
        <w:rPr>
          <w:noProof/>
        </w:rPr>
        <w:drawing>
          <wp:inline distT="0" distB="0" distL="0" distR="0" wp14:anchorId="4FA55E73" wp14:editId="75DE20DC">
            <wp:extent cx="2700000" cy="2700000"/>
            <wp:effectExtent l="0" t="0" r="5715" b="5715"/>
            <wp:docPr id="1051489407" name="Picture 3" descr="Table showing community profile snapshot for ASGS Locality Outer Regional using ABS Census Data from 2016 and 2021. It displays total population, percentage of Aboriginal and/or Torres Strait Islander people, proportion born overseas, and unemployment rate, highlighting population growth from 25,641 to 27,086 and a decrease in unemployment from 4.8% to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89407" name="Picture 3" descr="Table showing community profile snapshot for ASGS Locality Outer Regional using ABS Census Data from 2016 and 2021. It displays total population, percentage of Aboriginal and/or Torres Strait Islander people, proportion born overseas, and unemployment rate, highlighting population growth from 25,641 to 27,086 and a decrease in unemployment from 4.8% to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p w14:paraId="6F313D17" w14:textId="66E967A6" w:rsidR="003338B4" w:rsidRPr="00757D20" w:rsidRDefault="003338B4" w:rsidP="003338B4">
      <w:pPr>
        <w:pStyle w:val="NormalWeb"/>
      </w:pPr>
      <w:r w:rsidRPr="00757D20">
        <w:rPr>
          <w:noProof/>
        </w:rPr>
        <w:drawing>
          <wp:inline distT="0" distB="0" distL="0" distR="0" wp14:anchorId="2DC60A10" wp14:editId="603495F4">
            <wp:extent cx="2700000" cy="2700000"/>
            <wp:effectExtent l="0" t="0" r="5715" b="5715"/>
            <wp:docPr id="159565838" name="Chart 1" descr="Table showing Highest Level of Educational Attainment for 2016 and 2021, indicating whether students finished high school or TAFE, gained a Bachelor degree or above, or didn't state which. There was an increase in school completion from 35% to 47%, but slight decreases in TAFE and Bachelor Degree or above.">
              <a:extLst xmlns:a="http://schemas.openxmlformats.org/drawingml/2006/main">
                <a:ext uri="{FF2B5EF4-FFF2-40B4-BE49-F238E27FC236}">
                  <a16:creationId xmlns:a16="http://schemas.microsoft.com/office/drawing/2014/main" id="{F7AE72A0-1373-7099-0F98-09C52E3F2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757D20">
        <w:tab/>
        <w:t xml:space="preserve">    </w:t>
      </w:r>
      <w:r w:rsidRPr="00757D20">
        <w:rPr>
          <w:noProof/>
        </w:rPr>
        <w:drawing>
          <wp:inline distT="0" distB="0" distL="0" distR="0" wp14:anchorId="4CF28BF9" wp14:editId="27B1EBFA">
            <wp:extent cx="2700000" cy="2700000"/>
            <wp:effectExtent l="0" t="0" r="5715" b="5715"/>
            <wp:docPr id="1173415543" name="Chart 1" descr="Table showing Community Occupations in 2016 and 2021 with categories for Labourers, Machine Operators, Sales Workers, Clerical, Community and Personal, Technicians and Trades, Professionals and Managers. The highest occurrence in both years is for Labourers at around 18-19%. Managers follow at 15% for both years. ">
              <a:extLst xmlns:a="http://schemas.openxmlformats.org/drawingml/2006/main">
                <a:ext uri="{FF2B5EF4-FFF2-40B4-BE49-F238E27FC236}">
                  <a16:creationId xmlns:a16="http://schemas.microsoft.com/office/drawing/2014/main" id="{578B283B-4674-53EB-59D3-10568D231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232D1">
        <w:br/>
      </w:r>
    </w:p>
    <w:p w14:paraId="34E762BE" w14:textId="6CE4B85C" w:rsidR="009B34F2" w:rsidRPr="00A10BDE" w:rsidRDefault="003F61E9" w:rsidP="009B34F2">
      <w:pPr>
        <w:pStyle w:val="NormalWeb"/>
        <w:spacing w:before="0" w:beforeAutospacing="0" w:after="0" w:afterAutospacing="0" w:line="360" w:lineRule="auto"/>
        <w:rPr>
          <w:rFonts w:ascii="Arial" w:hAnsi="Arial" w:cs="Arial"/>
          <w:b/>
          <w:bCs/>
          <w:sz w:val="22"/>
          <w:szCs w:val="22"/>
        </w:rPr>
      </w:pPr>
      <w:r w:rsidRPr="0051649D">
        <w:rPr>
          <w:rFonts w:ascii="Arial" w:hAnsi="Arial" w:cs="Arial"/>
          <w:b/>
          <w:bCs/>
          <w:sz w:val="22"/>
          <w:szCs w:val="22"/>
        </w:rPr>
        <w:t>Top</w:t>
      </w:r>
      <w:r w:rsidR="0051649D">
        <w:rPr>
          <w:rFonts w:ascii="Arial" w:hAnsi="Arial" w:cs="Arial"/>
          <w:b/>
          <w:bCs/>
          <w:sz w:val="22"/>
          <w:szCs w:val="22"/>
        </w:rPr>
        <w:t xml:space="preserve"> 5</w:t>
      </w:r>
      <w:r w:rsidRPr="0051649D">
        <w:rPr>
          <w:rFonts w:ascii="Arial" w:hAnsi="Arial" w:cs="Arial"/>
          <w:b/>
          <w:bCs/>
          <w:sz w:val="22"/>
          <w:szCs w:val="22"/>
        </w:rPr>
        <w:t xml:space="preserve"> </w:t>
      </w:r>
      <w:r w:rsidR="007074E2" w:rsidRPr="00757D20">
        <w:rPr>
          <w:rFonts w:ascii="Arial" w:hAnsi="Arial" w:cs="Arial"/>
          <w:b/>
          <w:bCs/>
          <w:sz w:val="22"/>
          <w:szCs w:val="22"/>
        </w:rPr>
        <w:t>i</w:t>
      </w:r>
      <w:r w:rsidR="003338B4" w:rsidRPr="00A10BDE">
        <w:rPr>
          <w:rFonts w:ascii="Arial" w:hAnsi="Arial" w:cs="Arial"/>
          <w:b/>
          <w:bCs/>
          <w:sz w:val="22"/>
          <w:szCs w:val="22"/>
        </w:rPr>
        <w:t>ndustr</w:t>
      </w:r>
      <w:r w:rsidRPr="00A10BDE">
        <w:rPr>
          <w:rFonts w:ascii="Arial" w:hAnsi="Arial" w:cs="Arial"/>
          <w:b/>
          <w:bCs/>
          <w:sz w:val="22"/>
          <w:szCs w:val="22"/>
        </w:rPr>
        <w:t xml:space="preserve">ies </w:t>
      </w:r>
      <w:r w:rsidR="003338B4" w:rsidRPr="00A10BDE">
        <w:rPr>
          <w:rFonts w:ascii="Arial" w:hAnsi="Arial" w:cs="Arial"/>
          <w:b/>
          <w:bCs/>
          <w:sz w:val="22"/>
          <w:szCs w:val="22"/>
        </w:rPr>
        <w:t xml:space="preserve">of </w:t>
      </w:r>
      <w:r w:rsidR="007074E2" w:rsidRPr="00757D20">
        <w:rPr>
          <w:rFonts w:ascii="Arial" w:hAnsi="Arial" w:cs="Arial"/>
          <w:b/>
          <w:bCs/>
          <w:sz w:val="22"/>
          <w:szCs w:val="22"/>
        </w:rPr>
        <w:t>e</w:t>
      </w:r>
      <w:r w:rsidR="003338B4" w:rsidRPr="00A10BDE">
        <w:rPr>
          <w:rFonts w:ascii="Arial" w:hAnsi="Arial" w:cs="Arial"/>
          <w:b/>
          <w:bCs/>
          <w:sz w:val="22"/>
          <w:szCs w:val="22"/>
        </w:rPr>
        <w:t>mployment, Ironbark</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1958"/>
        <w:gridCol w:w="1958"/>
      </w:tblGrid>
      <w:tr w:rsidR="003338B4" w:rsidRPr="00757D20" w14:paraId="0E13FC44" w14:textId="77777777" w:rsidTr="003A6CEB">
        <w:trPr>
          <w:trHeight w:val="260"/>
        </w:trPr>
        <w:tc>
          <w:tcPr>
            <w:tcW w:w="4873" w:type="dxa"/>
            <w:shd w:val="clear" w:color="auto" w:fill="78DED9"/>
            <w:noWrap/>
            <w:vAlign w:val="bottom"/>
            <w:hideMark/>
          </w:tcPr>
          <w:p w14:paraId="08751442" w14:textId="77777777" w:rsidR="003338B4" w:rsidRPr="00757D20" w:rsidRDefault="003338B4" w:rsidP="00BF7169">
            <w:pPr>
              <w:spacing w:after="0" w:line="240" w:lineRule="auto"/>
              <w:rPr>
                <w:rFonts w:eastAsia="Times New Roman" w:cs="Arial"/>
                <w:b/>
                <w:bCs/>
                <w:color w:val="000000"/>
                <w:kern w:val="0"/>
                <w:lang w:eastAsia="en-AU"/>
                <w14:ligatures w14:val="none"/>
              </w:rPr>
            </w:pPr>
          </w:p>
        </w:tc>
        <w:tc>
          <w:tcPr>
            <w:tcW w:w="1958" w:type="dxa"/>
            <w:shd w:val="clear" w:color="auto" w:fill="78DED9"/>
            <w:vAlign w:val="center"/>
            <w:hideMark/>
          </w:tcPr>
          <w:p w14:paraId="0E96E4F9" w14:textId="77777777" w:rsidR="003338B4" w:rsidRPr="00757D20" w:rsidRDefault="003338B4" w:rsidP="00BF7169">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 xml:space="preserve">2016 </w:t>
            </w:r>
          </w:p>
          <w:p w14:paraId="4DDAD263" w14:textId="77777777" w:rsidR="003338B4" w:rsidRPr="00757D20" w:rsidRDefault="003338B4" w:rsidP="00BF7169">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w:t>
            </w:r>
          </w:p>
        </w:tc>
        <w:tc>
          <w:tcPr>
            <w:tcW w:w="1958" w:type="dxa"/>
            <w:shd w:val="clear" w:color="auto" w:fill="78DED9"/>
            <w:vAlign w:val="center"/>
            <w:hideMark/>
          </w:tcPr>
          <w:p w14:paraId="5EC60711" w14:textId="77777777" w:rsidR="003338B4" w:rsidRPr="00757D20" w:rsidRDefault="003338B4" w:rsidP="00BF7169">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 xml:space="preserve">2021 </w:t>
            </w:r>
          </w:p>
          <w:p w14:paraId="6E09EE9D" w14:textId="77777777" w:rsidR="003338B4" w:rsidRPr="00757D20" w:rsidRDefault="003338B4" w:rsidP="00BF7169">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w:t>
            </w:r>
          </w:p>
        </w:tc>
      </w:tr>
      <w:tr w:rsidR="003338B4" w:rsidRPr="00757D20" w14:paraId="5817491B" w14:textId="77777777" w:rsidTr="003A6CEB">
        <w:trPr>
          <w:trHeight w:val="260"/>
        </w:trPr>
        <w:tc>
          <w:tcPr>
            <w:tcW w:w="4873" w:type="dxa"/>
            <w:noWrap/>
            <w:vAlign w:val="bottom"/>
            <w:hideMark/>
          </w:tcPr>
          <w:p w14:paraId="2FC180AA" w14:textId="4E05FB7D" w:rsidR="003338B4" w:rsidRPr="00757D20" w:rsidRDefault="003338B4" w:rsidP="00BF7169">
            <w:pPr>
              <w:spacing w:after="0" w:line="240" w:lineRule="auto"/>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 xml:space="preserve">Poultry </w:t>
            </w:r>
            <w:r w:rsidR="007074E2" w:rsidRPr="00757D20">
              <w:rPr>
                <w:rFonts w:eastAsia="Times New Roman" w:cs="Arial"/>
                <w:color w:val="000000"/>
                <w:kern w:val="0"/>
                <w:lang w:eastAsia="en-AU"/>
                <w14:ligatures w14:val="none"/>
              </w:rPr>
              <w:t>p</w:t>
            </w:r>
            <w:r w:rsidR="00BF33FE" w:rsidRPr="00757D20">
              <w:rPr>
                <w:rFonts w:eastAsia="Times New Roman" w:cs="Arial"/>
                <w:color w:val="000000"/>
                <w:kern w:val="0"/>
                <w:lang w:eastAsia="en-AU"/>
                <w14:ligatures w14:val="none"/>
              </w:rPr>
              <w:t>rocessing</w:t>
            </w:r>
          </w:p>
        </w:tc>
        <w:tc>
          <w:tcPr>
            <w:tcW w:w="1958" w:type="dxa"/>
            <w:vAlign w:val="center"/>
            <w:hideMark/>
          </w:tcPr>
          <w:p w14:paraId="2D71C9EF" w14:textId="77777777" w:rsidR="003338B4" w:rsidRPr="00757D20" w:rsidRDefault="003338B4"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6.4</w:t>
            </w:r>
          </w:p>
        </w:tc>
        <w:tc>
          <w:tcPr>
            <w:tcW w:w="1958" w:type="dxa"/>
            <w:noWrap/>
            <w:vAlign w:val="bottom"/>
            <w:hideMark/>
          </w:tcPr>
          <w:p w14:paraId="015C96F1"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7.3</w:t>
            </w:r>
          </w:p>
        </w:tc>
      </w:tr>
      <w:tr w:rsidR="003338B4" w:rsidRPr="00757D20" w14:paraId="54FA7788" w14:textId="77777777" w:rsidTr="003A6CEB">
        <w:trPr>
          <w:trHeight w:val="260"/>
        </w:trPr>
        <w:tc>
          <w:tcPr>
            <w:tcW w:w="4873" w:type="dxa"/>
            <w:noWrap/>
            <w:vAlign w:val="bottom"/>
            <w:hideMark/>
          </w:tcPr>
          <w:p w14:paraId="105C7B70" w14:textId="7056FE49" w:rsidR="003338B4" w:rsidRPr="00757D20" w:rsidRDefault="003338B4" w:rsidP="00BF7169">
            <w:pPr>
              <w:spacing w:after="0" w:line="240" w:lineRule="auto"/>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 xml:space="preserve">Wine and </w:t>
            </w:r>
            <w:r w:rsidR="007074E2" w:rsidRPr="00757D20">
              <w:rPr>
                <w:rFonts w:eastAsia="Times New Roman" w:cs="Arial"/>
                <w:color w:val="000000"/>
                <w:kern w:val="0"/>
                <w:lang w:eastAsia="en-AU"/>
                <w14:ligatures w14:val="none"/>
              </w:rPr>
              <w:t>o</w:t>
            </w:r>
            <w:r w:rsidRPr="00757D20">
              <w:rPr>
                <w:rFonts w:eastAsia="Times New Roman" w:cs="Arial"/>
                <w:color w:val="000000"/>
                <w:kern w:val="0"/>
                <w:lang w:eastAsia="en-AU"/>
                <w14:ligatures w14:val="none"/>
              </w:rPr>
              <w:t xml:space="preserve">ther </w:t>
            </w:r>
            <w:r w:rsidR="007074E2" w:rsidRPr="00757D20">
              <w:rPr>
                <w:rFonts w:eastAsia="Times New Roman" w:cs="Arial"/>
                <w:color w:val="000000"/>
                <w:kern w:val="0"/>
                <w:lang w:eastAsia="en-AU"/>
                <w14:ligatures w14:val="none"/>
              </w:rPr>
              <w:t>a</w:t>
            </w:r>
            <w:r w:rsidR="00BF33FE" w:rsidRPr="00757D20">
              <w:rPr>
                <w:rFonts w:eastAsia="Times New Roman" w:cs="Arial"/>
                <w:color w:val="000000"/>
                <w:kern w:val="0"/>
                <w:lang w:eastAsia="en-AU"/>
                <w14:ligatures w14:val="none"/>
              </w:rPr>
              <w:t xml:space="preserve">lcoholic </w:t>
            </w:r>
            <w:r w:rsidR="007074E2" w:rsidRPr="00757D20">
              <w:rPr>
                <w:rFonts w:eastAsia="Times New Roman" w:cs="Arial"/>
                <w:color w:val="000000"/>
                <w:kern w:val="0"/>
                <w:lang w:eastAsia="en-AU"/>
                <w14:ligatures w14:val="none"/>
              </w:rPr>
              <w:t>b</w:t>
            </w:r>
            <w:r w:rsidR="00BF33FE" w:rsidRPr="00757D20">
              <w:rPr>
                <w:rFonts w:eastAsia="Times New Roman" w:cs="Arial"/>
                <w:color w:val="000000"/>
                <w:kern w:val="0"/>
                <w:lang w:eastAsia="en-AU"/>
                <w14:ligatures w14:val="none"/>
              </w:rPr>
              <w:t xml:space="preserve">everage </w:t>
            </w:r>
            <w:r w:rsidR="007074E2" w:rsidRPr="00757D20">
              <w:rPr>
                <w:rFonts w:eastAsia="Times New Roman" w:cs="Arial"/>
                <w:color w:val="000000"/>
                <w:kern w:val="0"/>
                <w:lang w:eastAsia="en-AU"/>
                <w14:ligatures w14:val="none"/>
              </w:rPr>
              <w:t>m</w:t>
            </w:r>
            <w:r w:rsidR="00BF33FE" w:rsidRPr="00757D20">
              <w:rPr>
                <w:rFonts w:eastAsia="Times New Roman" w:cs="Arial"/>
                <w:color w:val="000000"/>
                <w:kern w:val="0"/>
                <w:lang w:eastAsia="en-AU"/>
                <w14:ligatures w14:val="none"/>
              </w:rPr>
              <w:t>anufacturing</w:t>
            </w:r>
          </w:p>
        </w:tc>
        <w:tc>
          <w:tcPr>
            <w:tcW w:w="1958" w:type="dxa"/>
            <w:vAlign w:val="center"/>
            <w:hideMark/>
          </w:tcPr>
          <w:p w14:paraId="5559D59F" w14:textId="77777777" w:rsidR="00310982" w:rsidRPr="00757D20" w:rsidRDefault="00310982" w:rsidP="00BF7169">
            <w:pPr>
              <w:spacing w:after="0" w:line="240" w:lineRule="auto"/>
              <w:jc w:val="right"/>
              <w:rPr>
                <w:rFonts w:eastAsia="Times New Roman" w:cs="Arial"/>
                <w:color w:val="222222"/>
                <w:kern w:val="0"/>
                <w:lang w:eastAsia="en-AU"/>
                <w14:ligatures w14:val="none"/>
              </w:rPr>
            </w:pPr>
          </w:p>
          <w:p w14:paraId="46F82279" w14:textId="7FBECA0A" w:rsidR="003338B4" w:rsidRPr="00757D20" w:rsidRDefault="003338B4"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6.2</w:t>
            </w:r>
          </w:p>
        </w:tc>
        <w:tc>
          <w:tcPr>
            <w:tcW w:w="1958" w:type="dxa"/>
            <w:noWrap/>
            <w:vAlign w:val="bottom"/>
            <w:hideMark/>
          </w:tcPr>
          <w:p w14:paraId="384F4AEF"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5.9</w:t>
            </w:r>
          </w:p>
        </w:tc>
      </w:tr>
      <w:tr w:rsidR="003338B4" w:rsidRPr="00757D20" w14:paraId="5C8C4D6E" w14:textId="77777777" w:rsidTr="003A6CEB">
        <w:trPr>
          <w:trHeight w:val="260"/>
        </w:trPr>
        <w:tc>
          <w:tcPr>
            <w:tcW w:w="4873" w:type="dxa"/>
            <w:noWrap/>
            <w:vAlign w:val="bottom"/>
            <w:hideMark/>
          </w:tcPr>
          <w:p w14:paraId="27C88BE7" w14:textId="6F42D50E" w:rsidR="003338B4" w:rsidRPr="00757D20" w:rsidRDefault="003338B4" w:rsidP="00BF7169">
            <w:pPr>
              <w:spacing w:after="0" w:line="240" w:lineRule="auto"/>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 xml:space="preserve">Supermarket and </w:t>
            </w:r>
            <w:r w:rsidR="007074E2" w:rsidRPr="00757D20">
              <w:rPr>
                <w:rFonts w:eastAsia="Times New Roman" w:cs="Arial"/>
                <w:color w:val="000000"/>
                <w:kern w:val="0"/>
                <w:lang w:eastAsia="en-AU"/>
                <w14:ligatures w14:val="none"/>
              </w:rPr>
              <w:t>g</w:t>
            </w:r>
            <w:r w:rsidRPr="00757D20">
              <w:rPr>
                <w:rFonts w:eastAsia="Times New Roman" w:cs="Arial"/>
                <w:color w:val="000000"/>
                <w:kern w:val="0"/>
                <w:lang w:eastAsia="en-AU"/>
                <w14:ligatures w14:val="none"/>
              </w:rPr>
              <w:t xml:space="preserve">rocery </w:t>
            </w:r>
            <w:r w:rsidR="007074E2" w:rsidRPr="00757D20">
              <w:rPr>
                <w:rFonts w:eastAsia="Times New Roman" w:cs="Arial"/>
                <w:color w:val="000000"/>
                <w:kern w:val="0"/>
                <w:lang w:eastAsia="en-AU"/>
                <w14:ligatures w14:val="none"/>
              </w:rPr>
              <w:t>s</w:t>
            </w:r>
            <w:r w:rsidRPr="00757D20">
              <w:rPr>
                <w:rFonts w:eastAsia="Times New Roman" w:cs="Arial"/>
                <w:color w:val="000000"/>
                <w:kern w:val="0"/>
                <w:lang w:eastAsia="en-AU"/>
                <w14:ligatures w14:val="none"/>
              </w:rPr>
              <w:t>tores</w:t>
            </w:r>
          </w:p>
        </w:tc>
        <w:tc>
          <w:tcPr>
            <w:tcW w:w="1958" w:type="dxa"/>
            <w:vAlign w:val="center"/>
            <w:hideMark/>
          </w:tcPr>
          <w:p w14:paraId="53ABDB2F" w14:textId="77777777" w:rsidR="003338B4" w:rsidRPr="00757D20" w:rsidRDefault="003338B4"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2.7</w:t>
            </w:r>
          </w:p>
        </w:tc>
        <w:tc>
          <w:tcPr>
            <w:tcW w:w="1958" w:type="dxa"/>
            <w:noWrap/>
            <w:vAlign w:val="bottom"/>
            <w:hideMark/>
          </w:tcPr>
          <w:p w14:paraId="030471BF"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3.4</w:t>
            </w:r>
          </w:p>
        </w:tc>
      </w:tr>
      <w:tr w:rsidR="003338B4" w:rsidRPr="00757D20" w14:paraId="2B8284CA" w14:textId="77777777" w:rsidTr="003A6CEB">
        <w:trPr>
          <w:trHeight w:val="260"/>
        </w:trPr>
        <w:tc>
          <w:tcPr>
            <w:tcW w:w="4873" w:type="dxa"/>
            <w:noWrap/>
            <w:vAlign w:val="bottom"/>
            <w:hideMark/>
          </w:tcPr>
          <w:p w14:paraId="0D8352C7" w14:textId="473B864A" w:rsidR="003338B4" w:rsidRPr="00757D20" w:rsidRDefault="003338B4" w:rsidP="00BF7169">
            <w:pPr>
              <w:spacing w:after="0" w:line="240" w:lineRule="auto"/>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 xml:space="preserve">Hospitals (except </w:t>
            </w:r>
            <w:r w:rsidR="007074E2" w:rsidRPr="00757D20">
              <w:rPr>
                <w:rFonts w:eastAsia="Times New Roman" w:cs="Arial"/>
                <w:color w:val="000000"/>
                <w:kern w:val="0"/>
                <w:lang w:eastAsia="en-AU"/>
                <w14:ligatures w14:val="none"/>
              </w:rPr>
              <w:t>p</w:t>
            </w:r>
            <w:r w:rsidRPr="00757D20">
              <w:rPr>
                <w:rFonts w:eastAsia="Times New Roman" w:cs="Arial"/>
                <w:color w:val="000000"/>
                <w:kern w:val="0"/>
                <w:lang w:eastAsia="en-AU"/>
                <w14:ligatures w14:val="none"/>
              </w:rPr>
              <w:t xml:space="preserve">sychiatric </w:t>
            </w:r>
            <w:r w:rsidR="007074E2" w:rsidRPr="00757D20">
              <w:rPr>
                <w:rFonts w:eastAsia="Times New Roman" w:cs="Arial"/>
                <w:color w:val="000000"/>
                <w:kern w:val="0"/>
                <w:lang w:eastAsia="en-AU"/>
                <w14:ligatures w14:val="none"/>
              </w:rPr>
              <w:t>h</w:t>
            </w:r>
            <w:r w:rsidRPr="00757D20">
              <w:rPr>
                <w:rFonts w:eastAsia="Times New Roman" w:cs="Arial"/>
                <w:color w:val="000000"/>
                <w:kern w:val="0"/>
                <w:lang w:eastAsia="en-AU"/>
                <w14:ligatures w14:val="none"/>
              </w:rPr>
              <w:t>ospitals)</w:t>
            </w:r>
          </w:p>
        </w:tc>
        <w:tc>
          <w:tcPr>
            <w:tcW w:w="1958" w:type="dxa"/>
            <w:noWrap/>
            <w:vAlign w:val="bottom"/>
            <w:hideMark/>
          </w:tcPr>
          <w:p w14:paraId="020B504C"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2.6</w:t>
            </w:r>
          </w:p>
        </w:tc>
        <w:tc>
          <w:tcPr>
            <w:tcW w:w="1958" w:type="dxa"/>
            <w:noWrap/>
            <w:vAlign w:val="bottom"/>
            <w:hideMark/>
          </w:tcPr>
          <w:p w14:paraId="07142956"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3.0</w:t>
            </w:r>
          </w:p>
        </w:tc>
      </w:tr>
      <w:tr w:rsidR="003338B4" w:rsidRPr="00757D20" w14:paraId="0C8A2518" w14:textId="77777777" w:rsidTr="003A6CEB">
        <w:trPr>
          <w:trHeight w:val="260"/>
        </w:trPr>
        <w:tc>
          <w:tcPr>
            <w:tcW w:w="4873" w:type="dxa"/>
            <w:noWrap/>
            <w:vAlign w:val="bottom"/>
            <w:hideMark/>
          </w:tcPr>
          <w:p w14:paraId="492CFADC" w14:textId="519B8DA3" w:rsidR="003338B4" w:rsidRPr="00757D20" w:rsidRDefault="003338B4" w:rsidP="00BF7169">
            <w:pPr>
              <w:spacing w:after="0" w:line="240" w:lineRule="auto"/>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 xml:space="preserve">Primary </w:t>
            </w:r>
            <w:r w:rsidR="007074E2" w:rsidRPr="00757D20">
              <w:rPr>
                <w:rFonts w:eastAsia="Times New Roman" w:cs="Arial"/>
                <w:color w:val="000000"/>
                <w:kern w:val="0"/>
                <w:lang w:eastAsia="en-AU"/>
                <w14:ligatures w14:val="none"/>
              </w:rPr>
              <w:t>e</w:t>
            </w:r>
            <w:r w:rsidRPr="00757D20">
              <w:rPr>
                <w:rFonts w:eastAsia="Times New Roman" w:cs="Arial"/>
                <w:color w:val="000000"/>
                <w:kern w:val="0"/>
                <w:lang w:eastAsia="en-AU"/>
                <w14:ligatures w14:val="none"/>
              </w:rPr>
              <w:t>ducation</w:t>
            </w:r>
          </w:p>
        </w:tc>
        <w:tc>
          <w:tcPr>
            <w:tcW w:w="1958" w:type="dxa"/>
            <w:vAlign w:val="center"/>
            <w:hideMark/>
          </w:tcPr>
          <w:p w14:paraId="5DA0B16F" w14:textId="77777777" w:rsidR="003338B4" w:rsidRPr="00757D20" w:rsidRDefault="003338B4"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2.4</w:t>
            </w:r>
          </w:p>
        </w:tc>
        <w:tc>
          <w:tcPr>
            <w:tcW w:w="1958" w:type="dxa"/>
            <w:noWrap/>
            <w:vAlign w:val="bottom"/>
            <w:hideMark/>
          </w:tcPr>
          <w:p w14:paraId="78C3D9DE" w14:textId="77777777" w:rsidR="003338B4" w:rsidRPr="00757D20" w:rsidRDefault="003338B4"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2.5</w:t>
            </w:r>
          </w:p>
        </w:tc>
      </w:tr>
    </w:tbl>
    <w:p w14:paraId="2ABDBE8B" w14:textId="77777777" w:rsidR="003338B4" w:rsidRPr="00757D20" w:rsidRDefault="003338B4" w:rsidP="003338B4"/>
    <w:p w14:paraId="4C43B682" w14:textId="77777777" w:rsidR="003338B4" w:rsidRPr="00757D20" w:rsidRDefault="003338B4" w:rsidP="003338B4">
      <w:r w:rsidRPr="00757D20">
        <w:tab/>
      </w:r>
    </w:p>
    <w:p w14:paraId="5CBD752A" w14:textId="3CF7516D" w:rsidR="003338B4" w:rsidRPr="00757D20" w:rsidRDefault="00F627CA" w:rsidP="00805C45">
      <w:pPr>
        <w:pStyle w:val="Heading3"/>
        <w:numPr>
          <w:ilvl w:val="0"/>
          <w:numId w:val="0"/>
        </w:numPr>
        <w:pBdr>
          <w:top w:val="single" w:sz="4" w:space="1" w:color="auto"/>
          <w:left w:val="single" w:sz="4" w:space="4" w:color="auto"/>
          <w:bottom w:val="single" w:sz="4" w:space="1" w:color="auto"/>
          <w:right w:val="single" w:sz="4" w:space="4" w:color="auto"/>
        </w:pBdr>
        <w:shd w:val="clear" w:color="auto" w:fill="CAEEEC" w:themeFill="accent6" w:themeFillTint="99"/>
      </w:pPr>
      <w:bookmarkStart w:id="48" w:name="_Toc196396145"/>
      <w:bookmarkStart w:id="49" w:name="_Toc219977216"/>
      <w:r w:rsidRPr="00757D20">
        <w:lastRenderedPageBreak/>
        <w:t xml:space="preserve">Ironbark Plains High </w:t>
      </w:r>
      <w:r w:rsidR="003338B4" w:rsidRPr="00757D20">
        <w:t>Schoo</w:t>
      </w:r>
      <w:r w:rsidRPr="00757D20">
        <w:t>l: O</w:t>
      </w:r>
      <w:r w:rsidR="003338B4" w:rsidRPr="00757D20">
        <w:t>verview</w:t>
      </w:r>
      <w:bookmarkEnd w:id="48"/>
      <w:bookmarkEnd w:id="49"/>
    </w:p>
    <w:p w14:paraId="6B44A139" w14:textId="04944C13" w:rsidR="003338B4" w:rsidRPr="00757D20" w:rsidRDefault="003338B4" w:rsidP="00805C45">
      <w:pPr>
        <w:pBdr>
          <w:top w:val="single" w:sz="4" w:space="1" w:color="auto"/>
          <w:left w:val="single" w:sz="4" w:space="4" w:color="auto"/>
          <w:bottom w:val="single" w:sz="4" w:space="1" w:color="auto"/>
          <w:right w:val="single" w:sz="4" w:space="4" w:color="auto"/>
        </w:pBdr>
        <w:shd w:val="clear" w:color="auto" w:fill="CAEEEC" w:themeFill="accent6" w:themeFillTint="99"/>
      </w:pPr>
      <w:r w:rsidRPr="00757D20">
        <w:t xml:space="preserve">Ironbark Plains High School </w:t>
      </w:r>
      <w:proofErr w:type="gramStart"/>
      <w:r w:rsidRPr="00757D20">
        <w:t>is located in</w:t>
      </w:r>
      <w:proofErr w:type="gramEnd"/>
      <w:r w:rsidRPr="00757D20">
        <w:t xml:space="preserve"> the outer regional community of Ironbark. Our first visit to the school took place in 2017 as part of the </w:t>
      </w:r>
      <w:r w:rsidRPr="00757D20">
        <w:rPr>
          <w:i/>
          <w:iCs/>
        </w:rPr>
        <w:t>Locating Aspirations</w:t>
      </w:r>
      <w:r w:rsidRPr="00757D20">
        <w:t xml:space="preserve"> </w:t>
      </w:r>
      <w:r w:rsidR="00DB6802">
        <w:rPr>
          <w:i/>
          <w:iCs/>
        </w:rPr>
        <w:t>Study</w:t>
      </w:r>
      <w:r w:rsidRPr="00757D20">
        <w:t xml:space="preserve">. We returned in 2018 to collect </w:t>
      </w:r>
      <w:r w:rsidR="00FE679E" w:rsidRPr="00757D20">
        <w:t>additional</w:t>
      </w:r>
      <w:r w:rsidRPr="00757D20">
        <w:t xml:space="preserve"> data for the </w:t>
      </w:r>
      <w:r w:rsidRPr="00757D20">
        <w:rPr>
          <w:i/>
          <w:iCs/>
        </w:rPr>
        <w:t xml:space="preserve">Community Influence </w:t>
      </w:r>
      <w:r w:rsidR="00C75596" w:rsidRPr="00757D20">
        <w:t>p</w:t>
      </w:r>
      <w:r w:rsidRPr="00757D20">
        <w:t xml:space="preserve">roject and again in 2025 for the </w:t>
      </w:r>
      <w:r w:rsidRPr="00757D20">
        <w:rPr>
          <w:i/>
          <w:iCs/>
        </w:rPr>
        <w:t>Aspirations in Uncertain Times</w:t>
      </w:r>
      <w:r w:rsidRPr="00757D20">
        <w:t xml:space="preserve"> project. With a current ICSEA of 918, Ironbark Plains High falls within the lowest 15% of Australian schools in terms of socio-educational advantage. As of 2024, 35% of the student population identified as coming from a language background other than English (LBOTE)</w:t>
      </w:r>
      <w:r w:rsidR="00A14691" w:rsidRPr="00757D20">
        <w:t xml:space="preserve"> and 19% were Indigenous</w:t>
      </w:r>
      <w:r w:rsidR="00656AD5" w:rsidRPr="00757D20">
        <w:t>,</w:t>
      </w:r>
      <w:r w:rsidR="00A14691" w:rsidRPr="00757D20">
        <w:t xml:space="preserve"> hig</w:t>
      </w:r>
      <w:r w:rsidRPr="00757D20">
        <w:t xml:space="preserve">hlighting the school’s </w:t>
      </w:r>
      <w:r w:rsidR="00656AD5" w:rsidRPr="00757D20">
        <w:t xml:space="preserve">substantial </w:t>
      </w:r>
      <w:r w:rsidRPr="00757D20">
        <w:t>cultural diversity.</w:t>
      </w:r>
      <w:r w:rsidR="00A14691" w:rsidRPr="00757D20">
        <w:t xml:space="preserve"> </w:t>
      </w:r>
      <w:r w:rsidR="00994139" w:rsidRPr="00757D20">
        <w:t>Another notable feature of the school is that</w:t>
      </w:r>
      <w:r w:rsidR="0009279B" w:rsidRPr="00757D20">
        <w:t>,</w:t>
      </w:r>
      <w:r w:rsidR="00994139" w:rsidRPr="00757D20">
        <w:t xml:space="preserve"> in 2019, Ironbark Plains merged with another local </w:t>
      </w:r>
      <w:r w:rsidR="004B57AD" w:rsidRPr="00757D20">
        <w:t xml:space="preserve">government </w:t>
      </w:r>
      <w:r w:rsidR="00994139" w:rsidRPr="00757D20">
        <w:t xml:space="preserve">high school; however, due to declining enrolments, the schools demerged in 2024. </w:t>
      </w:r>
      <w:r w:rsidR="00645C48" w:rsidRPr="00757D20">
        <w:t xml:space="preserve">With an abundance of employment opportunities in the </w:t>
      </w:r>
      <w:r w:rsidR="00B86048" w:rsidRPr="00757D20">
        <w:t xml:space="preserve">local </w:t>
      </w:r>
      <w:r w:rsidR="00645C48" w:rsidRPr="00757D20">
        <w:t>community, m</w:t>
      </w:r>
      <w:r w:rsidR="00A14691" w:rsidRPr="00757D20">
        <w:t xml:space="preserve">any students </w:t>
      </w:r>
      <w:r w:rsidR="00994139" w:rsidRPr="00757D20">
        <w:t>at Ironbark</w:t>
      </w:r>
      <w:r w:rsidR="007074E2" w:rsidRPr="00757D20">
        <w:t xml:space="preserve"> Plains</w:t>
      </w:r>
      <w:r w:rsidR="00994139" w:rsidRPr="00757D20">
        <w:t xml:space="preserve"> </w:t>
      </w:r>
      <w:r w:rsidR="00F1073D" w:rsidRPr="00757D20">
        <w:t>choose pathways into well paid</w:t>
      </w:r>
      <w:r w:rsidR="00E4773A" w:rsidRPr="00757D20">
        <w:t xml:space="preserve"> work</w:t>
      </w:r>
      <w:r w:rsidR="0051272C" w:rsidRPr="00757D20">
        <w:t xml:space="preserve">, rather than </w:t>
      </w:r>
      <w:r w:rsidR="00F931FC" w:rsidRPr="00757D20">
        <w:t>pursuing a</w:t>
      </w:r>
      <w:r w:rsidR="0051272C" w:rsidRPr="00757D20">
        <w:t xml:space="preserve"> university education.</w:t>
      </w:r>
      <w:r w:rsidR="00F1073D" w:rsidRPr="00757D20">
        <w:t xml:space="preserve"> </w:t>
      </w:r>
    </w:p>
    <w:p w14:paraId="42EA0729" w14:textId="77777777" w:rsidR="003338B4" w:rsidRPr="00757D20" w:rsidRDefault="003338B4" w:rsidP="003338B4"/>
    <w:p w14:paraId="272188B0" w14:textId="201F3924" w:rsidR="003338B4" w:rsidRPr="00757D20" w:rsidRDefault="003338B4" w:rsidP="00D618E7">
      <w:pPr>
        <w:pStyle w:val="Heading3"/>
      </w:pPr>
      <w:bookmarkStart w:id="50" w:name="_Toc196396146"/>
      <w:bookmarkStart w:id="51" w:name="_Toc219977217"/>
      <w:r w:rsidRPr="00757D20">
        <w:t>Diversity, equity</w:t>
      </w:r>
      <w:r w:rsidR="007074E2" w:rsidRPr="00757D20">
        <w:t>,</w:t>
      </w:r>
      <w:r w:rsidRPr="00757D20">
        <w:t xml:space="preserve"> and community</w:t>
      </w:r>
      <w:bookmarkEnd w:id="50"/>
      <w:bookmarkEnd w:id="51"/>
    </w:p>
    <w:p w14:paraId="4C8584C7" w14:textId="61F4C7A3" w:rsidR="003338B4" w:rsidRPr="00757D20" w:rsidRDefault="003338B4" w:rsidP="003338B4">
      <w:bookmarkStart w:id="52" w:name="_Hlk195523515"/>
      <w:r w:rsidRPr="00757D20">
        <w:t xml:space="preserve">Ironbark Plains High School is a large regional secondary </w:t>
      </w:r>
      <w:r w:rsidR="00E30E52" w:rsidRPr="00757D20">
        <w:t>school</w:t>
      </w:r>
      <w:r w:rsidRPr="00757D20">
        <w:t xml:space="preserve"> situated in an agriculturally prosperous area</w:t>
      </w:r>
      <w:r w:rsidR="00E30E52" w:rsidRPr="00757D20">
        <w:t xml:space="preserve">. It is particularly </w:t>
      </w:r>
      <w:r w:rsidRPr="00757D20">
        <w:t>distinguished by its culturally diverse student population compared to other schools in the region</w:t>
      </w:r>
      <w:r w:rsidR="00E30E52" w:rsidRPr="00757D20">
        <w:t>:</w:t>
      </w:r>
    </w:p>
    <w:bookmarkEnd w:id="52"/>
    <w:p w14:paraId="3943B304" w14:textId="34CE7D04" w:rsidR="003338B4" w:rsidRPr="00757D20" w:rsidRDefault="003338B4" w:rsidP="003338B4">
      <w:pPr>
        <w:pStyle w:val="Quote"/>
      </w:pPr>
      <w:r w:rsidRPr="00757D20">
        <w:t xml:space="preserve">It's very unlike a lot of other places in the [region], especially because we have a lot of </w:t>
      </w:r>
      <w:proofErr w:type="gramStart"/>
      <w:r w:rsidRPr="00757D20">
        <w:t>refugee</w:t>
      </w:r>
      <w:proofErr w:type="gramEnd"/>
      <w:r w:rsidR="00E30E52" w:rsidRPr="00757D20">
        <w:t xml:space="preserve"> </w:t>
      </w:r>
      <w:r w:rsidR="00AC2F66" w:rsidRPr="00757D20">
        <w:t>[</w:t>
      </w:r>
      <w:r w:rsidR="00E30E52" w:rsidRPr="00757D20">
        <w:t>students</w:t>
      </w:r>
      <w:r w:rsidR="00AC2F66" w:rsidRPr="00757D20">
        <w:t>]</w:t>
      </w:r>
      <w:r w:rsidRPr="00757D20">
        <w:t xml:space="preserve">, a lot of Pacific Islander, a lot of Hindi, Indian. I think at one time in the last eight years, we had something like 57 different nationalities going through Ironbark Plains High School. (Ursula, </w:t>
      </w:r>
      <w:r w:rsidR="00DC0495" w:rsidRPr="00757D20">
        <w:t>t</w:t>
      </w:r>
      <w:r w:rsidRPr="00757D20">
        <w:t>eacher, 2017)</w:t>
      </w:r>
    </w:p>
    <w:p w14:paraId="7537696E" w14:textId="5541EC9E" w:rsidR="003338B4" w:rsidRPr="00757D20" w:rsidRDefault="003338B4" w:rsidP="003338B4">
      <w:bookmarkStart w:id="53" w:name="_Hlk195523738"/>
      <w:r w:rsidRPr="00757D20">
        <w:t xml:space="preserve">Although the percentage of students from culturally diverse backgrounds declined from 41% in 2017 to 35% in 2024, Ironbark Plains High School continues to celebrate its multicultural identity as a cornerstone of its </w:t>
      </w:r>
      <w:r w:rsidR="00B6746C" w:rsidRPr="00757D20">
        <w:t xml:space="preserve">school </w:t>
      </w:r>
      <w:r w:rsidRPr="00757D20">
        <w:t>community. This commitment to inclusivity persists alongside significant socio</w:t>
      </w:r>
      <w:r w:rsidR="003223AD" w:rsidRPr="00757D20">
        <w:t>-</w:t>
      </w:r>
      <w:r w:rsidRPr="00757D20">
        <w:t>economic challenges</w:t>
      </w:r>
      <w:bookmarkEnd w:id="53"/>
      <w:r w:rsidRPr="00757D20">
        <w:t xml:space="preserve">: </w:t>
      </w:r>
    </w:p>
    <w:p w14:paraId="69D49E04" w14:textId="0A1230EE" w:rsidR="003338B4" w:rsidRPr="00757D20" w:rsidRDefault="003338B4" w:rsidP="003338B4">
      <w:pPr>
        <w:pStyle w:val="Quote"/>
      </w:pPr>
      <w:r w:rsidRPr="00757D20">
        <w:t>We've got quite a low socio</w:t>
      </w:r>
      <w:r w:rsidR="003223AD" w:rsidRPr="00757D20">
        <w:t>-</w:t>
      </w:r>
      <w:r w:rsidRPr="00757D20">
        <w:t>economic basis for a lot of our kids. So, they come from poor, working class</w:t>
      </w:r>
      <w:r w:rsidR="0023654A" w:rsidRPr="00757D20">
        <w:t xml:space="preserve"> [backgrounds]</w:t>
      </w:r>
      <w:r w:rsidRPr="00757D20">
        <w:t xml:space="preserve">, or they come from families where they don't really value higher education. (Ursula, </w:t>
      </w:r>
      <w:r w:rsidR="00DC0495" w:rsidRPr="00757D20">
        <w:t>t</w:t>
      </w:r>
      <w:r w:rsidRPr="00757D20">
        <w:t>eacher, 2017)</w:t>
      </w:r>
    </w:p>
    <w:p w14:paraId="1CBEDF70" w14:textId="6356DB44" w:rsidR="003338B4" w:rsidRPr="00757D20" w:rsidRDefault="003338B4" w:rsidP="003338B4">
      <w:bookmarkStart w:id="54" w:name="_Hlk195523774"/>
      <w:r w:rsidRPr="00757D20">
        <w:t xml:space="preserve">Despite </w:t>
      </w:r>
      <w:r w:rsidR="000205B9" w:rsidRPr="00757D20">
        <w:t>a</w:t>
      </w:r>
      <w:r w:rsidRPr="00757D20">
        <w:t xml:space="preserve"> slight increase in school ICSEA</w:t>
      </w:r>
      <w:r w:rsidR="00AE2B2B" w:rsidRPr="00757D20">
        <w:t>—</w:t>
      </w:r>
      <w:r w:rsidRPr="00757D20">
        <w:t>902 in 2017 to 918 in 2024</w:t>
      </w:r>
      <w:r w:rsidR="00AE2B2B" w:rsidRPr="00757D20">
        <w:t>—</w:t>
      </w:r>
      <w:r w:rsidRPr="00757D20">
        <w:t>more than 80% of the student</w:t>
      </w:r>
      <w:r w:rsidR="003F77D3" w:rsidRPr="00757D20">
        <w:t>s</w:t>
      </w:r>
      <w:r w:rsidRPr="00757D20">
        <w:t xml:space="preserve"> at Ironbark Plains are in the bottom two </w:t>
      </w:r>
      <w:r w:rsidR="003223AD" w:rsidRPr="00757D20">
        <w:t>s</w:t>
      </w:r>
      <w:r w:rsidRPr="00757D20">
        <w:t>ocio-</w:t>
      </w:r>
      <w:r w:rsidR="003223AD" w:rsidRPr="00757D20">
        <w:t>e</w:t>
      </w:r>
      <w:r w:rsidRPr="00757D20">
        <w:t xml:space="preserve">ducational </w:t>
      </w:r>
      <w:r w:rsidR="003223AD" w:rsidRPr="00757D20">
        <w:t>a</w:t>
      </w:r>
      <w:r w:rsidRPr="00757D20">
        <w:t>dvantage</w:t>
      </w:r>
      <w:r w:rsidR="003223AD" w:rsidRPr="00757D20">
        <w:t xml:space="preserve"> (SEA</w:t>
      </w:r>
      <w:r w:rsidRPr="00757D20">
        <w:t>)</w:t>
      </w:r>
      <w:r w:rsidRPr="00757D20">
        <w:rPr>
          <w:rStyle w:val="FootnoteReference"/>
        </w:rPr>
        <w:footnoteReference w:id="11"/>
      </w:r>
      <w:r w:rsidRPr="00757D20">
        <w:t xml:space="preserve"> quartiles. Ursula's statement </w:t>
      </w:r>
      <w:r w:rsidR="001A32A6" w:rsidRPr="00757D20">
        <w:t xml:space="preserve">thus </w:t>
      </w:r>
      <w:r w:rsidRPr="00757D20">
        <w:t xml:space="preserve">reflects the </w:t>
      </w:r>
      <w:r w:rsidR="009C705D" w:rsidRPr="00757D20">
        <w:t xml:space="preserve">very real </w:t>
      </w:r>
      <w:r w:rsidR="00FB0443" w:rsidRPr="00757D20">
        <w:t xml:space="preserve">material </w:t>
      </w:r>
      <w:r w:rsidRPr="00757D20">
        <w:t>challenges faced by schools serving low socio</w:t>
      </w:r>
      <w:r w:rsidR="003223AD" w:rsidRPr="00757D20">
        <w:t>-</w:t>
      </w:r>
      <w:r w:rsidRPr="00757D20">
        <w:t>economic communities</w:t>
      </w:r>
      <w:r w:rsidR="00FB0443" w:rsidRPr="00757D20">
        <w:t xml:space="preserve">, </w:t>
      </w:r>
      <w:r w:rsidRPr="00757D20">
        <w:t>highlight</w:t>
      </w:r>
      <w:r w:rsidR="00FB0443" w:rsidRPr="00757D20">
        <w:t>ing</w:t>
      </w:r>
      <w:r w:rsidRPr="00757D20">
        <w:t xml:space="preserve"> the interplay between socio</w:t>
      </w:r>
      <w:r w:rsidR="003223AD" w:rsidRPr="00757D20">
        <w:t>-</w:t>
      </w:r>
      <w:r w:rsidRPr="00757D20">
        <w:t>economic status and educational aspirations</w:t>
      </w:r>
      <w:r w:rsidR="001A32A6" w:rsidRPr="00757D20">
        <w:t>.</w:t>
      </w:r>
    </w:p>
    <w:bookmarkEnd w:id="54"/>
    <w:p w14:paraId="618E9950" w14:textId="623BDF0E" w:rsidR="003338B4" w:rsidRPr="00757D20" w:rsidRDefault="003338B4" w:rsidP="005A562F">
      <w:r w:rsidRPr="00757D20">
        <w:t xml:space="preserve">During our </w:t>
      </w:r>
      <w:r w:rsidR="00061E77" w:rsidRPr="00757D20">
        <w:t>visit</w:t>
      </w:r>
      <w:r w:rsidRPr="00757D20">
        <w:t xml:space="preserve"> to Ironbark Plains</w:t>
      </w:r>
      <w:r w:rsidR="00061E77" w:rsidRPr="00757D20">
        <w:t xml:space="preserve"> in 2018</w:t>
      </w:r>
      <w:r w:rsidRPr="00757D20">
        <w:t xml:space="preserve">, teachers emphasised how school zoning policies reinforced entrenched social divisions within the community, compounding the marginalisation of Ironbark Plains High School. They highlighted the connection between the </w:t>
      </w:r>
      <w:r w:rsidRPr="00757D20">
        <w:lastRenderedPageBreak/>
        <w:t xml:space="preserve">school’s perceived quality and the </w:t>
      </w:r>
      <w:r w:rsidR="00A27E5F" w:rsidRPr="00757D20">
        <w:t>socio-economic</w:t>
      </w:r>
      <w:r w:rsidRPr="00757D20">
        <w:t xml:space="preserve"> status of the surrounding community. Kathleen explains:</w:t>
      </w:r>
    </w:p>
    <w:p w14:paraId="369C72CC" w14:textId="11C3D7BF" w:rsidR="003338B4" w:rsidRPr="00757D20" w:rsidRDefault="003338B4" w:rsidP="003338B4">
      <w:pPr>
        <w:pStyle w:val="Quote"/>
      </w:pPr>
      <w:r w:rsidRPr="00757D20">
        <w:t>We've got [an area] just over there which is all housing</w:t>
      </w:r>
      <w:r w:rsidR="00C21C52" w:rsidRPr="00757D20">
        <w:t xml:space="preserve"> [commission]</w:t>
      </w:r>
      <w:r w:rsidR="003223AD" w:rsidRPr="00757D20">
        <w:t xml:space="preserve"> </w:t>
      </w:r>
      <w:r w:rsidRPr="00757D20">
        <w:t xml:space="preserve">... Over there we've got everybody who owns their own homes. So, for years and years and years Mount Yarran High was the school to be. Ironbark Plains High was scum. </w:t>
      </w:r>
      <w:r w:rsidRPr="00757D20">
        <w:rPr>
          <w:iCs w:val="0"/>
        </w:rPr>
        <w:t xml:space="preserve">That’s what people called it. </w:t>
      </w:r>
      <w:r w:rsidRPr="00757D20">
        <w:t xml:space="preserve">(Kathleen, </w:t>
      </w:r>
      <w:r w:rsidR="00DC0495" w:rsidRPr="00757D20">
        <w:t>t</w:t>
      </w:r>
      <w:r w:rsidRPr="00757D20">
        <w:t>eacher, 2018)</w:t>
      </w:r>
    </w:p>
    <w:p w14:paraId="2AECC2B2" w14:textId="2197D4CE" w:rsidR="003338B4" w:rsidRPr="00757D20" w:rsidRDefault="003338B4" w:rsidP="003338B4">
      <w:r w:rsidRPr="00757D20">
        <w:t xml:space="preserve">These longstanding social divides were underpinned by reputational issues for Ironbark Plains High School, which has long battled a “bad reputation” (Charlene, </w:t>
      </w:r>
      <w:r w:rsidR="00A373EE" w:rsidRPr="00757D20">
        <w:t>parent</w:t>
      </w:r>
      <w:r w:rsidRPr="00757D20">
        <w:t>, 2018) rooted in socio</w:t>
      </w:r>
      <w:r w:rsidR="00723A2D" w:rsidRPr="00757D20">
        <w:t>-</w:t>
      </w:r>
      <w:r w:rsidRPr="00757D20">
        <w:t xml:space="preserve">economic stigma, or being from “the wrong side of the tracks” (Charlene, </w:t>
      </w:r>
      <w:r w:rsidR="00A373EE" w:rsidRPr="00757D20">
        <w:t>parent</w:t>
      </w:r>
      <w:r w:rsidRPr="00757D20">
        <w:t xml:space="preserve">, 2018). </w:t>
      </w:r>
    </w:p>
    <w:p w14:paraId="57F5DE2F" w14:textId="6A236C07" w:rsidR="003338B4" w:rsidRPr="00757D20" w:rsidRDefault="003338B4" w:rsidP="007921B8">
      <w:r w:rsidRPr="00757D20">
        <w:t xml:space="preserve">By 2025, the growing shift of students moving from public to private </w:t>
      </w:r>
      <w:r w:rsidR="003E1A31" w:rsidRPr="00757D20">
        <w:t>education was</w:t>
      </w:r>
      <w:r w:rsidRPr="00757D20">
        <w:t xml:space="preserve"> </w:t>
      </w:r>
      <w:r w:rsidR="00CE1961" w:rsidRPr="00757D20">
        <w:t xml:space="preserve">also </w:t>
      </w:r>
      <w:r w:rsidRPr="00757D20">
        <w:t xml:space="preserve">impacting enrolments at Ironbark Plains High School. While the school has historically produced high achievers, many were dismissing </w:t>
      </w:r>
      <w:r w:rsidR="00442FE7" w:rsidRPr="00757D20">
        <w:t xml:space="preserve">this school </w:t>
      </w:r>
      <w:r w:rsidRPr="00757D20">
        <w:t>as a viable education prospect:</w:t>
      </w:r>
    </w:p>
    <w:p w14:paraId="0E59A1C5" w14:textId="2A611126" w:rsidR="003338B4" w:rsidRPr="00757D20" w:rsidRDefault="003338B4" w:rsidP="003338B4">
      <w:pPr>
        <w:pStyle w:val="Quote"/>
      </w:pPr>
      <w:r w:rsidRPr="00757D20">
        <w:t>We've had people at our school that, you know, fly jets for Jetstar. We've had people at our school that have won Oscars. And people who have built these amazing businesses get 20 years down the track</w:t>
      </w:r>
      <w:bookmarkStart w:id="55" w:name="_Hlk196821290"/>
      <w:r w:rsidR="00680CFE" w:rsidRPr="00757D20">
        <w:rPr>
          <w:rFonts w:ascii="Cambria" w:hAnsi="Cambria"/>
        </w:rPr>
        <w:t>—</w:t>
      </w:r>
      <w:bookmarkEnd w:id="55"/>
      <w:r w:rsidRPr="00757D20">
        <w:t>our school's the same school that they went to</w:t>
      </w:r>
      <w:r w:rsidR="000C527B" w:rsidRPr="00757D20">
        <w:t>.</w:t>
      </w:r>
      <w:r w:rsidRPr="00757D20">
        <w:t xml:space="preserve"> [</w:t>
      </w:r>
      <w:r w:rsidR="000C527B" w:rsidRPr="00757D20">
        <w:t>But</w:t>
      </w:r>
      <w:r w:rsidRPr="00757D20">
        <w:t xml:space="preserve"> now] it’s not good enough for their kids. That's</w:t>
      </w:r>
      <w:r w:rsidR="004F2100" w:rsidRPr="00757D20">
        <w:t xml:space="preserve">, </w:t>
      </w:r>
      <w:r w:rsidRPr="00757D20">
        <w:t>I think</w:t>
      </w:r>
      <w:r w:rsidR="004F2100" w:rsidRPr="00757D20">
        <w:t>,</w:t>
      </w:r>
      <w:r w:rsidRPr="00757D20">
        <w:t xml:space="preserve"> a </w:t>
      </w:r>
      <w:proofErr w:type="gramStart"/>
      <w:r w:rsidRPr="00757D20">
        <w:t>really huge</w:t>
      </w:r>
      <w:proofErr w:type="gramEnd"/>
      <w:r w:rsidRPr="00757D20">
        <w:t xml:space="preserve"> thing with aspirations in schools, in some schools. Especially in public schools and the way… people are feeling to get a good education you </w:t>
      </w:r>
      <w:proofErr w:type="gramStart"/>
      <w:r w:rsidRPr="00757D20">
        <w:t>have to</w:t>
      </w:r>
      <w:proofErr w:type="gramEnd"/>
      <w:r w:rsidRPr="00757D20">
        <w:t xml:space="preserve"> pay for it. So, this move away from public schools and the problem with that is, what sort of society does Australia want to be? (Roberta, </w:t>
      </w:r>
      <w:r w:rsidR="00DC0495" w:rsidRPr="00757D20">
        <w:t>t</w:t>
      </w:r>
      <w:r w:rsidRPr="00757D20">
        <w:t>eacher, 2025)</w:t>
      </w:r>
    </w:p>
    <w:p w14:paraId="1F9FBD3D" w14:textId="7BF08372" w:rsidR="003338B4" w:rsidRPr="00757D20" w:rsidRDefault="003338B4" w:rsidP="003338B4">
      <w:r w:rsidRPr="00757D20">
        <w:t xml:space="preserve">Roberta's observations reveal a deepening crisis of confidence in public education, with many previous students now rejecting the school for their own children, leading to a changing school demographic </w:t>
      </w:r>
      <w:r w:rsidR="00945DDE" w:rsidRPr="00757D20">
        <w:t>and</w:t>
      </w:r>
      <w:r w:rsidRPr="00757D20">
        <w:t xml:space="preserve"> the school “becoming </w:t>
      </w:r>
      <w:proofErr w:type="spellStart"/>
      <w:r w:rsidRPr="00757D20">
        <w:t>residualised</w:t>
      </w:r>
      <w:proofErr w:type="spellEnd"/>
      <w:r w:rsidRPr="00757D20">
        <w:t xml:space="preserve">” (Roberta, </w:t>
      </w:r>
      <w:r w:rsidR="004F33D7" w:rsidRPr="00757D20">
        <w:t>t</w:t>
      </w:r>
      <w:r w:rsidRPr="00757D20">
        <w:t xml:space="preserve">eacher, 2025). Her comments point to a broader societal shift where aspirations for success are increasingly linked to private education, regardless of </w:t>
      </w:r>
      <w:r w:rsidR="00B57F11" w:rsidRPr="00757D20">
        <w:t>the</w:t>
      </w:r>
      <w:r w:rsidRPr="00757D20">
        <w:t xml:space="preserve"> </w:t>
      </w:r>
      <w:r w:rsidR="00B57F11" w:rsidRPr="00757D20">
        <w:t>outcomes in public schools</w:t>
      </w:r>
      <w:r w:rsidRPr="00757D20">
        <w:t xml:space="preserve">. </w:t>
      </w:r>
    </w:p>
    <w:p w14:paraId="4E2B8941" w14:textId="04487B24" w:rsidR="003338B4" w:rsidRPr="00757D20" w:rsidRDefault="003338B4" w:rsidP="007921B8">
      <w:proofErr w:type="gramStart"/>
      <w:r w:rsidRPr="00757D20">
        <w:t>In an effort to</w:t>
      </w:r>
      <w:proofErr w:type="gramEnd"/>
      <w:r w:rsidRPr="00757D20">
        <w:t xml:space="preserve"> bring the two public high schools in the community together and improve outcomes, Ironbark Plains High School was merged with Mount Yarran High School in 2019. However, the merger was largely unsuccessful, leading to significant angst among </w:t>
      </w:r>
      <w:r w:rsidR="00A35546" w:rsidRPr="00757D20">
        <w:t xml:space="preserve">both </w:t>
      </w:r>
      <w:r w:rsidRPr="00757D20">
        <w:t xml:space="preserve">students and teachers. A demerger was approved in 2024. Ruben, a Year </w:t>
      </w:r>
      <w:r w:rsidR="00B878CE" w:rsidRPr="00757D20">
        <w:t>11</w:t>
      </w:r>
      <w:r w:rsidRPr="00757D20">
        <w:t xml:space="preserve"> student, reflected on his experience with the merger:</w:t>
      </w:r>
    </w:p>
    <w:p w14:paraId="773D5003" w14:textId="08A68040" w:rsidR="003338B4" w:rsidRPr="00757D20" w:rsidRDefault="003338B4" w:rsidP="003338B4">
      <w:pPr>
        <w:pStyle w:val="Quote"/>
      </w:pPr>
      <w:r w:rsidRPr="00757D20">
        <w:t>With the merger/demerger</w:t>
      </w:r>
      <w:r w:rsidR="005E03A8" w:rsidRPr="00757D20">
        <w:t>,</w:t>
      </w:r>
      <w:r w:rsidRPr="00757D20">
        <w:t xml:space="preserve"> I just feel it was a big waste of money</w:t>
      </w:r>
      <w:r w:rsidR="00723A2D" w:rsidRPr="00757D20">
        <w:t xml:space="preserve"> </w:t>
      </w:r>
      <w:r w:rsidRPr="00757D20">
        <w:t xml:space="preserve">... I don't think we could ever have two separate schools come together and have the students want to get along because teenagers, they're always like bickering. </w:t>
      </w:r>
      <w:r w:rsidR="006F2704" w:rsidRPr="00757D20">
        <w:t>(Ruben, Year 11</w:t>
      </w:r>
      <w:r w:rsidR="00F675B7" w:rsidRPr="00757D20">
        <w:t xml:space="preserve"> student</w:t>
      </w:r>
      <w:r w:rsidR="006F2704" w:rsidRPr="00757D20">
        <w:t>, 2025)</w:t>
      </w:r>
      <w:r w:rsidRPr="00757D20">
        <w:t xml:space="preserve"> </w:t>
      </w:r>
    </w:p>
    <w:p w14:paraId="06337549" w14:textId="16B981CB" w:rsidR="003338B4" w:rsidRPr="00757D20" w:rsidRDefault="006F2704" w:rsidP="003338B4">
      <w:r w:rsidRPr="00757D20">
        <w:t>Ruben also went on to highlight</w:t>
      </w:r>
      <w:r w:rsidR="003338B4" w:rsidRPr="00757D20">
        <w:t xml:space="preserve"> the practical and emotional difficulties of navigating between campuses:</w:t>
      </w:r>
    </w:p>
    <w:p w14:paraId="53BEF9F2" w14:textId="24DD4626" w:rsidR="00971D37" w:rsidRPr="00757D20" w:rsidRDefault="003338B4" w:rsidP="001364C8">
      <w:pPr>
        <w:pStyle w:val="Quote"/>
      </w:pPr>
      <w:r w:rsidRPr="00757D20">
        <w:t>If I took a STEM class, I had to go to the Mount Yarran site</w:t>
      </w:r>
      <w:r w:rsidR="00723A2D" w:rsidRPr="00757D20">
        <w:t xml:space="preserve"> </w:t>
      </w:r>
      <w:r w:rsidRPr="00757D20">
        <w:t>... having to assume to get along with these kids from the Mount Yarran side that I've never known before</w:t>
      </w:r>
      <w:r w:rsidR="00723A2D" w:rsidRPr="00757D20">
        <w:t xml:space="preserve"> </w:t>
      </w:r>
      <w:r w:rsidRPr="00757D20">
        <w:t xml:space="preserve">... I just found it </w:t>
      </w:r>
      <w:proofErr w:type="gramStart"/>
      <w:r w:rsidRPr="00757D20">
        <w:t>really uncomfortable</w:t>
      </w:r>
      <w:proofErr w:type="gramEnd"/>
      <w:r w:rsidRPr="00757D20">
        <w:t xml:space="preserve"> because I didn't know the layout of </w:t>
      </w:r>
      <w:r w:rsidRPr="00757D20">
        <w:lastRenderedPageBreak/>
        <w:t>that school</w:t>
      </w:r>
      <w:r w:rsidR="00723A2D" w:rsidRPr="00757D20">
        <w:t xml:space="preserve"> </w:t>
      </w:r>
      <w:r w:rsidRPr="00757D20">
        <w:t xml:space="preserve">... I had to rely on these kids I'd never met before to show me around. (Ruben, Year </w:t>
      </w:r>
      <w:r w:rsidR="001D7E63" w:rsidRPr="00757D20">
        <w:t>11</w:t>
      </w:r>
      <w:r w:rsidR="00F675B7" w:rsidRPr="00757D20">
        <w:t xml:space="preserve"> student</w:t>
      </w:r>
      <w:r w:rsidRPr="00757D20">
        <w:t>, 2025)</w:t>
      </w:r>
    </w:p>
    <w:p w14:paraId="05D3CE4D" w14:textId="6B640EEC" w:rsidR="003338B4" w:rsidRPr="00757D20" w:rsidRDefault="003338B4" w:rsidP="00D618E7">
      <w:pPr>
        <w:pStyle w:val="Heading3"/>
      </w:pPr>
      <w:bookmarkStart w:id="56" w:name="_Toc196396147"/>
      <w:bookmarkStart w:id="57" w:name="_Toc219977218"/>
      <w:r w:rsidRPr="00757D20">
        <w:t>Socio</w:t>
      </w:r>
      <w:r w:rsidR="00D618E7" w:rsidRPr="00757D20">
        <w:t>-</w:t>
      </w:r>
      <w:r w:rsidRPr="00757D20">
        <w:t>economic pressure and the value of work</w:t>
      </w:r>
      <w:bookmarkEnd w:id="56"/>
      <w:bookmarkEnd w:id="57"/>
    </w:p>
    <w:p w14:paraId="299E19AB" w14:textId="33FBEE9C" w:rsidR="003338B4" w:rsidRPr="00757D20" w:rsidRDefault="00031943" w:rsidP="003338B4">
      <w:r w:rsidRPr="00757D20">
        <w:t>In the Ironbark Plains community</w:t>
      </w:r>
      <w:r w:rsidR="000F3053" w:rsidRPr="00757D20">
        <w:t>, s</w:t>
      </w:r>
      <w:r w:rsidR="003338B4" w:rsidRPr="00757D20">
        <w:t>ocio</w:t>
      </w:r>
      <w:r w:rsidR="00723A2D" w:rsidRPr="00757D20">
        <w:t>-</w:t>
      </w:r>
      <w:r w:rsidR="003338B4" w:rsidRPr="00757D20">
        <w:t>economic pressure</w:t>
      </w:r>
      <w:r w:rsidR="00F005F8" w:rsidRPr="00757D20">
        <w:t>s</w:t>
      </w:r>
      <w:r w:rsidR="003338B4" w:rsidRPr="00757D20">
        <w:t xml:space="preserve"> </w:t>
      </w:r>
      <w:r w:rsidR="000F3053" w:rsidRPr="00757D20">
        <w:t>have long played a</w:t>
      </w:r>
      <w:r w:rsidR="003338B4" w:rsidRPr="00757D20">
        <w:t xml:space="preserve"> strong role in shaping student choices. Many students work long hours in fast food or seasonal picking jobs to support their families, affecting attendance and performance</w:t>
      </w:r>
      <w:r w:rsidR="000F3053" w:rsidRPr="00757D20">
        <w:t>:</w:t>
      </w:r>
    </w:p>
    <w:p w14:paraId="314B89B7" w14:textId="3BB52B1E" w:rsidR="003338B4" w:rsidRPr="00757D20" w:rsidRDefault="003338B4" w:rsidP="003338B4">
      <w:pPr>
        <w:pStyle w:val="Quote"/>
      </w:pPr>
      <w:r w:rsidRPr="00757D20">
        <w:t>Kids</w:t>
      </w:r>
      <w:r w:rsidR="00723A2D" w:rsidRPr="00757D20">
        <w:t xml:space="preserve"> </w:t>
      </w:r>
      <w:r w:rsidRPr="00757D20">
        <w:t>… do their McDonald's shift</w:t>
      </w:r>
      <w:r w:rsidR="00723A2D" w:rsidRPr="00757D20">
        <w:t xml:space="preserve"> </w:t>
      </w:r>
      <w:r w:rsidRPr="00757D20">
        <w:t>… then go home and clean the house</w:t>
      </w:r>
      <w:r w:rsidR="00723A2D" w:rsidRPr="00757D20">
        <w:t xml:space="preserve"> </w:t>
      </w:r>
      <w:r w:rsidRPr="00757D20">
        <w:t xml:space="preserve">… then get up and stuff mailboxes before school. (Elissa, </w:t>
      </w:r>
      <w:r w:rsidR="000F3053" w:rsidRPr="00757D20">
        <w:t>t</w:t>
      </w:r>
      <w:r w:rsidRPr="00757D20">
        <w:t>eacher, 2017)</w:t>
      </w:r>
    </w:p>
    <w:p w14:paraId="39EF0E18" w14:textId="2194D3D0" w:rsidR="003338B4" w:rsidRPr="00757D20" w:rsidRDefault="000F3053" w:rsidP="003338B4">
      <w:r w:rsidRPr="00757D20">
        <w:t xml:space="preserve">Here, teacher </w:t>
      </w:r>
      <w:r w:rsidR="003338B4" w:rsidRPr="00757D20">
        <w:t xml:space="preserve">Elissa illustrates the heavy workload students manage, balancing part-time jobs, household responsibilities, and other tasks like delivering mail. For </w:t>
      </w:r>
      <w:r w:rsidR="00786822" w:rsidRPr="00757D20">
        <w:t xml:space="preserve">some </w:t>
      </w:r>
      <w:r w:rsidR="003338B4" w:rsidRPr="00757D20">
        <w:t>students, balancing part-time work result</w:t>
      </w:r>
      <w:r w:rsidR="00A32FAA" w:rsidRPr="00757D20">
        <w:t>s</w:t>
      </w:r>
      <w:r w:rsidR="003338B4" w:rsidRPr="00757D20">
        <w:t xml:space="preserve"> in significant absenteeism from school as many “kids go missing at certain harvest times” (Jim, </w:t>
      </w:r>
      <w:r w:rsidR="00A32FAA" w:rsidRPr="00757D20">
        <w:t>t</w:t>
      </w:r>
      <w:r w:rsidR="003338B4" w:rsidRPr="00757D20">
        <w:t xml:space="preserve">eacher, 2018). </w:t>
      </w:r>
      <w:r w:rsidR="00A32FAA" w:rsidRPr="00757D20">
        <w:t xml:space="preserve">This situation </w:t>
      </w:r>
      <w:r w:rsidR="003338B4" w:rsidRPr="00757D20">
        <w:t>reflects the socio</w:t>
      </w:r>
      <w:r w:rsidR="00723A2D" w:rsidRPr="00757D20">
        <w:t>-</w:t>
      </w:r>
      <w:r w:rsidR="003338B4" w:rsidRPr="00757D20">
        <w:t xml:space="preserve">economic realities of many students who must contribute to their families financially or through domestic labour, limiting </w:t>
      </w:r>
      <w:r w:rsidR="00DF38C3" w:rsidRPr="00757D20">
        <w:t>their</w:t>
      </w:r>
      <w:r w:rsidR="003338B4" w:rsidRPr="00757D20">
        <w:t xml:space="preserve"> </w:t>
      </w:r>
      <w:r w:rsidR="002C7925" w:rsidRPr="00757D20">
        <w:t>capacity</w:t>
      </w:r>
      <w:r w:rsidR="003338B4" w:rsidRPr="00757D20">
        <w:t xml:space="preserve"> to fully engage in education. </w:t>
      </w:r>
    </w:p>
    <w:p w14:paraId="22FC75AE" w14:textId="419418B1" w:rsidR="003338B4" w:rsidRPr="00757D20" w:rsidRDefault="002C7925" w:rsidP="007921B8">
      <w:r w:rsidRPr="00757D20">
        <w:t>In this light, a</w:t>
      </w:r>
      <w:r w:rsidR="003338B4" w:rsidRPr="00757D20">
        <w:t xml:space="preserve"> persistent theme across </w:t>
      </w:r>
      <w:r w:rsidR="00DF38C3" w:rsidRPr="00757D20">
        <w:t xml:space="preserve">all </w:t>
      </w:r>
      <w:r w:rsidRPr="00757D20">
        <w:t xml:space="preserve">the </w:t>
      </w:r>
      <w:r w:rsidR="003338B4" w:rsidRPr="00757D20">
        <w:t xml:space="preserve">years </w:t>
      </w:r>
      <w:r w:rsidRPr="00757D20">
        <w:t>we visited Ironbark Plains</w:t>
      </w:r>
      <w:r w:rsidR="00723A2D" w:rsidRPr="00757D20">
        <w:t xml:space="preserve"> High School</w:t>
      </w:r>
      <w:r w:rsidRPr="00757D20">
        <w:t xml:space="preserve"> ha</w:t>
      </w:r>
      <w:r w:rsidR="003338B4" w:rsidRPr="00757D20">
        <w:t xml:space="preserve">s </w:t>
      </w:r>
      <w:r w:rsidRPr="00757D20">
        <w:t>been</w:t>
      </w:r>
      <w:r w:rsidR="003338B4" w:rsidRPr="00757D20">
        <w:t xml:space="preserve"> the connection between students’ family employment in agriculture or factories and </w:t>
      </w:r>
      <w:r w:rsidR="006B0502" w:rsidRPr="00757D20">
        <w:t xml:space="preserve">the </w:t>
      </w:r>
      <w:r w:rsidR="003338B4" w:rsidRPr="00757D20">
        <w:t xml:space="preserve">aspirations of their children. These jobs often shape what students believe is possible for themselves. </w:t>
      </w:r>
      <w:r w:rsidR="003A7011" w:rsidRPr="00757D20">
        <w:t>For example, Elissa</w:t>
      </w:r>
      <w:r w:rsidR="003338B4" w:rsidRPr="00757D20">
        <w:t xml:space="preserve"> said:</w:t>
      </w:r>
    </w:p>
    <w:p w14:paraId="4A3B4836" w14:textId="34906523" w:rsidR="003338B4" w:rsidRPr="00757D20" w:rsidRDefault="003338B4" w:rsidP="003338B4">
      <w:pPr>
        <w:pStyle w:val="Quote"/>
      </w:pPr>
      <w:r w:rsidRPr="00757D20">
        <w:t xml:space="preserve">I had a beautiful kid from Samoa, a lovely girl, 100 per cent attendance, is quite capable. Their aunty works at a pumpkin factory, and I said, "what do you want to do when you grow up" and the kid said to me "my aunty said there'll be a job for me at </w:t>
      </w:r>
      <w:r w:rsidR="001005F2">
        <w:t>[the chicken factory]</w:t>
      </w:r>
      <w:r w:rsidRPr="00757D20">
        <w:t>." Well no. So that's that chicken processing plant. So that's what some of the kids perceive. (Elissa, teacher, 2017).</w:t>
      </w:r>
    </w:p>
    <w:p w14:paraId="5F4E1BB4" w14:textId="4A18E667" w:rsidR="003338B4" w:rsidRPr="00757D20" w:rsidRDefault="003338B4" w:rsidP="003338B4">
      <w:r w:rsidRPr="00757D20">
        <w:t xml:space="preserve">This quote starkly illustrates how some students are locked into narrow occupational futures—shaped not by personal ambition or skill, but by familial precedent and economic stability. The teacher’s response—"well no"—is both an intervention and an expression of concern over how normalised limited aspirations have become. </w:t>
      </w:r>
    </w:p>
    <w:p w14:paraId="5289AB4C" w14:textId="496C9CF1" w:rsidR="003338B4" w:rsidRPr="00757D20" w:rsidRDefault="003338B4" w:rsidP="00D76DAC">
      <w:r w:rsidRPr="00757D20">
        <w:t xml:space="preserve">Despite </w:t>
      </w:r>
      <w:r w:rsidR="00931C9B" w:rsidRPr="00757D20">
        <w:t>such</w:t>
      </w:r>
      <w:r w:rsidRPr="00757D20">
        <w:t xml:space="preserve"> challenges, students at Ironbark Plains High</w:t>
      </w:r>
      <w:r w:rsidR="00723A2D" w:rsidRPr="00757D20">
        <w:t xml:space="preserve"> School</w:t>
      </w:r>
      <w:r w:rsidRPr="00757D20">
        <w:t xml:space="preserve"> display a broad range of aspirations. There is a </w:t>
      </w:r>
      <w:r w:rsidR="004F6A4F" w:rsidRPr="00757D20">
        <w:t>notable</w:t>
      </w:r>
      <w:r w:rsidRPr="00757D20">
        <w:t xml:space="preserve"> divide between those pursuing academic pathways and those entering the workforce immediately after school, often in agriculture or local industry</w:t>
      </w:r>
      <w:r w:rsidR="00931C9B" w:rsidRPr="00757D20">
        <w:t>:</w:t>
      </w:r>
    </w:p>
    <w:p w14:paraId="067D5376" w14:textId="707A8143" w:rsidR="003338B4" w:rsidRPr="00757D20" w:rsidRDefault="003338B4" w:rsidP="003338B4">
      <w:pPr>
        <w:pStyle w:val="Quote"/>
      </w:pPr>
      <w:r w:rsidRPr="00757D20">
        <w:t xml:space="preserve">The kids who come to us are more of the people who work for the wineries, and work for the farmers, and who work in town as part of the community. (Ursula, </w:t>
      </w:r>
      <w:r w:rsidR="004F6A4F" w:rsidRPr="00757D20">
        <w:t>t</w:t>
      </w:r>
      <w:r w:rsidRPr="00757D20">
        <w:t>eacher, 2017)</w:t>
      </w:r>
    </w:p>
    <w:p w14:paraId="10F788F9" w14:textId="2109A5B5" w:rsidR="003338B4" w:rsidRPr="00757D20" w:rsidRDefault="009F1CEF" w:rsidP="00A270A5">
      <w:r w:rsidRPr="00757D20">
        <w:t>However, b</w:t>
      </w:r>
      <w:r w:rsidR="003338B4" w:rsidRPr="00757D20">
        <w:t xml:space="preserve">y 2025, </w:t>
      </w:r>
      <w:r w:rsidR="00D011C7" w:rsidRPr="00757D20">
        <w:t xml:space="preserve">another teacher, </w:t>
      </w:r>
      <w:r w:rsidR="003338B4" w:rsidRPr="00757D20">
        <w:t>Glen</w:t>
      </w:r>
      <w:r w:rsidR="00D011C7" w:rsidRPr="00757D20">
        <w:t xml:space="preserve">, was </w:t>
      </w:r>
      <w:r w:rsidR="003338B4" w:rsidRPr="00757D20">
        <w:t xml:space="preserve">highlighting the </w:t>
      </w:r>
      <w:r w:rsidR="004F6A4F" w:rsidRPr="00757D20">
        <w:t>strong</w:t>
      </w:r>
      <w:r w:rsidR="003338B4" w:rsidRPr="00757D20">
        <w:t xml:space="preserve"> financial viability of </w:t>
      </w:r>
      <w:r w:rsidR="004F6A4F" w:rsidRPr="00757D20">
        <w:t xml:space="preserve">local </w:t>
      </w:r>
      <w:r w:rsidR="003338B4" w:rsidRPr="00757D20">
        <w:t xml:space="preserve">careers in agriculture: </w:t>
      </w:r>
    </w:p>
    <w:p w14:paraId="034E674B" w14:textId="30E7A012" w:rsidR="003338B4" w:rsidRPr="00757D20" w:rsidRDefault="003338B4" w:rsidP="003338B4">
      <w:pPr>
        <w:pStyle w:val="Quote"/>
      </w:pPr>
      <w:proofErr w:type="gramStart"/>
      <w:r w:rsidRPr="00757D20">
        <w:t>In regard to</w:t>
      </w:r>
      <w:proofErr w:type="gramEnd"/>
      <w:r w:rsidRPr="00757D20">
        <w:t xml:space="preserve"> agriculture and primary industries</w:t>
      </w:r>
      <w:r w:rsidR="00723A2D" w:rsidRPr="00757D20">
        <w:t>,</w:t>
      </w:r>
      <w:r w:rsidRPr="00757D20">
        <w:t xml:space="preserve"> which I teach, there is so many opportunities in the area</w:t>
      </w:r>
      <w:r w:rsidR="00723A2D" w:rsidRPr="00757D20">
        <w:t xml:space="preserve"> </w:t>
      </w:r>
      <w:r w:rsidRPr="00757D20">
        <w:t>…</w:t>
      </w:r>
      <w:r w:rsidR="00262BEA" w:rsidRPr="00757D20">
        <w:t xml:space="preserve"> </w:t>
      </w:r>
      <w:r w:rsidRPr="00757D20">
        <w:t>Students can leave and go out to a $45 per hour job</w:t>
      </w:r>
      <w:r w:rsidR="00723A2D" w:rsidRPr="00757D20">
        <w:t xml:space="preserve"> </w:t>
      </w:r>
      <w:r w:rsidRPr="00757D20">
        <w:t xml:space="preserve">… $55/$60 with qualifications. (Glen, </w:t>
      </w:r>
      <w:r w:rsidR="004F6A4F" w:rsidRPr="00757D20">
        <w:t>t</w:t>
      </w:r>
      <w:r w:rsidRPr="00757D20">
        <w:t>eacher, 2025)</w:t>
      </w:r>
    </w:p>
    <w:p w14:paraId="515A194F" w14:textId="35EC9E50" w:rsidR="003338B4" w:rsidRPr="00757D20" w:rsidRDefault="003338B4" w:rsidP="003338B4">
      <w:r w:rsidRPr="00757D20">
        <w:lastRenderedPageBreak/>
        <w:t xml:space="preserve">Challenging the perception of agriculture as a low-income field, Glen’s comment highlights how agricultural education equips students with skills that can lead to high-paying jobs, especially when paired with qualifications. The shift here is toward reframing vocational success not as a fallback, but as a legitimate, well-paying career path. While local employment was once framed simply as abundant, by 2025 </w:t>
      </w:r>
      <w:r w:rsidR="00AF6D6A" w:rsidRPr="00757D20">
        <w:t>a</w:t>
      </w:r>
      <w:r w:rsidRPr="00757D20">
        <w:t xml:space="preserve"> shift </w:t>
      </w:r>
      <w:r w:rsidR="00AF6D6A" w:rsidRPr="00757D20">
        <w:t>has occurred</w:t>
      </w:r>
      <w:r w:rsidRPr="00757D20">
        <w:t xml:space="preserve"> toward linking education with better local economic outcomes, rather than seeing education and employment as separate or competing choices.</w:t>
      </w:r>
    </w:p>
    <w:p w14:paraId="0889B9B4" w14:textId="77777777" w:rsidR="003338B4" w:rsidRPr="00757D20" w:rsidRDefault="003338B4" w:rsidP="00D618E7">
      <w:pPr>
        <w:pStyle w:val="Heading3"/>
      </w:pPr>
      <w:bookmarkStart w:id="58" w:name="_Toc196396148"/>
      <w:bookmarkStart w:id="59" w:name="_Toc219977219"/>
      <w:r w:rsidRPr="00757D20">
        <w:t>Influences on student post-school futures</w:t>
      </w:r>
      <w:bookmarkEnd w:id="58"/>
      <w:bookmarkEnd w:id="59"/>
    </w:p>
    <w:p w14:paraId="26A5E53D" w14:textId="47750C8C" w:rsidR="003338B4" w:rsidRPr="00757D20" w:rsidRDefault="00C60D22" w:rsidP="003338B4">
      <w:r w:rsidRPr="00757D20">
        <w:t>Within this context, c</w:t>
      </w:r>
      <w:r w:rsidR="003338B4" w:rsidRPr="00757D20">
        <w:t xml:space="preserve">ultural, familial, and economic factors </w:t>
      </w:r>
      <w:r w:rsidRPr="00757D20">
        <w:t xml:space="preserve">intertwine to </w:t>
      </w:r>
      <w:r w:rsidR="003338B4" w:rsidRPr="00757D20">
        <w:t>play a major role in the post-school decisions of students who attend Ironbark Plains High School. Financial hardship is a persistent and intensifying theme in the student experience across all years</w:t>
      </w:r>
      <w:r w:rsidR="00E02B31" w:rsidRPr="00757D20">
        <w:t xml:space="preserve"> we visited the school</w:t>
      </w:r>
      <w:r w:rsidR="003338B4" w:rsidRPr="00757D20">
        <w:t>. Students from Ironbark Plains consistently face barriers to post-school options due to affordability issues:</w:t>
      </w:r>
    </w:p>
    <w:p w14:paraId="45582D80" w14:textId="3148CD45" w:rsidR="003338B4" w:rsidRPr="00757D20" w:rsidRDefault="003338B4" w:rsidP="003338B4">
      <w:pPr>
        <w:pStyle w:val="Quote"/>
      </w:pPr>
      <w:r w:rsidRPr="00757D20">
        <w:t>Money to do extracurricular. Money to do even subjects that require fees. Money to do training or TAFE or any extracurricular non-school based training. Money to go to university. Basically, if it needs money outside of government funding</w:t>
      </w:r>
      <w:r w:rsidR="00AD7506" w:rsidRPr="00757D20">
        <w:t>,</w:t>
      </w:r>
      <w:r w:rsidRPr="00757D20">
        <w:t xml:space="preserve"> a lot of our kids will never be able to access it unless they fund it themselves and they are often supporting their families. (Ursula, teacher, 2017)</w:t>
      </w:r>
    </w:p>
    <w:p w14:paraId="62D66742" w14:textId="0F3A123F" w:rsidR="003338B4" w:rsidRPr="00757D20" w:rsidRDefault="003338B4" w:rsidP="003338B4">
      <w:r w:rsidRPr="00757D20">
        <w:t>This</w:t>
      </w:r>
      <w:r w:rsidR="00CC064A" w:rsidRPr="00757D20">
        <w:t xml:space="preserve"> situation</w:t>
      </w:r>
      <w:r w:rsidRPr="00757D20">
        <w:t xml:space="preserve"> speaks to the insidious ways financial strain limits access to broader learning experiences. Not only do students quietly opt out of school subjects, but access to university is also </w:t>
      </w:r>
      <w:r w:rsidR="0023023F" w:rsidRPr="00757D20">
        <w:t xml:space="preserve">seen as </w:t>
      </w:r>
      <w:r w:rsidRPr="00757D20">
        <w:t xml:space="preserve">a significant financial strain </w:t>
      </w:r>
      <w:r w:rsidR="0037180D" w:rsidRPr="00757D20">
        <w:t>by</w:t>
      </w:r>
      <w:r w:rsidRPr="00757D20">
        <w:t xml:space="preserve"> families:</w:t>
      </w:r>
    </w:p>
    <w:p w14:paraId="56442E0F" w14:textId="304B0963" w:rsidR="003338B4" w:rsidRPr="00757D20" w:rsidRDefault="003338B4" w:rsidP="003338B4">
      <w:pPr>
        <w:pStyle w:val="Quote"/>
      </w:pPr>
      <w:r w:rsidRPr="00757D20">
        <w:t xml:space="preserve">We are disadvantaged because the nearest [university is] two hours away and you still </w:t>
      </w:r>
      <w:proofErr w:type="gramStart"/>
      <w:r w:rsidRPr="00757D20">
        <w:t>have to</w:t>
      </w:r>
      <w:proofErr w:type="gramEnd"/>
      <w:r w:rsidR="00B36F57" w:rsidRPr="00757D20">
        <w:t xml:space="preserve"> </w:t>
      </w:r>
      <w:r w:rsidRPr="00757D20">
        <w:t xml:space="preserve">... I think you would find a lot more kids would probably go to university, because you're talking about forking out a lot of money and there's a lot of families can't afford that money, so they don't see </w:t>
      </w:r>
      <w:r w:rsidR="00DB6E3D" w:rsidRPr="00757D20">
        <w:t>u</w:t>
      </w:r>
      <w:r w:rsidRPr="00757D20">
        <w:t xml:space="preserve">niversity as an option because of that. (Charlene, </w:t>
      </w:r>
      <w:r w:rsidR="00DB6E3D" w:rsidRPr="00757D20">
        <w:t>p</w:t>
      </w:r>
      <w:r w:rsidRPr="00757D20">
        <w:t>arent, 2018).</w:t>
      </w:r>
    </w:p>
    <w:p w14:paraId="10A7E28C" w14:textId="5A25212D" w:rsidR="003338B4" w:rsidRPr="00757D20" w:rsidRDefault="003338B4" w:rsidP="003338B4">
      <w:r w:rsidRPr="00757D20">
        <w:t>The nearest university being “two hours away” illustrates the geographic isolation of rural communities</w:t>
      </w:r>
      <w:r w:rsidR="00DB6E3D" w:rsidRPr="00757D20">
        <w:t xml:space="preserve"> like Ironbark</w:t>
      </w:r>
      <w:r w:rsidRPr="00757D20">
        <w:t xml:space="preserve">. This distance imposes significant logistical challenges, such as long commutes or relocation, which can deter students from pursuing higher education. For students such as Ruben, who are negotiating both geographic isolation and a cost-of-living crisis, access to stable employment could significantly influence </w:t>
      </w:r>
      <w:r w:rsidR="00667F46" w:rsidRPr="00757D20">
        <w:t>their ability</w:t>
      </w:r>
      <w:r w:rsidRPr="00757D20">
        <w:t xml:space="preserve"> to attend university:</w:t>
      </w:r>
    </w:p>
    <w:p w14:paraId="13AADA52" w14:textId="0DCA68B4" w:rsidR="003338B4" w:rsidRPr="00757D20" w:rsidRDefault="003338B4" w:rsidP="003338B4">
      <w:pPr>
        <w:pStyle w:val="Quote"/>
      </w:pPr>
      <w:r w:rsidRPr="00757D20">
        <w:t>I'm a bit worried about the cost of living but I have been reassured by one of the jobs I'm working at they have several branches around Australia. And so, they said that if I wanted to move somewhere that had a branch there, they could put in a referral. And give me a higher chance to be able to work there. And be able to cover the costs of either a university dorm or having my own apartment and just things like that. Being able to have more of an opportunity to have more money. (Ruben, Year 11</w:t>
      </w:r>
      <w:r w:rsidR="008F3B0B" w:rsidRPr="00757D20">
        <w:t xml:space="preserve"> student</w:t>
      </w:r>
      <w:r w:rsidRPr="00757D20">
        <w:t>, 2025)</w:t>
      </w:r>
    </w:p>
    <w:p w14:paraId="65009C28" w14:textId="0674CDCE" w:rsidR="003338B4" w:rsidRPr="00757D20" w:rsidRDefault="003338B4" w:rsidP="003338B4">
      <w:r w:rsidRPr="00757D20">
        <w:lastRenderedPageBreak/>
        <w:t>Ruben’s experience underscores the importance of financial stability and supportive employment in enabling students to pursue higher education. Yet many students will not have access to a supportive employer and will not have the same opportunity, highlighting disparities in access to resources that facilitate university attendance.</w:t>
      </w:r>
      <w:r w:rsidR="006C7C1F" w:rsidRPr="00757D20">
        <w:t xml:space="preserve"> </w:t>
      </w:r>
      <w:r w:rsidR="00EA334A" w:rsidRPr="00757D20">
        <w:t>Such</w:t>
      </w:r>
      <w:r w:rsidRPr="00757D20">
        <w:t xml:space="preserve"> quotes reflect a shift from general affordability concerns (2017–2018) to acute pressures linked to the rising cost of living and economic instability (2025). Students are increasingly navigating complex trade-offs between education and immediate financial needs.</w:t>
      </w:r>
    </w:p>
    <w:p w14:paraId="637385F1" w14:textId="046688DA" w:rsidR="003338B4" w:rsidRPr="00757D20" w:rsidRDefault="008502F3" w:rsidP="007921B8">
      <w:r w:rsidRPr="00757D20">
        <w:t>In Ironbark, m</w:t>
      </w:r>
      <w:r w:rsidR="003338B4" w:rsidRPr="00757D20">
        <w:t xml:space="preserve">any students are </w:t>
      </w:r>
      <w:r w:rsidRPr="00757D20">
        <w:t>also</w:t>
      </w:r>
      <w:r w:rsidR="003338B4" w:rsidRPr="00757D20">
        <w:t xml:space="preserve"> deeply connected to their families, often taking on caregiving or financial responsibilities. Elissa, for example, said:</w:t>
      </w:r>
    </w:p>
    <w:p w14:paraId="61E65F77" w14:textId="49B52998" w:rsidR="003338B4" w:rsidRPr="00757D20" w:rsidRDefault="003338B4" w:rsidP="003338B4">
      <w:pPr>
        <w:pStyle w:val="Quote"/>
      </w:pPr>
      <w:r w:rsidRPr="00757D20">
        <w:t>Those are the ones [with caregiving responsibilities] who [will] disappear, and they'll disappear for a week, two weeks, a month and they'll either be</w:t>
      </w:r>
      <w:r w:rsidR="008D175E" w:rsidRPr="00757D20">
        <w:t>,</w:t>
      </w:r>
      <w:r w:rsidRPr="00757D20">
        <w:t xml:space="preserve"> </w:t>
      </w:r>
      <w:r w:rsidR="008D175E" w:rsidRPr="00757D20">
        <w:t>“</w:t>
      </w:r>
      <w:r w:rsidRPr="00757D20">
        <w:t>what's the point in coming back, I have too much to do</w:t>
      </w:r>
      <w:r w:rsidR="008D175E" w:rsidRPr="00757D20">
        <w:t>”</w:t>
      </w:r>
      <w:r w:rsidRPr="00757D20">
        <w:t xml:space="preserve">, or </w:t>
      </w:r>
      <w:r w:rsidR="008D175E" w:rsidRPr="00757D20">
        <w:t>“</w:t>
      </w:r>
      <w:r w:rsidRPr="00757D20">
        <w:t>I got a job picking because I got better money</w:t>
      </w:r>
      <w:r w:rsidR="008D175E" w:rsidRPr="00757D20">
        <w:t>”</w:t>
      </w:r>
      <w:r w:rsidRPr="00757D20">
        <w:t>. (Elissa, teacher, 2017)</w:t>
      </w:r>
    </w:p>
    <w:p w14:paraId="5DE94E2B" w14:textId="5A9CC695" w:rsidR="003338B4" w:rsidRPr="00757D20" w:rsidRDefault="003338B4" w:rsidP="003338B4">
      <w:r w:rsidRPr="00757D20">
        <w:t>Elissa’s observation underscores the critical need for systemic reforms to support students with caregiving responsibilities. Without targeted interventions addressing absenteeism</w:t>
      </w:r>
      <w:r w:rsidR="00DE5B4D" w:rsidRPr="00757D20">
        <w:t xml:space="preserve"> and</w:t>
      </w:r>
      <w:r w:rsidRPr="00757D20">
        <w:t xml:space="preserve"> financial pressures, these students are at heightened risk of disengagement and dropout, limiting their future opportunities</w:t>
      </w:r>
      <w:r w:rsidR="00DE5B4D" w:rsidRPr="00757D20">
        <w:t>:</w:t>
      </w:r>
    </w:p>
    <w:p w14:paraId="5A689DB6" w14:textId="698BA6B1" w:rsidR="003338B4" w:rsidRPr="00757D20" w:rsidRDefault="003338B4" w:rsidP="003338B4">
      <w:pPr>
        <w:pStyle w:val="Quote"/>
      </w:pPr>
      <w:r w:rsidRPr="00757D20">
        <w:t>Her grandmother had</w:t>
      </w:r>
      <w:r w:rsidR="00B36F57" w:rsidRPr="00757D20">
        <w:t>—</w:t>
      </w:r>
      <w:r w:rsidRPr="00757D20">
        <w:t>was bedbound and had dementia and so she'd come home from school, she'd care for her grandmother with dementia until her mum came home from night shift and then she would sleep. She'd get up, she'd come back to school the next day</w:t>
      </w:r>
      <w:r w:rsidR="00B36F57" w:rsidRPr="00757D20">
        <w:t xml:space="preserve"> </w:t>
      </w:r>
      <w:r w:rsidRPr="00757D20">
        <w:t>…</w:t>
      </w:r>
      <w:r w:rsidR="00FF0BB4" w:rsidRPr="00757D20">
        <w:t xml:space="preserve"> </w:t>
      </w:r>
      <w:r w:rsidRPr="00757D20">
        <w:t xml:space="preserve">She was translating for her family as well. That's not </w:t>
      </w:r>
      <w:proofErr w:type="gramStart"/>
      <w:r w:rsidRPr="00757D20">
        <w:t>all of</w:t>
      </w:r>
      <w:proofErr w:type="gramEnd"/>
      <w:r w:rsidRPr="00757D20">
        <w:t xml:space="preserve"> our families. But it’s not an insignificant number of families who have very strong family commitments as well. Which is why staying home or close to home or having options when it comes to study are </w:t>
      </w:r>
      <w:proofErr w:type="gramStart"/>
      <w:r w:rsidRPr="00757D20">
        <w:t>actually really</w:t>
      </w:r>
      <w:proofErr w:type="gramEnd"/>
      <w:r w:rsidRPr="00757D20">
        <w:t xml:space="preserve"> important for some of our kids. (Cassy, teacher, 2025).</w:t>
      </w:r>
    </w:p>
    <w:p w14:paraId="7A774401" w14:textId="093D3BB5" w:rsidR="003338B4" w:rsidRPr="00757D20" w:rsidRDefault="003338B4" w:rsidP="003338B4">
      <w:r w:rsidRPr="00757D20">
        <w:t xml:space="preserve">Such obligations may force students to prioritise immediate family needs over long-term educational goals, limiting their ability to pursue opportunities like university or vocational training. </w:t>
      </w:r>
    </w:p>
    <w:p w14:paraId="4C78C1FD" w14:textId="112067F4" w:rsidR="003338B4" w:rsidRPr="00757D20" w:rsidRDefault="003338B4" w:rsidP="007921B8">
      <w:r w:rsidRPr="00757D20">
        <w:t xml:space="preserve">Students we spoke to in 2025 </w:t>
      </w:r>
      <w:r w:rsidR="00812A30" w:rsidRPr="00757D20">
        <w:t xml:space="preserve">also </w:t>
      </w:r>
      <w:r w:rsidRPr="00757D20">
        <w:t xml:space="preserve">expressed deep anxiety about global instability, technological change, and future opportunities. The impact of AI was a </w:t>
      </w:r>
      <w:r w:rsidR="00FF75A6" w:rsidRPr="00757D20">
        <w:t xml:space="preserve">particular </w:t>
      </w:r>
      <w:r w:rsidRPr="00757D20">
        <w:t>concern for some young people</w:t>
      </w:r>
      <w:r w:rsidR="00FF75A6" w:rsidRPr="00757D20">
        <w:t xml:space="preserve"> like Aabida</w:t>
      </w:r>
      <w:r w:rsidRPr="00757D20">
        <w:t xml:space="preserve">: </w:t>
      </w:r>
    </w:p>
    <w:p w14:paraId="4FB6E8D7" w14:textId="73813BEC" w:rsidR="003338B4" w:rsidRPr="00757D20" w:rsidRDefault="003338B4" w:rsidP="003338B4">
      <w:pPr>
        <w:pStyle w:val="Quote"/>
      </w:pPr>
      <w:r w:rsidRPr="00757D20">
        <w:t xml:space="preserve">I don’t really think it’s going to be that good. Like, all the consequences that’s happening right now because of AI and stuff. It’s going </w:t>
      </w:r>
      <w:proofErr w:type="gramStart"/>
      <w:r w:rsidRPr="00757D20">
        <w:t>pretty bad</w:t>
      </w:r>
      <w:proofErr w:type="gramEnd"/>
      <w:r w:rsidRPr="00757D20">
        <w:t>. Like, it will take people’s jobs and not give anyone opportunities to do anything. Although it will be efficient, it won’t be useful for anyone else. (Aabida, Year 8</w:t>
      </w:r>
      <w:r w:rsidR="0006147B" w:rsidRPr="00757D20">
        <w:t xml:space="preserve"> student</w:t>
      </w:r>
      <w:r w:rsidRPr="00757D20">
        <w:t>, 2025)</w:t>
      </w:r>
    </w:p>
    <w:p w14:paraId="370F6975" w14:textId="256D1E54" w:rsidR="003338B4" w:rsidRPr="00757D20" w:rsidRDefault="003338B4" w:rsidP="003338B4">
      <w:r w:rsidRPr="00757D20">
        <w:t>Aabida’s statement underscores the tension between the efficiency of AI and its potential to disrupt employment and societal equity</w:t>
      </w:r>
      <w:r w:rsidR="0006147B" w:rsidRPr="00757D20">
        <w:t>, especially for those in more precarious social positions</w:t>
      </w:r>
      <w:r w:rsidRPr="00757D20">
        <w:t>. While acknowledging AI’s efficiency, Aabida questions its societal benefit</w:t>
      </w:r>
      <w:r w:rsidR="0006147B" w:rsidRPr="00757D20">
        <w:t>, reflecting a degree of</w:t>
      </w:r>
      <w:r w:rsidRPr="00757D20">
        <w:t xml:space="preserve"> scepticism about whether AI-driven productivity gains will translate to equitable outcomes. </w:t>
      </w:r>
    </w:p>
    <w:p w14:paraId="654D6FD0" w14:textId="32B2B277" w:rsidR="003338B4" w:rsidRPr="00757D20" w:rsidRDefault="003338B4" w:rsidP="003338B4">
      <w:r w:rsidRPr="00757D20">
        <w:lastRenderedPageBreak/>
        <w:t xml:space="preserve">For other students, such as Lottie, uncertainty about the future is grounded in generalised anxieties </w:t>
      </w:r>
      <w:r w:rsidR="00351370" w:rsidRPr="00757D20">
        <w:t xml:space="preserve">fuelled </w:t>
      </w:r>
      <w:r w:rsidRPr="00757D20">
        <w:t xml:space="preserve">by the COVID-19 pandemic: </w:t>
      </w:r>
    </w:p>
    <w:p w14:paraId="66C7753F" w14:textId="742A8C4C" w:rsidR="003338B4" w:rsidRPr="00757D20" w:rsidRDefault="003338B4" w:rsidP="003338B4">
      <w:pPr>
        <w:pStyle w:val="Quote"/>
      </w:pPr>
      <w:r w:rsidRPr="00757D20">
        <w:t xml:space="preserve">I’m </w:t>
      </w:r>
      <w:proofErr w:type="gramStart"/>
      <w:r w:rsidRPr="00757D20">
        <w:t>actually really</w:t>
      </w:r>
      <w:proofErr w:type="gramEnd"/>
      <w:r w:rsidRPr="00757D20">
        <w:t xml:space="preserve"> scared, </w:t>
      </w:r>
      <w:proofErr w:type="spellStart"/>
      <w:r w:rsidR="00B070FA" w:rsidRPr="00757D20">
        <w:t>’</w:t>
      </w:r>
      <w:proofErr w:type="gramStart"/>
      <w:r w:rsidRPr="00757D20">
        <w:t>cause</w:t>
      </w:r>
      <w:proofErr w:type="spellEnd"/>
      <w:proofErr w:type="gramEnd"/>
      <w:r w:rsidRPr="00757D20">
        <w:t xml:space="preserve"> I don’t know, you never know, like something could happen tomorrow and like with COVID it happened. Like one day it just happened out of nowhere and it became a world problem. It was just insane</w:t>
      </w:r>
      <w:r w:rsidR="00B36F57" w:rsidRPr="00757D20">
        <w:t xml:space="preserve"> </w:t>
      </w:r>
      <w:r w:rsidRPr="00757D20">
        <w:t>… I just feel like there’s going to be a lot</w:t>
      </w:r>
      <w:r w:rsidR="00680CFE" w:rsidRPr="00757D20">
        <w:t>—</w:t>
      </w:r>
      <w:r w:rsidRPr="00757D20">
        <w:t>like a lot more things that will happen in the future, especially when I’m going to be older and</w:t>
      </w:r>
      <w:r w:rsidR="00BC29DC" w:rsidRPr="00757D20">
        <w:t xml:space="preserve"> </w:t>
      </w:r>
      <w:r w:rsidRPr="00757D20">
        <w:t>by myself without parents. And I don’t know how I’m going to be able to</w:t>
      </w:r>
      <w:r w:rsidR="00680CFE" w:rsidRPr="00757D20">
        <w:t>—</w:t>
      </w:r>
      <w:r w:rsidRPr="00757D20">
        <w:t xml:space="preserve">too much </w:t>
      </w:r>
      <w:r w:rsidR="00616FFC" w:rsidRPr="00757D20">
        <w:t>pressure,</w:t>
      </w:r>
      <w:r w:rsidRPr="00757D20">
        <w:t xml:space="preserve"> I guess.</w:t>
      </w:r>
      <w:r w:rsidR="00616FFC" w:rsidRPr="00757D20">
        <w:t xml:space="preserve"> </w:t>
      </w:r>
      <w:r w:rsidRPr="00757D20">
        <w:t>(Lottie, Year 11</w:t>
      </w:r>
      <w:r w:rsidR="00351370" w:rsidRPr="00757D20">
        <w:t xml:space="preserve"> student</w:t>
      </w:r>
      <w:r w:rsidRPr="00757D20">
        <w:t>, 2025)</w:t>
      </w:r>
    </w:p>
    <w:p w14:paraId="045B40A7" w14:textId="714B9EA2" w:rsidR="003338B4" w:rsidRPr="00757D20" w:rsidRDefault="003338B4" w:rsidP="003338B4">
      <w:r w:rsidRPr="00757D20">
        <w:t xml:space="preserve">Lottie’s concerns mirror wider youth anxieties about inheriting a world marked by climate change, political instability, and technological disruption. The emotional toll of "not knowing" reflects </w:t>
      </w:r>
      <w:r w:rsidR="00A57267" w:rsidRPr="00757D20">
        <w:t>increase</w:t>
      </w:r>
      <w:r w:rsidR="003C229F" w:rsidRPr="00757D20">
        <w:t>d</w:t>
      </w:r>
      <w:r w:rsidR="00A57267" w:rsidRPr="00757D20">
        <w:t xml:space="preserve"> mental ill-health</w:t>
      </w:r>
      <w:r w:rsidRPr="00757D20">
        <w:t xml:space="preserve"> among youth, </w:t>
      </w:r>
      <w:r w:rsidR="00A57267" w:rsidRPr="00757D20">
        <w:t xml:space="preserve">possibly </w:t>
      </w:r>
      <w:r w:rsidRPr="00757D20">
        <w:t>exacerbated by constant exposure to dystopian narratives through media and social platforms.</w:t>
      </w:r>
    </w:p>
    <w:p w14:paraId="3BCC0BAD" w14:textId="77777777" w:rsidR="003338B4" w:rsidRPr="00757D20" w:rsidRDefault="003338B4" w:rsidP="00D618E7">
      <w:pPr>
        <w:pStyle w:val="Heading3"/>
      </w:pPr>
      <w:bookmarkStart w:id="60" w:name="_Toc196396149"/>
      <w:bookmarkStart w:id="61" w:name="_Toc219977220"/>
      <w:r w:rsidRPr="00757D20">
        <w:t>Conclusion</w:t>
      </w:r>
      <w:bookmarkEnd w:id="60"/>
      <w:bookmarkEnd w:id="61"/>
    </w:p>
    <w:p w14:paraId="1DE8D0DA" w14:textId="3B36CA46" w:rsidR="00971D37" w:rsidRPr="00757D20" w:rsidRDefault="003338B4" w:rsidP="003338B4">
      <w:r w:rsidRPr="00757D20">
        <w:t>Students at Ironbark Plains High School navigate a complex landscape of socio</w:t>
      </w:r>
      <w:r w:rsidR="00B36F57" w:rsidRPr="00757D20">
        <w:t>-</w:t>
      </w:r>
      <w:r w:rsidRPr="00757D20">
        <w:t xml:space="preserve">economic challenges, </w:t>
      </w:r>
      <w:r w:rsidR="008D4EF8" w:rsidRPr="00757D20">
        <w:t>familia</w:t>
      </w:r>
      <w:r w:rsidR="00DD5876" w:rsidRPr="00757D20">
        <w:t>l obligations</w:t>
      </w:r>
      <w:r w:rsidRPr="00757D20">
        <w:t xml:space="preserve">, and the reverberating impacts of a failed </w:t>
      </w:r>
      <w:r w:rsidR="00A57267" w:rsidRPr="00757D20">
        <w:t xml:space="preserve">school </w:t>
      </w:r>
      <w:r w:rsidRPr="00757D20">
        <w:t>merger, all of which significantly shape student</w:t>
      </w:r>
      <w:r w:rsidR="0002711C" w:rsidRPr="00757D20">
        <w:t>s</w:t>
      </w:r>
      <w:r w:rsidR="00E163EB" w:rsidRPr="00757D20">
        <w:t>’</w:t>
      </w:r>
      <w:r w:rsidR="0002711C" w:rsidRPr="00757D20">
        <w:t xml:space="preserve"> present circumstances and future</w:t>
      </w:r>
      <w:r w:rsidRPr="00757D20">
        <w:t xml:space="preserve"> aspirations</w:t>
      </w:r>
      <w:r w:rsidR="0002711C" w:rsidRPr="00757D20">
        <w:t xml:space="preserve">. </w:t>
      </w:r>
      <w:r w:rsidR="00287CC0" w:rsidRPr="00757D20">
        <w:t xml:space="preserve">Despite facing persistent </w:t>
      </w:r>
      <w:r w:rsidR="0002711C" w:rsidRPr="00757D20">
        <w:t xml:space="preserve">material </w:t>
      </w:r>
      <w:r w:rsidR="00287CC0" w:rsidRPr="00757D20">
        <w:t>challenges</w:t>
      </w:r>
      <w:r w:rsidR="0002711C" w:rsidRPr="00757D20">
        <w:t xml:space="preserve"> in the community</w:t>
      </w:r>
      <w:r w:rsidR="00287CC0" w:rsidRPr="00757D20">
        <w:t xml:space="preserve">, shifting enrolment patterns, and reputational stigma, the school continues to foster cultural inclusivity and student resilience. While financial strain, caregiving responsibilities, and systemic barriers limit some students’ access to post-school opportunities, others are finding new pathways through vocational success and supportive local employment. </w:t>
      </w:r>
    </w:p>
    <w:p w14:paraId="0C364023" w14:textId="77777777" w:rsidR="00971D37" w:rsidRPr="00757D20" w:rsidRDefault="00971D37">
      <w:pPr>
        <w:spacing w:line="259" w:lineRule="auto"/>
      </w:pPr>
      <w:r w:rsidRPr="00757D20">
        <w:br w:type="page"/>
      </w:r>
    </w:p>
    <w:p w14:paraId="6AA536A1" w14:textId="59E0ECE3" w:rsidR="00870717" w:rsidRPr="00757D20" w:rsidRDefault="00870717" w:rsidP="00F56BA8">
      <w:pPr>
        <w:pStyle w:val="Heading2"/>
      </w:pPr>
      <w:bookmarkStart w:id="62" w:name="_Toc219977221"/>
      <w:r w:rsidRPr="00757D20">
        <w:lastRenderedPageBreak/>
        <w:t>Oldfields Central School</w:t>
      </w:r>
      <w:bookmarkEnd w:id="62"/>
      <w:r w:rsidRPr="00757D20">
        <w:t xml:space="preserve"> </w:t>
      </w:r>
    </w:p>
    <w:p w14:paraId="5F2DBCF7" w14:textId="669ACBB0" w:rsidR="00870717" w:rsidRPr="00757D20" w:rsidRDefault="00870717" w:rsidP="00870717">
      <w:pPr>
        <w:pStyle w:val="NormalWeb"/>
      </w:pPr>
      <w:r w:rsidRPr="00757D20">
        <w:rPr>
          <w:noProof/>
        </w:rPr>
        <w:drawing>
          <wp:inline distT="0" distB="0" distL="0" distR="0" wp14:anchorId="7A0F33BD" wp14:editId="6957D8E3">
            <wp:extent cx="2700000" cy="2700000"/>
            <wp:effectExtent l="0" t="0" r="5715" b="5715"/>
            <wp:docPr id="312137004" name="Picture 2" descr="Table showing school profile data for ASGS Locality Outer Regional from years 2017, 2018, and 2024. It includes ICSEA scores, student enrolments, gender ratios, Indigenous percentages, and LBOTE counts, highlighting a decline in enrolments and slight gender ratio shifts over time. ICSEA dropped in 2028, but steadied in 2024. Percentage of Indigenous students remained steady at 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37004" name="Picture 2" descr="Table showing school profile data for ASGS Locality Outer Regional from years 2017, 2018, and 2024. It includes ICSEA scores, student enrolments, gender ratios, Indigenous percentages, and LBOTE counts, highlighting a decline in enrolments and slight gender ratio shifts over time. ICSEA dropped in 2028, but steadied in 2024. Percentage of Indigenous students remained steady at 22-2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r w:rsidRPr="00757D20">
        <w:tab/>
        <w:t xml:space="preserve">    </w:t>
      </w:r>
      <w:r w:rsidRPr="00757D20">
        <w:rPr>
          <w:noProof/>
        </w:rPr>
        <w:drawing>
          <wp:inline distT="0" distB="0" distL="0" distR="0" wp14:anchorId="33B9CA13" wp14:editId="1F4A79DD">
            <wp:extent cx="2700000" cy="2700000"/>
            <wp:effectExtent l="0" t="0" r="5715" b="5715"/>
            <wp:docPr id="5" name="Picture 3" descr="Table presenting community profile snapshot for ASGS Locality Outer Regional using ABS Census Data from 2016 and 2021. It shows population growth from 1,761 to 1,825, slight decreases in Aboriginal and/or Torres Strait Islander percentage (7.6% to 7.5%), overseas-born population (17.7% to 17.0%), and unemployment rate (5.2% to 4.7%).&#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able presenting community profile snapshot for ASGS Locality Outer Regional using ABS Census Data from 2016 and 2021. It shows population growth from 1,761 to 1,825, slight decreases in Aboriginal and/or Torres Strait Islander percentage (7.6% to 7.5%), overseas-born population (17.7% to 17.0%), and unemployment rate (5.2% to 4.7%).&#10;&#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p w14:paraId="78B740F2" w14:textId="20185B7C" w:rsidR="00870717" w:rsidRPr="00757D20" w:rsidRDefault="00402349" w:rsidP="00870717">
      <w:pPr>
        <w:spacing w:line="360" w:lineRule="auto"/>
        <w:rPr>
          <w:noProof/>
        </w:rPr>
      </w:pPr>
      <w:r w:rsidRPr="00757D20">
        <w:rPr>
          <w:noProof/>
        </w:rPr>
        <w:drawing>
          <wp:inline distT="0" distB="0" distL="0" distR="0" wp14:anchorId="1CF02886" wp14:editId="4948292E">
            <wp:extent cx="2700000" cy="2700000"/>
            <wp:effectExtent l="0" t="0" r="5715" b="5715"/>
            <wp:docPr id="2104622058" name="Chart 1" descr="Table showing Highest Level of Educational Attainment for 2016 and 2021, indicating whether students finished high school or TAFE, gained a Bachelor degree or above, or didn't state which. There were slight increases between 2016 and 2021 in each category except not stated with High School having the highest occurrence at 45-47%. ">
              <a:extLst xmlns:a="http://schemas.openxmlformats.org/drawingml/2006/main">
                <a:ext uri="{FF2B5EF4-FFF2-40B4-BE49-F238E27FC236}">
                  <a16:creationId xmlns:a16="http://schemas.microsoft.com/office/drawing/2014/main" id="{B756E980-8773-56FD-2445-B74D825167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70717" w:rsidRPr="00757D20">
        <w:rPr>
          <w:noProof/>
        </w:rPr>
        <w:tab/>
        <w:t xml:space="preserve">    </w:t>
      </w:r>
      <w:r w:rsidR="00870717" w:rsidRPr="00757D20">
        <w:rPr>
          <w:noProof/>
        </w:rPr>
        <w:drawing>
          <wp:inline distT="0" distB="0" distL="0" distR="0" wp14:anchorId="63F7D053" wp14:editId="35E42B40">
            <wp:extent cx="2700000" cy="2700000"/>
            <wp:effectExtent l="0" t="0" r="5715" b="5715"/>
            <wp:docPr id="156616414" name="Chart 1" descr="Table showing Community Occupations in 2016 and 2021 with categories for Labourers, Machine Operators, Sales Workers, Clerical, Community and Personal, Technicians and Trades, Professionals and Managers. The highest occurrence in both years is for managers at around 20% with Labourers at around 17% and Machine Operators at around 15%. ">
              <a:extLst xmlns:a="http://schemas.openxmlformats.org/drawingml/2006/main">
                <a:ext uri="{FF2B5EF4-FFF2-40B4-BE49-F238E27FC236}">
                  <a16:creationId xmlns:a16="http://schemas.microsoft.com/office/drawing/2014/main" id="{929CDACF-9A4F-130D-6DC5-1712786E6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9848D9" w14:textId="77777777" w:rsidR="003A6CEB" w:rsidRPr="00757D20" w:rsidRDefault="003A6CEB" w:rsidP="00870717">
      <w:pPr>
        <w:spacing w:line="360" w:lineRule="auto"/>
        <w:rPr>
          <w:noProof/>
        </w:rPr>
      </w:pPr>
    </w:p>
    <w:p w14:paraId="7E242904" w14:textId="7A650B3D" w:rsidR="001B4E2C" w:rsidRPr="00757D20" w:rsidRDefault="003F61E9" w:rsidP="00446E68">
      <w:pPr>
        <w:spacing w:after="0" w:line="360" w:lineRule="auto"/>
        <w:rPr>
          <w:rFonts w:cs="Arial"/>
          <w:b/>
        </w:rPr>
      </w:pPr>
      <w:r w:rsidRPr="00757D20">
        <w:rPr>
          <w:rFonts w:cs="Arial"/>
          <w:b/>
          <w:bCs/>
        </w:rPr>
        <w:t xml:space="preserve">Top </w:t>
      </w:r>
      <w:r w:rsidR="00E0741A">
        <w:rPr>
          <w:rFonts w:cs="Arial"/>
          <w:b/>
          <w:bCs/>
        </w:rPr>
        <w:t xml:space="preserve">5 </w:t>
      </w:r>
      <w:r w:rsidR="00643271">
        <w:rPr>
          <w:rFonts w:cs="Arial"/>
          <w:b/>
          <w:bCs/>
        </w:rPr>
        <w:t>i</w:t>
      </w:r>
      <w:r w:rsidRPr="00757D20">
        <w:rPr>
          <w:rFonts w:cs="Arial"/>
          <w:b/>
          <w:bCs/>
        </w:rPr>
        <w:t xml:space="preserve">ndustries of </w:t>
      </w:r>
      <w:r w:rsidR="00643271">
        <w:rPr>
          <w:rFonts w:cs="Arial"/>
          <w:b/>
          <w:bCs/>
        </w:rPr>
        <w:t>e</w:t>
      </w:r>
      <w:r w:rsidRPr="00757D20">
        <w:rPr>
          <w:rFonts w:cs="Arial"/>
          <w:b/>
          <w:bCs/>
        </w:rPr>
        <w:t xml:space="preserve">mployment, </w:t>
      </w:r>
      <w:r w:rsidR="00446E68" w:rsidRPr="00757D20">
        <w:rPr>
          <w:rFonts w:cs="Arial"/>
          <w:b/>
        </w:rPr>
        <w:t>Oldfields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963"/>
        <w:gridCol w:w="1963"/>
      </w:tblGrid>
      <w:tr w:rsidR="003A6CEB" w:rsidRPr="00757D20" w14:paraId="7B6A4BCC" w14:textId="77777777" w:rsidTr="003A6CEB">
        <w:trPr>
          <w:trHeight w:val="300"/>
        </w:trPr>
        <w:tc>
          <w:tcPr>
            <w:tcW w:w="5000" w:type="dxa"/>
            <w:shd w:val="clear" w:color="auto" w:fill="78DED9" w:themeFill="accent1"/>
            <w:vAlign w:val="center"/>
            <w:hideMark/>
          </w:tcPr>
          <w:p w14:paraId="29436F5D" w14:textId="3E5E33BF" w:rsidR="00870717" w:rsidRPr="00757D20" w:rsidRDefault="00870717" w:rsidP="00BF7169">
            <w:pPr>
              <w:spacing w:after="0" w:line="240" w:lineRule="auto"/>
              <w:rPr>
                <w:rFonts w:eastAsia="Times New Roman" w:cs="Arial"/>
                <w:b/>
                <w:bCs/>
                <w:color w:val="000000"/>
                <w:kern w:val="0"/>
                <w:lang w:eastAsia="en-AU"/>
                <w14:ligatures w14:val="none"/>
              </w:rPr>
            </w:pPr>
          </w:p>
        </w:tc>
        <w:tc>
          <w:tcPr>
            <w:tcW w:w="1963" w:type="dxa"/>
            <w:shd w:val="clear" w:color="auto" w:fill="78DED9" w:themeFill="accent1"/>
            <w:vAlign w:val="center"/>
            <w:hideMark/>
          </w:tcPr>
          <w:p w14:paraId="6B7DA805" w14:textId="77777777" w:rsidR="003A6CEB" w:rsidRPr="00757D20" w:rsidRDefault="00870717" w:rsidP="003A6CEB">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2016</w:t>
            </w:r>
            <w:r w:rsidR="003A6CEB" w:rsidRPr="00757D20">
              <w:rPr>
                <w:rFonts w:eastAsia="Times New Roman" w:cs="Arial"/>
                <w:b/>
                <w:bCs/>
                <w:color w:val="000000"/>
                <w:kern w:val="0"/>
                <w:lang w:eastAsia="en-AU"/>
                <w14:ligatures w14:val="none"/>
              </w:rPr>
              <w:t xml:space="preserve"> </w:t>
            </w:r>
          </w:p>
          <w:p w14:paraId="1B14088C" w14:textId="13422477" w:rsidR="00870717" w:rsidRPr="00757D20" w:rsidRDefault="003A6CEB" w:rsidP="003A6CEB">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w:t>
            </w:r>
          </w:p>
        </w:tc>
        <w:tc>
          <w:tcPr>
            <w:tcW w:w="1963" w:type="dxa"/>
            <w:shd w:val="clear" w:color="auto" w:fill="78DED9" w:themeFill="accent1"/>
            <w:noWrap/>
            <w:vAlign w:val="center"/>
            <w:hideMark/>
          </w:tcPr>
          <w:p w14:paraId="77B9AD8D" w14:textId="77777777" w:rsidR="003A6CEB" w:rsidRPr="00757D20" w:rsidRDefault="00870717" w:rsidP="003A6CEB">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2021</w:t>
            </w:r>
            <w:r w:rsidR="003A6CEB" w:rsidRPr="00757D20">
              <w:rPr>
                <w:rFonts w:eastAsia="Times New Roman" w:cs="Arial"/>
                <w:b/>
                <w:bCs/>
                <w:color w:val="000000"/>
                <w:kern w:val="0"/>
                <w:lang w:eastAsia="en-AU"/>
                <w14:ligatures w14:val="none"/>
              </w:rPr>
              <w:t xml:space="preserve"> </w:t>
            </w:r>
          </w:p>
          <w:p w14:paraId="6A989A74" w14:textId="4EA3A9E6" w:rsidR="00870717" w:rsidRPr="00757D20" w:rsidRDefault="003A6CEB" w:rsidP="003A6CEB">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w:t>
            </w:r>
          </w:p>
        </w:tc>
      </w:tr>
      <w:tr w:rsidR="00870717" w:rsidRPr="00757D20" w14:paraId="2D72AA7A" w14:textId="77777777" w:rsidTr="003A6CEB">
        <w:trPr>
          <w:trHeight w:val="285"/>
        </w:trPr>
        <w:tc>
          <w:tcPr>
            <w:tcW w:w="5000" w:type="dxa"/>
            <w:vAlign w:val="center"/>
            <w:hideMark/>
          </w:tcPr>
          <w:p w14:paraId="37EAD462" w14:textId="0D62E011"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Beef </w:t>
            </w:r>
            <w:r w:rsidR="00B36F57" w:rsidRPr="00757D20">
              <w:rPr>
                <w:rFonts w:eastAsia="Times New Roman" w:cs="Arial"/>
                <w:color w:val="222222"/>
                <w:kern w:val="0"/>
                <w:lang w:eastAsia="en-AU"/>
                <w14:ligatures w14:val="none"/>
              </w:rPr>
              <w:t>c</w:t>
            </w:r>
            <w:r w:rsidRPr="00757D20">
              <w:rPr>
                <w:rFonts w:eastAsia="Times New Roman" w:cs="Arial"/>
                <w:color w:val="222222"/>
                <w:kern w:val="0"/>
                <w:lang w:eastAsia="en-AU"/>
                <w14:ligatures w14:val="none"/>
              </w:rPr>
              <w:t xml:space="preserve">attle </w:t>
            </w:r>
            <w:r w:rsidR="00B36F57" w:rsidRPr="00757D20">
              <w:rPr>
                <w:rFonts w:eastAsia="Times New Roman" w:cs="Arial"/>
                <w:color w:val="222222"/>
                <w:kern w:val="0"/>
                <w:lang w:eastAsia="en-AU"/>
                <w14:ligatures w14:val="none"/>
              </w:rPr>
              <w:t>f</w:t>
            </w:r>
            <w:r w:rsidRPr="00757D20">
              <w:rPr>
                <w:rFonts w:eastAsia="Times New Roman" w:cs="Arial"/>
                <w:color w:val="222222"/>
                <w:kern w:val="0"/>
                <w:lang w:eastAsia="en-AU"/>
                <w14:ligatures w14:val="none"/>
              </w:rPr>
              <w:t>arming (</w:t>
            </w:r>
            <w:r w:rsidR="00B36F57" w:rsidRPr="00757D20">
              <w:rPr>
                <w:rFonts w:eastAsia="Times New Roman" w:cs="Arial"/>
                <w:color w:val="222222"/>
                <w:kern w:val="0"/>
                <w:lang w:eastAsia="en-AU"/>
                <w14:ligatures w14:val="none"/>
              </w:rPr>
              <w:t>s</w:t>
            </w:r>
            <w:r w:rsidR="00CB031D" w:rsidRPr="00757D20">
              <w:rPr>
                <w:rFonts w:eastAsia="Times New Roman" w:cs="Arial"/>
                <w:color w:val="222222"/>
                <w:kern w:val="0"/>
                <w:lang w:eastAsia="en-AU"/>
                <w14:ligatures w14:val="none"/>
              </w:rPr>
              <w:t>pecialised</w:t>
            </w:r>
            <w:r w:rsidRPr="00757D20">
              <w:rPr>
                <w:rFonts w:eastAsia="Times New Roman" w:cs="Arial"/>
                <w:color w:val="222222"/>
                <w:kern w:val="0"/>
                <w:lang w:eastAsia="en-AU"/>
                <w14:ligatures w14:val="none"/>
              </w:rPr>
              <w:t>)</w:t>
            </w:r>
          </w:p>
        </w:tc>
        <w:tc>
          <w:tcPr>
            <w:tcW w:w="1963" w:type="dxa"/>
            <w:vAlign w:val="center"/>
            <w:hideMark/>
          </w:tcPr>
          <w:p w14:paraId="46E2966F" w14:textId="77777777" w:rsidR="00870717" w:rsidRPr="00757D20" w:rsidRDefault="00870717"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16.1</w:t>
            </w:r>
          </w:p>
        </w:tc>
        <w:tc>
          <w:tcPr>
            <w:tcW w:w="1963" w:type="dxa"/>
            <w:noWrap/>
            <w:vAlign w:val="bottom"/>
            <w:hideMark/>
          </w:tcPr>
          <w:p w14:paraId="7DB1EA33" w14:textId="77777777" w:rsidR="00870717" w:rsidRPr="00757D20" w:rsidRDefault="00870717"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15.4</w:t>
            </w:r>
          </w:p>
        </w:tc>
      </w:tr>
      <w:tr w:rsidR="00870717" w:rsidRPr="00757D20" w14:paraId="679A0B04" w14:textId="77777777" w:rsidTr="003A6CEB">
        <w:trPr>
          <w:trHeight w:val="285"/>
        </w:trPr>
        <w:tc>
          <w:tcPr>
            <w:tcW w:w="5000" w:type="dxa"/>
            <w:vAlign w:val="center"/>
            <w:hideMark/>
          </w:tcPr>
          <w:p w14:paraId="2302DF37" w14:textId="050F8845"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Coal </w:t>
            </w:r>
            <w:r w:rsidR="00B36F57" w:rsidRPr="00757D20">
              <w:rPr>
                <w:rFonts w:eastAsia="Times New Roman" w:cs="Arial"/>
                <w:color w:val="222222"/>
                <w:kern w:val="0"/>
                <w:lang w:eastAsia="en-AU"/>
                <w14:ligatures w14:val="none"/>
              </w:rPr>
              <w:t>m</w:t>
            </w:r>
            <w:r w:rsidRPr="00757D20">
              <w:rPr>
                <w:rFonts w:eastAsia="Times New Roman" w:cs="Arial"/>
                <w:color w:val="222222"/>
                <w:kern w:val="0"/>
                <w:lang w:eastAsia="en-AU"/>
                <w14:ligatures w14:val="none"/>
              </w:rPr>
              <w:t>ining</w:t>
            </w:r>
          </w:p>
        </w:tc>
        <w:tc>
          <w:tcPr>
            <w:tcW w:w="1963" w:type="dxa"/>
            <w:vAlign w:val="center"/>
            <w:hideMark/>
          </w:tcPr>
          <w:p w14:paraId="403A131A" w14:textId="77777777" w:rsidR="00870717" w:rsidRPr="00757D20" w:rsidRDefault="00870717"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9.3</w:t>
            </w:r>
          </w:p>
        </w:tc>
        <w:tc>
          <w:tcPr>
            <w:tcW w:w="1963" w:type="dxa"/>
            <w:noWrap/>
            <w:vAlign w:val="bottom"/>
            <w:hideMark/>
          </w:tcPr>
          <w:p w14:paraId="0EFBA949" w14:textId="77777777" w:rsidR="00870717" w:rsidRPr="00757D20" w:rsidRDefault="00870717"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6.5</w:t>
            </w:r>
          </w:p>
        </w:tc>
      </w:tr>
      <w:tr w:rsidR="00870717" w:rsidRPr="00757D20" w14:paraId="690AF6D8" w14:textId="77777777" w:rsidTr="003A6CEB">
        <w:trPr>
          <w:trHeight w:val="285"/>
        </w:trPr>
        <w:tc>
          <w:tcPr>
            <w:tcW w:w="5000" w:type="dxa"/>
            <w:vAlign w:val="center"/>
            <w:hideMark/>
          </w:tcPr>
          <w:p w14:paraId="1BA58CD2" w14:textId="38C0BA1E"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Local </w:t>
            </w:r>
            <w:r w:rsidR="00B36F57" w:rsidRPr="00757D20">
              <w:rPr>
                <w:rFonts w:eastAsia="Times New Roman" w:cs="Arial"/>
                <w:color w:val="222222"/>
                <w:kern w:val="0"/>
                <w:lang w:eastAsia="en-AU"/>
                <w14:ligatures w14:val="none"/>
              </w:rPr>
              <w:t>g</w:t>
            </w:r>
            <w:r w:rsidRPr="00757D20">
              <w:rPr>
                <w:rFonts w:eastAsia="Times New Roman" w:cs="Arial"/>
                <w:color w:val="222222"/>
                <w:kern w:val="0"/>
                <w:lang w:eastAsia="en-AU"/>
                <w14:ligatures w14:val="none"/>
              </w:rPr>
              <w:t xml:space="preserve">overnment </w:t>
            </w:r>
            <w:r w:rsidR="00B36F57" w:rsidRPr="00757D20">
              <w:rPr>
                <w:rFonts w:eastAsia="Times New Roman" w:cs="Arial"/>
                <w:color w:val="222222"/>
                <w:kern w:val="0"/>
                <w:lang w:eastAsia="en-AU"/>
                <w14:ligatures w14:val="none"/>
              </w:rPr>
              <w:t>a</w:t>
            </w:r>
            <w:r w:rsidRPr="00757D20">
              <w:rPr>
                <w:rFonts w:eastAsia="Times New Roman" w:cs="Arial"/>
                <w:color w:val="222222"/>
                <w:kern w:val="0"/>
                <w:lang w:eastAsia="en-AU"/>
                <w14:ligatures w14:val="none"/>
              </w:rPr>
              <w:t>dministration</w:t>
            </w:r>
          </w:p>
        </w:tc>
        <w:tc>
          <w:tcPr>
            <w:tcW w:w="1963" w:type="dxa"/>
            <w:vAlign w:val="center"/>
            <w:hideMark/>
          </w:tcPr>
          <w:p w14:paraId="39180B23" w14:textId="77777777" w:rsidR="00870717" w:rsidRPr="00757D20" w:rsidRDefault="00870717"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6.2</w:t>
            </w:r>
          </w:p>
        </w:tc>
        <w:tc>
          <w:tcPr>
            <w:tcW w:w="1963" w:type="dxa"/>
            <w:noWrap/>
            <w:vAlign w:val="bottom"/>
            <w:hideMark/>
          </w:tcPr>
          <w:p w14:paraId="6A70160E" w14:textId="77777777" w:rsidR="00870717" w:rsidRPr="00757D20" w:rsidRDefault="00870717"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4.9</w:t>
            </w:r>
          </w:p>
        </w:tc>
      </w:tr>
      <w:tr w:rsidR="00870717" w:rsidRPr="00757D20" w14:paraId="20F4D157" w14:textId="77777777" w:rsidTr="003A6CEB">
        <w:trPr>
          <w:trHeight w:val="285"/>
        </w:trPr>
        <w:tc>
          <w:tcPr>
            <w:tcW w:w="5000" w:type="dxa"/>
            <w:vAlign w:val="center"/>
            <w:hideMark/>
          </w:tcPr>
          <w:p w14:paraId="64AC9B8D" w14:textId="54E9BDF7"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Combined </w:t>
            </w:r>
            <w:r w:rsidR="00B36F57" w:rsidRPr="00757D20">
              <w:rPr>
                <w:rFonts w:eastAsia="Times New Roman" w:cs="Arial"/>
                <w:color w:val="222222"/>
                <w:kern w:val="0"/>
                <w:lang w:eastAsia="en-AU"/>
                <w14:ligatures w14:val="none"/>
              </w:rPr>
              <w:t>p</w:t>
            </w:r>
            <w:r w:rsidRPr="00757D20">
              <w:rPr>
                <w:rFonts w:eastAsia="Times New Roman" w:cs="Arial"/>
                <w:color w:val="222222"/>
                <w:kern w:val="0"/>
                <w:lang w:eastAsia="en-AU"/>
                <w14:ligatures w14:val="none"/>
              </w:rPr>
              <w:t xml:space="preserve">rimary and </w:t>
            </w:r>
            <w:r w:rsidR="00B36F57" w:rsidRPr="00757D20">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 xml:space="preserve">econdary </w:t>
            </w:r>
            <w:r w:rsidR="00B36F57" w:rsidRPr="00757D20">
              <w:rPr>
                <w:rFonts w:eastAsia="Times New Roman" w:cs="Arial"/>
                <w:color w:val="222222"/>
                <w:kern w:val="0"/>
                <w:lang w:eastAsia="en-AU"/>
                <w14:ligatures w14:val="none"/>
              </w:rPr>
              <w:t>e</w:t>
            </w:r>
            <w:r w:rsidRPr="00757D20">
              <w:rPr>
                <w:rFonts w:eastAsia="Times New Roman" w:cs="Arial"/>
                <w:color w:val="222222"/>
                <w:kern w:val="0"/>
                <w:lang w:eastAsia="en-AU"/>
                <w14:ligatures w14:val="none"/>
              </w:rPr>
              <w:t>ducation</w:t>
            </w:r>
          </w:p>
        </w:tc>
        <w:tc>
          <w:tcPr>
            <w:tcW w:w="1963" w:type="dxa"/>
            <w:vAlign w:val="center"/>
            <w:hideMark/>
          </w:tcPr>
          <w:p w14:paraId="4CD85D51" w14:textId="39B51DFE" w:rsidR="00870717" w:rsidRPr="00757D20" w:rsidRDefault="00FB3D19" w:rsidP="00BF7169">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c>
          <w:tcPr>
            <w:tcW w:w="1963" w:type="dxa"/>
            <w:noWrap/>
            <w:vAlign w:val="bottom"/>
            <w:hideMark/>
          </w:tcPr>
          <w:p w14:paraId="2380D840" w14:textId="77777777" w:rsidR="00870717" w:rsidRPr="00757D20" w:rsidRDefault="00870717"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3.3</w:t>
            </w:r>
          </w:p>
        </w:tc>
      </w:tr>
      <w:tr w:rsidR="00870717" w:rsidRPr="00757D20" w14:paraId="33442B81" w14:textId="77777777" w:rsidTr="003A6CEB">
        <w:trPr>
          <w:trHeight w:val="285"/>
        </w:trPr>
        <w:tc>
          <w:tcPr>
            <w:tcW w:w="5000" w:type="dxa"/>
            <w:vAlign w:val="center"/>
            <w:hideMark/>
          </w:tcPr>
          <w:p w14:paraId="6B0FB205" w14:textId="2F3C019E"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Supermarket and </w:t>
            </w:r>
            <w:r w:rsidR="00B36F57" w:rsidRPr="00757D20">
              <w:rPr>
                <w:rFonts w:eastAsia="Times New Roman" w:cs="Arial"/>
                <w:color w:val="222222"/>
                <w:kern w:val="0"/>
                <w:lang w:eastAsia="en-AU"/>
                <w14:ligatures w14:val="none"/>
              </w:rPr>
              <w:t>g</w:t>
            </w:r>
            <w:r w:rsidRPr="00757D20">
              <w:rPr>
                <w:rFonts w:eastAsia="Times New Roman" w:cs="Arial"/>
                <w:color w:val="222222"/>
                <w:kern w:val="0"/>
                <w:lang w:eastAsia="en-AU"/>
                <w14:ligatures w14:val="none"/>
              </w:rPr>
              <w:t xml:space="preserve">rocery </w:t>
            </w:r>
            <w:r w:rsidR="00B36F57" w:rsidRPr="00757D20">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tores</w:t>
            </w:r>
          </w:p>
        </w:tc>
        <w:tc>
          <w:tcPr>
            <w:tcW w:w="1963" w:type="dxa"/>
            <w:vAlign w:val="center"/>
            <w:hideMark/>
          </w:tcPr>
          <w:p w14:paraId="542D6B97" w14:textId="77777777" w:rsidR="00870717" w:rsidRPr="00757D20" w:rsidRDefault="00870717"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4.3</w:t>
            </w:r>
          </w:p>
        </w:tc>
        <w:tc>
          <w:tcPr>
            <w:tcW w:w="1963" w:type="dxa"/>
            <w:noWrap/>
            <w:vAlign w:val="bottom"/>
            <w:hideMark/>
          </w:tcPr>
          <w:p w14:paraId="6D8570C5" w14:textId="5264C048" w:rsidR="00870717" w:rsidRPr="00757D20" w:rsidRDefault="00870717" w:rsidP="00BF7169">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w:t>
            </w:r>
            <w:r w:rsidR="00B36F57" w:rsidRPr="00757D20">
              <w:rPr>
                <w:rFonts w:eastAsia="Times New Roman" w:cs="Arial"/>
                <w:color w:val="000000"/>
                <w:kern w:val="0"/>
                <w:lang w:eastAsia="en-AU"/>
                <w14:ligatures w14:val="none"/>
              </w:rPr>
              <w:t>.0</w:t>
            </w:r>
          </w:p>
        </w:tc>
      </w:tr>
      <w:tr w:rsidR="00870717" w:rsidRPr="00757D20" w14:paraId="7A4BD661" w14:textId="77777777" w:rsidTr="003A6CEB">
        <w:trPr>
          <w:trHeight w:val="285"/>
        </w:trPr>
        <w:tc>
          <w:tcPr>
            <w:tcW w:w="5000" w:type="dxa"/>
            <w:vAlign w:val="center"/>
            <w:hideMark/>
          </w:tcPr>
          <w:p w14:paraId="5945CA1B" w14:textId="77777777" w:rsidR="00870717" w:rsidRPr="00757D20" w:rsidRDefault="00870717" w:rsidP="00BF7169">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Hospitals</w:t>
            </w:r>
          </w:p>
        </w:tc>
        <w:tc>
          <w:tcPr>
            <w:tcW w:w="1963" w:type="dxa"/>
            <w:vAlign w:val="center"/>
            <w:hideMark/>
          </w:tcPr>
          <w:p w14:paraId="65674A45" w14:textId="77777777" w:rsidR="00870717" w:rsidRPr="00757D20" w:rsidRDefault="00870717" w:rsidP="00BF7169">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4.2</w:t>
            </w:r>
          </w:p>
        </w:tc>
        <w:tc>
          <w:tcPr>
            <w:tcW w:w="1963" w:type="dxa"/>
            <w:noWrap/>
            <w:vAlign w:val="bottom"/>
            <w:hideMark/>
          </w:tcPr>
          <w:p w14:paraId="46991873" w14:textId="68F1FBD5" w:rsidR="00870717" w:rsidRPr="00757D20" w:rsidRDefault="00FB3D19" w:rsidP="00BF7169">
            <w:pPr>
              <w:spacing w:after="0" w:line="240" w:lineRule="auto"/>
              <w:jc w:val="right"/>
              <w:rPr>
                <w:rFonts w:eastAsia="Times New Roman" w:cs="Arial"/>
                <w:color w:val="000000"/>
                <w:kern w:val="0"/>
                <w:lang w:eastAsia="en-AU"/>
                <w14:ligatures w14:val="none"/>
              </w:rPr>
            </w:pPr>
            <w:r>
              <w:rPr>
                <w:rFonts w:eastAsia="Times New Roman" w:cs="Arial"/>
                <w:color w:val="000000"/>
                <w:kern w:val="0"/>
                <w:lang w:eastAsia="en-AU"/>
                <w14:ligatures w14:val="none"/>
              </w:rPr>
              <w:t>-</w:t>
            </w:r>
          </w:p>
        </w:tc>
      </w:tr>
    </w:tbl>
    <w:p w14:paraId="37370936" w14:textId="77777777" w:rsidR="00870717" w:rsidRPr="00757D20" w:rsidRDefault="00870717" w:rsidP="00870717">
      <w:pPr>
        <w:rPr>
          <w:rFonts w:ascii="Times New Roman" w:eastAsiaTheme="majorEastAsia" w:hAnsi="Times New Roman" w:cs="Times New Roman"/>
          <w:b/>
          <w:bCs/>
          <w:color w:val="32CDC5" w:themeColor="accent1" w:themeShade="BF"/>
          <w:sz w:val="28"/>
          <w:szCs w:val="28"/>
        </w:rPr>
      </w:pPr>
      <w:r w:rsidRPr="00757D20">
        <w:rPr>
          <w:rFonts w:ascii="Times New Roman" w:hAnsi="Times New Roman" w:cs="Times New Roman"/>
          <w:b/>
          <w:bCs/>
        </w:rPr>
        <w:br w:type="page"/>
      </w:r>
    </w:p>
    <w:p w14:paraId="55693748" w14:textId="5C232253" w:rsidR="00870717" w:rsidRPr="00757D20" w:rsidRDefault="00F627CA" w:rsidP="0093133F">
      <w:pPr>
        <w:pStyle w:val="Heading3"/>
        <w:numPr>
          <w:ilvl w:val="0"/>
          <w:numId w:val="0"/>
        </w:numPr>
        <w:pBdr>
          <w:top w:val="single" w:sz="4" w:space="1" w:color="auto"/>
          <w:left w:val="single" w:sz="4" w:space="4" w:color="auto"/>
          <w:bottom w:val="single" w:sz="4" w:space="1" w:color="auto"/>
          <w:right w:val="single" w:sz="4" w:space="4" w:color="auto"/>
        </w:pBdr>
        <w:shd w:val="clear" w:color="auto" w:fill="CAEEEC" w:themeFill="accent6" w:themeFillTint="99"/>
        <w:ind w:left="1021" w:hanging="1021"/>
      </w:pPr>
      <w:bookmarkStart w:id="63" w:name="_Toc196396151"/>
      <w:bookmarkStart w:id="64" w:name="_Toc219977222"/>
      <w:r w:rsidRPr="00757D20">
        <w:lastRenderedPageBreak/>
        <w:t>Oldfields Central School: O</w:t>
      </w:r>
      <w:r w:rsidR="00870717" w:rsidRPr="00757D20">
        <w:t>verview</w:t>
      </w:r>
      <w:bookmarkEnd w:id="63"/>
      <w:bookmarkEnd w:id="64"/>
    </w:p>
    <w:p w14:paraId="407A96C1" w14:textId="0F1F9EC3" w:rsidR="00870717" w:rsidRPr="00757D20" w:rsidRDefault="00870717" w:rsidP="0093133F">
      <w:pPr>
        <w:pBdr>
          <w:top w:val="single" w:sz="4" w:space="1" w:color="auto"/>
          <w:left w:val="single" w:sz="4" w:space="4" w:color="auto"/>
          <w:bottom w:val="single" w:sz="4" w:space="1" w:color="auto"/>
          <w:right w:val="single" w:sz="4" w:space="4" w:color="auto"/>
        </w:pBdr>
        <w:shd w:val="clear" w:color="auto" w:fill="CAEEEC" w:themeFill="accent6" w:themeFillTint="99"/>
      </w:pPr>
      <w:r w:rsidRPr="00757D20">
        <w:t xml:space="preserve">Oldfields Central School </w:t>
      </w:r>
      <w:proofErr w:type="gramStart"/>
      <w:r w:rsidRPr="00757D20">
        <w:t>is located in</w:t>
      </w:r>
      <w:proofErr w:type="gramEnd"/>
      <w:r w:rsidRPr="00757D20">
        <w:t xml:space="preserve"> the outer regional community of Oldfields. We first visited Oldfields in 2017 as a part of the </w:t>
      </w:r>
      <w:r w:rsidRPr="00757D20">
        <w:rPr>
          <w:i/>
          <w:iCs/>
        </w:rPr>
        <w:t xml:space="preserve">Locating Aspirations </w:t>
      </w:r>
      <w:r w:rsidR="004813FD">
        <w:rPr>
          <w:i/>
          <w:iCs/>
        </w:rPr>
        <w:t>Study</w:t>
      </w:r>
      <w:r w:rsidRPr="00757D20">
        <w:rPr>
          <w:i/>
          <w:iCs/>
        </w:rPr>
        <w:t>.</w:t>
      </w:r>
      <w:r w:rsidRPr="00757D20">
        <w:t xml:space="preserve"> We returned to Oldfields again in 2018 to collect additional data for the </w:t>
      </w:r>
      <w:r w:rsidRPr="00757D20">
        <w:rPr>
          <w:i/>
          <w:iCs/>
        </w:rPr>
        <w:t xml:space="preserve">Community Influence </w:t>
      </w:r>
      <w:r w:rsidR="002427E4" w:rsidRPr="00757D20">
        <w:t>p</w:t>
      </w:r>
      <w:r w:rsidRPr="00757D20">
        <w:t>roject</w:t>
      </w:r>
      <w:r w:rsidRPr="00757D20">
        <w:rPr>
          <w:i/>
          <w:iCs/>
        </w:rPr>
        <w:t xml:space="preserve"> </w:t>
      </w:r>
      <w:r w:rsidRPr="00757D20">
        <w:t xml:space="preserve">and for a third time in 2025 for the </w:t>
      </w:r>
      <w:r w:rsidRPr="00757D20">
        <w:rPr>
          <w:i/>
          <w:iCs/>
        </w:rPr>
        <w:t xml:space="preserve">Aspirations in Uncertain Times </w:t>
      </w:r>
      <w:r w:rsidRPr="00757D20">
        <w:t xml:space="preserve">project. During this timeframe, the ICSEA of the school stayed relative stable, and with a current ICSEA of 879, Oldfields Central School falls within the lowest </w:t>
      </w:r>
      <w:r w:rsidR="004E713F" w:rsidRPr="00757D20">
        <w:t>10</w:t>
      </w:r>
      <w:r w:rsidRPr="00757D20">
        <w:t xml:space="preserve">% of Australian </w:t>
      </w:r>
      <w:r w:rsidR="00B36F57" w:rsidRPr="00757D20">
        <w:t>s</w:t>
      </w:r>
      <w:r w:rsidRPr="00757D20">
        <w:t xml:space="preserve">chools in terms of </w:t>
      </w:r>
      <w:r w:rsidR="00B36F57" w:rsidRPr="00757D20">
        <w:t>s</w:t>
      </w:r>
      <w:r w:rsidRPr="00757D20">
        <w:t>ocio-</w:t>
      </w:r>
      <w:r w:rsidR="00B36F57" w:rsidRPr="00757D20">
        <w:t>e</w:t>
      </w:r>
      <w:r w:rsidRPr="00757D20">
        <w:t xml:space="preserve">ducational </w:t>
      </w:r>
      <w:r w:rsidR="00B36F57" w:rsidRPr="00757D20">
        <w:t>a</w:t>
      </w:r>
      <w:r w:rsidRPr="00757D20">
        <w:t>dvantage. According to staff at the school, most students at Oldfields are the first in their families to complete the HSC and finish Year 12, let alone aspire to, or go to, university. Slightly less than one quarter of students are Indigenous.</w:t>
      </w:r>
    </w:p>
    <w:p w14:paraId="39F63C89" w14:textId="77777777" w:rsidR="00870717" w:rsidRPr="00757D20" w:rsidRDefault="00870717" w:rsidP="00805C45"/>
    <w:p w14:paraId="367D261E" w14:textId="77777777" w:rsidR="00870717" w:rsidRPr="00757D20" w:rsidRDefault="00870717" w:rsidP="00D618E7">
      <w:pPr>
        <w:pStyle w:val="Heading3"/>
      </w:pPr>
      <w:bookmarkStart w:id="65" w:name="_Toc196396152"/>
      <w:bookmarkStart w:id="66" w:name="_Toc219977223"/>
      <w:r w:rsidRPr="00757D20">
        <w:t>A community and school in decline</w:t>
      </w:r>
      <w:bookmarkEnd w:id="65"/>
      <w:bookmarkEnd w:id="66"/>
    </w:p>
    <w:p w14:paraId="7A2C1846" w14:textId="5A0564D0" w:rsidR="00870717" w:rsidRPr="00757D20" w:rsidRDefault="00870717" w:rsidP="00805C45">
      <w:r w:rsidRPr="00757D20">
        <w:t>Oldfields Central School caters to the town and surrounding areas</w:t>
      </w:r>
      <w:r w:rsidR="00054A67" w:rsidRPr="00757D20">
        <w:t xml:space="preserve"> of</w:t>
      </w:r>
      <w:r w:rsidRPr="00757D20">
        <w:t xml:space="preserve"> Oldfields, a small regional township situated along a major highway in NSW. Across all three years we visited the school, the town was described as “isolated” by both young people and adults despite being only</w:t>
      </w:r>
      <w:r w:rsidR="00B34D71" w:rsidRPr="00757D20">
        <w:t xml:space="preserve"> a</w:t>
      </w:r>
      <w:r w:rsidRPr="00757D20">
        <w:t xml:space="preserve"> </w:t>
      </w:r>
      <w:r w:rsidR="008100BE" w:rsidRPr="00757D20">
        <w:t>two</w:t>
      </w:r>
      <w:r w:rsidR="00B36F57" w:rsidRPr="00757D20">
        <w:t>-</w:t>
      </w:r>
      <w:r w:rsidRPr="00757D20">
        <w:t xml:space="preserve">hour drive from the coast, a mental attitude linked to a lack of public transport and severe community decline. In the last two decades, this decline has been </w:t>
      </w:r>
      <w:r w:rsidR="000B5395" w:rsidRPr="00757D20">
        <w:t xml:space="preserve">driven </w:t>
      </w:r>
      <w:r w:rsidRPr="00757D20">
        <w:t xml:space="preserve">by a </w:t>
      </w:r>
      <w:r w:rsidR="00C67945" w:rsidRPr="00757D20">
        <w:t xml:space="preserve">range </w:t>
      </w:r>
      <w:r w:rsidRPr="00757D20">
        <w:t xml:space="preserve">of societal and environmental impacts, </w:t>
      </w:r>
      <w:r w:rsidR="00C67945" w:rsidRPr="00757D20">
        <w:t>most notably</w:t>
      </w:r>
      <w:r w:rsidRPr="00757D20">
        <w:t xml:space="preserve"> economic rationalist policies, drought, and interrelated changes to local industry. Robert, a teacher at the school</w:t>
      </w:r>
      <w:r w:rsidR="00B36F57" w:rsidRPr="00757D20">
        <w:t>,</w:t>
      </w:r>
      <w:r w:rsidRPr="00757D20">
        <w:t xml:space="preserve"> who has lived in the community for most of his life, has been a firsthand witness </w:t>
      </w:r>
      <w:r w:rsidR="00C67945" w:rsidRPr="00757D20">
        <w:t>to</w:t>
      </w:r>
      <w:r w:rsidRPr="00757D20">
        <w:t xml:space="preserve"> this decline:</w:t>
      </w:r>
    </w:p>
    <w:p w14:paraId="08AC2B4C" w14:textId="5D5EE746" w:rsidR="00870717" w:rsidRPr="00757D20" w:rsidRDefault="00870717" w:rsidP="00805C45">
      <w:pPr>
        <w:pStyle w:val="Quote"/>
      </w:pPr>
      <w:r w:rsidRPr="00757D20">
        <w:t xml:space="preserve">There have been significant changes in the community. When I lived here and went to school here, the community was considerably larger, greater focus on agriculture, farming. More services within the town, banking services, and a range of other services. But like most country towns, those services have moved out. </w:t>
      </w:r>
      <w:proofErr w:type="gramStart"/>
      <w:r w:rsidRPr="00757D20">
        <w:t>So</w:t>
      </w:r>
      <w:proofErr w:type="gramEnd"/>
      <w:r w:rsidRPr="00757D20">
        <w:t xml:space="preserve"> skills and occupations have gone. Probably now, our community is dominated by people on welfare, as well as by the mining industry. (Robert, teacher, 2018)</w:t>
      </w:r>
    </w:p>
    <w:p w14:paraId="5005AB72" w14:textId="6A453817" w:rsidR="00870717" w:rsidRPr="00757D20" w:rsidRDefault="00870717" w:rsidP="00805C45">
      <w:r w:rsidRPr="00757D20">
        <w:t>As Robert alludes to, Oldfields was traditionally an agricultural community with a strong focus on cattle, sheep, horses</w:t>
      </w:r>
      <w:r w:rsidR="00564700" w:rsidRPr="00757D20">
        <w:t>,</w:t>
      </w:r>
      <w:r w:rsidRPr="00757D20">
        <w:t xml:space="preserve"> and wheat. While farming has long been one of the main employers in the town, technological advancements have recently transformed the local employment landscape, greatly diminishing the number of people employed in these areas:  </w:t>
      </w:r>
    </w:p>
    <w:p w14:paraId="048F0E08" w14:textId="4B7A5C8F" w:rsidR="00870717" w:rsidRPr="00757D20" w:rsidRDefault="00870717" w:rsidP="00805C45">
      <w:pPr>
        <w:pStyle w:val="Quote"/>
        <w:rPr>
          <w:rFonts w:cs="Arial"/>
          <w:iCs w:val="0"/>
        </w:rPr>
      </w:pPr>
      <w:r w:rsidRPr="004813FD">
        <w:rPr>
          <w:rStyle w:val="QuoteChar"/>
          <w:rFonts w:cs="Arial"/>
        </w:rPr>
        <w:t>Oldfields is still an agricultural community, but the difference of course now is technology has changed, so there</w:t>
      </w:r>
      <w:r w:rsidRPr="004813FD">
        <w:rPr>
          <w:rStyle w:val="QuoteChar"/>
          <w:rFonts w:cs="Arial" w:hint="cs"/>
        </w:rPr>
        <w:t>’</w:t>
      </w:r>
      <w:r w:rsidRPr="004813FD">
        <w:rPr>
          <w:rStyle w:val="QuoteChar"/>
          <w:rFonts w:cs="Arial"/>
        </w:rPr>
        <w:t>s not as many people working on farms</w:t>
      </w:r>
      <w:r w:rsidR="00757D20" w:rsidRPr="00757D20">
        <w:rPr>
          <w:rStyle w:val="QuoteChar"/>
          <w:rFonts w:cs="Arial"/>
        </w:rPr>
        <w:t xml:space="preserve"> </w:t>
      </w:r>
      <w:r w:rsidRPr="004813FD">
        <w:rPr>
          <w:rStyle w:val="QuoteChar"/>
          <w:rFonts w:cs="Arial" w:hint="cs"/>
        </w:rPr>
        <w:t>…</w:t>
      </w:r>
      <w:r w:rsidRPr="004813FD">
        <w:rPr>
          <w:rStyle w:val="QuoteChar"/>
          <w:rFonts w:cs="Arial"/>
        </w:rPr>
        <w:t xml:space="preserve"> Farming today is a </w:t>
      </w:r>
      <w:proofErr w:type="gramStart"/>
      <w:r w:rsidRPr="004813FD">
        <w:rPr>
          <w:rStyle w:val="QuoteChar"/>
          <w:rFonts w:cs="Arial"/>
        </w:rPr>
        <w:t>pretty high-tech</w:t>
      </w:r>
      <w:proofErr w:type="gramEnd"/>
      <w:r w:rsidRPr="004813FD">
        <w:rPr>
          <w:rStyle w:val="QuoteChar"/>
          <w:rFonts w:cs="Arial"/>
        </w:rPr>
        <w:t xml:space="preserve"> industry. For example, when you</w:t>
      </w:r>
      <w:r w:rsidRPr="004813FD">
        <w:rPr>
          <w:rStyle w:val="QuoteChar"/>
          <w:rFonts w:cs="Arial" w:hint="cs"/>
        </w:rPr>
        <w:t>’</w:t>
      </w:r>
      <w:r w:rsidRPr="004813FD">
        <w:rPr>
          <w:rStyle w:val="QuoteChar"/>
          <w:rFonts w:cs="Arial"/>
        </w:rPr>
        <w:t>re driving large machines, most today are on GPS</w:t>
      </w:r>
      <w:r w:rsidR="00757D20" w:rsidRPr="00757D20">
        <w:rPr>
          <w:rStyle w:val="QuoteChar"/>
          <w:rFonts w:cs="Arial"/>
        </w:rPr>
        <w:t xml:space="preserve"> </w:t>
      </w:r>
      <w:r w:rsidRPr="004813FD">
        <w:rPr>
          <w:rStyle w:val="QuoteChar"/>
          <w:rFonts w:cs="Arial" w:hint="cs"/>
        </w:rPr>
        <w:t>…</w:t>
      </w:r>
      <w:r w:rsidRPr="004813FD">
        <w:rPr>
          <w:rStyle w:val="QuoteChar"/>
          <w:rFonts w:cs="Arial"/>
        </w:rPr>
        <w:t xml:space="preserve"> You can also sell a lot of livestock online</w:t>
      </w:r>
      <w:r w:rsidR="00680CFE" w:rsidRPr="00757D20">
        <w:rPr>
          <w:rFonts w:cs="Arial"/>
          <w:iCs w:val="0"/>
        </w:rPr>
        <w:t>—</w:t>
      </w:r>
      <w:r w:rsidRPr="004813FD">
        <w:rPr>
          <w:rStyle w:val="QuoteChar"/>
          <w:rFonts w:cs="Arial"/>
        </w:rPr>
        <w:t xml:space="preserve">you can just go direct to a processor. </w:t>
      </w:r>
      <w:proofErr w:type="gramStart"/>
      <w:r w:rsidRPr="004813FD">
        <w:rPr>
          <w:rStyle w:val="QuoteChar"/>
          <w:rFonts w:cs="Arial"/>
        </w:rPr>
        <w:t>So</w:t>
      </w:r>
      <w:proofErr w:type="gramEnd"/>
      <w:r w:rsidRPr="004813FD">
        <w:rPr>
          <w:rStyle w:val="QuoteChar"/>
          <w:rFonts w:cs="Arial"/>
        </w:rPr>
        <w:t xml:space="preserve"> we</w:t>
      </w:r>
      <w:r w:rsidRPr="004813FD">
        <w:rPr>
          <w:rStyle w:val="QuoteChar"/>
          <w:rFonts w:cs="Arial" w:hint="cs"/>
        </w:rPr>
        <w:t>’</w:t>
      </w:r>
      <w:r w:rsidRPr="004813FD">
        <w:rPr>
          <w:rStyle w:val="QuoteChar"/>
          <w:rFonts w:cs="Arial"/>
        </w:rPr>
        <w:t>ve had to learn how to breed our stock and our lambs, our cattle, to meet that specific market. Because if they don</w:t>
      </w:r>
      <w:r w:rsidRPr="004813FD">
        <w:rPr>
          <w:rStyle w:val="QuoteChar"/>
          <w:rFonts w:cs="Arial" w:hint="cs"/>
        </w:rPr>
        <w:t>’</w:t>
      </w:r>
      <w:r w:rsidRPr="004813FD">
        <w:rPr>
          <w:rStyle w:val="QuoteChar"/>
          <w:rFonts w:cs="Arial"/>
        </w:rPr>
        <w:t>t fall into that market, they don</w:t>
      </w:r>
      <w:r w:rsidRPr="004813FD">
        <w:rPr>
          <w:rStyle w:val="QuoteChar"/>
          <w:rFonts w:cs="Arial" w:hint="cs"/>
        </w:rPr>
        <w:t>’</w:t>
      </w:r>
      <w:r w:rsidRPr="004813FD">
        <w:rPr>
          <w:rStyle w:val="QuoteChar"/>
          <w:rFonts w:cs="Arial"/>
        </w:rPr>
        <w:t>t want them</w:t>
      </w:r>
      <w:r w:rsidR="00757D20" w:rsidRPr="00757D20">
        <w:rPr>
          <w:rStyle w:val="QuoteChar"/>
          <w:rFonts w:cs="Arial"/>
        </w:rPr>
        <w:t xml:space="preserve"> </w:t>
      </w:r>
      <w:r w:rsidRPr="004813FD">
        <w:rPr>
          <w:rStyle w:val="QuoteChar"/>
          <w:rFonts w:cs="Arial" w:hint="cs"/>
        </w:rPr>
        <w:t>…</w:t>
      </w:r>
      <w:r w:rsidRPr="004813FD">
        <w:rPr>
          <w:rStyle w:val="QuoteChar"/>
          <w:rFonts w:cs="Arial"/>
        </w:rPr>
        <w:t xml:space="preserve"> </w:t>
      </w:r>
      <w:proofErr w:type="gramStart"/>
      <w:r w:rsidRPr="004813FD">
        <w:rPr>
          <w:rStyle w:val="QuoteChar"/>
          <w:rFonts w:cs="Arial"/>
        </w:rPr>
        <w:t>So</w:t>
      </w:r>
      <w:proofErr w:type="gramEnd"/>
      <w:r w:rsidRPr="004813FD">
        <w:rPr>
          <w:rStyle w:val="QuoteChar"/>
          <w:rFonts w:cs="Arial"/>
        </w:rPr>
        <w:t xml:space="preserve"> in terms of jobs, instead of [employing] five people, now you</w:t>
      </w:r>
      <w:r w:rsidRPr="004813FD">
        <w:rPr>
          <w:rStyle w:val="QuoteChar"/>
          <w:rFonts w:cs="Arial" w:hint="cs"/>
        </w:rPr>
        <w:t>’</w:t>
      </w:r>
      <w:r w:rsidRPr="004813FD">
        <w:rPr>
          <w:rStyle w:val="QuoteChar"/>
          <w:rFonts w:cs="Arial"/>
        </w:rPr>
        <w:t>ll have two. So that means that three jobs have gone. (Peter, farmer, 2018)</w:t>
      </w:r>
    </w:p>
    <w:p w14:paraId="7F1A05AB" w14:textId="1D17E412" w:rsidR="00870717" w:rsidRPr="00757D20" w:rsidRDefault="00870717" w:rsidP="00805C45">
      <w:r w:rsidRPr="00757D20">
        <w:lastRenderedPageBreak/>
        <w:t xml:space="preserve">Alongside this decline, Oldfields Central School has also experienced a </w:t>
      </w:r>
      <w:r w:rsidR="00053511" w:rsidRPr="00757D20">
        <w:t>decrease</w:t>
      </w:r>
      <w:r w:rsidRPr="00757D20">
        <w:t xml:space="preserve"> in student numbers. When we first visited the school in 2017, 284 students were enrolled. More recently, in 2024, this number had decreased to 213. This trend was already noticeable during our visit in 2018, with teachers like Robert commenting on the way local parents were increasingly choosing to send their children to non-government schools in other towns nearby, </w:t>
      </w:r>
      <w:proofErr w:type="spellStart"/>
      <w:r w:rsidRPr="00757D20">
        <w:t>fueling</w:t>
      </w:r>
      <w:proofErr w:type="spellEnd"/>
      <w:r w:rsidRPr="00757D20">
        <w:t xml:space="preserve"> an exodus from Oldfields Central:</w:t>
      </w:r>
    </w:p>
    <w:p w14:paraId="24587D3D" w14:textId="20FEE72F" w:rsidR="00870717" w:rsidRPr="00757D20" w:rsidRDefault="00870717" w:rsidP="00805C45">
      <w:pPr>
        <w:pStyle w:val="Quote"/>
      </w:pPr>
      <w:r w:rsidRPr="00757D20">
        <w:t xml:space="preserve">There are two buses that leave town each day that go to private schools. </w:t>
      </w:r>
      <w:proofErr w:type="gramStart"/>
      <w:r w:rsidRPr="00757D20">
        <w:t>So</w:t>
      </w:r>
      <w:proofErr w:type="gramEnd"/>
      <w:r w:rsidRPr="00757D20">
        <w:t xml:space="preserve"> we have one bus that goes to [catholic school in nearby town] and we have one bus that goes to [independent school in nearby </w:t>
      </w:r>
      <w:proofErr w:type="gramStart"/>
      <w:r w:rsidRPr="00757D20">
        <w:t>town]…</w:t>
      </w:r>
      <w:proofErr w:type="gramEnd"/>
      <w:r w:rsidRPr="00757D20">
        <w:t xml:space="preserve"> We’re the second-class option. Lots of that </w:t>
      </w:r>
      <w:proofErr w:type="gramStart"/>
      <w:r w:rsidRPr="00757D20">
        <w:t>has to</w:t>
      </w:r>
      <w:proofErr w:type="gramEnd"/>
      <w:r w:rsidRPr="00757D20">
        <w:t xml:space="preserve"> do more with social status and their parents’ occupations rather than the quality of education in the different schools. That’s just the reality, really. But it does mean that the bulk of the low SES kids are in the public system and the bulk of kids with disabilities are in the public system. </w:t>
      </w:r>
      <w:proofErr w:type="gramStart"/>
      <w:r w:rsidRPr="00757D20">
        <w:t>So</w:t>
      </w:r>
      <w:proofErr w:type="gramEnd"/>
      <w:r w:rsidRPr="00757D20">
        <w:t xml:space="preserve"> we open the door to anyone who wants to walk </w:t>
      </w:r>
      <w:proofErr w:type="gramStart"/>
      <w:r w:rsidRPr="00757D20">
        <w:t>in</w:t>
      </w:r>
      <w:proofErr w:type="gramEnd"/>
      <w:r w:rsidRPr="00757D20">
        <w:t xml:space="preserve"> and we provide the best that we can, and that’s our challenge. (Robert, teacher, 2018)</w:t>
      </w:r>
    </w:p>
    <w:p w14:paraId="71C95A69" w14:textId="49233061" w:rsidR="00870717" w:rsidRPr="00757D20" w:rsidRDefault="00870717" w:rsidP="00805C45">
      <w:r w:rsidRPr="00757D20">
        <w:t xml:space="preserve">By the time of our last visit in 2025, this situation had become a vicious cycle. Staff numbers had also declined, the school had become </w:t>
      </w:r>
      <w:r w:rsidR="005D034E" w:rsidRPr="00757D20">
        <w:t>“</w:t>
      </w:r>
      <w:r w:rsidRPr="00757D20">
        <w:t>hard-to-staff,</w:t>
      </w:r>
      <w:r w:rsidR="005D034E" w:rsidRPr="00757D20">
        <w:t>”</w:t>
      </w:r>
      <w:r w:rsidRPr="00757D20">
        <w:t xml:space="preserve"> lessons were sometimes unstaffed, and the school was unable to offer certain subjects to students:</w:t>
      </w:r>
    </w:p>
    <w:p w14:paraId="58CBEE64" w14:textId="587CAFAA" w:rsidR="00870717" w:rsidRPr="00757D20" w:rsidRDefault="00870717" w:rsidP="001364C8">
      <w:pPr>
        <w:pStyle w:val="Quote"/>
      </w:pPr>
      <w:r w:rsidRPr="00757D20">
        <w:t xml:space="preserve">We lose a lot of numbers coming up to secondary. I'm not sure whether that's [due to] the perception of our staffing issues, which have been very public and very dire up here. Like kids out in the playground and parents thinking, “I don't want that for my kids,” so they’ll send them elsewhere. We then can’t offer courses like English Advanced, English Extension, because we just don't have the numbers or the teachers. </w:t>
      </w:r>
      <w:proofErr w:type="gramStart"/>
      <w:r w:rsidRPr="00757D20">
        <w:t>So</w:t>
      </w:r>
      <w:proofErr w:type="gramEnd"/>
      <w:r w:rsidRPr="00757D20">
        <w:t xml:space="preserve"> for those </w:t>
      </w:r>
      <w:r w:rsidR="0031222A" w:rsidRPr="00757D20">
        <w:t>higher-level</w:t>
      </w:r>
      <w:r w:rsidRPr="00757D20">
        <w:t xml:space="preserve"> kids with those aspirations, we're probably not the educational destination for them, which is a shame. (</w:t>
      </w:r>
      <w:r w:rsidR="005B1A9D" w:rsidRPr="00757D20">
        <w:t>Breanna</w:t>
      </w:r>
      <w:r w:rsidRPr="00757D20">
        <w:t>, teacher, 2025)</w:t>
      </w:r>
    </w:p>
    <w:p w14:paraId="22855C47" w14:textId="77777777" w:rsidR="00870717" w:rsidRPr="00757D20" w:rsidRDefault="00870717" w:rsidP="00D618E7">
      <w:pPr>
        <w:pStyle w:val="Heading3"/>
      </w:pPr>
      <w:bookmarkStart w:id="67" w:name="_Toc196396153"/>
      <w:bookmarkStart w:id="68" w:name="_Toc219977224"/>
      <w:r w:rsidRPr="00757D20">
        <w:t>The more things change…</w:t>
      </w:r>
      <w:bookmarkEnd w:id="67"/>
      <w:bookmarkEnd w:id="68"/>
    </w:p>
    <w:p w14:paraId="7131E37C" w14:textId="683F06CF" w:rsidR="00870717" w:rsidRPr="00757D20" w:rsidRDefault="00870717" w:rsidP="00500C03">
      <w:r w:rsidRPr="00757D20">
        <w:t>While the agricultural industry has visibly weakened in the region, coal mining by contrast has exploded</w:t>
      </w:r>
      <w:r w:rsidR="00757D20" w:rsidRPr="00757D20">
        <w:t>—</w:t>
      </w:r>
      <w:r w:rsidRPr="00757D20">
        <w:t xml:space="preserve">epitomised in the physical landscape by over 40 coal mines dotted around the broader valley within a one-hour radius, inclusive of the largest coal mine in NSW. While no mines </w:t>
      </w:r>
      <w:proofErr w:type="gramStart"/>
      <w:r w:rsidRPr="00757D20">
        <w:t>are located in</w:t>
      </w:r>
      <w:proofErr w:type="gramEnd"/>
      <w:r w:rsidRPr="00757D20">
        <w:t xml:space="preserve"> the actual township of Oldfields, they exercise an extreme form of control over the town and its residents, creating a sense of anxiety:</w:t>
      </w:r>
    </w:p>
    <w:p w14:paraId="21F10821" w14:textId="0AD84D95" w:rsidR="00870717" w:rsidRPr="00757D20" w:rsidRDefault="00870717" w:rsidP="00500C03">
      <w:pPr>
        <w:pStyle w:val="Quote"/>
      </w:pPr>
      <w:r w:rsidRPr="00757D20">
        <w:t>The mines have bought a few properties around Oldfields. A lot of them have been with the option to lease back to families</w:t>
      </w:r>
      <w:r w:rsidR="00757D20" w:rsidRPr="00757D20">
        <w:t xml:space="preserve"> </w:t>
      </w:r>
      <w:r w:rsidRPr="00757D20">
        <w:t>… hopefully one day our land won't be dug up around here like it has been in [neighbouring town]. When I used to go to [neighbouring town] when I was young, there was nothing dug up and now it's dug up everywhere which is sad. (Tanja, parent, 2017)</w:t>
      </w:r>
    </w:p>
    <w:p w14:paraId="36D1AC09" w14:textId="38F6F5CA" w:rsidR="00870717" w:rsidRPr="00757D20" w:rsidRDefault="00870717" w:rsidP="00500C03">
      <w:r w:rsidRPr="00757D20">
        <w:t>Experiencing a drought in 2018, the mines have, however, also come to represent a form of hope for some residents</w:t>
      </w:r>
      <w:r w:rsidR="00E37159" w:rsidRPr="00757D20">
        <w:t>,</w:t>
      </w:r>
      <w:r w:rsidRPr="00757D20">
        <w:t xml:space="preserve"> a saviour in difficult economic times:</w:t>
      </w:r>
    </w:p>
    <w:p w14:paraId="24C1AB24" w14:textId="7E1E47F3" w:rsidR="00870717" w:rsidRPr="00757D20" w:rsidRDefault="00870717" w:rsidP="00500C03">
      <w:pPr>
        <w:pStyle w:val="Quote"/>
      </w:pPr>
      <w:r w:rsidRPr="00757D20">
        <w:lastRenderedPageBreak/>
        <w:t>Oldfields is a little rural town and up until the last ten years, there really wasn’t much influence from anything else. The mining industry in the area has made a bit of an impact</w:t>
      </w:r>
      <w:r w:rsidR="00757D20" w:rsidRPr="00757D20">
        <w:t xml:space="preserve"> </w:t>
      </w:r>
      <w:r w:rsidRPr="00757D20">
        <w:t>… A lot of people, they say, “Oh we’ll just get a job in the mines,” and they think that’s the answer to everything, because it’s big money.  But it’s like a pipedream</w:t>
      </w:r>
      <w:r w:rsidR="00757D20" w:rsidRPr="00757D20">
        <w:t xml:space="preserve"> … </w:t>
      </w:r>
      <w:r w:rsidRPr="00757D20">
        <w:t>and it’s that term, it really grates on me</w:t>
      </w:r>
      <w:proofErr w:type="gramStart"/>
      <w:r w:rsidR="00680CFE" w:rsidRPr="00757D20">
        <w:t>—</w:t>
      </w:r>
      <w:r w:rsidR="00757D20" w:rsidRPr="00757D20">
        <w:t>“</w:t>
      </w:r>
      <w:proofErr w:type="gramEnd"/>
      <w:r w:rsidRPr="00757D20">
        <w:t>the mines</w:t>
      </w:r>
      <w:r w:rsidR="00757D20" w:rsidRPr="00757D20">
        <w:t>”</w:t>
      </w:r>
      <w:r w:rsidRPr="00757D20">
        <w:t>.  It’s like they’re going to save us. (Michelle, parent, 2018)</w:t>
      </w:r>
    </w:p>
    <w:p w14:paraId="34CF3DB3" w14:textId="1AA3849B" w:rsidR="00870717" w:rsidRPr="00757D20" w:rsidRDefault="00870717" w:rsidP="00500C03">
      <w:r w:rsidRPr="00757D20">
        <w:t xml:space="preserve">In </w:t>
      </w:r>
      <w:r w:rsidR="00661804" w:rsidRPr="00757D20">
        <w:t xml:space="preserve">the </w:t>
      </w:r>
      <w:r w:rsidR="00BF134A" w:rsidRPr="00757D20">
        <w:t>context</w:t>
      </w:r>
      <w:r w:rsidRPr="00757D20">
        <w:t xml:space="preserve"> of these changes, the town is facing a looming problem of generational renewal when it comes to the agricultural industry, with young people </w:t>
      </w:r>
      <w:proofErr w:type="gramStart"/>
      <w:r w:rsidRPr="00757D20">
        <w:t xml:space="preserve">not </w:t>
      </w:r>
      <w:r w:rsidR="00DA7122" w:rsidRPr="00757D20">
        <w:t>having</w:t>
      </w:r>
      <w:proofErr w:type="gramEnd"/>
      <w:r w:rsidR="00DA7122" w:rsidRPr="00757D20">
        <w:t xml:space="preserve"> </w:t>
      </w:r>
      <w:r w:rsidRPr="00757D20">
        <w:t>see</w:t>
      </w:r>
      <w:r w:rsidR="00DA7122" w:rsidRPr="00757D20">
        <w:t>n</w:t>
      </w:r>
      <w:r w:rsidRPr="00757D20">
        <w:t xml:space="preserve"> “the land as something to aspire to for years” (Michelle, parent, 2018). This stance was particularly evident in the views of Emil, a Year 12 student we spoke to in 2017 who had shifted his aspirations from farming to mining. While Emil spoke favourably of his dad’s job working for the local land service, he had become enticed by the prospect of economic security offered by the mines: </w:t>
      </w:r>
    </w:p>
    <w:p w14:paraId="0D7EC9A8" w14:textId="048EC4D2" w:rsidR="00870717" w:rsidRPr="00757D20" w:rsidRDefault="00870717" w:rsidP="00500C03">
      <w:pPr>
        <w:pStyle w:val="Quote"/>
      </w:pPr>
      <w:r w:rsidRPr="00757D20">
        <w:t>We had a mine talk where the mines came into the school and spoke to us about it and then I spoke to them a little bit and yeah, I was sort of set on going into farming, but I like the more machinery side of things and mines is a lot of machinery</w:t>
      </w:r>
      <w:r w:rsidR="00757D20" w:rsidRPr="00757D20">
        <w:t xml:space="preserve"> </w:t>
      </w:r>
      <w:r w:rsidRPr="00757D20">
        <w:t>… The mines will also give me a bit more security, I think. (Emil, Year 12 student, 2017)</w:t>
      </w:r>
    </w:p>
    <w:p w14:paraId="540AEC66" w14:textId="77777777" w:rsidR="00870717" w:rsidRPr="00757D20" w:rsidRDefault="00870717" w:rsidP="00500C03">
      <w:r w:rsidRPr="00757D20">
        <w:t>From the perspective of adults, however, such aspirations may not necessarily be informed by contemporary circumstances. As teacher Robert explained, young people tend to be reliant on information gleaned from the experiences of parents or relatives, which can often be outdated and not grounded in reality:</w:t>
      </w:r>
    </w:p>
    <w:p w14:paraId="421BF200" w14:textId="1C767B16" w:rsidR="00870717" w:rsidRPr="00757D20" w:rsidRDefault="00870717" w:rsidP="00500C03">
      <w:pPr>
        <w:pStyle w:val="Quote"/>
      </w:pPr>
      <w:r w:rsidRPr="00757D20">
        <w:t>Whilst we have lots of kids that think, “Yes, I would go and work in the mines,” they may not necessarily understand the selection process for the mines and what the level of competition is. Most of the kids picking up apprenticeships in the mines, they’re completing their HSC, getting good results in maths and English. Whereas from our kids’ perspective, their dad or uncle or such might have gone to Year 10, picked up a trade, and had a trade pathway that way</w:t>
      </w:r>
      <w:r w:rsidR="00757D20" w:rsidRPr="00757D20">
        <w:t xml:space="preserve"> </w:t>
      </w:r>
      <w:r w:rsidRPr="00757D20">
        <w:t>… They’re still using the same framework as their parents or uncles might have used 10, 15 years ago. (Robert, teacher, 2018)</w:t>
      </w:r>
    </w:p>
    <w:p w14:paraId="451FC7E3" w14:textId="77777777" w:rsidR="00870717" w:rsidRPr="00757D20" w:rsidRDefault="00870717" w:rsidP="00500C03">
      <w:r w:rsidRPr="00757D20">
        <w:t xml:space="preserve">More recently, continuing a family tradition of farming has also been impacted by the loss of family farms to large mining corporations, as noted earlier by Tanja. Coupled with the technological advancements re-shaping the farming industry, the level of experience and form of credential needed to secure a job in farming has subsequently changed: </w:t>
      </w:r>
    </w:p>
    <w:p w14:paraId="6F4419CB" w14:textId="77777777" w:rsidR="00870717" w:rsidRPr="00757D20" w:rsidRDefault="00870717" w:rsidP="00500C03">
      <w:pPr>
        <w:pStyle w:val="Quote"/>
      </w:pPr>
      <w:r w:rsidRPr="00757D20">
        <w:t>There are many places, larger corporations, that really won’t have people on unless they’ve got these agronomy degrees. (Peter, farmer, 2018)</w:t>
      </w:r>
    </w:p>
    <w:p w14:paraId="229E61C8" w14:textId="77777777" w:rsidR="00870717" w:rsidRPr="00757D20" w:rsidRDefault="00870717" w:rsidP="00500C03">
      <w:r w:rsidRPr="00757D20">
        <w:t>However, with few adults in the community having a university qualification, higher education is largely a foreign place to many young people and adults. As a result, if students aspire to a career in farming, their options have become more limited if they don’t pursue and attain a university qualification, likely funnelled into lower skilled work:</w:t>
      </w:r>
    </w:p>
    <w:p w14:paraId="3119F1D3" w14:textId="135750AA" w:rsidR="00870717" w:rsidRPr="00757D20" w:rsidRDefault="00870717" w:rsidP="00500C03">
      <w:pPr>
        <w:pStyle w:val="Quote"/>
      </w:pPr>
      <w:r w:rsidRPr="00757D20">
        <w:lastRenderedPageBreak/>
        <w:t xml:space="preserve">I guess you </w:t>
      </w:r>
      <w:proofErr w:type="gramStart"/>
      <w:r w:rsidRPr="00757D20">
        <w:t>have to</w:t>
      </w:r>
      <w:proofErr w:type="gramEnd"/>
      <w:r w:rsidRPr="00757D20">
        <w:t xml:space="preserve"> look at the proportion of parents that went to university</w:t>
      </w:r>
      <w:r w:rsidR="00757D20" w:rsidRPr="00757D20">
        <w:t xml:space="preserve"> </w:t>
      </w:r>
      <w:r w:rsidRPr="00757D20">
        <w:t xml:space="preserve">… In communities like this, to work in agriculture, you don’t necessarily need degrees from university. You can get </w:t>
      </w:r>
      <w:proofErr w:type="gramStart"/>
      <w:r w:rsidRPr="00757D20">
        <w:t>them</w:t>
      </w:r>
      <w:proofErr w:type="gramEnd"/>
      <w:r w:rsidRPr="00757D20">
        <w:t xml:space="preserve"> but you don’t necessarily need them. </w:t>
      </w:r>
      <w:proofErr w:type="gramStart"/>
      <w:r w:rsidRPr="00757D20">
        <w:t>So</w:t>
      </w:r>
      <w:proofErr w:type="gramEnd"/>
      <w:r w:rsidRPr="00757D20">
        <w:t xml:space="preserve"> if dad worked on a farm all his life and the son comes along and he wants to work on a farm all his life, the chances are, he’s just going to stay here. He won’t go off to university and study agriculture. (Iola, teacher, 2017)</w:t>
      </w:r>
    </w:p>
    <w:p w14:paraId="1690ADE4" w14:textId="627CD591" w:rsidR="00870717" w:rsidRPr="00757D20" w:rsidRDefault="00870717" w:rsidP="001364C8">
      <w:pPr>
        <w:pStyle w:val="Quote"/>
      </w:pPr>
      <w:r w:rsidRPr="00757D20">
        <w:t xml:space="preserve">A lot of kids when they're doing farmwork, it's doing like fencing and shearing and slashing work and </w:t>
      </w:r>
      <w:proofErr w:type="gramStart"/>
      <w:r w:rsidRPr="00757D20">
        <w:t>those kind of manual labour</w:t>
      </w:r>
      <w:proofErr w:type="gramEnd"/>
      <w:r w:rsidRPr="00757D20">
        <w:t xml:space="preserve"> physical jobs. (</w:t>
      </w:r>
      <w:r w:rsidR="005B1A9D" w:rsidRPr="00757D20">
        <w:t>Byron</w:t>
      </w:r>
      <w:r w:rsidRPr="00757D20">
        <w:t>, teacher, 2025)</w:t>
      </w:r>
    </w:p>
    <w:p w14:paraId="476BB0C9" w14:textId="5B84FDB8" w:rsidR="00870717" w:rsidRPr="00757D20" w:rsidRDefault="00870717" w:rsidP="00D618E7">
      <w:pPr>
        <w:pStyle w:val="Heading3"/>
      </w:pPr>
      <w:bookmarkStart w:id="69" w:name="_Toc196396154"/>
      <w:bookmarkStart w:id="70" w:name="_Toc219977225"/>
      <w:r w:rsidRPr="00757D20">
        <w:t>…the more things stay the same</w:t>
      </w:r>
      <w:bookmarkEnd w:id="69"/>
      <w:bookmarkEnd w:id="70"/>
    </w:p>
    <w:p w14:paraId="0969E843" w14:textId="1806736F" w:rsidR="00870717" w:rsidRPr="00757D20" w:rsidRDefault="00870717" w:rsidP="00500C03">
      <w:r w:rsidRPr="00757D20">
        <w:t xml:space="preserve">Despite some of the immense changes impacting the town, many young people still aspire to the known and familiar, particularly influenced by what is already available in the community and the careers of those around them. Recognisable, identifiable aspirations were evident during </w:t>
      </w:r>
      <w:proofErr w:type="gramStart"/>
      <w:r w:rsidRPr="00757D20">
        <w:t>all of</w:t>
      </w:r>
      <w:proofErr w:type="gramEnd"/>
      <w:r w:rsidRPr="00757D20">
        <w:t xml:space="preserve"> our visits to the school:</w:t>
      </w:r>
    </w:p>
    <w:p w14:paraId="3F0012A1" w14:textId="1CD5A5EB" w:rsidR="00870717" w:rsidRPr="00757D20" w:rsidRDefault="00870717" w:rsidP="00500C03">
      <w:pPr>
        <w:pStyle w:val="Quote"/>
      </w:pPr>
      <w:r w:rsidRPr="00757D20">
        <w:t>I think I want to be either a vet nurse or a hairdresser. [Because I like] animals for vet nursing, and I think hairdressing comes from horses as well, from like plaiting their tails and stuff like that, from since I was little. (Marie, Year 10 student, 2017)</w:t>
      </w:r>
    </w:p>
    <w:p w14:paraId="00D77E7D" w14:textId="286C6E81" w:rsidR="00870717" w:rsidRPr="00757D20" w:rsidRDefault="00870717" w:rsidP="00500C03">
      <w:pPr>
        <w:pStyle w:val="Quote"/>
      </w:pPr>
      <w:r w:rsidRPr="00757D20">
        <w:t xml:space="preserve">I did my work experience at [the Base Hospital], and a lot of them told me if I wanted to move away, because I’d move to [city name] and go to university there, working in a bigger hospital I’d be able to do midwifery just as midwifery. But, if I want to come back here, I </w:t>
      </w:r>
      <w:proofErr w:type="gramStart"/>
      <w:r w:rsidRPr="00757D20">
        <w:t>have to</w:t>
      </w:r>
      <w:proofErr w:type="gramEnd"/>
      <w:r w:rsidRPr="00757D20">
        <w:t xml:space="preserve"> be a nurse as well … because there's not enough births here to just be a midwife … That helped me </w:t>
      </w:r>
      <w:proofErr w:type="gramStart"/>
      <w:r w:rsidRPr="00757D20">
        <w:t>actually make</w:t>
      </w:r>
      <w:proofErr w:type="gramEnd"/>
      <w:r w:rsidRPr="00757D20">
        <w:t xml:space="preserve"> the decision to be a primary teacher and ideally come back here. (Heike, Year 11 student, 2017)</w:t>
      </w:r>
    </w:p>
    <w:p w14:paraId="661C2646" w14:textId="61328B35" w:rsidR="00870717" w:rsidRPr="00757D20" w:rsidRDefault="00870717" w:rsidP="00500C03">
      <w:pPr>
        <w:pStyle w:val="Quote"/>
      </w:pPr>
      <w:r w:rsidRPr="00757D20">
        <w:t xml:space="preserve">I want to just do what my father’s currently </w:t>
      </w:r>
      <w:proofErr w:type="gramStart"/>
      <w:r w:rsidRPr="00757D20">
        <w:t>doing</w:t>
      </w:r>
      <w:r w:rsidR="00680CFE" w:rsidRPr="00757D20">
        <w:t>—</w:t>
      </w:r>
      <w:r w:rsidRPr="00757D20">
        <w:t>carpentry</w:t>
      </w:r>
      <w:proofErr w:type="gramEnd"/>
      <w:r w:rsidRPr="00757D20">
        <w:t xml:space="preserve">. </w:t>
      </w:r>
      <w:proofErr w:type="gramStart"/>
      <w:r w:rsidRPr="00757D20">
        <w:t>So</w:t>
      </w:r>
      <w:proofErr w:type="gramEnd"/>
      <w:r w:rsidRPr="00757D20">
        <w:t xml:space="preserve"> you get to build ramps, sheds, renovations, bathrooms, decks</w:t>
      </w:r>
      <w:r w:rsidR="00757D20" w:rsidRPr="00757D20">
        <w:t xml:space="preserve"> </w:t>
      </w:r>
      <w:r w:rsidRPr="00757D20">
        <w:t xml:space="preserve">… I’m already doing it now. I’m not a proper </w:t>
      </w:r>
      <w:r w:rsidR="00A0687A" w:rsidRPr="00757D20">
        <w:t>apprentice;</w:t>
      </w:r>
      <w:r w:rsidRPr="00757D20">
        <w:t xml:space="preserve"> I just do it for the fun of it. (Briggs, Year 7 student, 2025)</w:t>
      </w:r>
    </w:p>
    <w:p w14:paraId="60F5335B" w14:textId="77777777" w:rsidR="00870717" w:rsidRPr="00757D20" w:rsidRDefault="00870717" w:rsidP="00500C03">
      <w:r w:rsidRPr="00757D20">
        <w:t>In some regards, aspiring to the known and familiar might be due to a degree of isolation from the wider world, with physical remoteness and a lack of access to services meaning that students tend to look inwards towards their rural identity and community:</w:t>
      </w:r>
    </w:p>
    <w:p w14:paraId="39C00CE4" w14:textId="0AD20140" w:rsidR="00870717" w:rsidRPr="00757D20" w:rsidRDefault="00870717" w:rsidP="00500C03">
      <w:pPr>
        <w:pStyle w:val="Quote"/>
      </w:pPr>
      <w:r w:rsidRPr="00757D20">
        <w:t>A lot of our kids live out of town, so on properties, remote areas</w:t>
      </w:r>
      <w:r w:rsidR="00680CFE" w:rsidRPr="00757D20">
        <w:t>—</w:t>
      </w:r>
      <w:r w:rsidRPr="00757D20">
        <w:t>little phone service, little internet. A lot of our kids are into rodeos, horse riding, that sort of thing, hunting, football. (</w:t>
      </w:r>
      <w:r w:rsidR="00D41037" w:rsidRPr="00757D20">
        <w:t>Breanna</w:t>
      </w:r>
      <w:r w:rsidRPr="00757D20">
        <w:t>, teacher, 2025)</w:t>
      </w:r>
    </w:p>
    <w:p w14:paraId="17BB50B6" w14:textId="0F79DDEF" w:rsidR="00870717" w:rsidRPr="00757D20" w:rsidRDefault="00870717" w:rsidP="00500C03">
      <w:r w:rsidRPr="00757D20">
        <w:t xml:space="preserve">However, </w:t>
      </w:r>
      <w:proofErr w:type="gramStart"/>
      <w:r w:rsidRPr="00757D20">
        <w:t>particular ideological</w:t>
      </w:r>
      <w:proofErr w:type="gramEnd"/>
      <w:r w:rsidRPr="00757D20">
        <w:t xml:space="preserve"> beliefs also appear to impact how young people construct their aspirations and see their futures in the current social and economic climate. Certain views about global megatrends such as climate change are formed in interaction with parental and community views, with the dominant political persuasion of the community leaning towards a </w:t>
      </w:r>
      <w:r w:rsidR="00AD3716" w:rsidRPr="00757D20">
        <w:t xml:space="preserve">political </w:t>
      </w:r>
      <w:r w:rsidRPr="00757D20">
        <w:t>party that has openly derided the science of climate change</w:t>
      </w:r>
      <w:r w:rsidR="00AD3716" w:rsidRPr="00757D20">
        <w:t>:</w:t>
      </w:r>
    </w:p>
    <w:p w14:paraId="08140D58" w14:textId="716989B5" w:rsidR="00870717" w:rsidRPr="00757D20" w:rsidRDefault="00870717" w:rsidP="00500C03">
      <w:pPr>
        <w:pStyle w:val="Quote"/>
      </w:pPr>
      <w:r w:rsidRPr="00757D20">
        <w:lastRenderedPageBreak/>
        <w:t>I think a lot of our kids still very much think that climate change isn't real and that kind of thing and that's ingrained from, I think, you know, from their parents who are very National</w:t>
      </w:r>
      <w:r w:rsidR="007375F9" w:rsidRPr="00757D20">
        <w:t xml:space="preserve"> [Party]</w:t>
      </w:r>
      <w:r w:rsidRPr="00757D20">
        <w:t xml:space="preserve">. The Nationals are the party out here and so climate change doesn't really </w:t>
      </w:r>
      <w:proofErr w:type="gramStart"/>
      <w:r w:rsidRPr="00757D20">
        <w:t>exist</w:t>
      </w:r>
      <w:proofErr w:type="gramEnd"/>
      <w:r w:rsidRPr="00757D20">
        <w:t xml:space="preserve"> and the mines aren’t </w:t>
      </w:r>
      <w:proofErr w:type="spellStart"/>
      <w:r w:rsidRPr="00757D20">
        <w:t>gonna</w:t>
      </w:r>
      <w:proofErr w:type="spellEnd"/>
      <w:r w:rsidRPr="00757D20">
        <w:t xml:space="preserve"> stop, </w:t>
      </w:r>
      <w:proofErr w:type="spellStart"/>
      <w:r w:rsidRPr="00757D20">
        <w:t>solar’s</w:t>
      </w:r>
      <w:proofErr w:type="spellEnd"/>
      <w:r w:rsidRPr="00757D20">
        <w:t xml:space="preserve"> all a farce</w:t>
      </w:r>
      <w:r w:rsidR="00757D20" w:rsidRPr="00757D20">
        <w:t xml:space="preserve"> </w:t>
      </w:r>
      <w:r w:rsidRPr="00757D20">
        <w:t>… There's a development of a solar farm a few kilometres from here, and the uproar is crazy even though it's going to bring so many jobs. (</w:t>
      </w:r>
      <w:r w:rsidR="00D41037" w:rsidRPr="00757D20">
        <w:t>Byron</w:t>
      </w:r>
      <w:r w:rsidRPr="00757D20">
        <w:t>, teacher, 2025)</w:t>
      </w:r>
    </w:p>
    <w:p w14:paraId="0450976E" w14:textId="1B16335D" w:rsidR="00870717" w:rsidRPr="00757D20" w:rsidRDefault="00870717" w:rsidP="00500C03">
      <w:r w:rsidRPr="00757D20">
        <w:t>During our visit to the school in 2025, these political views were subtly manifest in young people’s talk about the current social</w:t>
      </w:r>
      <w:r w:rsidR="00640CAD" w:rsidRPr="00757D20">
        <w:t>-political</w:t>
      </w:r>
      <w:r w:rsidRPr="00757D20">
        <w:t xml:space="preserve"> and economic climate:</w:t>
      </w:r>
    </w:p>
    <w:p w14:paraId="22CDFBC1" w14:textId="6BFA605C" w:rsidR="00870717" w:rsidRPr="00757D20" w:rsidRDefault="00870717" w:rsidP="00500C03">
      <w:pPr>
        <w:pStyle w:val="Quote"/>
      </w:pPr>
      <w:r w:rsidRPr="00757D20">
        <w:t>The government’s not spending money on the right things</w:t>
      </w:r>
      <w:r w:rsidR="00680CFE" w:rsidRPr="00757D20">
        <w:t>—</w:t>
      </w:r>
      <w:r w:rsidRPr="00757D20">
        <w:t>there’s other things that need to be done first [before addressing climate change]. Like, they need more houses and doctors and there’s a tonne of people getting</w:t>
      </w:r>
      <w:r w:rsidR="00680CFE" w:rsidRPr="00757D20">
        <w:t>—</w:t>
      </w:r>
      <w:r w:rsidRPr="00757D20">
        <w:t>like, millions of people are getting cancer every day. (Briggs, Year 7 student, 2025)</w:t>
      </w:r>
    </w:p>
    <w:p w14:paraId="533FD5B5" w14:textId="47E92125" w:rsidR="00870717" w:rsidRPr="00757D20" w:rsidRDefault="00870717" w:rsidP="00500C03">
      <w:r w:rsidRPr="00757D20">
        <w:t>In contemporary times, climate change might therefore not feature highly on residents</w:t>
      </w:r>
      <w:r w:rsidR="00AE0E50" w:rsidRPr="00757D20">
        <w:t>’</w:t>
      </w:r>
      <w:r w:rsidRPr="00757D20">
        <w:t xml:space="preserve"> agendas, with the perceived monetary rewards of mining</w:t>
      </w:r>
      <w:r w:rsidR="00AE2B2B" w:rsidRPr="00757D20">
        <w:t>—</w:t>
      </w:r>
      <w:r w:rsidRPr="00757D20">
        <w:t>and even still farming</w:t>
      </w:r>
      <w:r w:rsidR="00AE2B2B" w:rsidRPr="00757D20">
        <w:t>—</w:t>
      </w:r>
      <w:r w:rsidRPr="00757D20">
        <w:t xml:space="preserve">outranking what education and formal schooling are seen to offer in these times: </w:t>
      </w:r>
    </w:p>
    <w:p w14:paraId="503D880B" w14:textId="488AC700" w:rsidR="00870717" w:rsidRPr="00757D20" w:rsidRDefault="00870717" w:rsidP="001364C8">
      <w:pPr>
        <w:pStyle w:val="Quote"/>
      </w:pPr>
      <w:r w:rsidRPr="00757D20">
        <w:t>There's a lot of parents who didn't go to school, didn't enjoy school. Oh, now I work in the mines, now I work in the farm, I make lots of money, and I didn't need school so why would you</w:t>
      </w:r>
      <w:r w:rsidR="005B268F" w:rsidRPr="00757D20">
        <w:t>?</w:t>
      </w:r>
      <w:r w:rsidRPr="00757D20">
        <w:t xml:space="preserve"> And that attitude translates to a lot of the students, not a lot of them, but a vast majority, especially in the senior years. (</w:t>
      </w:r>
      <w:r w:rsidR="00D41037" w:rsidRPr="00757D20">
        <w:t>Breanna</w:t>
      </w:r>
      <w:r w:rsidRPr="00757D20">
        <w:t>, teacher, 2025)</w:t>
      </w:r>
    </w:p>
    <w:p w14:paraId="6398FFCF" w14:textId="77777777" w:rsidR="00870717" w:rsidRPr="00757D20" w:rsidRDefault="00870717" w:rsidP="00D618E7">
      <w:pPr>
        <w:pStyle w:val="Heading3"/>
      </w:pPr>
      <w:bookmarkStart w:id="71" w:name="_Toc196396155"/>
      <w:bookmarkStart w:id="72" w:name="_Toc219977226"/>
      <w:r w:rsidRPr="00757D20">
        <w:t>Conclusion</w:t>
      </w:r>
      <w:bookmarkEnd w:id="71"/>
      <w:bookmarkEnd w:id="72"/>
    </w:p>
    <w:p w14:paraId="21C26CC7" w14:textId="2BA0A765" w:rsidR="00AF4F5A" w:rsidRPr="00757D20" w:rsidRDefault="00870717" w:rsidP="00A2475D">
      <w:r w:rsidRPr="00757D20">
        <w:t xml:space="preserve">Students at Oldfields Central School have been left behind in an educational climate increasingly characterised by school choice and workforce shortages. With the agricultural industry in the town declining and opportunities in mining increasing, </w:t>
      </w:r>
      <w:r w:rsidR="00CB6B2A" w:rsidRPr="00757D20">
        <w:t>“</w:t>
      </w:r>
      <w:r w:rsidRPr="00757D20">
        <w:t>the mines</w:t>
      </w:r>
      <w:r w:rsidR="00CB6B2A" w:rsidRPr="00757D20">
        <w:t>”</w:t>
      </w:r>
      <w:r w:rsidRPr="00757D20">
        <w:t xml:space="preserve"> have come to offer a sense of both apprehension and hope for residents, with some young people coming to see this pathway as the most economically viable option for their future. However, pathways into various local careers have changed due to the immense social and environmental changes in the community, and young people may not be adequately informed about how to achieve their goals in the current climate, eventually streamed into lower skilled work. Regardless of such change, many students tend to aspire to the known and familiar, with careers available in the community popular among young people who want to follow in their parents’ footsteps and/or pursue careers aligned with their rural identity. Given the lure and dominance of mining in the town, issues like climate change don’t feature highly in residents</w:t>
      </w:r>
      <w:r w:rsidR="00617C67" w:rsidRPr="00757D20">
        <w:t>’</w:t>
      </w:r>
      <w:r w:rsidRPr="00757D20">
        <w:t xml:space="preserve"> agendas, </w:t>
      </w:r>
      <w:r w:rsidR="00EE5CA8" w:rsidRPr="00757D20">
        <w:t xml:space="preserve">largely </w:t>
      </w:r>
      <w:r w:rsidR="00EE1137" w:rsidRPr="00757D20">
        <w:t xml:space="preserve">overlooking the fact that </w:t>
      </w:r>
      <w:r w:rsidR="00A9374C" w:rsidRPr="00757D20">
        <w:t xml:space="preserve">jobs in these areas might not exist </w:t>
      </w:r>
      <w:proofErr w:type="gramStart"/>
      <w:r w:rsidR="00A9374C" w:rsidRPr="00757D20">
        <w:t>in the near future</w:t>
      </w:r>
      <w:proofErr w:type="gramEnd"/>
      <w:r w:rsidR="00A9374C" w:rsidRPr="00757D20">
        <w:t>.</w:t>
      </w:r>
      <w:r w:rsidR="00AF4F5A" w:rsidRPr="00757D20">
        <w:br w:type="page"/>
      </w:r>
    </w:p>
    <w:p w14:paraId="1FBD0870" w14:textId="0203B06A" w:rsidR="00C5075D" w:rsidRPr="00757D20" w:rsidRDefault="00515CD7" w:rsidP="003F34DE">
      <w:pPr>
        <w:pStyle w:val="Heading2"/>
        <w:spacing w:after="0"/>
      </w:pPr>
      <w:bookmarkStart w:id="73" w:name="_Toc219977227"/>
      <w:r w:rsidRPr="00757D20">
        <w:lastRenderedPageBreak/>
        <w:t>Banks Hollow Secondary College</w:t>
      </w:r>
      <w:bookmarkEnd w:id="73"/>
      <w:r w:rsidR="00C5075D" w:rsidRPr="00757D20">
        <w:t xml:space="preserve"> </w:t>
      </w:r>
    </w:p>
    <w:p w14:paraId="15466B91" w14:textId="396449D1" w:rsidR="0012459B" w:rsidRPr="00757D20" w:rsidRDefault="009F3A67" w:rsidP="003F34DE">
      <w:pPr>
        <w:spacing w:after="100" w:afterAutospacing="1" w:line="240" w:lineRule="auto"/>
        <w:rPr>
          <w:rFonts w:ascii="Times New Roman" w:eastAsia="Times New Roman" w:hAnsi="Times New Roman" w:cs="Times New Roman"/>
          <w:kern w:val="0"/>
          <w:sz w:val="24"/>
          <w:szCs w:val="24"/>
          <w:lang w:eastAsia="en-AU"/>
          <w14:ligatures w14:val="none"/>
        </w:rPr>
      </w:pPr>
      <w:r w:rsidRPr="00757D20">
        <w:rPr>
          <w:rFonts w:ascii="Times New Roman" w:eastAsia="Times New Roman" w:hAnsi="Times New Roman" w:cs="Times New Roman"/>
          <w:noProof/>
          <w:kern w:val="0"/>
          <w:sz w:val="24"/>
          <w:szCs w:val="24"/>
          <w:lang w:eastAsia="en-AU"/>
          <w14:ligatures w14:val="none"/>
        </w:rPr>
        <w:drawing>
          <wp:inline distT="0" distB="0" distL="0" distR="0" wp14:anchorId="7BAF991C" wp14:editId="3F2840FC">
            <wp:extent cx="2700000" cy="2700000"/>
            <wp:effectExtent l="0" t="0" r="5715" b="5715"/>
            <wp:docPr id="797152596" name="Picture 3" descr="Table showing school profile data for ASGS Locality Major Cities from years 2017, 2018, and 2024. It includes ICSEA scores, student enrolments, gender ratios, Indigenous percentages, and LBOTE counts, highlighting an increase in enrolments. ICSEA has increased from 1091 in 2014 to 1104 in 2024 and LBOTE has decreased over that time from 79 to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52596" name="Picture 3" descr="Table showing school profile data for ASGS Locality Major Cities from years 2017, 2018, and 2024. It includes ICSEA scores, student enrolments, gender ratios, Indigenous percentages, and LBOTE counts, highlighting an increase in enrolments. ICSEA has increased from 1091 in 2014 to 1104 in 2024 and LBOTE has decreased over that time from 79 to 6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r w:rsidRPr="00757D20">
        <w:rPr>
          <w:rFonts w:ascii="Times New Roman" w:eastAsia="Times New Roman" w:hAnsi="Times New Roman" w:cs="Times New Roman"/>
          <w:kern w:val="0"/>
          <w:sz w:val="24"/>
          <w:szCs w:val="24"/>
          <w:lang w:eastAsia="en-AU"/>
          <w14:ligatures w14:val="none"/>
        </w:rPr>
        <w:tab/>
        <w:t xml:space="preserve">     </w:t>
      </w:r>
      <w:r w:rsidR="0012459B" w:rsidRPr="00757D20">
        <w:rPr>
          <w:rFonts w:ascii="Times New Roman" w:eastAsia="Times New Roman" w:hAnsi="Times New Roman" w:cs="Times New Roman"/>
          <w:noProof/>
          <w:kern w:val="0"/>
          <w:sz w:val="24"/>
          <w:szCs w:val="24"/>
          <w:lang w:eastAsia="en-AU"/>
          <w14:ligatures w14:val="none"/>
        </w:rPr>
        <w:drawing>
          <wp:inline distT="0" distB="0" distL="0" distR="0" wp14:anchorId="0E8EBF1D" wp14:editId="0A5110FE">
            <wp:extent cx="2700000" cy="2700000"/>
            <wp:effectExtent l="0" t="0" r="5715" b="5715"/>
            <wp:docPr id="28769608" name="Picture 2" descr="Table presenting community profile snapshot using ABS Census data from 2011 and 2021 for ASGS Locality major cities. It shows population growth from 103,038 to 129,123, increase in Aboriginal and/or Torres Strait Islander percentage from 0.3% to 0.5%, rise in overseas-born population from 47% to 52.5%, and a slight decrease in unemployment rate from 5.7% to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608" name="Picture 2" descr="Table presenting community profile snapshot using ABS Census data from 2011 and 2021 for ASGS Locality major cities. It shows population growth from 103,038 to 129,123, increase in Aboriginal and/or Torres Strait Islander percentage from 0.3% to 0.5%, rise in overseas-born population from 47% to 52.5%, and a slight decrease in unemployment rate from 5.7% to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p w14:paraId="0CCFECD3" w14:textId="3200B490" w:rsidR="00C5075D" w:rsidRPr="00757D20" w:rsidRDefault="00FE1268" w:rsidP="007D0DEE">
      <w:pPr>
        <w:spacing w:after="0" w:line="240" w:lineRule="auto"/>
        <w:rPr>
          <w:rFonts w:cs="Arial"/>
          <w:b/>
          <w:bCs/>
        </w:rPr>
      </w:pPr>
      <w:r w:rsidRPr="00757D20">
        <w:rPr>
          <w:noProof/>
        </w:rPr>
        <w:drawing>
          <wp:inline distT="0" distB="0" distL="0" distR="0" wp14:anchorId="27F1E8C6" wp14:editId="65A41987">
            <wp:extent cx="2700000" cy="2700000"/>
            <wp:effectExtent l="0" t="0" r="5715" b="5715"/>
            <wp:docPr id="706410641" name="Chart 1" descr="Table showing Highest Level of Educational Attainment for 2016 and 2021, indicating whether students finished high school or TAFE, gained a Bachelor degree or above, or didn't state which. There was an increase from 39% to 46% for Bachelor Degree and above between 2016 and 2021, with TAFE remaining steady and High School dropping from 31% to 26%. ">
              <a:extLst xmlns:a="http://schemas.openxmlformats.org/drawingml/2006/main">
                <a:ext uri="{FF2B5EF4-FFF2-40B4-BE49-F238E27FC236}">
                  <a16:creationId xmlns:a16="http://schemas.microsoft.com/office/drawing/2014/main" id="{05BAF5D1-B8FF-7214-293A-98922133BA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7B626F" w:rsidRPr="00757D20">
        <w:rPr>
          <w:rFonts w:cs="Arial"/>
          <w:b/>
          <w:bCs/>
        </w:rPr>
        <w:tab/>
        <w:t xml:space="preserve">     </w:t>
      </w:r>
      <w:r w:rsidR="007B6C00" w:rsidRPr="00757D20">
        <w:rPr>
          <w:noProof/>
        </w:rPr>
        <w:drawing>
          <wp:inline distT="0" distB="0" distL="0" distR="0" wp14:anchorId="601BB5D4" wp14:editId="2871028A">
            <wp:extent cx="2700000" cy="2700000"/>
            <wp:effectExtent l="0" t="0" r="5715" b="5715"/>
            <wp:docPr id="690341935" name="Chart 1" descr="Table showing Community Occupations in 2011 and 2021 with categories for Labourers, Machine Operators, Sales Workers, Clerical, Technicians, Community and Personal,  Professionals and Managers. The highest occurrence in both years is for professionals at 31% (2011) and 37% (2021). Managers and clerical are the next highest occurrence at around 11%-17% for both years.">
              <a:extLst xmlns:a="http://schemas.openxmlformats.org/drawingml/2006/main">
                <a:ext uri="{FF2B5EF4-FFF2-40B4-BE49-F238E27FC236}">
                  <a16:creationId xmlns:a16="http://schemas.microsoft.com/office/drawing/2014/main" id="{5D3AB367-D071-4DF1-F921-091AB2CCE8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D11CF21" w14:textId="5BB29767" w:rsidR="00157B19" w:rsidRPr="00887352" w:rsidRDefault="009F3A67" w:rsidP="009F3A67">
      <w:pPr>
        <w:spacing w:after="0"/>
        <w:rPr>
          <w:sz w:val="16"/>
          <w:szCs w:val="16"/>
        </w:rPr>
      </w:pPr>
      <w:r w:rsidRPr="00682DD2">
        <w:rPr>
          <w:sz w:val="16"/>
          <w:szCs w:val="16"/>
        </w:rPr>
        <w:t xml:space="preserve">Note: </w:t>
      </w:r>
      <w:r w:rsidRPr="00682DD2">
        <w:rPr>
          <w:sz w:val="16"/>
          <w:szCs w:val="16"/>
          <w:vertAlign w:val="superscript"/>
        </w:rPr>
        <w:t>1</w:t>
      </w:r>
      <w:r w:rsidRPr="00682DD2">
        <w:rPr>
          <w:sz w:val="16"/>
          <w:szCs w:val="16"/>
        </w:rPr>
        <w:t>Educational attainment was not collected in the 2011 Census.</w:t>
      </w:r>
    </w:p>
    <w:p w14:paraId="16F8EBD2" w14:textId="77777777" w:rsidR="00F56BA8" w:rsidRPr="003F34DE" w:rsidRDefault="00F56BA8" w:rsidP="009F3A67">
      <w:pPr>
        <w:spacing w:after="0"/>
        <w:rPr>
          <w:sz w:val="14"/>
          <w:szCs w:val="14"/>
        </w:rPr>
      </w:pPr>
    </w:p>
    <w:p w14:paraId="55DFA0EC" w14:textId="1911217B" w:rsidR="009F3A67" w:rsidRDefault="003F61E9" w:rsidP="00157B19">
      <w:pPr>
        <w:spacing w:after="0" w:line="360" w:lineRule="auto"/>
        <w:rPr>
          <w:rFonts w:cs="Arial"/>
          <w:b/>
          <w:bCs/>
        </w:rPr>
      </w:pPr>
      <w:r w:rsidRPr="00757D20">
        <w:rPr>
          <w:rFonts w:cs="Arial"/>
          <w:b/>
          <w:bCs/>
        </w:rPr>
        <w:t xml:space="preserve">Top </w:t>
      </w:r>
      <w:r w:rsidR="00F471F7">
        <w:rPr>
          <w:rFonts w:cs="Arial"/>
          <w:b/>
          <w:bCs/>
        </w:rPr>
        <w:t xml:space="preserve">5 </w:t>
      </w:r>
      <w:r w:rsidR="00643271">
        <w:rPr>
          <w:rFonts w:cs="Arial"/>
          <w:b/>
          <w:bCs/>
        </w:rPr>
        <w:t>i</w:t>
      </w:r>
      <w:r w:rsidRPr="00757D20">
        <w:rPr>
          <w:rFonts w:cs="Arial"/>
          <w:b/>
          <w:bCs/>
        </w:rPr>
        <w:t xml:space="preserve">ndustries of </w:t>
      </w:r>
      <w:r w:rsidR="00643271">
        <w:rPr>
          <w:rFonts w:cs="Arial"/>
          <w:b/>
          <w:bCs/>
        </w:rPr>
        <w:t>e</w:t>
      </w:r>
      <w:r w:rsidRPr="00757D20">
        <w:rPr>
          <w:rFonts w:cs="Arial"/>
          <w:b/>
          <w:bCs/>
        </w:rPr>
        <w:t>mployment</w:t>
      </w:r>
      <w:r w:rsidR="00157B19" w:rsidRPr="00757D20">
        <w:rPr>
          <w:rFonts w:cs="Arial"/>
          <w:b/>
        </w:rPr>
        <w:t xml:space="preserve">, </w:t>
      </w:r>
      <w:r w:rsidRPr="00757D20">
        <w:rPr>
          <w:rFonts w:cs="Arial"/>
          <w:b/>
          <w:bCs/>
        </w:rPr>
        <w:t>Banks Hollow</w:t>
      </w:r>
      <w:r w:rsidR="005B419D">
        <w:rPr>
          <w:rStyle w:val="FootnoteReference"/>
          <w:rFonts w:eastAsia="Times New Roman" w:cs="Arial"/>
          <w:color w:val="222222"/>
          <w:kern w:val="0"/>
          <w:lang w:eastAsia="en-AU"/>
          <w14:ligatures w14:val="none"/>
        </w:rPr>
        <w:footnoteReference w:id="12"/>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30"/>
        <w:gridCol w:w="1631"/>
      </w:tblGrid>
      <w:tr w:rsidR="00412F2D" w:rsidRPr="00757D20" w14:paraId="333AB446" w14:textId="77777777" w:rsidTr="00831420">
        <w:trPr>
          <w:trHeight w:val="300"/>
        </w:trPr>
        <w:tc>
          <w:tcPr>
            <w:tcW w:w="5665" w:type="dxa"/>
            <w:shd w:val="clear" w:color="auto" w:fill="5CCAC5" w:themeFill="accent6" w:themeFillShade="BF"/>
            <w:vAlign w:val="center"/>
            <w:hideMark/>
          </w:tcPr>
          <w:p w14:paraId="461B7BC9" w14:textId="77777777" w:rsidR="00412F2D" w:rsidRPr="00757D20" w:rsidRDefault="00412F2D" w:rsidP="00831420">
            <w:pPr>
              <w:spacing w:after="0" w:line="240" w:lineRule="auto"/>
              <w:rPr>
                <w:rFonts w:eastAsia="Times New Roman" w:cs="Arial"/>
                <w:b/>
                <w:bCs/>
                <w:color w:val="222222"/>
                <w:kern w:val="0"/>
                <w:lang w:eastAsia="en-AU"/>
                <w14:ligatures w14:val="none"/>
              </w:rPr>
            </w:pPr>
          </w:p>
        </w:tc>
        <w:tc>
          <w:tcPr>
            <w:tcW w:w="1630" w:type="dxa"/>
            <w:shd w:val="clear" w:color="auto" w:fill="5CCAC5" w:themeFill="accent6" w:themeFillShade="BF"/>
            <w:vAlign w:val="center"/>
            <w:hideMark/>
          </w:tcPr>
          <w:p w14:paraId="2768B5CC" w14:textId="77777777" w:rsidR="00412F2D" w:rsidRPr="00757D20" w:rsidRDefault="00412F2D" w:rsidP="00831420">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2011</w:t>
            </w:r>
            <w:r>
              <w:rPr>
                <w:rFonts w:eastAsia="Times New Roman" w:cs="Arial"/>
                <w:b/>
                <w:bCs/>
                <w:color w:val="222222"/>
                <w:kern w:val="0"/>
                <w:lang w:eastAsia="en-AU"/>
                <w14:ligatures w14:val="none"/>
              </w:rPr>
              <w:t xml:space="preserve"> </w:t>
            </w:r>
            <w:r w:rsidRPr="00757D20">
              <w:rPr>
                <w:rFonts w:eastAsia="Times New Roman" w:cs="Arial"/>
                <w:b/>
                <w:bCs/>
                <w:color w:val="222222"/>
                <w:kern w:val="0"/>
                <w:lang w:eastAsia="en-AU"/>
                <w14:ligatures w14:val="none"/>
              </w:rPr>
              <w:t>(%)</w:t>
            </w:r>
          </w:p>
        </w:tc>
        <w:tc>
          <w:tcPr>
            <w:tcW w:w="1631" w:type="dxa"/>
            <w:shd w:val="clear" w:color="auto" w:fill="5CCAC5" w:themeFill="accent6" w:themeFillShade="BF"/>
            <w:noWrap/>
            <w:vAlign w:val="bottom"/>
            <w:hideMark/>
          </w:tcPr>
          <w:p w14:paraId="77131C89" w14:textId="77777777" w:rsidR="00412F2D" w:rsidRPr="00757D20" w:rsidRDefault="00412F2D" w:rsidP="00831420">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2021</w:t>
            </w:r>
            <w:r>
              <w:rPr>
                <w:rFonts w:eastAsia="Times New Roman" w:cs="Arial"/>
                <w:b/>
                <w:bCs/>
                <w:color w:val="000000"/>
                <w:kern w:val="0"/>
                <w:lang w:eastAsia="en-AU"/>
                <w14:ligatures w14:val="none"/>
              </w:rPr>
              <w:t xml:space="preserve"> </w:t>
            </w:r>
            <w:r w:rsidRPr="00757D20">
              <w:rPr>
                <w:rFonts w:eastAsia="Times New Roman" w:cs="Arial"/>
                <w:b/>
                <w:bCs/>
                <w:color w:val="000000"/>
                <w:kern w:val="0"/>
                <w:lang w:eastAsia="en-AU"/>
                <w14:ligatures w14:val="none"/>
              </w:rPr>
              <w:t>(%)</w:t>
            </w:r>
          </w:p>
        </w:tc>
      </w:tr>
      <w:tr w:rsidR="00412F2D" w:rsidRPr="00757D20" w14:paraId="031FD968" w14:textId="77777777" w:rsidTr="00831420">
        <w:trPr>
          <w:trHeight w:val="281"/>
        </w:trPr>
        <w:tc>
          <w:tcPr>
            <w:tcW w:w="5665" w:type="dxa"/>
            <w:vAlign w:val="center"/>
            <w:hideMark/>
          </w:tcPr>
          <w:p w14:paraId="6E22A8AF"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Computer </w:t>
            </w:r>
            <w:r>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 xml:space="preserve">ystem </w:t>
            </w:r>
            <w:r>
              <w:rPr>
                <w:rFonts w:eastAsia="Times New Roman" w:cs="Arial"/>
                <w:color w:val="222222"/>
                <w:kern w:val="0"/>
                <w:lang w:eastAsia="en-AU"/>
                <w14:ligatures w14:val="none"/>
              </w:rPr>
              <w:t>d</w:t>
            </w:r>
            <w:r w:rsidRPr="00757D20">
              <w:rPr>
                <w:rFonts w:eastAsia="Times New Roman" w:cs="Arial"/>
                <w:color w:val="222222"/>
                <w:kern w:val="0"/>
                <w:lang w:eastAsia="en-AU"/>
                <w14:ligatures w14:val="none"/>
              </w:rPr>
              <w:t xml:space="preserve">esign and </w:t>
            </w:r>
            <w:r>
              <w:rPr>
                <w:rFonts w:eastAsia="Times New Roman" w:cs="Arial"/>
                <w:color w:val="222222"/>
                <w:kern w:val="0"/>
                <w:lang w:eastAsia="en-AU"/>
                <w14:ligatures w14:val="none"/>
              </w:rPr>
              <w:t>r</w:t>
            </w:r>
            <w:r w:rsidRPr="00757D20">
              <w:rPr>
                <w:rFonts w:eastAsia="Times New Roman" w:cs="Arial"/>
                <w:color w:val="222222"/>
                <w:kern w:val="0"/>
                <w:lang w:eastAsia="en-AU"/>
                <w14:ligatures w14:val="none"/>
              </w:rPr>
              <w:t xml:space="preserve">elated </w:t>
            </w:r>
            <w:r>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630" w:type="dxa"/>
            <w:vAlign w:val="center"/>
            <w:hideMark/>
          </w:tcPr>
          <w:p w14:paraId="42AE37D0"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4</w:t>
            </w:r>
            <w:r>
              <w:rPr>
                <w:rFonts w:eastAsia="Times New Roman" w:cs="Arial"/>
                <w:color w:val="222222"/>
                <w:kern w:val="0"/>
                <w:lang w:eastAsia="en-AU"/>
                <w14:ligatures w14:val="none"/>
              </w:rPr>
              <w:t>.0</w:t>
            </w:r>
          </w:p>
        </w:tc>
        <w:tc>
          <w:tcPr>
            <w:tcW w:w="1631" w:type="dxa"/>
            <w:noWrap/>
            <w:vAlign w:val="center"/>
            <w:hideMark/>
          </w:tcPr>
          <w:p w14:paraId="309FF251" w14:textId="77777777" w:rsidR="00412F2D" w:rsidRPr="00757D20" w:rsidRDefault="00412F2D" w:rsidP="00831420">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4.7</w:t>
            </w:r>
          </w:p>
        </w:tc>
      </w:tr>
      <w:tr w:rsidR="00412F2D" w:rsidRPr="00757D20" w14:paraId="27262E1E" w14:textId="77777777" w:rsidTr="00831420">
        <w:trPr>
          <w:trHeight w:val="281"/>
        </w:trPr>
        <w:tc>
          <w:tcPr>
            <w:tcW w:w="5665" w:type="dxa"/>
            <w:vAlign w:val="center"/>
            <w:hideMark/>
          </w:tcPr>
          <w:p w14:paraId="77E4254C"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Hospitals (except </w:t>
            </w:r>
            <w:r>
              <w:rPr>
                <w:rFonts w:eastAsia="Times New Roman" w:cs="Arial"/>
                <w:color w:val="222222"/>
                <w:kern w:val="0"/>
                <w:lang w:eastAsia="en-AU"/>
                <w14:ligatures w14:val="none"/>
              </w:rPr>
              <w:t>p</w:t>
            </w:r>
            <w:r w:rsidRPr="00757D20">
              <w:rPr>
                <w:rFonts w:eastAsia="Times New Roman" w:cs="Arial"/>
                <w:color w:val="222222"/>
                <w:kern w:val="0"/>
                <w:lang w:eastAsia="en-AU"/>
                <w14:ligatures w14:val="none"/>
              </w:rPr>
              <w:t xml:space="preserve">sychiatric </w:t>
            </w:r>
            <w:r>
              <w:rPr>
                <w:rFonts w:eastAsia="Times New Roman" w:cs="Arial"/>
                <w:color w:val="222222"/>
                <w:kern w:val="0"/>
                <w:lang w:eastAsia="en-AU"/>
                <w14:ligatures w14:val="none"/>
              </w:rPr>
              <w:t>h</w:t>
            </w:r>
            <w:r w:rsidRPr="00757D20">
              <w:rPr>
                <w:rFonts w:eastAsia="Times New Roman" w:cs="Arial"/>
                <w:color w:val="222222"/>
                <w:kern w:val="0"/>
                <w:lang w:eastAsia="en-AU"/>
                <w14:ligatures w14:val="none"/>
              </w:rPr>
              <w:t>ospitals)</w:t>
            </w:r>
          </w:p>
        </w:tc>
        <w:tc>
          <w:tcPr>
            <w:tcW w:w="1630" w:type="dxa"/>
            <w:vAlign w:val="center"/>
            <w:hideMark/>
          </w:tcPr>
          <w:p w14:paraId="0677CF7F"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3.4</w:t>
            </w:r>
          </w:p>
        </w:tc>
        <w:tc>
          <w:tcPr>
            <w:tcW w:w="1631" w:type="dxa"/>
            <w:noWrap/>
            <w:vAlign w:val="center"/>
            <w:hideMark/>
          </w:tcPr>
          <w:p w14:paraId="3D60017F" w14:textId="77777777" w:rsidR="00412F2D" w:rsidRPr="00757D20" w:rsidRDefault="00412F2D" w:rsidP="00831420">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3.7</w:t>
            </w:r>
          </w:p>
        </w:tc>
      </w:tr>
      <w:tr w:rsidR="00412F2D" w:rsidRPr="00757D20" w14:paraId="72C704C6" w14:textId="77777777" w:rsidTr="00831420">
        <w:trPr>
          <w:trHeight w:val="281"/>
        </w:trPr>
        <w:tc>
          <w:tcPr>
            <w:tcW w:w="5665" w:type="dxa"/>
            <w:vAlign w:val="center"/>
            <w:hideMark/>
          </w:tcPr>
          <w:p w14:paraId="7EC40B96"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Banking</w:t>
            </w:r>
          </w:p>
        </w:tc>
        <w:tc>
          <w:tcPr>
            <w:tcW w:w="1630" w:type="dxa"/>
            <w:vAlign w:val="center"/>
            <w:hideMark/>
          </w:tcPr>
          <w:p w14:paraId="41FD7FC4"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c>
          <w:tcPr>
            <w:tcW w:w="1631" w:type="dxa"/>
            <w:noWrap/>
            <w:vAlign w:val="center"/>
            <w:hideMark/>
          </w:tcPr>
          <w:p w14:paraId="351B48DD" w14:textId="77777777" w:rsidR="00412F2D" w:rsidRPr="00757D20" w:rsidRDefault="00412F2D" w:rsidP="00831420">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3.3</w:t>
            </w:r>
          </w:p>
        </w:tc>
      </w:tr>
      <w:tr w:rsidR="00412F2D" w:rsidRPr="00757D20" w14:paraId="01C5C109" w14:textId="77777777" w:rsidTr="00831420">
        <w:trPr>
          <w:trHeight w:val="281"/>
        </w:trPr>
        <w:tc>
          <w:tcPr>
            <w:tcW w:w="5665" w:type="dxa"/>
            <w:vAlign w:val="center"/>
            <w:hideMark/>
          </w:tcPr>
          <w:p w14:paraId="580F0C80"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Accounting </w:t>
            </w:r>
            <w:r>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630" w:type="dxa"/>
            <w:vAlign w:val="center"/>
            <w:hideMark/>
          </w:tcPr>
          <w:p w14:paraId="545F6BFB"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c>
          <w:tcPr>
            <w:tcW w:w="1631" w:type="dxa"/>
            <w:noWrap/>
            <w:vAlign w:val="center"/>
            <w:hideMark/>
          </w:tcPr>
          <w:p w14:paraId="6BBE6215" w14:textId="77777777" w:rsidR="00412F2D" w:rsidRPr="00757D20" w:rsidRDefault="00412F2D" w:rsidP="00831420">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2.3</w:t>
            </w:r>
          </w:p>
        </w:tc>
      </w:tr>
      <w:tr w:rsidR="00412F2D" w:rsidRPr="00757D20" w14:paraId="70E0DCFE" w14:textId="77777777" w:rsidTr="00831420">
        <w:trPr>
          <w:trHeight w:val="281"/>
        </w:trPr>
        <w:tc>
          <w:tcPr>
            <w:tcW w:w="5665" w:type="dxa"/>
            <w:vAlign w:val="center"/>
            <w:hideMark/>
          </w:tcPr>
          <w:p w14:paraId="1A8B1E0F"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Cafes and </w:t>
            </w:r>
            <w:r>
              <w:rPr>
                <w:rFonts w:eastAsia="Times New Roman" w:cs="Arial"/>
                <w:color w:val="222222"/>
                <w:kern w:val="0"/>
                <w:lang w:eastAsia="en-AU"/>
                <w14:ligatures w14:val="none"/>
              </w:rPr>
              <w:t>r</w:t>
            </w:r>
            <w:r w:rsidRPr="00757D20">
              <w:rPr>
                <w:rFonts w:eastAsia="Times New Roman" w:cs="Arial"/>
                <w:color w:val="222222"/>
                <w:kern w:val="0"/>
                <w:lang w:eastAsia="en-AU"/>
                <w14:ligatures w14:val="none"/>
              </w:rPr>
              <w:t>estaurants</w:t>
            </w:r>
          </w:p>
        </w:tc>
        <w:tc>
          <w:tcPr>
            <w:tcW w:w="1630" w:type="dxa"/>
            <w:vAlign w:val="center"/>
            <w:hideMark/>
          </w:tcPr>
          <w:p w14:paraId="660CEA3C"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c>
          <w:tcPr>
            <w:tcW w:w="1631" w:type="dxa"/>
            <w:noWrap/>
            <w:vAlign w:val="center"/>
            <w:hideMark/>
          </w:tcPr>
          <w:p w14:paraId="1882E6E7" w14:textId="77777777" w:rsidR="00412F2D" w:rsidRPr="00757D20" w:rsidRDefault="00412F2D" w:rsidP="00831420">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2.3</w:t>
            </w:r>
          </w:p>
        </w:tc>
      </w:tr>
      <w:tr w:rsidR="00412F2D" w:rsidRPr="00757D20" w14:paraId="61611AFF" w14:textId="77777777" w:rsidTr="00831420">
        <w:trPr>
          <w:trHeight w:val="281"/>
        </w:trPr>
        <w:tc>
          <w:tcPr>
            <w:tcW w:w="5665" w:type="dxa"/>
            <w:vAlign w:val="center"/>
            <w:hideMark/>
          </w:tcPr>
          <w:p w14:paraId="7D8AFB80"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Cafes and </w:t>
            </w:r>
            <w:r>
              <w:rPr>
                <w:rFonts w:eastAsia="Times New Roman" w:cs="Arial"/>
                <w:color w:val="222222"/>
                <w:kern w:val="0"/>
                <w:lang w:eastAsia="en-AU"/>
                <w14:ligatures w14:val="none"/>
              </w:rPr>
              <w:t>r</w:t>
            </w:r>
            <w:r w:rsidRPr="00757D20">
              <w:rPr>
                <w:rFonts w:eastAsia="Times New Roman" w:cs="Arial"/>
                <w:color w:val="222222"/>
                <w:kern w:val="0"/>
                <w:lang w:eastAsia="en-AU"/>
                <w14:ligatures w14:val="none"/>
              </w:rPr>
              <w:t xml:space="preserve">estaurants and </w:t>
            </w:r>
            <w:r>
              <w:rPr>
                <w:rFonts w:eastAsia="Times New Roman" w:cs="Arial"/>
                <w:color w:val="222222"/>
                <w:kern w:val="0"/>
                <w:lang w:eastAsia="en-AU"/>
                <w14:ligatures w14:val="none"/>
              </w:rPr>
              <w:t>t</w:t>
            </w:r>
            <w:r w:rsidRPr="00757D20">
              <w:rPr>
                <w:rFonts w:eastAsia="Times New Roman" w:cs="Arial"/>
                <w:color w:val="222222"/>
                <w:kern w:val="0"/>
                <w:lang w:eastAsia="en-AU"/>
                <w14:ligatures w14:val="none"/>
              </w:rPr>
              <w:t xml:space="preserve">akeaway </w:t>
            </w:r>
            <w:r>
              <w:rPr>
                <w:rFonts w:eastAsia="Times New Roman" w:cs="Arial"/>
                <w:color w:val="222222"/>
                <w:kern w:val="0"/>
                <w:lang w:eastAsia="en-AU"/>
                <w14:ligatures w14:val="none"/>
              </w:rPr>
              <w:t>f</w:t>
            </w:r>
            <w:r w:rsidRPr="00757D20">
              <w:rPr>
                <w:rFonts w:eastAsia="Times New Roman" w:cs="Arial"/>
                <w:color w:val="222222"/>
                <w:kern w:val="0"/>
                <w:lang w:eastAsia="en-AU"/>
                <w14:ligatures w14:val="none"/>
              </w:rPr>
              <w:t xml:space="preserve">ood </w:t>
            </w:r>
            <w:r>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630" w:type="dxa"/>
            <w:vAlign w:val="center"/>
            <w:hideMark/>
          </w:tcPr>
          <w:p w14:paraId="57DF47D2"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4</w:t>
            </w:r>
            <w:r>
              <w:rPr>
                <w:rFonts w:eastAsia="Times New Roman" w:cs="Arial"/>
                <w:color w:val="222222"/>
                <w:kern w:val="0"/>
                <w:lang w:eastAsia="en-AU"/>
                <w14:ligatures w14:val="none"/>
              </w:rPr>
              <w:t>.0</w:t>
            </w:r>
          </w:p>
        </w:tc>
        <w:tc>
          <w:tcPr>
            <w:tcW w:w="1631" w:type="dxa"/>
            <w:noWrap/>
            <w:vAlign w:val="center"/>
            <w:hideMark/>
          </w:tcPr>
          <w:p w14:paraId="2BD339E7"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r>
      <w:tr w:rsidR="00412F2D" w:rsidRPr="00757D20" w14:paraId="400484A1" w14:textId="77777777" w:rsidTr="00831420">
        <w:trPr>
          <w:trHeight w:val="281"/>
        </w:trPr>
        <w:tc>
          <w:tcPr>
            <w:tcW w:w="5665" w:type="dxa"/>
            <w:vAlign w:val="center"/>
            <w:hideMark/>
          </w:tcPr>
          <w:p w14:paraId="65559ECC" w14:textId="77777777" w:rsidR="00412F2D" w:rsidRPr="00757D20" w:rsidRDefault="00412F2D" w:rsidP="00831420">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School Education</w:t>
            </w:r>
          </w:p>
        </w:tc>
        <w:tc>
          <w:tcPr>
            <w:tcW w:w="1630" w:type="dxa"/>
            <w:vAlign w:val="center"/>
            <w:hideMark/>
          </w:tcPr>
          <w:p w14:paraId="20B9E31C"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3.8</w:t>
            </w:r>
          </w:p>
        </w:tc>
        <w:tc>
          <w:tcPr>
            <w:tcW w:w="1631" w:type="dxa"/>
            <w:noWrap/>
            <w:vAlign w:val="center"/>
            <w:hideMark/>
          </w:tcPr>
          <w:p w14:paraId="164A6B56" w14:textId="77777777" w:rsidR="00412F2D" w:rsidRPr="00757D20" w:rsidRDefault="00412F2D" w:rsidP="00831420">
            <w:pPr>
              <w:spacing w:after="0" w:line="240" w:lineRule="auto"/>
              <w:jc w:val="right"/>
              <w:rPr>
                <w:rFonts w:eastAsia="Times New Roman" w:cs="Arial"/>
                <w:color w:val="222222"/>
                <w:kern w:val="0"/>
                <w:lang w:eastAsia="en-AU"/>
                <w14:ligatures w14:val="none"/>
              </w:rPr>
            </w:pPr>
            <w:r>
              <w:rPr>
                <w:rFonts w:eastAsia="Times New Roman" w:cs="Arial"/>
                <w:color w:val="222222"/>
                <w:kern w:val="0"/>
                <w:lang w:eastAsia="en-AU"/>
                <w14:ligatures w14:val="none"/>
              </w:rPr>
              <w:t>-</w:t>
            </w:r>
          </w:p>
        </w:tc>
      </w:tr>
    </w:tbl>
    <w:p w14:paraId="169E0BD3" w14:textId="3B0C361A" w:rsidR="004064DE" w:rsidRPr="00757D20" w:rsidRDefault="00515CD7" w:rsidP="001552F5">
      <w:pPr>
        <w:pStyle w:val="Heading3"/>
        <w:numPr>
          <w:ilvl w:val="0"/>
          <w:numId w:val="0"/>
        </w:numPr>
        <w:pBdr>
          <w:top w:val="single" w:sz="4" w:space="1" w:color="auto"/>
          <w:left w:val="single" w:sz="4" w:space="1" w:color="auto"/>
          <w:bottom w:val="single" w:sz="4" w:space="1" w:color="auto"/>
          <w:right w:val="single" w:sz="4" w:space="1" w:color="auto"/>
        </w:pBdr>
        <w:shd w:val="clear" w:color="auto" w:fill="CAEEEC" w:themeFill="accent6" w:themeFillTint="99"/>
      </w:pPr>
      <w:bookmarkStart w:id="74" w:name="_Toc196396157"/>
      <w:bookmarkStart w:id="75" w:name="_Toc219977228"/>
      <w:r w:rsidRPr="00757D20">
        <w:lastRenderedPageBreak/>
        <w:t>Banks Hollow Secondary College</w:t>
      </w:r>
      <w:r w:rsidR="00F627CA" w:rsidRPr="00757D20">
        <w:t>:</w:t>
      </w:r>
      <w:r w:rsidR="00DF6778" w:rsidRPr="00757D20">
        <w:t xml:space="preserve"> Overview</w:t>
      </w:r>
      <w:bookmarkEnd w:id="74"/>
      <w:bookmarkEnd w:id="75"/>
    </w:p>
    <w:p w14:paraId="3DD580EA" w14:textId="2E9C5510" w:rsidR="0078306F" w:rsidRPr="00757D20" w:rsidRDefault="00D477CE" w:rsidP="001552F5">
      <w:pPr>
        <w:pBdr>
          <w:top w:val="single" w:sz="4" w:space="1" w:color="auto"/>
          <w:left w:val="single" w:sz="4" w:space="1" w:color="auto"/>
          <w:bottom w:val="single" w:sz="4" w:space="1" w:color="auto"/>
          <w:right w:val="single" w:sz="4" w:space="1" w:color="auto"/>
        </w:pBdr>
        <w:shd w:val="clear" w:color="auto" w:fill="CAEEEC" w:themeFill="accent6" w:themeFillTint="99"/>
      </w:pPr>
      <w:r w:rsidRPr="00757D20">
        <w:t>Banks Hollow Secondary College</w:t>
      </w:r>
      <w:r w:rsidR="004064DE" w:rsidRPr="00757D20">
        <w:t xml:space="preserve"> is </w:t>
      </w:r>
      <w:r w:rsidR="00230F90" w:rsidRPr="00757D20">
        <w:t xml:space="preserve">a partially selective secondary school </w:t>
      </w:r>
      <w:r w:rsidR="004064DE" w:rsidRPr="00757D20">
        <w:t xml:space="preserve">located in </w:t>
      </w:r>
      <w:r w:rsidR="003543A8" w:rsidRPr="00757D20">
        <w:t>an</w:t>
      </w:r>
      <w:r w:rsidR="004064DE" w:rsidRPr="00757D20">
        <w:t xml:space="preserve"> </w:t>
      </w:r>
      <w:r w:rsidR="00230F90" w:rsidRPr="00757D20">
        <w:t xml:space="preserve">inner-city suburb of </w:t>
      </w:r>
      <w:r w:rsidR="003543A8" w:rsidRPr="00757D20">
        <w:t>the state’s capital</w:t>
      </w:r>
      <w:r w:rsidR="004064DE" w:rsidRPr="00757D20">
        <w:t xml:space="preserve">. We first visited </w:t>
      </w:r>
      <w:r w:rsidR="003543A8" w:rsidRPr="00757D20">
        <w:t xml:space="preserve">Banks Hollow </w:t>
      </w:r>
      <w:r w:rsidR="00230F90" w:rsidRPr="00757D20">
        <w:t>in 2014</w:t>
      </w:r>
      <w:r w:rsidR="004064DE" w:rsidRPr="00757D20">
        <w:t xml:space="preserve"> as a part of the </w:t>
      </w:r>
      <w:r w:rsidR="00230F90" w:rsidRPr="00A11571">
        <w:rPr>
          <w:i/>
          <w:iCs/>
        </w:rPr>
        <w:t>Aspirations Longitudinal</w:t>
      </w:r>
      <w:r w:rsidR="00230F90" w:rsidRPr="00757D20">
        <w:rPr>
          <w:i/>
          <w:iCs/>
        </w:rPr>
        <w:t xml:space="preserve"> </w:t>
      </w:r>
      <w:r w:rsidR="00EC45C5">
        <w:rPr>
          <w:i/>
          <w:iCs/>
        </w:rPr>
        <w:t>Study</w:t>
      </w:r>
      <w:r w:rsidR="00230F90" w:rsidRPr="00757D20">
        <w:rPr>
          <w:i/>
          <w:iCs/>
        </w:rPr>
        <w:t>.</w:t>
      </w:r>
      <w:r w:rsidR="004064DE" w:rsidRPr="00757D20">
        <w:t xml:space="preserve"> We returned to </w:t>
      </w:r>
      <w:r w:rsidR="005F4F9B" w:rsidRPr="00757D20">
        <w:t xml:space="preserve">the school </w:t>
      </w:r>
      <w:r w:rsidR="004064DE" w:rsidRPr="00757D20">
        <w:t xml:space="preserve">again in 2018 to collect additional data for the </w:t>
      </w:r>
      <w:r w:rsidR="004064DE" w:rsidRPr="00757D20">
        <w:rPr>
          <w:i/>
          <w:iCs/>
        </w:rPr>
        <w:t xml:space="preserve">Community Influence </w:t>
      </w:r>
      <w:r w:rsidR="005F4F9B" w:rsidRPr="00757D20">
        <w:t>p</w:t>
      </w:r>
      <w:r w:rsidR="004064DE" w:rsidRPr="00757D20">
        <w:t>roject</w:t>
      </w:r>
      <w:r w:rsidR="004064DE" w:rsidRPr="00757D20">
        <w:rPr>
          <w:i/>
          <w:iCs/>
        </w:rPr>
        <w:t xml:space="preserve"> </w:t>
      </w:r>
      <w:r w:rsidR="004064DE" w:rsidRPr="00757D20">
        <w:t xml:space="preserve">and for a third time in 2025 for the </w:t>
      </w:r>
      <w:r w:rsidR="004064DE" w:rsidRPr="00757D20">
        <w:rPr>
          <w:i/>
          <w:iCs/>
        </w:rPr>
        <w:t xml:space="preserve">Aspirations in Uncertain Times </w:t>
      </w:r>
      <w:r w:rsidR="004064DE" w:rsidRPr="00757D20">
        <w:t xml:space="preserve">project. </w:t>
      </w:r>
      <w:r w:rsidRPr="00757D20">
        <w:t>Banks Hollow Secondary</w:t>
      </w:r>
      <w:r w:rsidR="00643271">
        <w:t xml:space="preserve"> College</w:t>
      </w:r>
      <w:r w:rsidR="00ED52C9" w:rsidRPr="00757D20">
        <w:t xml:space="preserve"> is</w:t>
      </w:r>
      <w:r w:rsidR="006F4A34" w:rsidRPr="00757D20">
        <w:t xml:space="preserve"> ethnically diverse, with </w:t>
      </w:r>
      <w:r w:rsidR="006F4A34" w:rsidRPr="00757D20">
        <w:rPr>
          <w:rFonts w:cs="Arial"/>
        </w:rPr>
        <w:t xml:space="preserve">68% of students </w:t>
      </w:r>
      <w:r w:rsidR="00853162" w:rsidRPr="00757D20">
        <w:rPr>
          <w:rFonts w:cs="Arial"/>
        </w:rPr>
        <w:t xml:space="preserve">in 2024 </w:t>
      </w:r>
      <w:r w:rsidR="006F4A34" w:rsidRPr="00757D20">
        <w:rPr>
          <w:rFonts w:cs="Arial"/>
        </w:rPr>
        <w:t xml:space="preserve">being from a </w:t>
      </w:r>
      <w:r w:rsidR="00992A88" w:rsidRPr="00757D20">
        <w:rPr>
          <w:rFonts w:cs="Arial"/>
        </w:rPr>
        <w:t>l</w:t>
      </w:r>
      <w:r w:rsidR="006F4A34" w:rsidRPr="00757D20">
        <w:rPr>
          <w:rFonts w:cs="Arial"/>
        </w:rPr>
        <w:t xml:space="preserve">anguage </w:t>
      </w:r>
      <w:r w:rsidR="00992A88" w:rsidRPr="00757D20">
        <w:rPr>
          <w:rFonts w:cs="Arial"/>
        </w:rPr>
        <w:t>b</w:t>
      </w:r>
      <w:r w:rsidR="006F4A34" w:rsidRPr="00757D20">
        <w:rPr>
          <w:rFonts w:cs="Arial"/>
        </w:rPr>
        <w:t xml:space="preserve">ackground </w:t>
      </w:r>
      <w:r w:rsidR="00992A88" w:rsidRPr="00757D20">
        <w:rPr>
          <w:rFonts w:cs="Arial"/>
        </w:rPr>
        <w:t>o</w:t>
      </w:r>
      <w:r w:rsidR="006F4A34" w:rsidRPr="00757D20">
        <w:rPr>
          <w:rFonts w:cs="Arial"/>
        </w:rPr>
        <w:t xml:space="preserve">ther </w:t>
      </w:r>
      <w:r w:rsidR="00992A88" w:rsidRPr="00757D20">
        <w:rPr>
          <w:rFonts w:cs="Arial"/>
        </w:rPr>
        <w:t>t</w:t>
      </w:r>
      <w:r w:rsidR="006F4A34" w:rsidRPr="00757D20">
        <w:rPr>
          <w:rFonts w:cs="Arial"/>
        </w:rPr>
        <w:t xml:space="preserve">han English. </w:t>
      </w:r>
      <w:r w:rsidR="000D3349" w:rsidRPr="00757D20">
        <w:rPr>
          <w:rFonts w:cs="Arial"/>
        </w:rPr>
        <w:t>Likely due to the school being partially selective, t</w:t>
      </w:r>
      <w:r w:rsidR="0039589C" w:rsidRPr="00757D20">
        <w:rPr>
          <w:rFonts w:cs="Arial"/>
        </w:rPr>
        <w:t xml:space="preserve">he current ICSEA of the school is </w:t>
      </w:r>
      <w:r w:rsidR="004E713F" w:rsidRPr="00757D20">
        <w:rPr>
          <w:rFonts w:cs="Arial"/>
        </w:rPr>
        <w:t>1104</w:t>
      </w:r>
      <w:r w:rsidR="0039589C" w:rsidRPr="00757D20">
        <w:rPr>
          <w:rFonts w:cs="Arial"/>
        </w:rPr>
        <w:t xml:space="preserve">, which means </w:t>
      </w:r>
      <w:r w:rsidR="00853162" w:rsidRPr="00757D20">
        <w:t>it</w:t>
      </w:r>
      <w:r w:rsidR="004064DE" w:rsidRPr="00757D20">
        <w:t xml:space="preserve"> falls within the </w:t>
      </w:r>
      <w:r w:rsidR="00FB51DE" w:rsidRPr="00757D20">
        <w:t>top 15</w:t>
      </w:r>
      <w:r w:rsidR="004064DE" w:rsidRPr="00757D20">
        <w:t xml:space="preserve">% of Australian </w:t>
      </w:r>
      <w:r w:rsidR="00643271">
        <w:t>s</w:t>
      </w:r>
      <w:r w:rsidR="004064DE" w:rsidRPr="00757D20">
        <w:t xml:space="preserve">chools in terms of </w:t>
      </w:r>
      <w:r w:rsidR="00643271">
        <w:t>s</w:t>
      </w:r>
      <w:r w:rsidR="004064DE" w:rsidRPr="00757D20">
        <w:t>ocio-</w:t>
      </w:r>
      <w:r w:rsidR="00643271">
        <w:t>e</w:t>
      </w:r>
      <w:r w:rsidR="004064DE" w:rsidRPr="00757D20">
        <w:t xml:space="preserve">ducational </w:t>
      </w:r>
      <w:r w:rsidR="00643271">
        <w:t>a</w:t>
      </w:r>
      <w:r w:rsidR="004064DE" w:rsidRPr="00757D20">
        <w:t xml:space="preserve">dvantage. </w:t>
      </w:r>
      <w:r w:rsidR="0078306F" w:rsidRPr="00757D20">
        <w:t xml:space="preserve">With the broader </w:t>
      </w:r>
      <w:r w:rsidR="0046486F" w:rsidRPr="00757D20">
        <w:t>Banks Hollow</w:t>
      </w:r>
      <w:r w:rsidR="0078306F" w:rsidRPr="00757D20">
        <w:t xml:space="preserve"> population increasing by 33% between 2006 and 2021, </w:t>
      </w:r>
      <w:r w:rsidR="000F0880" w:rsidRPr="00757D20">
        <w:t>one of the school’s most pressing challenges has become its struggle to accommodate a rapidly expanding student body</w:t>
      </w:r>
      <w:r w:rsidR="008A10FF" w:rsidRPr="00757D20">
        <w:t>.</w:t>
      </w:r>
      <w:r w:rsidR="0078306F" w:rsidRPr="00757D20">
        <w:t xml:space="preserve"> Hemmed in on all sides, </w:t>
      </w:r>
      <w:r w:rsidR="0096219F" w:rsidRPr="00757D20">
        <w:t>it has</w:t>
      </w:r>
      <w:r w:rsidR="0078306F" w:rsidRPr="00757D20">
        <w:t xml:space="preserve"> </w:t>
      </w:r>
      <w:r w:rsidR="0096219F" w:rsidRPr="00757D20">
        <w:t>limited room to expand</w:t>
      </w:r>
      <w:r w:rsidR="0078306F" w:rsidRPr="00757D20">
        <w:t>.</w:t>
      </w:r>
    </w:p>
    <w:p w14:paraId="6405158F" w14:textId="77777777" w:rsidR="0078306F" w:rsidRPr="00757D20" w:rsidRDefault="0078306F" w:rsidP="00A46474">
      <w:pPr>
        <w:spacing w:line="360" w:lineRule="auto"/>
        <w:rPr>
          <w:rFonts w:cs="Arial"/>
          <w:b/>
          <w:bCs/>
        </w:rPr>
      </w:pPr>
    </w:p>
    <w:p w14:paraId="587AAE5B" w14:textId="2C57F62B" w:rsidR="00A46474" w:rsidRPr="00757D20" w:rsidRDefault="00A46474" w:rsidP="00D618E7">
      <w:pPr>
        <w:pStyle w:val="Heading3"/>
      </w:pPr>
      <w:bookmarkStart w:id="76" w:name="_Toc196396158"/>
      <w:bookmarkStart w:id="77" w:name="_Toc219977229"/>
      <w:r w:rsidRPr="00757D20">
        <w:t>Growth and diversity</w:t>
      </w:r>
      <w:bookmarkEnd w:id="76"/>
      <w:bookmarkEnd w:id="77"/>
    </w:p>
    <w:p w14:paraId="757FB6B7" w14:textId="066FB6FD" w:rsidR="00A46474" w:rsidRPr="00757D20" w:rsidRDefault="003677EB" w:rsidP="001552F5">
      <w:r w:rsidRPr="00757D20">
        <w:t>Banks Hollow Secondary College</w:t>
      </w:r>
      <w:r w:rsidR="00A46474" w:rsidRPr="00757D20">
        <w:t xml:space="preserve"> is an inner-city, partially selective secondary school serving a diverse, multicultural population of students. In 2024, 68% of students at the school were from a </w:t>
      </w:r>
      <w:r w:rsidR="007F5545" w:rsidRPr="00757D20">
        <w:t>l</w:t>
      </w:r>
      <w:r w:rsidR="00A46474" w:rsidRPr="00757D20">
        <w:t xml:space="preserve">anguage </w:t>
      </w:r>
      <w:r w:rsidR="007F5545" w:rsidRPr="00757D20">
        <w:t>b</w:t>
      </w:r>
      <w:r w:rsidR="00A46474" w:rsidRPr="00757D20">
        <w:t xml:space="preserve">ackground </w:t>
      </w:r>
      <w:r w:rsidR="007F5545" w:rsidRPr="00757D20">
        <w:t>o</w:t>
      </w:r>
      <w:r w:rsidR="00A46474" w:rsidRPr="00757D20">
        <w:t xml:space="preserve">ther </w:t>
      </w:r>
      <w:r w:rsidR="007F5545" w:rsidRPr="00757D20">
        <w:t>t</w:t>
      </w:r>
      <w:r w:rsidR="00A46474" w:rsidRPr="00757D20">
        <w:t xml:space="preserve">han English, a figure </w:t>
      </w:r>
      <w:r w:rsidR="00643271">
        <w:t>that</w:t>
      </w:r>
      <w:r w:rsidR="00643271" w:rsidRPr="00757D20">
        <w:t xml:space="preserve"> </w:t>
      </w:r>
      <w:r w:rsidR="00A46474" w:rsidRPr="00757D20">
        <w:t>is similarly reflected in 55.3% of households in the broader community speaking a language other than English</w:t>
      </w:r>
      <w:r w:rsidR="00643271">
        <w:t>—</w:t>
      </w:r>
      <w:r w:rsidR="00A46474" w:rsidRPr="00757D20">
        <w:t>well above the NSW average of 29.5%. This diversity is the direct result of immense change to the local area, with the community undergoing significant demographic shifts in the last two</w:t>
      </w:r>
      <w:r w:rsidR="00643271">
        <w:t xml:space="preserve"> to </w:t>
      </w:r>
      <w:r w:rsidR="00A46474" w:rsidRPr="00757D20">
        <w:t xml:space="preserve">three decades, largely initiated by the sell-off of numerous public assets and new housing developments being built in these spaces: </w:t>
      </w:r>
    </w:p>
    <w:p w14:paraId="3F918CA2" w14:textId="79478C5C" w:rsidR="00A46474" w:rsidRPr="00757D20" w:rsidRDefault="00A46474" w:rsidP="001552F5">
      <w:pPr>
        <w:pStyle w:val="Quote"/>
      </w:pPr>
      <w:r w:rsidRPr="00757D20">
        <w:t xml:space="preserve">[The community was] previously very WASPish [White Anglo-Saxon Protestants]. But now, with the advent of high-rise apartments, which are really growing dramatically, the demographics have changed dramatically. I've </w:t>
      </w:r>
      <w:proofErr w:type="gramStart"/>
      <w:r w:rsidRPr="00757D20">
        <w:t>actually seen</w:t>
      </w:r>
      <w:proofErr w:type="gramEnd"/>
      <w:r w:rsidRPr="00757D20">
        <w:t xml:space="preserve"> the </w:t>
      </w:r>
      <w:proofErr w:type="gramStart"/>
      <w:r w:rsidRPr="00757D20">
        <w:t>data</w:t>
      </w:r>
      <w:proofErr w:type="gramEnd"/>
      <w:r w:rsidRPr="00757D20">
        <w:t xml:space="preserve"> and I think it's about 50 per cent Asian</w:t>
      </w:r>
      <w:r w:rsidR="00895E99" w:rsidRPr="00757D20">
        <w:t xml:space="preserve"> </w:t>
      </w:r>
      <w:r w:rsidRPr="00757D20">
        <w:t>background now in the area. And our school has a very high percentage of students from non-English-speaking backgrounds, largely Chinese, Korean, Indian, Armenian, which is a nice mix. And a sprinkling of many other</w:t>
      </w:r>
      <w:r w:rsidR="00991B14" w:rsidRPr="00757D20">
        <w:t xml:space="preserve"> </w:t>
      </w:r>
      <w:r w:rsidRPr="00757D20">
        <w:t>cultures. (Melanie, teacher, 2018)</w:t>
      </w:r>
    </w:p>
    <w:p w14:paraId="4DCCE9F5" w14:textId="77777777" w:rsidR="00A46474" w:rsidRPr="00757D20" w:rsidRDefault="00A46474" w:rsidP="001552F5">
      <w:r w:rsidRPr="00757D20">
        <w:t>Both young people and adults value this diversity. The school and the community are seen as welcoming to all, with comments often emphasising the high degree of acceptance and sense of belonging people have in the community, regardless of their background:</w:t>
      </w:r>
    </w:p>
    <w:p w14:paraId="4938444E" w14:textId="77777777" w:rsidR="00A46474" w:rsidRPr="00757D20" w:rsidRDefault="00A46474" w:rsidP="001552F5">
      <w:pPr>
        <w:pStyle w:val="Quote"/>
      </w:pPr>
      <w:r w:rsidRPr="00757D20">
        <w:t>It’s very accepting. Like no matter where or what country or what part of Australia you’re from you can feel very accepted here because of the diversity of races. (Henry, Year 9 student, 2014)</w:t>
      </w:r>
    </w:p>
    <w:p w14:paraId="0EA1382F" w14:textId="77777777" w:rsidR="00A46474" w:rsidRPr="00757D20" w:rsidRDefault="00A46474" w:rsidP="001552F5">
      <w:pPr>
        <w:pStyle w:val="Quote"/>
      </w:pPr>
      <w:r w:rsidRPr="00757D20">
        <w:t>I think, just for kids in general just to see yes, there are differences, but at the same time you can all still belong to the same place. (Lia, community member, 2018)</w:t>
      </w:r>
    </w:p>
    <w:p w14:paraId="59F5205D" w14:textId="712BBCE7" w:rsidR="00A46474" w:rsidRPr="00757D20" w:rsidRDefault="00643271" w:rsidP="001552F5">
      <w:r>
        <w:lastRenderedPageBreak/>
        <w:t>However, t</w:t>
      </w:r>
      <w:r w:rsidR="00A46474" w:rsidRPr="00757D20">
        <w:t xml:space="preserve">he continued growth of the school and the broader population </w:t>
      </w:r>
      <w:proofErr w:type="gramStart"/>
      <w:r w:rsidR="00A46474" w:rsidRPr="00757D20">
        <w:t>has</w:t>
      </w:r>
      <w:proofErr w:type="gramEnd"/>
      <w:r w:rsidR="00A46474" w:rsidRPr="00757D20">
        <w:t xml:space="preserve"> been a cause for concern. During one of our first visits to the school, it was described as “busting at the seams” (Mary, parent, 2018), with enrolments already sitting at 1,067. Negativity was directed at the lack of foresight into the impact of high density living: </w:t>
      </w:r>
    </w:p>
    <w:p w14:paraId="2BE77FF4" w14:textId="7B98A02B" w:rsidR="00A46474" w:rsidRPr="00757D20" w:rsidRDefault="00A46474" w:rsidP="001552F5">
      <w:pPr>
        <w:pStyle w:val="Quote"/>
      </w:pPr>
      <w:r w:rsidRPr="00757D20">
        <w:t>The Department of Education has had very poor planning around this area. When they announced the building of the 812 dwellings, I thought, "Has anyone contacted the Department of Education? It's a block away from the school." And the Department of Education back then said that it would only</w:t>
      </w:r>
      <w:r w:rsidR="00C947B2" w:rsidRPr="00757D20">
        <w:t>—</w:t>
      </w:r>
      <w:r w:rsidRPr="00757D20">
        <w:t>once contacted</w:t>
      </w:r>
      <w:r w:rsidR="00C947B2" w:rsidRPr="00757D20">
        <w:t>—</w:t>
      </w:r>
      <w:r w:rsidRPr="00757D20">
        <w:t>that there would only be an increase of a hundred students over a period of 10 years after it [the apartment complex] opened. I was like, "What, are they going to market it to all the infertile couples in the country?" You know, 812 dwellings, they didn't think people with children lived in flats? They have no idea. (Mary, parent, 2018)</w:t>
      </w:r>
    </w:p>
    <w:p w14:paraId="6B248A41" w14:textId="77777777" w:rsidR="00A46474" w:rsidRPr="00757D20" w:rsidRDefault="00A46474" w:rsidP="001552F5">
      <w:r w:rsidRPr="00757D20">
        <w:t>By 2024, school enrolments had continued to rise to 1,464. Housing and infrastructure development had persisted in the area, with students like Neal focusing on this point when asked in 2025 about any recent changes to the community:</w:t>
      </w:r>
    </w:p>
    <w:p w14:paraId="73D8DEEA" w14:textId="72E9C62D" w:rsidR="00A46474" w:rsidRPr="00757D20" w:rsidRDefault="00A46474" w:rsidP="001552F5">
      <w:pPr>
        <w:pStyle w:val="Quote"/>
      </w:pPr>
      <w:r w:rsidRPr="00757D20">
        <w:t xml:space="preserve">Recently, there's been a lot of high-rises going up towards the south end of </w:t>
      </w:r>
      <w:r w:rsidR="00130EF6" w:rsidRPr="00757D20">
        <w:t>[the community]</w:t>
      </w:r>
      <w:r w:rsidRPr="00757D20">
        <w:t>. And I feel like there's also been big major developments in the business park. (Neal, Year 12 student, 2025)</w:t>
      </w:r>
    </w:p>
    <w:p w14:paraId="61ECA839" w14:textId="76D1C965" w:rsidR="00A46474" w:rsidRPr="00757D20" w:rsidRDefault="00A46474" w:rsidP="001552F5">
      <w:r w:rsidRPr="00757D20">
        <w:t>By 2025, the school had become a high-rise itself, bordered in on all sides by existing infrastructure and nowhere else to go but up to accommodate the growing number of students. Both teachers and students lamented the cramped physicality of the school as its biggest downfall:</w:t>
      </w:r>
    </w:p>
    <w:p w14:paraId="4EFE7E3B" w14:textId="5053B264" w:rsidR="00A46474" w:rsidRPr="00757D20" w:rsidRDefault="00A46474" w:rsidP="001552F5">
      <w:pPr>
        <w:pStyle w:val="Quote"/>
      </w:pPr>
      <w:r w:rsidRPr="00757D20">
        <w:t xml:space="preserve">We're a school built for less than 800, that's how it was built in the ‘50s. And, you know, you would never build a building like this now with all the stairs. And </w:t>
      </w:r>
      <w:proofErr w:type="gramStart"/>
      <w:r w:rsidRPr="00757D20">
        <w:t>so</w:t>
      </w:r>
      <w:proofErr w:type="gramEnd"/>
      <w:r w:rsidRPr="00757D20">
        <w:t xml:space="preserve"> it's quite dangerous, we </w:t>
      </w:r>
      <w:proofErr w:type="gramStart"/>
      <w:r w:rsidRPr="00757D20">
        <w:t>have to</w:t>
      </w:r>
      <w:proofErr w:type="gramEnd"/>
      <w:r w:rsidRPr="00757D20">
        <w:t xml:space="preserve"> watch where we're going</w:t>
      </w:r>
      <w:r w:rsidR="00643271">
        <w:t xml:space="preserve"> </w:t>
      </w:r>
      <w:r w:rsidRPr="00757D20">
        <w:t xml:space="preserve">… the Department for some reason has decided to put </w:t>
      </w:r>
      <w:proofErr w:type="gramStart"/>
      <w:r w:rsidRPr="00757D20">
        <w:t>all of</w:t>
      </w:r>
      <w:proofErr w:type="gramEnd"/>
      <w:r w:rsidRPr="00757D20">
        <w:t xml:space="preserve"> its money into this school rather than build the promised schools out at [nearby suburb] which would take a huge number of our students. </w:t>
      </w:r>
      <w:proofErr w:type="gramStart"/>
      <w:r w:rsidRPr="00757D20">
        <w:t>So</w:t>
      </w:r>
      <w:proofErr w:type="gramEnd"/>
      <w:r w:rsidRPr="00757D20">
        <w:t xml:space="preserve"> they've decided that this is going to be the school, so it's very crowded. (Susanna, teacher, 2025)</w:t>
      </w:r>
    </w:p>
    <w:p w14:paraId="1318C0FF" w14:textId="7D9DE1DF" w:rsidR="00A46474" w:rsidRPr="00757D20" w:rsidRDefault="00A46474" w:rsidP="006425B6">
      <w:pPr>
        <w:pStyle w:val="Quote"/>
      </w:pPr>
      <w:r w:rsidRPr="00757D20">
        <w:rPr>
          <w:rFonts w:eastAsia="Calibri"/>
        </w:rPr>
        <w:t>The biggest drawback I see to this school is that we just don't have enough space to accommodate everybody, because it's like 1,500 kids and it's not big enough. It’s been difficult to expand as well, in terms of our location. It can only really go up. (Neal, Year 12 student, 2025)</w:t>
      </w:r>
    </w:p>
    <w:p w14:paraId="37B0AA30" w14:textId="7CEA8854" w:rsidR="00A46474" w:rsidRPr="00757D20" w:rsidRDefault="00A46474" w:rsidP="00D618E7">
      <w:pPr>
        <w:pStyle w:val="Heading3"/>
      </w:pPr>
      <w:bookmarkStart w:id="78" w:name="_Toc196396159"/>
      <w:bookmarkStart w:id="79" w:name="_Toc219977230"/>
      <w:r w:rsidRPr="00757D20">
        <w:t>Aspirational young people and families</w:t>
      </w:r>
      <w:r w:rsidR="00643271">
        <w:t xml:space="preserve"> </w:t>
      </w:r>
      <w:r w:rsidRPr="00757D20">
        <w:t>… with consequences</w:t>
      </w:r>
      <w:bookmarkEnd w:id="78"/>
      <w:bookmarkEnd w:id="79"/>
    </w:p>
    <w:p w14:paraId="0F7DCC15" w14:textId="01767310" w:rsidR="00A46474" w:rsidRPr="00757D20" w:rsidRDefault="00A46474" w:rsidP="001552F5">
      <w:r w:rsidRPr="00757D20">
        <w:t xml:space="preserve">Set against this backdrop of growth, the </w:t>
      </w:r>
      <w:r w:rsidR="0058428D" w:rsidRPr="00757D20">
        <w:t>Banks Holl</w:t>
      </w:r>
      <w:r w:rsidR="00F519F0" w:rsidRPr="00757D20">
        <w:t>ow</w:t>
      </w:r>
      <w:r w:rsidR="0058428D" w:rsidRPr="00757D20">
        <w:t xml:space="preserve"> </w:t>
      </w:r>
      <w:r w:rsidRPr="00757D20">
        <w:t>school community is characterised by a culture of high expectations and aspirations for high-ranking professional careers pursued through higher education. According to teacher Debra</w:t>
      </w:r>
      <w:r w:rsidR="00643271">
        <w:t>,</w:t>
      </w:r>
      <w:r w:rsidRPr="00757D20">
        <w:t xml:space="preserve"> during our most recent visit to the school, “usually about 80% [of students] will go to university.” This trend appears to have endured for many years, with Melanie, another teacher, noting the exact same proportion of </w:t>
      </w:r>
      <w:r w:rsidRPr="00757D20">
        <w:lastRenderedPageBreak/>
        <w:t>university entrants back in 2018: “80% of them going to university</w:t>
      </w:r>
      <w:r w:rsidR="00643271">
        <w:t xml:space="preserve"> </w:t>
      </w:r>
      <w:r w:rsidRPr="00757D20">
        <w:t>… our outcomes are very good”. In large part, these expectations and aspirations stem from the cultural background of students, with parents placing a great amount of hope on young people’s shoulders to pursue successful academic future</w:t>
      </w:r>
      <w:r w:rsidR="0013786C" w:rsidRPr="00757D20">
        <w:t>s</w:t>
      </w:r>
      <w:r w:rsidRPr="00757D20">
        <w:t xml:space="preserve"> and better their social position:</w:t>
      </w:r>
    </w:p>
    <w:p w14:paraId="680AF088" w14:textId="266E5214" w:rsidR="00A46474" w:rsidRPr="00757D20" w:rsidRDefault="00A46474" w:rsidP="001552F5">
      <w:pPr>
        <w:pStyle w:val="Quote"/>
      </w:pPr>
      <w:proofErr w:type="gramStart"/>
      <w:r w:rsidRPr="00757D20">
        <w:t>All of</w:t>
      </w:r>
      <w:proofErr w:type="gramEnd"/>
      <w:r w:rsidRPr="00757D20">
        <w:t xml:space="preserve"> the Asian kids would be forced to go to, expected to go to university, regardless of which one</w:t>
      </w:r>
      <w:r w:rsidR="00D0488A" w:rsidRPr="00757D20">
        <w:t>,</w:t>
      </w:r>
      <w:r w:rsidRPr="00757D20">
        <w:t xml:space="preserve"> they'd be expected to do that. That's just an expectation of migrant children. (Mary, parent, 2018)</w:t>
      </w:r>
    </w:p>
    <w:p w14:paraId="06BA8660" w14:textId="3B306DBD" w:rsidR="00A46474" w:rsidRPr="00757D20" w:rsidRDefault="00A46474" w:rsidP="001552F5">
      <w:pPr>
        <w:pStyle w:val="Quote"/>
      </w:pPr>
      <w:r w:rsidRPr="00757D20">
        <w:t xml:space="preserve">We have a lot of, um, if I'm okay to say, Asian sort of tiger parents. And </w:t>
      </w:r>
      <w:proofErr w:type="gramStart"/>
      <w:r w:rsidRPr="00757D20">
        <w:t>also</w:t>
      </w:r>
      <w:proofErr w:type="gramEnd"/>
      <w:r w:rsidRPr="00757D20">
        <w:t xml:space="preserve"> parents who are migrants who have great expectations on </w:t>
      </w:r>
      <w:r w:rsidR="003216F3" w:rsidRPr="00757D20">
        <w:t xml:space="preserve">[sic] </w:t>
      </w:r>
      <w:r w:rsidRPr="00757D20">
        <w:t>their children. (Susanna, teacher, 2025)</w:t>
      </w:r>
    </w:p>
    <w:p w14:paraId="3CC1B2BE" w14:textId="77777777" w:rsidR="00A46474" w:rsidRPr="00757D20" w:rsidRDefault="00A46474" w:rsidP="001552F5">
      <w:r w:rsidRPr="00757D20">
        <w:t xml:space="preserve">Indeed, during </w:t>
      </w:r>
      <w:proofErr w:type="gramStart"/>
      <w:r w:rsidRPr="00757D20">
        <w:t>all of</w:t>
      </w:r>
      <w:proofErr w:type="gramEnd"/>
      <w:r w:rsidRPr="00757D20">
        <w:t xml:space="preserve"> our visits to the school, most students described aspirations for careers such as medicine, law, architecture, and business, and were often able to identify their desired university in the broader city area:</w:t>
      </w:r>
    </w:p>
    <w:p w14:paraId="6DF300C2" w14:textId="498BD52B" w:rsidR="00A46474" w:rsidRPr="00757D20" w:rsidRDefault="00A46474" w:rsidP="001552F5">
      <w:pPr>
        <w:pStyle w:val="Quote"/>
      </w:pPr>
      <w:r w:rsidRPr="00757D20">
        <w:t>At one point I wanted to be an architect because I really liked art and all that sort of stuff and designing things</w:t>
      </w:r>
      <w:r w:rsidR="00C575C7" w:rsidRPr="00757D20">
        <w:t>.</w:t>
      </w:r>
      <w:r w:rsidRPr="00757D20">
        <w:t xml:space="preserve"> But later </w:t>
      </w:r>
      <w:proofErr w:type="gramStart"/>
      <w:r w:rsidRPr="00757D20">
        <w:t>on</w:t>
      </w:r>
      <w:proofErr w:type="gramEnd"/>
      <w:r w:rsidRPr="00757D20">
        <w:t xml:space="preserve"> it wasn’t really something for me, I thought. </w:t>
      </w:r>
      <w:proofErr w:type="gramStart"/>
      <w:r w:rsidRPr="00757D20">
        <w:t>So</w:t>
      </w:r>
      <w:proofErr w:type="gramEnd"/>
      <w:r w:rsidRPr="00757D20">
        <w:t xml:space="preserve"> I’m thinking medicine because a lot of people in my family have gone into dentistry or medicine and that seems like a </w:t>
      </w:r>
      <w:proofErr w:type="gramStart"/>
      <w:r w:rsidRPr="00757D20">
        <w:t>really good</w:t>
      </w:r>
      <w:proofErr w:type="gramEnd"/>
      <w:r w:rsidRPr="00757D20">
        <w:t xml:space="preserve"> aspiration. (Asher, Year 9 student, 2014)</w:t>
      </w:r>
    </w:p>
    <w:p w14:paraId="1E70F53C" w14:textId="77777777" w:rsidR="00A46474" w:rsidRPr="00757D20" w:rsidRDefault="00A46474" w:rsidP="001552F5">
      <w:pPr>
        <w:pStyle w:val="Quote"/>
      </w:pPr>
      <w:r w:rsidRPr="00757D20">
        <w:t>I think I might want to be something to do with finance and maybe trade between Indonesia and Australia because we're learning Indonesian in classes and I quite enjoy it. (Sunshine, Year 7 student, 2014)</w:t>
      </w:r>
    </w:p>
    <w:p w14:paraId="6E7CC1DB" w14:textId="3563E920" w:rsidR="00A46474" w:rsidRPr="00757D20" w:rsidRDefault="00A46474" w:rsidP="001552F5">
      <w:pPr>
        <w:pStyle w:val="Quote"/>
      </w:pPr>
      <w:r w:rsidRPr="00757D20">
        <w:t>I've always dreamed of becoming a veterinarian ever since I was a little kid. And I'd love</w:t>
      </w:r>
      <w:r w:rsidR="00B4367E" w:rsidRPr="00757D20">
        <w:t>—</w:t>
      </w:r>
      <w:r w:rsidRPr="00757D20">
        <w:t>after high school, I'd love to go to Sydney Uni. (Phillip, Year 11 student, 2025)</w:t>
      </w:r>
    </w:p>
    <w:p w14:paraId="4325DE34" w14:textId="77777777" w:rsidR="00A46474" w:rsidRPr="00757D20" w:rsidRDefault="00A46474" w:rsidP="001552F5">
      <w:r w:rsidRPr="00757D20">
        <w:t>These aspirations do not come without their costs, however, with mental ill-health a serious concern within the school community. These concerns were briefly noted during our visit to the school in 2018:</w:t>
      </w:r>
    </w:p>
    <w:p w14:paraId="1ECA3D3F" w14:textId="4C361E75" w:rsidR="00A46474" w:rsidRPr="00757D20" w:rsidRDefault="00A46474" w:rsidP="001552F5">
      <w:pPr>
        <w:pStyle w:val="Quote"/>
      </w:pPr>
      <w:r w:rsidRPr="00757D20">
        <w:t>One of the biggest barriers is their parents, trying to live their dreams through their children and creating terrible anxiety. (Melanie, teacher</w:t>
      </w:r>
      <w:r w:rsidR="0012705D">
        <w:t>, 2018</w:t>
      </w:r>
      <w:r w:rsidRPr="00757D20">
        <w:t>)</w:t>
      </w:r>
    </w:p>
    <w:p w14:paraId="4F9C50E2" w14:textId="63E52148" w:rsidR="00A46474" w:rsidRPr="00757D20" w:rsidRDefault="00A46474" w:rsidP="001552F5">
      <w:r w:rsidRPr="00757D20">
        <w:t>By 2025, these concerns had worsened, with teachers pinpointing the COVID-19 pandemic as a catalyst for the exacerbation of mental ill-health. Pressure and anxiety were still, nevertheless, spurred on by the attitudes</w:t>
      </w:r>
      <w:r w:rsidR="007A3123" w:rsidRPr="00757D20">
        <w:t>—</w:t>
      </w:r>
      <w:r w:rsidRPr="00757D20">
        <w:t>and aspirations</w:t>
      </w:r>
      <w:r w:rsidR="007A3123" w:rsidRPr="00757D20">
        <w:t>—</w:t>
      </w:r>
      <w:r w:rsidRPr="00757D20">
        <w:t xml:space="preserve">of parents: </w:t>
      </w:r>
    </w:p>
    <w:p w14:paraId="3AD7D461" w14:textId="7EB884F2" w:rsidR="00A46474" w:rsidRPr="00757D20" w:rsidRDefault="00A46474" w:rsidP="001552F5">
      <w:pPr>
        <w:pStyle w:val="Quote"/>
      </w:pPr>
      <w:r w:rsidRPr="00757D20">
        <w:t xml:space="preserve">I think there’s been a shift since COVID. </w:t>
      </w:r>
      <w:proofErr w:type="gramStart"/>
      <w:r w:rsidRPr="00757D20">
        <w:t>There’s</w:t>
      </w:r>
      <w:proofErr w:type="gramEnd"/>
      <w:r w:rsidRPr="00757D20">
        <w:t xml:space="preserve"> certainly more students now with mental health issues than there have been, certainly it's much higher. I can't tell you statistics, but noticeably there are kids who just put themselves under enormous pressure</w:t>
      </w:r>
      <w:r w:rsidR="0012705D">
        <w:t xml:space="preserve"> </w:t>
      </w:r>
      <w:r w:rsidRPr="00757D20">
        <w:t xml:space="preserve">… like there's a girl who's a chronic cheater </w:t>
      </w:r>
      <w:proofErr w:type="gramStart"/>
      <w:r w:rsidRPr="00757D20">
        <w:t>at the moment</w:t>
      </w:r>
      <w:proofErr w:type="gramEnd"/>
      <w:r w:rsidRPr="00757D20">
        <w:t xml:space="preserve"> and, you know, her parents have told her, “You go to Sydney”</w:t>
      </w:r>
      <w:r w:rsidR="00BA274E" w:rsidRPr="00757D20">
        <w:t>—</w:t>
      </w:r>
      <w:r w:rsidRPr="00757D20">
        <w:t>well the father is, “Sydney University or bust.” (Susanna, teacher, 2025)</w:t>
      </w:r>
    </w:p>
    <w:p w14:paraId="04FB64C2" w14:textId="5285A2EF" w:rsidR="00A46474" w:rsidRPr="00757D20" w:rsidRDefault="00A46474" w:rsidP="001552F5">
      <w:r w:rsidRPr="00757D20">
        <w:lastRenderedPageBreak/>
        <w:t xml:space="preserve">Another consequence of these expectations and aspirations has been the devaluing and stigmatisation of vocational pathways. With university largely seen as the </w:t>
      </w:r>
      <w:r w:rsidR="003216F3" w:rsidRPr="00757D20">
        <w:t>only legitimate aspiration</w:t>
      </w:r>
      <w:r w:rsidRPr="00757D20">
        <w:t xml:space="preserve">, TAFE and vocational careers </w:t>
      </w:r>
      <w:r w:rsidR="007105FD" w:rsidRPr="00757D20">
        <w:t xml:space="preserve">are usually dismissed as </w:t>
      </w:r>
      <w:r w:rsidR="00585948" w:rsidRPr="00757D20">
        <w:t>not good</w:t>
      </w:r>
      <w:r w:rsidRPr="00757D20">
        <w:t xml:space="preserve"> enough:</w:t>
      </w:r>
    </w:p>
    <w:p w14:paraId="3B551FF2" w14:textId="14A03E39" w:rsidR="00A46474" w:rsidRPr="00757D20" w:rsidRDefault="00A46474" w:rsidP="001552F5">
      <w:pPr>
        <w:pStyle w:val="Quote"/>
      </w:pPr>
      <w:r w:rsidRPr="00757D20">
        <w:t xml:space="preserve">My son is a sheet metal worker. He got discrimination when he left school to a point his friends wouldn't talk to him because he’d started a trade. He was an academic at school, but then things didn't work out for </w:t>
      </w:r>
      <w:proofErr w:type="gramStart"/>
      <w:r w:rsidRPr="00757D20">
        <w:t>him</w:t>
      </w:r>
      <w:proofErr w:type="gramEnd"/>
      <w:r w:rsidRPr="00757D20">
        <w:t xml:space="preserve"> and he didn’t end up finishing school. But then he became a tradie and he's working full</w:t>
      </w:r>
      <w:r w:rsidR="0012705D">
        <w:t>-</w:t>
      </w:r>
      <w:r w:rsidRPr="00757D20">
        <w:t xml:space="preserve">time now. I'm just surprised at the comments I even got as a parent and I </w:t>
      </w:r>
      <w:proofErr w:type="gramStart"/>
      <w:r w:rsidRPr="00757D20">
        <w:t>actually witnessed</w:t>
      </w:r>
      <w:proofErr w:type="gramEnd"/>
      <w:r w:rsidRPr="00757D20">
        <w:t xml:space="preserve"> him get the same comments as a child, like, “I thought you'd do better than that,” or “get a better job.” And I'm like, he earns $40 an hour now as a sheet metal worker, he's gone to TAFE, he's doing his Advanced Diploma in Engineering and he got two </w:t>
      </w:r>
      <w:proofErr w:type="spellStart"/>
      <w:r w:rsidRPr="00757D20">
        <w:t>uni</w:t>
      </w:r>
      <w:proofErr w:type="spellEnd"/>
      <w:r w:rsidRPr="00757D20">
        <w:t xml:space="preserve"> offers this year which he's deferred, and he did this all by himself. (Debra, teacher, 2025)</w:t>
      </w:r>
    </w:p>
    <w:p w14:paraId="4BB76CF7" w14:textId="47BE2293" w:rsidR="00A46474" w:rsidRPr="00757D20" w:rsidRDefault="00A46474" w:rsidP="001552F5">
      <w:r w:rsidRPr="00757D20">
        <w:t xml:space="preserve">Despite this attitude, </w:t>
      </w:r>
      <w:r w:rsidR="007D4DB2" w:rsidRPr="00757D20">
        <w:t xml:space="preserve">some </w:t>
      </w:r>
      <w:r w:rsidRPr="00757D20">
        <w:t xml:space="preserve">young people </w:t>
      </w:r>
      <w:r w:rsidR="00F519F0" w:rsidRPr="00757D20">
        <w:t>at Banks Hollow Secondary</w:t>
      </w:r>
      <w:r w:rsidRPr="00757D20">
        <w:t xml:space="preserve"> </w:t>
      </w:r>
      <w:r w:rsidR="0012705D">
        <w:t xml:space="preserve">College </w:t>
      </w:r>
      <w:r w:rsidRPr="00757D20">
        <w:t>still express interest in vocational pathways. In the case of Colby, a student we spoke to in 2025, aspirations for these kinds of pathways are strategic in the current climate</w:t>
      </w:r>
      <w:r w:rsidR="00434C50" w:rsidRPr="00757D20">
        <w:t xml:space="preserve">. </w:t>
      </w:r>
      <w:r w:rsidR="00A3633F" w:rsidRPr="00757D20">
        <w:t xml:space="preserve">Colby </w:t>
      </w:r>
      <w:r w:rsidR="0041789B" w:rsidRPr="00757D20">
        <w:t>indicated he was</w:t>
      </w:r>
      <w:r w:rsidRPr="00757D20">
        <w:t xml:space="preserve"> knowledgeable about employment demand and </w:t>
      </w:r>
      <w:r w:rsidR="0041789B" w:rsidRPr="00757D20">
        <w:t xml:space="preserve">did </w:t>
      </w:r>
      <w:r w:rsidRPr="00757D20">
        <w:t>not want to waste time pursuing an unnecessary or unwanted qualification just for the sake of it:</w:t>
      </w:r>
    </w:p>
    <w:p w14:paraId="57126D96" w14:textId="56524EE8" w:rsidR="00A46474" w:rsidRPr="00757D20" w:rsidRDefault="00A46474" w:rsidP="006425B6">
      <w:pPr>
        <w:pStyle w:val="Quote"/>
      </w:pPr>
      <w:r w:rsidRPr="00757D20">
        <w:t>I’ve thought about doing a trade, maybe like an electrician. It just seems more interesting, to be honest, than sitting in an office job</w:t>
      </w:r>
      <w:r w:rsidR="0012705D">
        <w:t xml:space="preserve"> </w:t>
      </w:r>
      <w:r w:rsidRPr="00757D20">
        <w:t>… One of the main reasons why I don’t want to go to university is that I feel I'll spend all my time doing a degree that I'm not going to use or don't really want. It would just be a complete waste of time and only send me further back</w:t>
      </w:r>
      <w:r w:rsidR="0012705D">
        <w:t xml:space="preserve"> </w:t>
      </w:r>
      <w:r w:rsidRPr="00757D20">
        <w:t>… You don't get much as an apprenticeship but once you start making your way up</w:t>
      </w:r>
      <w:r w:rsidR="0012705D">
        <w:t xml:space="preserve"> </w:t>
      </w:r>
      <w:r w:rsidRPr="00757D20">
        <w:t>…. There's also a decline in tradies and that so you kind of need them more. (Colby, Year 11 student, 2025)</w:t>
      </w:r>
    </w:p>
    <w:p w14:paraId="7902F86B" w14:textId="77777777" w:rsidR="00A46474" w:rsidRPr="00757D20" w:rsidRDefault="00A46474" w:rsidP="00D618E7">
      <w:pPr>
        <w:pStyle w:val="Heading3"/>
      </w:pPr>
      <w:bookmarkStart w:id="80" w:name="_Toc196396160"/>
      <w:bookmarkStart w:id="81" w:name="_Toc219977231"/>
      <w:r w:rsidRPr="00757D20">
        <w:t>New worries in contemporary times</w:t>
      </w:r>
      <w:bookmarkEnd w:id="80"/>
      <w:bookmarkEnd w:id="81"/>
    </w:p>
    <w:p w14:paraId="0201146A" w14:textId="59BE90CF" w:rsidR="00A46474" w:rsidRPr="00757D20" w:rsidRDefault="00A46474" w:rsidP="001552F5">
      <w:r w:rsidRPr="00757D20">
        <w:t xml:space="preserve">While aspirations for university and professional careers have remained steady in the </w:t>
      </w:r>
      <w:r w:rsidR="00F519F0" w:rsidRPr="00757D20">
        <w:t xml:space="preserve">Banks Hollow Secondary </w:t>
      </w:r>
      <w:r w:rsidRPr="00757D20">
        <w:t>school community, new doubts and worries have materialised for young people. During our visit in 2025, new forms of anxiety appeared to have materialised linked to a belief that a university degree has lessened in value, with competition for jobs no longer necessarily directly linked to an individual’s credentials:</w:t>
      </w:r>
    </w:p>
    <w:p w14:paraId="7E78DD94" w14:textId="77777777" w:rsidR="00A46474" w:rsidRPr="00757D20" w:rsidRDefault="00A46474" w:rsidP="001552F5">
      <w:pPr>
        <w:pStyle w:val="Quote"/>
      </w:pPr>
      <w:r w:rsidRPr="00757D20">
        <w:t xml:space="preserve">A lot of workplaces right now, like they say, “oh, a university degree doesn't really matter. If you've got the </w:t>
      </w:r>
      <w:proofErr w:type="gramStart"/>
      <w:r w:rsidRPr="00757D20">
        <w:t>skills</w:t>
      </w:r>
      <w:proofErr w:type="gramEnd"/>
      <w:r w:rsidRPr="00757D20">
        <w:t xml:space="preserve"> then we'll still take you anyways”. I think that has </w:t>
      </w:r>
      <w:proofErr w:type="gramStart"/>
      <w:r w:rsidRPr="00757D20">
        <w:t>definitely increased</w:t>
      </w:r>
      <w:proofErr w:type="gramEnd"/>
      <w:r w:rsidRPr="00757D20">
        <w:t xml:space="preserve"> the anxiety of people who go to university, saying like, “oh, what if I get this degree and I still can't compete with other people?” That's a really concerning factor for people looking for jobs. (Tarnie, Year 11 student, 2025)</w:t>
      </w:r>
    </w:p>
    <w:p w14:paraId="7DD96403" w14:textId="2985BA11" w:rsidR="00A46474" w:rsidRPr="00757D20" w:rsidRDefault="00A46474" w:rsidP="001552F5">
      <w:r w:rsidRPr="00757D20">
        <w:t xml:space="preserve">While these new anxieties haven’t deterred young people </w:t>
      </w:r>
      <w:r w:rsidR="00041023" w:rsidRPr="00757D20">
        <w:t>at Banks Hollow Secondary</w:t>
      </w:r>
      <w:r w:rsidR="0012705D">
        <w:t xml:space="preserve"> College</w:t>
      </w:r>
      <w:r w:rsidR="00041023" w:rsidRPr="00757D20">
        <w:t xml:space="preserve"> </w:t>
      </w:r>
      <w:r w:rsidRPr="00757D20">
        <w:t xml:space="preserve">from being interested in university as an institution, it has shaped their perceptions </w:t>
      </w:r>
      <w:r w:rsidRPr="00757D20">
        <w:lastRenderedPageBreak/>
        <w:t xml:space="preserve">of </w:t>
      </w:r>
      <w:proofErr w:type="gramStart"/>
      <w:r w:rsidRPr="00757D20">
        <w:t>particular degrees</w:t>
      </w:r>
      <w:proofErr w:type="gramEnd"/>
      <w:r w:rsidRPr="00757D20">
        <w:t xml:space="preserve">, with some degrees now seen as having little to no value to their future or society at large: </w:t>
      </w:r>
    </w:p>
    <w:p w14:paraId="17DEB191" w14:textId="77777777" w:rsidR="00A46474" w:rsidRPr="00757D20" w:rsidRDefault="00A46474" w:rsidP="001552F5">
      <w:pPr>
        <w:pStyle w:val="Quote"/>
      </w:pPr>
      <w:r w:rsidRPr="00757D20">
        <w:t xml:space="preserve">If I wasn't going to do architecture, I would do a degree in business. But a lot of people have told me that it's useless. Like they said if you do a business degree it's not going to make you rich, it's not going to help you start your own business. It's just going to be a waste of time and money and that's </w:t>
      </w:r>
      <w:proofErr w:type="gramStart"/>
      <w:r w:rsidRPr="00757D20">
        <w:t>definitely scared</w:t>
      </w:r>
      <w:proofErr w:type="gramEnd"/>
      <w:r w:rsidRPr="00757D20">
        <w:t xml:space="preserve"> me </w:t>
      </w:r>
      <w:proofErr w:type="gramStart"/>
      <w:r w:rsidRPr="00757D20">
        <w:t>off of</w:t>
      </w:r>
      <w:proofErr w:type="gramEnd"/>
      <w:r w:rsidRPr="00757D20">
        <w:t xml:space="preserve"> it. (Katy, Year 11 student, 2025)</w:t>
      </w:r>
    </w:p>
    <w:p w14:paraId="554EBF7F" w14:textId="0934ECD1" w:rsidR="00A46474" w:rsidRPr="00757D20" w:rsidRDefault="00A46474" w:rsidP="001552F5">
      <w:r w:rsidRPr="00757D20">
        <w:t xml:space="preserve">In a similar vein, the rising cost of living has noticeably manifested in the way young people now make choices about their future career pathways. With </w:t>
      </w:r>
      <w:r w:rsidR="0012705D" w:rsidRPr="00757D20">
        <w:t>all</w:t>
      </w:r>
      <w:r w:rsidRPr="00757D20">
        <w:t xml:space="preserve"> the young people we spoke to in 2025 wanting to remain living in the </w:t>
      </w:r>
      <w:r w:rsidR="00233CA6" w:rsidRPr="00757D20">
        <w:t>Banks Hollow</w:t>
      </w:r>
      <w:r w:rsidRPr="00757D20">
        <w:t xml:space="preserve"> community or the broader city when they finish school, choosing a career that offers strong financial security has become a critical consideration, attempting to balance personal interest with income: </w:t>
      </w:r>
    </w:p>
    <w:p w14:paraId="49155157" w14:textId="272ABD1B" w:rsidR="00A46474" w:rsidRPr="00757D20" w:rsidRDefault="00A46474" w:rsidP="001552F5">
      <w:pPr>
        <w:pStyle w:val="Quote"/>
      </w:pPr>
      <w:r w:rsidRPr="00757D20">
        <w:t>Just the other day she [my daughter] said something about “teaching doesn’t earn enough; you can’t afford to live in Sydney as a teacher”</w:t>
      </w:r>
      <w:r w:rsidR="0012705D">
        <w:t xml:space="preserve"> </w:t>
      </w:r>
      <w:r w:rsidRPr="00757D20">
        <w:t>… but at the same time, I’ve been saying to her, “do what you are interested in.” (Hua, parent, 2025)</w:t>
      </w:r>
    </w:p>
    <w:p w14:paraId="51DE4727" w14:textId="77777777" w:rsidR="00A46474" w:rsidRPr="00757D20" w:rsidRDefault="00A46474" w:rsidP="001552F5">
      <w:pPr>
        <w:pStyle w:val="Quote"/>
        <w:rPr>
          <w:rFonts w:eastAsia="Calibri"/>
        </w:rPr>
      </w:pPr>
      <w:r w:rsidRPr="00757D20">
        <w:rPr>
          <w:rFonts w:eastAsia="Calibri"/>
        </w:rPr>
        <w:t xml:space="preserve">I'm worried about finding a job that I am interested in and have a passion for, but also one that has security, like a salary and how much it's </w:t>
      </w:r>
      <w:proofErr w:type="spellStart"/>
      <w:r w:rsidRPr="00757D20">
        <w:rPr>
          <w:rFonts w:eastAsia="Calibri"/>
        </w:rPr>
        <w:t>gonna</w:t>
      </w:r>
      <w:proofErr w:type="spellEnd"/>
      <w:r w:rsidRPr="00757D20">
        <w:rPr>
          <w:rFonts w:eastAsia="Calibri"/>
        </w:rPr>
        <w:t xml:space="preserve"> pay with cost of living, prices going up in housing. So, trying to find a balance between a job that will pay decently, but also one that I'm </w:t>
      </w:r>
      <w:proofErr w:type="gramStart"/>
      <w:r w:rsidRPr="00757D20">
        <w:rPr>
          <w:rFonts w:eastAsia="Calibri"/>
        </w:rPr>
        <w:t>actually interested</w:t>
      </w:r>
      <w:proofErr w:type="gramEnd"/>
      <w:r w:rsidRPr="00757D20">
        <w:rPr>
          <w:rFonts w:eastAsia="Calibri"/>
        </w:rPr>
        <w:t xml:space="preserve"> in and want to pursue. (Belle, Year 12 student, 2025)</w:t>
      </w:r>
    </w:p>
    <w:p w14:paraId="575C871F" w14:textId="6F4FBC93" w:rsidR="00A46474" w:rsidRPr="00757D20" w:rsidRDefault="00A46474" w:rsidP="001552F5">
      <w:r w:rsidRPr="00757D20">
        <w:t>Given the current economic landscape, the debt that comes with a university degree also weighs heavily on both young people’s and adults</w:t>
      </w:r>
      <w:r w:rsidR="0012705D">
        <w:t>’</w:t>
      </w:r>
      <w:r w:rsidRPr="00757D20">
        <w:t xml:space="preserve"> minds. Back in 2018, a local parent used the analogy of a </w:t>
      </w:r>
      <w:r w:rsidR="00EC5430" w:rsidRPr="00757D20">
        <w:t>“</w:t>
      </w:r>
      <w:r w:rsidRPr="00757D20">
        <w:t>noose</w:t>
      </w:r>
      <w:r w:rsidR="00EC5430" w:rsidRPr="00757D20">
        <w:t>”</w:t>
      </w:r>
      <w:r w:rsidRPr="00757D20">
        <w:t xml:space="preserve"> to describe the severe nature of the inescapable burden of a HECS debt, particularly in cases where a young person might swap degrees or not finish university:</w:t>
      </w:r>
    </w:p>
    <w:p w14:paraId="13B895F1" w14:textId="77777777" w:rsidR="00A46474" w:rsidRPr="00757D20" w:rsidRDefault="00A46474" w:rsidP="001552F5">
      <w:pPr>
        <w:pStyle w:val="Quote"/>
      </w:pPr>
      <w:r w:rsidRPr="00757D20">
        <w:t xml:space="preserve">When I was working last year for a media company, there was a girl there who's the sales rep. She had had some mental health problems. She was in her late 20s. Since she'd left school, she'd done two years in one degree, realised she didn't like it, and then went and worked. Then she went to do another degree and didn't like it. She's got a $42,000 HECS debt and she doesn't have a degree. And she's in a job that probably pays about $35,000 a year, at the age of 30. It's a noose around your neck. (Mary, parent, 2018)  </w:t>
      </w:r>
    </w:p>
    <w:p w14:paraId="2B5D04AF" w14:textId="24C7B53D" w:rsidR="00A46474" w:rsidRPr="00757D20" w:rsidRDefault="00A46474" w:rsidP="001552F5">
      <w:r w:rsidRPr="00757D20">
        <w:t>By 2025, this analogy rang true for many students. Here, Year 12 student Josie speaks about the heightened level of anxiety she feels when thinking about the debt that she will face by going to university and how this might impact her future more broadly:</w:t>
      </w:r>
    </w:p>
    <w:p w14:paraId="2A898804" w14:textId="756DB39B" w:rsidR="00A46474" w:rsidRPr="00757D20" w:rsidRDefault="00A46474" w:rsidP="001552F5">
      <w:pPr>
        <w:pStyle w:val="Quote"/>
      </w:pPr>
      <w:r w:rsidRPr="00757D20">
        <w:t xml:space="preserve">I get very, very overwhelmed by the idea of how much money you </w:t>
      </w:r>
      <w:proofErr w:type="gramStart"/>
      <w:r w:rsidRPr="00757D20">
        <w:t>have to</w:t>
      </w:r>
      <w:proofErr w:type="gramEnd"/>
      <w:r w:rsidRPr="00757D20">
        <w:t xml:space="preserve"> pay for university. I remember one of my co-workers was talking about how her sister had almost a hundred thousand dollars of HECS debt, and that's not an uncommon thing, which is crazy. And it's like, no wonder we won’t be able to afford a house when we're having to spend thousands and thousands and thousands of dollars on our education</w:t>
      </w:r>
      <w:r w:rsidR="0012705D">
        <w:t xml:space="preserve"> </w:t>
      </w:r>
      <w:r w:rsidRPr="00757D20">
        <w:t xml:space="preserve">… It </w:t>
      </w:r>
      <w:r w:rsidR="0010611A" w:rsidRPr="00757D20">
        <w:t>won’t</w:t>
      </w:r>
      <w:r w:rsidRPr="00757D20">
        <w:t xml:space="preserve"> put me off [university], but it </w:t>
      </w:r>
      <w:r w:rsidRPr="00757D20">
        <w:lastRenderedPageBreak/>
        <w:t>may potentially put me off seeking further university education. Like I would love to get a Masters in something, but I won't. (Josie, Year 12 student, 2025)</w:t>
      </w:r>
    </w:p>
    <w:p w14:paraId="7933BE24" w14:textId="77777777" w:rsidR="00A46474" w:rsidRPr="00757D20" w:rsidRDefault="00A46474" w:rsidP="001552F5">
      <w:r w:rsidRPr="00757D20">
        <w:t>Nevertheless, for some students, the financial outlay of going to university is just part of what happens in society; a necessity to get to where you want in life:</w:t>
      </w:r>
    </w:p>
    <w:p w14:paraId="1A7EB5C2" w14:textId="3E50E2DE" w:rsidR="00A46474" w:rsidRPr="00757D20" w:rsidRDefault="00A46474" w:rsidP="006425B6">
      <w:pPr>
        <w:pStyle w:val="Quote"/>
      </w:pPr>
      <w:r w:rsidRPr="00757D20">
        <w:rPr>
          <w:rFonts w:eastAsia="Calibri" w:cs="Arial"/>
        </w:rPr>
        <w:t xml:space="preserve">I </w:t>
      </w:r>
      <w:r w:rsidRPr="00757D20">
        <w:rPr>
          <w:rStyle w:val="QuoteChar"/>
          <w:rFonts w:cs="Arial"/>
        </w:rPr>
        <w:t>think it's just part of education, if you want to do any sort of learning you're going to have to pay some sort of fees. I think it's just given. (Neal, Year 12 student, 2025)</w:t>
      </w:r>
    </w:p>
    <w:p w14:paraId="4B68325E" w14:textId="44726B7C" w:rsidR="00A46474" w:rsidRPr="00757D20" w:rsidRDefault="00A46474" w:rsidP="00D618E7">
      <w:pPr>
        <w:pStyle w:val="Heading3"/>
      </w:pPr>
      <w:bookmarkStart w:id="82" w:name="_Toc196396161"/>
      <w:bookmarkStart w:id="83" w:name="_Toc219977232"/>
      <w:r w:rsidRPr="00757D20">
        <w:t>Conclusion</w:t>
      </w:r>
      <w:bookmarkEnd w:id="82"/>
      <w:bookmarkEnd w:id="83"/>
    </w:p>
    <w:p w14:paraId="77611D0E" w14:textId="08375D5C" w:rsidR="00A46474" w:rsidRPr="00757D20" w:rsidRDefault="00A46474" w:rsidP="001552F5">
      <w:r w:rsidRPr="00757D20">
        <w:t xml:space="preserve">As an inner-city government school, </w:t>
      </w:r>
      <w:r w:rsidR="008B6915" w:rsidRPr="00757D20">
        <w:t>Banks Hollow Secondary College</w:t>
      </w:r>
      <w:r w:rsidRPr="00757D20">
        <w:t xml:space="preserve"> is physically overpopulated and crowded. This shortcoming, however, doesn’t appear to stop young people from following their hopes and dreams, with </w:t>
      </w:r>
      <w:proofErr w:type="gramStart"/>
      <w:r w:rsidRPr="00757D20">
        <w:t>the vast majority of</w:t>
      </w:r>
      <w:proofErr w:type="gramEnd"/>
      <w:r w:rsidRPr="00757D20">
        <w:t xml:space="preserve"> students pursuing university upon graduation. Many young people are encouraged to go to university and aspire towards professional careers by their parents, who are often first- or second-generation migrants and see education as </w:t>
      </w:r>
      <w:r w:rsidR="007105FD" w:rsidRPr="00757D20">
        <w:t>key</w:t>
      </w:r>
      <w:r w:rsidRPr="00757D20">
        <w:t xml:space="preserve"> to a better future. On the one hand, these expectations place a high degree of pressure on students, with anxiety noticeably worsening since the COVID-19 pandemic. On the other hand, the level of confidence in university has wavered among young people, who have begun to question its value</w:t>
      </w:r>
      <w:r w:rsidR="005E2ABB" w:rsidRPr="00757D20">
        <w:t>—</w:t>
      </w:r>
      <w:r w:rsidRPr="00757D20">
        <w:t>and the value of certain degrees</w:t>
      </w:r>
      <w:r w:rsidR="005E2ABB" w:rsidRPr="00757D20">
        <w:t>—</w:t>
      </w:r>
      <w:r w:rsidRPr="00757D20">
        <w:t xml:space="preserve">in the current </w:t>
      </w:r>
      <w:r w:rsidR="009B5368" w:rsidRPr="00757D20">
        <w:t xml:space="preserve">economic and social </w:t>
      </w:r>
      <w:r w:rsidRPr="00757D20">
        <w:t xml:space="preserve">climate. The rising cost of living also looms large, with students feeling more overwhelmed about the debt that comes with a university education, the need for financial security, and the likelihood of ever affording a place to live </w:t>
      </w:r>
      <w:r w:rsidR="009B5368" w:rsidRPr="00757D20">
        <w:t xml:space="preserve">in or near their community </w:t>
      </w:r>
      <w:r w:rsidRPr="00757D20">
        <w:t>when they are older.</w:t>
      </w:r>
    </w:p>
    <w:p w14:paraId="63A4AB47" w14:textId="20F1B709" w:rsidR="00275388" w:rsidRPr="00757D20" w:rsidRDefault="00275388">
      <w:pPr>
        <w:spacing w:line="259" w:lineRule="auto"/>
        <w:rPr>
          <w:rFonts w:ascii="Times New Roman" w:hAnsi="Times New Roman" w:cs="Times New Roman"/>
          <w:sz w:val="24"/>
          <w:szCs w:val="24"/>
        </w:rPr>
      </w:pPr>
      <w:r w:rsidRPr="00757D20">
        <w:rPr>
          <w:rFonts w:ascii="Times New Roman" w:hAnsi="Times New Roman" w:cs="Times New Roman"/>
          <w:sz w:val="24"/>
          <w:szCs w:val="24"/>
        </w:rPr>
        <w:br w:type="page"/>
      </w:r>
    </w:p>
    <w:p w14:paraId="2F70B4B2" w14:textId="6D6A2D7A" w:rsidR="00275388" w:rsidRPr="00757D20" w:rsidRDefault="00275388" w:rsidP="00F56BA8">
      <w:pPr>
        <w:pStyle w:val="Heading2"/>
      </w:pPr>
      <w:bookmarkStart w:id="84" w:name="_Toc219977233"/>
      <w:r w:rsidRPr="00757D20">
        <w:lastRenderedPageBreak/>
        <w:t>Riverbend College</w:t>
      </w:r>
      <w:bookmarkEnd w:id="84"/>
    </w:p>
    <w:p w14:paraId="11D0DB98" w14:textId="67E2D9E5" w:rsidR="00275388" w:rsidRPr="00757D20" w:rsidRDefault="00275388" w:rsidP="00275388">
      <w:pPr>
        <w:rPr>
          <w:b/>
          <w:bCs/>
        </w:rPr>
      </w:pPr>
      <w:r w:rsidRPr="00757D20">
        <w:rPr>
          <w:b/>
          <w:bCs/>
          <w:noProof/>
        </w:rPr>
        <w:drawing>
          <wp:inline distT="0" distB="0" distL="0" distR="0" wp14:anchorId="41CBFA83" wp14:editId="03838EA4">
            <wp:extent cx="2700000" cy="2700000"/>
            <wp:effectExtent l="0" t="0" r="5715" b="5715"/>
            <wp:docPr id="1596053662" name="Picture 4" descr="Table presenting school profile data for years 2014, 2016, and 2024 in major cities under ASGS locality. It includes ICSEA scores, student enrolments, gender ratios, Indigenous percentages, and LBOTE counts, showing trends like increased Indigenous representation from 8% to 18% and student enrollments rising from 599 to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53662" name="Picture 4" descr="Table presenting school profile data for years 2014, 2016, and 2024 in major cities under ASGS locality. It includes ICSEA scores, student enrolments, gender ratios, Indigenous percentages, and LBOTE counts, showing trends like increased Indigenous representation from 8% to 18% and student enrollments rising from 599 to 643."/>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r w:rsidRPr="00757D20">
        <w:rPr>
          <w:b/>
          <w:bCs/>
        </w:rPr>
        <w:tab/>
        <w:t xml:space="preserve">     </w:t>
      </w:r>
      <w:r w:rsidRPr="00757D20">
        <w:rPr>
          <w:b/>
          <w:bCs/>
          <w:noProof/>
        </w:rPr>
        <w:drawing>
          <wp:inline distT="0" distB="0" distL="0" distR="0" wp14:anchorId="100D5951" wp14:editId="1D9321C0">
            <wp:extent cx="2700000" cy="2700000"/>
            <wp:effectExtent l="0" t="0" r="5715" b="5715"/>
            <wp:docPr id="550266232" name="Picture 5" descr="Table showing community profile snapshot for ASGS Locality major cities based on ABS Census Data from 2011 and 2021. It compares total population, percentage of Aboriginal and/or Torres Strait Islander people, proportion born overseas, and unemployment rate, highlighting population growth from 1,714 to 2,981 and increased Indigenous and overseas-born percentages, with a slight decrease in un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66232" name="Picture 5" descr="Table showing community profile snapshot for ASGS Locality major cities based on ABS Census Data from 2011 and 2021. It compares total population, percentage of Aboriginal and/or Torres Strait Islander people, proportion born overseas, and unemployment rate, highlighting population growth from 1,714 to 2,981 and increased Indigenous and overseas-born percentages, with a slight decrease in unemploy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p w14:paraId="14852246" w14:textId="77777777" w:rsidR="00275388" w:rsidRPr="00757D20" w:rsidRDefault="00275388" w:rsidP="00275388">
      <w:pPr>
        <w:spacing w:after="0"/>
        <w:rPr>
          <w:b/>
          <w:bCs/>
        </w:rPr>
      </w:pPr>
      <w:r w:rsidRPr="00757D20">
        <w:rPr>
          <w:noProof/>
        </w:rPr>
        <w:drawing>
          <wp:inline distT="0" distB="0" distL="0" distR="0" wp14:anchorId="7EB8F3A1" wp14:editId="3F28BF91">
            <wp:extent cx="2700000" cy="2700000"/>
            <wp:effectExtent l="0" t="0" r="5715" b="5715"/>
            <wp:docPr id="616672874" name="Chart 1" descr="Table showing Highest Level of Educational Attainment for 2016 and 2021, indicating whether students finished high school or TAFE, gained a Bachelor degree or above, or didn't state which. High school had the highest occurrence for both years but dropped slightly from 45% to 41% TAFE had the next highest occurrence with a slight increase from 34% to 37%with Bachelor Degree and above also having a slight increase. ">
              <a:extLst xmlns:a="http://schemas.openxmlformats.org/drawingml/2006/main">
                <a:ext uri="{FF2B5EF4-FFF2-40B4-BE49-F238E27FC236}">
                  <a16:creationId xmlns:a16="http://schemas.microsoft.com/office/drawing/2014/main" id="{330F658B-A9D5-6976-00CF-2811155B39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757D20">
        <w:rPr>
          <w:b/>
          <w:bCs/>
        </w:rPr>
        <w:tab/>
        <w:t xml:space="preserve">     </w:t>
      </w:r>
      <w:r w:rsidRPr="00757D20">
        <w:rPr>
          <w:noProof/>
        </w:rPr>
        <w:drawing>
          <wp:inline distT="0" distB="0" distL="0" distR="0" wp14:anchorId="530A3726" wp14:editId="36527C19">
            <wp:extent cx="2700000" cy="2700000"/>
            <wp:effectExtent l="0" t="0" r="5715" b="5715"/>
            <wp:docPr id="1961223040" name="Chart 1" descr="Table showing Community Occupations in 2011 and 2021 with categories for Labourers, Machine Operators, Sales Workers, Clerical, Community and Personal, Technicians, Professionals and Managers. The highest occurrence in both years is for Technicians and Trades at 20% (2011) and 17% (2021). There is a decrease in labourers but a marked increase in Community and Personal and Professionals.">
              <a:extLst xmlns:a="http://schemas.openxmlformats.org/drawingml/2006/main">
                <a:ext uri="{FF2B5EF4-FFF2-40B4-BE49-F238E27FC236}">
                  <a16:creationId xmlns:a16="http://schemas.microsoft.com/office/drawing/2014/main" id="{2078C1EB-877E-EB08-806E-4EA545B13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773FC5" w14:textId="53EF9490" w:rsidR="00275388" w:rsidRPr="00757D20" w:rsidRDefault="00275388" w:rsidP="00275388">
      <w:pPr>
        <w:spacing w:after="0"/>
        <w:rPr>
          <w:sz w:val="16"/>
          <w:szCs w:val="16"/>
        </w:rPr>
      </w:pPr>
      <w:r w:rsidRPr="00757D20">
        <w:rPr>
          <w:sz w:val="16"/>
          <w:szCs w:val="16"/>
        </w:rPr>
        <w:t xml:space="preserve">Note: </w:t>
      </w:r>
      <w:r w:rsidRPr="00757D20">
        <w:rPr>
          <w:sz w:val="16"/>
          <w:szCs w:val="16"/>
          <w:vertAlign w:val="superscript"/>
        </w:rPr>
        <w:t>1</w:t>
      </w:r>
      <w:r w:rsidRPr="00757D20">
        <w:rPr>
          <w:sz w:val="16"/>
          <w:szCs w:val="16"/>
        </w:rPr>
        <w:t>Educational attainment was not collected in the 2011 Census.</w:t>
      </w:r>
    </w:p>
    <w:p w14:paraId="3BD63E96" w14:textId="77777777" w:rsidR="00275388" w:rsidRPr="00757D20" w:rsidRDefault="00275388" w:rsidP="00275388">
      <w:pPr>
        <w:spacing w:after="0"/>
        <w:rPr>
          <w:sz w:val="16"/>
          <w:szCs w:val="16"/>
        </w:rPr>
      </w:pPr>
    </w:p>
    <w:p w14:paraId="252BC80D" w14:textId="2DF1ABC2" w:rsidR="00275388" w:rsidRPr="00757D20" w:rsidRDefault="003F61E9" w:rsidP="009B34F2">
      <w:pPr>
        <w:spacing w:after="0" w:line="360" w:lineRule="auto"/>
        <w:rPr>
          <w:rFonts w:cs="Arial"/>
          <w:b/>
          <w:bCs/>
        </w:rPr>
      </w:pPr>
      <w:r w:rsidRPr="00757D20">
        <w:rPr>
          <w:rFonts w:cs="Arial"/>
          <w:b/>
          <w:bCs/>
        </w:rPr>
        <w:t>Top</w:t>
      </w:r>
      <w:r w:rsidR="005038A2">
        <w:rPr>
          <w:rFonts w:cs="Arial"/>
          <w:b/>
          <w:bCs/>
        </w:rPr>
        <w:t xml:space="preserve"> 5</w:t>
      </w:r>
      <w:r w:rsidRPr="00757D20">
        <w:rPr>
          <w:rFonts w:cs="Arial"/>
          <w:b/>
          <w:bCs/>
        </w:rPr>
        <w:t xml:space="preserve"> </w:t>
      </w:r>
      <w:r w:rsidR="0012705D">
        <w:rPr>
          <w:rFonts w:cs="Arial"/>
          <w:b/>
          <w:bCs/>
        </w:rPr>
        <w:t>i</w:t>
      </w:r>
      <w:r w:rsidRPr="00757D20">
        <w:rPr>
          <w:rFonts w:cs="Arial"/>
          <w:b/>
          <w:bCs/>
        </w:rPr>
        <w:t xml:space="preserve">ndustries of </w:t>
      </w:r>
      <w:r w:rsidR="0012705D">
        <w:rPr>
          <w:rFonts w:cs="Arial"/>
          <w:b/>
          <w:bCs/>
        </w:rPr>
        <w:t>e</w:t>
      </w:r>
      <w:r w:rsidRPr="00757D20">
        <w:rPr>
          <w:rFonts w:cs="Arial"/>
          <w:b/>
          <w:bCs/>
        </w:rPr>
        <w:t>mployment</w:t>
      </w:r>
      <w:r w:rsidR="00275388" w:rsidRPr="00757D20">
        <w:rPr>
          <w:rFonts w:cs="Arial"/>
          <w:b/>
          <w:bCs/>
        </w:rPr>
        <w:t>, Riverbend</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703"/>
        <w:gridCol w:w="1704"/>
      </w:tblGrid>
      <w:tr w:rsidR="00275388" w:rsidRPr="00757D20" w14:paraId="39CC7B0F" w14:textId="77777777" w:rsidTr="001552F5">
        <w:trPr>
          <w:trHeight w:val="300"/>
        </w:trPr>
        <w:tc>
          <w:tcPr>
            <w:tcW w:w="5382" w:type="dxa"/>
            <w:shd w:val="clear" w:color="auto" w:fill="5CCAC5" w:themeFill="accent6" w:themeFillShade="BF"/>
            <w:vAlign w:val="center"/>
          </w:tcPr>
          <w:p w14:paraId="1BA6601C" w14:textId="77777777" w:rsidR="00275388" w:rsidRPr="00757D20" w:rsidRDefault="00275388">
            <w:pPr>
              <w:spacing w:after="0" w:line="240" w:lineRule="auto"/>
              <w:rPr>
                <w:rFonts w:eastAsia="Times New Roman" w:cs="Arial"/>
                <w:b/>
                <w:bCs/>
                <w:color w:val="222222"/>
                <w:kern w:val="0"/>
                <w:lang w:eastAsia="en-AU"/>
                <w14:ligatures w14:val="none"/>
              </w:rPr>
            </w:pPr>
          </w:p>
        </w:tc>
        <w:tc>
          <w:tcPr>
            <w:tcW w:w="1703" w:type="dxa"/>
            <w:shd w:val="clear" w:color="auto" w:fill="5CCAC5" w:themeFill="accent6" w:themeFillShade="BF"/>
            <w:vAlign w:val="center"/>
            <w:hideMark/>
          </w:tcPr>
          <w:p w14:paraId="150F79E7" w14:textId="77777777" w:rsidR="00275388" w:rsidRPr="00757D20" w:rsidRDefault="00275388">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2011</w:t>
            </w:r>
          </w:p>
          <w:p w14:paraId="58C1CD4A" w14:textId="3AF88B9F" w:rsidR="00763F20" w:rsidRPr="00757D20" w:rsidRDefault="00763F20">
            <w:pPr>
              <w:spacing w:after="0" w:line="240" w:lineRule="auto"/>
              <w:jc w:val="right"/>
              <w:rPr>
                <w:rFonts w:eastAsia="Times New Roman" w:cs="Arial"/>
                <w:b/>
                <w:bCs/>
                <w:color w:val="222222"/>
                <w:kern w:val="0"/>
                <w:lang w:eastAsia="en-AU"/>
                <w14:ligatures w14:val="none"/>
              </w:rPr>
            </w:pPr>
            <w:r w:rsidRPr="00757D20">
              <w:rPr>
                <w:rFonts w:eastAsia="Times New Roman" w:cs="Arial"/>
                <w:b/>
                <w:bCs/>
                <w:color w:val="222222"/>
                <w:kern w:val="0"/>
                <w:lang w:eastAsia="en-AU"/>
                <w14:ligatures w14:val="none"/>
              </w:rPr>
              <w:t>(%)</w:t>
            </w:r>
          </w:p>
        </w:tc>
        <w:tc>
          <w:tcPr>
            <w:tcW w:w="1704" w:type="dxa"/>
            <w:shd w:val="clear" w:color="auto" w:fill="5CCAC5" w:themeFill="accent6" w:themeFillShade="BF"/>
            <w:noWrap/>
            <w:vAlign w:val="center"/>
            <w:hideMark/>
          </w:tcPr>
          <w:p w14:paraId="7A4B04A3" w14:textId="77777777" w:rsidR="00275388" w:rsidRPr="00757D20" w:rsidRDefault="00275388">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2021</w:t>
            </w:r>
          </w:p>
          <w:p w14:paraId="1DED75CA" w14:textId="144CBD75" w:rsidR="00763F20" w:rsidRPr="00757D20" w:rsidRDefault="00763F20">
            <w:pPr>
              <w:spacing w:after="0" w:line="240" w:lineRule="auto"/>
              <w:jc w:val="right"/>
              <w:rPr>
                <w:rFonts w:eastAsia="Times New Roman" w:cs="Arial"/>
                <w:b/>
                <w:bCs/>
                <w:color w:val="000000"/>
                <w:kern w:val="0"/>
                <w:lang w:eastAsia="en-AU"/>
                <w14:ligatures w14:val="none"/>
              </w:rPr>
            </w:pPr>
            <w:r w:rsidRPr="00757D20">
              <w:rPr>
                <w:rFonts w:eastAsia="Times New Roman" w:cs="Arial"/>
                <w:b/>
                <w:bCs/>
                <w:color w:val="000000"/>
                <w:kern w:val="0"/>
                <w:lang w:eastAsia="en-AU"/>
                <w14:ligatures w14:val="none"/>
              </w:rPr>
              <w:t>(%)</w:t>
            </w:r>
          </w:p>
        </w:tc>
      </w:tr>
      <w:tr w:rsidR="00275388" w:rsidRPr="00757D20" w14:paraId="48DBA515" w14:textId="77777777">
        <w:trPr>
          <w:trHeight w:val="281"/>
        </w:trPr>
        <w:tc>
          <w:tcPr>
            <w:tcW w:w="5382" w:type="dxa"/>
            <w:vAlign w:val="center"/>
            <w:hideMark/>
          </w:tcPr>
          <w:p w14:paraId="7499BC86" w14:textId="5034172C"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Other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 xml:space="preserve">ocial </w:t>
            </w:r>
            <w:r w:rsidR="0012705D">
              <w:rPr>
                <w:rFonts w:eastAsia="Times New Roman" w:cs="Arial"/>
                <w:color w:val="222222"/>
                <w:kern w:val="0"/>
                <w:lang w:eastAsia="en-AU"/>
                <w14:ligatures w14:val="none"/>
              </w:rPr>
              <w:t>a</w:t>
            </w:r>
            <w:r w:rsidRPr="00757D20">
              <w:rPr>
                <w:rFonts w:eastAsia="Times New Roman" w:cs="Arial"/>
                <w:color w:val="222222"/>
                <w:kern w:val="0"/>
                <w:lang w:eastAsia="en-AU"/>
                <w14:ligatures w14:val="none"/>
              </w:rPr>
              <w:t xml:space="preserve">ssistance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703" w:type="dxa"/>
            <w:vAlign w:val="center"/>
            <w:hideMark/>
          </w:tcPr>
          <w:p w14:paraId="48E244DC"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c>
          <w:tcPr>
            <w:tcW w:w="1704" w:type="dxa"/>
            <w:noWrap/>
            <w:vAlign w:val="center"/>
            <w:hideMark/>
          </w:tcPr>
          <w:p w14:paraId="2B788038" w14:textId="77777777" w:rsidR="00275388" w:rsidRPr="00757D20" w:rsidRDefault="00275388">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5.2</w:t>
            </w:r>
          </w:p>
        </w:tc>
      </w:tr>
      <w:tr w:rsidR="00275388" w:rsidRPr="00757D20" w14:paraId="1E25A775" w14:textId="77777777">
        <w:trPr>
          <w:trHeight w:val="281"/>
        </w:trPr>
        <w:tc>
          <w:tcPr>
            <w:tcW w:w="5382" w:type="dxa"/>
            <w:vAlign w:val="center"/>
            <w:hideMark/>
          </w:tcPr>
          <w:p w14:paraId="2D58EE12" w14:textId="1E5FF707"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Hospitals (except </w:t>
            </w:r>
            <w:r w:rsidR="0012705D">
              <w:rPr>
                <w:rFonts w:eastAsia="Times New Roman" w:cs="Arial"/>
                <w:color w:val="222222"/>
                <w:kern w:val="0"/>
                <w:lang w:eastAsia="en-AU"/>
                <w14:ligatures w14:val="none"/>
              </w:rPr>
              <w:t>p</w:t>
            </w:r>
            <w:r w:rsidRPr="00757D20">
              <w:rPr>
                <w:rFonts w:eastAsia="Times New Roman" w:cs="Arial"/>
                <w:color w:val="222222"/>
                <w:kern w:val="0"/>
                <w:lang w:eastAsia="en-AU"/>
                <w14:ligatures w14:val="none"/>
              </w:rPr>
              <w:t xml:space="preserve">sychiatric </w:t>
            </w:r>
            <w:r w:rsidR="0012705D">
              <w:rPr>
                <w:rFonts w:eastAsia="Times New Roman" w:cs="Arial"/>
                <w:color w:val="222222"/>
                <w:kern w:val="0"/>
                <w:lang w:eastAsia="en-AU"/>
                <w14:ligatures w14:val="none"/>
              </w:rPr>
              <w:t>h</w:t>
            </w:r>
            <w:r w:rsidRPr="00757D20">
              <w:rPr>
                <w:rFonts w:eastAsia="Times New Roman" w:cs="Arial"/>
                <w:color w:val="222222"/>
                <w:kern w:val="0"/>
                <w:lang w:eastAsia="en-AU"/>
                <w14:ligatures w14:val="none"/>
              </w:rPr>
              <w:t>ospitals)</w:t>
            </w:r>
          </w:p>
        </w:tc>
        <w:tc>
          <w:tcPr>
            <w:tcW w:w="1703" w:type="dxa"/>
            <w:vAlign w:val="center"/>
            <w:hideMark/>
          </w:tcPr>
          <w:p w14:paraId="47B20167"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3.8</w:t>
            </w:r>
          </w:p>
        </w:tc>
        <w:tc>
          <w:tcPr>
            <w:tcW w:w="1704" w:type="dxa"/>
            <w:noWrap/>
            <w:vAlign w:val="center"/>
            <w:hideMark/>
          </w:tcPr>
          <w:p w14:paraId="12ECB698" w14:textId="77777777" w:rsidR="00275388" w:rsidRPr="00757D20" w:rsidRDefault="00275388">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4.6</w:t>
            </w:r>
          </w:p>
        </w:tc>
      </w:tr>
      <w:tr w:rsidR="00275388" w:rsidRPr="00757D20" w14:paraId="167B51B7" w14:textId="77777777">
        <w:trPr>
          <w:trHeight w:val="281"/>
        </w:trPr>
        <w:tc>
          <w:tcPr>
            <w:tcW w:w="5382" w:type="dxa"/>
            <w:vAlign w:val="center"/>
            <w:hideMark/>
          </w:tcPr>
          <w:p w14:paraId="2595FCDC" w14:textId="61F1D025"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Supermarket and </w:t>
            </w:r>
            <w:r w:rsidR="0012705D">
              <w:rPr>
                <w:rFonts w:eastAsia="Times New Roman" w:cs="Arial"/>
                <w:color w:val="222222"/>
                <w:kern w:val="0"/>
                <w:lang w:eastAsia="en-AU"/>
                <w14:ligatures w14:val="none"/>
              </w:rPr>
              <w:t>g</w:t>
            </w:r>
            <w:r w:rsidRPr="00757D20">
              <w:rPr>
                <w:rFonts w:eastAsia="Times New Roman" w:cs="Arial"/>
                <w:color w:val="222222"/>
                <w:kern w:val="0"/>
                <w:lang w:eastAsia="en-AU"/>
                <w14:ligatures w14:val="none"/>
              </w:rPr>
              <w:t xml:space="preserve">rocery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tores</w:t>
            </w:r>
          </w:p>
        </w:tc>
        <w:tc>
          <w:tcPr>
            <w:tcW w:w="1703" w:type="dxa"/>
            <w:vAlign w:val="center"/>
            <w:hideMark/>
          </w:tcPr>
          <w:p w14:paraId="06125719" w14:textId="0CBC97F2"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w:t>
            </w:r>
            <w:r w:rsidR="0012705D">
              <w:rPr>
                <w:rFonts w:eastAsia="Times New Roman" w:cs="Arial"/>
                <w:color w:val="222222"/>
                <w:kern w:val="0"/>
                <w:lang w:eastAsia="en-AU"/>
                <w14:ligatures w14:val="none"/>
              </w:rPr>
              <w:t>.0</w:t>
            </w:r>
          </w:p>
        </w:tc>
        <w:tc>
          <w:tcPr>
            <w:tcW w:w="1704" w:type="dxa"/>
            <w:noWrap/>
            <w:vAlign w:val="center"/>
            <w:hideMark/>
          </w:tcPr>
          <w:p w14:paraId="08A3FF06" w14:textId="77777777" w:rsidR="00275388" w:rsidRPr="00757D20" w:rsidRDefault="00275388">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4.2</w:t>
            </w:r>
          </w:p>
        </w:tc>
      </w:tr>
      <w:tr w:rsidR="00275388" w:rsidRPr="00757D20" w14:paraId="7FE4D28A" w14:textId="77777777">
        <w:trPr>
          <w:trHeight w:val="281"/>
        </w:trPr>
        <w:tc>
          <w:tcPr>
            <w:tcW w:w="5382" w:type="dxa"/>
            <w:vAlign w:val="center"/>
            <w:hideMark/>
          </w:tcPr>
          <w:p w14:paraId="13FA865E" w14:textId="0B96BA83"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Coal </w:t>
            </w:r>
            <w:r w:rsidR="0012705D">
              <w:rPr>
                <w:rFonts w:eastAsia="Times New Roman" w:cs="Arial"/>
                <w:color w:val="222222"/>
                <w:kern w:val="0"/>
                <w:lang w:eastAsia="en-AU"/>
                <w14:ligatures w14:val="none"/>
              </w:rPr>
              <w:t>m</w:t>
            </w:r>
            <w:r w:rsidRPr="00757D20">
              <w:rPr>
                <w:rFonts w:eastAsia="Times New Roman" w:cs="Arial"/>
                <w:color w:val="222222"/>
                <w:kern w:val="0"/>
                <w:lang w:eastAsia="en-AU"/>
                <w14:ligatures w14:val="none"/>
              </w:rPr>
              <w:t>ining</w:t>
            </w:r>
          </w:p>
        </w:tc>
        <w:tc>
          <w:tcPr>
            <w:tcW w:w="1703" w:type="dxa"/>
            <w:vAlign w:val="center"/>
            <w:hideMark/>
          </w:tcPr>
          <w:p w14:paraId="0D01700F"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c>
          <w:tcPr>
            <w:tcW w:w="1704" w:type="dxa"/>
            <w:noWrap/>
            <w:vAlign w:val="center"/>
            <w:hideMark/>
          </w:tcPr>
          <w:p w14:paraId="0B34B3DD" w14:textId="77777777" w:rsidR="00275388" w:rsidRPr="00757D20" w:rsidRDefault="00275388">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3.2</w:t>
            </w:r>
          </w:p>
        </w:tc>
      </w:tr>
      <w:tr w:rsidR="00275388" w:rsidRPr="00757D20" w14:paraId="27605150" w14:textId="77777777">
        <w:trPr>
          <w:trHeight w:val="281"/>
        </w:trPr>
        <w:tc>
          <w:tcPr>
            <w:tcW w:w="5382" w:type="dxa"/>
            <w:vAlign w:val="center"/>
            <w:hideMark/>
          </w:tcPr>
          <w:p w14:paraId="086DED40" w14:textId="2BFC3803"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Aged </w:t>
            </w:r>
            <w:r w:rsidR="0012705D">
              <w:rPr>
                <w:rFonts w:eastAsia="Times New Roman" w:cs="Arial"/>
                <w:color w:val="222222"/>
                <w:kern w:val="0"/>
                <w:lang w:eastAsia="en-AU"/>
                <w14:ligatures w14:val="none"/>
              </w:rPr>
              <w:t>c</w:t>
            </w:r>
            <w:r w:rsidRPr="00757D20">
              <w:rPr>
                <w:rFonts w:eastAsia="Times New Roman" w:cs="Arial"/>
                <w:color w:val="222222"/>
                <w:kern w:val="0"/>
                <w:lang w:eastAsia="en-AU"/>
                <w14:ligatures w14:val="none"/>
              </w:rPr>
              <w:t xml:space="preserve">are </w:t>
            </w:r>
            <w:r w:rsidR="0012705D">
              <w:rPr>
                <w:rFonts w:eastAsia="Times New Roman" w:cs="Arial"/>
                <w:color w:val="222222"/>
                <w:kern w:val="0"/>
                <w:lang w:eastAsia="en-AU"/>
                <w14:ligatures w14:val="none"/>
              </w:rPr>
              <w:t>r</w:t>
            </w:r>
            <w:r w:rsidRPr="00757D20">
              <w:rPr>
                <w:rFonts w:eastAsia="Times New Roman" w:cs="Arial"/>
                <w:color w:val="222222"/>
                <w:kern w:val="0"/>
                <w:lang w:eastAsia="en-AU"/>
                <w14:ligatures w14:val="none"/>
              </w:rPr>
              <w:t xml:space="preserve">esidential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703" w:type="dxa"/>
            <w:vAlign w:val="center"/>
            <w:hideMark/>
          </w:tcPr>
          <w:p w14:paraId="7C336020"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c>
          <w:tcPr>
            <w:tcW w:w="1704" w:type="dxa"/>
            <w:noWrap/>
            <w:vAlign w:val="center"/>
            <w:hideMark/>
          </w:tcPr>
          <w:p w14:paraId="59FBAE73" w14:textId="4A6EA15A" w:rsidR="00275388" w:rsidRPr="00757D20" w:rsidRDefault="00275388">
            <w:pPr>
              <w:spacing w:after="0" w:line="240" w:lineRule="auto"/>
              <w:jc w:val="right"/>
              <w:rPr>
                <w:rFonts w:eastAsia="Times New Roman" w:cs="Arial"/>
                <w:color w:val="000000"/>
                <w:kern w:val="0"/>
                <w:lang w:eastAsia="en-AU"/>
                <w14:ligatures w14:val="none"/>
              </w:rPr>
            </w:pPr>
            <w:r w:rsidRPr="00757D20">
              <w:rPr>
                <w:rFonts w:eastAsia="Times New Roman" w:cs="Arial"/>
                <w:color w:val="000000"/>
                <w:kern w:val="0"/>
                <w:lang w:eastAsia="en-AU"/>
                <w14:ligatures w14:val="none"/>
              </w:rPr>
              <w:t>3</w:t>
            </w:r>
            <w:r w:rsidR="0012705D">
              <w:rPr>
                <w:rFonts w:eastAsia="Times New Roman" w:cs="Arial"/>
                <w:color w:val="000000"/>
                <w:kern w:val="0"/>
                <w:lang w:eastAsia="en-AU"/>
                <w14:ligatures w14:val="none"/>
              </w:rPr>
              <w:t>.0</w:t>
            </w:r>
          </w:p>
        </w:tc>
      </w:tr>
      <w:tr w:rsidR="00275388" w:rsidRPr="00757D20" w14:paraId="0EDE8CBD" w14:textId="77777777">
        <w:trPr>
          <w:trHeight w:val="281"/>
        </w:trPr>
        <w:tc>
          <w:tcPr>
            <w:tcW w:w="5382" w:type="dxa"/>
            <w:vAlign w:val="center"/>
            <w:hideMark/>
          </w:tcPr>
          <w:p w14:paraId="351C343E" w14:textId="714E57DF"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Residential </w:t>
            </w:r>
            <w:r w:rsidR="0012705D">
              <w:rPr>
                <w:rFonts w:eastAsia="Times New Roman" w:cs="Arial"/>
                <w:color w:val="222222"/>
                <w:kern w:val="0"/>
                <w:lang w:eastAsia="en-AU"/>
                <w14:ligatures w14:val="none"/>
              </w:rPr>
              <w:t>c</w:t>
            </w:r>
            <w:r w:rsidRPr="00757D20">
              <w:rPr>
                <w:rFonts w:eastAsia="Times New Roman" w:cs="Arial"/>
                <w:color w:val="222222"/>
                <w:kern w:val="0"/>
                <w:lang w:eastAsia="en-AU"/>
                <w14:ligatures w14:val="none"/>
              </w:rPr>
              <w:t xml:space="preserve">are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703" w:type="dxa"/>
            <w:vAlign w:val="center"/>
            <w:hideMark/>
          </w:tcPr>
          <w:p w14:paraId="160D019F"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4.1</w:t>
            </w:r>
          </w:p>
        </w:tc>
        <w:tc>
          <w:tcPr>
            <w:tcW w:w="1704" w:type="dxa"/>
            <w:noWrap/>
            <w:vAlign w:val="center"/>
            <w:hideMark/>
          </w:tcPr>
          <w:p w14:paraId="0C03F51A"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r>
      <w:tr w:rsidR="00275388" w:rsidRPr="00757D20" w14:paraId="18E9DB6E" w14:textId="77777777">
        <w:trPr>
          <w:trHeight w:val="281"/>
        </w:trPr>
        <w:tc>
          <w:tcPr>
            <w:tcW w:w="5382" w:type="dxa"/>
            <w:vAlign w:val="center"/>
            <w:hideMark/>
          </w:tcPr>
          <w:p w14:paraId="0AC9DB2C" w14:textId="43EEFD85"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Cafes, </w:t>
            </w:r>
            <w:r w:rsidR="0012705D">
              <w:rPr>
                <w:rFonts w:eastAsia="Times New Roman" w:cs="Arial"/>
                <w:color w:val="222222"/>
                <w:kern w:val="0"/>
                <w:lang w:eastAsia="en-AU"/>
                <w14:ligatures w14:val="none"/>
              </w:rPr>
              <w:t>r</w:t>
            </w:r>
            <w:r w:rsidRPr="00757D20">
              <w:rPr>
                <w:rFonts w:eastAsia="Times New Roman" w:cs="Arial"/>
                <w:color w:val="222222"/>
                <w:kern w:val="0"/>
                <w:lang w:eastAsia="en-AU"/>
                <w14:ligatures w14:val="none"/>
              </w:rPr>
              <w:t>estaurants</w:t>
            </w:r>
            <w:r w:rsidR="00F35CE6" w:rsidRPr="00757D20">
              <w:rPr>
                <w:rFonts w:eastAsia="Times New Roman" w:cs="Arial"/>
                <w:color w:val="222222"/>
                <w:kern w:val="0"/>
                <w:lang w:eastAsia="en-AU"/>
                <w14:ligatures w14:val="none"/>
              </w:rPr>
              <w:t>,</w:t>
            </w:r>
            <w:r w:rsidRPr="00757D20">
              <w:rPr>
                <w:rFonts w:eastAsia="Times New Roman" w:cs="Arial"/>
                <w:color w:val="222222"/>
                <w:kern w:val="0"/>
                <w:lang w:eastAsia="en-AU"/>
                <w14:ligatures w14:val="none"/>
              </w:rPr>
              <w:t xml:space="preserve"> and </w:t>
            </w:r>
            <w:r w:rsidR="0012705D">
              <w:rPr>
                <w:rFonts w:eastAsia="Times New Roman" w:cs="Arial"/>
                <w:color w:val="222222"/>
                <w:kern w:val="0"/>
                <w:lang w:eastAsia="en-AU"/>
                <w14:ligatures w14:val="none"/>
              </w:rPr>
              <w:t>t</w:t>
            </w:r>
            <w:r w:rsidRPr="00757D20">
              <w:rPr>
                <w:rFonts w:eastAsia="Times New Roman" w:cs="Arial"/>
                <w:color w:val="222222"/>
                <w:kern w:val="0"/>
                <w:lang w:eastAsia="en-AU"/>
                <w14:ligatures w14:val="none"/>
              </w:rPr>
              <w:t xml:space="preserve">akeaway </w:t>
            </w:r>
            <w:r w:rsidR="0012705D">
              <w:rPr>
                <w:rFonts w:eastAsia="Times New Roman" w:cs="Arial"/>
                <w:color w:val="222222"/>
                <w:kern w:val="0"/>
                <w:lang w:eastAsia="en-AU"/>
                <w14:ligatures w14:val="none"/>
              </w:rPr>
              <w:t>f</w:t>
            </w:r>
            <w:r w:rsidRPr="00757D20">
              <w:rPr>
                <w:rFonts w:eastAsia="Times New Roman" w:cs="Arial"/>
                <w:color w:val="222222"/>
                <w:kern w:val="0"/>
                <w:lang w:eastAsia="en-AU"/>
                <w14:ligatures w14:val="none"/>
              </w:rPr>
              <w:t xml:space="preserve">ood </w:t>
            </w:r>
            <w:r w:rsidR="0012705D">
              <w:rPr>
                <w:rFonts w:eastAsia="Times New Roman" w:cs="Arial"/>
                <w:color w:val="222222"/>
                <w:kern w:val="0"/>
                <w:lang w:eastAsia="en-AU"/>
                <w14:ligatures w14:val="none"/>
              </w:rPr>
              <w:t>s</w:t>
            </w:r>
            <w:r w:rsidRPr="00757D20">
              <w:rPr>
                <w:rFonts w:eastAsia="Times New Roman" w:cs="Arial"/>
                <w:color w:val="222222"/>
                <w:kern w:val="0"/>
                <w:lang w:eastAsia="en-AU"/>
                <w14:ligatures w14:val="none"/>
              </w:rPr>
              <w:t>ervices</w:t>
            </w:r>
          </w:p>
        </w:tc>
        <w:tc>
          <w:tcPr>
            <w:tcW w:w="1703" w:type="dxa"/>
            <w:vAlign w:val="center"/>
            <w:hideMark/>
          </w:tcPr>
          <w:p w14:paraId="7CE9D669"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3.7</w:t>
            </w:r>
          </w:p>
        </w:tc>
        <w:tc>
          <w:tcPr>
            <w:tcW w:w="1704" w:type="dxa"/>
            <w:noWrap/>
            <w:vAlign w:val="center"/>
            <w:hideMark/>
          </w:tcPr>
          <w:p w14:paraId="31D37986"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r>
      <w:tr w:rsidR="00275388" w:rsidRPr="00757D20" w14:paraId="7116B56D" w14:textId="77777777">
        <w:trPr>
          <w:trHeight w:val="281"/>
        </w:trPr>
        <w:tc>
          <w:tcPr>
            <w:tcW w:w="5382" w:type="dxa"/>
            <w:vAlign w:val="center"/>
            <w:hideMark/>
          </w:tcPr>
          <w:p w14:paraId="5E93C4F4" w14:textId="0BD5224C" w:rsidR="00275388" w:rsidRPr="00757D20" w:rsidRDefault="00275388">
            <w:pPr>
              <w:spacing w:after="0" w:line="240" w:lineRule="auto"/>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 xml:space="preserve">School </w:t>
            </w:r>
            <w:r w:rsidR="0012705D">
              <w:rPr>
                <w:rFonts w:eastAsia="Times New Roman" w:cs="Arial"/>
                <w:color w:val="222222"/>
                <w:kern w:val="0"/>
                <w:lang w:eastAsia="en-AU"/>
                <w14:ligatures w14:val="none"/>
              </w:rPr>
              <w:t>e</w:t>
            </w:r>
            <w:r w:rsidRPr="00757D20">
              <w:rPr>
                <w:rFonts w:eastAsia="Times New Roman" w:cs="Arial"/>
                <w:color w:val="222222"/>
                <w:kern w:val="0"/>
                <w:lang w:eastAsia="en-AU"/>
                <w14:ligatures w14:val="none"/>
              </w:rPr>
              <w:t>ducation</w:t>
            </w:r>
          </w:p>
        </w:tc>
        <w:tc>
          <w:tcPr>
            <w:tcW w:w="1703" w:type="dxa"/>
            <w:vAlign w:val="center"/>
            <w:hideMark/>
          </w:tcPr>
          <w:p w14:paraId="65F7B51B" w14:textId="5913125E"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3</w:t>
            </w:r>
            <w:r w:rsidR="0012705D">
              <w:rPr>
                <w:rFonts w:eastAsia="Times New Roman" w:cs="Arial"/>
                <w:color w:val="222222"/>
                <w:kern w:val="0"/>
                <w:lang w:eastAsia="en-AU"/>
                <w14:ligatures w14:val="none"/>
              </w:rPr>
              <w:t>.0</w:t>
            </w:r>
          </w:p>
        </w:tc>
        <w:tc>
          <w:tcPr>
            <w:tcW w:w="1704" w:type="dxa"/>
            <w:noWrap/>
            <w:vAlign w:val="center"/>
            <w:hideMark/>
          </w:tcPr>
          <w:p w14:paraId="6AEBBF4C" w14:textId="77777777" w:rsidR="00275388" w:rsidRPr="00757D20" w:rsidRDefault="00275388">
            <w:pPr>
              <w:spacing w:after="0" w:line="240" w:lineRule="auto"/>
              <w:jc w:val="right"/>
              <w:rPr>
                <w:rFonts w:eastAsia="Times New Roman" w:cs="Arial"/>
                <w:color w:val="222222"/>
                <w:kern w:val="0"/>
                <w:lang w:eastAsia="en-AU"/>
                <w14:ligatures w14:val="none"/>
              </w:rPr>
            </w:pPr>
            <w:r w:rsidRPr="00757D20">
              <w:rPr>
                <w:rFonts w:eastAsia="Times New Roman" w:cs="Arial"/>
                <w:color w:val="222222"/>
                <w:kern w:val="0"/>
                <w:lang w:eastAsia="en-AU"/>
                <w14:ligatures w14:val="none"/>
              </w:rPr>
              <w:t>-</w:t>
            </w:r>
          </w:p>
        </w:tc>
      </w:tr>
    </w:tbl>
    <w:p w14:paraId="0F3B0951" w14:textId="77777777" w:rsidR="00275388" w:rsidRPr="00757D20" w:rsidRDefault="00275388" w:rsidP="00275388">
      <w:pPr>
        <w:rPr>
          <w:b/>
          <w:bCs/>
        </w:rPr>
      </w:pPr>
    </w:p>
    <w:p w14:paraId="66E11F7F" w14:textId="41EFC718" w:rsidR="00275388" w:rsidRPr="00757D20" w:rsidRDefault="00736DF5" w:rsidP="001552F5">
      <w:pPr>
        <w:pStyle w:val="Heading3"/>
        <w:numPr>
          <w:ilvl w:val="0"/>
          <w:numId w:val="0"/>
        </w:numPr>
        <w:pBdr>
          <w:top w:val="single" w:sz="4" w:space="1" w:color="auto"/>
          <w:left w:val="single" w:sz="4" w:space="0" w:color="auto"/>
          <w:bottom w:val="single" w:sz="4" w:space="1" w:color="auto"/>
          <w:right w:val="single" w:sz="4" w:space="1" w:color="auto"/>
        </w:pBdr>
        <w:shd w:val="clear" w:color="auto" w:fill="CAEEEC" w:themeFill="accent6" w:themeFillTint="99"/>
        <w:ind w:left="1021" w:hanging="1021"/>
      </w:pPr>
      <w:bookmarkStart w:id="85" w:name="_Toc196396163"/>
      <w:bookmarkStart w:id="86" w:name="_Toc219977234"/>
      <w:r w:rsidRPr="00757D20">
        <w:lastRenderedPageBreak/>
        <w:t xml:space="preserve">Riverbend College: </w:t>
      </w:r>
      <w:r w:rsidR="00275388" w:rsidRPr="00757D20">
        <w:t>Overview</w:t>
      </w:r>
      <w:bookmarkEnd w:id="85"/>
      <w:bookmarkEnd w:id="86"/>
    </w:p>
    <w:p w14:paraId="65823861" w14:textId="01EFCE16" w:rsidR="00275388" w:rsidRPr="00757D20" w:rsidRDefault="00275388" w:rsidP="001552F5">
      <w:pPr>
        <w:pBdr>
          <w:top w:val="single" w:sz="4" w:space="1" w:color="auto"/>
          <w:left w:val="single" w:sz="4" w:space="0" w:color="auto"/>
          <w:bottom w:val="single" w:sz="4" w:space="1" w:color="auto"/>
          <w:right w:val="single" w:sz="4" w:space="1" w:color="auto"/>
        </w:pBdr>
        <w:shd w:val="clear" w:color="auto" w:fill="CAEEEC" w:themeFill="accent6" w:themeFillTint="99"/>
      </w:pPr>
      <w:r w:rsidRPr="00757D20">
        <w:t xml:space="preserve">Riverbend College is </w:t>
      </w:r>
      <w:r w:rsidR="00893257" w:rsidRPr="00757D20">
        <w:t>situated in</w:t>
      </w:r>
      <w:r w:rsidRPr="00757D20">
        <w:t xml:space="preserve"> an outer suburb of a large regional city. Our first visit to the school took place in 2014 as part of the </w:t>
      </w:r>
      <w:r w:rsidRPr="00757D20">
        <w:rPr>
          <w:i/>
          <w:iCs/>
        </w:rPr>
        <w:t>Choosing University</w:t>
      </w:r>
      <w:r w:rsidRPr="00757D20">
        <w:t xml:space="preserve"> study. We returned in 2016 to collect </w:t>
      </w:r>
      <w:r w:rsidR="00021172" w:rsidRPr="00757D20">
        <w:t>additional</w:t>
      </w:r>
      <w:r w:rsidRPr="00757D20">
        <w:t xml:space="preserve"> data for the </w:t>
      </w:r>
      <w:r w:rsidRPr="00757D20">
        <w:rPr>
          <w:i/>
          <w:iCs/>
        </w:rPr>
        <w:t>Unlocking Capacity and Empowering Choice</w:t>
      </w:r>
      <w:r w:rsidR="00C67C04" w:rsidRPr="00757D20">
        <w:rPr>
          <w:i/>
          <w:iCs/>
        </w:rPr>
        <w:t>s</w:t>
      </w:r>
      <w:r w:rsidRPr="00757D20">
        <w:t xml:space="preserve"> study and again in 2025 for the </w:t>
      </w:r>
      <w:r w:rsidRPr="00757D20">
        <w:rPr>
          <w:i/>
          <w:iCs/>
        </w:rPr>
        <w:t>Aspirations in Uncertain Times</w:t>
      </w:r>
      <w:r w:rsidRPr="00757D20">
        <w:t xml:space="preserve"> project. With a current ICSEA of 942, Riverbend College is categorised as a low-ICSEA school. As of 2024, 18% of the student population were Aboriginal and/or Torres Strait Islander and 5% identified as coming from a </w:t>
      </w:r>
      <w:r w:rsidR="00AB4488" w:rsidRPr="00757D20">
        <w:t>l</w:t>
      </w:r>
      <w:r w:rsidRPr="00757D20">
        <w:t xml:space="preserve">anguage </w:t>
      </w:r>
      <w:r w:rsidR="00AB4488" w:rsidRPr="00757D20">
        <w:t>b</w:t>
      </w:r>
      <w:r w:rsidRPr="00757D20">
        <w:t xml:space="preserve">ackground </w:t>
      </w:r>
      <w:r w:rsidR="00AB4488" w:rsidRPr="00757D20">
        <w:t>o</w:t>
      </w:r>
      <w:r w:rsidRPr="00757D20">
        <w:t xml:space="preserve">ther </w:t>
      </w:r>
      <w:r w:rsidR="00AB4488" w:rsidRPr="00757D20">
        <w:t>t</w:t>
      </w:r>
      <w:r w:rsidRPr="00757D20">
        <w:t xml:space="preserve">han </w:t>
      </w:r>
      <w:r w:rsidR="00AB4488" w:rsidRPr="00757D20">
        <w:t>E</w:t>
      </w:r>
      <w:r w:rsidRPr="00757D20">
        <w:t xml:space="preserve">nglish. Riverbend </w:t>
      </w:r>
      <w:r w:rsidR="004030ED" w:rsidRPr="00757D20">
        <w:t xml:space="preserve">has </w:t>
      </w:r>
      <w:r w:rsidRPr="00757D20">
        <w:t xml:space="preserve">traditionally identified as a working-class community, shaped by </w:t>
      </w:r>
      <w:r w:rsidR="00A17A6C" w:rsidRPr="00757D20">
        <w:t>working-class</w:t>
      </w:r>
      <w:r w:rsidRPr="00757D20">
        <w:t xml:space="preserve"> economic </w:t>
      </w:r>
      <w:r w:rsidR="00A17A6C" w:rsidRPr="00757D20">
        <w:t>roots</w:t>
      </w:r>
      <w:r w:rsidRPr="00757D20">
        <w:t xml:space="preserve"> and occupational structures</w:t>
      </w:r>
      <w:r w:rsidR="004030ED" w:rsidRPr="00757D20">
        <w:t>. However, it</w:t>
      </w:r>
      <w:r w:rsidR="003B4CE4" w:rsidRPr="00757D20">
        <w:t xml:space="preserve"> </w:t>
      </w:r>
      <w:r w:rsidR="003043E5" w:rsidRPr="00757D20">
        <w:t>has</w:t>
      </w:r>
      <w:r w:rsidR="00E4007E" w:rsidRPr="00757D20">
        <w:t xml:space="preserve"> begun to undergo significant </w:t>
      </w:r>
      <w:r w:rsidR="007230D6" w:rsidRPr="00757D20">
        <w:t xml:space="preserve">social </w:t>
      </w:r>
      <w:r w:rsidR="00E4007E" w:rsidRPr="00757D20">
        <w:t>change over the past decade</w:t>
      </w:r>
      <w:r w:rsidRPr="00757D20">
        <w:t>.</w:t>
      </w:r>
    </w:p>
    <w:p w14:paraId="4FB9DAFF" w14:textId="77777777" w:rsidR="00275388" w:rsidRPr="00757D20" w:rsidRDefault="00275388" w:rsidP="00275388"/>
    <w:p w14:paraId="281348D9" w14:textId="75A2E91B" w:rsidR="00275388" w:rsidRPr="00757D20" w:rsidRDefault="00706D25" w:rsidP="00D618E7">
      <w:pPr>
        <w:pStyle w:val="Heading3"/>
      </w:pPr>
      <w:bookmarkStart w:id="87" w:name="_Toc196396164"/>
      <w:bookmarkStart w:id="88" w:name="_Toc219977235"/>
      <w:r w:rsidRPr="00757D20">
        <w:t xml:space="preserve">From mining to </w:t>
      </w:r>
      <w:bookmarkEnd w:id="87"/>
      <w:r w:rsidR="00315BE0">
        <w:t>“</w:t>
      </w:r>
      <w:r w:rsidR="00275388" w:rsidRPr="00757D20">
        <w:t>McMansion</w:t>
      </w:r>
      <w:r w:rsidRPr="00757D20">
        <w:t>s</w:t>
      </w:r>
      <w:r w:rsidR="00315BE0">
        <w:t>”</w:t>
      </w:r>
      <w:bookmarkEnd w:id="88"/>
    </w:p>
    <w:p w14:paraId="06DE6901" w14:textId="0FE0A7B6" w:rsidR="00275388" w:rsidRPr="00757D20" w:rsidRDefault="00275388" w:rsidP="001552F5">
      <w:r w:rsidRPr="00757D20">
        <w:t xml:space="preserve">Riverbend College </w:t>
      </w:r>
      <w:proofErr w:type="gramStart"/>
      <w:r w:rsidRPr="00757D20">
        <w:t>is located in</w:t>
      </w:r>
      <w:proofErr w:type="gramEnd"/>
      <w:r w:rsidRPr="00757D20">
        <w:t xml:space="preserve"> the suburb of Riverbend on the outskirts of a large regional city in </w:t>
      </w:r>
      <w:r w:rsidR="00624957" w:rsidRPr="00757D20">
        <w:t>NSW</w:t>
      </w:r>
      <w:r w:rsidRPr="00757D20">
        <w:t>. Originally serving a tight-knit, mining-based community, the school’s culture, student demographics, and aspirations have transformed in recent years. A historically working-class community, the town’s identity has long been tied to trade-based careers, with deep-rooted generational ties to mining. When we visited the school in 2014, teachers recognised the beginnings of major changes in the community. Guinevere explains:</w:t>
      </w:r>
    </w:p>
    <w:p w14:paraId="1D6EF95F" w14:textId="32F68770" w:rsidR="00275388" w:rsidRPr="00757D20" w:rsidRDefault="00275388" w:rsidP="00275388">
      <w:pPr>
        <w:pStyle w:val="Quote"/>
      </w:pPr>
      <w:r w:rsidRPr="00757D20">
        <w:t>It’s been a coal mining town, but we’re on the cusp of significant change</w:t>
      </w:r>
      <w:r w:rsidR="00315BE0">
        <w:t xml:space="preserve"> </w:t>
      </w:r>
      <w:r w:rsidRPr="00757D20">
        <w:t>… You’ve got parents who have children, and then you’ve got grandparents that have kids, and the kids have kids here</w:t>
      </w:r>
      <w:r w:rsidR="00315BE0">
        <w:t xml:space="preserve"> </w:t>
      </w:r>
      <w:r w:rsidRPr="00757D20">
        <w:t>… You have people [realising that their] child can’t get a job in the mines because the mine is no longer there</w:t>
      </w:r>
      <w:r w:rsidR="00315BE0">
        <w:t xml:space="preserve"> </w:t>
      </w:r>
      <w:r w:rsidRPr="00757D20">
        <w:t>… the importance they have laid on education hasn’t necessarily been important in the past, but</w:t>
      </w:r>
      <w:r w:rsidR="00315BE0">
        <w:t xml:space="preserve"> </w:t>
      </w:r>
      <w:r w:rsidRPr="00757D20">
        <w:t>… we are on the cusp of change</w:t>
      </w:r>
      <w:r w:rsidR="00315BE0">
        <w:t xml:space="preserve"> </w:t>
      </w:r>
      <w:r w:rsidRPr="00757D20">
        <w:t>…  it is our role to ensure that these students leave us, who are globally competitive because the world, what Riverbend is, is changing and has changed. (Guinevere, teacher, 2014)</w:t>
      </w:r>
    </w:p>
    <w:p w14:paraId="45617938" w14:textId="77777777" w:rsidR="00275388" w:rsidRPr="00757D20" w:rsidRDefault="00275388" w:rsidP="00275388">
      <w:r w:rsidRPr="00757D20">
        <w:t>Guinevere’s reflection captures the beginning of Riverbend’s transformation from a coal mining town to a community grappling with economic and cultural change. She acknowledges the deep-rooted generational ties to mining and how its decline has forced families to reconsider the role of education in their children’s futures. Her emphasis on the school’s role in preparing “globally competitive” students underscores the tension between traditional local identities and emerging global aspirations.</w:t>
      </w:r>
    </w:p>
    <w:p w14:paraId="47742CAA" w14:textId="30499910" w:rsidR="00275388" w:rsidRPr="00757D20" w:rsidRDefault="00275388" w:rsidP="00A22B4F">
      <w:r w:rsidRPr="00757D20">
        <w:t xml:space="preserve">By 2025, the transformation Guinevere described had taken </w:t>
      </w:r>
      <w:r w:rsidR="0066065D" w:rsidRPr="00757D20">
        <w:t>the form of</w:t>
      </w:r>
      <w:r w:rsidRPr="00757D20">
        <w:t xml:space="preserve"> urban</w:t>
      </w:r>
      <w:r w:rsidR="00164637" w:rsidRPr="00757D20">
        <w:t xml:space="preserve"> </w:t>
      </w:r>
      <w:r w:rsidR="0005673A" w:rsidRPr="00757D20">
        <w:t xml:space="preserve">development. </w:t>
      </w:r>
      <w:r w:rsidRPr="00757D20">
        <w:t>Notably, growth in nearby areas had increased the population of Riverbend by more than 70% since the early 2010s, changing the character of the area:</w:t>
      </w:r>
    </w:p>
    <w:p w14:paraId="4EE24EFF" w14:textId="47ED2BC2" w:rsidR="00275388" w:rsidRPr="00757D20" w:rsidRDefault="00275388" w:rsidP="00275388">
      <w:pPr>
        <w:pStyle w:val="Quote"/>
      </w:pPr>
      <w:r w:rsidRPr="00757D20">
        <w:t>With the housing development out here</w:t>
      </w:r>
      <w:r w:rsidR="00315BE0">
        <w:t xml:space="preserve"> </w:t>
      </w:r>
      <w:r w:rsidRPr="00757D20">
        <w:t>... there's a lot of new McMansions</w:t>
      </w:r>
      <w:r w:rsidR="00315BE0">
        <w:t xml:space="preserve"> </w:t>
      </w:r>
      <w:r w:rsidRPr="00757D20">
        <w:t>... it's drawn different people to this area. And whether those people have brought with them different aspirations and expectations on education and life post school, whether that has kind of spilled over into the community</w:t>
      </w:r>
      <w:r w:rsidR="00670F0C" w:rsidRPr="00757D20">
        <w:t>,</w:t>
      </w:r>
      <w:r w:rsidRPr="00757D20">
        <w:t xml:space="preserve"> I don’t know</w:t>
      </w:r>
      <w:r w:rsidR="00670F0C" w:rsidRPr="00757D20">
        <w:t>.</w:t>
      </w:r>
      <w:r w:rsidRPr="00757D20">
        <w:t xml:space="preserve"> </w:t>
      </w:r>
      <w:r w:rsidR="00670F0C" w:rsidRPr="00757D20">
        <w:t>T</w:t>
      </w:r>
      <w:r w:rsidRPr="00757D20">
        <w:t>hat's a possibility as well. (Elisa, teacher, 2025)</w:t>
      </w:r>
    </w:p>
    <w:p w14:paraId="483CB1E1" w14:textId="34ADE6DF" w:rsidR="00275388" w:rsidRPr="00757D20" w:rsidRDefault="00275388" w:rsidP="00207904">
      <w:r w:rsidRPr="00757D20">
        <w:lastRenderedPageBreak/>
        <w:t xml:space="preserve">Elisa’s reflection highlights the impact of housing development on the social and cultural dynamics of Riverbend, suggesting that the influx of residents into </w:t>
      </w:r>
      <w:r w:rsidR="00185DF3" w:rsidRPr="00757D20">
        <w:t>“</w:t>
      </w:r>
      <w:r w:rsidRPr="00757D20">
        <w:t>McMansions</w:t>
      </w:r>
      <w:r w:rsidR="00185DF3" w:rsidRPr="00757D20">
        <w:t>”</w:t>
      </w:r>
      <w:r w:rsidRPr="00757D20">
        <w:t xml:space="preserve"> may be shifting community values and educational aspirations. </w:t>
      </w:r>
      <w:r w:rsidR="00D124D8" w:rsidRPr="00757D20">
        <w:t>However, a</w:t>
      </w:r>
      <w:r w:rsidRPr="00757D20">
        <w:t xml:space="preserve"> widening gap between students from disadvantaged backgrounds and those from more affluent families </w:t>
      </w:r>
      <w:r w:rsidR="00B50807" w:rsidRPr="00757D20">
        <w:t>was</w:t>
      </w:r>
      <w:r w:rsidRPr="00757D20">
        <w:t xml:space="preserve"> </w:t>
      </w:r>
      <w:r w:rsidR="001649B5" w:rsidRPr="00757D20">
        <w:t xml:space="preserve">also </w:t>
      </w:r>
      <w:r w:rsidRPr="00757D20">
        <w:t xml:space="preserve">evident in Riverbend by 2025. </w:t>
      </w:r>
      <w:r w:rsidR="00652727" w:rsidRPr="00757D20">
        <w:t>S</w:t>
      </w:r>
      <w:r w:rsidRPr="00757D20">
        <w:t>ocial and economic shifts have contributed to growing inequality within the school population:</w:t>
      </w:r>
    </w:p>
    <w:p w14:paraId="5B80CFF7" w14:textId="575B20BE" w:rsidR="00275388" w:rsidRPr="00757D20" w:rsidRDefault="00275388" w:rsidP="00275388">
      <w:pPr>
        <w:pStyle w:val="Quote"/>
      </w:pPr>
      <w:r w:rsidRPr="00757D20">
        <w:t>We’ve got a big gap</w:t>
      </w:r>
      <w:r w:rsidR="00315BE0">
        <w:t xml:space="preserve"> </w:t>
      </w:r>
      <w:r w:rsidR="001649B5" w:rsidRPr="00757D20">
        <w:t>…</w:t>
      </w:r>
      <w:r w:rsidRPr="00757D20">
        <w:t xml:space="preserve"> </w:t>
      </w:r>
      <w:r w:rsidR="0003758D" w:rsidRPr="00757D20">
        <w:t xml:space="preserve">[from] </w:t>
      </w:r>
      <w:r w:rsidRPr="00757D20">
        <w:t xml:space="preserve">parents </w:t>
      </w:r>
      <w:r w:rsidR="0003758D" w:rsidRPr="00757D20">
        <w:t xml:space="preserve">[who] </w:t>
      </w:r>
      <w:r w:rsidRPr="00757D20">
        <w:t xml:space="preserve">don’t work, </w:t>
      </w:r>
      <w:r w:rsidR="0003758D" w:rsidRPr="00757D20">
        <w:t xml:space="preserve">[are] </w:t>
      </w:r>
      <w:r w:rsidRPr="00757D20">
        <w:t xml:space="preserve">renting, or on verge of homelessness to that dad </w:t>
      </w:r>
      <w:r w:rsidR="0003758D" w:rsidRPr="00757D20">
        <w:t xml:space="preserve">[who] </w:t>
      </w:r>
      <w:r w:rsidRPr="00757D20">
        <w:t>works in the mines, or he’s a FIFO</w:t>
      </w:r>
      <w:r w:rsidRPr="00757D20">
        <w:rPr>
          <w:rStyle w:val="FootnoteReference"/>
        </w:rPr>
        <w:footnoteReference w:id="13"/>
      </w:r>
      <w:r w:rsidRPr="00757D20">
        <w:t xml:space="preserve"> worker. (Terina, teacher, 2025) </w:t>
      </w:r>
    </w:p>
    <w:p w14:paraId="77B71EA7" w14:textId="192994F3" w:rsidR="00275388" w:rsidRPr="00757D20" w:rsidRDefault="00275388" w:rsidP="00275388">
      <w:r w:rsidRPr="00757D20">
        <w:t>Terina’s comments highlight stark contrasts in living conditions and economic security. However, financial advantage does not always translate to emotional or practical support. Alina</w:t>
      </w:r>
      <w:r w:rsidR="00075F00" w:rsidRPr="00757D20">
        <w:t>, another teacher,</w:t>
      </w:r>
      <w:r w:rsidRPr="00757D20">
        <w:t xml:space="preserve"> points out that even students from well-off </w:t>
      </w:r>
      <w:proofErr w:type="gramStart"/>
      <w:r w:rsidRPr="00757D20">
        <w:t>households</w:t>
      </w:r>
      <w:proofErr w:type="gramEnd"/>
      <w:r w:rsidRPr="00757D20">
        <w:t xml:space="preserve"> face challenges:</w:t>
      </w:r>
    </w:p>
    <w:p w14:paraId="471FEA66" w14:textId="77777777" w:rsidR="00275388" w:rsidRPr="00757D20" w:rsidRDefault="00275388" w:rsidP="00275388">
      <w:pPr>
        <w:pStyle w:val="Quote"/>
      </w:pPr>
      <w:r w:rsidRPr="00757D20">
        <w:t xml:space="preserve">They come to school and they’re totally well off, but they might not bring lunch. </w:t>
      </w:r>
      <w:proofErr w:type="spellStart"/>
      <w:r w:rsidRPr="00757D20">
        <w:t>‘Cause</w:t>
      </w:r>
      <w:proofErr w:type="spellEnd"/>
      <w:r w:rsidRPr="00757D20">
        <w:t xml:space="preserve"> mum’s left, you know, at 6.30 or six o’clock, </w:t>
      </w:r>
      <w:proofErr w:type="gramStart"/>
      <w:r w:rsidRPr="00757D20">
        <w:t>dad’s</w:t>
      </w:r>
      <w:proofErr w:type="gramEnd"/>
      <w:r w:rsidRPr="00757D20">
        <w:t xml:space="preserve"> on fly-in fly-out. (Alina, teacher, 2025)</w:t>
      </w:r>
    </w:p>
    <w:p w14:paraId="2E701D1A" w14:textId="6B43FAB4" w:rsidR="00275388" w:rsidRPr="00757D20" w:rsidRDefault="00275388" w:rsidP="00275388">
      <w:r w:rsidRPr="00757D20">
        <w:t>Comments from Terina and Alina suggest that financial stability does not always guarantee consistent care or healthy family routines, both of which are crucial for student wellbeing. While FIFO work arrangements may provide economic advantages, they also create distinct social and emotional challenges for families—challenges that can be just as impactful as those experienced by families facing financial hardship.</w:t>
      </w:r>
    </w:p>
    <w:p w14:paraId="1E194451" w14:textId="6E7DD388" w:rsidR="00275388" w:rsidRPr="00757D20" w:rsidRDefault="00275388" w:rsidP="00207904">
      <w:r w:rsidRPr="00757D20">
        <w:t xml:space="preserve">Financial pressures and limited parental availability </w:t>
      </w:r>
      <w:r w:rsidR="00D85FA9" w:rsidRPr="00757D20">
        <w:t xml:space="preserve">thus </w:t>
      </w:r>
      <w:r w:rsidRPr="00757D20">
        <w:t>shape family dynamics in Riverbend, where time and money can be scarce resources</w:t>
      </w:r>
      <w:r w:rsidR="00004809" w:rsidRPr="00757D20">
        <w:t xml:space="preserve">. </w:t>
      </w:r>
      <w:r w:rsidRPr="00757D20">
        <w:t xml:space="preserve">This </w:t>
      </w:r>
      <w:r w:rsidR="00004809" w:rsidRPr="00757D20">
        <w:t xml:space="preserve">situation can sometimes </w:t>
      </w:r>
      <w:r w:rsidRPr="00757D20">
        <w:t xml:space="preserve">leave students without supervision or access to extracurricular activities: </w:t>
      </w:r>
    </w:p>
    <w:p w14:paraId="4A5E910C" w14:textId="22523DDD" w:rsidR="00275388" w:rsidRPr="00757D20" w:rsidRDefault="00275388" w:rsidP="00275388">
      <w:pPr>
        <w:pStyle w:val="Quote"/>
      </w:pPr>
      <w:r w:rsidRPr="00757D20">
        <w:t xml:space="preserve">They don’t often actually </w:t>
      </w:r>
      <w:proofErr w:type="gramStart"/>
      <w:r w:rsidRPr="00757D20">
        <w:t>have the opportunity to</w:t>
      </w:r>
      <w:proofErr w:type="gramEnd"/>
      <w:r w:rsidRPr="00757D20">
        <w:t xml:space="preserve"> try and get on buses or trains anyway, because they just don’t have the funds to go and do stuff</w:t>
      </w:r>
      <w:r w:rsidR="000B06DB">
        <w:t xml:space="preserve"> </w:t>
      </w:r>
      <w:r w:rsidRPr="00757D20">
        <w:t>… They’re kind of isolated a little bit. (Alina, teacher, 2025)</w:t>
      </w:r>
    </w:p>
    <w:p w14:paraId="7E831247" w14:textId="40269724" w:rsidR="00275388" w:rsidRPr="00757D20" w:rsidRDefault="00275388" w:rsidP="00275388">
      <w:r w:rsidRPr="00757D20">
        <w:t xml:space="preserve">Alina’s comment underscores the compounding effect of economic hardship on social participation. The inability to afford transportation becomes a barrier not just to recreation, but potentially to cultural experiences, educational excursions, </w:t>
      </w:r>
      <w:r w:rsidR="004D32A5" w:rsidRPr="00757D20">
        <w:t>and</w:t>
      </w:r>
      <w:r w:rsidRPr="00757D20">
        <w:t xml:space="preserve"> broader community engagement.</w:t>
      </w:r>
    </w:p>
    <w:p w14:paraId="794BA2B1" w14:textId="77777777" w:rsidR="00275388" w:rsidRPr="00757D20" w:rsidRDefault="00275388" w:rsidP="00D618E7">
      <w:pPr>
        <w:pStyle w:val="Heading3"/>
      </w:pPr>
      <w:bookmarkStart w:id="89" w:name="_Toc196396165"/>
      <w:bookmarkStart w:id="90" w:name="_Toc219977236"/>
      <w:r w:rsidRPr="00757D20">
        <w:t>Valuing vocational futures</w:t>
      </w:r>
      <w:bookmarkEnd w:id="89"/>
      <w:bookmarkEnd w:id="90"/>
    </w:p>
    <w:p w14:paraId="65AD5EED" w14:textId="100FA92A" w:rsidR="00275388" w:rsidRPr="00757D20" w:rsidRDefault="00275388" w:rsidP="00275388">
      <w:r w:rsidRPr="00757D20">
        <w:t xml:space="preserve">Despite changes to the Riverbend community wrought by an increasing population and a change in community demographics, aspirations for careers </w:t>
      </w:r>
      <w:r w:rsidR="004D32A5" w:rsidRPr="00757D20">
        <w:t xml:space="preserve">have </w:t>
      </w:r>
      <w:r w:rsidRPr="00757D20">
        <w:t xml:space="preserve">remained </w:t>
      </w:r>
      <w:proofErr w:type="gramStart"/>
      <w:r w:rsidRPr="00757D20">
        <w:t>fairly steady</w:t>
      </w:r>
      <w:proofErr w:type="gramEnd"/>
      <w:r w:rsidRPr="00757D20">
        <w:t xml:space="preserve"> across </w:t>
      </w:r>
      <w:r w:rsidR="004D32A5" w:rsidRPr="00757D20">
        <w:t>all our visits to the school</w:t>
      </w:r>
      <w:r w:rsidRPr="00757D20">
        <w:t>. Students articulated interest in a range of careers, from hair and beauty</w:t>
      </w:r>
      <w:r w:rsidR="00422FFE" w:rsidRPr="00757D20">
        <w:t>,</w:t>
      </w:r>
      <w:r w:rsidR="0053729D" w:rsidRPr="00757D20">
        <w:t xml:space="preserve"> </w:t>
      </w:r>
      <w:r w:rsidR="009B2D67" w:rsidRPr="00757D20">
        <w:t>and</w:t>
      </w:r>
      <w:r w:rsidR="0005673A" w:rsidRPr="00757D20">
        <w:t xml:space="preserve"> </w:t>
      </w:r>
      <w:r w:rsidRPr="00757D20">
        <w:t>fitter machinists to teaching, psychology</w:t>
      </w:r>
      <w:r w:rsidR="003F0ED1" w:rsidRPr="00757D20">
        <w:t>,</w:t>
      </w:r>
      <w:r w:rsidRPr="00757D20">
        <w:t xml:space="preserve"> and marine biology. </w:t>
      </w:r>
      <w:r w:rsidR="004D32A5" w:rsidRPr="00757D20">
        <w:t xml:space="preserve">However, </w:t>
      </w:r>
      <w:r w:rsidR="004D32A5" w:rsidRPr="00757D20">
        <w:lastRenderedPageBreak/>
        <w:t>m</w:t>
      </w:r>
      <w:r w:rsidRPr="00757D20">
        <w:t>any students at Riverbend College aspire to careers tied to the mining industry</w:t>
      </w:r>
      <w:r w:rsidR="00E03FD3" w:rsidRPr="00757D20">
        <w:t>, likely linked to the working-class roots of the community:</w:t>
      </w:r>
    </w:p>
    <w:p w14:paraId="471FA967" w14:textId="75DBB268" w:rsidR="00275388" w:rsidRPr="00757D20" w:rsidRDefault="00275388" w:rsidP="00275388">
      <w:pPr>
        <w:pStyle w:val="Quote"/>
      </w:pPr>
      <w:r w:rsidRPr="00757D20">
        <w:t>Because it’s on the outskirts of [a major regional city] and closer to the valley</w:t>
      </w:r>
      <w:r w:rsidR="000B06DB">
        <w:t xml:space="preserve"> </w:t>
      </w:r>
      <w:r w:rsidRPr="00757D20">
        <w:t>... there is a lot of kids that gravitate</w:t>
      </w:r>
      <w:r w:rsidR="000B06DB">
        <w:t xml:space="preserve"> </w:t>
      </w:r>
      <w:r w:rsidRPr="00757D20">
        <w:t>... towards the valley jobs, which would be mostly mining or support mining jobs. (Adriana, parent, 2025)</w:t>
      </w:r>
    </w:p>
    <w:p w14:paraId="24B29F33" w14:textId="0AB264C6" w:rsidR="00275388" w:rsidRPr="00757D20" w:rsidRDefault="00275388" w:rsidP="00275388">
      <w:r w:rsidRPr="00757D20">
        <w:t>Adriana’s comment highlights the lingering influence of geographical and economic positioning on student aspirations in the community. By noting that students “gravitate</w:t>
      </w:r>
      <w:r w:rsidR="000B06DB">
        <w:t xml:space="preserve"> </w:t>
      </w:r>
      <w:r w:rsidRPr="00757D20">
        <w:t xml:space="preserve">... towards the valley jobs,” particularly in mining or mining-adjacent industries, she underscores how proximity to traditional employment corridors continues to shape career expectations, even as the broader community transitions away from its coal-based heritage. </w:t>
      </w:r>
    </w:p>
    <w:p w14:paraId="739225A4" w14:textId="63CA572D" w:rsidR="00275388" w:rsidRPr="00757D20" w:rsidRDefault="00275388" w:rsidP="00275388">
      <w:r w:rsidRPr="00757D20">
        <w:t>Across the time span, many students a</w:t>
      </w:r>
      <w:r w:rsidR="00AD7517" w:rsidRPr="00757D20">
        <w:t>lso a</w:t>
      </w:r>
      <w:r w:rsidRPr="00757D20">
        <w:t xml:space="preserve">rticulated aspirations aligned with trades and vocational training, particularly through TAFE and apprenticeships. In 2014, Perdita (student, Year 11) voiced frustration that while students were surrounded by trade-preferred career norms, </w:t>
      </w:r>
      <w:r w:rsidR="00E81E01" w:rsidRPr="00757D20">
        <w:t>the s</w:t>
      </w:r>
      <w:r w:rsidRPr="00757D20">
        <w:t>chool continued to push academic pathways:</w:t>
      </w:r>
    </w:p>
    <w:p w14:paraId="48BAF4AC" w14:textId="081CFAAE" w:rsidR="00275388" w:rsidRPr="00757D20" w:rsidRDefault="00275388" w:rsidP="00275388">
      <w:pPr>
        <w:pStyle w:val="Quote"/>
      </w:pPr>
      <w:r w:rsidRPr="00757D20">
        <w:t xml:space="preserve">There’s a lot of people that love trades around here, it’s a </w:t>
      </w:r>
      <w:proofErr w:type="gramStart"/>
      <w:r w:rsidRPr="00757D20">
        <w:t>much preferred</w:t>
      </w:r>
      <w:proofErr w:type="gramEnd"/>
      <w:r w:rsidRPr="00757D20">
        <w:t xml:space="preserve"> thing. [The school] still advertises a lot more academic sort of pathways, when there’s a lot of kids that are really interested more in getting apprenticeships and stuff. … they’re downgrading it by not advertising it as much and not showing the need for it. (Perdita, Year 11</w:t>
      </w:r>
      <w:r w:rsidR="000B06DB">
        <w:t xml:space="preserve"> student</w:t>
      </w:r>
      <w:r w:rsidRPr="00757D20">
        <w:t>, 2014)</w:t>
      </w:r>
    </w:p>
    <w:p w14:paraId="47493A22" w14:textId="4D809036" w:rsidR="00275388" w:rsidRPr="00757D20" w:rsidRDefault="00275388" w:rsidP="00275388">
      <w:r w:rsidRPr="00757D20">
        <w:t xml:space="preserve">This critique suggests not just neglect but a hierarchisation of educational options—academic routes are implicitly positioned as more prestigious or valid. </w:t>
      </w:r>
      <w:r w:rsidR="0057329A" w:rsidRPr="00757D20">
        <w:t>By</w:t>
      </w:r>
      <w:r w:rsidR="00990C7B" w:rsidRPr="00757D20">
        <w:t xml:space="preserve"> </w:t>
      </w:r>
      <w:r w:rsidRPr="00757D20">
        <w:t xml:space="preserve">2025, </w:t>
      </w:r>
      <w:r w:rsidR="0057329A" w:rsidRPr="00757D20">
        <w:t xml:space="preserve">however, </w:t>
      </w:r>
      <w:r w:rsidRPr="00757D20">
        <w:t xml:space="preserve">TAFE </w:t>
      </w:r>
      <w:r w:rsidR="0057329A" w:rsidRPr="00757D20">
        <w:t>was</w:t>
      </w:r>
      <w:r w:rsidRPr="00757D20">
        <w:t xml:space="preserve"> regarded as a faster and more practical route</w:t>
      </w:r>
      <w:r w:rsidR="003C12CC" w:rsidRPr="00757D20">
        <w:t xml:space="preserve"> to work</w:t>
      </w:r>
      <w:r w:rsidR="000563D6" w:rsidRPr="00757D20">
        <w:t xml:space="preserve"> by young people</w:t>
      </w:r>
      <w:r w:rsidRPr="00757D20">
        <w:t>, often with more clarity than university:</w:t>
      </w:r>
    </w:p>
    <w:p w14:paraId="5F480769" w14:textId="5714BCEB" w:rsidR="002A7E06" w:rsidRPr="00757D20" w:rsidRDefault="00E61E05" w:rsidP="00275388">
      <w:pPr>
        <w:pStyle w:val="Quote"/>
        <w:spacing w:before="160"/>
      </w:pPr>
      <w:r w:rsidRPr="00757D20">
        <w:t xml:space="preserve">TAFE’s kind of like more practical I feel </w:t>
      </w:r>
      <w:r w:rsidR="00275388" w:rsidRPr="00757D20">
        <w:t>…</w:t>
      </w:r>
      <w:r w:rsidR="000B06DB">
        <w:t xml:space="preserve"> </w:t>
      </w:r>
      <w:r w:rsidRPr="00757D20">
        <w:t xml:space="preserve">I feel that TAFE </w:t>
      </w:r>
      <w:proofErr w:type="gramStart"/>
      <w:r w:rsidRPr="00757D20">
        <w:t>you</w:t>
      </w:r>
      <w:proofErr w:type="gramEnd"/>
      <w:r w:rsidRPr="00757D20">
        <w:t xml:space="preserve"> kind of just go there and you'll finish it quicker than </w:t>
      </w:r>
      <w:proofErr w:type="spellStart"/>
      <w:r w:rsidRPr="00757D20">
        <w:t>uni</w:t>
      </w:r>
      <w:proofErr w:type="spellEnd"/>
      <w:r w:rsidRPr="00757D20">
        <w:t xml:space="preserve"> at times because you can leave in Year 10 and get it, while </w:t>
      </w:r>
      <w:proofErr w:type="spellStart"/>
      <w:r w:rsidRPr="00757D20">
        <w:t>uni</w:t>
      </w:r>
      <w:proofErr w:type="spellEnd"/>
      <w:r w:rsidRPr="00757D20">
        <w:t xml:space="preserve"> usually </w:t>
      </w:r>
      <w:proofErr w:type="gramStart"/>
      <w:r w:rsidRPr="00757D20">
        <w:t>have to</w:t>
      </w:r>
      <w:proofErr w:type="gramEnd"/>
      <w:r w:rsidRPr="00757D20">
        <w:t xml:space="preserve"> go to Year 12</w:t>
      </w:r>
      <w:r w:rsidR="00A162AB" w:rsidRPr="00757D20">
        <w:t>.</w:t>
      </w:r>
      <w:r w:rsidRPr="00757D20">
        <w:t xml:space="preserve"> (Layla, </w:t>
      </w:r>
      <w:r w:rsidR="00275388" w:rsidRPr="00757D20">
        <w:t xml:space="preserve">Year </w:t>
      </w:r>
      <w:r w:rsidR="00AA601D" w:rsidRPr="00757D20">
        <w:t>9</w:t>
      </w:r>
      <w:r w:rsidR="00275388" w:rsidRPr="00757D20">
        <w:t xml:space="preserve"> student, </w:t>
      </w:r>
      <w:r w:rsidRPr="00757D20">
        <w:t>2025)</w:t>
      </w:r>
    </w:p>
    <w:p w14:paraId="695137E9" w14:textId="680191DB" w:rsidR="00275388" w:rsidRPr="00757D20" w:rsidRDefault="00275388" w:rsidP="00275388">
      <w:pPr>
        <w:pStyle w:val="Quote"/>
      </w:pPr>
      <w:r w:rsidRPr="00757D20">
        <w:t>None of my family</w:t>
      </w:r>
      <w:r w:rsidR="000B06DB">
        <w:t xml:space="preserve"> </w:t>
      </w:r>
      <w:r w:rsidRPr="00757D20">
        <w:t xml:space="preserve">... went to </w:t>
      </w:r>
      <w:proofErr w:type="spellStart"/>
      <w:r w:rsidRPr="00757D20">
        <w:t>uni</w:t>
      </w:r>
      <w:proofErr w:type="spellEnd"/>
      <w:r w:rsidR="000B06DB">
        <w:t xml:space="preserve"> </w:t>
      </w:r>
      <w:r w:rsidRPr="00757D20">
        <w:t>… I don’t know how you would go about even applying</w:t>
      </w:r>
      <w:r w:rsidR="00A162AB" w:rsidRPr="00757D20">
        <w:t>.</w:t>
      </w:r>
      <w:r w:rsidRPr="00757D20">
        <w:t xml:space="preserve"> (Emma, Year </w:t>
      </w:r>
      <w:r w:rsidR="00FB7D17" w:rsidRPr="00757D20">
        <w:t xml:space="preserve">10 </w:t>
      </w:r>
      <w:r w:rsidRPr="00757D20">
        <w:t>student, 2025)</w:t>
      </w:r>
    </w:p>
    <w:p w14:paraId="6BDACDA5" w14:textId="0500EE91" w:rsidR="00275388" w:rsidRPr="00757D20" w:rsidRDefault="00275388" w:rsidP="00275388">
      <w:r w:rsidRPr="00757D20">
        <w:t>These quotes highlight a longstanding divide between institutional messaging and the lived realities of students in trade-oriented communities</w:t>
      </w:r>
      <w:r w:rsidR="00AD03A0" w:rsidRPr="00757D20">
        <w:t xml:space="preserve"> like Riverbend.</w:t>
      </w:r>
      <w:r w:rsidRPr="00757D20">
        <w:t xml:space="preserve"> They underscore a critical and enduring divide </w:t>
      </w:r>
      <w:r w:rsidR="00B27364" w:rsidRPr="00757D20">
        <w:t>between</w:t>
      </w:r>
      <w:r w:rsidRPr="00757D20">
        <w:t xml:space="preserve"> what students in trade-heavy regions want and need </w:t>
      </w:r>
      <w:r w:rsidR="00946252" w:rsidRPr="00757D20">
        <w:t>versus</w:t>
      </w:r>
      <w:r w:rsidRPr="00757D20">
        <w:t xml:space="preserve"> what </w:t>
      </w:r>
      <w:r w:rsidR="00946252" w:rsidRPr="00757D20">
        <w:t>is often valued in formal schooling</w:t>
      </w:r>
      <w:r w:rsidRPr="00757D20">
        <w:t xml:space="preserve">. </w:t>
      </w:r>
      <w:bookmarkStart w:id="91" w:name="_Hlk196394035"/>
    </w:p>
    <w:bookmarkEnd w:id="91"/>
    <w:p w14:paraId="44101147" w14:textId="72A549E1" w:rsidR="00275388" w:rsidRPr="00757D20" w:rsidRDefault="00275388" w:rsidP="00275388">
      <w:r w:rsidRPr="00757D20">
        <w:t>Indeed, trade pathways are highly valued in the broader Riverbend community. Jobs in the mining industry</w:t>
      </w:r>
      <w:proofErr w:type="gramStart"/>
      <w:r w:rsidRPr="00757D20">
        <w:t>, in particular, are</w:t>
      </w:r>
      <w:proofErr w:type="gramEnd"/>
      <w:r w:rsidRPr="00757D20">
        <w:t xml:space="preserve"> seen as aspirational not only for the stability and security provided, but because of a range of tangible lifestyle outcomes:</w:t>
      </w:r>
    </w:p>
    <w:p w14:paraId="37739EA5" w14:textId="257E5876" w:rsidR="00275388" w:rsidRPr="00757D20" w:rsidRDefault="00275388" w:rsidP="00275388">
      <w:pPr>
        <w:pStyle w:val="Quote"/>
      </w:pPr>
      <w:r w:rsidRPr="00757D20">
        <w:t xml:space="preserve">They all earn ridiculous amounts of money. And </w:t>
      </w:r>
      <w:proofErr w:type="gramStart"/>
      <w:r w:rsidRPr="00757D20">
        <w:t>so</w:t>
      </w:r>
      <w:proofErr w:type="gramEnd"/>
      <w:r w:rsidRPr="00757D20">
        <w:t xml:space="preserve"> my kids have seen the sort of lifestyles that they have. The amount of toys that they have, like motorbikes and going out and you know, they'll go out and I'll drop $600 for us all to go out for dinner and they don't bat an eye at it</w:t>
      </w:r>
      <w:r w:rsidR="000B06DB">
        <w:t xml:space="preserve"> </w:t>
      </w:r>
      <w:r w:rsidRPr="00757D20">
        <w:t xml:space="preserve">… and I'm like, “Well, we can have this too, </w:t>
      </w:r>
      <w:r w:rsidRPr="00757D20">
        <w:lastRenderedPageBreak/>
        <w:t>but for you to earn that sort of money, you've got to go and learn. You've got to go and get your certificates. You've got to go to school. You've got to go to TAFE. You've got to go and get the qualifications to go and do it.” (Raina, parent, 2025)</w:t>
      </w:r>
    </w:p>
    <w:p w14:paraId="517AF190" w14:textId="1FBCBBCC" w:rsidR="00275388" w:rsidRPr="00757D20" w:rsidRDefault="00275388" w:rsidP="00275388">
      <w:r w:rsidRPr="00757D20">
        <w:t>Raina’s quote exemplifies how, in Riverbend, TAFE and vocational trades are not only valid but idealised, especially when tied to lucrative industries like mining. Her message reflects a pragmatic, lifestyle-driven view of education and work, where vocational pathways are aspirational, and academic prestige is secondary to financial independence and social mobility.</w:t>
      </w:r>
      <w:r w:rsidR="00C1007A" w:rsidRPr="00757D20">
        <w:t xml:space="preserve"> </w:t>
      </w:r>
      <w:r w:rsidRPr="00757D20">
        <w:t>At the same time, there are signs of changing attitudes at the school. Adriana, a parent, notes a shift in how non-university pathways are now being supported:</w:t>
      </w:r>
    </w:p>
    <w:p w14:paraId="74920052" w14:textId="3D6764F9" w:rsidR="00275388" w:rsidRPr="00757D20" w:rsidRDefault="00275388" w:rsidP="00275388">
      <w:pPr>
        <w:pStyle w:val="Quote"/>
      </w:pPr>
      <w:r w:rsidRPr="00757D20">
        <w:t xml:space="preserve">They have steered away from it [a sole focus on university pathways] and they are now offering more opportunities for the children that don’t </w:t>
      </w:r>
      <w:proofErr w:type="gramStart"/>
      <w:r w:rsidRPr="00757D20">
        <w:t>really necessarily</w:t>
      </w:r>
      <w:proofErr w:type="gramEnd"/>
      <w:r w:rsidRPr="00757D20">
        <w:t xml:space="preserve"> want to pursue university. (Adriana, parent, 2025)</w:t>
      </w:r>
    </w:p>
    <w:p w14:paraId="5F8F80E3" w14:textId="5DBFB7AA" w:rsidR="00275388" w:rsidRPr="00757D20" w:rsidRDefault="00D54FB2" w:rsidP="00275388">
      <w:r w:rsidRPr="00757D20">
        <w:t>U</w:t>
      </w:r>
      <w:r w:rsidR="00745D1D" w:rsidRPr="00757D20">
        <w:t xml:space="preserve">niversity </w:t>
      </w:r>
      <w:r w:rsidR="00A721ED" w:rsidRPr="00757D20">
        <w:t xml:space="preserve">is </w:t>
      </w:r>
      <w:r w:rsidR="00745D1D" w:rsidRPr="00757D20">
        <w:t xml:space="preserve">no longer </w:t>
      </w:r>
      <w:r w:rsidR="00A721ED" w:rsidRPr="00757D20">
        <w:t xml:space="preserve">seen as </w:t>
      </w:r>
      <w:r w:rsidR="00745D1D" w:rsidRPr="00757D20">
        <w:t>the sole high</w:t>
      </w:r>
      <w:r w:rsidR="00745D1D" w:rsidRPr="00757D20">
        <w:noBreakHyphen/>
        <w:t xml:space="preserve">status route, </w:t>
      </w:r>
      <w:r w:rsidR="00A721ED" w:rsidRPr="00757D20">
        <w:t xml:space="preserve">and </w:t>
      </w:r>
      <w:r w:rsidR="00745D1D" w:rsidRPr="00757D20">
        <w:t xml:space="preserve">vocational </w:t>
      </w:r>
      <w:r w:rsidR="00A721ED" w:rsidRPr="00757D20">
        <w:t xml:space="preserve">education or TAFE pathways are </w:t>
      </w:r>
      <w:r w:rsidR="00745D1D" w:rsidRPr="00757D20">
        <w:t>no longer the fallback. The shift reframes pathways as intersecting rather than mutually exclusive.</w:t>
      </w:r>
      <w:r w:rsidR="00A721ED" w:rsidRPr="00757D20">
        <w:t xml:space="preserve"> </w:t>
      </w:r>
    </w:p>
    <w:p w14:paraId="1F508053" w14:textId="406D785B" w:rsidR="00275388" w:rsidRPr="00757D20" w:rsidRDefault="00B13457" w:rsidP="00D618E7">
      <w:pPr>
        <w:pStyle w:val="Heading3"/>
      </w:pPr>
      <w:bookmarkStart w:id="92" w:name="_Toc196396166"/>
      <w:bookmarkStart w:id="93" w:name="_Toc219977237"/>
      <w:r w:rsidRPr="00757D20">
        <w:t>Navigating conflicting pressures</w:t>
      </w:r>
      <w:bookmarkEnd w:id="92"/>
      <w:bookmarkEnd w:id="93"/>
    </w:p>
    <w:p w14:paraId="6E57AD4B" w14:textId="29549F82" w:rsidR="00275388" w:rsidRPr="00757D20" w:rsidRDefault="00275388" w:rsidP="00275388">
      <w:r w:rsidRPr="00757D20">
        <w:t xml:space="preserve">Despite significant changes to the community, students at Riverbend College face enduring and persistent barriers to </w:t>
      </w:r>
      <w:r w:rsidR="000F457F" w:rsidRPr="00757D20">
        <w:t xml:space="preserve">navigating their </w:t>
      </w:r>
      <w:r w:rsidRPr="00757D20">
        <w:t>post-school futures. In 2014, educators like Drake noted how low levels of parental education and a lack of familiarity with tertiary pathways created significant barriers for students:</w:t>
      </w:r>
    </w:p>
    <w:p w14:paraId="349FF87A" w14:textId="7A551764" w:rsidR="00275388" w:rsidRPr="00757D20" w:rsidRDefault="00275388" w:rsidP="00275388">
      <w:pPr>
        <w:pStyle w:val="Quote"/>
      </w:pPr>
      <w:r w:rsidRPr="00757D20">
        <w:t xml:space="preserve">The parents haven’t been </w:t>
      </w:r>
      <w:r w:rsidR="00F26B25" w:rsidRPr="00757D20">
        <w:t>well-educated,</w:t>
      </w:r>
      <w:r w:rsidRPr="00757D20">
        <w:t xml:space="preserve"> so the students don’t expect to do it</w:t>
      </w:r>
      <w:r w:rsidR="000B06DB">
        <w:t xml:space="preserve"> </w:t>
      </w:r>
      <w:r w:rsidRPr="00757D20">
        <w:t>…</w:t>
      </w:r>
      <w:r w:rsidRPr="00757D20">
        <w:rPr>
          <w:iCs w:val="0"/>
        </w:rPr>
        <w:t xml:space="preserve"> </w:t>
      </w:r>
      <w:r w:rsidRPr="00757D20">
        <w:t>near enough is good enough and mediocrity is acceptable for the parents. (Drake, teacher, 2014)</w:t>
      </w:r>
    </w:p>
    <w:p w14:paraId="780C3F40" w14:textId="26EB05A6" w:rsidR="00275388" w:rsidRPr="00757D20" w:rsidRDefault="00275388" w:rsidP="00275388">
      <w:r w:rsidRPr="00757D20">
        <w:t xml:space="preserve">This statement highlights how values, dispositions, and beliefs shaped by social conditions can act as a constraint on student aspirations. The phrase “near enough is good enough” encapsulates a resigned, pragmatic mindset, suggesting that striving for excellence may feel unnecessary or even out of reach in families where higher education has not been modelled. This creates a self-perpetuating cycle: without role models or lived experience of academic success, students may not perceive university as a realistic or relevant goal. </w:t>
      </w:r>
      <w:r w:rsidR="00D36353" w:rsidRPr="00757D20">
        <w:t xml:space="preserve">Teacher </w:t>
      </w:r>
      <w:r w:rsidRPr="00757D20">
        <w:t xml:space="preserve">Warren builds on this </w:t>
      </w:r>
      <w:r w:rsidR="00134FDA" w:rsidRPr="00757D20">
        <w:t xml:space="preserve">point </w:t>
      </w:r>
      <w:r w:rsidRPr="00757D20">
        <w:t xml:space="preserve">by identifying a lack of family support and understanding as the </w:t>
      </w:r>
      <w:r w:rsidRPr="00757D20">
        <w:rPr>
          <w:i/>
          <w:iCs/>
        </w:rPr>
        <w:t>biggest challenge</w:t>
      </w:r>
      <w:r w:rsidRPr="00757D20">
        <w:t xml:space="preserve"> to students’ post-school success:</w:t>
      </w:r>
    </w:p>
    <w:p w14:paraId="08E37FC7" w14:textId="77777777" w:rsidR="00275388" w:rsidRPr="00757D20" w:rsidRDefault="00275388" w:rsidP="00275388">
      <w:pPr>
        <w:pStyle w:val="Quote"/>
      </w:pPr>
      <w:r w:rsidRPr="00757D20">
        <w:t>There is a real lack of understanding in terms of what is expected to get a good ATAR mark to get into university. (Warren, teacher, 2014)</w:t>
      </w:r>
    </w:p>
    <w:p w14:paraId="1AA99CC8" w14:textId="10BFD6CF" w:rsidR="00275388" w:rsidRPr="00757D20" w:rsidRDefault="00275388" w:rsidP="00275388">
      <w:r w:rsidRPr="00757D20">
        <w:t>This lack of awareness creates a barrier that goes beyond motivation—it’s also about access to accurate information. When families don’t understand how the system works, students are often left without the support they need to navigate it. This makes the process of aiming for university particularly difficul</w:t>
      </w:r>
      <w:r w:rsidR="005D6D7E" w:rsidRPr="00757D20">
        <w:t xml:space="preserve">t, as noted in </w:t>
      </w:r>
      <w:r w:rsidRPr="00757D20">
        <w:t>2025</w:t>
      </w:r>
      <w:r w:rsidR="005D6D7E" w:rsidRPr="00757D20">
        <w:t xml:space="preserve"> by teacher </w:t>
      </w:r>
      <w:r w:rsidRPr="00757D20">
        <w:t xml:space="preserve">Elisa, </w:t>
      </w:r>
      <w:r w:rsidR="005D6D7E" w:rsidRPr="00757D20">
        <w:t>who</w:t>
      </w:r>
      <w:r w:rsidRPr="00757D20">
        <w:t xml:space="preserve"> acknowledges the limited reach of schools:</w:t>
      </w:r>
    </w:p>
    <w:p w14:paraId="77F073ED" w14:textId="09DB672A" w:rsidR="00275388" w:rsidRPr="00757D20" w:rsidRDefault="00275388" w:rsidP="00275388">
      <w:pPr>
        <w:pStyle w:val="Quote"/>
      </w:pPr>
      <w:r w:rsidRPr="00757D20">
        <w:lastRenderedPageBreak/>
        <w:t>Parents haven't</w:t>
      </w:r>
      <w:r w:rsidR="00BA274E" w:rsidRPr="00757D20">
        <w:t>—</w:t>
      </w:r>
      <w:r w:rsidRPr="00757D20">
        <w:t>they haven't shot for the stars themselves. And so, they really don't feel equipped to provide their kid with the information or support from a home perspective</w:t>
      </w:r>
      <w:r w:rsidR="000B06DB">
        <w:t xml:space="preserve"> </w:t>
      </w:r>
      <w:r w:rsidRPr="00757D20">
        <w:t>…</w:t>
      </w:r>
      <w:r w:rsidR="008F091C" w:rsidRPr="00757D20">
        <w:t xml:space="preserve"> </w:t>
      </w:r>
      <w:r w:rsidRPr="00757D20">
        <w:t>We only have them for six hours a day</w:t>
      </w:r>
      <w:r w:rsidR="000B06DB">
        <w:t xml:space="preserve"> </w:t>
      </w:r>
      <w:r w:rsidRPr="00757D20">
        <w:t>... the other 18 hours they’re at home in an environment that might not be overly supportive. (Elisa, teacher, 2025)</w:t>
      </w:r>
    </w:p>
    <w:p w14:paraId="5E9C520B" w14:textId="7E9A0A1B" w:rsidR="00275388" w:rsidRPr="00757D20" w:rsidRDefault="00C6374B" w:rsidP="00275388">
      <w:r w:rsidRPr="00757D20">
        <w:t>Such situations are</w:t>
      </w:r>
      <w:r w:rsidR="00275388" w:rsidRPr="00757D20">
        <w:t xml:space="preserve"> not about lack of care, but rather a lack of knowledge, confidence, or access. Without lived experience of navigating </w:t>
      </w:r>
      <w:r w:rsidR="00507CA5" w:rsidRPr="00757D20">
        <w:t xml:space="preserve">certain </w:t>
      </w:r>
      <w:r w:rsidR="00275388" w:rsidRPr="00757D20">
        <w:t>post-school pathways, families often struggle to provide the academic encouragement or career advice that students need—particularly for higher education routes. The intergenerational reproduction of educational disadvantage remains a core challenge.</w:t>
      </w:r>
    </w:p>
    <w:p w14:paraId="2E044F15" w14:textId="5303D267" w:rsidR="00275388" w:rsidRPr="00757D20" w:rsidRDefault="00D201EB" w:rsidP="00810DC2">
      <w:r w:rsidRPr="00757D20">
        <w:t xml:space="preserve">By </w:t>
      </w:r>
      <w:r w:rsidR="00275388" w:rsidRPr="00757D20">
        <w:t xml:space="preserve">2025, young people from Riverbend College are navigating a complex and often conflicting set of pressures when planning their post-school futures. While </w:t>
      </w:r>
      <w:r w:rsidR="00F67EB8" w:rsidRPr="00757D20">
        <w:t>various kinds of</w:t>
      </w:r>
      <w:r w:rsidR="00275388" w:rsidRPr="00757D20">
        <w:t xml:space="preserve"> aspirations remain, they are increasingly shaped—and in some cases, constrained—by broader economic realities, lifestyle concerns, and growing anxieties about global instability and personal sustainability. The high cost of living and housing insecurity have become key concerns influencing young people’s choices after school. For many families, the dream of higher education is not weighed purely by aspiration, but by affordability. Rania, a parent, illustrates this </w:t>
      </w:r>
      <w:r w:rsidR="002C65AD" w:rsidRPr="00757D20">
        <w:t>concern</w:t>
      </w:r>
      <w:r w:rsidR="00275388" w:rsidRPr="00757D20">
        <w:t xml:space="preserve"> bluntly: </w:t>
      </w:r>
    </w:p>
    <w:p w14:paraId="765A9F5C" w14:textId="7FD31A68" w:rsidR="00275388" w:rsidRPr="00757D20" w:rsidRDefault="00275388" w:rsidP="00275388">
      <w:pPr>
        <w:pStyle w:val="Quote"/>
      </w:pPr>
      <w:r w:rsidRPr="00757D20">
        <w:t>They have Buckley's chance of getting a deposit together, buying a house. Um, even, renting a house</w:t>
      </w:r>
      <w:r w:rsidR="000B06DB">
        <w:t xml:space="preserve"> </w:t>
      </w:r>
      <w:r w:rsidRPr="00757D20">
        <w:t>… There's no way that, you know, my kids, even, even once they leave school, and they're working and they're earning money. There's no way they'd be able to afford that</w:t>
      </w:r>
      <w:r w:rsidR="000B06DB">
        <w:t xml:space="preserve"> </w:t>
      </w:r>
      <w:r w:rsidR="00F44CA6" w:rsidRPr="00757D20">
        <w:t>… so, education wise, super important. You need a good education, so you can get a good job, so you can get paid well, so you can afford to live.</w:t>
      </w:r>
      <w:r w:rsidR="007C34F4" w:rsidRPr="00757D20">
        <w:t xml:space="preserve"> </w:t>
      </w:r>
      <w:r w:rsidRPr="00757D20">
        <w:t>(Rania, parent, 2025)</w:t>
      </w:r>
    </w:p>
    <w:p w14:paraId="3B08D95C" w14:textId="77777777" w:rsidR="007D5534" w:rsidRPr="00757D20" w:rsidRDefault="007D5534" w:rsidP="0002181C">
      <w:r w:rsidRPr="00757D20">
        <w:t>Rania’s comment reflects growing doubt about young people’s ability to achieve financial independence, even with full-time work, due to soaring living and housing costs. It reveals how economic pressures are driving a more pragmatic view of education as a pathway to secure, well-paid employment and basic stability.</w:t>
      </w:r>
    </w:p>
    <w:p w14:paraId="6031CB0C" w14:textId="2B3A01F9" w:rsidR="00275388" w:rsidRPr="00757D20" w:rsidRDefault="00275388" w:rsidP="0002181C">
      <w:r w:rsidRPr="00757D20">
        <w:t>While some students report a sense of anticipation about adulthood describing it as “hopeful</w:t>
      </w:r>
      <w:r w:rsidR="00A8653D" w:rsidRPr="00757D20">
        <w:t>,</w:t>
      </w:r>
      <w:r w:rsidRPr="00757D20">
        <w:t xml:space="preserve">” “exciting” </w:t>
      </w:r>
      <w:r w:rsidR="008E2D26" w:rsidRPr="00757D20">
        <w:t xml:space="preserve">but </w:t>
      </w:r>
      <w:r w:rsidRPr="00757D20">
        <w:t>also “scared to be an adult”, there is also an undercurrent of cynicism. Layla, a student, articulates a sense of futility:</w:t>
      </w:r>
    </w:p>
    <w:p w14:paraId="7147741B" w14:textId="450E9041" w:rsidR="00275388" w:rsidRPr="00757D20" w:rsidRDefault="00275388" w:rsidP="00275388">
      <w:pPr>
        <w:pStyle w:val="Quote"/>
      </w:pPr>
      <w:r w:rsidRPr="00757D20">
        <w:t xml:space="preserve">You’re working for something that’s not really </w:t>
      </w:r>
      <w:proofErr w:type="spellStart"/>
      <w:r w:rsidRPr="00757D20">
        <w:t>gonna</w:t>
      </w:r>
      <w:proofErr w:type="spellEnd"/>
      <w:r w:rsidRPr="00757D20">
        <w:t xml:space="preserve"> pay off</w:t>
      </w:r>
      <w:r w:rsidR="000B06DB">
        <w:t xml:space="preserve"> </w:t>
      </w:r>
      <w:r w:rsidRPr="00757D20">
        <w:t>... I just think</w:t>
      </w:r>
      <w:r w:rsidR="00193415" w:rsidRPr="00757D20">
        <w:t>,</w:t>
      </w:r>
      <w:r w:rsidRPr="00757D20">
        <w:t xml:space="preserve"> </w:t>
      </w:r>
      <w:r w:rsidR="00193415" w:rsidRPr="00757D20">
        <w:t>“</w:t>
      </w:r>
      <w:r w:rsidRPr="00757D20">
        <w:t>I don’t want to have to struggle my entire life.</w:t>
      </w:r>
      <w:r w:rsidR="00193415" w:rsidRPr="00757D20">
        <w:t>”</w:t>
      </w:r>
      <w:r w:rsidRPr="00757D20">
        <w:t xml:space="preserve"> (Layla, student, 2025)</w:t>
      </w:r>
    </w:p>
    <w:p w14:paraId="5D3E2D76" w14:textId="547488C6" w:rsidR="00275388" w:rsidRPr="00757D20" w:rsidRDefault="00275388" w:rsidP="00275388">
      <w:r w:rsidRPr="00757D20">
        <w:t>This expression is more than teenage pessimism—it captures a generational mood of disillusionment, shaped by lived observation and media messaging. The “payoff” of education and hard work no longer feels guaranteed and</w:t>
      </w:r>
      <w:r w:rsidR="00E70B6B" w:rsidRPr="00757D20">
        <w:t>,</w:t>
      </w:r>
      <w:r w:rsidRPr="00757D20">
        <w:t xml:space="preserve"> in many ways, this </w:t>
      </w:r>
      <w:r w:rsidR="00761C76" w:rsidRPr="00757D20">
        <w:t>scepticism</w:t>
      </w:r>
      <w:r w:rsidRPr="00757D20">
        <w:t xml:space="preserve"> is rational.</w:t>
      </w:r>
    </w:p>
    <w:p w14:paraId="3562F93C" w14:textId="00F4D65B" w:rsidR="00275388" w:rsidRPr="00757D20" w:rsidRDefault="00840C4B" w:rsidP="00DA41B3">
      <w:pPr>
        <w:rPr>
          <w:iCs/>
        </w:rPr>
      </w:pPr>
      <w:r w:rsidRPr="00757D20">
        <w:t xml:space="preserve">During our most recent visit to the school in 2025, </w:t>
      </w:r>
      <w:r w:rsidR="00275388" w:rsidRPr="00757D20">
        <w:t xml:space="preserve">the combined impact of global and national crises </w:t>
      </w:r>
      <w:proofErr w:type="gramStart"/>
      <w:r w:rsidR="003F2386" w:rsidRPr="00757D20">
        <w:t>were</w:t>
      </w:r>
      <w:proofErr w:type="gramEnd"/>
      <w:r w:rsidR="003F2386" w:rsidRPr="00757D20">
        <w:t xml:space="preserve"> </w:t>
      </w:r>
      <w:r w:rsidRPr="00757D20">
        <w:t xml:space="preserve">also </w:t>
      </w:r>
      <w:r w:rsidR="00275388" w:rsidRPr="00757D20">
        <w:t>taking a toll on student wellbeing</w:t>
      </w:r>
      <w:r w:rsidRPr="00757D20">
        <w:t>:</w:t>
      </w:r>
    </w:p>
    <w:p w14:paraId="310045D2" w14:textId="1A1D2F2D" w:rsidR="00275388" w:rsidRPr="00757D20" w:rsidRDefault="00275388" w:rsidP="00275388">
      <w:pPr>
        <w:pStyle w:val="Quote"/>
      </w:pPr>
      <w:r w:rsidRPr="00757D20">
        <w:lastRenderedPageBreak/>
        <w:t>There has been a higher level of anxiety and</w:t>
      </w:r>
      <w:r w:rsidR="00BA274E" w:rsidRPr="00757D20">
        <w:t>—</w:t>
      </w:r>
      <w:r w:rsidRPr="00757D20">
        <w:t>at best</w:t>
      </w:r>
      <w:r w:rsidR="00BA274E" w:rsidRPr="00757D20">
        <w:t>—</w:t>
      </w:r>
      <w:r w:rsidRPr="00757D20">
        <w:t>and despondency at worst</w:t>
      </w:r>
      <w:r w:rsidR="000B06DB">
        <w:t xml:space="preserve"> </w:t>
      </w:r>
      <w:r w:rsidRPr="00757D20">
        <w:t>… fears about whether they'll be able to cope. (Elisa, teacher, 2025)</w:t>
      </w:r>
    </w:p>
    <w:p w14:paraId="728346A7" w14:textId="25980252" w:rsidR="00275388" w:rsidRPr="00757D20" w:rsidRDefault="00275388" w:rsidP="00275388">
      <w:r w:rsidRPr="00757D20">
        <w:t>Post-</w:t>
      </w:r>
      <w:r w:rsidR="000B06DB">
        <w:t>pandemic</w:t>
      </w:r>
      <w:r w:rsidR="000B06DB" w:rsidRPr="00757D20">
        <w:t xml:space="preserve"> </w:t>
      </w:r>
      <w:r w:rsidRPr="00757D20">
        <w:t xml:space="preserve">fatigue, climate anxiety, cost-of-living concerns, and a constant stream of negative media </w:t>
      </w:r>
      <w:r w:rsidR="00840C4B" w:rsidRPr="00757D20">
        <w:t xml:space="preserve">appear to be playing a role in </w:t>
      </w:r>
      <w:r w:rsidRPr="00757D20">
        <w:t xml:space="preserve">eroding young people’s sense of optimism. Elisa </w:t>
      </w:r>
      <w:r w:rsidR="00840C4B" w:rsidRPr="00757D20">
        <w:t xml:space="preserve">goes on to recount </w:t>
      </w:r>
      <w:r w:rsidRPr="00757D20">
        <w:t>how even global political tensions are creeping into the classroom:</w:t>
      </w:r>
    </w:p>
    <w:p w14:paraId="313A6BCE" w14:textId="18B702AD" w:rsidR="00275388" w:rsidRPr="00757D20" w:rsidRDefault="00275388" w:rsidP="00275388">
      <w:pPr>
        <w:pStyle w:val="Quote"/>
      </w:pPr>
      <w:r w:rsidRPr="00757D20">
        <w:t>I’ve got a Year 10 student</w:t>
      </w:r>
      <w:r w:rsidR="000B06DB">
        <w:t xml:space="preserve"> </w:t>
      </w:r>
      <w:r w:rsidRPr="00757D20">
        <w:t>... clearly was anxious</w:t>
      </w:r>
      <w:r w:rsidR="000B06DB">
        <w:t xml:space="preserve"> </w:t>
      </w:r>
      <w:r w:rsidRPr="00757D20">
        <w:t>… she’d read news reports about the Chinese boats in the ocean. (Elisa, teacher, 2025)</w:t>
      </w:r>
    </w:p>
    <w:p w14:paraId="1321A5F0" w14:textId="298E09E8" w:rsidR="00275388" w:rsidRPr="00757D20" w:rsidRDefault="00275388" w:rsidP="00275388">
      <w:r w:rsidRPr="00757D20">
        <w:t xml:space="preserve">This heightened exposure to global instability—coupled with limited tools for emotional regulation—contributes to a sense of precarity, overload, and distrust in the future. Students are not just worried about their own </w:t>
      </w:r>
      <w:r w:rsidR="00FF603A" w:rsidRPr="00757D20">
        <w:t>future</w:t>
      </w:r>
      <w:r w:rsidR="00B47E7F" w:rsidRPr="00757D20">
        <w:t>s</w:t>
      </w:r>
      <w:r w:rsidRPr="00757D20">
        <w:t xml:space="preserve">; they are questioning the world they </w:t>
      </w:r>
      <w:r w:rsidR="00FF603A" w:rsidRPr="00757D20">
        <w:t xml:space="preserve">live in and </w:t>
      </w:r>
      <w:r w:rsidRPr="00757D20">
        <w:t>are inheriting.</w:t>
      </w:r>
    </w:p>
    <w:p w14:paraId="0CE7A735" w14:textId="77777777" w:rsidR="00275388" w:rsidRPr="00757D20" w:rsidRDefault="00275388" w:rsidP="00D618E7">
      <w:pPr>
        <w:pStyle w:val="Heading3"/>
      </w:pPr>
      <w:bookmarkStart w:id="94" w:name="_Toc196396167"/>
      <w:bookmarkStart w:id="95" w:name="_Toc219977238"/>
      <w:r w:rsidRPr="00757D20">
        <w:t>Conclusion</w:t>
      </w:r>
      <w:bookmarkEnd w:id="94"/>
      <w:bookmarkEnd w:id="95"/>
    </w:p>
    <w:p w14:paraId="24C15C20" w14:textId="45FBAFA0" w:rsidR="0019362D" w:rsidRPr="00757D20" w:rsidRDefault="00275388">
      <w:pPr>
        <w:spacing w:line="259" w:lineRule="auto"/>
      </w:pPr>
      <w:r w:rsidRPr="00757D20">
        <w:t xml:space="preserve">Riverbend College’s journey from a mining-centric, working-class school to a more diverse and transitional educational community reflects broader shifts in regional Australia. While the school and its staff have made strides in recognising and supporting a range of post-school futures, students continue to face significant and intersecting challenges. Economic precarity, housing insecurity, limited familial experience with </w:t>
      </w:r>
      <w:r w:rsidR="007853EA" w:rsidRPr="00757D20">
        <w:t xml:space="preserve">higher </w:t>
      </w:r>
      <w:r w:rsidRPr="00757D20">
        <w:t>education, and rising mental health pressures complicate the path from school to adulthood. Although vocational education remains a strong and respected choice within the community, especially due to its practical and financial appeal, access to higher education is still uneven—often shaped by knowledge gaps and systemic disadvantage. As Riverbend changes, the school’s role becomes even more critical</w:t>
      </w:r>
      <w:r w:rsidR="00320376" w:rsidRPr="00757D20">
        <w:t>—</w:t>
      </w:r>
      <w:r w:rsidRPr="00757D20">
        <w:t>not only as an academic institution but as a site of care, connection, and possibility for students navigating an uncertain world.</w:t>
      </w:r>
    </w:p>
    <w:p w14:paraId="4CFCD3D8" w14:textId="77777777" w:rsidR="0019362D" w:rsidRPr="00757D20" w:rsidRDefault="0019362D">
      <w:pPr>
        <w:spacing w:line="259" w:lineRule="auto"/>
      </w:pPr>
      <w:r w:rsidRPr="00757D20">
        <w:br w:type="page"/>
      </w:r>
    </w:p>
    <w:p w14:paraId="7A877032" w14:textId="6C934980" w:rsidR="0019362D" w:rsidRPr="00757D20" w:rsidRDefault="0019362D" w:rsidP="001B7BA1">
      <w:pPr>
        <w:pStyle w:val="Heading2"/>
      </w:pPr>
      <w:bookmarkStart w:id="96" w:name="_Toc219977239"/>
      <w:proofErr w:type="spellStart"/>
      <w:r w:rsidRPr="00757D20">
        <w:lastRenderedPageBreak/>
        <w:t>Murrindah</w:t>
      </w:r>
      <w:proofErr w:type="spellEnd"/>
      <w:r w:rsidRPr="00757D20">
        <w:t xml:space="preserve"> High School</w:t>
      </w:r>
      <w:bookmarkEnd w:id="96"/>
    </w:p>
    <w:p w14:paraId="38E83A5B" w14:textId="77777777" w:rsidR="0019362D" w:rsidRPr="00757D20" w:rsidRDefault="0019362D" w:rsidP="0019362D">
      <w:pPr>
        <w:rPr>
          <w:b/>
          <w:bCs/>
        </w:rPr>
      </w:pPr>
      <w:r w:rsidRPr="00757D20">
        <w:rPr>
          <w:b/>
          <w:bCs/>
          <w:noProof/>
        </w:rPr>
        <w:drawing>
          <wp:inline distT="0" distB="0" distL="0" distR="0" wp14:anchorId="400C1683" wp14:editId="7AA04E3B">
            <wp:extent cx="2700000" cy="2700000"/>
            <wp:effectExtent l="0" t="0" r="5715" b="5715"/>
            <wp:docPr id="1453360063" name="Picture 4" descr="Table showing school profile data for years 2014, 2017, and 2024 in major cities under ASGS locality. It includes ICSEA scores, student enrolments, gender ratios, Indigenous percentages, and LBOTE percentages, highlighting trends like a decrease in enrolments and an increase in Indigenous and LBOTE percentag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60063" name="Picture 4" descr="Table showing school profile data for years 2014, 2017, and 2024 in major cities under ASGS locality. It includes ICSEA scores, student enrolments, gender ratios, Indigenous percentages, and LBOTE percentages, highlighting trends like a decrease in enrolments and an increase in Indigenous and LBOTE percentages over time."/>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r w:rsidRPr="00757D20">
        <w:rPr>
          <w:b/>
          <w:bCs/>
        </w:rPr>
        <w:tab/>
        <w:t xml:space="preserve">     </w:t>
      </w:r>
      <w:r w:rsidRPr="00757D20">
        <w:rPr>
          <w:b/>
          <w:bCs/>
          <w:noProof/>
        </w:rPr>
        <w:drawing>
          <wp:inline distT="0" distB="0" distL="0" distR="0" wp14:anchorId="6765E873" wp14:editId="37D429B0">
            <wp:extent cx="2700000" cy="2700000"/>
            <wp:effectExtent l="0" t="0" r="5715" b="5715"/>
            <wp:docPr id="1530813379" name="Picture 5" descr="Table presenting community profile snapshot for ASGS Locality major cities using ABS Census data from 2011 and 2021. It shows population growth from 3,632 to 4,530, increase in Aboriginal and/or Torres Strait Islander percentage from 4.8% to 6.3%, slight rise in overseas-born population from 23.7% to 26%, and a significant drop in unemployment rate from 13.3% to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13379" name="Picture 5" descr="Table presenting community profile snapshot for ASGS Locality major cities using ABS Census data from 2011 and 2021. It shows population growth from 3,632 to 4,530, increase in Aboriginal and/or Torres Strait Islander percentage from 4.8% to 6.3%, slight rise in overseas-born population from 23.7% to 26%, and a significant drop in unemployment rate from 13.3% to 5.1%."/>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2700000" cy="2700000"/>
                    </a:xfrm>
                    <a:prstGeom prst="rect">
                      <a:avLst/>
                    </a:prstGeom>
                    <a:noFill/>
                    <a:ln>
                      <a:noFill/>
                    </a:ln>
                  </pic:spPr>
                </pic:pic>
              </a:graphicData>
            </a:graphic>
          </wp:inline>
        </w:drawing>
      </w:r>
    </w:p>
    <w:p w14:paraId="40138934" w14:textId="29AF7EB8" w:rsidR="0019362D" w:rsidRPr="00757D20" w:rsidRDefault="00065295" w:rsidP="0019362D">
      <w:pPr>
        <w:spacing w:after="0"/>
        <w:rPr>
          <w:b/>
          <w:bCs/>
        </w:rPr>
      </w:pPr>
      <w:r w:rsidRPr="00757D20">
        <w:rPr>
          <w:noProof/>
        </w:rPr>
        <w:drawing>
          <wp:inline distT="0" distB="0" distL="0" distR="0" wp14:anchorId="0F652A15" wp14:editId="472A744E">
            <wp:extent cx="2700000" cy="2700000"/>
            <wp:effectExtent l="0" t="0" r="5715" b="5715"/>
            <wp:docPr id="171349782" name="Chart 1" descr="Table showing Highest Level of Educational Attainment for 2016 and 2021, indicating whether students finished high school or TAFE, gained a Bachelor degree or above, or didn't state which. High school had the highest occurrence for both years but dropped slightly from at 46-47%. TAFE had the next highest occurrence at around 26% for both years. There was a slight increase in Bachelor Degree. ">
              <a:extLst xmlns:a="http://schemas.openxmlformats.org/drawingml/2006/main">
                <a:ext uri="{FF2B5EF4-FFF2-40B4-BE49-F238E27FC236}">
                  <a16:creationId xmlns:a16="http://schemas.microsoft.com/office/drawing/2014/main" id="{200DE6C6-FE04-A9FB-B94C-312FA192A4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19362D" w:rsidRPr="00757D20">
        <w:rPr>
          <w:b/>
          <w:bCs/>
        </w:rPr>
        <w:tab/>
        <w:t xml:space="preserve">     </w:t>
      </w:r>
      <w:r w:rsidR="00C34E72" w:rsidRPr="00757D20">
        <w:rPr>
          <w:noProof/>
        </w:rPr>
        <w:drawing>
          <wp:inline distT="0" distB="0" distL="0" distR="0" wp14:anchorId="4C63DBF3" wp14:editId="4A1A75B9">
            <wp:extent cx="2700000" cy="2700000"/>
            <wp:effectExtent l="0" t="0" r="5715" b="5715"/>
            <wp:docPr id="1471715213" name="Chart 1" descr="Table showing Community Occupations in 2011 and 2021 with categories for Labourers, Machine Operators, Sales Workers, Clerical, Community and Personal, Technicians and Trades, Professionals and Managers. Technicians and Trades was the highest occurrence in at 17% in 2011 but fell to 12.6% in 2021. Community and Personal has had the biggest increase from 10% to 14% and Professionals and Managers have also increased.">
              <a:extLst xmlns:a="http://schemas.openxmlformats.org/drawingml/2006/main">
                <a:ext uri="{FF2B5EF4-FFF2-40B4-BE49-F238E27FC236}">
                  <a16:creationId xmlns:a16="http://schemas.microsoft.com/office/drawing/2014/main" id="{AF496DA5-3E12-B8BF-7E67-4F011F409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883690E" w14:textId="549D40A1" w:rsidR="0019362D" w:rsidRPr="00757D20" w:rsidRDefault="0019362D" w:rsidP="0019362D">
      <w:pPr>
        <w:spacing w:after="0"/>
        <w:rPr>
          <w:sz w:val="16"/>
          <w:szCs w:val="16"/>
        </w:rPr>
      </w:pPr>
      <w:r w:rsidRPr="00757D20">
        <w:rPr>
          <w:sz w:val="16"/>
          <w:szCs w:val="16"/>
        </w:rPr>
        <w:t xml:space="preserve">Note: </w:t>
      </w:r>
      <w:r w:rsidRPr="00757D20">
        <w:rPr>
          <w:sz w:val="16"/>
          <w:szCs w:val="16"/>
          <w:vertAlign w:val="superscript"/>
        </w:rPr>
        <w:t>1</w:t>
      </w:r>
      <w:r w:rsidRPr="00757D20">
        <w:rPr>
          <w:sz w:val="16"/>
          <w:szCs w:val="16"/>
        </w:rPr>
        <w:t xml:space="preserve">Educational attainment was not collected in the 2011 </w:t>
      </w:r>
    </w:p>
    <w:p w14:paraId="74621DC4" w14:textId="2FC55215" w:rsidR="0019362D" w:rsidRPr="00757D20" w:rsidRDefault="0019362D" w:rsidP="0019362D">
      <w:pPr>
        <w:spacing w:after="0"/>
        <w:rPr>
          <w:sz w:val="16"/>
          <w:szCs w:val="16"/>
        </w:rPr>
      </w:pPr>
      <w:r w:rsidRPr="00757D20">
        <w:rPr>
          <w:sz w:val="16"/>
          <w:szCs w:val="16"/>
        </w:rPr>
        <w:t>Census.</w:t>
      </w:r>
    </w:p>
    <w:p w14:paraId="731CE6AE" w14:textId="77777777" w:rsidR="0019362D" w:rsidRPr="00757D20" w:rsidRDefault="0019362D" w:rsidP="0019362D">
      <w:pPr>
        <w:spacing w:after="0"/>
        <w:rPr>
          <w:sz w:val="16"/>
          <w:szCs w:val="16"/>
        </w:rPr>
      </w:pPr>
    </w:p>
    <w:p w14:paraId="36CA926E" w14:textId="2B57619F" w:rsidR="0019362D" w:rsidRPr="00757D20" w:rsidRDefault="003F61E9" w:rsidP="009B34F2">
      <w:pPr>
        <w:spacing w:after="0" w:line="360" w:lineRule="auto"/>
        <w:rPr>
          <w:rFonts w:cs="Arial"/>
          <w:b/>
          <w:bCs/>
        </w:rPr>
      </w:pPr>
      <w:r w:rsidRPr="00757D20">
        <w:rPr>
          <w:rFonts w:cs="Arial"/>
          <w:b/>
          <w:bCs/>
        </w:rPr>
        <w:t xml:space="preserve">Top </w:t>
      </w:r>
      <w:r w:rsidR="00BB3220">
        <w:rPr>
          <w:rFonts w:cs="Arial"/>
          <w:b/>
          <w:bCs/>
        </w:rPr>
        <w:t xml:space="preserve">5 </w:t>
      </w:r>
      <w:r w:rsidR="00B1400B">
        <w:rPr>
          <w:rFonts w:cs="Arial"/>
          <w:b/>
          <w:bCs/>
        </w:rPr>
        <w:t>i</w:t>
      </w:r>
      <w:r w:rsidRPr="00757D20">
        <w:rPr>
          <w:rFonts w:cs="Arial"/>
          <w:b/>
          <w:bCs/>
        </w:rPr>
        <w:t xml:space="preserve">ndustries of </w:t>
      </w:r>
      <w:r w:rsidR="00B1400B">
        <w:rPr>
          <w:rFonts w:cs="Arial"/>
          <w:b/>
          <w:bCs/>
        </w:rPr>
        <w:t>e</w:t>
      </w:r>
      <w:r w:rsidRPr="00757D20">
        <w:rPr>
          <w:rFonts w:cs="Arial"/>
          <w:b/>
          <w:bCs/>
        </w:rPr>
        <w:t>mployment</w:t>
      </w:r>
      <w:r w:rsidR="0019362D" w:rsidRPr="00757D20">
        <w:rPr>
          <w:rFonts w:cs="Arial"/>
          <w:b/>
          <w:bCs/>
        </w:rPr>
        <w:t xml:space="preserve">, </w:t>
      </w:r>
      <w:proofErr w:type="spellStart"/>
      <w:r w:rsidR="00FF43E8" w:rsidRPr="00757D20">
        <w:rPr>
          <w:rFonts w:cs="Arial"/>
          <w:b/>
          <w:bCs/>
        </w:rPr>
        <w:t>Murrindah</w:t>
      </w:r>
      <w:proofErr w:type="spellEnd"/>
      <w:r w:rsidR="007D0DEE">
        <w:rPr>
          <w:rStyle w:val="FootnoteReference"/>
          <w:rFonts w:cs="Arial"/>
          <w:b/>
          <w:bCs/>
        </w:rPr>
        <w:footnoteReference w:id="14"/>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1480"/>
        <w:gridCol w:w="1560"/>
      </w:tblGrid>
      <w:tr w:rsidR="00821B96" w:rsidRPr="00757D20" w14:paraId="7CF8B3E1" w14:textId="77777777" w:rsidTr="00821B96">
        <w:trPr>
          <w:trHeight w:val="300"/>
        </w:trPr>
        <w:tc>
          <w:tcPr>
            <w:tcW w:w="5820" w:type="dxa"/>
            <w:shd w:val="clear" w:color="auto" w:fill="5CCAC5" w:themeFill="accent6" w:themeFillShade="BF"/>
            <w:vAlign w:val="center"/>
            <w:hideMark/>
          </w:tcPr>
          <w:p w14:paraId="0BDED176" w14:textId="44BD19E4" w:rsidR="00821B96" w:rsidRPr="00757D20" w:rsidRDefault="00821B96" w:rsidP="00A4180B">
            <w:pPr>
              <w:spacing w:after="0" w:line="240" w:lineRule="auto"/>
              <w:rPr>
                <w:rFonts w:cs="Arial"/>
                <w:b/>
                <w:bCs/>
                <w:color w:val="222222"/>
              </w:rPr>
            </w:pPr>
          </w:p>
        </w:tc>
        <w:tc>
          <w:tcPr>
            <w:tcW w:w="1480" w:type="dxa"/>
            <w:shd w:val="clear" w:color="auto" w:fill="5CCAC5" w:themeFill="accent6" w:themeFillShade="BF"/>
            <w:vAlign w:val="center"/>
            <w:hideMark/>
          </w:tcPr>
          <w:p w14:paraId="6AC2EA4F" w14:textId="77777777" w:rsidR="00821B96" w:rsidRPr="00757D20" w:rsidRDefault="00821B96" w:rsidP="00A4180B">
            <w:pPr>
              <w:spacing w:after="0"/>
              <w:jc w:val="right"/>
              <w:rPr>
                <w:rFonts w:cs="Arial"/>
                <w:b/>
                <w:bCs/>
                <w:color w:val="222222"/>
              </w:rPr>
            </w:pPr>
            <w:r w:rsidRPr="00757D20">
              <w:rPr>
                <w:rFonts w:cs="Arial"/>
                <w:b/>
                <w:bCs/>
                <w:color w:val="222222"/>
              </w:rPr>
              <w:t>2011</w:t>
            </w:r>
          </w:p>
          <w:p w14:paraId="7E1664B2" w14:textId="5925D8C5" w:rsidR="00821B96" w:rsidRPr="00757D20" w:rsidRDefault="00821B96" w:rsidP="00A4180B">
            <w:pPr>
              <w:spacing w:after="0"/>
              <w:jc w:val="right"/>
              <w:rPr>
                <w:rFonts w:cs="Arial"/>
                <w:b/>
                <w:bCs/>
                <w:color w:val="222222"/>
              </w:rPr>
            </w:pPr>
            <w:r w:rsidRPr="00757D20">
              <w:rPr>
                <w:rFonts w:cs="Arial"/>
                <w:b/>
                <w:bCs/>
                <w:color w:val="222222"/>
              </w:rPr>
              <w:t>(%)</w:t>
            </w:r>
          </w:p>
        </w:tc>
        <w:tc>
          <w:tcPr>
            <w:tcW w:w="1560" w:type="dxa"/>
            <w:shd w:val="clear" w:color="auto" w:fill="5CCAC5" w:themeFill="accent6" w:themeFillShade="BF"/>
            <w:noWrap/>
            <w:vAlign w:val="bottom"/>
            <w:hideMark/>
          </w:tcPr>
          <w:p w14:paraId="104C3F6C" w14:textId="77777777" w:rsidR="00821B96" w:rsidRPr="00757D20" w:rsidRDefault="00821B96" w:rsidP="00A4180B">
            <w:pPr>
              <w:spacing w:after="0"/>
              <w:jc w:val="right"/>
              <w:rPr>
                <w:rFonts w:cs="Arial"/>
                <w:b/>
                <w:bCs/>
                <w:color w:val="000000"/>
              </w:rPr>
            </w:pPr>
            <w:r w:rsidRPr="00757D20">
              <w:rPr>
                <w:rFonts w:cs="Arial"/>
                <w:b/>
                <w:bCs/>
                <w:color w:val="000000"/>
              </w:rPr>
              <w:t>2021</w:t>
            </w:r>
          </w:p>
          <w:p w14:paraId="3C21EFC9" w14:textId="0D262927" w:rsidR="00821B96" w:rsidRPr="00757D20" w:rsidRDefault="00821B96" w:rsidP="00A4180B">
            <w:pPr>
              <w:spacing w:after="0"/>
              <w:jc w:val="right"/>
              <w:rPr>
                <w:rFonts w:cs="Arial"/>
                <w:b/>
                <w:bCs/>
                <w:color w:val="000000"/>
              </w:rPr>
            </w:pPr>
            <w:r w:rsidRPr="00757D20">
              <w:rPr>
                <w:rFonts w:cs="Arial"/>
                <w:b/>
                <w:bCs/>
                <w:color w:val="000000"/>
              </w:rPr>
              <w:t>(%)</w:t>
            </w:r>
          </w:p>
        </w:tc>
      </w:tr>
      <w:tr w:rsidR="00821B96" w:rsidRPr="00757D20" w14:paraId="5E7ABEE1" w14:textId="77777777" w:rsidTr="00A4180B">
        <w:trPr>
          <w:trHeight w:val="285"/>
        </w:trPr>
        <w:tc>
          <w:tcPr>
            <w:tcW w:w="5820" w:type="dxa"/>
            <w:vAlign w:val="center"/>
            <w:hideMark/>
          </w:tcPr>
          <w:p w14:paraId="6C19B1FA" w14:textId="285E0524" w:rsidR="00821B96" w:rsidRPr="00757D20" w:rsidRDefault="00821B96" w:rsidP="00A4180B">
            <w:pPr>
              <w:spacing w:after="0"/>
              <w:rPr>
                <w:rFonts w:cs="Arial"/>
                <w:color w:val="222222"/>
              </w:rPr>
            </w:pPr>
            <w:r w:rsidRPr="00757D20">
              <w:rPr>
                <w:rFonts w:cs="Arial"/>
                <w:color w:val="222222"/>
              </w:rPr>
              <w:t xml:space="preserve">Cafes, </w:t>
            </w:r>
            <w:r w:rsidR="00B1400B">
              <w:rPr>
                <w:rFonts w:cs="Arial"/>
                <w:color w:val="222222"/>
              </w:rPr>
              <w:t>r</w:t>
            </w:r>
            <w:r w:rsidRPr="00757D20">
              <w:rPr>
                <w:rFonts w:cs="Arial"/>
                <w:color w:val="222222"/>
              </w:rPr>
              <w:t>estaurants</w:t>
            </w:r>
            <w:r w:rsidR="00257C61" w:rsidRPr="00757D20">
              <w:rPr>
                <w:rFonts w:cs="Arial"/>
                <w:color w:val="222222"/>
              </w:rPr>
              <w:t>,</w:t>
            </w:r>
            <w:r w:rsidRPr="00757D20">
              <w:rPr>
                <w:rFonts w:cs="Arial"/>
                <w:color w:val="222222"/>
              </w:rPr>
              <w:t xml:space="preserve"> and </w:t>
            </w:r>
            <w:r w:rsidR="00B1400B">
              <w:rPr>
                <w:rFonts w:cs="Arial"/>
                <w:color w:val="222222"/>
              </w:rPr>
              <w:t>t</w:t>
            </w:r>
            <w:r w:rsidRPr="00757D20">
              <w:rPr>
                <w:rFonts w:cs="Arial"/>
                <w:color w:val="222222"/>
              </w:rPr>
              <w:t xml:space="preserve">akeaway </w:t>
            </w:r>
            <w:r w:rsidR="00B1400B">
              <w:rPr>
                <w:rFonts w:cs="Arial"/>
                <w:color w:val="222222"/>
              </w:rPr>
              <w:t>f</w:t>
            </w:r>
            <w:r w:rsidRPr="00757D20">
              <w:rPr>
                <w:rFonts w:cs="Arial"/>
                <w:color w:val="222222"/>
              </w:rPr>
              <w:t xml:space="preserve">ood </w:t>
            </w:r>
            <w:r w:rsidR="00B1400B">
              <w:rPr>
                <w:rFonts w:cs="Arial"/>
                <w:color w:val="222222"/>
              </w:rPr>
              <w:t>s</w:t>
            </w:r>
            <w:r w:rsidRPr="00757D20">
              <w:rPr>
                <w:rFonts w:cs="Arial"/>
                <w:color w:val="222222"/>
              </w:rPr>
              <w:t>ervices</w:t>
            </w:r>
          </w:p>
        </w:tc>
        <w:tc>
          <w:tcPr>
            <w:tcW w:w="1480" w:type="dxa"/>
            <w:vAlign w:val="center"/>
            <w:hideMark/>
          </w:tcPr>
          <w:p w14:paraId="30CDABBF" w14:textId="77777777" w:rsidR="00821B96" w:rsidRPr="00757D20" w:rsidRDefault="00821B96" w:rsidP="00A4180B">
            <w:pPr>
              <w:spacing w:after="0"/>
              <w:jc w:val="right"/>
              <w:rPr>
                <w:rFonts w:cs="Arial"/>
                <w:color w:val="222222"/>
              </w:rPr>
            </w:pPr>
            <w:r w:rsidRPr="00757D20">
              <w:rPr>
                <w:rFonts w:cs="Arial"/>
                <w:color w:val="222222"/>
              </w:rPr>
              <w:t>6.8</w:t>
            </w:r>
          </w:p>
        </w:tc>
        <w:tc>
          <w:tcPr>
            <w:tcW w:w="1560" w:type="dxa"/>
            <w:noWrap/>
            <w:vAlign w:val="bottom"/>
            <w:hideMark/>
          </w:tcPr>
          <w:p w14:paraId="5D4295D4" w14:textId="1096E234" w:rsidR="00821B96" w:rsidRPr="00757D20" w:rsidRDefault="005B419D" w:rsidP="00A4180B">
            <w:pPr>
              <w:spacing w:after="0"/>
              <w:jc w:val="right"/>
              <w:rPr>
                <w:rFonts w:cs="Arial"/>
                <w:color w:val="222222"/>
              </w:rPr>
            </w:pPr>
            <w:r>
              <w:rPr>
                <w:rFonts w:cs="Arial"/>
                <w:color w:val="222222"/>
              </w:rPr>
              <w:t>-</w:t>
            </w:r>
          </w:p>
        </w:tc>
      </w:tr>
      <w:tr w:rsidR="00821B96" w:rsidRPr="00757D20" w14:paraId="40711DC5" w14:textId="77777777" w:rsidTr="00A4180B">
        <w:trPr>
          <w:trHeight w:val="285"/>
        </w:trPr>
        <w:tc>
          <w:tcPr>
            <w:tcW w:w="5820" w:type="dxa"/>
            <w:vAlign w:val="center"/>
            <w:hideMark/>
          </w:tcPr>
          <w:p w14:paraId="25F9A7EA" w14:textId="54E56016" w:rsidR="00821B96" w:rsidRPr="00757D20" w:rsidRDefault="00821B96" w:rsidP="00A4180B">
            <w:pPr>
              <w:spacing w:after="0"/>
              <w:rPr>
                <w:rFonts w:cs="Arial"/>
                <w:color w:val="222222"/>
              </w:rPr>
            </w:pPr>
            <w:r w:rsidRPr="00757D20">
              <w:rPr>
                <w:rFonts w:cs="Arial"/>
                <w:color w:val="222222"/>
              </w:rPr>
              <w:t xml:space="preserve">Hospitals (except </w:t>
            </w:r>
            <w:r w:rsidR="00B1400B">
              <w:rPr>
                <w:rFonts w:cs="Arial"/>
                <w:color w:val="222222"/>
              </w:rPr>
              <w:t>p</w:t>
            </w:r>
            <w:r w:rsidRPr="00757D20">
              <w:rPr>
                <w:rFonts w:cs="Arial"/>
                <w:color w:val="222222"/>
              </w:rPr>
              <w:t xml:space="preserve">sychiatric </w:t>
            </w:r>
            <w:r w:rsidR="00B1400B">
              <w:rPr>
                <w:rFonts w:cs="Arial"/>
                <w:color w:val="222222"/>
              </w:rPr>
              <w:t>h</w:t>
            </w:r>
            <w:r w:rsidRPr="00757D20">
              <w:rPr>
                <w:rFonts w:cs="Arial"/>
                <w:color w:val="222222"/>
              </w:rPr>
              <w:t>ospitals)</w:t>
            </w:r>
          </w:p>
        </w:tc>
        <w:tc>
          <w:tcPr>
            <w:tcW w:w="1480" w:type="dxa"/>
            <w:vAlign w:val="center"/>
            <w:hideMark/>
          </w:tcPr>
          <w:p w14:paraId="75AB7E3E" w14:textId="77777777" w:rsidR="00821B96" w:rsidRPr="00757D20" w:rsidRDefault="00821B96" w:rsidP="00A4180B">
            <w:pPr>
              <w:spacing w:after="0"/>
              <w:jc w:val="right"/>
              <w:rPr>
                <w:rFonts w:cs="Arial"/>
                <w:color w:val="222222"/>
              </w:rPr>
            </w:pPr>
            <w:r w:rsidRPr="00757D20">
              <w:rPr>
                <w:rFonts w:cs="Arial"/>
                <w:color w:val="222222"/>
              </w:rPr>
              <w:t>3.3</w:t>
            </w:r>
          </w:p>
        </w:tc>
        <w:tc>
          <w:tcPr>
            <w:tcW w:w="1560" w:type="dxa"/>
            <w:noWrap/>
            <w:vAlign w:val="bottom"/>
            <w:hideMark/>
          </w:tcPr>
          <w:p w14:paraId="4F17003E" w14:textId="77777777" w:rsidR="00821B96" w:rsidRPr="00757D20" w:rsidRDefault="00821B96" w:rsidP="00A4180B">
            <w:pPr>
              <w:spacing w:after="0"/>
              <w:jc w:val="right"/>
              <w:rPr>
                <w:rFonts w:cs="Arial"/>
                <w:color w:val="000000"/>
              </w:rPr>
            </w:pPr>
            <w:r w:rsidRPr="00757D20">
              <w:rPr>
                <w:rFonts w:cs="Arial"/>
                <w:color w:val="000000"/>
              </w:rPr>
              <w:t>3.3</w:t>
            </w:r>
          </w:p>
        </w:tc>
      </w:tr>
      <w:tr w:rsidR="00821B96" w:rsidRPr="00757D20" w14:paraId="6D2A6127" w14:textId="77777777" w:rsidTr="00A4180B">
        <w:trPr>
          <w:trHeight w:val="285"/>
        </w:trPr>
        <w:tc>
          <w:tcPr>
            <w:tcW w:w="5820" w:type="dxa"/>
            <w:vAlign w:val="center"/>
            <w:hideMark/>
          </w:tcPr>
          <w:p w14:paraId="4E8FE0D6" w14:textId="0FAAFAC3" w:rsidR="00821B96" w:rsidRPr="00757D20" w:rsidRDefault="00821B96" w:rsidP="00A4180B">
            <w:pPr>
              <w:spacing w:after="0"/>
              <w:rPr>
                <w:rFonts w:cs="Arial"/>
                <w:color w:val="222222"/>
              </w:rPr>
            </w:pPr>
            <w:r w:rsidRPr="00757D20">
              <w:rPr>
                <w:rFonts w:cs="Arial"/>
                <w:color w:val="222222"/>
              </w:rPr>
              <w:t xml:space="preserve">Supermarket and </w:t>
            </w:r>
            <w:r w:rsidR="00B1400B">
              <w:rPr>
                <w:rFonts w:cs="Arial"/>
                <w:color w:val="222222"/>
              </w:rPr>
              <w:t>g</w:t>
            </w:r>
            <w:r w:rsidRPr="00757D20">
              <w:rPr>
                <w:rFonts w:cs="Arial"/>
                <w:color w:val="222222"/>
              </w:rPr>
              <w:t xml:space="preserve">rocery </w:t>
            </w:r>
            <w:r w:rsidR="00B1400B">
              <w:rPr>
                <w:rFonts w:cs="Arial"/>
                <w:color w:val="222222"/>
              </w:rPr>
              <w:t>s</w:t>
            </w:r>
            <w:r w:rsidRPr="00757D20">
              <w:rPr>
                <w:rFonts w:cs="Arial"/>
                <w:color w:val="222222"/>
              </w:rPr>
              <w:t>tores</w:t>
            </w:r>
          </w:p>
        </w:tc>
        <w:tc>
          <w:tcPr>
            <w:tcW w:w="1480" w:type="dxa"/>
            <w:vAlign w:val="center"/>
            <w:hideMark/>
          </w:tcPr>
          <w:p w14:paraId="00B15C85" w14:textId="77777777" w:rsidR="00821B96" w:rsidRPr="00757D20" w:rsidRDefault="00821B96" w:rsidP="00A4180B">
            <w:pPr>
              <w:spacing w:after="0"/>
              <w:jc w:val="right"/>
              <w:rPr>
                <w:rFonts w:cs="Arial"/>
                <w:color w:val="222222"/>
              </w:rPr>
            </w:pPr>
            <w:r w:rsidRPr="00757D20">
              <w:rPr>
                <w:rFonts w:cs="Arial"/>
                <w:color w:val="222222"/>
              </w:rPr>
              <w:t>2.9</w:t>
            </w:r>
          </w:p>
        </w:tc>
        <w:tc>
          <w:tcPr>
            <w:tcW w:w="1560" w:type="dxa"/>
            <w:noWrap/>
            <w:vAlign w:val="bottom"/>
            <w:hideMark/>
          </w:tcPr>
          <w:p w14:paraId="2F370793" w14:textId="77777777" w:rsidR="00821B96" w:rsidRPr="00757D20" w:rsidRDefault="00821B96" w:rsidP="00A4180B">
            <w:pPr>
              <w:spacing w:after="0"/>
              <w:jc w:val="right"/>
              <w:rPr>
                <w:rFonts w:cs="Arial"/>
                <w:color w:val="000000"/>
              </w:rPr>
            </w:pPr>
            <w:r w:rsidRPr="00757D20">
              <w:rPr>
                <w:rFonts w:cs="Arial"/>
                <w:color w:val="000000"/>
              </w:rPr>
              <w:t>3.1</w:t>
            </w:r>
          </w:p>
        </w:tc>
      </w:tr>
      <w:tr w:rsidR="00821B96" w:rsidRPr="00757D20" w14:paraId="64AC68C6" w14:textId="77777777" w:rsidTr="00A4180B">
        <w:trPr>
          <w:trHeight w:val="285"/>
        </w:trPr>
        <w:tc>
          <w:tcPr>
            <w:tcW w:w="5820" w:type="dxa"/>
            <w:vAlign w:val="center"/>
            <w:hideMark/>
          </w:tcPr>
          <w:p w14:paraId="0DDDF6D7" w14:textId="15B4EAC0" w:rsidR="00821B96" w:rsidRPr="00757D20" w:rsidRDefault="00821B96" w:rsidP="00A4180B">
            <w:pPr>
              <w:spacing w:after="0"/>
              <w:rPr>
                <w:rFonts w:cs="Arial"/>
                <w:color w:val="222222"/>
              </w:rPr>
            </w:pPr>
            <w:r w:rsidRPr="00757D20">
              <w:rPr>
                <w:rFonts w:cs="Arial"/>
                <w:color w:val="222222"/>
              </w:rPr>
              <w:t>Aged</w:t>
            </w:r>
            <w:r w:rsidR="00B1400B">
              <w:rPr>
                <w:rFonts w:cs="Arial"/>
                <w:color w:val="222222"/>
              </w:rPr>
              <w:t>/r</w:t>
            </w:r>
            <w:r w:rsidRPr="00757D20">
              <w:rPr>
                <w:rFonts w:cs="Arial"/>
                <w:color w:val="222222"/>
              </w:rPr>
              <w:t xml:space="preserve">esidential </w:t>
            </w:r>
            <w:r w:rsidR="00B1400B">
              <w:rPr>
                <w:rFonts w:cs="Arial"/>
                <w:color w:val="222222"/>
              </w:rPr>
              <w:t>c</w:t>
            </w:r>
            <w:r w:rsidRPr="00757D20">
              <w:rPr>
                <w:rFonts w:cs="Arial"/>
                <w:color w:val="222222"/>
              </w:rPr>
              <w:t xml:space="preserve">are </w:t>
            </w:r>
            <w:r w:rsidR="00B1400B">
              <w:rPr>
                <w:rFonts w:cs="Arial"/>
                <w:color w:val="222222"/>
              </w:rPr>
              <w:t>s</w:t>
            </w:r>
            <w:r w:rsidRPr="00757D20">
              <w:rPr>
                <w:rFonts w:cs="Arial"/>
                <w:color w:val="222222"/>
              </w:rPr>
              <w:t>ervices</w:t>
            </w:r>
          </w:p>
        </w:tc>
        <w:tc>
          <w:tcPr>
            <w:tcW w:w="1480" w:type="dxa"/>
            <w:vAlign w:val="center"/>
            <w:hideMark/>
          </w:tcPr>
          <w:p w14:paraId="175353ED" w14:textId="77777777" w:rsidR="00821B96" w:rsidRPr="00757D20" w:rsidRDefault="00821B96" w:rsidP="00A4180B">
            <w:pPr>
              <w:spacing w:after="0"/>
              <w:jc w:val="right"/>
              <w:rPr>
                <w:rFonts w:cs="Arial"/>
                <w:color w:val="222222"/>
              </w:rPr>
            </w:pPr>
            <w:r w:rsidRPr="00757D20">
              <w:rPr>
                <w:rFonts w:cs="Arial"/>
                <w:color w:val="222222"/>
              </w:rPr>
              <w:t>3.8</w:t>
            </w:r>
          </w:p>
        </w:tc>
        <w:tc>
          <w:tcPr>
            <w:tcW w:w="1560" w:type="dxa"/>
            <w:noWrap/>
            <w:vAlign w:val="bottom"/>
            <w:hideMark/>
          </w:tcPr>
          <w:p w14:paraId="72C758F3" w14:textId="77777777" w:rsidR="00821B96" w:rsidRPr="00757D20" w:rsidRDefault="00821B96" w:rsidP="00A4180B">
            <w:pPr>
              <w:spacing w:after="0"/>
              <w:jc w:val="right"/>
              <w:rPr>
                <w:rFonts w:cs="Arial"/>
                <w:color w:val="000000"/>
              </w:rPr>
            </w:pPr>
            <w:r w:rsidRPr="00757D20">
              <w:rPr>
                <w:rFonts w:cs="Arial"/>
                <w:color w:val="000000"/>
              </w:rPr>
              <w:t>5.1</w:t>
            </w:r>
          </w:p>
        </w:tc>
      </w:tr>
      <w:tr w:rsidR="00821B96" w:rsidRPr="00757D20" w14:paraId="71A32D50" w14:textId="77777777" w:rsidTr="00A4180B">
        <w:trPr>
          <w:trHeight w:val="285"/>
        </w:trPr>
        <w:tc>
          <w:tcPr>
            <w:tcW w:w="5820" w:type="dxa"/>
            <w:vAlign w:val="center"/>
            <w:hideMark/>
          </w:tcPr>
          <w:p w14:paraId="453C4F91" w14:textId="4BDE1EAA" w:rsidR="00821B96" w:rsidRPr="00757D20" w:rsidRDefault="00821B96" w:rsidP="00A4180B">
            <w:pPr>
              <w:spacing w:after="0"/>
              <w:rPr>
                <w:rFonts w:cs="Arial"/>
                <w:color w:val="222222"/>
              </w:rPr>
            </w:pPr>
            <w:r w:rsidRPr="00757D20">
              <w:rPr>
                <w:rFonts w:cs="Arial"/>
                <w:color w:val="222222"/>
              </w:rPr>
              <w:t xml:space="preserve">Building </w:t>
            </w:r>
            <w:r w:rsidR="00B1400B">
              <w:rPr>
                <w:rFonts w:cs="Arial"/>
                <w:color w:val="222222"/>
              </w:rPr>
              <w:t>c</w:t>
            </w:r>
            <w:r w:rsidRPr="00757D20">
              <w:rPr>
                <w:rFonts w:cs="Arial"/>
                <w:color w:val="222222"/>
              </w:rPr>
              <w:t xml:space="preserve">leaning, </w:t>
            </w:r>
            <w:r w:rsidR="00B1400B">
              <w:rPr>
                <w:rFonts w:cs="Arial"/>
                <w:color w:val="222222"/>
              </w:rPr>
              <w:t>p</w:t>
            </w:r>
            <w:r w:rsidRPr="00757D20">
              <w:rPr>
                <w:rFonts w:cs="Arial"/>
                <w:color w:val="222222"/>
              </w:rPr>
              <w:t xml:space="preserve">est </w:t>
            </w:r>
            <w:r w:rsidR="00B1400B">
              <w:rPr>
                <w:rFonts w:cs="Arial"/>
                <w:color w:val="222222"/>
              </w:rPr>
              <w:t>c</w:t>
            </w:r>
            <w:r w:rsidRPr="00757D20">
              <w:rPr>
                <w:rFonts w:cs="Arial"/>
                <w:color w:val="222222"/>
              </w:rPr>
              <w:t>ontrol</w:t>
            </w:r>
            <w:r w:rsidR="00257C61" w:rsidRPr="00757D20">
              <w:rPr>
                <w:rFonts w:cs="Arial"/>
                <w:color w:val="222222"/>
              </w:rPr>
              <w:t>,</w:t>
            </w:r>
            <w:r w:rsidRPr="00757D20">
              <w:rPr>
                <w:rFonts w:cs="Arial"/>
                <w:color w:val="222222"/>
              </w:rPr>
              <w:t xml:space="preserve"> and </w:t>
            </w:r>
            <w:r w:rsidR="00B1400B">
              <w:rPr>
                <w:rFonts w:cs="Arial"/>
                <w:color w:val="222222"/>
              </w:rPr>
              <w:t>g</w:t>
            </w:r>
            <w:r w:rsidRPr="00757D20">
              <w:rPr>
                <w:rFonts w:cs="Arial"/>
                <w:color w:val="222222"/>
              </w:rPr>
              <w:t xml:space="preserve">ardening </w:t>
            </w:r>
            <w:r w:rsidR="00B1400B">
              <w:rPr>
                <w:rFonts w:cs="Arial"/>
                <w:color w:val="222222"/>
              </w:rPr>
              <w:t>s</w:t>
            </w:r>
            <w:r w:rsidRPr="00757D20">
              <w:rPr>
                <w:rFonts w:cs="Arial"/>
                <w:color w:val="222222"/>
              </w:rPr>
              <w:t>ervices</w:t>
            </w:r>
          </w:p>
        </w:tc>
        <w:tc>
          <w:tcPr>
            <w:tcW w:w="1480" w:type="dxa"/>
            <w:vAlign w:val="center"/>
            <w:hideMark/>
          </w:tcPr>
          <w:p w14:paraId="35C54D23" w14:textId="77777777" w:rsidR="00821B96" w:rsidRPr="00757D20" w:rsidRDefault="00821B96" w:rsidP="00A4180B">
            <w:pPr>
              <w:spacing w:after="0"/>
              <w:jc w:val="right"/>
              <w:rPr>
                <w:rFonts w:cs="Arial"/>
                <w:color w:val="222222"/>
              </w:rPr>
            </w:pPr>
            <w:r w:rsidRPr="00757D20">
              <w:rPr>
                <w:rFonts w:cs="Arial"/>
                <w:color w:val="222222"/>
              </w:rPr>
              <w:t>2.5</w:t>
            </w:r>
          </w:p>
        </w:tc>
        <w:tc>
          <w:tcPr>
            <w:tcW w:w="1560" w:type="dxa"/>
            <w:noWrap/>
            <w:vAlign w:val="bottom"/>
            <w:hideMark/>
          </w:tcPr>
          <w:p w14:paraId="6D2CFAEC" w14:textId="57C80545" w:rsidR="00821B96" w:rsidRPr="00757D20" w:rsidRDefault="005B419D" w:rsidP="00A4180B">
            <w:pPr>
              <w:spacing w:after="0"/>
              <w:jc w:val="right"/>
              <w:rPr>
                <w:rFonts w:cs="Arial"/>
                <w:color w:val="222222"/>
              </w:rPr>
            </w:pPr>
            <w:r>
              <w:rPr>
                <w:rFonts w:cs="Arial"/>
                <w:color w:val="222222"/>
              </w:rPr>
              <w:t>-</w:t>
            </w:r>
          </w:p>
        </w:tc>
      </w:tr>
      <w:tr w:rsidR="00821B96" w:rsidRPr="00757D20" w14:paraId="0B20F99D" w14:textId="77777777" w:rsidTr="00A4180B">
        <w:trPr>
          <w:trHeight w:val="285"/>
        </w:trPr>
        <w:tc>
          <w:tcPr>
            <w:tcW w:w="5820" w:type="dxa"/>
            <w:vAlign w:val="center"/>
            <w:hideMark/>
          </w:tcPr>
          <w:p w14:paraId="1C0E4063" w14:textId="539BDEE3" w:rsidR="00821B96" w:rsidRPr="00757D20" w:rsidRDefault="00821B96" w:rsidP="00A4180B">
            <w:pPr>
              <w:spacing w:after="0"/>
              <w:rPr>
                <w:rFonts w:cs="Arial"/>
                <w:color w:val="222222"/>
              </w:rPr>
            </w:pPr>
            <w:r w:rsidRPr="00757D20">
              <w:rPr>
                <w:rFonts w:cs="Arial"/>
                <w:color w:val="222222"/>
              </w:rPr>
              <w:t xml:space="preserve">Other </w:t>
            </w:r>
            <w:r w:rsidR="00B1400B">
              <w:rPr>
                <w:rFonts w:cs="Arial"/>
                <w:color w:val="222222"/>
              </w:rPr>
              <w:t>s</w:t>
            </w:r>
            <w:r w:rsidRPr="00757D20">
              <w:rPr>
                <w:rFonts w:cs="Arial"/>
                <w:color w:val="222222"/>
              </w:rPr>
              <w:t xml:space="preserve">ocial </w:t>
            </w:r>
            <w:r w:rsidR="00B1400B">
              <w:rPr>
                <w:rFonts w:cs="Arial"/>
                <w:color w:val="222222"/>
              </w:rPr>
              <w:t>a</w:t>
            </w:r>
            <w:r w:rsidRPr="00757D20">
              <w:rPr>
                <w:rFonts w:cs="Arial"/>
                <w:color w:val="222222"/>
              </w:rPr>
              <w:t xml:space="preserve">ssistance </w:t>
            </w:r>
            <w:r w:rsidR="00B1400B">
              <w:rPr>
                <w:rFonts w:cs="Arial"/>
                <w:color w:val="222222"/>
              </w:rPr>
              <w:t>s</w:t>
            </w:r>
            <w:r w:rsidRPr="00757D20">
              <w:rPr>
                <w:rFonts w:cs="Arial"/>
                <w:color w:val="222222"/>
              </w:rPr>
              <w:t>ervices</w:t>
            </w:r>
          </w:p>
        </w:tc>
        <w:tc>
          <w:tcPr>
            <w:tcW w:w="1480" w:type="dxa"/>
            <w:vAlign w:val="center"/>
            <w:hideMark/>
          </w:tcPr>
          <w:p w14:paraId="69C8E636" w14:textId="2390C50C" w:rsidR="00821B96" w:rsidRPr="00757D20" w:rsidRDefault="005B419D" w:rsidP="00A4180B">
            <w:pPr>
              <w:spacing w:after="0"/>
              <w:jc w:val="right"/>
              <w:rPr>
                <w:rFonts w:cs="Arial"/>
                <w:color w:val="222222"/>
              </w:rPr>
            </w:pPr>
            <w:r>
              <w:rPr>
                <w:rFonts w:cs="Arial"/>
                <w:color w:val="222222"/>
              </w:rPr>
              <w:t>-</w:t>
            </w:r>
          </w:p>
        </w:tc>
        <w:tc>
          <w:tcPr>
            <w:tcW w:w="1560" w:type="dxa"/>
            <w:noWrap/>
            <w:vAlign w:val="bottom"/>
            <w:hideMark/>
          </w:tcPr>
          <w:p w14:paraId="5B34940F" w14:textId="77777777" w:rsidR="00821B96" w:rsidRPr="00757D20" w:rsidRDefault="00821B96" w:rsidP="00A4180B">
            <w:pPr>
              <w:spacing w:after="0"/>
              <w:jc w:val="right"/>
              <w:rPr>
                <w:rFonts w:cs="Arial"/>
                <w:color w:val="000000"/>
              </w:rPr>
            </w:pPr>
            <w:r w:rsidRPr="00757D20">
              <w:rPr>
                <w:rFonts w:cs="Arial"/>
                <w:color w:val="000000"/>
              </w:rPr>
              <w:t>3.8</w:t>
            </w:r>
          </w:p>
        </w:tc>
      </w:tr>
      <w:tr w:rsidR="00821B96" w:rsidRPr="00757D20" w14:paraId="76EFBF97" w14:textId="77777777" w:rsidTr="00A4180B">
        <w:trPr>
          <w:trHeight w:val="285"/>
        </w:trPr>
        <w:tc>
          <w:tcPr>
            <w:tcW w:w="5820" w:type="dxa"/>
            <w:vAlign w:val="center"/>
            <w:hideMark/>
          </w:tcPr>
          <w:p w14:paraId="0B14C0AC" w14:textId="033B7ED0" w:rsidR="00821B96" w:rsidRPr="00757D20" w:rsidRDefault="00821B96" w:rsidP="00A4180B">
            <w:pPr>
              <w:spacing w:after="0"/>
              <w:rPr>
                <w:rFonts w:cs="Arial"/>
                <w:color w:val="222222"/>
              </w:rPr>
            </w:pPr>
            <w:r w:rsidRPr="00757D20">
              <w:rPr>
                <w:rFonts w:cs="Arial"/>
                <w:color w:val="222222"/>
              </w:rPr>
              <w:t xml:space="preserve">Takeaway </w:t>
            </w:r>
            <w:r w:rsidR="00B1400B">
              <w:rPr>
                <w:rFonts w:cs="Arial"/>
                <w:color w:val="222222"/>
              </w:rPr>
              <w:t>f</w:t>
            </w:r>
            <w:r w:rsidRPr="00757D20">
              <w:rPr>
                <w:rFonts w:cs="Arial"/>
                <w:color w:val="222222"/>
              </w:rPr>
              <w:t xml:space="preserve">ood </w:t>
            </w:r>
            <w:r w:rsidR="00B1400B">
              <w:rPr>
                <w:rFonts w:cs="Arial"/>
                <w:color w:val="222222"/>
              </w:rPr>
              <w:t>s</w:t>
            </w:r>
            <w:r w:rsidRPr="00757D20">
              <w:rPr>
                <w:rFonts w:cs="Arial"/>
                <w:color w:val="222222"/>
              </w:rPr>
              <w:t>ervices</w:t>
            </w:r>
          </w:p>
        </w:tc>
        <w:tc>
          <w:tcPr>
            <w:tcW w:w="1480" w:type="dxa"/>
            <w:noWrap/>
            <w:vAlign w:val="bottom"/>
            <w:hideMark/>
          </w:tcPr>
          <w:p w14:paraId="363048A6" w14:textId="1933F954" w:rsidR="00821B96" w:rsidRPr="00757D20" w:rsidRDefault="005B419D" w:rsidP="00A4180B">
            <w:pPr>
              <w:spacing w:after="0"/>
              <w:jc w:val="right"/>
              <w:rPr>
                <w:rFonts w:cs="Arial"/>
                <w:color w:val="222222"/>
              </w:rPr>
            </w:pPr>
            <w:r>
              <w:rPr>
                <w:rFonts w:cs="Arial"/>
                <w:color w:val="222222"/>
              </w:rPr>
              <w:t>-</w:t>
            </w:r>
          </w:p>
        </w:tc>
        <w:tc>
          <w:tcPr>
            <w:tcW w:w="1560" w:type="dxa"/>
            <w:noWrap/>
            <w:vAlign w:val="bottom"/>
            <w:hideMark/>
          </w:tcPr>
          <w:p w14:paraId="755FCAB0" w14:textId="77777777" w:rsidR="00821B96" w:rsidRPr="00757D20" w:rsidRDefault="00821B96" w:rsidP="00A4180B">
            <w:pPr>
              <w:spacing w:after="0"/>
              <w:jc w:val="right"/>
              <w:rPr>
                <w:rFonts w:cs="Arial"/>
                <w:color w:val="000000"/>
              </w:rPr>
            </w:pPr>
            <w:r w:rsidRPr="00757D20">
              <w:rPr>
                <w:rFonts w:cs="Arial"/>
                <w:color w:val="000000"/>
              </w:rPr>
              <w:t>2.9</w:t>
            </w:r>
          </w:p>
        </w:tc>
      </w:tr>
    </w:tbl>
    <w:p w14:paraId="26439D02" w14:textId="77777777" w:rsidR="00326E64" w:rsidRPr="00757D20" w:rsidRDefault="00326E64" w:rsidP="00C43D96">
      <w:pPr>
        <w:pStyle w:val="Heading3"/>
        <w:numPr>
          <w:ilvl w:val="0"/>
          <w:numId w:val="0"/>
        </w:numPr>
        <w:pBdr>
          <w:top w:val="single" w:sz="4" w:space="1" w:color="auto"/>
          <w:left w:val="single" w:sz="4" w:space="4" w:color="auto"/>
          <w:bottom w:val="single" w:sz="4" w:space="1" w:color="auto"/>
          <w:right w:val="single" w:sz="4" w:space="4" w:color="auto"/>
        </w:pBdr>
        <w:shd w:val="clear" w:color="auto" w:fill="CAEEEC" w:themeFill="accent6" w:themeFillTint="99"/>
        <w:ind w:left="1021" w:hanging="1021"/>
      </w:pPr>
      <w:bookmarkStart w:id="97" w:name="_Toc196396169"/>
      <w:bookmarkStart w:id="98" w:name="_Toc219977240"/>
      <w:proofErr w:type="spellStart"/>
      <w:r w:rsidRPr="00757D20">
        <w:lastRenderedPageBreak/>
        <w:t>Murrindah</w:t>
      </w:r>
      <w:proofErr w:type="spellEnd"/>
      <w:r w:rsidRPr="00757D20">
        <w:t xml:space="preserve"> High School: Overview</w:t>
      </w:r>
      <w:bookmarkEnd w:id="97"/>
      <w:bookmarkEnd w:id="98"/>
    </w:p>
    <w:p w14:paraId="0199FB88" w14:textId="164598DA" w:rsidR="00A12834" w:rsidRPr="00757D20" w:rsidRDefault="00326E64" w:rsidP="00DB7047">
      <w:pPr>
        <w:pBdr>
          <w:top w:val="single" w:sz="4" w:space="1" w:color="auto"/>
          <w:left w:val="single" w:sz="4" w:space="4" w:color="auto"/>
          <w:bottom w:val="single" w:sz="4" w:space="1" w:color="auto"/>
          <w:right w:val="single" w:sz="4" w:space="4" w:color="auto"/>
        </w:pBdr>
        <w:shd w:val="clear" w:color="auto" w:fill="CAEEEC" w:themeFill="accent6" w:themeFillTint="99"/>
      </w:pPr>
      <w:proofErr w:type="spellStart"/>
      <w:r w:rsidRPr="00757D20">
        <w:t>Murrindah</w:t>
      </w:r>
      <w:proofErr w:type="spellEnd"/>
      <w:r w:rsidRPr="00757D20">
        <w:t xml:space="preserve"> High School is </w:t>
      </w:r>
      <w:r w:rsidR="00B972E5" w:rsidRPr="00757D20">
        <w:t xml:space="preserve">a </w:t>
      </w:r>
      <w:r w:rsidRPr="00757D20">
        <w:t>mid-size</w:t>
      </w:r>
      <w:r w:rsidR="00B1400B">
        <w:t>d</w:t>
      </w:r>
      <w:r w:rsidRPr="00757D20">
        <w:t xml:space="preserve"> high school located </w:t>
      </w:r>
      <w:r w:rsidR="001A2F6E" w:rsidRPr="00757D20">
        <w:t>on the fringes of</w:t>
      </w:r>
      <w:r w:rsidR="001D7387" w:rsidRPr="00757D20">
        <w:t xml:space="preserve"> a</w:t>
      </w:r>
      <w:r w:rsidRPr="00757D20">
        <w:t xml:space="preserve"> major </w:t>
      </w:r>
      <w:r w:rsidR="00FF6D3B" w:rsidRPr="00757D20">
        <w:t>regional</w:t>
      </w:r>
      <w:r w:rsidRPr="00757D20">
        <w:t xml:space="preserve"> city</w:t>
      </w:r>
      <w:r w:rsidR="00FF6D3B" w:rsidRPr="00757D20">
        <w:t xml:space="preserve"> near the coast</w:t>
      </w:r>
      <w:r w:rsidRPr="00757D20">
        <w:t xml:space="preserve">. We first visited </w:t>
      </w:r>
      <w:proofErr w:type="spellStart"/>
      <w:r w:rsidRPr="00757D20">
        <w:t>Murrindah</w:t>
      </w:r>
      <w:proofErr w:type="spellEnd"/>
      <w:r w:rsidRPr="00757D20">
        <w:t xml:space="preserve"> High in 2014 as a part of the </w:t>
      </w:r>
      <w:r w:rsidRPr="00757D20">
        <w:rPr>
          <w:i/>
          <w:iCs/>
        </w:rPr>
        <w:t xml:space="preserve">Choosing University </w:t>
      </w:r>
      <w:r w:rsidR="00C67C04" w:rsidRPr="00757D20">
        <w:t>s</w:t>
      </w:r>
      <w:r w:rsidRPr="00757D20">
        <w:t>tudy</w:t>
      </w:r>
      <w:r w:rsidRPr="00757D20">
        <w:rPr>
          <w:i/>
          <w:iCs/>
        </w:rPr>
        <w:t>.</w:t>
      </w:r>
      <w:r w:rsidRPr="00757D20">
        <w:t xml:space="preserve"> We returned to </w:t>
      </w:r>
      <w:proofErr w:type="spellStart"/>
      <w:r w:rsidRPr="00757D20">
        <w:t>Murrindah</w:t>
      </w:r>
      <w:proofErr w:type="spellEnd"/>
      <w:r w:rsidRPr="00757D20">
        <w:t xml:space="preserve"> again in 2017 to collect additional data for the </w:t>
      </w:r>
      <w:r w:rsidRPr="00757D20">
        <w:rPr>
          <w:i/>
          <w:iCs/>
        </w:rPr>
        <w:t xml:space="preserve">Unlocking </w:t>
      </w:r>
      <w:r w:rsidR="00C67C04" w:rsidRPr="00757D20">
        <w:rPr>
          <w:i/>
          <w:iCs/>
        </w:rPr>
        <w:t>C</w:t>
      </w:r>
      <w:r w:rsidRPr="00757D20">
        <w:rPr>
          <w:i/>
          <w:iCs/>
        </w:rPr>
        <w:t xml:space="preserve">apacity and </w:t>
      </w:r>
      <w:r w:rsidR="00C67C04" w:rsidRPr="00757D20">
        <w:rPr>
          <w:i/>
          <w:iCs/>
        </w:rPr>
        <w:t>E</w:t>
      </w:r>
      <w:r w:rsidRPr="00757D20">
        <w:rPr>
          <w:i/>
          <w:iCs/>
        </w:rPr>
        <w:t xml:space="preserve">mpowering </w:t>
      </w:r>
      <w:r w:rsidR="00C67C04" w:rsidRPr="00757D20">
        <w:t>C</w:t>
      </w:r>
      <w:r w:rsidRPr="00757D20">
        <w:t>hoices</w:t>
      </w:r>
      <w:r w:rsidR="00C67C04" w:rsidRPr="00757D20">
        <w:t xml:space="preserve"> study </w:t>
      </w:r>
      <w:r w:rsidR="00A12834" w:rsidRPr="00757D20">
        <w:t xml:space="preserve">and </w:t>
      </w:r>
      <w:r w:rsidRPr="00757D20">
        <w:t xml:space="preserve">for a third time in 2025 for the </w:t>
      </w:r>
      <w:r w:rsidRPr="00757D20">
        <w:rPr>
          <w:i/>
          <w:iCs/>
        </w:rPr>
        <w:t xml:space="preserve">Aspirations in Uncertain Times </w:t>
      </w:r>
      <w:r w:rsidRPr="00757D20">
        <w:t xml:space="preserve">project. With a current ICSEA of 947, </w:t>
      </w:r>
      <w:proofErr w:type="spellStart"/>
      <w:r w:rsidRPr="00757D20">
        <w:t>Murrindah</w:t>
      </w:r>
      <w:proofErr w:type="spellEnd"/>
      <w:r w:rsidRPr="00757D20">
        <w:t xml:space="preserve"> High falls within the lowest 25% of Australian </w:t>
      </w:r>
      <w:r w:rsidR="00B1400B">
        <w:t>s</w:t>
      </w:r>
      <w:r w:rsidRPr="00757D20">
        <w:t xml:space="preserve">chools in terms of </w:t>
      </w:r>
      <w:r w:rsidR="00B1400B">
        <w:t>s</w:t>
      </w:r>
      <w:r w:rsidRPr="00757D20">
        <w:t>ocio-</w:t>
      </w:r>
      <w:r w:rsidR="00B1400B">
        <w:t>e</w:t>
      </w:r>
      <w:r w:rsidRPr="00757D20">
        <w:t xml:space="preserve">ducational </w:t>
      </w:r>
      <w:r w:rsidR="00B1400B">
        <w:t>a</w:t>
      </w:r>
      <w:r w:rsidRPr="00757D20">
        <w:t>dvantage</w:t>
      </w:r>
      <w:r w:rsidRPr="00757D20">
        <w:rPr>
          <w:bCs/>
        </w:rPr>
        <w:t xml:space="preserve">. </w:t>
      </w:r>
      <w:r w:rsidR="00A67AED" w:rsidRPr="00757D20">
        <w:rPr>
          <w:bCs/>
        </w:rPr>
        <w:t xml:space="preserve">The school serves a diverse population of students, with the proportion of </w:t>
      </w:r>
      <w:r w:rsidR="00680FCF" w:rsidRPr="00757D20">
        <w:rPr>
          <w:bCs/>
        </w:rPr>
        <w:t xml:space="preserve">Indigenous students and those from </w:t>
      </w:r>
      <w:r w:rsidR="009B4532" w:rsidRPr="00757D20">
        <w:rPr>
          <w:bCs/>
        </w:rPr>
        <w:t>l</w:t>
      </w:r>
      <w:r w:rsidR="00680FCF" w:rsidRPr="00757D20">
        <w:rPr>
          <w:bCs/>
        </w:rPr>
        <w:t xml:space="preserve">anguage </w:t>
      </w:r>
      <w:r w:rsidR="009B4532" w:rsidRPr="00757D20">
        <w:rPr>
          <w:bCs/>
        </w:rPr>
        <w:t>b</w:t>
      </w:r>
      <w:r w:rsidR="00680FCF" w:rsidRPr="00757D20">
        <w:rPr>
          <w:bCs/>
        </w:rPr>
        <w:t xml:space="preserve">ackgrounds </w:t>
      </w:r>
      <w:r w:rsidR="009B4532" w:rsidRPr="00757D20">
        <w:rPr>
          <w:bCs/>
        </w:rPr>
        <w:t>o</w:t>
      </w:r>
      <w:r w:rsidR="00680FCF" w:rsidRPr="00757D20">
        <w:rPr>
          <w:bCs/>
        </w:rPr>
        <w:t xml:space="preserve">ther </w:t>
      </w:r>
      <w:r w:rsidR="009B4532" w:rsidRPr="00757D20">
        <w:rPr>
          <w:bCs/>
        </w:rPr>
        <w:t>t</w:t>
      </w:r>
      <w:r w:rsidR="00680FCF" w:rsidRPr="00757D20">
        <w:rPr>
          <w:bCs/>
        </w:rPr>
        <w:t>han English increasing in recent years.</w:t>
      </w:r>
      <w:r w:rsidR="009B4532" w:rsidRPr="00757D20">
        <w:rPr>
          <w:bCs/>
        </w:rPr>
        <w:t xml:space="preserve"> The broader </w:t>
      </w:r>
      <w:proofErr w:type="spellStart"/>
      <w:r w:rsidR="009B4532" w:rsidRPr="00757D20">
        <w:rPr>
          <w:bCs/>
        </w:rPr>
        <w:t>Murrindah</w:t>
      </w:r>
      <w:proofErr w:type="spellEnd"/>
      <w:r w:rsidR="009B4532" w:rsidRPr="00757D20">
        <w:rPr>
          <w:bCs/>
        </w:rPr>
        <w:t xml:space="preserve"> community </w:t>
      </w:r>
      <w:r w:rsidR="003C4F88" w:rsidRPr="00757D20">
        <w:rPr>
          <w:bCs/>
        </w:rPr>
        <w:t>is also diverse, but faces longstanding economic and material challenges</w:t>
      </w:r>
      <w:r w:rsidR="009A5B0D" w:rsidRPr="00757D20">
        <w:rPr>
          <w:bCs/>
        </w:rPr>
        <w:t>, with limited access to local employment</w:t>
      </w:r>
      <w:r w:rsidR="00644F41" w:rsidRPr="00757D20">
        <w:rPr>
          <w:bCs/>
        </w:rPr>
        <w:t xml:space="preserve"> and opportunities for youth</w:t>
      </w:r>
      <w:r w:rsidR="003C4F88" w:rsidRPr="00757D20">
        <w:rPr>
          <w:bCs/>
        </w:rPr>
        <w:t xml:space="preserve">. </w:t>
      </w:r>
    </w:p>
    <w:p w14:paraId="66D90607" w14:textId="77777777" w:rsidR="00615295" w:rsidRPr="00757D20" w:rsidRDefault="00615295" w:rsidP="00A32ECA"/>
    <w:p w14:paraId="00BE46DE" w14:textId="4CAA75F1" w:rsidR="00615295" w:rsidRPr="00757D20" w:rsidRDefault="00615295" w:rsidP="00D618E7">
      <w:pPr>
        <w:pStyle w:val="Heading3"/>
      </w:pPr>
      <w:bookmarkStart w:id="99" w:name="_Toc196396170"/>
      <w:bookmarkStart w:id="100" w:name="_Toc219977241"/>
      <w:r w:rsidRPr="00757D20">
        <w:t xml:space="preserve">A community marked by </w:t>
      </w:r>
      <w:r w:rsidR="00136F16" w:rsidRPr="00757D20">
        <w:t xml:space="preserve">both </w:t>
      </w:r>
      <w:r w:rsidRPr="00757D20">
        <w:t>affluence and structural inequality</w:t>
      </w:r>
      <w:bookmarkEnd w:id="99"/>
      <w:bookmarkEnd w:id="100"/>
    </w:p>
    <w:p w14:paraId="25CDDF2A" w14:textId="1C6B0F7B" w:rsidR="00615295" w:rsidRPr="00757D20" w:rsidRDefault="00615295" w:rsidP="00615295">
      <w:proofErr w:type="spellStart"/>
      <w:r w:rsidRPr="00757D20">
        <w:t>Murrindah</w:t>
      </w:r>
      <w:proofErr w:type="spellEnd"/>
      <w:r w:rsidRPr="00757D20">
        <w:t xml:space="preserve"> High School </w:t>
      </w:r>
      <w:proofErr w:type="gramStart"/>
      <w:r w:rsidRPr="00757D20">
        <w:t>is located in</w:t>
      </w:r>
      <w:proofErr w:type="gramEnd"/>
      <w:r w:rsidR="00B1400B">
        <w:t xml:space="preserve"> a</w:t>
      </w:r>
      <w:r w:rsidRPr="00757D20">
        <w:t xml:space="preserve"> large suburb on the very outer fringes of a major </w:t>
      </w:r>
      <w:r w:rsidR="00FF6D3B" w:rsidRPr="00757D20">
        <w:t xml:space="preserve">regional </w:t>
      </w:r>
      <w:r w:rsidRPr="00757D20">
        <w:t xml:space="preserve">city, bordered by seaside towns and the ocean to the east and hinterland to the west. The </w:t>
      </w:r>
      <w:proofErr w:type="spellStart"/>
      <w:r w:rsidRPr="00757D20">
        <w:t>Murrindah</w:t>
      </w:r>
      <w:proofErr w:type="spellEnd"/>
      <w:r w:rsidRPr="00757D20">
        <w:t xml:space="preserve"> community is a place of contrasts. Pascal (teacher, 2014) described </w:t>
      </w:r>
      <w:r w:rsidR="00164B80" w:rsidRPr="00757D20">
        <w:t xml:space="preserve">the community </w:t>
      </w:r>
      <w:r w:rsidRPr="00757D20">
        <w:t xml:space="preserve">as "sort of the land that time forgot," </w:t>
      </w:r>
      <w:r w:rsidR="00730833" w:rsidRPr="00757D20">
        <w:t>reflecting</w:t>
      </w:r>
      <w:r w:rsidRPr="00757D20">
        <w:t xml:space="preserve"> both nostalgia and disenchantment. Although infrastructure like the local youth centre and local sporting clubs still anchor the community, broader socio</w:t>
      </w:r>
      <w:r w:rsidR="00B1400B">
        <w:t>-</w:t>
      </w:r>
      <w:r w:rsidRPr="00757D20">
        <w:t>economic shifts have altered its identity:</w:t>
      </w:r>
    </w:p>
    <w:p w14:paraId="65F712AA" w14:textId="093CBAB1" w:rsidR="00615295" w:rsidRPr="00757D20" w:rsidRDefault="00A708D2" w:rsidP="00615295">
      <w:pPr>
        <w:pStyle w:val="Quote"/>
      </w:pPr>
      <w:proofErr w:type="spellStart"/>
      <w:r w:rsidRPr="00757D20">
        <w:t>Murrindah</w:t>
      </w:r>
      <w:proofErr w:type="spellEnd"/>
      <w:r w:rsidR="00615295" w:rsidRPr="00757D20">
        <w:t xml:space="preserve"> used to be a vibrant centre</w:t>
      </w:r>
      <w:r w:rsidR="00B1400B">
        <w:t xml:space="preserve"> </w:t>
      </w:r>
      <w:r w:rsidR="00615295" w:rsidRPr="00757D20">
        <w:t>... but it's all changed</w:t>
      </w:r>
      <w:r w:rsidR="00B1400B">
        <w:t xml:space="preserve"> </w:t>
      </w:r>
      <w:r w:rsidR="00615295" w:rsidRPr="00757D20">
        <w:t>… it's not what it was. (Pascal, teacher, 2014)</w:t>
      </w:r>
    </w:p>
    <w:p w14:paraId="5293FDBE" w14:textId="77777777" w:rsidR="00615295" w:rsidRPr="00757D20" w:rsidRDefault="00615295" w:rsidP="00615295">
      <w:r w:rsidRPr="00757D20">
        <w:t>This sense of decline is echoed by students, particularly in the contrast between different neighbourhoods:</w:t>
      </w:r>
    </w:p>
    <w:p w14:paraId="127A30C7" w14:textId="246D74C2" w:rsidR="00615295" w:rsidRPr="00757D20" w:rsidRDefault="00E76D6D" w:rsidP="00615295">
      <w:pPr>
        <w:pStyle w:val="Quote"/>
      </w:pPr>
      <w:r w:rsidRPr="00757D20">
        <w:t>T</w:t>
      </w:r>
      <w:r w:rsidR="00615295" w:rsidRPr="00757D20">
        <w:t xml:space="preserve">here's this </w:t>
      </w:r>
      <w:proofErr w:type="gramStart"/>
      <w:r w:rsidR="00615295" w:rsidRPr="00757D20">
        <w:t>really posh</w:t>
      </w:r>
      <w:proofErr w:type="gramEnd"/>
      <w:r w:rsidR="00615295" w:rsidRPr="00757D20">
        <w:t xml:space="preserve"> area and then there's the slums down the bottom of the hill. I moved over the hill in my life, like, I grew up in the sheltered area and then had to move to the scary area. (Jo-Lee, Year 12 student, 2014)</w:t>
      </w:r>
    </w:p>
    <w:p w14:paraId="74ADF218" w14:textId="0F23AD87" w:rsidR="00615295" w:rsidRPr="00757D20" w:rsidRDefault="00615295" w:rsidP="00615295">
      <w:r w:rsidRPr="00757D20">
        <w:t>Jo-Lee uses a physical description—"the posh area" versus "the slums down the bottom of the hill"—to map out class divisions in her community. The hill becomes a symbol of social hierarchy, where those "on top" enjoy privilege and safety, while those "down the bottom" face hardship and risk. This spatial contrast mirrors broader socio</w:t>
      </w:r>
      <w:r w:rsidR="00B1400B">
        <w:t>-</w:t>
      </w:r>
      <w:r w:rsidRPr="00757D20">
        <w:t>economic divides often found in urban and regional settings. Similarly, Keira’s observations reflect a sense of discomfort with public disorder and perceived neglect:</w:t>
      </w:r>
    </w:p>
    <w:p w14:paraId="502D7E93" w14:textId="0EA2FC09" w:rsidR="00615295" w:rsidRPr="00757D20" w:rsidRDefault="00615295" w:rsidP="00615295">
      <w:pPr>
        <w:pStyle w:val="Quote"/>
      </w:pPr>
      <w:r w:rsidRPr="00757D20">
        <w:t xml:space="preserve">Some people are </w:t>
      </w:r>
      <w:proofErr w:type="spellStart"/>
      <w:r w:rsidRPr="00757D20">
        <w:t>derros</w:t>
      </w:r>
      <w:proofErr w:type="spellEnd"/>
      <w:r w:rsidRPr="00757D20">
        <w:rPr>
          <w:rStyle w:val="FootnoteReference"/>
        </w:rPr>
        <w:footnoteReference w:id="15"/>
      </w:r>
      <w:r w:rsidR="00B1400B">
        <w:t xml:space="preserve"> </w:t>
      </w:r>
      <w:r w:rsidRPr="00757D20">
        <w:t xml:space="preserve">… it’s like </w:t>
      </w:r>
      <w:proofErr w:type="gramStart"/>
      <w:r w:rsidRPr="00757D20">
        <w:t>really weird</w:t>
      </w:r>
      <w:proofErr w:type="gramEnd"/>
      <w:r w:rsidRPr="00757D20">
        <w:t>, like walking around drunk</w:t>
      </w:r>
      <w:r w:rsidR="00B1400B">
        <w:t xml:space="preserve"> </w:t>
      </w:r>
      <w:r w:rsidRPr="00757D20">
        <w:t>… not brushing their hair. (Keira, Year 7</w:t>
      </w:r>
      <w:r w:rsidR="00081F26" w:rsidRPr="00757D20">
        <w:t xml:space="preserve"> student</w:t>
      </w:r>
      <w:r w:rsidRPr="00757D20">
        <w:t>, 2014)</w:t>
      </w:r>
    </w:p>
    <w:p w14:paraId="7C5DB0FB" w14:textId="0F186707" w:rsidR="00615295" w:rsidRPr="00757D20" w:rsidRDefault="00832987" w:rsidP="00615295">
      <w:r w:rsidRPr="00757D20">
        <w:lastRenderedPageBreak/>
        <w:t xml:space="preserve">By </w:t>
      </w:r>
      <w:r w:rsidR="00615295" w:rsidRPr="00757D20">
        <w:t>2025, parents such as Adeline and Laney underscore</w:t>
      </w:r>
      <w:r w:rsidRPr="00757D20">
        <w:t>d</w:t>
      </w:r>
      <w:r w:rsidR="00615295" w:rsidRPr="00757D20">
        <w:t xml:space="preserve"> how </w:t>
      </w:r>
      <w:proofErr w:type="spellStart"/>
      <w:r w:rsidR="00615295" w:rsidRPr="00757D20">
        <w:t>Murrindah</w:t>
      </w:r>
      <w:proofErr w:type="spellEnd"/>
      <w:r w:rsidR="00615295" w:rsidRPr="00757D20">
        <w:t xml:space="preserve"> remains marked by economic hardship and limited recreational infrastructure for youth:</w:t>
      </w:r>
    </w:p>
    <w:p w14:paraId="19881CF2" w14:textId="2959E58F" w:rsidR="0063512A" w:rsidRPr="00757D20" w:rsidRDefault="00615295" w:rsidP="0063512A">
      <w:pPr>
        <w:pStyle w:val="Quote"/>
      </w:pPr>
      <w:r w:rsidRPr="00757D20">
        <w:t xml:space="preserve">There’s a lot of people in this area that </w:t>
      </w:r>
      <w:proofErr w:type="gramStart"/>
      <w:r w:rsidRPr="00757D20">
        <w:t>struggle;</w:t>
      </w:r>
      <w:proofErr w:type="gramEnd"/>
      <w:r w:rsidRPr="00757D20">
        <w:t xml:space="preserve"> full stop. Mental illness, you know, homelessness, you name it. (Laney, parent, 2025)</w:t>
      </w:r>
      <w:r w:rsidR="0063512A" w:rsidRPr="00757D20">
        <w:t xml:space="preserve"> </w:t>
      </w:r>
    </w:p>
    <w:p w14:paraId="56B1258A" w14:textId="2A083FE6" w:rsidR="0063512A" w:rsidRPr="00757D20" w:rsidRDefault="0063512A" w:rsidP="0063512A">
      <w:pPr>
        <w:pStyle w:val="Quote"/>
      </w:pPr>
      <w:r w:rsidRPr="00757D20">
        <w:t xml:space="preserve">There’s not actually an awful lot for children and teenagers to do themselves in </w:t>
      </w:r>
      <w:proofErr w:type="spellStart"/>
      <w:r w:rsidRPr="00757D20">
        <w:t>Murrindah</w:t>
      </w:r>
      <w:proofErr w:type="spellEnd"/>
      <w:r w:rsidRPr="00757D20">
        <w:t xml:space="preserve"> unless the parents are willing to pay money. (Adeline, parent, 2025)</w:t>
      </w:r>
    </w:p>
    <w:p w14:paraId="5B84AA2B" w14:textId="627EA547" w:rsidR="00615295" w:rsidRPr="00757D20" w:rsidRDefault="00615295" w:rsidP="00615295">
      <w:r w:rsidRPr="00757D20">
        <w:t xml:space="preserve">These two quotes offer a compelling look at the intersection of youth opportunity, economic precarity, and systemic disadvantage in </w:t>
      </w:r>
      <w:proofErr w:type="spellStart"/>
      <w:r w:rsidRPr="00757D20">
        <w:t>Murrindah</w:t>
      </w:r>
      <w:proofErr w:type="spellEnd"/>
      <w:r w:rsidRPr="00757D20">
        <w:t>. They highlight different aspects of how structural inequality play</w:t>
      </w:r>
      <w:r w:rsidR="00D71C17" w:rsidRPr="00757D20">
        <w:t>s</w:t>
      </w:r>
      <w:r w:rsidRPr="00757D20">
        <w:t xml:space="preserve"> out in everyday life, particularly for families and young people.</w:t>
      </w:r>
    </w:p>
    <w:p w14:paraId="0B81284A" w14:textId="46D2AB56" w:rsidR="00615295" w:rsidRPr="00757D20" w:rsidRDefault="00C962E0" w:rsidP="00615295">
      <w:r w:rsidRPr="00757D20">
        <w:t xml:space="preserve">By and large, </w:t>
      </w:r>
      <w:proofErr w:type="spellStart"/>
      <w:r w:rsidR="00615295" w:rsidRPr="00757D20">
        <w:t>Murrindah</w:t>
      </w:r>
      <w:proofErr w:type="spellEnd"/>
      <w:r w:rsidR="00615295" w:rsidRPr="00757D20">
        <w:t xml:space="preserve"> High School mirrors the diversity of the community. Reg (teacher, 2014) characterises the school as “in every way possible a comprehensive high school.” The student body spans public housing communities, middle-class estates, rural valleys, and out-of-area selective stream applicants:</w:t>
      </w:r>
    </w:p>
    <w:p w14:paraId="74F34B3D" w14:textId="2A3A6DF4" w:rsidR="00615295" w:rsidRPr="00757D20" w:rsidRDefault="00615295" w:rsidP="00615295">
      <w:pPr>
        <w:pStyle w:val="Quote"/>
      </w:pPr>
      <w:r w:rsidRPr="00757D20">
        <w:t>Here in our context</w:t>
      </w:r>
      <w:r w:rsidR="00B1400B">
        <w:t xml:space="preserve"> </w:t>
      </w:r>
      <w:r w:rsidRPr="00757D20">
        <w:t>... they're not all tarred with the same brush (Reg, teacher, 2014)</w:t>
      </w:r>
    </w:p>
    <w:p w14:paraId="349A5161" w14:textId="77777777" w:rsidR="00615295" w:rsidRPr="00757D20" w:rsidRDefault="00615295" w:rsidP="00615295">
      <w:r w:rsidRPr="00757D20">
        <w:t>This heterogeneity contributes to both richness and complexity. Rachel (teacher, 2014) notes a shift from rural to suburban enrolments over time, hinting at changing demographics and a possible narrowing of regional identity:</w:t>
      </w:r>
    </w:p>
    <w:p w14:paraId="1F30D793" w14:textId="6B5AC3A0" w:rsidR="00615295" w:rsidRPr="00757D20" w:rsidRDefault="00615295" w:rsidP="00615295">
      <w:pPr>
        <w:pStyle w:val="Quote"/>
      </w:pPr>
      <w:r w:rsidRPr="00757D20">
        <w:t>There are some people who are quite well off and others who are not. There are some people that have really high standards of education and others who don’t.  I think the difference between now and when I first started working here was</w:t>
      </w:r>
      <w:r w:rsidR="00B1400B">
        <w:t>,</w:t>
      </w:r>
      <w:r w:rsidRPr="00757D20">
        <w:t xml:space="preserve"> I think</w:t>
      </w:r>
      <w:r w:rsidR="00B1400B">
        <w:t>,</w:t>
      </w:r>
      <w:r w:rsidRPr="00757D20">
        <w:t xml:space="preserve"> there were a lot more students from</w:t>
      </w:r>
      <w:r w:rsidR="00B1400B">
        <w:t xml:space="preserve"> </w:t>
      </w:r>
      <w:r w:rsidRPr="00757D20">
        <w:t>… sort of rural areas that also attended, and there’s not that strong representation from those rural areas in the school now. (Rachel, teacher, 2014)</w:t>
      </w:r>
    </w:p>
    <w:p w14:paraId="2FCAD402" w14:textId="1B2ED968" w:rsidR="00615295" w:rsidRPr="00757D20" w:rsidRDefault="00615295" w:rsidP="00615295">
      <w:pPr>
        <w:rPr>
          <w:iCs/>
        </w:rPr>
      </w:pPr>
      <w:r w:rsidRPr="00757D20">
        <w:t>Despite the challenges of serving a community marked by social and economic diversity, the school remains a central hub where families with vastly different "mental attitude[s]"</w:t>
      </w:r>
      <w:r w:rsidR="00B44FA7">
        <w:t xml:space="preserve"> </w:t>
      </w:r>
      <w:r w:rsidR="007C3B01">
        <w:t>(Reg, teacher, 2014)</w:t>
      </w:r>
      <w:r w:rsidRPr="00757D20">
        <w:t xml:space="preserve"> and expectations converge. In 2025, parents Lainey and Adeline reflected on the school’s growing capacity to support a wide range of learners. This includes initiatives like a selective “</w:t>
      </w:r>
      <w:r w:rsidRPr="00757D20">
        <w:rPr>
          <w:iCs/>
        </w:rPr>
        <w:t>advanced learning class for STEM”</w:t>
      </w:r>
      <w:r w:rsidRPr="00757D20">
        <w:t xml:space="preserve"> (Adeline, </w:t>
      </w:r>
      <w:r w:rsidR="00CA578F" w:rsidRPr="00757D20">
        <w:t xml:space="preserve">parent, </w:t>
      </w:r>
      <w:r w:rsidRPr="00757D20">
        <w:t>2025) and targeted systems to address the complexities of supporting students with complex or vulnerable backgrounds</w:t>
      </w:r>
      <w:r w:rsidR="00CA578F" w:rsidRPr="00757D20">
        <w:t>:</w:t>
      </w:r>
    </w:p>
    <w:p w14:paraId="13340DA5" w14:textId="37698D77" w:rsidR="00615295" w:rsidRPr="00757D20" w:rsidRDefault="00615295" w:rsidP="00615295">
      <w:pPr>
        <w:pStyle w:val="Quote"/>
      </w:pPr>
      <w:r w:rsidRPr="00757D20">
        <w:t>More so</w:t>
      </w:r>
      <w:r w:rsidR="00CC4731" w:rsidRPr="00757D20">
        <w:t>—</w:t>
      </w:r>
      <w:r w:rsidRPr="00757D20">
        <w:t>more so than when my eldest child was there. They</w:t>
      </w:r>
      <w:r w:rsidR="00CC4731" w:rsidRPr="00757D20">
        <w:t>—</w:t>
      </w:r>
      <w:r w:rsidRPr="00757D20">
        <w:t xml:space="preserve">the </w:t>
      </w:r>
      <w:r w:rsidR="0038028D" w:rsidRPr="00757D20">
        <w:t>[studen</w:t>
      </w:r>
      <w:r w:rsidR="00441A61" w:rsidRPr="00757D20">
        <w:t xml:space="preserve">t’s] </w:t>
      </w:r>
      <w:r w:rsidRPr="00757D20">
        <w:t xml:space="preserve">first year they did </w:t>
      </w:r>
      <w:proofErr w:type="gramStart"/>
      <w:r w:rsidRPr="00757D20">
        <w:t>every single thing</w:t>
      </w:r>
      <w:proofErr w:type="gramEnd"/>
      <w:r w:rsidRPr="00757D20">
        <w:t xml:space="preserve"> in their power to engage and enhance the kids. To create relationships to head off issues</w:t>
      </w:r>
      <w:r w:rsidR="00CC4731" w:rsidRPr="00757D20">
        <w:t>—</w:t>
      </w:r>
      <w:r w:rsidRPr="00757D20">
        <w:t>improve the issues, that come with disadvantage. They just</w:t>
      </w:r>
      <w:r w:rsidR="00CC4731" w:rsidRPr="00757D20">
        <w:t>—</w:t>
      </w:r>
      <w:r w:rsidRPr="00757D20">
        <w:t xml:space="preserve">it was extraordinary, </w:t>
      </w:r>
      <w:proofErr w:type="gramStart"/>
      <w:r w:rsidRPr="00757D20">
        <w:t>really extraordinary</w:t>
      </w:r>
      <w:proofErr w:type="gramEnd"/>
      <w:r w:rsidRPr="00757D20">
        <w:t xml:space="preserve"> what they did in that first year. (Lainey, parent, 2025)</w:t>
      </w:r>
    </w:p>
    <w:p w14:paraId="53DB9F49" w14:textId="77777777" w:rsidR="005F7C53" w:rsidRPr="00757D20" w:rsidRDefault="005F7C53" w:rsidP="005F7C53"/>
    <w:p w14:paraId="01F0C3BF" w14:textId="2CC60A69" w:rsidR="00460554" w:rsidRPr="00757D20" w:rsidRDefault="00C07889" w:rsidP="00D618E7">
      <w:pPr>
        <w:pStyle w:val="Heading3"/>
      </w:pPr>
      <w:bookmarkStart w:id="101" w:name="_Toc196396171"/>
      <w:bookmarkStart w:id="102" w:name="_Toc219977242"/>
      <w:r w:rsidRPr="00757D20">
        <w:lastRenderedPageBreak/>
        <w:t>Challenges in accessing</w:t>
      </w:r>
      <w:r w:rsidR="00460554" w:rsidRPr="00757D20">
        <w:t xml:space="preserve"> paid work</w:t>
      </w:r>
      <w:bookmarkEnd w:id="101"/>
      <w:bookmarkEnd w:id="102"/>
    </w:p>
    <w:p w14:paraId="0C922B24" w14:textId="276D4AA2" w:rsidR="00460554" w:rsidRPr="00757D20" w:rsidRDefault="00460554" w:rsidP="00460554">
      <w:r w:rsidRPr="00757D20">
        <w:t xml:space="preserve">Across the decade, student educational and occupational aspirations have remained relatively consistent at </w:t>
      </w:r>
      <w:proofErr w:type="spellStart"/>
      <w:r w:rsidRPr="00757D20">
        <w:t>Murrindah</w:t>
      </w:r>
      <w:proofErr w:type="spellEnd"/>
      <w:r w:rsidRPr="00757D20">
        <w:t xml:space="preserve"> High School. Structural barriers such as limited local job markets, and social factors like peer influence and family culture, play a critical role in shaping students' post-school outcomes. When we spoke to teachers in 2014, they frequently pointed to student effort and social groups as strong predictors of student achievement and access to post-school destinations</w:t>
      </w:r>
      <w:r w:rsidR="00485365" w:rsidRPr="00757D20">
        <w:t>:</w:t>
      </w:r>
    </w:p>
    <w:p w14:paraId="5E8DBE42" w14:textId="672C146E" w:rsidR="00460554" w:rsidRPr="00757D20" w:rsidRDefault="00460554" w:rsidP="00460554">
      <w:pPr>
        <w:pStyle w:val="Quote"/>
      </w:pPr>
      <w:r w:rsidRPr="00757D20">
        <w:t>It's the effort and it's the social group that they're in and if the social group is not prepared to work then they don’t work. A lot of</w:t>
      </w:r>
      <w:r w:rsidR="00CC4731" w:rsidRPr="00757D20">
        <w:t>—</w:t>
      </w:r>
      <w:r w:rsidRPr="00757D20">
        <w:t>it's not what school you go to, what teachers you have, it's the social group you're in and if they are prepared to work and work as a group or if they're not. (Laura, teacher, 2014)</w:t>
      </w:r>
    </w:p>
    <w:p w14:paraId="7EC8C1B0" w14:textId="41165D91" w:rsidR="00460554" w:rsidRPr="00757D20" w:rsidRDefault="00460554" w:rsidP="00460554">
      <w:r w:rsidRPr="00757D20">
        <w:t>While Laura’s comment emphasises the significant influence of social dynamics on students’ motivation and work ethic, for other students</w:t>
      </w:r>
      <w:r w:rsidR="00A42D88" w:rsidRPr="00757D20">
        <w:t>,</w:t>
      </w:r>
      <w:r w:rsidRPr="00757D20">
        <w:t xml:space="preserve"> welfare dependence appears as both a symptom and a reinforcement of structural disadvantage. Teachers describe students gearing themselves toward a life on Centrelink—normalised and even accepted within their social spheres</w:t>
      </w:r>
      <w:r w:rsidR="00A42D88" w:rsidRPr="00757D20">
        <w:t>:</w:t>
      </w:r>
    </w:p>
    <w:p w14:paraId="76BB6A41" w14:textId="77777777" w:rsidR="00460554" w:rsidRPr="00757D20" w:rsidRDefault="00460554" w:rsidP="00460554">
      <w:pPr>
        <w:pStyle w:val="Quote"/>
      </w:pPr>
      <w:r w:rsidRPr="00757D20">
        <w:t>Here's these people getting ready for their life both on Centrelink and they've moved in together and these are nicer kids. These don't bong on or anything like that. They’re gearing themselves for a life and Centrelink’s the paymaster. (Pascal, teacher, 2014)</w:t>
      </w:r>
    </w:p>
    <w:p w14:paraId="0EE8406B" w14:textId="78F91CB4" w:rsidR="00460554" w:rsidRPr="00757D20" w:rsidRDefault="00460554" w:rsidP="00460554">
      <w:r w:rsidRPr="00757D20">
        <w:t xml:space="preserve">Pascal’s phrase "Centrelink’s the paymaster" suggests a resignation to a future of financial dependence, where these students may not aspire to careers that offer financial independence, but instead accept a life supported by government assistance. This </w:t>
      </w:r>
      <w:r w:rsidR="007C2A8A" w:rsidRPr="00757D20">
        <w:t>situation</w:t>
      </w:r>
      <w:r w:rsidRPr="00757D20">
        <w:t xml:space="preserve"> reflects broader issues such as limited opportunity, economic insecurity, or a lack of pathways to sustainable employment, shaping how some students view their </w:t>
      </w:r>
      <w:proofErr w:type="gramStart"/>
      <w:r w:rsidRPr="00757D20">
        <w:t>future prospects</w:t>
      </w:r>
      <w:proofErr w:type="gramEnd"/>
      <w:r w:rsidRPr="00757D20">
        <w:t xml:space="preserve">. For </w:t>
      </w:r>
      <w:r w:rsidR="00EF6670" w:rsidRPr="00757D20">
        <w:t xml:space="preserve">some </w:t>
      </w:r>
      <w:r w:rsidRPr="00757D20">
        <w:t>students</w:t>
      </w:r>
      <w:r w:rsidR="00BB3D7B" w:rsidRPr="00757D20">
        <w:t>,</w:t>
      </w:r>
      <w:r w:rsidRPr="00757D20">
        <w:t xml:space="preserve"> their choices for post-school pathways </w:t>
      </w:r>
      <w:r w:rsidR="000F391F" w:rsidRPr="00757D20">
        <w:t>can be</w:t>
      </w:r>
      <w:r w:rsidRPr="00757D20">
        <w:t xml:space="preserve"> narrowed by </w:t>
      </w:r>
      <w:r w:rsidR="005729D0" w:rsidRPr="00757D20">
        <w:t xml:space="preserve">such </w:t>
      </w:r>
      <w:r w:rsidRPr="00757D20">
        <w:t>internalised limitations:</w:t>
      </w:r>
    </w:p>
    <w:p w14:paraId="7EFC05A2" w14:textId="66F9F2F5" w:rsidR="00460554" w:rsidRPr="00757D20" w:rsidRDefault="00460554" w:rsidP="00460554">
      <w:pPr>
        <w:pStyle w:val="Quote"/>
      </w:pPr>
      <w:r w:rsidRPr="00757D20">
        <w:t>I guess one of the sad events I can think of is a Year 11 student, female student, “What do you want to do?”, “I want to do nursing.” Getting brilliant marks; could just as easily have focused on medicine as nursing. But no. “Oh no, I couldn’t do medicine, I'm only good enough to be a nurse”. (Jimmy, teacher, 2014)</w:t>
      </w:r>
    </w:p>
    <w:p w14:paraId="007DAE59" w14:textId="7A7A2AE9" w:rsidR="00460554" w:rsidRPr="00757D20" w:rsidRDefault="00460554" w:rsidP="000352AA">
      <w:r w:rsidRPr="00757D20">
        <w:t>Some students</w:t>
      </w:r>
      <w:r w:rsidR="00B61EFD" w:rsidRPr="00757D20">
        <w:t>, however,</w:t>
      </w:r>
      <w:r w:rsidRPr="00757D20">
        <w:t xml:space="preserve"> show early motivation and </w:t>
      </w:r>
      <w:proofErr w:type="gramStart"/>
      <w:r w:rsidRPr="00757D20">
        <w:t>goal-setting</w:t>
      </w:r>
      <w:proofErr w:type="gramEnd"/>
      <w:r w:rsidRPr="00757D20">
        <w:t xml:space="preserve">, aiming for university, TAFE, or </w:t>
      </w:r>
      <w:r w:rsidR="00B61EFD" w:rsidRPr="00757D20">
        <w:t>work pathways</w:t>
      </w:r>
      <w:r w:rsidRPr="00757D20">
        <w:t xml:space="preserve">. </w:t>
      </w:r>
      <w:r w:rsidR="00B61EFD" w:rsidRPr="00757D20">
        <w:t>Notwithstanding</w:t>
      </w:r>
      <w:r w:rsidR="00E446BE" w:rsidRPr="00757D20">
        <w:t xml:space="preserve"> these aspirants</w:t>
      </w:r>
      <w:r w:rsidRPr="00757D20">
        <w:t>, a significant portion remain disengaged from future planning</w:t>
      </w:r>
      <w:r w:rsidR="004363D9" w:rsidRPr="00757D20">
        <w:t>:</w:t>
      </w:r>
    </w:p>
    <w:p w14:paraId="70964A38" w14:textId="3C08E87C" w:rsidR="00460554" w:rsidRPr="00757D20" w:rsidRDefault="00460554" w:rsidP="00460554">
      <w:pPr>
        <w:pStyle w:val="Quote"/>
      </w:pPr>
      <w:r w:rsidRPr="00757D20">
        <w:t>Some have [plans]</w:t>
      </w:r>
      <w:r w:rsidR="00B1400B">
        <w:t xml:space="preserve"> </w:t>
      </w:r>
      <w:r w:rsidRPr="00757D20">
        <w:t>… university or TAFE or whatever else. But there seems to be a good portion that really don’t have any plan at all</w:t>
      </w:r>
      <w:r w:rsidR="00B1400B">
        <w:t xml:space="preserve"> </w:t>
      </w:r>
      <w:r w:rsidRPr="00757D20">
        <w:t>…</w:t>
      </w:r>
      <w:r w:rsidR="00B1400B">
        <w:t xml:space="preserve"> </w:t>
      </w:r>
      <w:r w:rsidRPr="00757D20">
        <w:t xml:space="preserve">There's also a good portion of students who feel as though they'll just leave school and find work and that'll be easy and that's what you do. I think there's a bit of misconception of how difficult it is to find work. Working at Maccas probably isn’t going to suit you </w:t>
      </w:r>
      <w:r w:rsidRPr="00757D20">
        <w:lastRenderedPageBreak/>
        <w:t>for most of your life</w:t>
      </w:r>
      <w:r w:rsidR="005179B1">
        <w:t xml:space="preserve"> </w:t>
      </w:r>
      <w:r w:rsidRPr="00757D20">
        <w:t>… there’s a bit of a struggle for some kids who think that’s fine. (Charlie, teacher, 2014)</w:t>
      </w:r>
    </w:p>
    <w:p w14:paraId="50AA47E5" w14:textId="24DFFAB4" w:rsidR="00460554" w:rsidRPr="00757D20" w:rsidRDefault="00460554" w:rsidP="00460554">
      <w:r w:rsidRPr="00757D20">
        <w:t>Charlie’s quote highlights the divide between students with clear post-school plans and those who underestimate the difficulty of entering the workforce. It reflects a misconception that low</w:t>
      </w:r>
      <w:r w:rsidR="005179B1">
        <w:t>-</w:t>
      </w:r>
      <w:r w:rsidRPr="00757D20">
        <w:t>skill</w:t>
      </w:r>
      <w:r w:rsidR="0049520D" w:rsidRPr="00757D20">
        <w:t>ed</w:t>
      </w:r>
      <w:r w:rsidRPr="00757D20">
        <w:t xml:space="preserve"> jobs, like those at McDonald's, offer long-term solutions, ignoring the challenges of securing meaningful, sustainable employment.</w:t>
      </w:r>
    </w:p>
    <w:p w14:paraId="2F9503D2" w14:textId="79E57563" w:rsidR="00460554" w:rsidRPr="00757D20" w:rsidRDefault="00460554" w:rsidP="00723560">
      <w:r w:rsidRPr="00757D20">
        <w:t xml:space="preserve">When we returned to </w:t>
      </w:r>
      <w:proofErr w:type="spellStart"/>
      <w:r w:rsidRPr="00757D20">
        <w:t>Murrindah</w:t>
      </w:r>
      <w:proofErr w:type="spellEnd"/>
      <w:r w:rsidRPr="00757D20">
        <w:t xml:space="preserve"> in 2025, there was an acknowledgment that wide-ranging career opportunities </w:t>
      </w:r>
      <w:r w:rsidR="006554CF" w:rsidRPr="00757D20">
        <w:t>continued to be</w:t>
      </w:r>
      <w:r w:rsidRPr="00757D20">
        <w:t xml:space="preserve"> limited in the community, reinforcing the importance of planning and education for mobility</w:t>
      </w:r>
      <w:r w:rsidR="006554CF" w:rsidRPr="00757D20">
        <w:t>:</w:t>
      </w:r>
    </w:p>
    <w:p w14:paraId="02C04AC9" w14:textId="4A9D76E7" w:rsidR="00460554" w:rsidRPr="00757D20" w:rsidRDefault="00460554" w:rsidP="00460554">
      <w:pPr>
        <w:pStyle w:val="Quote"/>
      </w:pPr>
      <w:r w:rsidRPr="00757D20">
        <w:t>Look, my first initial gut reaction was dim</w:t>
      </w:r>
      <w:r w:rsidR="005179B1">
        <w:t xml:space="preserve"> </w:t>
      </w:r>
      <w:r w:rsidRPr="00757D20">
        <w:t>…</w:t>
      </w:r>
      <w:r w:rsidR="00730C7F" w:rsidRPr="00757D20">
        <w:t xml:space="preserve"> </w:t>
      </w:r>
      <w:r w:rsidRPr="00757D20">
        <w:t xml:space="preserve">You’d probably not have the option of </w:t>
      </w:r>
      <w:r w:rsidR="005179B1" w:rsidRPr="00757D20">
        <w:t>higher-level</w:t>
      </w:r>
      <w:r w:rsidRPr="00757D20">
        <w:t xml:space="preserve"> jobs</w:t>
      </w:r>
      <w:r w:rsidR="005179B1">
        <w:t xml:space="preserve"> </w:t>
      </w:r>
      <w:r w:rsidRPr="00757D20">
        <w:t>… unless you can further advance yourself</w:t>
      </w:r>
      <w:r w:rsidR="005179B1">
        <w:t xml:space="preserve"> </w:t>
      </w:r>
      <w:r w:rsidRPr="00757D20">
        <w:t xml:space="preserve">… there’s not a lot here; no, that would serve them well, get them enough money to buy a house etc. (Lainey, </w:t>
      </w:r>
      <w:r w:rsidR="006554CF" w:rsidRPr="00757D20">
        <w:t>p</w:t>
      </w:r>
      <w:r w:rsidRPr="00757D20">
        <w:t>arent, 2025)</w:t>
      </w:r>
    </w:p>
    <w:p w14:paraId="2601BD0A" w14:textId="14AAF9BF" w:rsidR="00460554" w:rsidRPr="00757D20" w:rsidRDefault="00460554" w:rsidP="00460554">
      <w:r w:rsidRPr="00757D20">
        <w:t xml:space="preserve">Lainey’s quote underscores a common regional experience—that students must look beyond their immediate environment to fulfill aspirations, often requiring them to pursue higher education or relocate. Indeed, commuting for work or study remained common, with </w:t>
      </w:r>
      <w:r w:rsidR="006554CF" w:rsidRPr="00757D20">
        <w:t>the state’s capital</w:t>
      </w:r>
      <w:r w:rsidRPr="00757D20">
        <w:t xml:space="preserve"> offering broader options</w:t>
      </w:r>
      <w:r w:rsidR="006554CF" w:rsidRPr="00757D20">
        <w:t>:</w:t>
      </w:r>
    </w:p>
    <w:p w14:paraId="2BBDEF12" w14:textId="0F4BDA9D" w:rsidR="00460554" w:rsidRPr="00757D20" w:rsidRDefault="00460554" w:rsidP="00460554">
      <w:pPr>
        <w:pStyle w:val="Quote"/>
        <w:rPr>
          <w:b/>
          <w:bCs/>
        </w:rPr>
      </w:pPr>
      <w:r w:rsidRPr="00757D20">
        <w:t>It is very much a commuter</w:t>
      </w:r>
      <w:r w:rsidR="006554CF" w:rsidRPr="00757D20">
        <w:t xml:space="preserve"> [community]</w:t>
      </w:r>
      <w:r w:rsidRPr="00757D20">
        <w:t>. A lot of people still move, out and back, to come to Sydney every day of the week. (Adeline, parent, 2025)</w:t>
      </w:r>
    </w:p>
    <w:p w14:paraId="059B3110" w14:textId="0605347F" w:rsidR="003E4D9A" w:rsidRPr="00757D20" w:rsidRDefault="00460554" w:rsidP="0022309A">
      <w:pPr>
        <w:pStyle w:val="Quote"/>
      </w:pPr>
      <w:r w:rsidRPr="00757D20">
        <w:t>I think it’s more travelling to the city [for work] … Yeah, I feel like, well, just off personal experience, my family travels to</w:t>
      </w:r>
      <w:r w:rsidR="00CC4731" w:rsidRPr="00757D20">
        <w:t>—</w:t>
      </w:r>
      <w:r w:rsidRPr="00757D20">
        <w:t>down to Sydney a lot to trade there. I feel like there’s a lot of offices and warehouses based around here</w:t>
      </w:r>
      <w:r w:rsidR="005909AF" w:rsidRPr="00757D20">
        <w:t>.</w:t>
      </w:r>
      <w:r w:rsidRPr="00757D20">
        <w:t xml:space="preserve"> (Carissa, Year </w:t>
      </w:r>
      <w:r w:rsidR="00F90DD0" w:rsidRPr="00757D20">
        <w:t>11</w:t>
      </w:r>
      <w:r w:rsidRPr="00757D20">
        <w:t xml:space="preserve"> student, 2025)</w:t>
      </w:r>
    </w:p>
    <w:p w14:paraId="0AA96A68" w14:textId="3C2C9271" w:rsidR="003E4D9A" w:rsidRPr="00757D20" w:rsidRDefault="003E4D9A" w:rsidP="00D618E7">
      <w:pPr>
        <w:pStyle w:val="Heading3"/>
      </w:pPr>
      <w:bookmarkStart w:id="103" w:name="_Toc196396172"/>
      <w:bookmarkStart w:id="104" w:name="_Toc219977243"/>
      <w:r w:rsidRPr="00757D20">
        <w:t xml:space="preserve">Navigating </w:t>
      </w:r>
      <w:r w:rsidR="005119DB" w:rsidRPr="00757D20">
        <w:t>u</w:t>
      </w:r>
      <w:r w:rsidRPr="00757D20">
        <w:t>ncertainty</w:t>
      </w:r>
      <w:bookmarkEnd w:id="103"/>
      <w:bookmarkEnd w:id="104"/>
    </w:p>
    <w:p w14:paraId="2063C723" w14:textId="77777777" w:rsidR="003E4D9A" w:rsidRPr="00757D20" w:rsidRDefault="003E4D9A" w:rsidP="003E4D9A">
      <w:pPr>
        <w:spacing w:line="259" w:lineRule="auto"/>
      </w:pPr>
      <w:r w:rsidRPr="00757D20">
        <w:t xml:space="preserve">As early as our first visit to </w:t>
      </w:r>
      <w:proofErr w:type="spellStart"/>
      <w:r w:rsidRPr="00757D20">
        <w:t>Murrindah</w:t>
      </w:r>
      <w:proofErr w:type="spellEnd"/>
      <w:r w:rsidRPr="00757D20">
        <w:t xml:space="preserve"> in 2014, students were grappling with emotional and informational uncertainty about the future. Bhim, a student, described an ongoing internal conflict:</w:t>
      </w:r>
    </w:p>
    <w:p w14:paraId="2EDB5BC3" w14:textId="679AC351" w:rsidR="003E4D9A" w:rsidRPr="00757D20" w:rsidRDefault="003E4D9A" w:rsidP="003E4D9A">
      <w:pPr>
        <w:pStyle w:val="Quote"/>
      </w:pPr>
      <w:r w:rsidRPr="00757D20">
        <w:t xml:space="preserve">I </w:t>
      </w:r>
      <w:proofErr w:type="gramStart"/>
      <w:r w:rsidRPr="00757D20">
        <w:t>actually do</w:t>
      </w:r>
      <w:proofErr w:type="gramEnd"/>
      <w:r w:rsidRPr="00757D20">
        <w:t xml:space="preserve"> think about [the future] a lot, every single time </w:t>
      </w:r>
      <w:r w:rsidR="0008369F" w:rsidRPr="00757D20">
        <w:t>[when]</w:t>
      </w:r>
      <w:r w:rsidRPr="00757D20">
        <w:t xml:space="preserve"> I get home from school every day. But then I like to block it out because it just scares me a lot</w:t>
      </w:r>
      <w:r w:rsidR="005179B1">
        <w:t xml:space="preserve"> </w:t>
      </w:r>
      <w:r w:rsidRPr="00757D20">
        <w:t xml:space="preserve">… but it would </w:t>
      </w:r>
      <w:proofErr w:type="gramStart"/>
      <w:r w:rsidRPr="00757D20">
        <w:t>actually really</w:t>
      </w:r>
      <w:proofErr w:type="gramEnd"/>
      <w:r w:rsidRPr="00757D20">
        <w:t xml:space="preserve"> help if I </w:t>
      </w:r>
      <w:proofErr w:type="gramStart"/>
      <w:r w:rsidRPr="00757D20">
        <w:t>actually had</w:t>
      </w:r>
      <w:proofErr w:type="gramEnd"/>
      <w:r w:rsidRPr="00757D20">
        <w:t xml:space="preserve"> much </w:t>
      </w:r>
      <w:proofErr w:type="gramStart"/>
      <w:r w:rsidRPr="00757D20">
        <w:t>more cleare</w:t>
      </w:r>
      <w:r w:rsidR="00E675D7" w:rsidRPr="00757D20">
        <w:t>r</w:t>
      </w:r>
      <w:proofErr w:type="gramEnd"/>
      <w:r w:rsidRPr="00757D20">
        <w:t xml:space="preserve"> knowledge. (Bhim, </w:t>
      </w:r>
      <w:r w:rsidR="00214F68" w:rsidRPr="00757D20">
        <w:t>Year 7 s</w:t>
      </w:r>
      <w:r w:rsidRPr="00757D20">
        <w:t>tudent, 2014)</w:t>
      </w:r>
    </w:p>
    <w:p w14:paraId="305C1DB5" w14:textId="70C2A6A9" w:rsidR="003E4D9A" w:rsidRPr="00757D20" w:rsidRDefault="003E4D9A" w:rsidP="003E4D9A">
      <w:pPr>
        <w:spacing w:line="259" w:lineRule="auto"/>
      </w:pPr>
      <w:r w:rsidRPr="00757D20">
        <w:t xml:space="preserve">This sense of fear and the absence of clear pathways point to a broader issue: students </w:t>
      </w:r>
      <w:r w:rsidR="00E620CD" w:rsidRPr="00757D20">
        <w:t>are</w:t>
      </w:r>
      <w:r w:rsidRPr="00757D20">
        <w:t xml:space="preserve"> unsure of how to access or interpret information related to careers and education. This</w:t>
      </w:r>
      <w:r w:rsidR="00E620CD" w:rsidRPr="00757D20">
        <w:t xml:space="preserve"> point</w:t>
      </w:r>
      <w:r w:rsidRPr="00757D20">
        <w:t xml:space="preserve"> is echoed by teachers like Pascal, who highlight entrenched patterns of educational disengagement in some parts of the school community:</w:t>
      </w:r>
    </w:p>
    <w:p w14:paraId="58EC88BC" w14:textId="23ABF891" w:rsidR="003E4D9A" w:rsidRPr="00757D20" w:rsidRDefault="003E4D9A" w:rsidP="003E4D9A">
      <w:pPr>
        <w:pStyle w:val="Quote"/>
      </w:pPr>
      <w:r w:rsidRPr="00757D20">
        <w:t>We have a large percentage that come from up in the [local] housing commission area</w:t>
      </w:r>
      <w:r w:rsidR="005179B1">
        <w:t xml:space="preserve"> </w:t>
      </w:r>
      <w:r w:rsidRPr="00757D20">
        <w:t xml:space="preserve">... like we’re talking our third generations you know what I mean? They haven’t flowed through. (Pascal, </w:t>
      </w:r>
      <w:r w:rsidR="00F94A41" w:rsidRPr="00757D20">
        <w:t>t</w:t>
      </w:r>
      <w:r w:rsidRPr="00757D20">
        <w:t>eacher, 2014)</w:t>
      </w:r>
    </w:p>
    <w:p w14:paraId="0546884A" w14:textId="3845D26D" w:rsidR="003E4D9A" w:rsidRPr="00757D20" w:rsidRDefault="003E4D9A" w:rsidP="003E4D9A">
      <w:pPr>
        <w:spacing w:line="259" w:lineRule="auto"/>
      </w:pPr>
      <w:r w:rsidRPr="00757D20">
        <w:lastRenderedPageBreak/>
        <w:t>Pascal’s comments point to entrenched poverty and housing insecurity, passed down through generations. There's an acknowledgement that individuals in these communities "haven’t flowed through," possibly referring to the lack of social or economic mobility and</w:t>
      </w:r>
      <w:r w:rsidR="001456CE" w:rsidRPr="00757D20">
        <w:t>,</w:t>
      </w:r>
      <w:r w:rsidRPr="00757D20">
        <w:t xml:space="preserve"> by extension, the lack of sufficient systemic support or change. </w:t>
      </w:r>
    </w:p>
    <w:p w14:paraId="7DE73940" w14:textId="63885E00" w:rsidR="003E4D9A" w:rsidRPr="00757D20" w:rsidRDefault="00724DC8" w:rsidP="00ED1586">
      <w:pPr>
        <w:spacing w:line="259" w:lineRule="auto"/>
      </w:pPr>
      <w:r w:rsidRPr="00757D20">
        <w:t xml:space="preserve">By </w:t>
      </w:r>
      <w:r w:rsidR="003E4D9A" w:rsidRPr="00757D20">
        <w:t>2025, the</w:t>
      </w:r>
      <w:r w:rsidRPr="00757D20">
        <w:t xml:space="preserve">se challenges had </w:t>
      </w:r>
      <w:r w:rsidR="003E4D9A" w:rsidRPr="00757D20">
        <w:t>both intensified and diversified. While some students like Sasha demonstrate</w:t>
      </w:r>
      <w:r w:rsidRPr="00757D20">
        <w:t>d</w:t>
      </w:r>
      <w:r w:rsidR="003E4D9A" w:rsidRPr="00757D20">
        <w:t xml:space="preserve"> logistical awareness of how to access </w:t>
      </w:r>
      <w:r w:rsidR="00FB15CF" w:rsidRPr="00757D20">
        <w:t>higher</w:t>
      </w:r>
      <w:r w:rsidR="003E4D9A" w:rsidRPr="00757D20">
        <w:t xml:space="preserve"> education:</w:t>
      </w:r>
    </w:p>
    <w:p w14:paraId="2A8C3933" w14:textId="3F317B55" w:rsidR="003E4D9A" w:rsidRPr="00757D20" w:rsidRDefault="003E4D9A" w:rsidP="003E4D9A">
      <w:pPr>
        <w:pStyle w:val="Quote"/>
        <w:rPr>
          <w:rFonts w:cs="Arial"/>
        </w:rPr>
      </w:pPr>
      <w:r w:rsidRPr="00D064B5">
        <w:rPr>
          <w:rStyle w:val="QuoteChar"/>
          <w:rFonts w:cs="Arial"/>
        </w:rPr>
        <w:t>It</w:t>
      </w:r>
      <w:r w:rsidRPr="00D064B5">
        <w:rPr>
          <w:rStyle w:val="QuoteChar"/>
          <w:rFonts w:cs="Arial" w:hint="cs"/>
        </w:rPr>
        <w:t>’</w:t>
      </w:r>
      <w:r w:rsidRPr="00D064B5">
        <w:rPr>
          <w:rStyle w:val="QuoteChar"/>
          <w:rFonts w:cs="Arial"/>
        </w:rPr>
        <w:t xml:space="preserve">s </w:t>
      </w:r>
      <w:proofErr w:type="gramStart"/>
      <w:r w:rsidRPr="00D064B5">
        <w:rPr>
          <w:rStyle w:val="QuoteChar"/>
          <w:rFonts w:cs="Arial"/>
        </w:rPr>
        <w:t>pretty easy</w:t>
      </w:r>
      <w:proofErr w:type="gramEnd"/>
      <w:r w:rsidRPr="00D064B5">
        <w:rPr>
          <w:rStyle w:val="QuoteChar"/>
          <w:rFonts w:cs="Arial"/>
        </w:rPr>
        <w:t xml:space="preserve"> [to get to university in Sydney] </w:t>
      </w:r>
      <w:r w:rsidRPr="00D064B5">
        <w:rPr>
          <w:rStyle w:val="QuoteChar"/>
          <w:rFonts w:cs="Arial" w:hint="cs"/>
        </w:rPr>
        <w:t>…</w:t>
      </w:r>
      <w:r w:rsidRPr="00D064B5">
        <w:rPr>
          <w:rStyle w:val="QuoteChar"/>
          <w:rFonts w:cs="Arial"/>
        </w:rPr>
        <w:t xml:space="preserve"> I'd probably catch a bus from my house to one train station and</w:t>
      </w:r>
      <w:r w:rsidR="003D2FD8">
        <w:rPr>
          <w:rStyle w:val="QuoteChar"/>
          <w:rFonts w:cs="Arial"/>
        </w:rPr>
        <w:t xml:space="preserve"> </w:t>
      </w:r>
      <w:r w:rsidRPr="00D064B5">
        <w:rPr>
          <w:rStyle w:val="QuoteChar"/>
          <w:rFonts w:cs="Arial"/>
        </w:rPr>
        <w:t xml:space="preserve">... get a train to like Central and then walk or like catch like another train. (Sasha, </w:t>
      </w:r>
      <w:r w:rsidR="0027543C" w:rsidRPr="00D064B5">
        <w:rPr>
          <w:rStyle w:val="QuoteChar"/>
          <w:rFonts w:cs="Arial"/>
        </w:rPr>
        <w:t xml:space="preserve">Year </w:t>
      </w:r>
      <w:r w:rsidR="00D135AC" w:rsidRPr="00D064B5">
        <w:rPr>
          <w:rStyle w:val="QuoteChar"/>
          <w:rFonts w:cs="Arial"/>
        </w:rPr>
        <w:t xml:space="preserve">8 </w:t>
      </w:r>
      <w:r w:rsidRPr="00D064B5">
        <w:rPr>
          <w:rStyle w:val="QuoteChar"/>
          <w:rFonts w:cs="Arial"/>
        </w:rPr>
        <w:t>student, 2025)</w:t>
      </w:r>
    </w:p>
    <w:p w14:paraId="607B1133" w14:textId="1813167E" w:rsidR="003E4D9A" w:rsidRPr="00757D20" w:rsidRDefault="003E4D9A" w:rsidP="003E4D9A">
      <w:pPr>
        <w:spacing w:line="259" w:lineRule="auto"/>
      </w:pPr>
      <w:r w:rsidRPr="00757D20">
        <w:t>Many others expressed psychological barriers and confusion:</w:t>
      </w:r>
    </w:p>
    <w:p w14:paraId="6C4FA9CA" w14:textId="46A971A3" w:rsidR="003E4D9A" w:rsidRPr="00757D20" w:rsidRDefault="003E4D9A" w:rsidP="003E4D9A">
      <w:pPr>
        <w:pStyle w:val="Quote"/>
      </w:pPr>
      <w:r w:rsidRPr="00757D20">
        <w:t xml:space="preserve">I want to go to </w:t>
      </w:r>
      <w:proofErr w:type="spellStart"/>
      <w:r w:rsidRPr="00757D20">
        <w:t>uni</w:t>
      </w:r>
      <w:proofErr w:type="spellEnd"/>
      <w:r w:rsidRPr="00757D20">
        <w:t>, but I don't know what for or what I'm going to do. Like I know what I want to do as a career, but I don't know like what to do to get there</w:t>
      </w:r>
      <w:r w:rsidR="003D2FD8">
        <w:t xml:space="preserve"> </w:t>
      </w:r>
      <w:r w:rsidRPr="00757D20">
        <w:t xml:space="preserve">… you need like a deep conversation with someone to fully just like identify what you need to do. (Lyra, </w:t>
      </w:r>
      <w:r w:rsidR="007A4567" w:rsidRPr="00757D20">
        <w:t xml:space="preserve">Year </w:t>
      </w:r>
      <w:r w:rsidR="00DA4BDD" w:rsidRPr="00757D20">
        <w:t>11</w:t>
      </w:r>
      <w:r w:rsidR="007A4567" w:rsidRPr="00757D20">
        <w:t xml:space="preserve"> s</w:t>
      </w:r>
      <w:r w:rsidRPr="00757D20">
        <w:t>tudent, 2025)</w:t>
      </w:r>
    </w:p>
    <w:p w14:paraId="4731A989" w14:textId="1714F403" w:rsidR="003E4D9A" w:rsidRPr="00757D20" w:rsidRDefault="00C0615A" w:rsidP="003E4D9A">
      <w:pPr>
        <w:spacing w:line="259" w:lineRule="auto"/>
      </w:pPr>
      <w:r w:rsidRPr="00757D20">
        <w:t xml:space="preserve">Lyra’s comments reveal </w:t>
      </w:r>
      <w:r w:rsidR="003E4D9A" w:rsidRPr="00757D20">
        <w:t>a growing need not just for access</w:t>
      </w:r>
      <w:r w:rsidRPr="00757D20">
        <w:t xml:space="preserve"> to information</w:t>
      </w:r>
      <w:r w:rsidR="003E4D9A" w:rsidRPr="00757D20">
        <w:t>, but for guidance</w:t>
      </w:r>
      <w:r w:rsidRPr="00757D20">
        <w:t xml:space="preserve"> about the future</w:t>
      </w:r>
      <w:r w:rsidR="003E4D9A" w:rsidRPr="00757D20">
        <w:t>—deep, personalised support to navigate increasingly complex educational and employment systems.</w:t>
      </w:r>
    </w:p>
    <w:p w14:paraId="5741D00C" w14:textId="4C1CB514" w:rsidR="003E4D9A" w:rsidRPr="00757D20" w:rsidRDefault="003E68CA" w:rsidP="007A4567">
      <w:pPr>
        <w:spacing w:line="259" w:lineRule="auto"/>
      </w:pPr>
      <w:r w:rsidRPr="00757D20">
        <w:t>During our last visit to the school in 2025, f</w:t>
      </w:r>
      <w:r w:rsidR="003E4D9A" w:rsidRPr="00757D20">
        <w:t xml:space="preserve">inancial insecurity </w:t>
      </w:r>
      <w:r w:rsidRPr="00757D20">
        <w:t>had also become a</w:t>
      </w:r>
      <w:r w:rsidR="003E4D9A" w:rsidRPr="00757D20">
        <w:t xml:space="preserve"> dominant theme. As the cost of living rises and housing becomes increasingly unaffordable, students like Sasha and Jaz articulate a sense of loss and limitation:</w:t>
      </w:r>
    </w:p>
    <w:p w14:paraId="12D7500D" w14:textId="5C72FDA3" w:rsidR="003E4D9A" w:rsidRPr="00757D20" w:rsidRDefault="003E4D9A" w:rsidP="003E4D9A">
      <w:pPr>
        <w:pStyle w:val="Quote"/>
      </w:pPr>
      <w:r w:rsidRPr="00757D20">
        <w:t>Just like that</w:t>
      </w:r>
      <w:r w:rsidR="00E74AB1" w:rsidRPr="00757D20">
        <w:t>,</w:t>
      </w:r>
      <w:r w:rsidRPr="00757D20">
        <w:t xml:space="preserve"> everything's getting like more expensive</w:t>
      </w:r>
      <w:r w:rsidR="003D2FD8">
        <w:t xml:space="preserve"> </w:t>
      </w:r>
      <w:r w:rsidRPr="00757D20">
        <w:t>... by the time that I'm ready to buy a house</w:t>
      </w:r>
      <w:r w:rsidR="002A1640" w:rsidRPr="00757D20">
        <w:t>,</w:t>
      </w:r>
      <w:r w:rsidRPr="00757D20">
        <w:t xml:space="preserve"> I won't be able to because it'll be way too expensive for me. (Sasha, </w:t>
      </w:r>
      <w:r w:rsidR="007A4567" w:rsidRPr="00757D20">
        <w:t xml:space="preserve">Year </w:t>
      </w:r>
      <w:r w:rsidR="00F85779" w:rsidRPr="00757D20">
        <w:t xml:space="preserve">8 </w:t>
      </w:r>
      <w:r w:rsidRPr="00757D20">
        <w:t>student, 2025)</w:t>
      </w:r>
    </w:p>
    <w:p w14:paraId="6926C794" w14:textId="64CC8382" w:rsidR="003E4D9A" w:rsidRPr="00757D20" w:rsidRDefault="003E4D9A" w:rsidP="003E4D9A">
      <w:pPr>
        <w:pStyle w:val="Quote"/>
      </w:pPr>
      <w:r w:rsidRPr="00757D20">
        <w:t>We used to go on Sunday drives and have a Sunday roast, but</w:t>
      </w:r>
      <w:r w:rsidR="003D2FD8">
        <w:t xml:space="preserve"> </w:t>
      </w:r>
      <w:r w:rsidRPr="00757D20">
        <w:t xml:space="preserve">... I think back to just a couple years ago and I think </w:t>
      </w:r>
      <w:r w:rsidR="002D4385" w:rsidRPr="00757D20">
        <w:t>“</w:t>
      </w:r>
      <w:r w:rsidRPr="00757D20">
        <w:t>How has things changed so drastically?</w:t>
      </w:r>
      <w:r w:rsidR="002D4385" w:rsidRPr="00757D20">
        <w:t>”</w:t>
      </w:r>
      <w:r w:rsidRPr="00757D20">
        <w:t xml:space="preserve"> (Jaz,</w:t>
      </w:r>
      <w:r w:rsidR="007A4567" w:rsidRPr="00757D20">
        <w:t xml:space="preserve"> Year </w:t>
      </w:r>
      <w:r w:rsidR="00C6101F" w:rsidRPr="00757D20">
        <w:t xml:space="preserve">11 </w:t>
      </w:r>
      <w:r w:rsidRPr="00757D20">
        <w:t>student, 2025)</w:t>
      </w:r>
    </w:p>
    <w:p w14:paraId="0FC37633" w14:textId="2B7FA394" w:rsidR="003E4D9A" w:rsidRPr="00757D20" w:rsidRDefault="00F94A41" w:rsidP="003E4D9A">
      <w:pPr>
        <w:spacing w:line="259" w:lineRule="auto"/>
      </w:pPr>
      <w:r w:rsidRPr="00757D20">
        <w:t>Collectively</w:t>
      </w:r>
      <w:r w:rsidR="003E4D9A" w:rsidRPr="00757D20">
        <w:t>, these quotes reveal a shared experience of young people feeling overwhelmed by rapid, often negative change—whether it's the financial barriers to future goals or the erosion of familiar social practices.</w:t>
      </w:r>
      <w:r w:rsidR="0020746E" w:rsidRPr="00757D20">
        <w:t xml:space="preserve"> Indeed</w:t>
      </w:r>
      <w:r w:rsidR="003E4D9A" w:rsidRPr="00757D20">
        <w:t xml:space="preserve">, </w:t>
      </w:r>
      <w:r w:rsidR="0020746E" w:rsidRPr="00757D20">
        <w:t>such</w:t>
      </w:r>
      <w:r w:rsidR="003E4D9A" w:rsidRPr="00757D20">
        <w:t xml:space="preserve"> economic pressure </w:t>
      </w:r>
      <w:r w:rsidR="00560FB6" w:rsidRPr="00757D20">
        <w:t>appears to not</w:t>
      </w:r>
      <w:r w:rsidR="003E4D9A" w:rsidRPr="00757D20">
        <w:t xml:space="preserve"> only </w:t>
      </w:r>
      <w:r w:rsidR="00560FB6" w:rsidRPr="00757D20">
        <w:t xml:space="preserve">be </w:t>
      </w:r>
      <w:r w:rsidR="003E4D9A" w:rsidRPr="00757D20">
        <w:t>reshaping students' aspirations but also their strategies. Carissa, for example, explains:</w:t>
      </w:r>
    </w:p>
    <w:p w14:paraId="589A388D" w14:textId="5F7A2A22" w:rsidR="003E4D9A" w:rsidRPr="00757D20" w:rsidRDefault="003E4D9A" w:rsidP="003E4D9A">
      <w:pPr>
        <w:pStyle w:val="Quote"/>
      </w:pPr>
      <w:r w:rsidRPr="00757D20">
        <w:t>Once you get a little bit older, you’re thinking about, like, “</w:t>
      </w:r>
      <w:r w:rsidR="003E7005" w:rsidRPr="00757D20">
        <w:t>Do I</w:t>
      </w:r>
      <w:r w:rsidRPr="00757D20">
        <w:t xml:space="preserve"> have to get a job that’s going to able to provide for me?” Because if everyone just done </w:t>
      </w:r>
      <w:r w:rsidR="003D2FD8">
        <w:t>[</w:t>
      </w:r>
      <w:r w:rsidRPr="00757D20">
        <w:t>sic</w:t>
      </w:r>
      <w:r w:rsidR="003D2FD8">
        <w:t>]</w:t>
      </w:r>
      <w:r w:rsidRPr="00757D20">
        <w:t xml:space="preserve"> the job that they wanted to do, it’s not necessarily going to bring in the same income as a salary paying job. So, I think that </w:t>
      </w:r>
      <w:proofErr w:type="gramStart"/>
      <w:r w:rsidRPr="00757D20">
        <w:t>definitely comes</w:t>
      </w:r>
      <w:proofErr w:type="gramEnd"/>
      <w:r w:rsidRPr="00757D20">
        <w:t xml:space="preserve"> into play as well when you’re choosing what you want to do. (Carissa, Year 1</w:t>
      </w:r>
      <w:r w:rsidR="003B58CB" w:rsidRPr="00757D20">
        <w:t>1</w:t>
      </w:r>
      <w:r w:rsidRPr="00757D20">
        <w:t xml:space="preserve"> student, 2025)</w:t>
      </w:r>
    </w:p>
    <w:p w14:paraId="2F7851A4" w14:textId="52239E20" w:rsidR="003E4D9A" w:rsidRPr="00757D20" w:rsidRDefault="003E4D9A" w:rsidP="003E4D9A">
      <w:pPr>
        <w:spacing w:line="259" w:lineRule="auto"/>
      </w:pPr>
      <w:r w:rsidRPr="00757D20">
        <w:t xml:space="preserve">Carissa's quote reflects the tension between pursuing a career out of passion </w:t>
      </w:r>
      <w:r w:rsidR="008568C3" w:rsidRPr="00757D20">
        <w:t xml:space="preserve">or interest </w:t>
      </w:r>
      <w:r w:rsidRPr="00757D20">
        <w:t xml:space="preserve">and choosing a path that ensures financial stability. As she nears adulthood, she is becoming more aware of the need to choose a job that can provide for her, acknowledging that </w:t>
      </w:r>
      <w:r w:rsidRPr="00757D20">
        <w:lastRenderedPageBreak/>
        <w:t xml:space="preserve">passion-driven careers may not always offer the same financial rewards as more traditional, salaried positions. </w:t>
      </w:r>
    </w:p>
    <w:p w14:paraId="35E0C0F1" w14:textId="2DC2AEF5" w:rsidR="003E4D9A" w:rsidRPr="00757D20" w:rsidRDefault="00D32074" w:rsidP="00127B91">
      <w:pPr>
        <w:spacing w:line="259" w:lineRule="auto"/>
      </w:pPr>
      <w:r w:rsidRPr="00757D20">
        <w:t>Similarly, p</w:t>
      </w:r>
      <w:r w:rsidR="003E4D9A" w:rsidRPr="00757D20">
        <w:t>arents too are deeply concerned</w:t>
      </w:r>
      <w:r w:rsidR="00F31CD6" w:rsidRPr="00757D20">
        <w:t xml:space="preserve"> about the current economic and social climate</w:t>
      </w:r>
      <w:r w:rsidR="003E4D9A" w:rsidRPr="00757D20">
        <w:t xml:space="preserve">. Adeline notes that many are unsure whether young people will be “set up </w:t>
      </w:r>
      <w:r w:rsidR="00CA7855" w:rsidRPr="00757D20">
        <w:t>in</w:t>
      </w:r>
      <w:r w:rsidR="003E4D9A" w:rsidRPr="00757D20">
        <w:t xml:space="preserve"> life” with long-term stability. Lainey’s </w:t>
      </w:r>
      <w:r w:rsidR="009641FB" w:rsidRPr="00757D20">
        <w:t>two comments below</w:t>
      </w:r>
      <w:r w:rsidR="003E4D9A" w:rsidRPr="00757D20">
        <w:t xml:space="preserve"> are m</w:t>
      </w:r>
      <w:r w:rsidR="009641FB" w:rsidRPr="00757D20">
        <w:t xml:space="preserve">ost </w:t>
      </w:r>
      <w:r w:rsidR="003E4D9A" w:rsidRPr="00757D20">
        <w:t>striking:</w:t>
      </w:r>
    </w:p>
    <w:p w14:paraId="0A56B884" w14:textId="7CBC9803" w:rsidR="003E4D9A" w:rsidRPr="00757D20" w:rsidRDefault="003E4D9A" w:rsidP="003E4D9A">
      <w:pPr>
        <w:pStyle w:val="Quote"/>
      </w:pPr>
      <w:r w:rsidRPr="00757D20">
        <w:t>I look at what society is today and I’m</w:t>
      </w:r>
      <w:r w:rsidR="003D2FD8">
        <w:t xml:space="preserve"> </w:t>
      </w:r>
      <w:r w:rsidRPr="00757D20">
        <w:t>…</w:t>
      </w:r>
      <w:r w:rsidR="003D2FD8">
        <w:t xml:space="preserve"> </w:t>
      </w:r>
      <w:r w:rsidRPr="00757D20">
        <w:t>I’ve put him into a horror movie really</w:t>
      </w:r>
      <w:r w:rsidR="00BD1EEB" w:rsidRPr="00757D20">
        <w:t>.</w:t>
      </w:r>
      <w:r w:rsidRPr="00757D20">
        <w:t xml:space="preserve"> (Lainey, parent, 2025)</w:t>
      </w:r>
    </w:p>
    <w:p w14:paraId="3BF16710" w14:textId="3F3E21B3" w:rsidR="003E4D9A" w:rsidRPr="00757D20" w:rsidRDefault="003E4D9A" w:rsidP="003E4D9A">
      <w:pPr>
        <w:pStyle w:val="Quote"/>
      </w:pPr>
      <w:r w:rsidRPr="00757D20">
        <w:t xml:space="preserve">The homeless problem in </w:t>
      </w:r>
      <w:proofErr w:type="spellStart"/>
      <w:r w:rsidRPr="00757D20">
        <w:t>Murrindah</w:t>
      </w:r>
      <w:proofErr w:type="spellEnd"/>
      <w:r w:rsidRPr="00757D20">
        <w:t xml:space="preserve"> now is extraordinary</w:t>
      </w:r>
      <w:r w:rsidR="003D2FD8">
        <w:t xml:space="preserve"> </w:t>
      </w:r>
      <w:r w:rsidRPr="00757D20">
        <w:t>... kids with bikes</w:t>
      </w:r>
      <w:r w:rsidR="003D2FD8">
        <w:t xml:space="preserve"> </w:t>
      </w:r>
      <w:r w:rsidRPr="00757D20">
        <w:t xml:space="preserve">... living in a tent … I am very, very, very sorry for any young person these days. (Lainey, </w:t>
      </w:r>
      <w:r w:rsidR="00771B45" w:rsidRPr="00757D20">
        <w:t>p</w:t>
      </w:r>
      <w:r w:rsidRPr="00757D20">
        <w:t>arent, 2025)</w:t>
      </w:r>
    </w:p>
    <w:p w14:paraId="63F62CDA" w14:textId="13CAE318" w:rsidR="00B07BAD" w:rsidRPr="00757D20" w:rsidRDefault="001F0441" w:rsidP="003E4D9A">
      <w:pPr>
        <w:spacing w:line="259" w:lineRule="auto"/>
      </w:pPr>
      <w:r w:rsidRPr="00757D20">
        <w:t xml:space="preserve">Here, Lainey </w:t>
      </w:r>
      <w:r w:rsidR="003E4D9A" w:rsidRPr="00757D20">
        <w:t xml:space="preserve">views society as increasingly threatening ("horror movie"), particularly for youth </w:t>
      </w:r>
      <w:r w:rsidR="00994C82" w:rsidRPr="00757D20">
        <w:t xml:space="preserve">in the community </w:t>
      </w:r>
      <w:r w:rsidR="003E4D9A" w:rsidRPr="00757D20">
        <w:t xml:space="preserve">who face challenges like homelessness and economic insecurity. Both quotes highlight a perception of rapid, concerning social changes that are deeply troubling for parents. This sense of doom reflects not only economic realities, but also a moral and emotional reckoning with the future parents feel they’ve passed on. </w:t>
      </w:r>
    </w:p>
    <w:p w14:paraId="50777354" w14:textId="77777777" w:rsidR="003E4D9A" w:rsidRPr="00757D20" w:rsidRDefault="003E4D9A" w:rsidP="00D618E7">
      <w:pPr>
        <w:pStyle w:val="Heading3"/>
      </w:pPr>
      <w:bookmarkStart w:id="105" w:name="_Toc196396173"/>
      <w:bookmarkStart w:id="106" w:name="_Toc219977244"/>
      <w:r w:rsidRPr="00757D20">
        <w:t>Conclusion</w:t>
      </w:r>
      <w:bookmarkEnd w:id="105"/>
      <w:bookmarkEnd w:id="106"/>
    </w:p>
    <w:p w14:paraId="787D3E5A" w14:textId="6FBBB740" w:rsidR="0000303B" w:rsidRPr="00757D20" w:rsidRDefault="0064476C" w:rsidP="00B17924">
      <w:r w:rsidRPr="00757D20">
        <w:t xml:space="preserve">The </w:t>
      </w:r>
      <w:proofErr w:type="spellStart"/>
      <w:r w:rsidR="003E4D9A" w:rsidRPr="00757D20">
        <w:t>Murrindah</w:t>
      </w:r>
      <w:proofErr w:type="spellEnd"/>
      <w:r w:rsidR="003E4D9A" w:rsidRPr="00757D20">
        <w:t xml:space="preserve"> High School community </w:t>
      </w:r>
      <w:r w:rsidR="0062565D" w:rsidRPr="00757D20">
        <w:t>continues to navigate</w:t>
      </w:r>
      <w:r w:rsidR="003E4D9A" w:rsidRPr="00757D20">
        <w:t xml:space="preserve"> the challenges of structural inequality </w:t>
      </w:r>
      <w:r w:rsidR="004250F6" w:rsidRPr="00757D20">
        <w:t>and</w:t>
      </w:r>
      <w:r w:rsidR="003E4D9A" w:rsidRPr="00757D20">
        <w:t xml:space="preserve"> economic hardship. The stark contrast between affluence and poverty in the area </w:t>
      </w:r>
      <w:r w:rsidR="0062565D" w:rsidRPr="00757D20">
        <w:t xml:space="preserve">also </w:t>
      </w:r>
      <w:r w:rsidR="003E4D9A" w:rsidRPr="00757D20">
        <w:t>continue to influence students' outlooks on their futures, with many facing significant barriers to social mobility</w:t>
      </w:r>
      <w:r w:rsidR="00CC664C" w:rsidRPr="00757D20">
        <w:t xml:space="preserve"> due to intergenerational material disadvantage</w:t>
      </w:r>
      <w:r w:rsidR="003E4D9A" w:rsidRPr="00757D20">
        <w:t xml:space="preserve">. While some students are driven by goals of higher education and stable careers, others struggle with psychological and financial obstacles. The tension between following personal passions and securing financial stability </w:t>
      </w:r>
      <w:r w:rsidR="00CC664C" w:rsidRPr="00757D20">
        <w:t>stands out as a</w:t>
      </w:r>
      <w:r w:rsidR="003E4D9A" w:rsidRPr="00757D20">
        <w:t xml:space="preserve"> key factor in their decision-making. Despite these challenges, the resilience of both students and educators is evident</w:t>
      </w:r>
      <w:r w:rsidR="000E133E" w:rsidRPr="00757D20">
        <w:t>.</w:t>
      </w:r>
      <w:r w:rsidR="0000303B" w:rsidRPr="00757D20">
        <w:br w:type="page"/>
      </w:r>
    </w:p>
    <w:p w14:paraId="6B6FC2AA" w14:textId="522805A9" w:rsidR="009D6D47" w:rsidRPr="00757D20" w:rsidRDefault="009D6D47" w:rsidP="00EE333F">
      <w:pPr>
        <w:pStyle w:val="Heading1"/>
      </w:pPr>
      <w:bookmarkStart w:id="107" w:name="_Toc219977245"/>
      <w:r w:rsidRPr="00757D20">
        <w:lastRenderedPageBreak/>
        <w:t>Discussion</w:t>
      </w:r>
      <w:bookmarkEnd w:id="107"/>
    </w:p>
    <w:p w14:paraId="0B8B8FFC" w14:textId="77777777" w:rsidR="006320AF" w:rsidRPr="00757D20" w:rsidRDefault="006320AF" w:rsidP="006320AF">
      <w:pPr>
        <w:pStyle w:val="Heading2"/>
      </w:pPr>
      <w:bookmarkStart w:id="108" w:name="_Toc219977246"/>
      <w:r w:rsidRPr="00757D20">
        <w:t>Aspirations in an age of uncertainty</w:t>
      </w:r>
      <w:bookmarkEnd w:id="108"/>
    </w:p>
    <w:p w14:paraId="041F63F5" w14:textId="2A920005" w:rsidR="006320AF" w:rsidRPr="00757D20" w:rsidRDefault="006320AF" w:rsidP="006320AF">
      <w:r w:rsidRPr="00757D20">
        <w:t xml:space="preserve">While there have been many tumultuous and turbulent times in history, young people today face a world increasingly characterised by uncertainty and instability. For example, a young Australian born in 2010 will have already experienced a global health pandemic, disrupted schooling, social isolation, a worsening climate crisis, environmental catastrophes, a </w:t>
      </w:r>
      <w:r w:rsidR="00245CED" w:rsidRPr="00757D20">
        <w:t>cost-of-living</w:t>
      </w:r>
      <w:r w:rsidRPr="00757D20">
        <w:t xml:space="preserve"> crisis, transformations to the world of work, and the onslaught of rapid technological advancements, not to mention exposure to geopolitical conflicts in Europe and the Middle East. Arguably, today’s youth are growing up in </w:t>
      </w:r>
      <w:r w:rsidR="00C00900" w:rsidRPr="00757D20">
        <w:t xml:space="preserve">an </w:t>
      </w:r>
      <w:r w:rsidRPr="00757D20">
        <w:t xml:space="preserve">era of </w:t>
      </w:r>
      <w:r w:rsidR="00C00900" w:rsidRPr="00757D20">
        <w:t>“</w:t>
      </w:r>
      <w:r w:rsidRPr="00757D20">
        <w:t>compounded crises</w:t>
      </w:r>
      <w:r w:rsidR="00C00900" w:rsidRPr="00757D20">
        <w:t>”</w:t>
      </w:r>
      <w:r w:rsidRPr="00757D20">
        <w:t xml:space="preserve"> </w:t>
      </w:r>
      <w:r w:rsidR="00FA4043" w:rsidRPr="00757D20">
        <w:fldChar w:fldCharType="begin"/>
      </w:r>
      <w:r w:rsidR="00FA4043" w:rsidRPr="00757D20">
        <w:instrText xml:space="preserve"> ADDIN EN.CITE &lt;EndNote&gt;&lt;Cite&gt;&lt;Author&gt;Uhls&lt;/Author&gt;&lt;Year&gt;2025&lt;/Year&gt;&lt;RecNum&gt;4011&lt;/RecNum&gt;&lt;DisplayText&gt;(Uhls, 2025)&lt;/DisplayText&gt;&lt;record&gt;&lt;rec-number&gt;4011&lt;/rec-number&gt;&lt;foreign-keys&gt;&lt;key app="EN" db-id="f2ftvv5v02e9v3e22psx2f91zs990eeafs5f" timestamp="1745475135" guid="fe828b58-22d2-4275-97d6-eddd195b0683"&gt;4011&lt;/key&gt;&lt;/foreign-keys&gt;&lt;ref-type name="Electronic Article"&gt;43&lt;/ref-type&gt;&lt;contributors&gt;&lt;authors&gt;&lt;author&gt;Uhls, Yalda T.&lt;/author&gt;&lt;/authors&gt;&lt;/contributors&gt;&lt;titles&gt;&lt;title&gt;Gen Z seeks safety above all else as the generation grows up amid constant crisis and existential threat&lt;/title&gt;&lt;secondary-title&gt;The Conversation&lt;/secondary-title&gt;&lt;/titles&gt;&lt;periodical&gt;&lt;full-title&gt;The Conversation&lt;/full-title&gt;&lt;/periodical&gt;&lt;dates&gt;&lt;year&gt;2025&lt;/year&gt;&lt;/dates&gt;&lt;urls&gt;&lt;related-urls&gt;&lt;url&gt;https://theconversation.com/gen-z-seeks-safety-above-all-else-as-the-generation-grows-up-amid-constant-crisis-and-existential-threat-245455&lt;/url&gt;&lt;/related-urls&gt;&lt;/urls&gt;&lt;/record&gt;&lt;/Cite&gt;&lt;/EndNote&gt;</w:instrText>
      </w:r>
      <w:r w:rsidR="00FA4043" w:rsidRPr="00757D20">
        <w:fldChar w:fldCharType="separate"/>
      </w:r>
      <w:r w:rsidR="00FA4043" w:rsidRPr="00757D20">
        <w:rPr>
          <w:noProof/>
        </w:rPr>
        <w:t>(Uhls, 2025)</w:t>
      </w:r>
      <w:r w:rsidR="00FA4043" w:rsidRPr="00757D20">
        <w:fldChar w:fldCharType="end"/>
      </w:r>
      <w:r w:rsidRPr="00757D20">
        <w:t xml:space="preserve"> </w:t>
      </w:r>
      <w:r w:rsidR="00C00900" w:rsidRPr="00757D20">
        <w:t>t</w:t>
      </w:r>
      <w:r w:rsidRPr="00757D20">
        <w:t xml:space="preserve">hat some have labelled “unprecedented, unpredictable and exceptional” </w:t>
      </w:r>
      <w:r w:rsidR="00FA4043" w:rsidRPr="00757D20">
        <w:fldChar w:fldCharType="begin"/>
      </w:r>
      <w:r w:rsidR="00FA4043" w:rsidRPr="00757D20">
        <w:instrText xml:space="preserve"> ADDIN EN.CITE &lt;EndNote&gt;&lt;Cite&gt;&lt;Author&gt;Grint&lt;/Author&gt;&lt;Year&gt;2022&lt;/Year&gt;&lt;RecNum&gt;4012&lt;/RecNum&gt;&lt;Pages&gt;1522&lt;/Pages&gt;&lt;DisplayText&gt;(Grint, 2022, p. 1522)&lt;/DisplayText&gt;&lt;record&gt;&lt;rec-number&gt;4012&lt;/rec-number&gt;&lt;foreign-keys&gt;&lt;key app="EN" db-id="f2ftvv5v02e9v3e22psx2f91zs990eeafs5f" timestamp="1745475194" guid="7dc8256d-698c-4752-beb7-77c3a727bdc2"&gt;4012&lt;/key&gt;&lt;/foreign-keys&gt;&lt;ref-type name="Journal Article"&gt;17&lt;/ref-type&gt;&lt;contributors&gt;&lt;authors&gt;&lt;author&gt;Grint, Keith&lt;/author&gt;&lt;/authors&gt;&lt;/contributors&gt;&lt;titles&gt;&lt;title&gt;Critical Essay: Wicked problems in the Age of Uncertainty&lt;/title&gt;&lt;secondary-title&gt;Human Relations&lt;/secondary-title&gt;&lt;/titles&gt;&lt;periodical&gt;&lt;full-title&gt;Human Relations&lt;/full-title&gt;&lt;/periodical&gt;&lt;volume&gt;75&lt;/volume&gt;&lt;number&gt;8&lt;/number&gt;&lt;dates&gt;&lt;year&gt;2022&lt;/year&gt;&lt;/dates&gt;&lt;isbn&gt;0018-7267&lt;/isbn&gt;&lt;urls&gt;&lt;related-urls&gt;&lt;url&gt;https://journals.sagepub.com/doi/full/10.1177/00187267211070770&lt;/url&gt;&lt;/related-urls&gt;&lt;/urls&gt;&lt;electronic-resource-num&gt;10.1177/00187267211070770&lt;/electronic-resource-num&gt;&lt;/record&gt;&lt;/Cite&gt;&lt;/EndNote&gt;</w:instrText>
      </w:r>
      <w:r w:rsidR="00FA4043" w:rsidRPr="00757D20">
        <w:fldChar w:fldCharType="separate"/>
      </w:r>
      <w:r w:rsidR="00FA4043" w:rsidRPr="00757D20">
        <w:rPr>
          <w:noProof/>
        </w:rPr>
        <w:t>(Grint, 2022, p. 1522)</w:t>
      </w:r>
      <w:r w:rsidR="00FA4043" w:rsidRPr="00757D20">
        <w:fldChar w:fldCharType="end"/>
      </w:r>
      <w:r w:rsidR="00E367BE" w:rsidRPr="00757D20">
        <w:t>,</w:t>
      </w:r>
      <w:r w:rsidR="006238CC" w:rsidRPr="00757D20">
        <w:t xml:space="preserve"> </w:t>
      </w:r>
      <w:r w:rsidRPr="00757D20">
        <w:t xml:space="preserve">creating new existential threats that reshape how young people feel and act, not to mention how they orient themselves towards the future </w:t>
      </w:r>
      <w:r w:rsidR="006238CC" w:rsidRPr="00757D20">
        <w:fldChar w:fldCharType="begin"/>
      </w:r>
      <w:r w:rsidR="006238CC" w:rsidRPr="00757D20">
        <w:instrText xml:space="preserve"> ADDIN EN.CITE &lt;EndNote&gt;&lt;Cite&gt;&lt;Author&gt;Ansell&lt;/Author&gt;&lt;Year&gt;2022&lt;/Year&gt;&lt;RecNum&gt;4013&lt;/RecNum&gt;&lt;DisplayText&gt;(Ansell et al., 2022; Malone, 2018)&lt;/DisplayText&gt;&lt;record&gt;&lt;rec-number&gt;4013&lt;/rec-number&gt;&lt;foreign-keys&gt;&lt;key app="EN" db-id="f2ftvv5v02e9v3e22psx2f91zs990eeafs5f" timestamp="1745475290" guid="6b9c05fa-a02d-44d8-a0cf-ce8f997ac67d"&gt;4013&lt;/key&gt;&lt;/foreign-keys&gt;&lt;ref-type name="Journal Article"&gt;17&lt;/ref-type&gt;&lt;contributors&gt;&lt;authors&gt;&lt;author&gt;Ansell, Nicola &lt;/author&gt;&lt;author&gt;Froerer, Peggy &lt;/author&gt;&lt;author&gt;Huijsmans, Roy &lt;/author&gt;&lt;/authors&gt;&lt;/contributors&gt;&lt;titles&gt;&lt;title&gt;Young People’s Aspirations in an Uncertain World: Taking Control of the Future?&lt;/title&gt;&lt;secondary-title&gt;Sociological Research Online&lt;/secondary-title&gt;&lt;/titles&gt;&lt;periodical&gt;&lt;full-title&gt;Sociological Research Online&lt;/full-title&gt;&lt;/periodical&gt;&lt;volume&gt;27&lt;/volume&gt;&lt;number&gt;4&lt;/number&gt;&lt;dates&gt;&lt;year&gt;2022&lt;/year&gt;&lt;/dates&gt;&lt;isbn&gt;1360-7804&lt;/isbn&gt;&lt;urls&gt;&lt;related-urls&gt;&lt;url&gt;https://journals.sagepub.com/doi/10.1177/13607804221133116&lt;/url&gt;&lt;/related-urls&gt;&lt;/urls&gt;&lt;electronic-resource-num&gt;10.1177/13607804221133116&lt;/electronic-resource-num&gt;&lt;/record&gt;&lt;/Cite&gt;&lt;Cite&gt;&lt;Author&gt;Malone&lt;/Author&gt;&lt;Year&gt;2018&lt;/Year&gt;&lt;RecNum&gt;4014&lt;/RecNum&gt;&lt;record&gt;&lt;rec-number&gt;4014&lt;/rec-number&gt;&lt;foreign-keys&gt;&lt;key app="EN" db-id="f2ftvv5v02e9v3e22psx2f91zs990eeafs5f" timestamp="1745475290" guid="2f9bafdb-da98-4eff-baed-a86750f593d9"&gt;4014&lt;/key&gt;&lt;/foreign-keys&gt;&lt;ref-type name="Book"&gt;6&lt;/ref-type&gt;&lt;contributors&gt;&lt;authors&gt;&lt;author&gt;Malone, Karen&lt;/author&gt;&lt;/authors&gt;&lt;/contributors&gt;&lt;titles&gt;&lt;title&gt;Children in the Anthropocene: Rethinking Sustainability and Child Friendliness in Cities&lt;/title&gt;&lt;/titles&gt;&lt;dates&gt;&lt;year&gt;2018&lt;/year&gt;&lt;/dates&gt;&lt;publisher&gt;Springer Nature Link&lt;/publisher&gt;&lt;urls&gt;&lt;related-urls&gt;&lt;url&gt;https://link.springer.com/book/10.1057/978-1-137-43091-5&lt;/url&gt;&lt;/related-urls&gt;&lt;/urls&gt;&lt;electronic-resource-num&gt;10.1057/978-1-137-43091-5&lt;/electronic-resource-num&gt;&lt;/record&gt;&lt;/Cite&gt;&lt;/EndNote&gt;</w:instrText>
      </w:r>
      <w:r w:rsidR="006238CC" w:rsidRPr="00757D20">
        <w:fldChar w:fldCharType="separate"/>
      </w:r>
      <w:r w:rsidR="006238CC" w:rsidRPr="00757D20">
        <w:rPr>
          <w:noProof/>
        </w:rPr>
        <w:t>(Ansell et al., 2022; Malone, 2018)</w:t>
      </w:r>
      <w:r w:rsidR="006238CC" w:rsidRPr="00757D20">
        <w:fldChar w:fldCharType="end"/>
      </w:r>
      <w:r w:rsidR="006238CC" w:rsidRPr="00757D20">
        <w:t>.</w:t>
      </w:r>
    </w:p>
    <w:p w14:paraId="434A6454" w14:textId="66B5F504" w:rsidR="006320AF" w:rsidRPr="00757D20" w:rsidRDefault="006320AF" w:rsidP="006320AF">
      <w:r w:rsidRPr="00757D20">
        <w:t>At a theoretical and empirical level, uncertainty can be thought of as a “structure of feeling</w:t>
      </w:r>
      <w:r w:rsidR="00B3563F" w:rsidRPr="00757D20">
        <w:t>—</w:t>
      </w:r>
      <w:r w:rsidRPr="00757D20">
        <w:t>the lived experience of a pervasive sense of vulnerability, anxiety, hope, and possibility mediated through the material assemblages that underpin, saturate, and sustain everyday life”</w:t>
      </w:r>
      <w:r w:rsidR="006B408E" w:rsidRPr="00757D20">
        <w:t xml:space="preserve"> </w:t>
      </w:r>
      <w:r w:rsidR="00353CEA" w:rsidRPr="00757D20">
        <w:fldChar w:fldCharType="begin"/>
      </w:r>
      <w:r w:rsidR="00353CEA" w:rsidRPr="00757D20">
        <w:instrText xml:space="preserve"> ADDIN EN.CITE &lt;EndNote&gt;&lt;Cite&gt;&lt;Author&gt;Cooper&lt;/Author&gt;&lt;Year&gt;2015&lt;/Year&gt;&lt;RecNum&gt;4015&lt;/RecNum&gt;&lt;Pages&gt;1&lt;/Pages&gt;&lt;DisplayText&gt;(Cooper &amp;amp; Pratten, 2015, p. 1)&lt;/DisplayText&gt;&lt;record&gt;&lt;rec-number&gt;4015&lt;/rec-number&gt;&lt;foreign-keys&gt;&lt;key app="EN" db-id="f2ftvv5v02e9v3e22psx2f91zs990eeafs5f" timestamp="1745476092" guid="88fe8040-c1a8-4a9c-be5b-7602f73b32f6"&gt;4015&lt;/key&gt;&lt;/foreign-keys&gt;&lt;ref-type name="Journal Article"&gt;17&lt;/ref-type&gt;&lt;contributors&gt;&lt;authors&gt;&lt;author&gt;Cooper, Elizabeth&lt;/author&gt;&lt;author&gt;Pratten, David&lt;/author&gt;&lt;/authors&gt;&lt;/contributors&gt;&lt;titles&gt;&lt;title&gt;Ethnographies of Uncertainty in Africa: An Introduction&lt;/title&gt;&lt;secondary-title&gt;Ethnographies of Uncertainty in Africa&lt;/secondary-title&gt;&lt;/titles&gt;&lt;periodical&gt;&lt;full-title&gt;Ethnographies of Uncertainty in Africa&lt;/full-title&gt;&lt;/periodical&gt;&lt;dates&gt;&lt;year&gt;2015&lt;/year&gt;&lt;/dates&gt;&lt;isbn&gt;978-1-137-35083-1&lt;/isbn&gt;&lt;urls&gt;&lt;related-urls&gt;&lt;url&gt;https://link-springer-com.ezproxy.newcastle.edu.au/chapter/10.1057/9781137350831_1&lt;/url&gt;&lt;/related-urls&gt;&lt;/urls&gt;&lt;electronic-resource-num&gt;10.1057/9781137350831_1&lt;/electronic-resource-num&gt;&lt;/record&gt;&lt;/Cite&gt;&lt;/EndNote&gt;</w:instrText>
      </w:r>
      <w:r w:rsidR="00353CEA" w:rsidRPr="00757D20">
        <w:fldChar w:fldCharType="separate"/>
      </w:r>
      <w:r w:rsidR="00353CEA" w:rsidRPr="00757D20">
        <w:rPr>
          <w:noProof/>
        </w:rPr>
        <w:t>(Cooper &amp; Pratten, 2015, p. 1)</w:t>
      </w:r>
      <w:r w:rsidR="00353CEA" w:rsidRPr="00757D20">
        <w:fldChar w:fldCharType="end"/>
      </w:r>
      <w:r w:rsidRPr="00757D20">
        <w:t>. In our research, uncertainty was not necessarily manifest</w:t>
      </w:r>
      <w:r w:rsidR="000E55DF" w:rsidRPr="00757D20">
        <w:t>ed</w:t>
      </w:r>
      <w:r w:rsidRPr="00757D20">
        <w:t xml:space="preserve"> in young people feeling less sure about what will happen in the future, but about the “dimming of imagined futures” </w:t>
      </w:r>
      <w:r w:rsidR="008B1F62" w:rsidRPr="00757D20">
        <w:fldChar w:fldCharType="begin"/>
      </w:r>
      <w:r w:rsidR="008B1F62" w:rsidRPr="00757D20">
        <w:instrText xml:space="preserve"> ADDIN EN.CITE &lt;EndNote&gt;&lt;Cite&gt;&lt;Author&gt;Cairns&lt;/Author&gt;&lt;Year&gt;2014&lt;/Year&gt;&lt;RecNum&gt;4037&lt;/RecNum&gt;&lt;Pages&gt;1058&lt;/Pages&gt;&lt;DisplayText&gt;(Cairns et al., 2014, p. 1058)&lt;/DisplayText&gt;&lt;record&gt;&lt;rec-number&gt;4037&lt;/rec-number&gt;&lt;foreign-keys&gt;&lt;key app="EN" db-id="f2ftvv5v02e9v3e22psx2f91zs990eeafs5f" timestamp="1745533789" guid="aa38983b-6953-4b2a-ba6e-86e16e9479fe"&gt;4037&lt;/key&gt;&lt;/foreign-keys&gt;&lt;ref-type name="Journal Article"&gt;17&lt;/ref-type&gt;&lt;contributors&gt;&lt;authors&gt;&lt;author&gt;Cairns, David  &lt;/author&gt;&lt;author&gt;Growiec, Katarzyna &lt;/author&gt;&lt;author&gt;de Almeida Alves, Nuno  &lt;/author&gt;&lt;/authors&gt;&lt;/contributors&gt;&lt;titles&gt;&lt;title&gt;Another ‘Missing Middle’? The marginalised majority of tertiary-educated youth in Portugal during the economic crisis&lt;/title&gt;&lt;secondary-title&gt;Journal of Youth Studies&lt;/secondary-title&gt;&lt;/titles&gt;&lt;periodical&gt;&lt;full-title&gt;Journal of Youth Studies&lt;/full-title&gt;&lt;/periodical&gt;&lt;volume&gt;17&lt;/volume&gt;&lt;number&gt;8&lt;/number&gt;&lt;dates&gt;&lt;year&gt;2014&lt;/year&gt;&lt;/dates&gt;&lt;isbn&gt;1367-6261&lt;/isbn&gt;&lt;urls&gt;&lt;related-urls&gt;&lt;url&gt;https://www.tandfonline.com/doi/abs/10.1080/13676261.2013.878789&lt;/url&gt;&lt;/related-urls&gt;&lt;/urls&gt;&lt;electronic-resource-num&gt;10.1080/13676261.2013.878789&lt;/electronic-resource-num&gt;&lt;/record&gt;&lt;/Cite&gt;&lt;/EndNote&gt;</w:instrText>
      </w:r>
      <w:r w:rsidR="008B1F62" w:rsidRPr="00757D20">
        <w:fldChar w:fldCharType="separate"/>
      </w:r>
      <w:r w:rsidR="008B1F62" w:rsidRPr="00757D20">
        <w:rPr>
          <w:noProof/>
        </w:rPr>
        <w:t>(Cairns et al., 2014, p. 1058)</w:t>
      </w:r>
      <w:r w:rsidR="008B1F62" w:rsidRPr="00757D20">
        <w:fldChar w:fldCharType="end"/>
      </w:r>
      <w:r w:rsidR="00A25E55" w:rsidRPr="00757D20">
        <w:t xml:space="preserve">. </w:t>
      </w:r>
      <w:r w:rsidRPr="00757D20">
        <w:t xml:space="preserve">For example, in places such as Banks Hollow, the high cost of living and the likelihood of owning a house weigh heavily on the minds of young people, even shaping the kinds of careers they are interested in so they can attempt to remain living in the community into adulthood. Similarly, in </w:t>
      </w:r>
      <w:proofErr w:type="spellStart"/>
      <w:r w:rsidRPr="00757D20">
        <w:t>Murrindah</w:t>
      </w:r>
      <w:proofErr w:type="spellEnd"/>
      <w:r w:rsidRPr="00757D20">
        <w:t>, lingering financial insecurity is evident in the way young people’s thoughts about their present and future are imbued with a sense of loss and constraint, with home ownership a distant reality and tensions clearly emerging around pursuing a career out of passion versus monetary reward. These vulnerabilities are encapsulated by parent Lainey, whose analogy of a “horror movie” underscores the fear currently being experienced</w:t>
      </w:r>
      <w:r w:rsidR="009E0D1E" w:rsidRPr="00757D20">
        <w:t>, the moral injuries of uncertainty,</w:t>
      </w:r>
      <w:r w:rsidRPr="00757D20">
        <w:t xml:space="preserve"> and how this </w:t>
      </w:r>
      <w:r w:rsidR="00507C47" w:rsidRPr="00757D20">
        <w:t>feeling</w:t>
      </w:r>
      <w:r w:rsidRPr="00757D20">
        <w:t xml:space="preserve"> is passed on</w:t>
      </w:r>
      <w:r w:rsidR="00DE6959" w:rsidRPr="00757D20">
        <w:t xml:space="preserve"> </w:t>
      </w:r>
      <w:r w:rsidRPr="00757D20">
        <w:t>to young people both implicitly and explicitly.</w:t>
      </w:r>
    </w:p>
    <w:p w14:paraId="17F7B872" w14:textId="0F0B2530" w:rsidR="006320AF" w:rsidRPr="00757D20" w:rsidRDefault="006320AF" w:rsidP="006320AF">
      <w:r w:rsidRPr="00757D20">
        <w:t xml:space="preserve">Clearly, however, our research also shows that young people’s responses to uncertainty differs, shaped in part by individual background, social structures, and community context (Ansell et al., 2022). For example, both young people and adults in Oldfields latch onto </w:t>
      </w:r>
      <w:r w:rsidR="002225BE" w:rsidRPr="00757D20">
        <w:t>“</w:t>
      </w:r>
      <w:r w:rsidRPr="00757D20">
        <w:t>the mines</w:t>
      </w:r>
      <w:r w:rsidR="002225BE" w:rsidRPr="00757D20">
        <w:t>”</w:t>
      </w:r>
      <w:r w:rsidRPr="00757D20">
        <w:t xml:space="preserve"> as a viable pathway in increasingly precarious times, </w:t>
      </w:r>
      <w:r w:rsidR="004114A7" w:rsidRPr="00757D20">
        <w:t xml:space="preserve">with </w:t>
      </w:r>
      <w:r w:rsidR="00A329B1" w:rsidRPr="00757D20">
        <w:t xml:space="preserve">the other options in the community having significantly declined due to drought and technological advancements. </w:t>
      </w:r>
      <w:r w:rsidRPr="00757D20">
        <w:t xml:space="preserve">By comparison, in Ironbark Plains, students like Ruben adopt a strategic mindset to get to university, drawing on his existing networks to alleviate any concerns about needing to relocate to attend higher education in a </w:t>
      </w:r>
      <w:r w:rsidR="00C37654" w:rsidRPr="00757D20">
        <w:t>cost-of-living</w:t>
      </w:r>
      <w:r w:rsidRPr="00757D20">
        <w:t xml:space="preserve"> crisis. Here, uncertainty acts as a kind of resource for Ruben to negotiate his future (Cooper &amp; Pratten, 2015). However, this situation also brings to light the way neoliberal policies have tended to frame young people as needing to respond to uncertainties in productive ways and take control of their future</w:t>
      </w:r>
      <w:r w:rsidR="00E61E1C" w:rsidRPr="00757D20">
        <w:t>s</w:t>
      </w:r>
      <w:r w:rsidRPr="00757D20">
        <w:t xml:space="preserve"> (Ansell et al., 2022), rather than actively alleviate the institutional and structural constraints they operat</w:t>
      </w:r>
      <w:r w:rsidR="00A24B53" w:rsidRPr="00757D20">
        <w:t>e</w:t>
      </w:r>
      <w:r w:rsidRPr="00757D20">
        <w:t xml:space="preserve"> within. This stance has long been evident in the </w:t>
      </w:r>
      <w:r w:rsidR="00114D57" w:rsidRPr="00757D20">
        <w:t>“</w:t>
      </w:r>
      <w:r w:rsidRPr="00757D20">
        <w:t>aspiration-raising</w:t>
      </w:r>
      <w:r w:rsidR="00114D57" w:rsidRPr="00757D20">
        <w:t>”</w:t>
      </w:r>
      <w:r w:rsidRPr="00757D20">
        <w:t xml:space="preserve"> agenda in federal policy </w:t>
      </w:r>
      <w:r w:rsidR="0062778E" w:rsidRPr="00757D20">
        <w:fldChar w:fldCharType="begin">
          <w:fldData xml:space="preserve">PEVuZE5vdGU+PENpdGU+PEF1dGhvcj5Cb2s8L0F1dGhvcj48WWVhcj4yMDEwPC9ZZWFyPjxSZWNO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</w:fldData>
        </w:fldChar>
      </w:r>
      <w:r w:rsidR="00BF79A7" w:rsidRPr="00757D20">
        <w:instrText xml:space="preserve"> ADDIN EN.CITE </w:instrText>
      </w:r>
      <w:r w:rsidR="00BF79A7" w:rsidRPr="00757D20">
        <w:fldChar w:fldCharType="begin">
          <w:fldData xml:space="preserve">PEVuZE5vdGU+PENpdGU+PEF1dGhvcj5Cb2s8L0F1dGhvcj48WWVhcj4yMDEwPC9ZZWFyPjxSZWNO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</w:fldData>
        </w:fldChar>
      </w:r>
      <w:r w:rsidR="00BF79A7" w:rsidRPr="00757D20">
        <w:instrText xml:space="preserve"> ADDIN EN.CITE.DATA </w:instrText>
      </w:r>
      <w:r w:rsidR="00BF79A7" w:rsidRPr="00757D20">
        <w:fldChar w:fldCharType="end"/>
      </w:r>
      <w:r w:rsidR="0062778E" w:rsidRPr="00757D20">
        <w:fldChar w:fldCharType="separate"/>
      </w:r>
      <w:r w:rsidR="0062778E" w:rsidRPr="00757D20">
        <w:rPr>
          <w:noProof/>
        </w:rPr>
        <w:t>(see, for example, Bok, 2010; Prodonovich et al., 2014)</w:t>
      </w:r>
      <w:r w:rsidR="0062778E" w:rsidRPr="00757D20">
        <w:fldChar w:fldCharType="end"/>
      </w:r>
      <w:r w:rsidRPr="00757D20">
        <w:t xml:space="preserve">, reflecting a </w:t>
      </w:r>
      <w:r w:rsidR="00114D57" w:rsidRPr="00757D20">
        <w:t>“</w:t>
      </w:r>
      <w:r w:rsidRPr="00757D20">
        <w:t>politics of aspirational citizenship</w:t>
      </w:r>
      <w:r w:rsidR="00114D57" w:rsidRPr="00757D20">
        <w:t>”</w:t>
      </w:r>
      <w:r w:rsidRPr="00757D20">
        <w:t xml:space="preserve"> </w:t>
      </w:r>
      <w:r w:rsidR="0062778E" w:rsidRPr="00757D20">
        <w:fldChar w:fldCharType="begin"/>
      </w:r>
      <w:r w:rsidR="00A772CC" w:rsidRPr="00757D20">
        <w:instrText xml:space="preserve"> ADDIN EN.CITE &lt;EndNote&gt;&lt;Cite&gt;&lt;Author&gt;Mendick&lt;/Author&gt;&lt;Year&gt;2018&lt;/Year&gt;&lt;RecNum&gt;4016&lt;/RecNum&gt;&lt;DisplayText&gt;(Mendick et al., 2018; Raco, 2009)&lt;/DisplayText&gt;&lt;record&gt;&lt;rec-number&gt;4016&lt;/rec-number&gt;&lt;foreign-keys&gt;&lt;key app="EN" db-id="f2ftvv5v02e9v3e22psx2f91zs990eeafs5f" timestamp="1745476721" guid="0244d1ed-f515-4e57-8ac4-1098d14bf2c6"&gt;4016&lt;/key&gt;&lt;/foreign-keys&gt;&lt;ref-type name="Book"&gt;6&lt;/ref-type&gt;&lt;contributors&gt;&lt;authors&gt;&lt;author&gt;Mendick, Heather&lt;/author&gt;&lt;author&gt;Ahmad, Aisha&lt;/author&gt;&lt;author&gt;Allen, Kim&lt;/author&gt;&lt;author&gt;Harvey, Laura&lt;/author&gt;&lt;/authors&gt;&lt;/contributors&gt;&lt;titles&gt;&lt;title&gt;Celebrity, Aspiration and Contemporary Youth: Education and Inequality in an Era of Austerity&lt;/title&gt;&lt;/titles&gt;&lt;dates&gt;&lt;year&gt;2018&lt;/year&gt;&lt;/dates&gt;&lt;publisher&gt;Bloomsbury&lt;/publisher&gt;&lt;urls&gt;&lt;related-urls&gt;&lt;url&gt;https://www.bloomsbury.com/au/celebrity-aspiration-and-contemporary-youth-9781474294249/&lt;/url&gt;&lt;/related-urls&gt;&lt;/urls&gt;&lt;/record&gt;&lt;/Cite&gt;&lt;Cite&gt;&lt;Author&gt;Raco&lt;/Author&gt;&lt;Year&gt;2009&lt;/Year&gt;&lt;RecNum&gt;4018&lt;/RecNum&gt;&lt;record&gt;&lt;rec-number&gt;4018&lt;/rec-number&gt;&lt;foreign-keys&gt;&lt;key app="EN" db-id="f2ftvv5v02e9v3e22psx2f91zs990eeafs5f" timestamp="1745476825" guid="fc9b83fe-2bdb-49ff-a4a4-302004844112"&gt;4018&lt;/key&gt;&lt;/foreign-keys&gt;&lt;ref-type name="Journal Article"&gt;17&lt;/ref-type&gt;&lt;contributors&gt;&lt;authors&gt;&lt;author&gt;Raco, Mike&lt;/author&gt;&lt;/authors&gt;&lt;/contributors&gt;&lt;titles&gt;&lt;title&gt;From expectations to aspirations: State modernisation, urban policy, and the existential politics of welfare in the UK&lt;/title&gt;&lt;secondary-title&gt;Political Geography&lt;/secondary-title&gt;&lt;/titles&gt;&lt;periodical&gt;&lt;full-title&gt;Political Geography&lt;/full-title&gt;&lt;/periodical&gt;&lt;volume&gt;28&lt;/volume&gt;&lt;number&gt;7&lt;/number&gt;&lt;dates&gt;&lt;year&gt;2009&lt;/year&gt;&lt;/dates&gt;&lt;isbn&gt;0962-6298&lt;/isbn&gt;&lt;urls&gt;&lt;related-urls&gt;&lt;url&gt;https://www.sciencedirect.com/science/article/pii/S0962629809001267?via%3Dihub&lt;/url&gt;&lt;/related-urls&gt;&lt;/urls&gt;&lt;electronic-resource-num&gt;10.1016/j.polgeo.2009.10.009&lt;/electronic-resource-num&gt;&lt;/record&gt;&lt;/Cite&gt;&lt;/EndNote&gt;</w:instrText>
      </w:r>
      <w:r w:rsidR="0062778E" w:rsidRPr="00757D20">
        <w:fldChar w:fldCharType="separate"/>
      </w:r>
      <w:r w:rsidR="00A772CC" w:rsidRPr="00757D20">
        <w:rPr>
          <w:noProof/>
        </w:rPr>
        <w:t>(Mendick et al., 2018; Raco, 2009)</w:t>
      </w:r>
      <w:r w:rsidR="0062778E" w:rsidRPr="00757D20">
        <w:fldChar w:fldCharType="end"/>
      </w:r>
      <w:r w:rsidR="00A772CC" w:rsidRPr="00757D20">
        <w:t xml:space="preserve"> </w:t>
      </w:r>
      <w:r w:rsidRPr="00757D20">
        <w:t xml:space="preserve">that has encouraged young </w:t>
      </w:r>
      <w:r w:rsidRPr="00757D20">
        <w:lastRenderedPageBreak/>
        <w:t>people to build entrepreneurial futures for themselves</w:t>
      </w:r>
      <w:r w:rsidR="00E23CFE" w:rsidRPr="00757D20">
        <w:rPr>
          <w:rFonts w:eastAsia="Times New Roman" w:cs="Times New Roman"/>
          <w:kern w:val="0"/>
          <w:lang w:eastAsia="en-AU"/>
          <w14:ligatures w14:val="none"/>
        </w:rPr>
        <w:t>—</w:t>
      </w:r>
      <w:r w:rsidRPr="00757D20">
        <w:t>and the nation</w:t>
      </w:r>
      <w:r w:rsidR="00E23CFE" w:rsidRPr="00757D20">
        <w:rPr>
          <w:rFonts w:eastAsia="Times New Roman" w:cs="Times New Roman"/>
          <w:kern w:val="0"/>
          <w:lang w:eastAsia="en-AU"/>
          <w14:ligatures w14:val="none"/>
        </w:rPr>
        <w:t>—</w:t>
      </w:r>
      <w:r w:rsidRPr="00757D20">
        <w:t xml:space="preserve">through self-reliance, individual responsibility, and meritocratic ideals </w:t>
      </w:r>
      <w:r w:rsidR="00A772CC" w:rsidRPr="00757D20">
        <w:fldChar w:fldCharType="begin"/>
      </w:r>
      <w:r w:rsidR="00A772CC" w:rsidRPr="00757D20">
        <w:instrText xml:space="preserve"> ADDIN EN.CITE &lt;EndNote&gt;&lt;Cite&gt;&lt;Author&gt;Patfield&lt;/Author&gt;&lt;Year&gt;2024&lt;/Year&gt;&lt;RecNum&gt;4017&lt;/RecNum&gt;&lt;DisplayText&gt;(Patfield et al., 2024)&lt;/DisplayText&gt;&lt;record&gt;&lt;rec-number&gt;4017&lt;/rec-number&gt;&lt;foreign-keys&gt;&lt;key app="EN" db-id="f2ftvv5v02e9v3e22psx2f91zs990eeafs5f" timestamp="1745476825" guid="15763ae5-75d2-4253-9698-b571e3656cdb"&gt;4017&lt;/key&gt;&lt;/foreign-keys&gt;&lt;ref-type name="Journal Article"&gt;17&lt;/ref-type&gt;&lt;contributors&gt;&lt;authors&gt;&lt;author&gt;Patfield, Sally&lt;/author&gt;&lt;author&gt;Fray, Leanne&lt;/author&gt;&lt;author&gt;Gore, Jennifer&lt;/author&gt;&lt;/authors&gt;&lt;/contributors&gt;&lt;titles&gt;&lt;title&gt;Translating Longitudinal Research: From Large Datasets to Insights for&lt;/title&gt;&lt;secondary-title&gt;Longitudinal Methods in Youth Research&lt;/secondary-title&gt;&lt;/titles&gt;&lt;periodical&gt;&lt;full-title&gt;Longitudinal Methods in Youth Research&lt;/full-title&gt;&lt;/periodical&gt;&lt;dates&gt;&lt;year&gt;2024&lt;/year&gt;&lt;/dates&gt;&lt;isbn&gt;2365-2985&lt;/isbn&gt;&lt;urls&gt;&lt;related-urls&gt;&lt;url&gt;https://link.springer.com/chapter/10.1007/978-981-97-2332-4_16&lt;/url&gt;&lt;/related-urls&gt;&lt;/urls&gt;&lt;electronic-resource-num&gt;10.1007/978-981-97-2332-4_16&lt;/electronic-resource-num&gt;&lt;/record&gt;&lt;/Cite&gt;&lt;/EndNote&gt;</w:instrText>
      </w:r>
      <w:r w:rsidR="00A772CC" w:rsidRPr="00757D20">
        <w:fldChar w:fldCharType="separate"/>
      </w:r>
      <w:r w:rsidR="00A772CC" w:rsidRPr="00757D20">
        <w:rPr>
          <w:noProof/>
        </w:rPr>
        <w:t>(Patfield et al., 2024)</w:t>
      </w:r>
      <w:r w:rsidR="00A772CC" w:rsidRPr="00757D20">
        <w:fldChar w:fldCharType="end"/>
      </w:r>
      <w:r w:rsidRPr="00757D20">
        <w:t>.</w:t>
      </w:r>
    </w:p>
    <w:p w14:paraId="4728F39B" w14:textId="469F1D93" w:rsidR="002F7845" w:rsidRPr="00757D20" w:rsidRDefault="006320AF" w:rsidP="006320AF">
      <w:r w:rsidRPr="00757D20">
        <w:t>However, as An</w:t>
      </w:r>
      <w:r w:rsidR="00792286" w:rsidRPr="00757D20">
        <w:t>s</w:t>
      </w:r>
      <w:r w:rsidRPr="00757D20">
        <w:t>ell et al. (2022) remind us, “the idea that one can control the future is very problematic in places where most people feel powerless” (p. 798). In our research, we heard stories of young people already working long hours to support themselves and their families at Ironbark Plains, a lack of knowledge, confidence</w:t>
      </w:r>
      <w:r w:rsidR="00C14617" w:rsidRPr="00757D20">
        <w:t>,</w:t>
      </w:r>
      <w:r w:rsidRPr="00757D20">
        <w:t xml:space="preserve"> and access to information in communities such as Riverbend, and </w:t>
      </w:r>
      <w:r w:rsidR="00131B07" w:rsidRPr="00757D20">
        <w:t xml:space="preserve">a struggle to escape </w:t>
      </w:r>
      <w:r w:rsidRPr="00757D20">
        <w:t xml:space="preserve">intergenerational welfare dependence and a limited local job market in </w:t>
      </w:r>
      <w:proofErr w:type="spellStart"/>
      <w:r w:rsidRPr="00757D20">
        <w:t>Murrindah</w:t>
      </w:r>
      <w:proofErr w:type="spellEnd"/>
      <w:r w:rsidRPr="00757D20">
        <w:t xml:space="preserve">. Here, the work of </w:t>
      </w:r>
      <w:r w:rsidR="0082746D" w:rsidRPr="00757D20">
        <w:t xml:space="preserve">Rajak and Dolan </w:t>
      </w:r>
      <w:r w:rsidR="00A26429" w:rsidRPr="00757D20">
        <w:fldChar w:fldCharType="begin"/>
      </w:r>
      <w:r w:rsidR="00A26429" w:rsidRPr="00757D20">
        <w:instrText xml:space="preserve"> ADDIN EN.CITE &lt;EndNote&gt;&lt;Cite ExcludeAuth="1"&gt;&lt;Author&gt;Rajak&lt;/Author&gt;&lt;Year&gt;2022&lt;/Year&gt;&lt;RecNum&gt;4019&lt;/RecNum&gt;&lt;DisplayText&gt;(2022)&lt;/DisplayText&gt;&lt;record&gt;&lt;rec-number&gt;4019&lt;/rec-number&gt;&lt;foreign-keys&gt;&lt;key app="EN" db-id="f2ftvv5v02e9v3e22psx2f91zs990eeafs5f" timestamp="1745476825" guid="5bd52e4c-1c61-415e-b834-442b121d8bd0"&gt;4019&lt;/key&gt;&lt;/foreign-keys&gt;&lt;ref-type name="Journal Article"&gt;17&lt;/ref-type&gt;&lt;contributors&gt;&lt;authors&gt;&lt;author&gt;Rajak, Dinah &lt;/author&gt;&lt;author&gt;Dolan, Catherine &lt;/author&gt;&lt;/authors&gt;&lt;/contributors&gt;&lt;titles&gt;&lt;title&gt;Aspiring Minds: ‘A Generation of Entrepreneurs in the Making’&lt;/title&gt;&lt;secondary-title&gt;Sociological Research Online&lt;/secondary-title&gt;&lt;/titles&gt;&lt;periodical&gt;&lt;full-title&gt;Sociological Research Online&lt;/full-title&gt;&lt;/periodical&gt;&lt;volume&gt;27&lt;/volume&gt;&lt;number&gt;4&lt;/number&gt;&lt;dates&gt;&lt;year&gt;2022&lt;/year&gt;&lt;/dates&gt;&lt;isbn&gt;1360-7804&lt;/isbn&gt;&lt;urls&gt;&lt;related-urls&gt;&lt;url&gt;https://journals.sagepub.com/doi/10.1177/13607804211042905&lt;/url&gt;&lt;/related-urls&gt;&lt;/urls&gt;&lt;electronic-resource-num&gt;10.1177/13607804211042905&lt;/electronic-resource-num&gt;&lt;/record&gt;&lt;/Cite&gt;&lt;/EndNote&gt;</w:instrText>
      </w:r>
      <w:r w:rsidR="00A26429" w:rsidRPr="00757D20">
        <w:fldChar w:fldCharType="separate"/>
      </w:r>
      <w:r w:rsidR="00A26429" w:rsidRPr="00757D20">
        <w:rPr>
          <w:noProof/>
        </w:rPr>
        <w:t>(2022)</w:t>
      </w:r>
      <w:r w:rsidR="00A26429" w:rsidRPr="00757D20">
        <w:fldChar w:fldCharType="end"/>
      </w:r>
      <w:r w:rsidR="000925E8" w:rsidRPr="00757D20">
        <w:t xml:space="preserve"> </w:t>
      </w:r>
      <w:r w:rsidRPr="00757D20">
        <w:t>rings true</w:t>
      </w:r>
      <w:r w:rsidR="00CC32B4" w:rsidRPr="00757D20">
        <w:t xml:space="preserve">. They highlight </w:t>
      </w:r>
      <w:r w:rsidR="007B6EE3" w:rsidRPr="00757D20">
        <w:t xml:space="preserve">that </w:t>
      </w:r>
      <w:r w:rsidRPr="00757D20">
        <w:t xml:space="preserve">the gap between aspiration and opportunity </w:t>
      </w:r>
      <w:r w:rsidR="007B6EE3" w:rsidRPr="00757D20">
        <w:t>is</w:t>
      </w:r>
      <w:r w:rsidR="005559D0" w:rsidRPr="00757D20">
        <w:t xml:space="preserve"> </w:t>
      </w:r>
      <w:r w:rsidRPr="00757D20">
        <w:t xml:space="preserve">continuing to widen, as </w:t>
      </w:r>
      <w:r w:rsidR="007B6EE3" w:rsidRPr="00757D20">
        <w:t>is</w:t>
      </w:r>
      <w:r w:rsidRPr="00757D20">
        <w:t xml:space="preserve"> the gap between the neoliberal expectations placed on youth and the material realities of their lives.</w:t>
      </w:r>
    </w:p>
    <w:p w14:paraId="24C47956" w14:textId="4D34AA42" w:rsidR="002F7845" w:rsidRPr="00757D20" w:rsidRDefault="002F7845" w:rsidP="00D174F9">
      <w:pPr>
        <w:pStyle w:val="Heading3"/>
      </w:pPr>
      <w:bookmarkStart w:id="109" w:name="_Toc219977247"/>
      <w:r w:rsidRPr="00757D20">
        <w:t>Uncertainty as a driver of mental ill-health</w:t>
      </w:r>
      <w:bookmarkEnd w:id="109"/>
    </w:p>
    <w:p w14:paraId="206FA798" w14:textId="08CBC94D" w:rsidR="002F7845" w:rsidRPr="00757D20" w:rsidRDefault="002F7845" w:rsidP="002F7845">
      <w:r w:rsidRPr="00757D20">
        <w:t xml:space="preserve">While uncertainty is arguably now a dominant feature of the material world, it can also be thought of as a </w:t>
      </w:r>
      <w:r w:rsidR="00471935" w:rsidRPr="00757D20">
        <w:t>“</w:t>
      </w:r>
      <w:r w:rsidRPr="00757D20">
        <w:t>mental state</w:t>
      </w:r>
      <w:r w:rsidR="00471935" w:rsidRPr="00757D20">
        <w:t>”</w:t>
      </w:r>
      <w:r w:rsidRPr="00757D20">
        <w:t xml:space="preserve"> </w:t>
      </w:r>
      <w:r w:rsidR="00BF79A7" w:rsidRPr="00757D20">
        <w:fldChar w:fldCharType="begin"/>
      </w:r>
      <w:r w:rsidR="00BF79A7" w:rsidRPr="00757D20">
        <w:instrText xml:space="preserve"> ADDIN EN.CITE &lt;EndNote&gt;&lt;Cite&gt;&lt;Author&gt;Jenkins&lt;/Author&gt;&lt;Year&gt;2010&lt;/Year&gt;&lt;RecNum&gt;4026&lt;/RecNum&gt;&lt;Pages&gt;404&lt;/Pages&gt;&lt;DisplayText&gt;(Jenkins &amp;amp; Mitchell, 2010, p. 404)&lt;/DisplayText&gt;&lt;record&gt;&lt;rec-number&gt;4026&lt;/rec-number&gt;&lt;foreign-keys&gt;&lt;key app="EN" db-id="f2ftvv5v02e9v3e22psx2f91zs990eeafs5f" timestamp="1745493290" guid="8e010d64-314b-4cd7-8cf5-249116e1e9cf"&gt;4026&lt;/key&gt;&lt;/foreign-keys&gt;&lt;ref-type name="Journal Article"&gt;17&lt;/ref-type&gt;&lt;contributors&gt;&lt;authors&gt;&lt;author&gt;Jenkins, Adrianna C.&lt;/author&gt;&lt;author&gt;Mitchell, Jason P.&lt;/author&gt;&lt;/authors&gt;&lt;/contributors&gt;&lt;titles&gt;&lt;title&gt;Mentalizing under Uncertainty: Dissociated Neural Responses to Ambiguous and Unambiguous Mental State Inferences&lt;/title&gt;&lt;secondary-title&gt;Cerebral Cortex&lt;/secondary-title&gt;&lt;/titles&gt;&lt;periodical&gt;&lt;full-title&gt;Cerebral Cortex&lt;/full-title&gt;&lt;/periodical&gt;&lt;volume&gt;20&lt;/volume&gt;&lt;number&gt;2&lt;/number&gt;&lt;dates&gt;&lt;year&gt;2010&lt;/year&gt;&lt;/dates&gt;&lt;isbn&gt;1047-3211&lt;/isbn&gt;&lt;urls&gt;&lt;related-urls&gt;&lt;url&gt;https://academic.oup.com/cercor/article/20/2/404/308674?login=false&lt;/url&gt;&lt;/related-urls&gt;&lt;/urls&gt;&lt;electronic-resource-num&gt;10.1093/cercor/bhp109&lt;/electronic-resource-num&gt;&lt;/record&gt;&lt;/Cite&gt;&lt;/EndNote&gt;</w:instrText>
      </w:r>
      <w:r w:rsidR="00BF79A7" w:rsidRPr="00757D20">
        <w:fldChar w:fldCharType="separate"/>
      </w:r>
      <w:r w:rsidR="00BF79A7" w:rsidRPr="00757D20">
        <w:rPr>
          <w:noProof/>
        </w:rPr>
        <w:t>(Jenkins &amp; Mitchell, 2010, p. 404)</w:t>
      </w:r>
      <w:r w:rsidR="00BF79A7" w:rsidRPr="00757D20">
        <w:fldChar w:fldCharType="end"/>
      </w:r>
      <w:r w:rsidR="00BF79A7" w:rsidRPr="00757D20">
        <w:t>.</w:t>
      </w:r>
      <w:r w:rsidRPr="00757D20">
        <w:t xml:space="preserve"> Research has shown that heightened levels of uncertainty and instability can lead to adverse impacts on mental health and wellbeing, including feelings of stress and anxiety, a sense of loss of control, fatigue</w:t>
      </w:r>
      <w:r w:rsidR="00A30201" w:rsidRPr="00757D20">
        <w:t>,</w:t>
      </w:r>
      <w:r w:rsidRPr="00757D20">
        <w:t xml:space="preserve"> and distress </w:t>
      </w:r>
      <w:r w:rsidR="007416B2" w:rsidRPr="00757D20">
        <w:fldChar w:fldCharType="begin"/>
      </w:r>
      <w:r w:rsidR="007416B2" w:rsidRPr="00757D20">
        <w:instrText xml:space="preserve"> ADDIN EN.CITE &lt;EndNote&gt;&lt;Cite&gt;&lt;Author&gt;Kienzler&lt;/Author&gt;&lt;Year&gt;2025&lt;/Year&gt;&lt;RecNum&gt;4025&lt;/RecNum&gt;&lt;DisplayText&gt;(Kienzler et al., 2025)&lt;/DisplayText&gt;&lt;record&gt;&lt;rec-number&gt;4025&lt;/rec-number&gt;&lt;foreign-keys&gt;&lt;key app="EN" db-id="f2ftvv5v02e9v3e22psx2f91zs990eeafs5f" timestamp="1745493290" guid="86d1f678-88df-4960-977b-75d88d14ef99"&gt;4025&lt;/key&gt;&lt;/foreign-keys&gt;&lt;ref-type name="Journal Article"&gt;17&lt;/ref-type&gt;&lt;contributors&gt;&lt;authors&gt;&lt;author&gt;Hanna Kienzler&lt;/author&gt;&lt;author&gt;Alessandro Massazza&lt;/author&gt;&lt;author&gt;Rebecca Kuykendall&lt;/author&gt;&lt;author&gt;Nancy Tamimi&lt;/author&gt;&lt;author&gt;Weeam Hammoudeh&lt;/author&gt;&lt;author&gt;Rita Giacaman&lt;/author&gt;&lt;/authors&gt;&lt;/contributors&gt;&lt;titles&gt;&lt;title&gt;Uncertainty and mental health: A qualitative scoping review&lt;/title&gt;&lt;secondary-title&gt;SSM - Qualitative Research in Health&lt;/secondary-title&gt;&lt;/titles&gt;&lt;periodical&gt;&lt;full-title&gt;SSM - Qualitative Research in Health&lt;/full-title&gt;&lt;/periodical&gt;&lt;volume&gt;7&lt;/volume&gt;&lt;dates&gt;&lt;year&gt;2025&lt;/year&gt;&lt;/dates&gt;&lt;isbn&gt;2667-3215&lt;/isbn&gt;&lt;urls&gt;&lt;related-urls&gt;&lt;url&gt;https://www.sciencedirect.com/science/article/pii/S2667321524001306#sec1&lt;/url&gt;&lt;/related-urls&gt;&lt;/urls&gt;&lt;electronic-resource-num&gt;10.1016/j.ssmqr.2024.100521&lt;/electronic-resource-num&gt;&lt;/record&gt;&lt;/Cite&gt;&lt;/EndNote&gt;</w:instrText>
      </w:r>
      <w:r w:rsidR="007416B2" w:rsidRPr="00757D20">
        <w:fldChar w:fldCharType="separate"/>
      </w:r>
      <w:r w:rsidR="007416B2" w:rsidRPr="00757D20">
        <w:rPr>
          <w:noProof/>
        </w:rPr>
        <w:t>(Kienzler et al., 2025)</w:t>
      </w:r>
      <w:r w:rsidR="007416B2" w:rsidRPr="00757D20">
        <w:fldChar w:fldCharType="end"/>
      </w:r>
      <w:r w:rsidR="007416B2" w:rsidRPr="00757D20">
        <w:t>.</w:t>
      </w:r>
      <w:r w:rsidRPr="00757D20">
        <w:t xml:space="preserve"> Some researchers in the psychological sciences have gone so far </w:t>
      </w:r>
      <w:r w:rsidR="008F5830" w:rsidRPr="00757D20">
        <w:t>as</w:t>
      </w:r>
      <w:r w:rsidRPr="00757D20">
        <w:t xml:space="preserve"> to argue that greater uncertainty has been a key driver of the global rise in youth depression and anxiety in recent years, spurred on by the COVID-19 pandemic that introduced a multitude of novel uncertainties and equally by adolescents' increasing use of social media </w:t>
      </w:r>
      <w:r w:rsidR="00C94905" w:rsidRPr="00757D20">
        <w:fldChar w:fldCharType="begin"/>
      </w:r>
      <w:r w:rsidR="00C94905" w:rsidRPr="00757D20">
        <w:instrText xml:space="preserve"> ADDIN EN.CITE &lt;EndNote&gt;&lt;Cite&gt;&lt;Author&gt;Schweizer&lt;/Author&gt;&lt;Year&gt;2023&lt;/Year&gt;&lt;RecNum&gt;4027&lt;/RecNum&gt;&lt;DisplayText&gt;(Schweizer et al., 2023)&lt;/DisplayText&gt;&lt;record&gt;&lt;rec-number&gt;4027&lt;/rec-number&gt;&lt;foreign-keys&gt;&lt;key app="EN" db-id="f2ftvv5v02e9v3e22psx2f91zs990eeafs5f" timestamp="1745493479" guid="1699b322-a311-4a1d-97cb-e835db9b86f1"&gt;4027&lt;/key&gt;&lt;/foreign-keys&gt;&lt;ref-type name="Journal Article"&gt;17&lt;/ref-type&gt;&lt;contributors&gt;&lt;authors&gt;&lt;author&gt;Susanne Schweizer&lt;/author&gt;&lt;author&gt;Rebecca P. Lawson&lt;/author&gt;&lt;author&gt;Sarah-Jayne Blakemore&lt;/author&gt;&lt;/authors&gt;&lt;/contributors&gt;&lt;titles&gt;&lt;title&gt;Uncertainty as a driver of the youth mental health crisis&lt;/title&gt;&lt;secondary-title&gt;Current Opinion in Psychology&lt;/secondary-title&gt;&lt;/titles&gt;&lt;periodical&gt;&lt;full-title&gt;Current Opinion in Psychology&lt;/full-title&gt;&lt;/periodical&gt;&lt;volume&gt;53&lt;/volume&gt;&lt;dates&gt;&lt;year&gt;2023&lt;/year&gt;&lt;/dates&gt;&lt;isbn&gt;2352-250X&lt;/isbn&gt;&lt;urls&gt;&lt;related-urls&gt;&lt;url&gt;https://www.sciencedirect.com/science/article/pii/S2352250X23001021&lt;/url&gt;&lt;/related-urls&gt;&lt;/urls&gt;&lt;electronic-resource-num&gt;10.1016/j.copsyc.2023.101657&lt;/electronic-resource-num&gt;&lt;/record&gt;&lt;/Cite&gt;&lt;/EndNote&gt;</w:instrText>
      </w:r>
      <w:r w:rsidR="00C94905" w:rsidRPr="00757D20">
        <w:fldChar w:fldCharType="separate"/>
      </w:r>
      <w:r w:rsidR="00C94905" w:rsidRPr="00757D20">
        <w:rPr>
          <w:noProof/>
        </w:rPr>
        <w:t>(Schweizer et al., 2023)</w:t>
      </w:r>
      <w:r w:rsidR="00C94905" w:rsidRPr="00757D20">
        <w:fldChar w:fldCharType="end"/>
      </w:r>
      <w:r w:rsidR="00F861E3" w:rsidRPr="00757D20">
        <w:t>.</w:t>
      </w:r>
      <w:r w:rsidRPr="00757D20">
        <w:t xml:space="preserve"> In turn, young people can feel less confident in their ability to apply for a job and even to achieve future goals </w:t>
      </w:r>
      <w:r w:rsidR="00BF79A7" w:rsidRPr="00757D20">
        <w:fldChar w:fldCharType="begin"/>
      </w:r>
      <w:r w:rsidR="00BF79A7" w:rsidRPr="00757D20">
        <w:instrText xml:space="preserve"> ADDIN EN.CITE &lt;EndNote&gt;&lt;Cite&gt;&lt;Author&gt;Headspace: National Youth Mental Health Foundation&lt;/Author&gt;&lt;Year&gt;2023&lt;/Year&gt;&lt;RecNum&gt;4024&lt;/RecNum&gt;&lt;DisplayText&gt;(Headspace: National Youth Mental Health Foundation, 2023)&lt;/DisplayText&gt;&lt;record&gt;&lt;rec-number&gt;4024&lt;/rec-number&gt;&lt;foreign-keys&gt;&lt;key app="EN" db-id="f2ftvv5v02e9v3e22psx2f91zs990eeafs5f" timestamp="1745493087" guid="4b33ad21-9c10-4bcd-b2d5-790403981909"&gt;4024&lt;/key&gt;&lt;/foreign-keys&gt;&lt;ref-type name="Electronic Article"&gt;43&lt;/ref-type&gt;&lt;contributors&gt;&lt;authors&gt;&lt;author&gt;Headspace: National Youth Mental Health Foundation,&lt;/author&gt;&lt;/authors&gt;&lt;/contributors&gt;&lt;titles&gt;&lt;title&gt;Future work and study aspirations for young people aged 15+&lt;/title&gt;&lt;/titles&gt;&lt;dates&gt;&lt;year&gt;2023&lt;/year&gt;&lt;/dates&gt;&lt;urls&gt;&lt;related-urls&gt;&lt;url&gt;https://headspace.org.au/assets/20230322_Headspace-Survey-Report.pdf&lt;/url&gt;&lt;/related-urls&gt;&lt;/urls&gt;&lt;/record&gt;&lt;/Cite&gt;&lt;/EndNote&gt;</w:instrText>
      </w:r>
      <w:r w:rsidR="00BF79A7" w:rsidRPr="00757D20">
        <w:fldChar w:fldCharType="separate"/>
      </w:r>
      <w:r w:rsidR="00BF79A7" w:rsidRPr="00757D20">
        <w:rPr>
          <w:noProof/>
        </w:rPr>
        <w:t>(Headspace: National Youth Mental Health Foundation, 2023)</w:t>
      </w:r>
      <w:r w:rsidR="00BF79A7" w:rsidRPr="00757D20">
        <w:fldChar w:fldCharType="end"/>
      </w:r>
      <w:r w:rsidR="007E6A8A" w:rsidRPr="00757D20">
        <w:t>.</w:t>
      </w:r>
    </w:p>
    <w:p w14:paraId="767D3367" w14:textId="6489F7E4" w:rsidR="002F7845" w:rsidRPr="00757D20" w:rsidRDefault="002F7845" w:rsidP="002F7845">
      <w:r w:rsidRPr="00757D20">
        <w:t xml:space="preserve">In our research, young people’s thoughts about the future were increasingly imbued with language indicating stress and anxiety. </w:t>
      </w:r>
      <w:r w:rsidR="00391A27" w:rsidRPr="00757D20">
        <w:t>I</w:t>
      </w:r>
      <w:r w:rsidRPr="00757D20">
        <w:t>n Ironbark Plains, students described feeling “worried” and “scared” when contemplating their future</w:t>
      </w:r>
      <w:r w:rsidR="00FC31AE" w:rsidRPr="00757D20">
        <w:t>s</w:t>
      </w:r>
      <w:r w:rsidRPr="00757D20">
        <w:t>. In the most extreme, however, at the partially selective Banks Hollow Secondary College, the COVID-19 pandemic was a catalyst for the exacerbation of mental ill-health, with young people</w:t>
      </w:r>
      <w:r w:rsidR="00873645" w:rsidRPr="00757D20">
        <w:t>—</w:t>
      </w:r>
      <w:r w:rsidRPr="00757D20">
        <w:t>often from first- or second-generation migrant families</w:t>
      </w:r>
      <w:r w:rsidR="00873645" w:rsidRPr="00757D20">
        <w:t>—</w:t>
      </w:r>
      <w:r w:rsidRPr="00757D20">
        <w:t xml:space="preserve">being put under enormous pressure to reach the heights of </w:t>
      </w:r>
      <w:r w:rsidR="00024B64" w:rsidRPr="00757D20">
        <w:t xml:space="preserve">successful professional careers and </w:t>
      </w:r>
      <w:r w:rsidRPr="00757D20">
        <w:t>top-tier universities</w:t>
      </w:r>
      <w:r w:rsidR="00024B64" w:rsidRPr="00757D20">
        <w:t xml:space="preserve"> in the city</w:t>
      </w:r>
      <w:r w:rsidRPr="00757D20">
        <w:t>. Interestingly, however, new anxieties have been created about the value of a university education in a landscape where the world of work has changed, creating new sources of tension in the aspirations of those firmly set on a higher education pathway.</w:t>
      </w:r>
    </w:p>
    <w:p w14:paraId="5694CD3C" w14:textId="33497901" w:rsidR="002E4B19" w:rsidRPr="00757D20" w:rsidRDefault="002E4B19" w:rsidP="00D174F9">
      <w:pPr>
        <w:pStyle w:val="Heading3"/>
      </w:pPr>
      <w:bookmarkStart w:id="110" w:name="_Toc219977248"/>
      <w:r w:rsidRPr="00757D20">
        <w:t>The value of university and TAFE in an age of uncertainty</w:t>
      </w:r>
      <w:bookmarkEnd w:id="110"/>
    </w:p>
    <w:p w14:paraId="70D97A94" w14:textId="74C0CFC0" w:rsidR="009C15FC" w:rsidRPr="00757D20" w:rsidRDefault="00982650" w:rsidP="009C15FC">
      <w:pPr>
        <w:spacing w:line="259" w:lineRule="auto"/>
      </w:pPr>
      <w:r w:rsidRPr="00757D20">
        <w:t>In this light, ou</w:t>
      </w:r>
      <w:r w:rsidR="005854B1" w:rsidRPr="00757D20">
        <w:t>r</w:t>
      </w:r>
      <w:r w:rsidRPr="00757D20">
        <w:t xml:space="preserve"> research also shows that</w:t>
      </w:r>
      <w:r w:rsidR="009C15FC" w:rsidRPr="00757D20">
        <w:t xml:space="preserve"> students are </w:t>
      </w:r>
      <w:r w:rsidRPr="00757D20">
        <w:t xml:space="preserve">increasingly </w:t>
      </w:r>
      <w:r w:rsidR="009C15FC" w:rsidRPr="00757D20">
        <w:t xml:space="preserve">making pragmatic decisions about post-school pathways, balancing aspirations with financial risk, local job markets, and the perceived value of qualifications. </w:t>
      </w:r>
      <w:r w:rsidR="00C3080F" w:rsidRPr="00757D20">
        <w:t xml:space="preserve">The </w:t>
      </w:r>
      <w:r w:rsidR="009C15FC" w:rsidRPr="00757D20">
        <w:t xml:space="preserve">COVID-19 </w:t>
      </w:r>
      <w:r w:rsidR="00C3080F" w:rsidRPr="00757D20">
        <w:t xml:space="preserve">pandemic </w:t>
      </w:r>
      <w:r w:rsidR="009C15FC" w:rsidRPr="00757D20">
        <w:t xml:space="preserve">accelerated these shifts, with significant drops </w:t>
      </w:r>
      <w:r w:rsidR="00C3080F" w:rsidRPr="00757D20">
        <w:t xml:space="preserve">in university attendance </w:t>
      </w:r>
      <w:r w:rsidR="009C15FC" w:rsidRPr="00757D20">
        <w:t xml:space="preserve">among disadvantaged students </w:t>
      </w:r>
      <w:r w:rsidR="00667C15" w:rsidRPr="00757D20">
        <w:fldChar w:fldCharType="begin"/>
      </w:r>
      <w:r w:rsidR="00667C15" w:rsidRPr="00757D20">
        <w:instrText xml:space="preserve"> ADDIN EN.CITE &lt;EndNote&gt;&lt;Cite&gt;&lt;Author&gt;Tomaszewski&lt;/Author&gt;&lt;Year&gt;2022&lt;/Year&gt;&lt;RecNum&gt;372&lt;/RecNum&gt;&lt;DisplayText&gt;(Tomaszewski et al., 2022)&lt;/DisplayText&gt;&lt;record&gt;&lt;rec-number&gt;372&lt;/rec-number&gt;&lt;foreign-keys&gt;&lt;key app="EN" db-id="f2ftvv5v02e9v3e22psx2f91zs990eeafs5f" timestamp="1725316600" guid="d2850d43-2655-46bd-8780-4f2e3295e553"&gt;372&lt;/key&gt;&lt;/foreign-keys&gt;&lt;ref-type name="Journal Article"&gt;17&lt;/ref-type&gt;&lt;contributors&gt;&lt;authors&gt;&lt;author&gt;Tomaszewski, Wojtek&lt;/author&gt;&lt;author&gt;Perales, Francisco&lt;/author&gt;&lt;author&gt;Xiang, Ning&lt;/author&gt;&lt;author&gt;Kubler, Matthias&lt;/author&gt;&lt;/authors&gt;&lt;/contributors&gt;&lt;titles&gt;&lt;title&gt;Differences in Higher Education Access, Participation and Outcomes by Socioeconomic Background: A Life Course Perspective&lt;/title&gt;&lt;/titles&gt;&lt;pages&gt;133-155&lt;/pages&gt;&lt;dates&gt;&lt;year&gt;2022&lt;/year&gt;&lt;/dates&gt;&lt;publisher&gt;Springer, Cham&lt;/publisher&gt;&lt;urls&gt;&lt;related-urls&gt;&lt;url&gt;https://link.springer.com/chapter/10.1007/978-3-031-12224-8_7&lt;/url&gt;&lt;/related-urls&gt;&lt;/urls&gt;&lt;electronic-resource-num&gt;10.1007/978-3-031-12224-8_7&lt;/electronic-resource-num&gt;&lt;/record&gt;&lt;/Cite&gt;&lt;/EndNote&gt;</w:instrText>
      </w:r>
      <w:r w:rsidR="00667C15" w:rsidRPr="00757D20">
        <w:fldChar w:fldCharType="separate"/>
      </w:r>
      <w:r w:rsidR="00667C15" w:rsidRPr="00757D20">
        <w:rPr>
          <w:noProof/>
        </w:rPr>
        <w:t>(Tomaszewski et al., 2022)</w:t>
      </w:r>
      <w:r w:rsidR="00667C15" w:rsidRPr="00757D20">
        <w:fldChar w:fldCharType="end"/>
      </w:r>
      <w:r w:rsidR="009C15FC" w:rsidRPr="00757D20">
        <w:t>, and a broader questioning of the return on investment in university education</w:t>
      </w:r>
      <w:r w:rsidR="00FF667C" w:rsidRPr="00757D20">
        <w:t xml:space="preserve">, with some young people questioning if a HECS debt is now worth the risk </w:t>
      </w:r>
      <w:r w:rsidR="000A2DD6" w:rsidRPr="00757D20">
        <w:t>(Hare, 2023)</w:t>
      </w:r>
      <w:r w:rsidR="009C15FC" w:rsidRPr="00757D20">
        <w:t xml:space="preserve">. By 2023, domestic undergraduate commencements had fallen to their lowest in a decade </w:t>
      </w:r>
      <w:r w:rsidR="00667C15" w:rsidRPr="00757D20">
        <w:fldChar w:fldCharType="begin"/>
      </w:r>
      <w:r w:rsidR="00667C15" w:rsidRPr="00757D20">
        <w:instrText xml:space="preserve"> ADDIN EN.CITE &lt;EndNote&gt;&lt;Cite&gt;&lt;Author&gt;Australian Government Department of Education&lt;/Author&gt;&lt;Year&gt;2024&lt;/Year&gt;&lt;RecNum&gt;3850&lt;/RecNum&gt;&lt;DisplayText&gt;(Australian Government Department of Education, 2024)&lt;/DisplayText&gt;&lt;record&gt;&lt;rec-number&gt;3850&lt;/rec-number&gt;&lt;foreign-keys&gt;&lt;key app="EN" db-id="f2ftvv5v02e9v3e22psx2f91zs990eeafs5f" timestamp="1733733933" guid="11ba95a8-f5f2-46a1-bbfe-684b30418da0"&gt;3850&lt;/key&gt;&lt;/foreign-keys&gt;&lt;ref-type name="Web Page"&gt;12&lt;/ref-type&gt;&lt;contributors&gt;&lt;authors&gt;&lt;author&gt;Australian Government Department of Education,&lt;/author&gt;&lt;/authors&gt;&lt;/contributors&gt;&lt;titles&gt;&lt;title&gt;Key findings from the 2023 Higher Education Student Statistics - Department of Education, Australian Government&lt;/title&gt;&lt;/titles&gt;&lt;volume&gt;2024&lt;/volume&gt;&lt;number&gt;9 December&lt;/number&gt;&lt;dates&gt;&lt;year&gt;2024&lt;/year&gt;&lt;/dates&gt;&lt;urls&gt;&lt;related-urls&gt;&lt;url&gt;https://www.education.gov.au/higher-education-statistics/student-data/selected-higher-education-statistics-2023-student-data/key-findings-2023-student-data&lt;/url&gt;&lt;/related-urls&gt;&lt;/urls&gt;&lt;/record&gt;&lt;/Cite&gt;&lt;/EndNote&gt;</w:instrText>
      </w:r>
      <w:r w:rsidR="00667C15" w:rsidRPr="00757D20">
        <w:fldChar w:fldCharType="separate"/>
      </w:r>
      <w:r w:rsidR="00667C15" w:rsidRPr="00757D20">
        <w:rPr>
          <w:noProof/>
        </w:rPr>
        <w:t>(Australian Government Department of Education, 2024)</w:t>
      </w:r>
      <w:r w:rsidR="00667C15" w:rsidRPr="00757D20">
        <w:fldChar w:fldCharType="end"/>
      </w:r>
      <w:r w:rsidR="00C3080F" w:rsidRPr="00757D20">
        <w:t xml:space="preserve">. By comparison, </w:t>
      </w:r>
      <w:r w:rsidR="009C15FC" w:rsidRPr="00757D20">
        <w:t xml:space="preserve">VET enrolments surged to 5.1 million </w:t>
      </w:r>
      <w:r w:rsidR="00667C15" w:rsidRPr="00757D20">
        <w:fldChar w:fldCharType="begin"/>
      </w:r>
      <w:r w:rsidR="00667C15" w:rsidRPr="00757D20">
        <w:instrText xml:space="preserve"> ADDIN EN.CITE &lt;EndNote&gt;&lt;Cite&gt;&lt;Author&gt;NCVER&lt;/Author&gt;&lt;Year&gt;2023&lt;/Year&gt;&lt;RecNum&gt;4050&lt;/RecNum&gt;&lt;DisplayText&gt;(NCVER, 2023)&lt;/DisplayText&gt;&lt;record&gt;&lt;rec-number&gt;4050&lt;/rec-number&gt;&lt;foreign-keys&gt;&lt;key app="EN" db-id="f2ftvv5v02e9v3e22psx2f91zs990eeafs5f" timestamp="1745539169" guid="1d072bbc-a902-4da4-a31b-6200cfcf94ed"&gt;4050&lt;/key&gt;&lt;/foreign-keys&gt;&lt;ref-type name="Report"&gt;27&lt;/ref-type&gt;&lt;contributors&gt;&lt;authors&gt;&lt;author&gt;NCVER,&lt;/author&gt;&lt;/authors&gt;&lt;/contributors&gt;&lt;titles&gt;&lt;title&gt;Total VET students and courses 2023&lt;/title&gt;&lt;/titles&gt;&lt;dates&gt;&lt;year&gt;2023&lt;/year&gt;&lt;/dates&gt;&lt;urls&gt;&lt;related-urls&gt;&lt;url&gt;https://www.ncver.edu.au/__data/assets/pdf_file/0050/9689477/Total-VET-students-and-courses-2023_v3.pdf&lt;/url&gt;&lt;/related-urls&gt;&lt;/urls&gt;&lt;/record&gt;&lt;/Cite&gt;&lt;/EndNote&gt;</w:instrText>
      </w:r>
      <w:r w:rsidR="00667C15" w:rsidRPr="00757D20">
        <w:fldChar w:fldCharType="separate"/>
      </w:r>
      <w:r w:rsidR="00667C15" w:rsidRPr="00757D20">
        <w:rPr>
          <w:noProof/>
        </w:rPr>
        <w:t>(NCVER, 2023)</w:t>
      </w:r>
      <w:r w:rsidR="00667C15" w:rsidRPr="00757D20">
        <w:fldChar w:fldCharType="end"/>
      </w:r>
      <w:r w:rsidR="009C15FC" w:rsidRPr="00757D20">
        <w:t>.</w:t>
      </w:r>
    </w:p>
    <w:p w14:paraId="652043E9" w14:textId="5FB34B15" w:rsidR="005E705A" w:rsidRPr="00757D20" w:rsidRDefault="0043019A" w:rsidP="005E705A">
      <w:pPr>
        <w:spacing w:line="259" w:lineRule="auto"/>
      </w:pPr>
      <w:r w:rsidRPr="00757D20">
        <w:lastRenderedPageBreak/>
        <w:t>Such trends are now manifest</w:t>
      </w:r>
      <w:r w:rsidR="00F8006F" w:rsidRPr="00757D20">
        <w:t>ed</w:t>
      </w:r>
      <w:r w:rsidRPr="00757D20">
        <w:t xml:space="preserve"> in the aspirations of young people. </w:t>
      </w:r>
      <w:r w:rsidR="005E705A" w:rsidRPr="00757D20">
        <w:t>In places like Riverbend</w:t>
      </w:r>
      <w:r w:rsidR="00677E39">
        <w:t>—</w:t>
      </w:r>
      <w:r w:rsidR="005E705A" w:rsidRPr="00757D20">
        <w:t>a former coal town turned commuter hub</w:t>
      </w:r>
      <w:r w:rsidR="00677E39">
        <w:t>—</w:t>
      </w:r>
      <w:r w:rsidR="005E705A" w:rsidRPr="00757D20">
        <w:t xml:space="preserve">vocational pathways have become highly valued. Students and families are drawn to the security and speed of trades-based careers. As Layla </w:t>
      </w:r>
      <w:r w:rsidR="00677E39">
        <w:t xml:space="preserve">(student, </w:t>
      </w:r>
      <w:r w:rsidR="00C3247A">
        <w:t>2025</w:t>
      </w:r>
      <w:r w:rsidR="00677E39">
        <w:t xml:space="preserve">) </w:t>
      </w:r>
      <w:r w:rsidR="005E705A" w:rsidRPr="00757D20">
        <w:t xml:space="preserve">explained, “you can leave in Year 10 and finish quicker than </w:t>
      </w:r>
      <w:proofErr w:type="spellStart"/>
      <w:r w:rsidR="005E705A" w:rsidRPr="00757D20">
        <w:t>uni</w:t>
      </w:r>
      <w:proofErr w:type="spellEnd"/>
      <w:r w:rsidR="005E705A" w:rsidRPr="00757D20">
        <w:t xml:space="preserve">,” while her mother pointed to six-figure mining career incomes enabled by TAFE certificates. </w:t>
      </w:r>
      <w:r w:rsidRPr="00757D20">
        <w:t xml:space="preserve">Such thoughts </w:t>
      </w:r>
      <w:r w:rsidR="005E705A" w:rsidRPr="00757D20">
        <w:t>mirror nation</w:t>
      </w:r>
      <w:r w:rsidR="00721766" w:rsidRPr="00757D20">
        <w:t>al</w:t>
      </w:r>
      <w:r w:rsidR="005E705A" w:rsidRPr="00757D20">
        <w:t xml:space="preserve"> data highlighting how rising HECS debt, graduate underemployment, and dissatisfaction with career outcomes  are driving many toward vocational options</w:t>
      </w:r>
      <w:r w:rsidR="00032C31">
        <w:t xml:space="preserve"> </w:t>
      </w:r>
      <w:r w:rsidR="00032C31" w:rsidRPr="00757D20">
        <w:fldChar w:fldCharType="begin"/>
      </w:r>
      <w:r w:rsidR="00032C31" w:rsidRPr="00757D20">
        <w:instrText xml:space="preserve"> ADDIN EN.CITE &lt;EndNote&gt;&lt;Cite&gt;&lt;Author&gt;Hare&lt;/Author&gt;&lt;Year&gt;2023&lt;/Year&gt;&lt;RecNum&gt;270&lt;/RecNum&gt;&lt;DisplayText&gt;(Hare, 2023; Norton, 2023)&lt;/DisplayText&gt;&lt;record&gt;&lt;rec-number&gt;270&lt;/rec-number&gt;&lt;foreign-keys&gt;&lt;key app="EN" db-id="f2ftvv5v02e9v3e22psx2f91zs990eeafs5f" timestamp="1725316600" guid="78f5e0bf-6d76-436b-a86d-6574404e6035"&gt;270&lt;/key&gt;&lt;/foreign-keys&gt;&lt;ref-type name="Newspaper Article"&gt;23&lt;/ref-type&gt;&lt;contributors&gt;&lt;authors&gt;&lt;author&gt;Hare, Julie&lt;/author&gt;&lt;/authors&gt;&lt;/contributors&gt;&lt;titles&gt;&lt;title&gt;Half of all young people go to uni, but tradies are happier&lt;/title&gt;&lt;secondary-title&gt;Australian Financial Review&lt;/secondary-title&gt;&lt;/titles&gt;&lt;section&gt;Work, Careers &amp;amp; Education&lt;/section&gt;&lt;dates&gt;&lt;year&gt;2023&lt;/year&gt;&lt;pub-dates&gt;&lt;date&gt;23 April, 2023&lt;/date&gt;&lt;/pub-dates&gt;&lt;/dates&gt;&lt;urls&gt;&lt;related-urls&gt;&lt;url&gt;https://www.afr.com/work-and-careers/education/half-of-all-young-people-go-to-uni-but-tradies-are-happier-20230420-p5d201&lt;/url&gt;&lt;/related-urls&gt;&lt;/urls&gt;&lt;/record&gt;&lt;/Cite&gt;&lt;Cite&gt;&lt;Author&gt;Norton&lt;/Author&gt;&lt;Year&gt;2023&lt;/Year&gt;&lt;RecNum&gt;4051&lt;/RecNum&gt;&lt;record&gt;&lt;rec-number&gt;4051&lt;/rec-number&gt;&lt;foreign-keys&gt;&lt;key app="EN" db-id="f2ftvv5v02e9v3e22psx2f91zs990eeafs5f" timestamp="1745541155" guid="1ad5653b-193e-438e-905f-0f3f08b09554"&gt;4051&lt;/key&gt;&lt;/foreign-keys&gt;&lt;ref-type name="Report"&gt;27&lt;/ref-type&gt;&lt;contributors&gt;&lt;authors&gt;&lt;author&gt;Norton, Andrew&lt;/author&gt;&lt;/authors&gt;&lt;/contributors&gt;&lt;titles&gt;&lt;title&gt;Mapping Australian Higher Education 2023&lt;/title&gt;&lt;/titles&gt;&lt;dates&gt;&lt;year&gt;2023&lt;/year&gt;&lt;/dates&gt;&lt;publisher&gt;ANU Centre for Social Research and Methods&lt;/publisher&gt;&lt;urls&gt;&lt;related-urls&gt;&lt;url&gt;https://andrewnorton.net.au/wp-content/uploads/2023/11/mapping-australian-higher-education-2023_update.pdf&lt;/url&gt;&lt;/related-urls&gt;&lt;/urls&gt;&lt;/record&gt;&lt;/Cite&gt;&lt;/EndNote&gt;</w:instrText>
      </w:r>
      <w:r w:rsidR="00032C31" w:rsidRPr="00757D20">
        <w:fldChar w:fldCharType="separate"/>
      </w:r>
      <w:r w:rsidR="00032C31" w:rsidRPr="00757D20">
        <w:rPr>
          <w:noProof/>
        </w:rPr>
        <w:t>(Hare, 2023; Norton, 2023)</w:t>
      </w:r>
      <w:r w:rsidR="00032C31" w:rsidRPr="00757D20">
        <w:fldChar w:fldCharType="end"/>
      </w:r>
      <w:r w:rsidR="005E705A" w:rsidRPr="00757D20">
        <w:t>.</w:t>
      </w:r>
    </w:p>
    <w:p w14:paraId="36D590C1" w14:textId="4ECEEADD" w:rsidR="005E705A" w:rsidRPr="00757D20" w:rsidRDefault="00D644B6" w:rsidP="005E705A">
      <w:pPr>
        <w:spacing w:line="259" w:lineRule="auto"/>
      </w:pPr>
      <w:r w:rsidRPr="00757D20">
        <w:t>Conversely, in high-performing, inner-city Banks Hollow, university degrees remain highly coveted, particularly among migrant families who view higher education as a key to upward mobility</w:t>
      </w:r>
      <w:r w:rsidR="00534B8E" w:rsidRPr="00757D20">
        <w:t xml:space="preserve"> </w:t>
      </w:r>
      <w:r w:rsidR="00B206D5" w:rsidRPr="00757D20">
        <w:fldChar w:fldCharType="begin"/>
      </w:r>
      <w:r w:rsidR="00C41640" w:rsidRPr="00757D20">
        <w:instrText xml:space="preserve"> ADDIN EN.CITE &lt;EndNote&gt;&lt;Cite&gt;&lt;Author&gt;Cunninghame&lt;/Author&gt;&lt;Year&gt;2017&lt;/Year&gt;&lt;RecNum&gt;4052&lt;/RecNum&gt;&lt;DisplayText&gt;(Cunninghame &amp;amp; Trinidad, 2017)&lt;/DisplayText&gt;&lt;record&gt;&lt;rec-number&gt;4052&lt;/rec-number&gt;&lt;foreign-keys&gt;&lt;key app="EN" db-id="f2ftvv5v02e9v3e22psx2f91zs990eeafs5f" timestamp="1745542195" guid="52218c2a-81f4-4dbb-8576-c4b51d4a4256"&gt;4052&lt;/key&gt;&lt;/foreign-keys&gt;&lt;ref-type name="Journal Article"&gt;17&lt;/ref-type&gt;&lt;contributors&gt;&lt;authors&gt;&lt;author&gt;Cunninghame, Ian&lt;/author&gt;&lt;author&gt;Trinidad, Sue&lt;/author&gt;&lt;/authors&gt;&lt;/contributors&gt;&lt;titles&gt;&lt;title&gt;The role of higher education in facilitating social mobility&lt;/title&gt;&lt;secondary-title&gt;International Studies in Widening Participation&lt;/secondary-title&gt;&lt;/titles&gt;&lt;periodical&gt;&lt;full-title&gt;International Studies in Widening Participation&lt;/full-title&gt;&lt;/periodical&gt;&lt;volume&gt;4&lt;/volume&gt;&lt;num-vols&gt;1&lt;/num-vols&gt;&lt;dates&gt;&lt;year&gt;2017&lt;/year&gt;&lt;/dates&gt;&lt;urls&gt;&lt;related-urls&gt;&lt;url&gt;https://www.acses.edu.au/publication/the-role-of-higher-education-in-facilitating-social-mobility/&lt;/url&gt;&lt;/related-urls&gt;&lt;/urls&gt;&lt;/record&gt;&lt;/Cite&gt;&lt;/EndNote&gt;</w:instrText>
      </w:r>
      <w:r w:rsidR="00B206D5" w:rsidRPr="00757D20">
        <w:fldChar w:fldCharType="separate"/>
      </w:r>
      <w:r w:rsidR="00B206D5" w:rsidRPr="00757D20">
        <w:rPr>
          <w:noProof/>
        </w:rPr>
        <w:t>(Cunninghame &amp; Trinidad, 2017)</w:t>
      </w:r>
      <w:r w:rsidR="00B206D5" w:rsidRPr="00757D20">
        <w:fldChar w:fldCharType="end"/>
      </w:r>
      <w:r w:rsidRPr="00757D20">
        <w:t xml:space="preserve">. As students aspire to careers in medicine, law, and architecture, degrees are seen as essential professional gateways. </w:t>
      </w:r>
      <w:r w:rsidR="00DD0F70" w:rsidRPr="00757D20">
        <w:t>Even here</w:t>
      </w:r>
      <w:r w:rsidRPr="00757D20">
        <w:t xml:space="preserve">, rising HECS debt and concerns about credential inflation </w:t>
      </w:r>
      <w:r w:rsidR="00A3389D" w:rsidRPr="00757D20">
        <w:t>loom large</w:t>
      </w:r>
      <w:r w:rsidR="00DE73B3" w:rsidRPr="00757D20">
        <w:t xml:space="preserve"> in </w:t>
      </w:r>
      <w:r w:rsidR="00B86B26" w:rsidRPr="00757D20">
        <w:t>the</w:t>
      </w:r>
      <w:r w:rsidR="00DE73B3" w:rsidRPr="00757D20">
        <w:t xml:space="preserve"> changing world of work.</w:t>
      </w:r>
      <w:r w:rsidRPr="00757D20">
        <w:t xml:space="preserve"> Year 11 student Tarnie</w:t>
      </w:r>
      <w:r w:rsidR="00677E39">
        <w:t xml:space="preserve"> (</w:t>
      </w:r>
      <w:r w:rsidR="00032C31">
        <w:t>2025</w:t>
      </w:r>
      <w:r w:rsidR="00677E39">
        <w:t>)</w:t>
      </w:r>
      <w:r w:rsidRPr="00757D20">
        <w:t xml:space="preserve"> fears that a degree “won’t compete” if employers value skills over qualifications.</w:t>
      </w:r>
    </w:p>
    <w:p w14:paraId="7D7894D2" w14:textId="29B531A9" w:rsidR="001C7E4F" w:rsidRPr="00757D20" w:rsidRDefault="00DE73B3" w:rsidP="001C7E4F">
      <w:pPr>
        <w:spacing w:line="259" w:lineRule="auto"/>
        <w:rPr>
          <w:lang w:eastAsia="en-AU"/>
        </w:rPr>
      </w:pPr>
      <w:r w:rsidRPr="00757D20">
        <w:t>As such, t</w:t>
      </w:r>
      <w:r w:rsidR="00A82576" w:rsidRPr="00757D20">
        <w:t xml:space="preserve">he traditional hierarchy of university over vocational education </w:t>
      </w:r>
      <w:r w:rsidR="00D41F89" w:rsidRPr="00757D20">
        <w:t xml:space="preserve">appears to </w:t>
      </w:r>
      <w:r w:rsidR="005864E0" w:rsidRPr="00757D20">
        <w:t>be softening</w:t>
      </w:r>
      <w:r w:rsidR="00A82576" w:rsidRPr="00757D20">
        <w:t xml:space="preserve">. Teachers in Riverbend </w:t>
      </w:r>
      <w:r w:rsidR="005864E0" w:rsidRPr="00757D20">
        <w:t>continue to</w:t>
      </w:r>
      <w:r w:rsidR="00A82576" w:rsidRPr="00757D20">
        <w:t xml:space="preserve"> encourage students to pursue tertiary study alongside trades, while students in </w:t>
      </w:r>
      <w:r w:rsidR="00B33F3A" w:rsidRPr="00757D20">
        <w:t xml:space="preserve">the partially selective </w:t>
      </w:r>
      <w:r w:rsidR="00A82576" w:rsidRPr="00757D20">
        <w:t xml:space="preserve">Banks Hollow, like Colby, are considering </w:t>
      </w:r>
      <w:r w:rsidR="00B33F3A" w:rsidRPr="00757D20">
        <w:t>electrical</w:t>
      </w:r>
      <w:r w:rsidR="00A82576" w:rsidRPr="00757D20">
        <w:t xml:space="preserve"> apprenticeships amid </w:t>
      </w:r>
      <w:r w:rsidR="00B33F3A" w:rsidRPr="00757D20">
        <w:t xml:space="preserve">noticeable </w:t>
      </w:r>
      <w:r w:rsidR="00A82576" w:rsidRPr="00757D20">
        <w:t xml:space="preserve">trade shortages. </w:t>
      </w:r>
      <w:r w:rsidR="00F35B2E" w:rsidRPr="00757D20">
        <w:t xml:space="preserve">However, persistent barriers remain, including limited parental knowledge of pathways, mental health concerns, and cost-of-living pressures </w:t>
      </w:r>
      <w:r w:rsidR="000C2D1E" w:rsidRPr="00757D20">
        <w:fldChar w:fldCharType="begin"/>
      </w:r>
      <w:r w:rsidR="000C2D1E" w:rsidRPr="00757D20">
        <w:instrText xml:space="preserve"> ADDIN EN.CITE &lt;EndNote&gt;&lt;Cite&gt;&lt;Author&gt;The Smith Family&lt;/Author&gt;&lt;Year&gt;2022&lt;/Year&gt;&lt;RecNum&gt;4044&lt;/RecNum&gt;&lt;DisplayText&gt;(The Smith Family, 2022)&lt;/DisplayText&gt;&lt;record&gt;&lt;rec-number&gt;4044&lt;/rec-number&gt;&lt;foreign-keys&gt;&lt;key app="EN" db-id="f2ftvv5v02e9v3e22psx2f91zs990eeafs5f" timestamp="1745537167" guid="c8b5044c-2b6f-45fa-aa75-789e9db3b9e0"&gt;4044&lt;/key&gt;&lt;/foreign-keys&gt;&lt;ref-type name="Report"&gt;27&lt;/ref-type&gt;&lt;contributors&gt;&lt;authors&gt;&lt;author&gt;The Smith Family,&lt;/author&gt;&lt;/authors&gt;&lt;/contributors&gt;&lt;titles&gt;&lt;title&gt;Pathways, Engagement and Transitions: Initial post-school transitions among young people experiencing disadvantage&lt;/title&gt;&lt;/titles&gt;&lt;dates&gt;&lt;year&gt;2022&lt;/year&gt;&lt;/dates&gt;&lt;urls&gt;&lt;related-urls&gt;&lt;url&gt;https://www.thesmithfamily.com.au/-/media/files/research/reports/2022-pathways-engagement-transitions-report.pdf&lt;/url&gt;&lt;/related-urls&gt;&lt;/urls&gt;&lt;/record&gt;&lt;/Cite&gt;&lt;/EndNote&gt;</w:instrText>
      </w:r>
      <w:r w:rsidR="000C2D1E" w:rsidRPr="00757D20">
        <w:fldChar w:fldCharType="separate"/>
      </w:r>
      <w:r w:rsidR="000C2D1E" w:rsidRPr="00757D20">
        <w:rPr>
          <w:noProof/>
        </w:rPr>
        <w:t>(The Smith Family, 2022)</w:t>
      </w:r>
      <w:r w:rsidR="000C2D1E" w:rsidRPr="00757D20">
        <w:fldChar w:fldCharType="end"/>
      </w:r>
      <w:r w:rsidR="005B755D" w:rsidRPr="00757D20">
        <w:t xml:space="preserve">. In uncertain times, the challenge is no longer choosing between TAFE or </w:t>
      </w:r>
      <w:r w:rsidR="007D0CB2" w:rsidRPr="00757D20">
        <w:t>university but</w:t>
      </w:r>
      <w:r w:rsidR="005B755D" w:rsidRPr="00757D20">
        <w:t xml:space="preserve"> creating systems that allow young Australians to navigate both, building resilient and meaningful futures.</w:t>
      </w:r>
    </w:p>
    <w:p w14:paraId="3FA484E2" w14:textId="608B2EF1" w:rsidR="002E4B19" w:rsidRPr="00757D20" w:rsidRDefault="002E4B19" w:rsidP="00D174F9">
      <w:pPr>
        <w:pStyle w:val="Heading3"/>
      </w:pPr>
      <w:bookmarkStart w:id="111" w:name="_Toc219977249"/>
      <w:r w:rsidRPr="00757D20">
        <w:t xml:space="preserve">The </w:t>
      </w:r>
      <w:proofErr w:type="spellStart"/>
      <w:r w:rsidRPr="00757D20">
        <w:t>residualised</w:t>
      </w:r>
      <w:proofErr w:type="spellEnd"/>
      <w:r w:rsidRPr="00757D20">
        <w:t xml:space="preserve"> public school: Students left behind in an age of uncertainty</w:t>
      </w:r>
      <w:bookmarkEnd w:id="111"/>
    </w:p>
    <w:p w14:paraId="258ABAEE" w14:textId="74740913" w:rsidR="002E4B19" w:rsidRPr="00757D20" w:rsidRDefault="006A5056" w:rsidP="002E4B19">
      <w:r w:rsidRPr="00757D20">
        <w:t>Within this increasingly complex</w:t>
      </w:r>
      <w:r w:rsidR="002E4B19" w:rsidRPr="00757D20">
        <w:t xml:space="preserve"> economic, socio-political, and environmental </w:t>
      </w:r>
      <w:r w:rsidRPr="00757D20">
        <w:t>landscape</w:t>
      </w:r>
      <w:r w:rsidR="002E4B19" w:rsidRPr="00757D20">
        <w:t>, our research also offers timely insights into how young people’s futures are</w:t>
      </w:r>
      <w:r w:rsidRPr="00757D20">
        <w:t xml:space="preserve"> equally</w:t>
      </w:r>
      <w:r w:rsidR="002E4B19" w:rsidRPr="00757D20">
        <w:t xml:space="preserve"> impacted by the changing educational landscape. In Australia, enrolments in independent schools have grown significantly in recent years</w:t>
      </w:r>
      <w:r w:rsidR="00C81531" w:rsidRPr="00757D20">
        <w:t xml:space="preserve"> </w:t>
      </w:r>
      <w:r w:rsidR="00C81531" w:rsidRPr="00757D20">
        <w:fldChar w:fldCharType="begin"/>
      </w:r>
      <w:r w:rsidR="00C81531" w:rsidRPr="00757D20">
        <w:instrText xml:space="preserve"> ADDIN EN.CITE &lt;EndNote&gt;&lt;Cite&gt;&lt;Author&gt;Independent Schools Australia&lt;/Author&gt;&lt;Year&gt;2024&lt;/Year&gt;&lt;RecNum&gt;4031&lt;/RecNum&gt;&lt;DisplayText&gt;(Independent Schools Australia, 2024)&lt;/DisplayText&gt;&lt;record&gt;&lt;rec-number&gt;4031&lt;/rec-number&gt;&lt;foreign-keys&gt;&lt;key app="EN" db-id="f2ftvv5v02e9v3e22psx2f91zs990eeafs5f" timestamp="1745531924" guid="0ba69b53-e04e-4b15-9af7-2680074d100d"&gt;4031&lt;/key&gt;&lt;/foreign-keys&gt;&lt;ref-type name="Report"&gt;27&lt;/ref-type&gt;&lt;contributors&gt;&lt;authors&gt;&lt;author&gt;Independent Schools Australia,&lt;/author&gt;&lt;/authors&gt;&lt;/contributors&gt;&lt;titles&gt;&lt;title&gt;Independent Schooling 2024: Enrolment trends, characteristics and projections&lt;/title&gt;&lt;/titles&gt;&lt;dates&gt;&lt;year&gt;2024&lt;/year&gt;&lt;/dates&gt;&lt;urls&gt;&lt;related-urls&gt;&lt;url&gt;https://isa.edu.au/wp-content/uploads/2024/11/2024-Independent-Schooling-2024-FINAL.pdf&lt;/url&gt;&lt;/related-urls&gt;&lt;/urls&gt;&lt;/record&gt;&lt;/Cite&gt;&lt;/EndNote&gt;</w:instrText>
      </w:r>
      <w:r w:rsidR="00C81531" w:rsidRPr="00757D20">
        <w:fldChar w:fldCharType="separate"/>
      </w:r>
      <w:r w:rsidR="00C81531" w:rsidRPr="00757D20">
        <w:rPr>
          <w:noProof/>
        </w:rPr>
        <w:t>(Independent Schools Australia, 2024)</w:t>
      </w:r>
      <w:r w:rsidR="00C81531" w:rsidRPr="00757D20">
        <w:fldChar w:fldCharType="end"/>
      </w:r>
      <w:r w:rsidR="00C81531" w:rsidRPr="00757D20">
        <w:t>,</w:t>
      </w:r>
      <w:r w:rsidR="002E4B19" w:rsidRPr="00757D20">
        <w:t xml:space="preserve"> with the proportion of students enrolled in government schools notably declining </w:t>
      </w:r>
      <w:r w:rsidR="00C81531" w:rsidRPr="00757D20">
        <w:fldChar w:fldCharType="begin"/>
      </w:r>
      <w:r w:rsidR="00C81531" w:rsidRPr="00757D20">
        <w:instrText xml:space="preserve"> ADDIN EN.CITE &lt;EndNote&gt;&lt;Cite&gt;&lt;Author&gt;ACARA&lt;/Author&gt;&lt;Year&gt;2023&lt;/Year&gt;&lt;RecNum&gt;4033&lt;/RecNum&gt;&lt;DisplayText&gt;(ACARA, 2023)&lt;/DisplayText&gt;&lt;record&gt;&lt;rec-number&gt;4033&lt;/rec-number&gt;&lt;foreign-keys&gt;&lt;key app="EN" db-id="f2ftvv5v02e9v3e22psx2f91zs990eeafs5f" timestamp="1745532227" guid="b26d44ba-736f-434a-bc36-e2d599d604fc"&gt;4033&lt;/key&gt;&lt;/foreign-keys&gt;&lt;ref-type name="Web Page"&gt;12&lt;/ref-type&gt;&lt;contributors&gt;&lt;authors&gt;&lt;author&gt;ACARA,&lt;/author&gt;&lt;/authors&gt;&lt;/contributors&gt;&lt;titles&gt;&lt;title&gt;National Report on Schools and Schooling: Student Numbers&lt;/title&gt;&lt;/titles&gt;&lt;dates&gt;&lt;year&gt;2023&lt;/year&gt;&lt;/dates&gt;&lt;urls&gt;&lt;related-urls&gt;&lt;url&gt;https://www.acara.edu.au/reporting/national-report-on-schooling-in-australia/student-numbers&lt;/url&gt;&lt;/related-urls&gt;&lt;/urls&gt;&lt;/record&gt;&lt;/Cite&gt;&lt;/EndNote&gt;</w:instrText>
      </w:r>
      <w:r w:rsidR="00C81531" w:rsidRPr="00757D20">
        <w:fldChar w:fldCharType="separate"/>
      </w:r>
      <w:r w:rsidR="00C81531" w:rsidRPr="00757D20">
        <w:rPr>
          <w:noProof/>
        </w:rPr>
        <w:t>(ACARA, 2023)</w:t>
      </w:r>
      <w:r w:rsidR="00C81531" w:rsidRPr="00757D20">
        <w:fldChar w:fldCharType="end"/>
      </w:r>
      <w:r w:rsidR="0045503D" w:rsidRPr="00757D20">
        <w:t>. T</w:t>
      </w:r>
      <w:r w:rsidR="002E4B19" w:rsidRPr="00757D20">
        <w:t>here are now more independent schools than ever in the country, while state governments have generally been slow to build new schools, particularly in booming metropolitan areas</w:t>
      </w:r>
      <w:r w:rsidR="003D24E3" w:rsidRPr="00757D20">
        <w:t xml:space="preserve"> like </w:t>
      </w:r>
      <w:r w:rsidR="00677E39">
        <w:t xml:space="preserve">our research area of </w:t>
      </w:r>
      <w:r w:rsidR="003D24E3" w:rsidRPr="00757D20">
        <w:t xml:space="preserve">Banks Hollow </w:t>
      </w:r>
      <w:r w:rsidR="00C81531" w:rsidRPr="00757D20">
        <w:fldChar w:fldCharType="begin"/>
      </w:r>
      <w:r w:rsidR="00C81531" w:rsidRPr="00757D20">
        <w:instrText xml:space="preserve"> ADDIN EN.CITE &lt;EndNote&gt;&lt;Cite&gt;&lt;Author&gt;Larsen&lt;/Author&gt;&lt;Year&gt;2024&lt;/Year&gt;&lt;RecNum&gt;4032&lt;/RecNum&gt;&lt;DisplayText&gt;(Larsen, 2024)&lt;/DisplayText&gt;&lt;record&gt;&lt;rec-number&gt;4032&lt;/rec-number&gt;&lt;foreign-keys&gt;&lt;key app="EN" db-id="f2ftvv5v02e9v3e22psx2f91zs990eeafs5f" timestamp="1745532076" guid="6a7be2c4-b9aa-4934-8655-3d0c837d07ef"&gt;4032&lt;/key&gt;&lt;/foreign-keys&gt;&lt;ref-type name="Electronic Article"&gt;43&lt;/ref-type&gt;&lt;contributors&gt;&lt;authors&gt;&lt;author&gt;Larsen, Sally&lt;/author&gt;&lt;/authors&gt;&lt;/contributors&gt;&lt;titles&gt;&lt;title&gt;More Australian families are choosing private schools – we need to understand why&lt;/title&gt;&lt;secondary-title&gt;The Conversation&lt;/secondary-title&gt;&lt;/titles&gt;&lt;periodical&gt;&lt;full-title&gt;The Conversation&lt;/full-title&gt;&lt;/periodical&gt;&lt;dates&gt;&lt;year&gt;2024&lt;/year&gt;&lt;/dates&gt;&lt;urls&gt;&lt;related-urls&gt;&lt;url&gt;https://theconversation.com/more-australian-families-are-choosing-private-schools-we-need-to-understand-why-242791&lt;/url&gt;&lt;/related-urls&gt;&lt;/urls&gt;&lt;/record&gt;&lt;/Cite&gt;&lt;/EndNote&gt;</w:instrText>
      </w:r>
      <w:r w:rsidR="00C81531" w:rsidRPr="00757D20">
        <w:fldChar w:fldCharType="separate"/>
      </w:r>
      <w:r w:rsidR="00C81531" w:rsidRPr="00757D20">
        <w:rPr>
          <w:noProof/>
        </w:rPr>
        <w:t>(Larsen, 2024)</w:t>
      </w:r>
      <w:r w:rsidR="00C81531" w:rsidRPr="00757D20">
        <w:fldChar w:fldCharType="end"/>
      </w:r>
      <w:r w:rsidR="00C81531" w:rsidRPr="00757D20">
        <w:t>.</w:t>
      </w:r>
      <w:r w:rsidR="002E4B19" w:rsidRPr="00757D20">
        <w:t xml:space="preserve"> In turn, this process has created what has been increasingly referred to as the </w:t>
      </w:r>
      <w:r w:rsidR="00AF7826" w:rsidRPr="00757D20">
        <w:t>“</w:t>
      </w:r>
      <w:proofErr w:type="spellStart"/>
      <w:r w:rsidR="002E4B19" w:rsidRPr="00757D20">
        <w:t>residualisation</w:t>
      </w:r>
      <w:proofErr w:type="spellEnd"/>
      <w:r w:rsidR="00AF7826" w:rsidRPr="00757D20">
        <w:t>”</w:t>
      </w:r>
      <w:r w:rsidR="002E4B19" w:rsidRPr="00757D20">
        <w:t xml:space="preserve"> of schooling (linking with the idea of a </w:t>
      </w:r>
      <w:r w:rsidR="005C5C25" w:rsidRPr="00757D20">
        <w:t>“</w:t>
      </w:r>
      <w:r w:rsidR="002E4B19" w:rsidRPr="00757D20">
        <w:t>residue</w:t>
      </w:r>
      <w:r w:rsidR="005C5C25" w:rsidRPr="00757D20">
        <w:t>”</w:t>
      </w:r>
      <w:r w:rsidR="002E4B19" w:rsidRPr="00757D20">
        <w:t xml:space="preserve">), with students experiencing disadvantage being left behind in local government schools after their middle- and upper-class peers have shifted to better-funded schools </w:t>
      </w:r>
      <w:r w:rsidR="00C81531" w:rsidRPr="00757D20">
        <w:fldChar w:fldCharType="begin"/>
      </w:r>
      <w:r w:rsidR="00C81531" w:rsidRPr="00757D20">
        <w:instrText xml:space="preserve"> ADDIN EN.CITE &lt;EndNote&gt;&lt;Cite&gt;&lt;Author&gt;Campbell&lt;/Author&gt;&lt;Year&gt;2018&lt;/Year&gt;&lt;RecNum&gt;4035&lt;/RecNum&gt;&lt;DisplayText&gt;(Australian Council for the Defense of Government Schools, 2024; Campbell, 2018)&lt;/DisplayText&gt;&lt;record&gt;&lt;rec-number&gt;4035&lt;/rec-number&gt;&lt;foreign-keys&gt;&lt;key app="EN" db-id="f2ftvv5v02e9v3e22psx2f91zs990eeafs5f" timestamp="1745532509" guid="2cc1b17e-0869-4f68-98ec-802f45212d97"&gt;4035&lt;/key&gt;&lt;/foreign-keys&gt;&lt;ref-type name="Web Page"&gt;12&lt;/ref-type&gt;&lt;contributors&gt;&lt;authors&gt;&lt;author&gt;Campbell, Craig&lt;/author&gt;&lt;/authors&gt;&lt;/contributors&gt;&lt;titles&gt;&lt;title&gt;Residualised public schooling: The case of Mount Druitt High School&lt;/title&gt;&lt;/titles&gt;&lt;dates&gt;&lt;year&gt;2018&lt;/year&gt;&lt;/dates&gt;&lt;publisher&gt;DENANZ&lt;/publisher&gt;&lt;urls&gt;&lt;related-urls&gt;&lt;url&gt;https://dehanz.net.au/entries/residualised-public-schooling-the-case-of-mount-druitt-high-school/&lt;/url&gt;&lt;/related-urls&gt;&lt;/urls&gt;&lt;/record&gt;&lt;/Cite&gt;&lt;Cite&gt;&lt;Author&gt;Australian Council for the Defense of Government Schools&lt;/Author&gt;&lt;Year&gt;2024&lt;/Year&gt;&lt;RecNum&gt;4034&lt;/RecNum&gt;&lt;record&gt;&lt;rec-number&gt;4034&lt;/rec-number&gt;&lt;foreign-keys&gt;&lt;key app="EN" db-id="f2ftvv5v02e9v3e22psx2f91zs990eeafs5f" timestamp="1745532433" guid="0be29ba7-e636-4996-8c5f-8c6689afbc64"&gt;4034&lt;/key&gt;&lt;/foreign-keys&gt;&lt;ref-type name="Web Page"&gt;12&lt;/ref-type&gt;&lt;contributors&gt;&lt;authors&gt;&lt;author&gt;Australian Council for the Defense of Government Schools,&lt;/author&gt;&lt;/authors&gt;&lt;/contributors&gt;&lt;titles&gt;&lt;title&gt;Can the public education system survive residualisation?&lt;/title&gt;&lt;/titles&gt;&lt;dates&gt;&lt;year&gt;2024&lt;/year&gt;&lt;/dates&gt;&lt;publisher&gt;Australian Council for the Defense of Government Schools&lt;/publisher&gt;&lt;urls&gt;&lt;related-urls&gt;&lt;url&gt;https://www.adogs.info/press/can-public-education-system-survive-residualisation&lt;/url&gt;&lt;/related-urls&gt;&lt;/urls&gt;&lt;/record&gt;&lt;/Cite&gt;&lt;/EndNote&gt;</w:instrText>
      </w:r>
      <w:r w:rsidR="00C81531" w:rsidRPr="00757D20">
        <w:fldChar w:fldCharType="separate"/>
      </w:r>
      <w:r w:rsidR="00C81531" w:rsidRPr="00757D20">
        <w:rPr>
          <w:noProof/>
        </w:rPr>
        <w:t>(Australian Council for the Defense of Government Schools, 2024; Campbell, 2018)</w:t>
      </w:r>
      <w:r w:rsidR="00C81531" w:rsidRPr="00757D20">
        <w:fldChar w:fldCharType="end"/>
      </w:r>
      <w:r w:rsidR="00D62EE5" w:rsidRPr="00757D20">
        <w:t>.</w:t>
      </w:r>
    </w:p>
    <w:p w14:paraId="5631F45B" w14:textId="259CCE19" w:rsidR="002E4B19" w:rsidRPr="00757D20" w:rsidRDefault="002E4B19" w:rsidP="002E4B19">
      <w:r w:rsidRPr="00757D20">
        <w:t xml:space="preserve">In the starkest example of </w:t>
      </w:r>
      <w:proofErr w:type="spellStart"/>
      <w:r w:rsidRPr="00757D20">
        <w:t>residualisation</w:t>
      </w:r>
      <w:proofErr w:type="spellEnd"/>
      <w:r w:rsidRPr="00757D20">
        <w:t xml:space="preserve"> in our research, we first encountered the flight of students from Oldfields Central School during one of our initial visits in 2018. Back then, teachers spoke of their students witnessing two large buses entering the small town each weekday morning to take other young people to two other schools</w:t>
      </w:r>
      <w:r w:rsidR="0055733C" w:rsidRPr="00757D20">
        <w:t>—</w:t>
      </w:r>
      <w:r w:rsidRPr="00757D20">
        <w:t>one independent and one Catholic</w:t>
      </w:r>
      <w:r w:rsidR="00A17476" w:rsidRPr="00757D20">
        <w:t>—</w:t>
      </w:r>
      <w:r w:rsidRPr="00757D20">
        <w:t>in nearby towns. By 2025, a domino effect was evident at Oldfields, with declin</w:t>
      </w:r>
      <w:r w:rsidR="00664F9F" w:rsidRPr="00757D20">
        <w:t>i</w:t>
      </w:r>
      <w:r w:rsidRPr="00757D20">
        <w:t xml:space="preserve">ng staff numbers, difficulty attracting staff to the school, unstaffed lessons, and reduced capacity to offer academic subjects. As a result, teachers felt that the “higher-level kids with aspirations” </w:t>
      </w:r>
      <w:r w:rsidR="00DA3B81">
        <w:t xml:space="preserve">(Breanna, teacher, 2025) </w:t>
      </w:r>
      <w:r w:rsidRPr="00757D20">
        <w:t xml:space="preserve">wouldn’t even be considering Oldfields as an </w:t>
      </w:r>
      <w:r w:rsidRPr="00757D20">
        <w:lastRenderedPageBreak/>
        <w:t xml:space="preserve">option. However, as another teacher mentioned, the key challenge the school faces is to “provide the best that we can” </w:t>
      </w:r>
      <w:r w:rsidR="00DA3B81">
        <w:t>(</w:t>
      </w:r>
      <w:r w:rsidR="006C15C1">
        <w:t>Robert, teacher, 20</w:t>
      </w:r>
      <w:r w:rsidR="00760814">
        <w:t>18</w:t>
      </w:r>
      <w:r w:rsidR="006C15C1">
        <w:t xml:space="preserve">) </w:t>
      </w:r>
      <w:r w:rsidRPr="00757D20">
        <w:t xml:space="preserve">to those who come, highlighting how </w:t>
      </w:r>
      <w:r w:rsidR="00D042AF" w:rsidRPr="00757D20">
        <w:t>these schools</w:t>
      </w:r>
      <w:r w:rsidRPr="00757D20">
        <w:t xml:space="preserve"> persist in the struggle to support their students despite </w:t>
      </w:r>
      <w:proofErr w:type="spellStart"/>
      <w:r w:rsidRPr="00757D20">
        <w:t>residualised</w:t>
      </w:r>
      <w:proofErr w:type="spellEnd"/>
      <w:r w:rsidRPr="00757D20">
        <w:t xml:space="preserve"> schools tending to face greater instability </w:t>
      </w:r>
      <w:r w:rsidR="00C81531" w:rsidRPr="00757D20">
        <w:fldChar w:fldCharType="begin"/>
      </w:r>
      <w:r w:rsidR="00C81531" w:rsidRPr="00757D20">
        <w:instrText xml:space="preserve"> ADDIN EN.CITE &lt;EndNote&gt;&lt;Cite&gt;&lt;Author&gt;Windle&lt;/Author&gt;&lt;Year&gt;2009&lt;/Year&gt;&lt;RecNum&gt;4036&lt;/RecNum&gt;&lt;DisplayText&gt;(Windle, 2009)&lt;/DisplayText&gt;&lt;record&gt;&lt;rec-number&gt;4036&lt;/rec-number&gt;&lt;foreign-keys&gt;&lt;key app="EN" db-id="f2ftvv5v02e9v3e22psx2f91zs990eeafs5f" timestamp="1745532970" guid="10a64df3-af28-4eea-9634-3cf6caece2ed"&gt;4036&lt;/key&gt;&lt;/foreign-keys&gt;&lt;ref-type name="Journal Article"&gt;17&lt;/ref-type&gt;&lt;contributors&gt;&lt;authors&gt;&lt;author&gt;Windle, Joel  &lt;/author&gt;&lt;/authors&gt;&lt;/contributors&gt;&lt;titles&gt;&lt;title&gt;The limits of school choice: some implications for accountability of selective practices and positional competition in Australian education&lt;/title&gt;&lt;secondary-title&gt;Critical Studies in Education&lt;/secondary-title&gt;&lt;/titles&gt;&lt;periodical&gt;&lt;full-title&gt;Critical Studies in Education&lt;/full-title&gt;&lt;/periodical&gt;&lt;volume&gt;50&lt;/volume&gt;&lt;number&gt;3&lt;/number&gt;&lt;dates&gt;&lt;year&gt;2009&lt;/year&gt;&lt;/dates&gt;&lt;isbn&gt;1750-8487&lt;/isbn&gt;&lt;urls&gt;&lt;related-urls&gt;&lt;url&gt;https://www.tandfonline.com/doi/abs/10.1080/17508480903009566&lt;/url&gt;&lt;/related-urls&gt;&lt;/urls&gt;&lt;electronic-resource-num&gt;10.1080/17508480903009566&lt;/electronic-resource-num&gt;&lt;/record&gt;&lt;/Cite&gt;&lt;/EndNote&gt;</w:instrText>
      </w:r>
      <w:r w:rsidR="00C81531" w:rsidRPr="00757D20">
        <w:fldChar w:fldCharType="separate"/>
      </w:r>
      <w:r w:rsidR="00C81531" w:rsidRPr="00757D20">
        <w:rPr>
          <w:noProof/>
        </w:rPr>
        <w:t>(Windle, 2009)</w:t>
      </w:r>
      <w:r w:rsidR="00C81531" w:rsidRPr="00757D20">
        <w:fldChar w:fldCharType="end"/>
      </w:r>
      <w:r w:rsidR="00C81531" w:rsidRPr="00757D20">
        <w:t>.</w:t>
      </w:r>
      <w:r w:rsidRPr="00757D20">
        <w:t xml:space="preserve"> As such, in the current age of uncertainty, young people in </w:t>
      </w:r>
      <w:proofErr w:type="spellStart"/>
      <w:r w:rsidRPr="00757D20">
        <w:t>residualised</w:t>
      </w:r>
      <w:proofErr w:type="spellEnd"/>
      <w:r w:rsidRPr="00757D20">
        <w:t xml:space="preserve"> schools are likely to experience more volatility and unpredictability at a day-to-day level, shaping their current opportunities as well as the possibilities for the</w:t>
      </w:r>
      <w:r w:rsidR="0094675A" w:rsidRPr="00757D20">
        <w:t>ir</w:t>
      </w:r>
      <w:r w:rsidRPr="00757D20">
        <w:t xml:space="preserve"> future</w:t>
      </w:r>
      <w:r w:rsidR="00B3553B" w:rsidRPr="00757D20">
        <w:t>s</w:t>
      </w:r>
      <w:r w:rsidRPr="00757D20">
        <w:t xml:space="preserve">. Indeed, in Oldfields, many young people aspire to the known and familiar pathways of their family and community, which might be their way of coping with uncertainty both in the school and in the world more broadly (Ansell et al., 2022). </w:t>
      </w:r>
    </w:p>
    <w:p w14:paraId="3CB30FF2" w14:textId="77777777" w:rsidR="002F7845" w:rsidRPr="00757D20" w:rsidRDefault="002F7845" w:rsidP="002F7845"/>
    <w:p w14:paraId="398BD996" w14:textId="77777777" w:rsidR="009D6D47" w:rsidRPr="00757D20" w:rsidRDefault="009D6D47" w:rsidP="00603D30">
      <w:pPr>
        <w:spacing w:line="259" w:lineRule="auto"/>
      </w:pPr>
      <w:r w:rsidRPr="00757D20">
        <w:br w:type="page"/>
      </w:r>
    </w:p>
    <w:p w14:paraId="452723A3" w14:textId="77777777" w:rsidR="009D6D47" w:rsidRPr="00757D20" w:rsidRDefault="009D6D47" w:rsidP="009D6D47">
      <w:pPr>
        <w:pStyle w:val="Heading1"/>
      </w:pPr>
      <w:bookmarkStart w:id="112" w:name="_Toc219977250"/>
      <w:r w:rsidRPr="00757D20">
        <w:lastRenderedPageBreak/>
        <w:t>Conclusion</w:t>
      </w:r>
      <w:bookmarkEnd w:id="112"/>
    </w:p>
    <w:p w14:paraId="1C7BAD32" w14:textId="5D308554" w:rsidR="005258A3" w:rsidRPr="00757D20" w:rsidRDefault="005258A3" w:rsidP="005258A3">
      <w:pPr>
        <w:spacing w:line="259" w:lineRule="auto"/>
      </w:pPr>
      <w:r w:rsidRPr="00757D20">
        <w:t xml:space="preserve">This research has traced how young Australians are navigating an increasingly uncertain and volatile world—one shaped by overlapping environmental, health, </w:t>
      </w:r>
      <w:r w:rsidR="009E241E" w:rsidRPr="00757D20">
        <w:t xml:space="preserve">social, political, </w:t>
      </w:r>
      <w:r w:rsidRPr="00757D20">
        <w:t xml:space="preserve">and economic crises. These intersecting disruptions are not only altering the conditions of young people’s </w:t>
      </w:r>
      <w:r w:rsidR="00F74915" w:rsidRPr="00757D20">
        <w:t>l</w:t>
      </w:r>
      <w:r w:rsidRPr="00757D20">
        <w:t xml:space="preserve">ives but are also reshaping how educational institutions and systems must respond in their efforts to ensure equitable participation in higher education. As our research shows, today’s youth are coming of age in an era of </w:t>
      </w:r>
      <w:r w:rsidR="007911C3" w:rsidRPr="00757D20">
        <w:t>“</w:t>
      </w:r>
      <w:r w:rsidRPr="00757D20">
        <w:t>compounded crises</w:t>
      </w:r>
      <w:r w:rsidR="007911C3" w:rsidRPr="00757D20">
        <w:t>”</w:t>
      </w:r>
      <w:r w:rsidR="00F74915" w:rsidRPr="00757D20">
        <w:t xml:space="preserve"> </w:t>
      </w:r>
      <w:r w:rsidRPr="00757D20">
        <w:t>(Uhls, 2025), where uncertainty is no longer episodic but an enduring feature of everyday life. In this context, aspirations are being reimagined</w:t>
      </w:r>
      <w:r w:rsidR="00276BC7" w:rsidRPr="00757D20">
        <w:t xml:space="preserve"> and even dimmed</w:t>
      </w:r>
      <w:r w:rsidRPr="00757D20">
        <w:t>—not because young people lack motivation or ambition, but because structural barriers have grown more formidable.</w:t>
      </w:r>
    </w:p>
    <w:p w14:paraId="4FB00FF6" w14:textId="6F40AAEA" w:rsidR="005258A3" w:rsidRPr="00757D20" w:rsidRDefault="005258A3" w:rsidP="005258A3">
      <w:pPr>
        <w:spacing w:line="259" w:lineRule="auto"/>
      </w:pPr>
      <w:r w:rsidRPr="00757D20">
        <w:t xml:space="preserve">Crucially, these crises have exposed and deepened existing inequities within Australia’s education system. In places like Banks Hollow and </w:t>
      </w:r>
      <w:proofErr w:type="spellStart"/>
      <w:r w:rsidRPr="00757D20">
        <w:t>Murrindah</w:t>
      </w:r>
      <w:proofErr w:type="spellEnd"/>
      <w:r w:rsidRPr="00757D20">
        <w:t xml:space="preserve">, we observed how young people’s aspirations are increasingly shaped by financial constraints, mental health challenges, and a </w:t>
      </w:r>
      <w:r w:rsidR="00F660BC" w:rsidRPr="00757D20">
        <w:t>decreasing faith</w:t>
      </w:r>
      <w:r w:rsidRPr="00757D20">
        <w:t xml:space="preserve"> in the value of university qualifications. Meanwhile, in </w:t>
      </w:r>
      <w:proofErr w:type="spellStart"/>
      <w:r w:rsidRPr="00757D20">
        <w:t>residualised</w:t>
      </w:r>
      <w:proofErr w:type="spellEnd"/>
      <w:r w:rsidRPr="00757D20">
        <w:t xml:space="preserve"> schools such as Oldfields and Ironbark, declining enrolments, staffing shortages, and limited curriculum offerings are constraining students’ options before they even leave the school gates. These patterns suggest that the effects of recent crises are not evenly distributed; they are profoundly mediated by geography, </w:t>
      </w:r>
      <w:r w:rsidR="00C2250D" w:rsidRPr="00757D20">
        <w:t xml:space="preserve">social </w:t>
      </w:r>
      <w:r w:rsidRPr="00757D20">
        <w:t>class, culture, and the capacity of institutions to adapt.</w:t>
      </w:r>
    </w:p>
    <w:p w14:paraId="30611E12" w14:textId="1C649969" w:rsidR="005258A3" w:rsidRPr="00757D20" w:rsidRDefault="005258A3" w:rsidP="005258A3">
      <w:pPr>
        <w:spacing w:line="259" w:lineRule="auto"/>
      </w:pPr>
      <w:r w:rsidRPr="00757D20">
        <w:t>From th</w:t>
      </w:r>
      <w:r w:rsidR="00C2250D" w:rsidRPr="00757D20">
        <w:t>ese findings</w:t>
      </w:r>
      <w:r w:rsidRPr="00757D20">
        <w:t>, an important implication arises: if equitable participation in higher education is to remain a national priority, institutional responses must evolve beyond narrow aspiration-raising agendas</w:t>
      </w:r>
      <w:r w:rsidR="00FA3929" w:rsidRPr="00757D20">
        <w:t xml:space="preserve">, </w:t>
      </w:r>
      <w:r w:rsidR="00325804" w:rsidRPr="00757D20">
        <w:t xml:space="preserve">as </w:t>
      </w:r>
      <w:r w:rsidR="00FA3929" w:rsidRPr="00757D20">
        <w:t>recently seen again in the Universities Accord final report (Department of Education, 2024a)</w:t>
      </w:r>
      <w:r w:rsidRPr="00757D20">
        <w:t xml:space="preserve">. </w:t>
      </w:r>
      <w:r w:rsidR="00557D1A" w:rsidRPr="00757D20">
        <w:t>Rather,</w:t>
      </w:r>
      <w:r w:rsidRPr="00757D20">
        <w:t xml:space="preserve"> they must confront the growing mismatch </w:t>
      </w:r>
      <w:r w:rsidR="00615D64" w:rsidRPr="00757D20">
        <w:t xml:space="preserve">or “fantasy rhetoric” </w:t>
      </w:r>
      <w:r w:rsidR="00595233" w:rsidRPr="00757D20">
        <w:t>(</w:t>
      </w:r>
      <w:proofErr w:type="spellStart"/>
      <w:r w:rsidR="00595233" w:rsidRPr="00757D20">
        <w:t>Bathmaker</w:t>
      </w:r>
      <w:proofErr w:type="spellEnd"/>
      <w:r w:rsidR="00595233" w:rsidRPr="00757D20">
        <w:t xml:space="preserve"> et al., 2016, p. ix) </w:t>
      </w:r>
      <w:r w:rsidRPr="00757D20">
        <w:t xml:space="preserve">between the promise of higher education and the lived experiences of young people in a climate </w:t>
      </w:r>
      <w:r w:rsidR="00FA3929" w:rsidRPr="00757D20">
        <w:t xml:space="preserve">increasingly </w:t>
      </w:r>
      <w:r w:rsidR="00114E09" w:rsidRPr="00757D20">
        <w:t xml:space="preserve">characterised by </w:t>
      </w:r>
      <w:r w:rsidR="00557D1A" w:rsidRPr="00757D20">
        <w:t>uncertainty and</w:t>
      </w:r>
      <w:r w:rsidRPr="00757D20">
        <w:t xml:space="preserve"> instability. This includes addressing cost-of-living pressures, investing in under-resourced schools, </w:t>
      </w:r>
      <w:r w:rsidR="004B584D" w:rsidRPr="00757D20">
        <w:t xml:space="preserve">genuinely </w:t>
      </w:r>
      <w:r w:rsidRPr="00757D20">
        <w:t xml:space="preserve">supporting student mental health, and valuing vocational and hybrid pathways alongside university options. It also means revisiting the assumptions embedded in </w:t>
      </w:r>
      <w:r w:rsidR="008364EA" w:rsidRPr="00757D20">
        <w:t xml:space="preserve">neoliberal </w:t>
      </w:r>
      <w:r w:rsidR="004C0D1C" w:rsidRPr="00757D20">
        <w:t xml:space="preserve">education </w:t>
      </w:r>
      <w:r w:rsidRPr="00757D20">
        <w:t>policy—particularly the idea that young people can simply overcome adversity through personal effort and self-belief.</w:t>
      </w:r>
    </w:p>
    <w:p w14:paraId="18CB59E1" w14:textId="558ACCCD" w:rsidR="005258A3" w:rsidRPr="00757D20" w:rsidRDefault="005258A3" w:rsidP="005258A3">
      <w:pPr>
        <w:spacing w:line="259" w:lineRule="auto"/>
      </w:pPr>
      <w:r w:rsidRPr="00757D20">
        <w:t>At a time when traditional pathways to success are increasingly questioned and the returns on university education appear less certain, institutions must shift toward models that recognise complexity, support diverse trajectories, and respond meaningfully to local contexts</w:t>
      </w:r>
      <w:r w:rsidR="00552DCE" w:rsidRPr="00757D20">
        <w:t xml:space="preserve"> </w:t>
      </w:r>
      <w:r w:rsidR="00552DCE" w:rsidRPr="00757D20">
        <w:fldChar w:fldCharType="begin"/>
      </w:r>
      <w:r w:rsidR="0062633B" w:rsidRPr="00757D20">
        <w:instrText xml:space="preserve"> ADDIN EN.CITE &lt;EndNote&gt;&lt;Cite&gt;&lt;Author&gt;Gore&lt;/Author&gt;&lt;Year&gt;2022&lt;/Year&gt;&lt;RecNum&gt;4153&lt;/RecNum&gt;&lt;DisplayText&gt;(Gore et al., 2022)&lt;/DisplayText&gt;&lt;record&gt;&lt;rec-number&gt;4153&lt;/rec-number&gt;&lt;foreign-keys&gt;&lt;key app="EN" db-id="f2ftvv5v02e9v3e22psx2f91zs990eeafs5f" timestamp="1745577753" guid="7d16f8a9-45d3-4cc2-8bd9-67ae01f23858"&gt;4153&lt;/key&gt;&lt;/foreign-keys&gt;&lt;ref-type name="Book"&gt;6&lt;/ref-type&gt;&lt;contributors&gt;&lt;authors&gt;&lt;author&gt;Gore, Jennifer M.&lt;/author&gt;&lt;author&gt;Patfield, S.&lt;/author&gt;&lt;author&gt;Fray, L.&lt;/author&gt;&lt;author&gt;Harris, Jess&lt;/author&gt;&lt;/authors&gt;&lt;/contributors&gt;&lt;titles&gt;&lt;title&gt;Community Matters: The Complex Links Between Community and Young People&amp;apos;s Aspirations for Higher Education&lt;/title&gt;&lt;/titles&gt;&lt;dates&gt;&lt;year&gt;2022&lt;/year&gt;&lt;/dates&gt;&lt;isbn&gt;9781003019534&lt;/isbn&gt;&lt;urls&gt;&lt;related-urls&gt;&lt;url&gt;https://www.taylorfrancis.com/books/mono/10.4324/9781003019534/community-matters-jennifer-gore-sally-patfield-leanne-fray-jess-harris&lt;/url&gt;&lt;/related-urls&gt;&lt;/urls&gt;&lt;electronic-resource-num&gt;10.4324/9781003019534&lt;/electronic-resource-num&gt;&lt;/record&gt;&lt;/Cite&gt;&lt;/EndNote&gt;</w:instrText>
      </w:r>
      <w:r w:rsidR="00552DCE" w:rsidRPr="00757D20">
        <w:fldChar w:fldCharType="separate"/>
      </w:r>
      <w:r w:rsidR="0062633B" w:rsidRPr="00757D20">
        <w:rPr>
          <w:noProof/>
        </w:rPr>
        <w:t>(Gore et al., 2022)</w:t>
      </w:r>
      <w:r w:rsidR="00552DCE" w:rsidRPr="00757D20">
        <w:fldChar w:fldCharType="end"/>
      </w:r>
      <w:r w:rsidRPr="00757D20">
        <w:t>. As our research illustrates</w:t>
      </w:r>
      <w:r w:rsidR="004541C8" w:rsidRPr="00757D20">
        <w:t>,</w:t>
      </w:r>
      <w:r w:rsidRPr="00757D20">
        <w:t xml:space="preserve"> </w:t>
      </w:r>
      <w:r w:rsidR="00871FCD" w:rsidRPr="00757D20">
        <w:t xml:space="preserve">young people today </w:t>
      </w:r>
      <w:r w:rsidRPr="00757D20">
        <w:t>are responding pragmatically to the risks and realities they face—</w:t>
      </w:r>
      <w:r w:rsidR="00466596" w:rsidRPr="00757D20">
        <w:t xml:space="preserve">ultimately </w:t>
      </w:r>
      <w:r w:rsidRPr="00757D20">
        <w:t>making choices shaped as much by constraint as by aspiration.</w:t>
      </w:r>
    </w:p>
    <w:p w14:paraId="4C43CF33" w14:textId="4E872D6F" w:rsidR="005258A3" w:rsidRDefault="005258A3" w:rsidP="005258A3">
      <w:pPr>
        <w:spacing w:line="259" w:lineRule="auto"/>
      </w:pPr>
      <w:r w:rsidRPr="00757D20">
        <w:t xml:space="preserve">Recent environmental, health, </w:t>
      </w:r>
      <w:r w:rsidR="00555653" w:rsidRPr="00757D20">
        <w:t xml:space="preserve">social, political, </w:t>
      </w:r>
      <w:r w:rsidRPr="00757D20">
        <w:t>and economic crises are not only reshaping the future for young Australians; they are also providing a critical lens through which we must reassess what equity in higher education really means. Ensuring genuine access</w:t>
      </w:r>
      <w:r w:rsidR="000752C0" w:rsidRPr="00757D20">
        <w:t xml:space="preserve"> to</w:t>
      </w:r>
      <w:r w:rsidRPr="00757D20">
        <w:t xml:space="preserve"> and participation </w:t>
      </w:r>
      <w:r w:rsidR="000752C0" w:rsidRPr="00757D20">
        <w:t xml:space="preserve">in higher education </w:t>
      </w:r>
      <w:r w:rsidRPr="00757D20">
        <w:t>will require more than pathways and policies—it will demand structural change, sustained investment, and an unwavering commitment to social justice.</w:t>
      </w:r>
    </w:p>
    <w:p w14:paraId="64F0AA19" w14:textId="3C257073" w:rsidR="00C07BCA" w:rsidRDefault="00C07BCA" w:rsidP="005258A3">
      <w:pPr>
        <w:spacing w:line="259" w:lineRule="auto"/>
      </w:pPr>
      <w:r>
        <w:t>Based on the findings of our research, we make the following recommendations.</w:t>
      </w:r>
    </w:p>
    <w:p w14:paraId="0C498BDB" w14:textId="77777777" w:rsidR="00C07BCA" w:rsidRPr="00757D20" w:rsidRDefault="00C07BCA" w:rsidP="002B713F">
      <w:pPr>
        <w:pStyle w:val="Heading2"/>
      </w:pPr>
      <w:bookmarkStart w:id="113" w:name="_Toc219977251"/>
      <w:r w:rsidRPr="00757D20">
        <w:lastRenderedPageBreak/>
        <w:t>Recommendations</w:t>
      </w:r>
      <w:bookmarkEnd w:id="113"/>
      <w:r w:rsidRPr="00757D20">
        <w:t xml:space="preserve"> </w:t>
      </w:r>
    </w:p>
    <w:p w14:paraId="7C86F618" w14:textId="77777777" w:rsidR="00C07BCA" w:rsidRPr="00757D20" w:rsidRDefault="00C07BCA" w:rsidP="00C07BCA">
      <w:pPr>
        <w:spacing w:line="259" w:lineRule="auto"/>
      </w:pPr>
      <w:r w:rsidRPr="00757D20">
        <w:t>We offer</w:t>
      </w:r>
      <w:r w:rsidRPr="00757D20" w:rsidDel="00E50243">
        <w:t xml:space="preserve"> </w:t>
      </w:r>
      <w:r w:rsidRPr="00757D20">
        <w:t>several important recommendations for schools, higher education providers, and governments. These are largely drawn from participants’</w:t>
      </w:r>
      <w:r w:rsidRPr="00757D20" w:rsidDel="00CB2901">
        <w:t xml:space="preserve"> </w:t>
      </w:r>
      <w:r w:rsidRPr="00757D20">
        <w:t xml:space="preserve">insights as conveyed in their interviews. </w:t>
      </w:r>
    </w:p>
    <w:p w14:paraId="609BF6FF" w14:textId="77777777" w:rsidR="00C07BCA" w:rsidRPr="00757D20" w:rsidRDefault="00C07BCA" w:rsidP="002B713F">
      <w:pPr>
        <w:pStyle w:val="Heading3"/>
      </w:pPr>
      <w:bookmarkStart w:id="114" w:name="_Toc219977252"/>
      <w:r w:rsidRPr="00757D20">
        <w:t>Schools</w:t>
      </w:r>
      <w:bookmarkEnd w:id="114"/>
    </w:p>
    <w:p w14:paraId="5A5F6D47" w14:textId="77777777" w:rsidR="00C07BCA" w:rsidRPr="00757D20" w:rsidRDefault="00C07BCA" w:rsidP="00C07BCA">
      <w:pPr>
        <w:pStyle w:val="ListParagraph"/>
        <w:numPr>
          <w:ilvl w:val="0"/>
          <w:numId w:val="42"/>
        </w:numPr>
        <w:rPr>
          <w:lang w:eastAsia="en-AU"/>
        </w:rPr>
      </w:pPr>
      <w:r w:rsidRPr="00204BA3">
        <w:rPr>
          <w:b/>
          <w:bCs/>
          <w:lang w:eastAsia="en-AU"/>
        </w:rPr>
        <w:t>Embed future-oriented wellbeing supports</w:t>
      </w:r>
      <w:r w:rsidRPr="00757D20">
        <w:rPr>
          <w:lang w:eastAsia="en-AU"/>
        </w:rPr>
        <w:t>: Mental health programs must be integrated into everyday schooling, not offered as add-ons. This includes training staff to support students experiencing stress about future pathways and foster conversations about diverse futures.</w:t>
      </w:r>
    </w:p>
    <w:p w14:paraId="19F01210" w14:textId="77777777" w:rsidR="00C07BCA" w:rsidRPr="00757D20" w:rsidRDefault="00C07BCA" w:rsidP="00C07BCA">
      <w:pPr>
        <w:pStyle w:val="ListParagraph"/>
        <w:numPr>
          <w:ilvl w:val="0"/>
          <w:numId w:val="42"/>
        </w:numPr>
        <w:rPr>
          <w:lang w:eastAsia="en-AU"/>
        </w:rPr>
      </w:pPr>
      <w:r w:rsidRPr="00204BA3">
        <w:rPr>
          <w:b/>
          <w:bCs/>
          <w:lang w:eastAsia="en-AU"/>
        </w:rPr>
        <w:t>Strengthen career education</w:t>
      </w:r>
      <w:r w:rsidRPr="00757D20">
        <w:rPr>
          <w:lang w:eastAsia="en-AU"/>
        </w:rPr>
        <w:t xml:space="preserve">: Offer early, community-connected, and culturally responsive career support, especially in schools facing </w:t>
      </w:r>
      <w:proofErr w:type="spellStart"/>
      <w:r w:rsidRPr="00757D20">
        <w:rPr>
          <w:lang w:eastAsia="en-AU"/>
        </w:rPr>
        <w:t>residualisation</w:t>
      </w:r>
      <w:proofErr w:type="spellEnd"/>
      <w:r w:rsidRPr="00757D20">
        <w:rPr>
          <w:lang w:eastAsia="en-AU"/>
        </w:rPr>
        <w:t>. Partner with local employers, VET providers, and universities to expand real-world exposure.</w:t>
      </w:r>
    </w:p>
    <w:p w14:paraId="29F1BE6A" w14:textId="77777777" w:rsidR="00C07BCA" w:rsidRPr="00757D20" w:rsidRDefault="00C07BCA" w:rsidP="00C07BCA">
      <w:pPr>
        <w:pStyle w:val="ListParagraph"/>
        <w:numPr>
          <w:ilvl w:val="0"/>
          <w:numId w:val="42"/>
        </w:numPr>
        <w:rPr>
          <w:lang w:eastAsia="en-AU"/>
        </w:rPr>
      </w:pPr>
      <w:r w:rsidRPr="00204BA3">
        <w:rPr>
          <w:b/>
          <w:bCs/>
          <w:lang w:eastAsia="en-AU"/>
        </w:rPr>
        <w:t>Celebrate vocational and hybrid pathways</w:t>
      </w:r>
      <w:r w:rsidRPr="00757D20">
        <w:rPr>
          <w:lang w:eastAsia="en-AU"/>
        </w:rPr>
        <w:t>: Challenge the academic/vocational binary by elevating trades and TAFE as valuable and respectable options. Include alumni stories from varied post-school routes to build local aspiration narratives.</w:t>
      </w:r>
    </w:p>
    <w:p w14:paraId="3A22B0BD" w14:textId="77777777" w:rsidR="00C07BCA" w:rsidRPr="00757D20" w:rsidRDefault="00C07BCA" w:rsidP="002B713F">
      <w:pPr>
        <w:pStyle w:val="Heading3"/>
      </w:pPr>
      <w:bookmarkStart w:id="115" w:name="_Toc219977253"/>
      <w:r w:rsidRPr="00757D20">
        <w:t>Higher education providers</w:t>
      </w:r>
      <w:bookmarkEnd w:id="115"/>
    </w:p>
    <w:p w14:paraId="5FE32065" w14:textId="161AA880"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Build flexible, blended access models</w:t>
      </w:r>
      <w:r w:rsidRPr="00757D20">
        <w:rPr>
          <w:rFonts w:eastAsia="Times New Roman" w:cs="Times New Roman"/>
          <w:kern w:val="0"/>
          <w:lang w:eastAsia="en-AU"/>
          <w14:ligatures w14:val="none"/>
        </w:rPr>
        <w:t xml:space="preserve">: Expand regional campuses, study hubs, hybrid learning options, and bridging programs that </w:t>
      </w:r>
      <w:r w:rsidR="00E21BBB">
        <w:rPr>
          <w:rFonts w:eastAsia="Times New Roman" w:cs="Times New Roman"/>
          <w:kern w:val="0"/>
          <w:lang w:eastAsia="en-AU"/>
          <w14:ligatures w14:val="none"/>
        </w:rPr>
        <w:t>alleviate</w:t>
      </w:r>
      <w:r w:rsidRPr="00757D20">
        <w:rPr>
          <w:rFonts w:eastAsia="Times New Roman" w:cs="Times New Roman"/>
          <w:kern w:val="0"/>
          <w:lang w:eastAsia="en-AU"/>
          <w14:ligatures w14:val="none"/>
        </w:rPr>
        <w:t xml:space="preserve"> cost-of-living pressures and work-study demands.</w:t>
      </w:r>
    </w:p>
    <w:p w14:paraId="275EA573"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Address mental health and belonging</w:t>
      </w:r>
      <w:r w:rsidRPr="00757D20">
        <w:rPr>
          <w:rFonts w:eastAsia="Times New Roman" w:cs="Times New Roman"/>
          <w:kern w:val="0"/>
          <w:lang w:eastAsia="en-AU"/>
          <w14:ligatures w14:val="none"/>
        </w:rPr>
        <w:t>: Prioritise initiatives that support transition, mental wellbeing, and community for students from underrepresented backgrounds. This includes culturally safe spaces, mentoring, and inclusive pedagogies.</w:t>
      </w:r>
    </w:p>
    <w:p w14:paraId="74FDEFAF"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Co-design outreach with communities</w:t>
      </w:r>
      <w:r w:rsidRPr="00757D20">
        <w:rPr>
          <w:rFonts w:eastAsia="Times New Roman" w:cs="Times New Roman"/>
          <w:kern w:val="0"/>
          <w:lang w:eastAsia="en-AU"/>
          <w14:ligatures w14:val="none"/>
        </w:rPr>
        <w:t>: Shift from aspiration-raising to co-creating pathways. Engage families, schools, and local leaders in outreach and recruitment efforts that respond to community-specific needs and values.</w:t>
      </w:r>
    </w:p>
    <w:p w14:paraId="4CE114A5" w14:textId="77777777" w:rsidR="00C07BCA" w:rsidRPr="00757D20" w:rsidRDefault="00C07BCA" w:rsidP="002B713F">
      <w:pPr>
        <w:pStyle w:val="Heading3"/>
      </w:pPr>
      <w:bookmarkStart w:id="116" w:name="_Toc219977254"/>
      <w:r w:rsidRPr="00757D20">
        <w:t>Government</w:t>
      </w:r>
      <w:bookmarkEnd w:id="116"/>
    </w:p>
    <w:p w14:paraId="71E1D262"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Tackle school funding inequity</w:t>
      </w:r>
      <w:r w:rsidRPr="00757D20">
        <w:rPr>
          <w:rFonts w:eastAsia="Times New Roman" w:cs="Times New Roman"/>
          <w:kern w:val="0"/>
          <w:lang w:eastAsia="en-AU"/>
          <w14:ligatures w14:val="none"/>
        </w:rPr>
        <w:t xml:space="preserve">: Reverse the trend of </w:t>
      </w:r>
      <w:proofErr w:type="spellStart"/>
      <w:r w:rsidRPr="00757D20">
        <w:rPr>
          <w:rFonts w:eastAsia="Times New Roman" w:cs="Times New Roman"/>
          <w:kern w:val="0"/>
          <w:lang w:eastAsia="en-AU"/>
          <w14:ligatures w14:val="none"/>
        </w:rPr>
        <w:t>residualisation</w:t>
      </w:r>
      <w:proofErr w:type="spellEnd"/>
      <w:r w:rsidRPr="00757D20">
        <w:rPr>
          <w:rFonts w:eastAsia="Times New Roman" w:cs="Times New Roman"/>
          <w:kern w:val="0"/>
          <w:lang w:eastAsia="en-AU"/>
          <w14:ligatures w14:val="none"/>
        </w:rPr>
        <w:t xml:space="preserve"> by investing in public schools, particularly in rural, regional, and low socio-economic status (SES) areas. This includes adequate staffing, infrastructure upgrades, and targeted support for careers education.</w:t>
      </w:r>
    </w:p>
    <w:p w14:paraId="7F50EEA3"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Reform higher education and VET funding models</w:t>
      </w:r>
      <w:r w:rsidRPr="00757D20">
        <w:rPr>
          <w:rFonts w:eastAsia="Times New Roman" w:cs="Times New Roman"/>
          <w:kern w:val="0"/>
          <w:lang w:eastAsia="en-AU"/>
          <w14:ligatures w14:val="none"/>
        </w:rPr>
        <w:t>: Ensure affordability and accessibility by expanding fee-free TAFE and offering more scholarships and income support to students in key equity groups.</w:t>
      </w:r>
    </w:p>
    <w:p w14:paraId="5EDFD8ED"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Invest in regional and commuter infrastructure</w:t>
      </w:r>
      <w:r w:rsidRPr="00757D20">
        <w:rPr>
          <w:rFonts w:eastAsia="Times New Roman" w:cs="Times New Roman"/>
          <w:kern w:val="0"/>
          <w:lang w:eastAsia="en-AU"/>
          <w14:ligatures w14:val="none"/>
        </w:rPr>
        <w:t>: Improve transport, housing, and digital connectivity to enable rural students to access education and training beyond their immediate community without relocation pressure.</w:t>
      </w:r>
    </w:p>
    <w:p w14:paraId="4C91E3B9"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Elevate the standing of TAFE and vocational pathways</w:t>
      </w:r>
      <w:r w:rsidRPr="00757D20">
        <w:rPr>
          <w:rFonts w:eastAsia="Times New Roman" w:cs="Times New Roman"/>
          <w:kern w:val="0"/>
          <w:lang w:eastAsia="en-AU"/>
          <w14:ligatures w14:val="none"/>
        </w:rPr>
        <w:t>: Adopt policies that highlight their social value, acknowledge that healthy societies rely on all kinds of work, and ease the blanket expectation that every young person must attend university.</w:t>
      </w:r>
    </w:p>
    <w:p w14:paraId="13DA1211"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lastRenderedPageBreak/>
        <w:t>Expand mental health support for youth</w:t>
      </w:r>
      <w:r w:rsidRPr="00757D20">
        <w:rPr>
          <w:rFonts w:eastAsia="Times New Roman" w:cs="Times New Roman"/>
          <w:kern w:val="0"/>
          <w:lang w:eastAsia="en-AU"/>
          <w14:ligatures w14:val="none"/>
        </w:rPr>
        <w:t>: Guarantee free, bulk</w:t>
      </w:r>
      <w:r w:rsidRPr="00757D20">
        <w:rPr>
          <w:rFonts w:eastAsia="Times New Roman" w:cs="Times New Roman"/>
          <w:kern w:val="0"/>
          <w:lang w:eastAsia="en-AU"/>
          <w14:ligatures w14:val="none"/>
        </w:rPr>
        <w:noBreakHyphen/>
        <w:t>billed access to mental</w:t>
      </w:r>
      <w:r w:rsidRPr="00757D20">
        <w:rPr>
          <w:rFonts w:eastAsia="Times New Roman" w:cs="Times New Roman"/>
          <w:kern w:val="0"/>
          <w:lang w:eastAsia="en-AU"/>
          <w14:ligatures w14:val="none"/>
        </w:rPr>
        <w:noBreakHyphen/>
        <w:t xml:space="preserve">health professionals—an urgent need as young people today </w:t>
      </w:r>
      <w:proofErr w:type="gramStart"/>
      <w:r w:rsidRPr="00757D20">
        <w:rPr>
          <w:rFonts w:eastAsia="Times New Roman" w:cs="Times New Roman"/>
          <w:kern w:val="0"/>
          <w:lang w:eastAsia="en-AU"/>
          <w14:ligatures w14:val="none"/>
        </w:rPr>
        <w:t>navigate</w:t>
      </w:r>
      <w:proofErr w:type="gramEnd"/>
      <w:r w:rsidRPr="00757D20">
        <w:rPr>
          <w:rFonts w:eastAsia="Times New Roman" w:cs="Times New Roman"/>
          <w:kern w:val="0"/>
          <w:lang w:eastAsia="en-AU"/>
          <w14:ligatures w14:val="none"/>
        </w:rPr>
        <w:t xml:space="preserve"> significant economic, social, and environmental pressures.</w:t>
      </w:r>
    </w:p>
    <w:p w14:paraId="2FF3D232" w14:textId="77777777" w:rsidR="00C07BCA" w:rsidRPr="00757D20" w:rsidRDefault="00C07BCA" w:rsidP="00C07BCA">
      <w:pPr>
        <w:pStyle w:val="ListParagraph"/>
        <w:numPr>
          <w:ilvl w:val="0"/>
          <w:numId w:val="36"/>
        </w:numPr>
        <w:spacing w:before="100" w:beforeAutospacing="1" w:after="100" w:afterAutospacing="1"/>
        <w:ind w:left="714" w:hanging="357"/>
        <w:rPr>
          <w:rFonts w:eastAsia="Times New Roman" w:cs="Times New Roman"/>
          <w:kern w:val="0"/>
          <w:lang w:eastAsia="en-AU"/>
          <w14:ligatures w14:val="none"/>
        </w:rPr>
      </w:pPr>
      <w:r w:rsidRPr="00204BA3">
        <w:rPr>
          <w:rFonts w:eastAsia="Times New Roman" w:cs="Times New Roman"/>
          <w:b/>
          <w:bCs/>
          <w:kern w:val="0"/>
          <w:lang w:eastAsia="en-AU"/>
          <w14:ligatures w14:val="none"/>
        </w:rPr>
        <w:t>Subsidise affordable student housing</w:t>
      </w:r>
      <w:r w:rsidRPr="00757D20">
        <w:rPr>
          <w:rFonts w:eastAsia="Times New Roman" w:cs="Times New Roman"/>
          <w:kern w:val="0"/>
          <w:lang w:eastAsia="en-AU"/>
          <w14:ligatures w14:val="none"/>
        </w:rPr>
        <w:t>: Provide support for those who must move away from home to study, offsetting the extra financial load of university attendance.</w:t>
      </w:r>
    </w:p>
    <w:p w14:paraId="70073628" w14:textId="77777777" w:rsidR="00C07BCA" w:rsidRPr="00757D20" w:rsidRDefault="00C07BCA" w:rsidP="005258A3">
      <w:pPr>
        <w:spacing w:line="259" w:lineRule="auto"/>
      </w:pPr>
    </w:p>
    <w:p w14:paraId="455F605A" w14:textId="7ED8F15A" w:rsidR="00C33060" w:rsidRPr="00757D20" w:rsidRDefault="00C33060">
      <w:pPr>
        <w:spacing w:line="259" w:lineRule="auto"/>
      </w:pPr>
      <w:r w:rsidRPr="00757D20">
        <w:br w:type="page"/>
      </w:r>
    </w:p>
    <w:p w14:paraId="4D9B51EC" w14:textId="77777777" w:rsidR="009D6D47" w:rsidRPr="00757D20" w:rsidRDefault="009D6D47" w:rsidP="009D6D47">
      <w:pPr>
        <w:pStyle w:val="Heading1"/>
      </w:pPr>
      <w:bookmarkStart w:id="117" w:name="_Toc219977255"/>
      <w:r w:rsidRPr="00757D20">
        <w:lastRenderedPageBreak/>
        <w:t>References</w:t>
      </w:r>
      <w:bookmarkEnd w:id="117"/>
    </w:p>
    <w:p w14:paraId="1EB07D3C" w14:textId="6A820B7C" w:rsidR="008E5E29" w:rsidRPr="00757D20" w:rsidRDefault="008E5E29" w:rsidP="00BF0B57">
      <w:pPr>
        <w:spacing w:before="120" w:after="120"/>
        <w:ind w:left="709" w:hanging="720"/>
      </w:pPr>
      <w:r w:rsidRPr="00757D20">
        <w:t xml:space="preserve">ABS. (2022). </w:t>
      </w:r>
      <w:r w:rsidRPr="00757D20">
        <w:rPr>
          <w:i/>
        </w:rPr>
        <w:t>1220.0 - ANZSCO - Australian and New Zealand Standard Classification of Occupations, 2022.</w:t>
      </w:r>
      <w:r w:rsidR="00F879B2" w:rsidRPr="00757D20">
        <w:rPr>
          <w:i/>
          <w:iCs/>
        </w:rPr>
        <w:t xml:space="preserve"> </w:t>
      </w:r>
      <w:hyperlink r:id="rId38" w:history="1">
        <w:r w:rsidR="00C07BCA" w:rsidRPr="00BC059C">
          <w:rPr>
            <w:rStyle w:val="Hyperlink"/>
          </w:rPr>
          <w:t>https://www.abs.gov.au/AUSSTATS/abs@.nsf/mf/1220.0</w:t>
        </w:r>
      </w:hyperlink>
      <w:r w:rsidR="00C07BCA">
        <w:t xml:space="preserve"> </w:t>
      </w:r>
      <w:r w:rsidR="00F879B2" w:rsidRPr="00757D20">
        <w:t xml:space="preserve"> </w:t>
      </w:r>
    </w:p>
    <w:p w14:paraId="73C11F37" w14:textId="307DBE8B" w:rsidR="008E5E29" w:rsidRPr="00757D20" w:rsidRDefault="008E5E29" w:rsidP="00BF0B57">
      <w:pPr>
        <w:spacing w:before="120" w:after="120"/>
        <w:ind w:left="709" w:hanging="720"/>
      </w:pPr>
      <w:r w:rsidRPr="00757D20">
        <w:t xml:space="preserve">ACARA. (2013). </w:t>
      </w:r>
      <w:r w:rsidRPr="00757D20">
        <w:rPr>
          <w:i/>
          <w:iCs/>
        </w:rPr>
        <w:t xml:space="preserve">ICSEA 2013 </w:t>
      </w:r>
      <w:r w:rsidR="0023726A" w:rsidRPr="00757D20">
        <w:rPr>
          <w:i/>
          <w:iCs/>
        </w:rPr>
        <w:t>g</w:t>
      </w:r>
      <w:r w:rsidRPr="00757D20">
        <w:rPr>
          <w:i/>
          <w:iCs/>
        </w:rPr>
        <w:t xml:space="preserve">eneration </w:t>
      </w:r>
      <w:r w:rsidR="0023726A" w:rsidRPr="00757D20">
        <w:rPr>
          <w:i/>
          <w:iCs/>
        </w:rPr>
        <w:t>r</w:t>
      </w:r>
      <w:r w:rsidRPr="00757D20">
        <w:rPr>
          <w:i/>
          <w:iCs/>
        </w:rPr>
        <w:t>eport</w:t>
      </w:r>
      <w:r w:rsidRPr="00757D20">
        <w:t xml:space="preserve">. </w:t>
      </w:r>
      <w:hyperlink r:id="rId39" w:history="1">
        <w:r w:rsidR="00C07BCA" w:rsidRPr="00BC059C">
          <w:rPr>
            <w:rStyle w:val="Hyperlink"/>
          </w:rPr>
          <w:t>https://docs.acara.edu.au/resources/ICSEA_2013_Generation_Report.pdf</w:t>
        </w:r>
      </w:hyperlink>
      <w:r w:rsidR="00C07BCA">
        <w:t xml:space="preserve"> </w:t>
      </w:r>
      <w:r w:rsidRPr="00757D20">
        <w:t xml:space="preserve"> </w:t>
      </w:r>
    </w:p>
    <w:p w14:paraId="52D77891" w14:textId="7F03A0AD" w:rsidR="008E5E29" w:rsidRPr="00757D20" w:rsidRDefault="008E5E29" w:rsidP="00BF0B57">
      <w:pPr>
        <w:spacing w:before="120" w:after="120"/>
        <w:ind w:left="709" w:hanging="720"/>
      </w:pPr>
      <w:bookmarkStart w:id="118" w:name="_Hlk158799017"/>
      <w:r w:rsidRPr="00757D20">
        <w:t xml:space="preserve">ACARA. (2023). </w:t>
      </w:r>
      <w:r w:rsidRPr="00757D20">
        <w:rPr>
          <w:i/>
          <w:iCs/>
        </w:rPr>
        <w:t xml:space="preserve">National </w:t>
      </w:r>
      <w:r w:rsidR="0023726A" w:rsidRPr="00757D20">
        <w:rPr>
          <w:i/>
          <w:iCs/>
        </w:rPr>
        <w:t>r</w:t>
      </w:r>
      <w:r w:rsidRPr="00757D20">
        <w:rPr>
          <w:i/>
          <w:iCs/>
        </w:rPr>
        <w:t xml:space="preserve">eport on </w:t>
      </w:r>
      <w:r w:rsidR="0023726A" w:rsidRPr="00757D20">
        <w:rPr>
          <w:i/>
          <w:iCs/>
        </w:rPr>
        <w:t>s</w:t>
      </w:r>
      <w:r w:rsidRPr="00757D20">
        <w:rPr>
          <w:i/>
          <w:iCs/>
        </w:rPr>
        <w:t xml:space="preserve">chools and </w:t>
      </w:r>
      <w:r w:rsidR="0023726A" w:rsidRPr="00757D20">
        <w:rPr>
          <w:i/>
          <w:iCs/>
        </w:rPr>
        <w:t>s</w:t>
      </w:r>
      <w:r w:rsidRPr="00757D20">
        <w:rPr>
          <w:i/>
          <w:iCs/>
        </w:rPr>
        <w:t xml:space="preserve">chooling: Student </w:t>
      </w:r>
      <w:r w:rsidR="0023726A" w:rsidRPr="00757D20">
        <w:rPr>
          <w:i/>
          <w:iCs/>
        </w:rPr>
        <w:t>n</w:t>
      </w:r>
      <w:r w:rsidRPr="00757D20">
        <w:rPr>
          <w:i/>
          <w:iCs/>
        </w:rPr>
        <w:t>umbers</w:t>
      </w:r>
      <w:r w:rsidRPr="00757D20">
        <w:t xml:space="preserve">. </w:t>
      </w:r>
      <w:hyperlink r:id="rId40" w:history="1">
        <w:r w:rsidR="00C07BCA" w:rsidRPr="00BC059C">
          <w:rPr>
            <w:rStyle w:val="Hyperlink"/>
          </w:rPr>
          <w:t>https://www.acara.edu.au/reporting/national-report-on-schooling-in-australia/student-numbers</w:t>
        </w:r>
      </w:hyperlink>
      <w:r w:rsidR="00C07BCA">
        <w:t xml:space="preserve"> </w:t>
      </w:r>
    </w:p>
    <w:p w14:paraId="2F39289F" w14:textId="176C2D5B" w:rsidR="008E5E29" w:rsidRPr="00757D20" w:rsidRDefault="008E5E29" w:rsidP="00BF0B57">
      <w:pPr>
        <w:spacing w:before="120" w:after="120"/>
        <w:ind w:left="709" w:hanging="720"/>
      </w:pPr>
      <w:r w:rsidRPr="00757D20">
        <w:t xml:space="preserve">ACARA. (2025). </w:t>
      </w:r>
      <w:r w:rsidRPr="00757D20">
        <w:rPr>
          <w:i/>
          <w:iCs/>
        </w:rPr>
        <w:t>MySchool</w:t>
      </w:r>
      <w:r w:rsidRPr="00757D20">
        <w:t xml:space="preserve">. </w:t>
      </w:r>
      <w:hyperlink r:id="rId41" w:history="1">
        <w:r w:rsidR="00C07BCA" w:rsidRPr="00BC059C">
          <w:rPr>
            <w:rStyle w:val="Hyperlink"/>
          </w:rPr>
          <w:t>https://www.myschool.edu.au/</w:t>
        </w:r>
      </w:hyperlink>
      <w:r w:rsidR="00C07BCA">
        <w:t xml:space="preserve"> </w:t>
      </w:r>
    </w:p>
    <w:bookmarkEnd w:id="118"/>
    <w:p w14:paraId="3ED81C5A" w14:textId="429E195B" w:rsidR="008E5E29" w:rsidRPr="00757D20" w:rsidRDefault="008E5E29" w:rsidP="00BF0B57">
      <w:pPr>
        <w:spacing w:before="120" w:after="120"/>
        <w:ind w:left="709" w:hanging="720"/>
        <w:rPr>
          <w:rFonts w:eastAsia="Calibri"/>
        </w:rPr>
      </w:pPr>
      <w:r w:rsidRPr="00757D20">
        <w:rPr>
          <w:rFonts w:eastAsia="Calibri"/>
        </w:rPr>
        <w:t xml:space="preserve">ACIL Allen Consulting (2017). </w:t>
      </w:r>
      <w:r w:rsidRPr="00757D20">
        <w:rPr>
          <w:rFonts w:eastAsia="Calibri"/>
          <w:i/>
          <w:iCs/>
        </w:rPr>
        <w:t xml:space="preserve">Evaluation of the HEPPP. </w:t>
      </w:r>
      <w:hyperlink r:id="rId42" w:history="1">
        <w:r w:rsidR="00C07BCA" w:rsidRPr="00BC059C">
          <w:rPr>
            <w:rStyle w:val="Hyperlink"/>
            <w:rFonts w:eastAsia="Calibri"/>
          </w:rPr>
          <w:t>https://www.education.gov.au/heppp/resources/heppp-evaluation-final-report</w:t>
        </w:r>
      </w:hyperlink>
      <w:r w:rsidR="00C07BCA">
        <w:rPr>
          <w:rFonts w:eastAsia="Calibri"/>
        </w:rPr>
        <w:t xml:space="preserve"> </w:t>
      </w:r>
    </w:p>
    <w:p w14:paraId="03C47234" w14:textId="57379815" w:rsidR="008E5E29" w:rsidRPr="00757D20" w:rsidRDefault="008E5E29" w:rsidP="00BF0B57">
      <w:pPr>
        <w:spacing w:before="120" w:after="120"/>
        <w:ind w:left="709" w:hanging="720"/>
        <w:rPr>
          <w:rFonts w:eastAsia="Calibri"/>
        </w:rPr>
      </w:pPr>
      <w:r w:rsidRPr="00757D20">
        <w:rPr>
          <w:rFonts w:eastAsia="Calibri"/>
        </w:rPr>
        <w:t xml:space="preserve">Alston, M. (2010). Gender and climate change in Australia. </w:t>
      </w:r>
      <w:r w:rsidRPr="00757D20">
        <w:rPr>
          <w:rFonts w:eastAsia="Calibri"/>
          <w:i/>
          <w:iCs/>
        </w:rPr>
        <w:t>Journal of Sociology, 47</w:t>
      </w:r>
      <w:r w:rsidRPr="00757D20">
        <w:rPr>
          <w:rFonts w:eastAsia="Calibri"/>
        </w:rPr>
        <w:t>(1), 53-70.</w:t>
      </w:r>
      <w:r w:rsidR="00F66954" w:rsidRPr="00757D20">
        <w:t xml:space="preserve"> </w:t>
      </w:r>
      <w:hyperlink r:id="rId43" w:history="1">
        <w:r w:rsidR="00C07BCA" w:rsidRPr="00BC059C">
          <w:rPr>
            <w:rStyle w:val="Hyperlink"/>
            <w:rFonts w:eastAsia="Calibri"/>
          </w:rPr>
          <w:t>https://doi-org.ezproxy.newcastle.edu.au/10.1177/1440783310376848</w:t>
        </w:r>
      </w:hyperlink>
      <w:r w:rsidR="00C07BCA">
        <w:rPr>
          <w:rFonts w:eastAsia="Calibri"/>
        </w:rPr>
        <w:t xml:space="preserve"> </w:t>
      </w:r>
    </w:p>
    <w:p w14:paraId="225DEFA3" w14:textId="7642653D" w:rsidR="008E5E29" w:rsidRPr="00757D20" w:rsidRDefault="008E5E29" w:rsidP="00BF0B57">
      <w:pPr>
        <w:spacing w:before="120" w:after="120"/>
        <w:ind w:left="709" w:hanging="720"/>
        <w:rPr>
          <w:rFonts w:eastAsia="Calibri"/>
        </w:rPr>
      </w:pPr>
      <w:r w:rsidRPr="00757D20">
        <w:rPr>
          <w:rFonts w:eastAsia="Calibri"/>
        </w:rPr>
        <w:t xml:space="preserve">Ansell, N., Froerer, P. &amp; </w:t>
      </w:r>
      <w:proofErr w:type="spellStart"/>
      <w:r w:rsidRPr="00757D20">
        <w:rPr>
          <w:rFonts w:eastAsia="Calibri"/>
        </w:rPr>
        <w:t>Huijsmans</w:t>
      </w:r>
      <w:proofErr w:type="spellEnd"/>
      <w:r w:rsidRPr="00757D20">
        <w:rPr>
          <w:rFonts w:eastAsia="Calibri"/>
        </w:rPr>
        <w:t xml:space="preserve">, R. (2022). Young </w:t>
      </w:r>
      <w:r w:rsidR="00A45996" w:rsidRPr="00757D20">
        <w:rPr>
          <w:rFonts w:eastAsia="Calibri"/>
        </w:rPr>
        <w:t>p</w:t>
      </w:r>
      <w:r w:rsidRPr="00757D20">
        <w:rPr>
          <w:rFonts w:eastAsia="Calibri"/>
        </w:rPr>
        <w:t xml:space="preserve">eople’s </w:t>
      </w:r>
      <w:r w:rsidR="00A45996" w:rsidRPr="00757D20">
        <w:rPr>
          <w:rFonts w:eastAsia="Calibri"/>
        </w:rPr>
        <w:t>a</w:t>
      </w:r>
      <w:r w:rsidRPr="00757D20">
        <w:rPr>
          <w:rFonts w:eastAsia="Calibri"/>
        </w:rPr>
        <w:t xml:space="preserve">spirations in an </w:t>
      </w:r>
      <w:r w:rsidR="00A45996" w:rsidRPr="00757D20">
        <w:rPr>
          <w:rFonts w:eastAsia="Calibri"/>
        </w:rPr>
        <w:t>u</w:t>
      </w:r>
      <w:r w:rsidRPr="00757D20">
        <w:rPr>
          <w:rFonts w:eastAsia="Calibri"/>
        </w:rPr>
        <w:t xml:space="preserve">ncertain </w:t>
      </w:r>
      <w:r w:rsidR="00A45996" w:rsidRPr="00757D20">
        <w:rPr>
          <w:rFonts w:eastAsia="Calibri"/>
        </w:rPr>
        <w:t>w</w:t>
      </w:r>
      <w:r w:rsidRPr="00757D20">
        <w:rPr>
          <w:rFonts w:eastAsia="Calibri"/>
        </w:rPr>
        <w:t xml:space="preserve">orld: Taking </w:t>
      </w:r>
      <w:r w:rsidR="00A45996" w:rsidRPr="00757D20">
        <w:rPr>
          <w:rFonts w:eastAsia="Calibri"/>
        </w:rPr>
        <w:t>c</w:t>
      </w:r>
      <w:r w:rsidRPr="00757D20">
        <w:rPr>
          <w:rFonts w:eastAsia="Calibri"/>
        </w:rPr>
        <w:t xml:space="preserve">ontrol of the </w:t>
      </w:r>
      <w:r w:rsidR="00A45996" w:rsidRPr="00757D20">
        <w:rPr>
          <w:rFonts w:eastAsia="Calibri"/>
        </w:rPr>
        <w:t>f</w:t>
      </w:r>
      <w:r w:rsidRPr="00757D20">
        <w:rPr>
          <w:rFonts w:eastAsia="Calibri"/>
        </w:rPr>
        <w:t xml:space="preserve">uture? </w:t>
      </w:r>
      <w:r w:rsidRPr="00757D20">
        <w:rPr>
          <w:rFonts w:eastAsia="Calibri"/>
          <w:i/>
          <w:iCs/>
        </w:rPr>
        <w:t>Sociological Research Online</w:t>
      </w:r>
      <w:r w:rsidRPr="00757D20">
        <w:rPr>
          <w:rFonts w:eastAsia="Calibri"/>
        </w:rPr>
        <w:t xml:space="preserve">, </w:t>
      </w:r>
      <w:r w:rsidRPr="00757D20">
        <w:rPr>
          <w:rFonts w:eastAsia="Calibri"/>
          <w:i/>
          <w:iCs/>
        </w:rPr>
        <w:t>27</w:t>
      </w:r>
      <w:r w:rsidRPr="00757D20">
        <w:rPr>
          <w:rFonts w:eastAsia="Calibri"/>
        </w:rPr>
        <w:t xml:space="preserve">(4), 795-802. </w:t>
      </w:r>
      <w:hyperlink r:id="rId44" w:history="1">
        <w:r w:rsidR="00C07BCA" w:rsidRPr="00BC059C">
          <w:rPr>
            <w:rStyle w:val="Hyperlink"/>
            <w:rFonts w:eastAsia="Calibri"/>
          </w:rPr>
          <w:t>https://doi.org/10.1177/13607804221133116</w:t>
        </w:r>
      </w:hyperlink>
      <w:r w:rsidR="00C07BCA">
        <w:rPr>
          <w:rFonts w:eastAsia="Calibri"/>
        </w:rPr>
        <w:t xml:space="preserve"> </w:t>
      </w:r>
    </w:p>
    <w:p w14:paraId="08BF0348" w14:textId="19303E85" w:rsidR="008E5E29" w:rsidRPr="00757D20" w:rsidRDefault="008E5E29" w:rsidP="00BF0B57">
      <w:pPr>
        <w:spacing w:before="120" w:after="120"/>
        <w:ind w:left="709" w:hanging="720"/>
        <w:rPr>
          <w:rFonts w:eastAsia="Calibri"/>
        </w:rPr>
      </w:pPr>
      <w:r w:rsidRPr="00757D20">
        <w:rPr>
          <w:rFonts w:eastAsia="Calibri"/>
        </w:rPr>
        <w:t xml:space="preserve">Archer, L., DeWitt, J., &amp; Wong, B. (2014). Spheres of influence: </w:t>
      </w:r>
      <w:r w:rsidR="0049219F" w:rsidRPr="00757D20">
        <w:rPr>
          <w:rFonts w:eastAsia="Calibri"/>
        </w:rPr>
        <w:t>W</w:t>
      </w:r>
      <w:r w:rsidRPr="00757D20">
        <w:rPr>
          <w:rFonts w:eastAsia="Calibri"/>
        </w:rPr>
        <w:t xml:space="preserve">hat shapes young people’s aspirations at age 12/13 and what are the implications for education policy? </w:t>
      </w:r>
      <w:r w:rsidRPr="00757D20">
        <w:rPr>
          <w:rFonts w:eastAsia="Calibri"/>
          <w:i/>
          <w:iCs/>
        </w:rPr>
        <w:t>Journal of Education Policy, 29</w:t>
      </w:r>
      <w:r w:rsidRPr="00757D20">
        <w:rPr>
          <w:rFonts w:eastAsia="Calibri"/>
        </w:rPr>
        <w:t xml:space="preserve">(1), 58-85. </w:t>
      </w:r>
      <w:hyperlink r:id="rId45" w:history="1">
        <w:r w:rsidR="00C07BCA" w:rsidRPr="00BC059C">
          <w:rPr>
            <w:rStyle w:val="Hyperlink"/>
            <w:rFonts w:eastAsia="Calibri"/>
          </w:rPr>
          <w:t>http://doi.org/10.1080/02680939.2013.790079</w:t>
        </w:r>
      </w:hyperlink>
      <w:r w:rsidR="00C07BCA">
        <w:rPr>
          <w:rFonts w:eastAsia="Calibri"/>
        </w:rPr>
        <w:t xml:space="preserve"> </w:t>
      </w:r>
    </w:p>
    <w:p w14:paraId="22ED8413" w14:textId="6E19A92B" w:rsidR="008E5E29" w:rsidRPr="00757D20" w:rsidRDefault="008E5E29" w:rsidP="00BF0B57">
      <w:pPr>
        <w:spacing w:before="120" w:after="120"/>
        <w:ind w:left="709" w:hanging="720"/>
      </w:pPr>
      <w:r w:rsidRPr="00757D20">
        <w:t xml:space="preserve">Australian Council for the Defence of Government Schools. (2024). </w:t>
      </w:r>
      <w:r w:rsidRPr="00757D20">
        <w:rPr>
          <w:i/>
          <w:iCs/>
        </w:rPr>
        <w:t xml:space="preserve">Can the public education system survive </w:t>
      </w:r>
      <w:proofErr w:type="spellStart"/>
      <w:r w:rsidRPr="00757D20">
        <w:rPr>
          <w:i/>
          <w:iCs/>
        </w:rPr>
        <w:t>residualisation</w:t>
      </w:r>
      <w:proofErr w:type="spellEnd"/>
      <w:r w:rsidRPr="00757D20">
        <w:rPr>
          <w:i/>
          <w:iCs/>
        </w:rPr>
        <w:t>?</w:t>
      </w:r>
      <w:r w:rsidRPr="00757D20">
        <w:t xml:space="preserve"> </w:t>
      </w:r>
      <w:hyperlink r:id="rId46" w:history="1">
        <w:r w:rsidR="00C07BCA" w:rsidRPr="00BC059C">
          <w:rPr>
            <w:rStyle w:val="Hyperlink"/>
          </w:rPr>
          <w:t>https://www.adogs.info/press/can-public-education-system-survive-residualisation</w:t>
        </w:r>
      </w:hyperlink>
      <w:r w:rsidR="00C07BCA">
        <w:t xml:space="preserve"> </w:t>
      </w:r>
    </w:p>
    <w:p w14:paraId="0CF0991C" w14:textId="1F364135" w:rsidR="008E5E29" w:rsidRPr="00757D20" w:rsidRDefault="008E5E29" w:rsidP="00BF0B57">
      <w:pPr>
        <w:spacing w:before="120" w:after="120"/>
        <w:ind w:left="709" w:hanging="720"/>
      </w:pPr>
      <w:r w:rsidRPr="00757D20">
        <w:t xml:space="preserve">Australian Education Union. (2025). </w:t>
      </w:r>
      <w:r w:rsidRPr="00757D20">
        <w:rPr>
          <w:i/>
          <w:iCs/>
        </w:rPr>
        <w:t>Students and teachers need better wellbeing support</w:t>
      </w:r>
      <w:r w:rsidRPr="00757D20">
        <w:t xml:space="preserve">. </w:t>
      </w:r>
      <w:hyperlink r:id="rId47" w:history="1">
        <w:r w:rsidR="00C07BCA" w:rsidRPr="00BC059C">
          <w:rPr>
            <w:rStyle w:val="Hyperlink"/>
          </w:rPr>
          <w:t>https://www.aeufederal.org.au/news-media/news/2025/students-and-teachers-need-better-wellbeing-support</w:t>
        </w:r>
      </w:hyperlink>
      <w:r w:rsidR="00C07BCA">
        <w:t xml:space="preserve"> </w:t>
      </w:r>
      <w:r w:rsidRPr="00757D20">
        <w:t xml:space="preserve"> </w:t>
      </w:r>
      <w:r w:rsidR="00C07BCA">
        <w:t xml:space="preserve"> </w:t>
      </w:r>
    </w:p>
    <w:p w14:paraId="052E703D" w14:textId="616C62B8" w:rsidR="008E5E29" w:rsidRPr="00757D20" w:rsidRDefault="008E5E29" w:rsidP="00BF0B57">
      <w:pPr>
        <w:spacing w:before="120" w:after="120"/>
        <w:ind w:left="709" w:hanging="720"/>
        <w:rPr>
          <w:rFonts w:eastAsia="Calibri"/>
        </w:rPr>
      </w:pPr>
      <w:r w:rsidRPr="00757D20">
        <w:rPr>
          <w:rFonts w:eastAsia="Calibri"/>
        </w:rPr>
        <w:t xml:space="preserve">Baik, C., Naylor, R. &amp; </w:t>
      </w:r>
      <w:proofErr w:type="spellStart"/>
      <w:r w:rsidRPr="00757D20">
        <w:rPr>
          <w:rFonts w:eastAsia="Calibri"/>
        </w:rPr>
        <w:t>Arkoudis</w:t>
      </w:r>
      <w:proofErr w:type="spellEnd"/>
      <w:r w:rsidRPr="00757D20">
        <w:rPr>
          <w:rFonts w:eastAsia="Calibri"/>
        </w:rPr>
        <w:t xml:space="preserve">, S. (2015). </w:t>
      </w:r>
      <w:r w:rsidRPr="00757D20">
        <w:rPr>
          <w:rFonts w:eastAsia="Calibri"/>
          <w:i/>
          <w:iCs/>
        </w:rPr>
        <w:t xml:space="preserve">The </w:t>
      </w:r>
      <w:proofErr w:type="gramStart"/>
      <w:r w:rsidRPr="00757D20">
        <w:rPr>
          <w:rFonts w:eastAsia="Calibri"/>
          <w:i/>
          <w:iCs/>
        </w:rPr>
        <w:t>first year</w:t>
      </w:r>
      <w:proofErr w:type="gramEnd"/>
      <w:r w:rsidRPr="00757D20">
        <w:rPr>
          <w:rFonts w:eastAsia="Calibri"/>
          <w:i/>
          <w:iCs/>
        </w:rPr>
        <w:t xml:space="preserve"> experience in Australian universities: findings from two decades, 1994-2014</w:t>
      </w:r>
      <w:r w:rsidRPr="00757D20">
        <w:rPr>
          <w:rFonts w:eastAsia="Calibri"/>
        </w:rPr>
        <w:t xml:space="preserve">. </w:t>
      </w:r>
      <w:hyperlink r:id="rId48" w:history="1">
        <w:r w:rsidR="00C07BCA" w:rsidRPr="00BC059C">
          <w:rPr>
            <w:rStyle w:val="Hyperlink"/>
            <w:rFonts w:eastAsia="Calibri"/>
          </w:rPr>
          <w:t>https://melbourne-cshe.unimelb.edu.au/__data/assets/pdf_file/0016/1513123/FYE-2014-FULL-report-FINAL-web.pdf</w:t>
        </w:r>
      </w:hyperlink>
      <w:r w:rsidR="00C07BCA">
        <w:rPr>
          <w:rFonts w:eastAsia="Calibri"/>
        </w:rPr>
        <w:t xml:space="preserve"> </w:t>
      </w:r>
    </w:p>
    <w:p w14:paraId="619475F3" w14:textId="29F24F98" w:rsidR="008E5E29" w:rsidRPr="00757D20" w:rsidRDefault="008E5E29" w:rsidP="00BF0B57">
      <w:pPr>
        <w:spacing w:before="120" w:after="120"/>
        <w:ind w:left="709" w:hanging="720"/>
        <w:rPr>
          <w:rFonts w:eastAsia="Calibri"/>
        </w:rPr>
      </w:pPr>
      <w:r w:rsidRPr="00757D20">
        <w:rPr>
          <w:rFonts w:eastAsia="Calibri"/>
        </w:rPr>
        <w:t xml:space="preserve">Baines, L., Gooch, D. &amp; Ng-Knight, T. (2024). Do widening participation interventions change university attitudes in UK school children? A systematic review of the efficacy of UK programmes, and quality of evaluation evidence. </w:t>
      </w:r>
      <w:r w:rsidRPr="00757D20">
        <w:rPr>
          <w:rFonts w:eastAsia="Calibri"/>
          <w:i/>
          <w:iCs/>
        </w:rPr>
        <w:t>Educational Review, 76</w:t>
      </w:r>
      <w:r w:rsidRPr="00757D20">
        <w:rPr>
          <w:rFonts w:eastAsia="Calibri"/>
        </w:rPr>
        <w:t xml:space="preserve">(3), 628-647. </w:t>
      </w:r>
      <w:hyperlink r:id="rId49" w:history="1">
        <w:r w:rsidR="00C07BCA" w:rsidRPr="00BC059C">
          <w:rPr>
            <w:rStyle w:val="Hyperlink"/>
            <w:rFonts w:eastAsia="Calibri" w:cs="Calibri"/>
          </w:rPr>
          <w:t>https://doi.org/10.1080/00131911.2022.2077703</w:t>
        </w:r>
      </w:hyperlink>
      <w:r w:rsidR="00C07BCA">
        <w:rPr>
          <w:rFonts w:eastAsia="Calibri" w:cs="Calibri"/>
        </w:rPr>
        <w:t xml:space="preserve"> </w:t>
      </w:r>
    </w:p>
    <w:p w14:paraId="177DE869" w14:textId="77777777" w:rsidR="008E5E29" w:rsidRPr="00757D20" w:rsidRDefault="008E5E29" w:rsidP="00BF0B57">
      <w:pPr>
        <w:spacing w:before="120" w:after="120"/>
        <w:ind w:left="709" w:hanging="720"/>
        <w:rPr>
          <w:rFonts w:eastAsia="Calibri"/>
        </w:rPr>
      </w:pPr>
      <w:proofErr w:type="spellStart"/>
      <w:r w:rsidRPr="00757D20">
        <w:rPr>
          <w:rFonts w:eastAsia="Calibri"/>
        </w:rPr>
        <w:t>Bathmaker</w:t>
      </w:r>
      <w:proofErr w:type="spellEnd"/>
      <w:r w:rsidRPr="00757D20">
        <w:rPr>
          <w:rFonts w:eastAsia="Calibri"/>
        </w:rPr>
        <w:t xml:space="preserve">, A., Ingram, N., Abrahams, J., Hoare, A., Waller, R., &amp; Bradley, H. (2016). </w:t>
      </w:r>
      <w:r w:rsidRPr="00757D20">
        <w:rPr>
          <w:rFonts w:eastAsia="Calibri"/>
          <w:i/>
          <w:iCs/>
        </w:rPr>
        <w:t>Higher education, social class and social mobility: The degree generation</w:t>
      </w:r>
      <w:r w:rsidRPr="00757D20">
        <w:rPr>
          <w:rFonts w:eastAsia="Calibri"/>
        </w:rPr>
        <w:t>. Palgrave Macmillan.</w:t>
      </w:r>
    </w:p>
    <w:p w14:paraId="5449C4A8" w14:textId="5AEA6C28" w:rsidR="008E5E29" w:rsidRPr="00757D20" w:rsidRDefault="008E5E29" w:rsidP="00BF0B57">
      <w:pPr>
        <w:spacing w:before="120" w:after="120"/>
        <w:ind w:left="709" w:hanging="720"/>
        <w:rPr>
          <w:rFonts w:eastAsia="Calibri"/>
        </w:rPr>
      </w:pPr>
      <w:r w:rsidRPr="00757D20">
        <w:rPr>
          <w:rFonts w:eastAsia="Calibri"/>
        </w:rPr>
        <w:t xml:space="preserve">Bennett, A., Naylor, R., Mellor, K., Brett, M., Gore, J., Harvey, A., Munn, B., James, R., Smith, M., &amp; Whitty, G. (2015). </w:t>
      </w:r>
      <w:r w:rsidRPr="00757D20">
        <w:rPr>
          <w:rFonts w:eastAsia="Calibri"/>
          <w:i/>
          <w:iCs/>
        </w:rPr>
        <w:t>Critical interventions framework part two. Equity initiatives in Australian higher education: A review of evidence of impact</w:t>
      </w:r>
      <w:r w:rsidRPr="00757D20">
        <w:rPr>
          <w:rFonts w:eastAsia="Calibri"/>
        </w:rPr>
        <w:t xml:space="preserve">. </w:t>
      </w:r>
      <w:hyperlink r:id="rId50" w:history="1">
        <w:r w:rsidR="00C07BCA" w:rsidRPr="00BC059C">
          <w:rPr>
            <w:rStyle w:val="Hyperlink"/>
          </w:rPr>
          <w:t>https://www.voced.edu.au/content/ngv%3A73898</w:t>
        </w:r>
      </w:hyperlink>
      <w:r w:rsidR="00C07BCA">
        <w:t xml:space="preserve"> </w:t>
      </w:r>
      <w:r w:rsidR="00312F9E" w:rsidRPr="00757D20">
        <w:rPr>
          <w:rFonts w:eastAsia="Calibri"/>
        </w:rPr>
        <w:t xml:space="preserve"> </w:t>
      </w:r>
      <w:r w:rsidR="00312F9E" w:rsidRPr="00757D20" w:rsidDel="007509B8">
        <w:rPr>
          <w:rFonts w:eastAsia="Calibri"/>
        </w:rPr>
        <w:t xml:space="preserve"> </w:t>
      </w:r>
      <w:r w:rsidR="00312F9E" w:rsidRPr="00757D20">
        <w:rPr>
          <w:rFonts w:eastAsia="Calibri"/>
        </w:rPr>
        <w:t xml:space="preserve">  </w:t>
      </w:r>
    </w:p>
    <w:p w14:paraId="2D0A49EF" w14:textId="3B6E0A74" w:rsidR="008E5E29" w:rsidRPr="00757D20" w:rsidRDefault="008E5E29" w:rsidP="00BF0B57">
      <w:pPr>
        <w:spacing w:before="120" w:after="120"/>
        <w:ind w:left="709" w:hanging="720"/>
        <w:rPr>
          <w:rFonts w:eastAsia="Calibri"/>
        </w:rPr>
      </w:pPr>
      <w:r w:rsidRPr="00757D20">
        <w:rPr>
          <w:rFonts w:eastAsia="Calibri"/>
        </w:rPr>
        <w:lastRenderedPageBreak/>
        <w:t xml:space="preserve">Bennett, D., Coffey, J., Bawa, S., Carney, D., Dockery, A. M., Franklyn, K., Koshy, P., Li, I. W. Parida, S. &amp; Unwin, S. (2022). </w:t>
      </w:r>
      <w:r w:rsidRPr="00757D20">
        <w:rPr>
          <w:rFonts w:eastAsia="Calibri"/>
          <w:i/>
          <w:iCs/>
        </w:rPr>
        <w:t>Ameliorating disadvantage: Creating accessible, effective, and equitable careers and study information for low socioeconomic students: Final report</w:t>
      </w:r>
      <w:r w:rsidRPr="00757D20">
        <w:rPr>
          <w:rFonts w:eastAsia="Calibri"/>
        </w:rPr>
        <w:t xml:space="preserve">. </w:t>
      </w:r>
      <w:hyperlink r:id="rId51" w:history="1">
        <w:r w:rsidR="00C07BCA" w:rsidRPr="00BC059C">
          <w:rPr>
            <w:rStyle w:val="Hyperlink"/>
            <w:rFonts w:eastAsia="Calibri"/>
          </w:rPr>
          <w:t>https://www.acses.edu.au/publication/ameliorating-disadvantage/</w:t>
        </w:r>
      </w:hyperlink>
      <w:r w:rsidR="00C07BCA">
        <w:rPr>
          <w:rFonts w:eastAsia="Calibri"/>
        </w:rPr>
        <w:t xml:space="preserve"> </w:t>
      </w:r>
    </w:p>
    <w:p w14:paraId="7EC314B0" w14:textId="7DF280D3" w:rsidR="008E5E29" w:rsidRPr="00757D20" w:rsidRDefault="008E5E29" w:rsidP="00BF0B57">
      <w:pPr>
        <w:spacing w:before="120" w:after="120"/>
        <w:ind w:left="709" w:hanging="720"/>
      </w:pPr>
      <w:r w:rsidRPr="00757D20">
        <w:t xml:space="preserve">Bok, J. (2010). The capacity to aspire to higher education: 'It's like making them do a play without a script'. </w:t>
      </w:r>
      <w:r w:rsidRPr="00757D20">
        <w:rPr>
          <w:i/>
          <w:iCs/>
        </w:rPr>
        <w:t>Critical Studies in Education, 51</w:t>
      </w:r>
      <w:r w:rsidRPr="00757D20">
        <w:t xml:space="preserve">(2), 163-178. </w:t>
      </w:r>
      <w:hyperlink r:id="rId52" w:history="1">
        <w:r w:rsidR="00C07BCA" w:rsidRPr="00BC059C">
          <w:rPr>
            <w:rStyle w:val="Hyperlink"/>
          </w:rPr>
          <w:t>https://doi.org/10.1080/17508481003731042</w:t>
        </w:r>
      </w:hyperlink>
      <w:r w:rsidR="00C07BCA">
        <w:t xml:space="preserve"> </w:t>
      </w:r>
      <w:r w:rsidRPr="00757D20">
        <w:t xml:space="preserve"> </w:t>
      </w:r>
    </w:p>
    <w:p w14:paraId="1CFD8CFD" w14:textId="5D6495A5" w:rsidR="008E5E29" w:rsidRPr="00757D20" w:rsidRDefault="008E5E29" w:rsidP="00BF0B57">
      <w:pPr>
        <w:spacing w:before="120" w:after="120"/>
        <w:ind w:left="709" w:hanging="720"/>
        <w:rPr>
          <w:rFonts w:eastAsia="Calibri"/>
        </w:rPr>
      </w:pPr>
      <w:r w:rsidRPr="00757D20">
        <w:rPr>
          <w:rFonts w:eastAsia="Calibri"/>
        </w:rPr>
        <w:t xml:space="preserve">Bowman, S., McKinstry, C. &amp; McGorry, P. (2017). Youth mental ill health and secondary school completion in Australia: </w:t>
      </w:r>
      <w:r w:rsidR="009F31A0" w:rsidRPr="00757D20">
        <w:rPr>
          <w:rFonts w:eastAsia="Calibri"/>
        </w:rPr>
        <w:t>T</w:t>
      </w:r>
      <w:r w:rsidRPr="00757D20">
        <w:rPr>
          <w:rFonts w:eastAsia="Calibri"/>
        </w:rPr>
        <w:t xml:space="preserve">ime to act. </w:t>
      </w:r>
      <w:r w:rsidRPr="00757D20">
        <w:rPr>
          <w:rFonts w:eastAsia="Calibri"/>
          <w:i/>
          <w:iCs/>
        </w:rPr>
        <w:t>Early Intervention in Psychiatry, 11</w:t>
      </w:r>
      <w:r w:rsidRPr="00757D20">
        <w:rPr>
          <w:rFonts w:eastAsia="Calibri"/>
        </w:rPr>
        <w:t>, 277-289.</w:t>
      </w:r>
      <w:r w:rsidR="00DB2243" w:rsidRPr="00757D20">
        <w:rPr>
          <w:rFonts w:eastAsia="Calibri"/>
        </w:rPr>
        <w:t xml:space="preserve"> </w:t>
      </w:r>
      <w:hyperlink r:id="rId53" w:history="1">
        <w:r w:rsidR="00C07BCA" w:rsidRPr="00BC059C">
          <w:rPr>
            <w:rStyle w:val="Hyperlink"/>
            <w:rFonts w:eastAsia="Calibri"/>
          </w:rPr>
          <w:t>https://onlinelibrary.wiley.com/doi/pdf/10.1111/eip.12357</w:t>
        </w:r>
      </w:hyperlink>
      <w:r w:rsidR="00C07BCA">
        <w:rPr>
          <w:rFonts w:eastAsia="Calibri"/>
        </w:rPr>
        <w:t xml:space="preserve"> </w:t>
      </w:r>
    </w:p>
    <w:p w14:paraId="461692DD" w14:textId="2161AD50" w:rsidR="008E5E29" w:rsidRPr="00757D20" w:rsidRDefault="008E5E29" w:rsidP="00BF0B57">
      <w:pPr>
        <w:spacing w:before="120" w:after="120"/>
        <w:ind w:left="709" w:hanging="720"/>
        <w:rPr>
          <w:rFonts w:eastAsia="Calibri"/>
        </w:rPr>
      </w:pPr>
      <w:r w:rsidRPr="00757D20">
        <w:rPr>
          <w:rFonts w:eastAsia="Calibri"/>
        </w:rPr>
        <w:t xml:space="preserve">Bozkurt, V. &amp; Gursoy, D. (2023). The </w:t>
      </w:r>
      <w:r w:rsidR="00FF15C0" w:rsidRPr="00757D20">
        <w:rPr>
          <w:rFonts w:eastAsia="Calibri"/>
        </w:rPr>
        <w:t>a</w:t>
      </w:r>
      <w:r w:rsidRPr="00757D20">
        <w:rPr>
          <w:rFonts w:eastAsia="Calibri"/>
        </w:rPr>
        <w:t xml:space="preserve">rtificial </w:t>
      </w:r>
      <w:r w:rsidR="00FF15C0" w:rsidRPr="00757D20">
        <w:rPr>
          <w:rFonts w:eastAsia="Calibri"/>
        </w:rPr>
        <w:t>i</w:t>
      </w:r>
      <w:r w:rsidRPr="00757D20">
        <w:rPr>
          <w:rFonts w:eastAsia="Calibri"/>
        </w:rPr>
        <w:t xml:space="preserve">ntelligence </w:t>
      </w:r>
      <w:r w:rsidR="00FF15C0" w:rsidRPr="00757D20">
        <w:rPr>
          <w:rFonts w:eastAsia="Calibri"/>
        </w:rPr>
        <w:t>p</w:t>
      </w:r>
      <w:r w:rsidRPr="00757D20">
        <w:rPr>
          <w:rFonts w:eastAsia="Calibri"/>
        </w:rPr>
        <w:t xml:space="preserve">aradox: Opportunity or </w:t>
      </w:r>
      <w:r w:rsidR="00FF15C0" w:rsidRPr="00757D20">
        <w:rPr>
          <w:rFonts w:eastAsia="Calibri"/>
        </w:rPr>
        <w:t>t</w:t>
      </w:r>
      <w:r w:rsidRPr="00757D20">
        <w:rPr>
          <w:rFonts w:eastAsia="Calibri"/>
        </w:rPr>
        <w:t xml:space="preserve">hreat for </w:t>
      </w:r>
      <w:r w:rsidR="00FF15C0" w:rsidRPr="00757D20">
        <w:rPr>
          <w:rFonts w:eastAsia="Calibri"/>
        </w:rPr>
        <w:t>h</w:t>
      </w:r>
      <w:r w:rsidRPr="00757D20">
        <w:rPr>
          <w:rFonts w:eastAsia="Calibri"/>
        </w:rPr>
        <w:t xml:space="preserve">umanity? </w:t>
      </w:r>
      <w:r w:rsidRPr="00757D20">
        <w:rPr>
          <w:rFonts w:eastAsia="Calibri"/>
          <w:i/>
          <w:iCs/>
        </w:rPr>
        <w:t>International Journal of Human-Computer Interaction, 41</w:t>
      </w:r>
      <w:r w:rsidRPr="00757D20">
        <w:rPr>
          <w:rFonts w:eastAsia="Calibri"/>
        </w:rPr>
        <w:t xml:space="preserve">(1), 174-187. </w:t>
      </w:r>
      <w:hyperlink r:id="rId54" w:history="1">
        <w:r w:rsidR="00C07BCA" w:rsidRPr="00BC059C">
          <w:rPr>
            <w:rStyle w:val="Hyperlink"/>
            <w:rFonts w:eastAsia="Calibri"/>
          </w:rPr>
          <w:t>https://doi-org.ezproxy.newcastle.edu.au/10.1080/10447318.2023.2297114</w:t>
        </w:r>
      </w:hyperlink>
      <w:r w:rsidR="00C07BCA">
        <w:rPr>
          <w:rFonts w:eastAsia="Calibri"/>
        </w:rPr>
        <w:t xml:space="preserve"> </w:t>
      </w:r>
    </w:p>
    <w:p w14:paraId="6B0CF0AA" w14:textId="0E21400E" w:rsidR="008E5E29" w:rsidRPr="00757D20" w:rsidRDefault="008E5E29" w:rsidP="00BF0B57">
      <w:pPr>
        <w:spacing w:before="120" w:after="120"/>
        <w:ind w:left="709" w:hanging="720"/>
        <w:rPr>
          <w:rFonts w:eastAsia="Calibri"/>
        </w:rPr>
      </w:pPr>
      <w:r w:rsidRPr="00757D20">
        <w:rPr>
          <w:rFonts w:eastAsia="Calibri"/>
        </w:rPr>
        <w:t xml:space="preserve">Bradley, D., Noonan, P., Nugent, H., &amp; Scales, B. (2008). </w:t>
      </w:r>
      <w:r w:rsidRPr="00757D20">
        <w:rPr>
          <w:rFonts w:eastAsia="Calibri"/>
          <w:i/>
          <w:iCs/>
        </w:rPr>
        <w:t>Review of Australian higher education: Final report</w:t>
      </w:r>
      <w:r w:rsidRPr="00757D20">
        <w:rPr>
          <w:rFonts w:eastAsia="Calibri"/>
        </w:rPr>
        <w:t xml:space="preserve">. </w:t>
      </w:r>
      <w:hyperlink r:id="rId55" w:history="1">
        <w:r w:rsidRPr="002B713F">
          <w:rPr>
            <w:rStyle w:val="Hyperlink"/>
          </w:rPr>
          <w:t>http://hdl.voced.edu.au/10707/44384</w:t>
        </w:r>
      </w:hyperlink>
      <w:r w:rsidR="00C07BCA">
        <w:t xml:space="preserve">  </w:t>
      </w:r>
    </w:p>
    <w:p w14:paraId="6A79956D" w14:textId="17FA971C" w:rsidR="008E5E29" w:rsidRPr="00757D20" w:rsidRDefault="008E5E29" w:rsidP="00BF0B57">
      <w:pPr>
        <w:spacing w:before="120" w:after="120"/>
        <w:ind w:left="709" w:hanging="720"/>
      </w:pPr>
      <w:r w:rsidRPr="00757D20">
        <w:t xml:space="preserve">Cairns, D., </w:t>
      </w:r>
      <w:proofErr w:type="spellStart"/>
      <w:r w:rsidRPr="00757D20">
        <w:t>Growiec</w:t>
      </w:r>
      <w:proofErr w:type="spellEnd"/>
      <w:r w:rsidRPr="00757D20">
        <w:t>, K., &amp; de Almeida Alves, N. (2014). Another ‘</w:t>
      </w:r>
      <w:r w:rsidR="00F1306B" w:rsidRPr="00757D20">
        <w:t>m</w:t>
      </w:r>
      <w:r w:rsidRPr="00757D20">
        <w:t xml:space="preserve">issing </w:t>
      </w:r>
      <w:r w:rsidR="00F1306B" w:rsidRPr="00757D20">
        <w:t>m</w:t>
      </w:r>
      <w:r w:rsidRPr="00757D20">
        <w:t xml:space="preserve">iddle’? </w:t>
      </w:r>
      <w:proofErr w:type="gramStart"/>
      <w:r w:rsidRPr="00757D20">
        <w:t>The marginalised majority of</w:t>
      </w:r>
      <w:proofErr w:type="gramEnd"/>
      <w:r w:rsidRPr="00757D20">
        <w:t xml:space="preserve"> tertiary-educated youth in Portugal during the economic crisis. </w:t>
      </w:r>
      <w:r w:rsidRPr="00757D20">
        <w:rPr>
          <w:i/>
          <w:iCs/>
        </w:rPr>
        <w:t>Journal of Youth Studies, 17</w:t>
      </w:r>
      <w:r w:rsidRPr="00757D20">
        <w:t xml:space="preserve">(8). </w:t>
      </w:r>
      <w:hyperlink r:id="rId56" w:history="1">
        <w:r w:rsidR="00C07BCA" w:rsidRPr="00BC059C">
          <w:rPr>
            <w:rStyle w:val="Hyperlink"/>
          </w:rPr>
          <w:t>https://doi.org/10.1080/13676261.2013.878789</w:t>
        </w:r>
      </w:hyperlink>
      <w:r w:rsidR="00C07BCA">
        <w:t xml:space="preserve"> </w:t>
      </w:r>
      <w:r w:rsidRPr="00757D20">
        <w:t xml:space="preserve"> </w:t>
      </w:r>
    </w:p>
    <w:p w14:paraId="5566778C" w14:textId="0E0D60FE" w:rsidR="008E5E29" w:rsidRPr="00757D20" w:rsidRDefault="008E5E29" w:rsidP="00BF0B57">
      <w:pPr>
        <w:spacing w:before="120" w:after="120"/>
        <w:ind w:left="709" w:hanging="720"/>
      </w:pPr>
      <w:r w:rsidRPr="00757D20">
        <w:t xml:space="preserve">Campbell, C. (2018). </w:t>
      </w:r>
      <w:proofErr w:type="spellStart"/>
      <w:r w:rsidRPr="00757D20">
        <w:rPr>
          <w:i/>
          <w:iCs/>
        </w:rPr>
        <w:t>Residualised</w:t>
      </w:r>
      <w:proofErr w:type="spellEnd"/>
      <w:r w:rsidRPr="00757D20">
        <w:rPr>
          <w:i/>
          <w:iCs/>
        </w:rPr>
        <w:t xml:space="preserve"> public schooling: The case of Mount Druitt High School</w:t>
      </w:r>
      <w:r w:rsidRPr="00757D20">
        <w:t xml:space="preserve">. DENANZ. </w:t>
      </w:r>
      <w:hyperlink r:id="rId57" w:history="1">
        <w:r w:rsidR="00C07BCA" w:rsidRPr="00BC059C">
          <w:rPr>
            <w:rStyle w:val="Hyperlink"/>
          </w:rPr>
          <w:t>https://dehanz.net.au/entries/residualised-public-schooling-the-case-of-mount-druitt-high-school/</w:t>
        </w:r>
      </w:hyperlink>
      <w:r w:rsidR="00C07BCA">
        <w:t xml:space="preserve"> </w:t>
      </w:r>
    </w:p>
    <w:p w14:paraId="570526DA" w14:textId="25964AF3" w:rsidR="008E5E29" w:rsidRPr="00757D20" w:rsidRDefault="008E5E29" w:rsidP="00BF0B57">
      <w:pPr>
        <w:spacing w:before="120" w:after="120"/>
        <w:ind w:left="709" w:hanging="720"/>
        <w:rPr>
          <w:rFonts w:eastAsia="Calibri"/>
        </w:rPr>
      </w:pPr>
      <w:r w:rsidRPr="00757D20">
        <w:rPr>
          <w:rFonts w:eastAsia="Calibri"/>
        </w:rPr>
        <w:t xml:space="preserve">Cassidy, C. (2023, March 5). Urgent calls to end compulsory unpaid internships as students forced to quit due to cost of living. </w:t>
      </w:r>
      <w:r w:rsidRPr="00757D20">
        <w:rPr>
          <w:rFonts w:eastAsia="Calibri"/>
          <w:i/>
          <w:iCs/>
        </w:rPr>
        <w:t>The Guardian</w:t>
      </w:r>
      <w:r w:rsidRPr="00757D20">
        <w:rPr>
          <w:rFonts w:eastAsia="Calibri"/>
        </w:rPr>
        <w:t xml:space="preserve">. </w:t>
      </w:r>
      <w:hyperlink r:id="rId58" w:history="1">
        <w:r w:rsidR="00C07BCA" w:rsidRPr="00BC059C">
          <w:rPr>
            <w:rStyle w:val="Hyperlink"/>
            <w:rFonts w:eastAsia="Calibri"/>
          </w:rPr>
          <w:t>https://www.theguardian.com/australia-news/2023/mar/05/urgent-calls-to-end-compulsory-unpaid-internships-as-students-forced-to-quit-due-to-cost-of-living</w:t>
        </w:r>
      </w:hyperlink>
      <w:r w:rsidR="00C07BCA">
        <w:rPr>
          <w:rFonts w:eastAsia="Calibri"/>
        </w:rPr>
        <w:t xml:space="preserve"> </w:t>
      </w:r>
    </w:p>
    <w:p w14:paraId="7BB04FBC" w14:textId="435E35AA" w:rsidR="008E5E29" w:rsidRPr="00757D20" w:rsidRDefault="008E5E29" w:rsidP="00BF0B57">
      <w:pPr>
        <w:spacing w:before="120" w:after="120"/>
        <w:ind w:left="709" w:hanging="720"/>
        <w:rPr>
          <w:rFonts w:eastAsia="Calibri"/>
        </w:rPr>
      </w:pPr>
      <w:r w:rsidRPr="00757D20">
        <w:rPr>
          <w:rFonts w:eastAsia="Calibri"/>
        </w:rPr>
        <w:t xml:space="preserve">Catalano, A. J., </w:t>
      </w:r>
      <w:proofErr w:type="spellStart"/>
      <w:r w:rsidRPr="00757D20">
        <w:rPr>
          <w:rFonts w:eastAsia="Calibri"/>
        </w:rPr>
        <w:t>Torff</w:t>
      </w:r>
      <w:proofErr w:type="spellEnd"/>
      <w:r w:rsidRPr="00757D20">
        <w:rPr>
          <w:rFonts w:eastAsia="Calibri"/>
        </w:rPr>
        <w:t>, B. &amp; Anderson, K. S. (2021). Transitioning to online learning during the C</w:t>
      </w:r>
      <w:r w:rsidR="002A2C25" w:rsidRPr="00757D20">
        <w:rPr>
          <w:rFonts w:eastAsia="Calibri"/>
        </w:rPr>
        <w:t>ovid</w:t>
      </w:r>
      <w:r w:rsidRPr="00757D20">
        <w:rPr>
          <w:rFonts w:eastAsia="Calibri"/>
        </w:rPr>
        <w:t xml:space="preserve">-19 pandemic: </w:t>
      </w:r>
      <w:r w:rsidR="002A2C25" w:rsidRPr="00757D20">
        <w:rPr>
          <w:rFonts w:eastAsia="Calibri"/>
        </w:rPr>
        <w:t>D</w:t>
      </w:r>
      <w:r w:rsidRPr="00757D20">
        <w:rPr>
          <w:rFonts w:eastAsia="Calibri"/>
        </w:rPr>
        <w:t xml:space="preserve">ifferences in access and participation among students in disadvantaged school districts. </w:t>
      </w:r>
      <w:r w:rsidRPr="00757D20">
        <w:rPr>
          <w:rFonts w:eastAsia="Calibri"/>
          <w:i/>
          <w:iCs/>
        </w:rPr>
        <w:t>International Journal of Information and Learning Technology, 38</w:t>
      </w:r>
      <w:r w:rsidRPr="00757D20">
        <w:rPr>
          <w:rFonts w:eastAsia="Calibri"/>
        </w:rPr>
        <w:t>(2), 258-270.</w:t>
      </w:r>
      <w:r w:rsidR="0040439E" w:rsidRPr="00757D20">
        <w:rPr>
          <w:rFonts w:eastAsia="Calibri"/>
        </w:rPr>
        <w:t xml:space="preserve"> </w:t>
      </w:r>
      <w:hyperlink r:id="rId59" w:tooltip="DOI: https://doi.org/10.1108/IJILT-06-2020-0111" w:history="1">
        <w:r w:rsidR="0040439E" w:rsidRPr="002B713F">
          <w:rPr>
            <w:rStyle w:val="Hyperlink"/>
          </w:rPr>
          <w:t>https://doi.org/10.1108/IJILT-06-2020-0111</w:t>
        </w:r>
      </w:hyperlink>
      <w:r w:rsidR="00C07BCA">
        <w:t xml:space="preserve"> </w:t>
      </w:r>
    </w:p>
    <w:p w14:paraId="35EFD7A2" w14:textId="0960459C" w:rsidR="008E5E29" w:rsidRPr="00757D20" w:rsidRDefault="008E5E29" w:rsidP="00BF0B57">
      <w:pPr>
        <w:spacing w:before="120" w:after="120"/>
        <w:ind w:left="709" w:hanging="720"/>
        <w:rPr>
          <w:rFonts w:eastAsia="Calibri"/>
        </w:rPr>
      </w:pPr>
      <w:r w:rsidRPr="00757D20">
        <w:rPr>
          <w:rFonts w:eastAsia="Calibri"/>
        </w:rPr>
        <w:t xml:space="preserve">Chateau, J. &amp; Saint-Martin, A. (2013). Economic and employment impacts of climate change mitigation policies in OECD: A general-equilibrium perspective. </w:t>
      </w:r>
      <w:r w:rsidRPr="00757D20">
        <w:rPr>
          <w:rFonts w:eastAsia="Calibri"/>
          <w:i/>
          <w:iCs/>
        </w:rPr>
        <w:t>International Economics, 135-136</w:t>
      </w:r>
      <w:r w:rsidRPr="00757D20">
        <w:rPr>
          <w:rFonts w:eastAsia="Calibri"/>
        </w:rPr>
        <w:t xml:space="preserve">, 79-103. </w:t>
      </w:r>
      <w:hyperlink r:id="rId60" w:history="1">
        <w:r w:rsidR="00C07BCA" w:rsidRPr="00BC059C">
          <w:rPr>
            <w:rStyle w:val="Hyperlink"/>
            <w:rFonts w:eastAsia="Calibri"/>
          </w:rPr>
          <w:t>https://doi.org/10.1016/j.inteco.2013.08.001</w:t>
        </w:r>
      </w:hyperlink>
      <w:r w:rsidR="00C07BCA">
        <w:rPr>
          <w:rFonts w:eastAsia="Calibri"/>
        </w:rPr>
        <w:t xml:space="preserve"> </w:t>
      </w:r>
    </w:p>
    <w:p w14:paraId="4D3030E7" w14:textId="77777777" w:rsidR="008E5E29" w:rsidRPr="00757D20" w:rsidRDefault="008E5E29" w:rsidP="00BF0B57">
      <w:pPr>
        <w:spacing w:before="120" w:after="120"/>
        <w:ind w:left="709" w:hanging="720"/>
        <w:rPr>
          <w:rFonts w:eastAsia="Calibri"/>
        </w:rPr>
      </w:pPr>
      <w:r w:rsidRPr="00757D20">
        <w:rPr>
          <w:rFonts w:eastAsia="Calibri"/>
        </w:rPr>
        <w:t xml:space="preserve">Coleman, A., (2022). </w:t>
      </w:r>
      <w:r w:rsidRPr="00757D20">
        <w:rPr>
          <w:rFonts w:eastAsia="Calibri"/>
          <w:i/>
          <w:iCs/>
        </w:rPr>
        <w:t>Class, place, and higher education: Experiences of homely mobility</w:t>
      </w:r>
      <w:r w:rsidRPr="00757D20">
        <w:rPr>
          <w:rFonts w:eastAsia="Calibri"/>
        </w:rPr>
        <w:t>. Bloomsbury Collections.</w:t>
      </w:r>
    </w:p>
    <w:p w14:paraId="4CD0D998" w14:textId="3383EED3" w:rsidR="008E5E29" w:rsidRPr="00757D20" w:rsidRDefault="008E5E29" w:rsidP="00BF0B57">
      <w:pPr>
        <w:spacing w:before="120" w:after="120"/>
        <w:ind w:left="709" w:hanging="720"/>
        <w:rPr>
          <w:rFonts w:eastAsia="Calibri"/>
        </w:rPr>
      </w:pPr>
      <w:r w:rsidRPr="00757D20">
        <w:rPr>
          <w:rFonts w:eastAsia="Calibri"/>
        </w:rPr>
        <w:t xml:space="preserve">Colombo, E. &amp; </w:t>
      </w:r>
      <w:proofErr w:type="spellStart"/>
      <w:r w:rsidRPr="00757D20">
        <w:rPr>
          <w:rFonts w:eastAsia="Calibri"/>
        </w:rPr>
        <w:t>Rebughini</w:t>
      </w:r>
      <w:proofErr w:type="spellEnd"/>
      <w:r w:rsidRPr="00757D20">
        <w:rPr>
          <w:rFonts w:eastAsia="Calibri"/>
        </w:rPr>
        <w:t xml:space="preserve">, P. (2019). A complex uncertainty: </w:t>
      </w:r>
      <w:r w:rsidR="002A3396" w:rsidRPr="00757D20">
        <w:rPr>
          <w:rFonts w:eastAsia="Calibri"/>
        </w:rPr>
        <w:t>Y</w:t>
      </w:r>
      <w:r w:rsidRPr="00757D20">
        <w:rPr>
          <w:rFonts w:eastAsia="Calibri"/>
        </w:rPr>
        <w:t xml:space="preserve">oung people in the riddle of the present. In E. Colombo &amp; P. </w:t>
      </w:r>
      <w:proofErr w:type="spellStart"/>
      <w:r w:rsidRPr="00757D20">
        <w:rPr>
          <w:rFonts w:eastAsia="Calibri"/>
        </w:rPr>
        <w:t>Rebughini</w:t>
      </w:r>
      <w:proofErr w:type="spellEnd"/>
      <w:r w:rsidRPr="00757D20">
        <w:rPr>
          <w:rFonts w:eastAsia="Calibri"/>
        </w:rPr>
        <w:t xml:space="preserve"> (Eds.), </w:t>
      </w:r>
      <w:r w:rsidRPr="00757D20">
        <w:rPr>
          <w:rFonts w:eastAsia="Calibri"/>
          <w:i/>
          <w:iCs/>
        </w:rPr>
        <w:t xml:space="preserve">Youth and the </w:t>
      </w:r>
      <w:r w:rsidR="002A2C25" w:rsidRPr="00757D20">
        <w:rPr>
          <w:rFonts w:eastAsia="Calibri"/>
          <w:i/>
          <w:iCs/>
        </w:rPr>
        <w:t>p</w:t>
      </w:r>
      <w:r w:rsidRPr="00757D20">
        <w:rPr>
          <w:rFonts w:eastAsia="Calibri"/>
          <w:i/>
          <w:iCs/>
        </w:rPr>
        <w:t xml:space="preserve">olitics of the </w:t>
      </w:r>
      <w:r w:rsidR="002A2C25" w:rsidRPr="00757D20">
        <w:rPr>
          <w:rFonts w:eastAsia="Calibri"/>
          <w:i/>
          <w:iCs/>
        </w:rPr>
        <w:t>p</w:t>
      </w:r>
      <w:r w:rsidRPr="00757D20">
        <w:rPr>
          <w:rFonts w:eastAsia="Calibri"/>
          <w:i/>
          <w:iCs/>
        </w:rPr>
        <w:t xml:space="preserve">resent: Coping with </w:t>
      </w:r>
      <w:r w:rsidR="002A2C25" w:rsidRPr="00757D20">
        <w:rPr>
          <w:rFonts w:eastAsia="Calibri"/>
          <w:i/>
          <w:iCs/>
        </w:rPr>
        <w:t>c</w:t>
      </w:r>
      <w:r w:rsidRPr="00757D20">
        <w:rPr>
          <w:rFonts w:eastAsia="Calibri"/>
          <w:i/>
          <w:iCs/>
        </w:rPr>
        <w:t xml:space="preserve">omplexity and </w:t>
      </w:r>
      <w:r w:rsidR="002A2C25" w:rsidRPr="00757D20">
        <w:rPr>
          <w:rFonts w:eastAsia="Calibri"/>
          <w:i/>
          <w:iCs/>
        </w:rPr>
        <w:t>a</w:t>
      </w:r>
      <w:r w:rsidRPr="00757D20">
        <w:rPr>
          <w:rFonts w:eastAsia="Calibri"/>
          <w:i/>
          <w:iCs/>
        </w:rPr>
        <w:t xml:space="preserve">mbivalence </w:t>
      </w:r>
      <w:r w:rsidRPr="00757D20">
        <w:rPr>
          <w:rFonts w:eastAsia="Calibri"/>
        </w:rPr>
        <w:t>(pp. 1-16). Routledge.</w:t>
      </w:r>
    </w:p>
    <w:p w14:paraId="03388798" w14:textId="4B5EE98E" w:rsidR="008E5E29" w:rsidRPr="00757D20" w:rsidRDefault="008E5E29" w:rsidP="00BF0B57">
      <w:pPr>
        <w:spacing w:before="120" w:after="120"/>
        <w:ind w:left="709" w:hanging="720"/>
      </w:pPr>
      <w:r w:rsidRPr="00757D20">
        <w:t xml:space="preserve">Cooper, E., &amp; Pratten, D. (2015). Ethnographies of </w:t>
      </w:r>
      <w:r w:rsidR="002A3396" w:rsidRPr="00757D20">
        <w:t>u</w:t>
      </w:r>
      <w:r w:rsidRPr="00757D20">
        <w:t xml:space="preserve">ncertainty in Africa: An </w:t>
      </w:r>
      <w:r w:rsidR="002A3396" w:rsidRPr="00757D20">
        <w:t>i</w:t>
      </w:r>
      <w:r w:rsidRPr="00757D20">
        <w:t xml:space="preserve">ntroduction. In: E. Cooper &amp; D. Pratten (Eds.), </w:t>
      </w:r>
      <w:r w:rsidRPr="00757D20">
        <w:rPr>
          <w:i/>
          <w:iCs/>
        </w:rPr>
        <w:t xml:space="preserve">Ethnographies of </w:t>
      </w:r>
      <w:r w:rsidR="003A394A" w:rsidRPr="00757D20">
        <w:rPr>
          <w:i/>
          <w:iCs/>
        </w:rPr>
        <w:t>U</w:t>
      </w:r>
      <w:r w:rsidRPr="00757D20">
        <w:rPr>
          <w:i/>
          <w:iCs/>
        </w:rPr>
        <w:t>ncertainty in Africa</w:t>
      </w:r>
      <w:r w:rsidRPr="00757D20">
        <w:t xml:space="preserve"> (pp. 1-16). Palgrave Macmillan. </w:t>
      </w:r>
      <w:hyperlink r:id="rId61" w:history="1">
        <w:r w:rsidR="00C07BCA" w:rsidRPr="00BC059C">
          <w:rPr>
            <w:rStyle w:val="Hyperlink"/>
          </w:rPr>
          <w:t>https://doi.org/10.1057/9781137350831_1</w:t>
        </w:r>
      </w:hyperlink>
      <w:r w:rsidR="00C07BCA">
        <w:t xml:space="preserve"> </w:t>
      </w:r>
      <w:r w:rsidRPr="00757D20">
        <w:t xml:space="preserve"> </w:t>
      </w:r>
    </w:p>
    <w:p w14:paraId="2AB690DC" w14:textId="0E7B85A8" w:rsidR="008E5E29" w:rsidRPr="00757D20" w:rsidRDefault="008E5E29" w:rsidP="00BF0B57">
      <w:pPr>
        <w:spacing w:before="120" w:after="120"/>
        <w:ind w:left="709" w:hanging="720"/>
      </w:pPr>
      <w:r w:rsidRPr="00757D20">
        <w:lastRenderedPageBreak/>
        <w:t xml:space="preserve">Cooper, G., Baglin, J., &amp; Strathdee, R. (2017). </w:t>
      </w:r>
      <w:r w:rsidRPr="00757D20">
        <w:rPr>
          <w:i/>
          <w:iCs/>
        </w:rPr>
        <w:t>Access to higher education: Does distance impact students' intentions to attend university?</w:t>
      </w:r>
      <w:r w:rsidRPr="00757D20">
        <w:t xml:space="preserve"> </w:t>
      </w:r>
      <w:hyperlink r:id="rId62" w:history="1">
        <w:r w:rsidR="00C07BCA" w:rsidRPr="00BC059C">
          <w:rPr>
            <w:rStyle w:val="Hyperlink"/>
          </w:rPr>
          <w:t>https://www.ncsehe.edu.au/publications/access-to-higher-education-does-distance-impact-students-intentions-to-attend-university/</w:t>
        </w:r>
      </w:hyperlink>
      <w:r w:rsidR="00C07BCA">
        <w:t xml:space="preserve"> </w:t>
      </w:r>
    </w:p>
    <w:p w14:paraId="38E01C12" w14:textId="293AE77C" w:rsidR="008E5E29" w:rsidRPr="00757D20" w:rsidRDefault="008E5E29" w:rsidP="00BF0B57">
      <w:pPr>
        <w:spacing w:before="120" w:after="120"/>
        <w:ind w:left="709" w:hanging="720"/>
        <w:rPr>
          <w:rFonts w:eastAsia="Calibri"/>
        </w:rPr>
      </w:pPr>
      <w:proofErr w:type="spellStart"/>
      <w:r w:rsidRPr="00757D20">
        <w:rPr>
          <w:rFonts w:eastAsia="Calibri"/>
        </w:rPr>
        <w:t>Cotofan</w:t>
      </w:r>
      <w:proofErr w:type="spellEnd"/>
      <w:r w:rsidRPr="00757D20">
        <w:rPr>
          <w:rFonts w:eastAsia="Calibri"/>
        </w:rPr>
        <w:t xml:space="preserve">, M., De Neve, J. Golin, M., Kaats, M. &amp; Ward, G. (2021). Work and </w:t>
      </w:r>
      <w:r w:rsidR="006972E4" w:rsidRPr="00757D20">
        <w:rPr>
          <w:rFonts w:eastAsia="Calibri"/>
        </w:rPr>
        <w:t>w</w:t>
      </w:r>
      <w:r w:rsidRPr="00757D20">
        <w:rPr>
          <w:rFonts w:eastAsia="Calibri"/>
        </w:rPr>
        <w:t>ell-being during C</w:t>
      </w:r>
      <w:r w:rsidR="00C721DE" w:rsidRPr="00757D20">
        <w:rPr>
          <w:rFonts w:eastAsia="Calibri"/>
        </w:rPr>
        <w:t>ovid</w:t>
      </w:r>
      <w:r w:rsidRPr="00757D20">
        <w:rPr>
          <w:rFonts w:eastAsia="Calibri"/>
        </w:rPr>
        <w:t xml:space="preserve">-19: Impact, </w:t>
      </w:r>
      <w:r w:rsidR="006972E4" w:rsidRPr="00757D20">
        <w:rPr>
          <w:rFonts w:eastAsia="Calibri"/>
        </w:rPr>
        <w:t>i</w:t>
      </w:r>
      <w:r w:rsidRPr="00757D20">
        <w:rPr>
          <w:rFonts w:eastAsia="Calibri"/>
        </w:rPr>
        <w:t xml:space="preserve">nequalities, </w:t>
      </w:r>
      <w:r w:rsidR="006972E4" w:rsidRPr="00757D20">
        <w:rPr>
          <w:rFonts w:eastAsia="Calibri"/>
        </w:rPr>
        <w:t>r</w:t>
      </w:r>
      <w:r w:rsidRPr="00757D20">
        <w:rPr>
          <w:rFonts w:eastAsia="Calibri"/>
        </w:rPr>
        <w:t xml:space="preserve">esilience and the </w:t>
      </w:r>
      <w:r w:rsidR="006972E4" w:rsidRPr="00757D20">
        <w:rPr>
          <w:rFonts w:eastAsia="Calibri"/>
        </w:rPr>
        <w:t>f</w:t>
      </w:r>
      <w:r w:rsidRPr="00757D20">
        <w:rPr>
          <w:rFonts w:eastAsia="Calibri"/>
        </w:rPr>
        <w:t xml:space="preserve">uture of </w:t>
      </w:r>
      <w:r w:rsidR="006972E4" w:rsidRPr="00757D20">
        <w:rPr>
          <w:rFonts w:eastAsia="Calibri"/>
        </w:rPr>
        <w:t>w</w:t>
      </w:r>
      <w:r w:rsidRPr="00757D20">
        <w:rPr>
          <w:rFonts w:eastAsia="Calibri"/>
        </w:rPr>
        <w:t xml:space="preserve">ork. In J.F. Helliwell, R. Layard, J.D. Sachs, J. De Neve, L.B. Aknin &amp; </w:t>
      </w:r>
      <w:proofErr w:type="spellStart"/>
      <w:proofErr w:type="gramStart"/>
      <w:r w:rsidRPr="00757D20">
        <w:rPr>
          <w:rFonts w:eastAsia="Calibri"/>
        </w:rPr>
        <w:t>S.Wang</w:t>
      </w:r>
      <w:proofErr w:type="spellEnd"/>
      <w:proofErr w:type="gramEnd"/>
      <w:r w:rsidRPr="00757D20">
        <w:rPr>
          <w:rFonts w:eastAsia="Calibri"/>
        </w:rPr>
        <w:t xml:space="preserve"> (Eds.), </w:t>
      </w:r>
      <w:r w:rsidRPr="00757D20">
        <w:rPr>
          <w:rFonts w:eastAsia="Calibri"/>
          <w:i/>
          <w:iCs/>
        </w:rPr>
        <w:t>World Happiness Report</w:t>
      </w:r>
      <w:r w:rsidRPr="00757D20">
        <w:rPr>
          <w:rFonts w:eastAsia="Calibri"/>
        </w:rPr>
        <w:t xml:space="preserve"> (pp. 153-190). </w:t>
      </w:r>
      <w:hyperlink r:id="rId63" w:history="1">
        <w:r w:rsidRPr="002B713F">
          <w:rPr>
            <w:rStyle w:val="Hyperlink"/>
          </w:rPr>
          <w:t>https://worldhappiness.report/ed/2021/</w:t>
        </w:r>
      </w:hyperlink>
      <w:r w:rsidR="00C07BCA">
        <w:t xml:space="preserve"> </w:t>
      </w:r>
    </w:p>
    <w:p w14:paraId="08A1A859" w14:textId="48519DD6" w:rsidR="008E5E29" w:rsidRPr="00757D20" w:rsidRDefault="008E5E29" w:rsidP="00BF0B57">
      <w:pPr>
        <w:spacing w:before="120" w:after="120"/>
        <w:ind w:left="709" w:hanging="720"/>
        <w:rPr>
          <w:rFonts w:eastAsia="Calibri"/>
        </w:rPr>
      </w:pPr>
      <w:r w:rsidRPr="00757D20">
        <w:rPr>
          <w:rFonts w:eastAsia="Calibri"/>
        </w:rPr>
        <w:t xml:space="preserve">Cowley-Cunningham, M., Carey, A. &amp; Rogers, E. (2023). The </w:t>
      </w:r>
      <w:r w:rsidR="007474E0" w:rsidRPr="00757D20">
        <w:rPr>
          <w:rFonts w:eastAsia="Calibri"/>
        </w:rPr>
        <w:t>c</w:t>
      </w:r>
      <w:r w:rsidRPr="00757D20">
        <w:rPr>
          <w:rFonts w:eastAsia="Calibri"/>
        </w:rPr>
        <w:t xml:space="preserve">limate </w:t>
      </w:r>
      <w:r w:rsidR="007474E0" w:rsidRPr="00757D20">
        <w:rPr>
          <w:rFonts w:eastAsia="Calibri"/>
        </w:rPr>
        <w:t>c</w:t>
      </w:r>
      <w:r w:rsidRPr="00757D20">
        <w:rPr>
          <w:rFonts w:eastAsia="Calibri"/>
        </w:rPr>
        <w:t xml:space="preserve">risis, </w:t>
      </w:r>
      <w:r w:rsidR="007474E0" w:rsidRPr="00757D20">
        <w:rPr>
          <w:rFonts w:eastAsia="Calibri"/>
        </w:rPr>
        <w:t>c</w:t>
      </w:r>
      <w:r w:rsidRPr="00757D20">
        <w:rPr>
          <w:rFonts w:eastAsia="Calibri"/>
        </w:rPr>
        <w:t xml:space="preserve">limate </w:t>
      </w:r>
      <w:r w:rsidR="007474E0" w:rsidRPr="00757D20">
        <w:rPr>
          <w:rFonts w:eastAsia="Calibri"/>
        </w:rPr>
        <w:t>a</w:t>
      </w:r>
      <w:r w:rsidRPr="00757D20">
        <w:rPr>
          <w:rFonts w:eastAsia="Calibri"/>
        </w:rPr>
        <w:t xml:space="preserve">nxiety and </w:t>
      </w:r>
      <w:r w:rsidR="007474E0" w:rsidRPr="00757D20">
        <w:rPr>
          <w:rFonts w:eastAsia="Calibri"/>
        </w:rPr>
        <w:t>c</w:t>
      </w:r>
      <w:r w:rsidRPr="00757D20">
        <w:rPr>
          <w:rFonts w:eastAsia="Calibri"/>
        </w:rPr>
        <w:t xml:space="preserve">hildren’s </w:t>
      </w:r>
      <w:r w:rsidR="007474E0" w:rsidRPr="00757D20">
        <w:rPr>
          <w:rFonts w:eastAsia="Calibri"/>
        </w:rPr>
        <w:t>r</w:t>
      </w:r>
      <w:r w:rsidRPr="00757D20">
        <w:rPr>
          <w:rFonts w:eastAsia="Calibri"/>
        </w:rPr>
        <w:t xml:space="preserve">ights: A </w:t>
      </w:r>
      <w:r w:rsidR="007474E0" w:rsidRPr="00757D20">
        <w:rPr>
          <w:rFonts w:eastAsia="Calibri"/>
        </w:rPr>
        <w:t>p</w:t>
      </w:r>
      <w:r w:rsidRPr="00757D20">
        <w:rPr>
          <w:rFonts w:eastAsia="Calibri"/>
        </w:rPr>
        <w:t xml:space="preserve">sychological </w:t>
      </w:r>
      <w:r w:rsidR="007474E0" w:rsidRPr="00757D20">
        <w:rPr>
          <w:rFonts w:eastAsia="Calibri"/>
        </w:rPr>
        <w:t>p</w:t>
      </w:r>
      <w:r w:rsidRPr="00757D20">
        <w:rPr>
          <w:rFonts w:eastAsia="Calibri"/>
        </w:rPr>
        <w:t xml:space="preserve">erspective on </w:t>
      </w:r>
      <w:r w:rsidR="007474E0" w:rsidRPr="00757D20">
        <w:rPr>
          <w:rFonts w:eastAsia="Calibri"/>
        </w:rPr>
        <w:t>h</w:t>
      </w:r>
      <w:r w:rsidRPr="00757D20">
        <w:rPr>
          <w:rFonts w:eastAsia="Calibri"/>
        </w:rPr>
        <w:t xml:space="preserve">uman </w:t>
      </w:r>
      <w:r w:rsidR="007474E0" w:rsidRPr="00757D20">
        <w:rPr>
          <w:rFonts w:eastAsia="Calibri"/>
        </w:rPr>
        <w:t>h</w:t>
      </w:r>
      <w:r w:rsidRPr="00757D20">
        <w:rPr>
          <w:rFonts w:eastAsia="Calibri"/>
        </w:rPr>
        <w:t xml:space="preserve">ealth and </w:t>
      </w:r>
      <w:r w:rsidR="007474E0" w:rsidRPr="00757D20">
        <w:rPr>
          <w:rFonts w:eastAsia="Calibri"/>
        </w:rPr>
        <w:t>s</w:t>
      </w:r>
      <w:r w:rsidRPr="00757D20">
        <w:rPr>
          <w:rFonts w:eastAsia="Calibri"/>
        </w:rPr>
        <w:t xml:space="preserve">ecurity. </w:t>
      </w:r>
      <w:r w:rsidRPr="00757D20">
        <w:rPr>
          <w:rFonts w:eastAsia="Calibri"/>
          <w:i/>
          <w:iCs/>
        </w:rPr>
        <w:t>Irish Studies in International Affairs, 34</w:t>
      </w:r>
      <w:r w:rsidRPr="00757D20">
        <w:rPr>
          <w:rFonts w:eastAsia="Calibri"/>
        </w:rPr>
        <w:t xml:space="preserve">(1), 111–123. </w:t>
      </w:r>
      <w:hyperlink r:id="rId64" w:history="1">
        <w:r w:rsidR="00C07BCA" w:rsidRPr="00BC059C">
          <w:rPr>
            <w:rStyle w:val="Hyperlink"/>
            <w:rFonts w:eastAsia="Calibri"/>
          </w:rPr>
          <w:t>http://doi.org/10.1353/isia.2023.a918358</w:t>
        </w:r>
      </w:hyperlink>
      <w:r w:rsidR="00C07BCA">
        <w:rPr>
          <w:rFonts w:eastAsia="Calibri"/>
        </w:rPr>
        <w:t xml:space="preserve"> </w:t>
      </w:r>
    </w:p>
    <w:p w14:paraId="65303310" w14:textId="41535479" w:rsidR="008E5E29" w:rsidRPr="00757D20" w:rsidRDefault="008E5E29" w:rsidP="00BF0B57">
      <w:pPr>
        <w:spacing w:before="120" w:after="120"/>
        <w:ind w:left="709" w:hanging="720"/>
      </w:pPr>
      <w:r w:rsidRPr="00757D20">
        <w:t xml:space="preserve">Creswell, J. W. (2013). </w:t>
      </w:r>
      <w:r w:rsidRPr="00757D20">
        <w:rPr>
          <w:i/>
          <w:iCs/>
        </w:rPr>
        <w:t xml:space="preserve">Qualitative </w:t>
      </w:r>
      <w:r w:rsidR="000822B1" w:rsidRPr="00757D20">
        <w:rPr>
          <w:i/>
          <w:iCs/>
        </w:rPr>
        <w:t>i</w:t>
      </w:r>
      <w:r w:rsidRPr="00757D20">
        <w:rPr>
          <w:i/>
          <w:iCs/>
        </w:rPr>
        <w:t xml:space="preserve">nquiry and </w:t>
      </w:r>
      <w:r w:rsidR="000822B1" w:rsidRPr="00757D20">
        <w:rPr>
          <w:i/>
          <w:iCs/>
        </w:rPr>
        <w:t>r</w:t>
      </w:r>
      <w:r w:rsidRPr="00757D20">
        <w:rPr>
          <w:i/>
          <w:iCs/>
        </w:rPr>
        <w:t xml:space="preserve">esearch </w:t>
      </w:r>
      <w:r w:rsidR="000822B1" w:rsidRPr="00757D20">
        <w:rPr>
          <w:i/>
          <w:iCs/>
        </w:rPr>
        <w:t>d</w:t>
      </w:r>
      <w:r w:rsidRPr="00757D20">
        <w:rPr>
          <w:i/>
          <w:iCs/>
        </w:rPr>
        <w:t>esign</w:t>
      </w:r>
      <w:r w:rsidRPr="00757D20">
        <w:t xml:space="preserve">. Sage. </w:t>
      </w:r>
      <w:hyperlink r:id="rId65" w:history="1">
        <w:r w:rsidR="00C07BCA" w:rsidRPr="00BC059C">
          <w:rPr>
            <w:rStyle w:val="Hyperlink"/>
          </w:rPr>
          <w:t>https://au.sagepub.com/en-gb/oce/qualitative-inquiry-and-research-design/book246896</w:t>
        </w:r>
      </w:hyperlink>
      <w:r w:rsidR="00C07BCA">
        <w:t xml:space="preserve"> </w:t>
      </w:r>
      <w:r w:rsidRPr="00757D20">
        <w:t xml:space="preserve"> </w:t>
      </w:r>
      <w:r w:rsidR="00C07BCA">
        <w:t xml:space="preserve"> </w:t>
      </w:r>
    </w:p>
    <w:p w14:paraId="187321FE" w14:textId="37273E5E" w:rsidR="008E5E29" w:rsidRPr="00757D20" w:rsidRDefault="008E5E29" w:rsidP="00BF0B57">
      <w:pPr>
        <w:spacing w:before="120" w:after="120"/>
        <w:ind w:left="709" w:hanging="720"/>
        <w:rPr>
          <w:rFonts w:eastAsia="Calibri"/>
        </w:rPr>
      </w:pPr>
      <w:r w:rsidRPr="00757D20">
        <w:rPr>
          <w:rFonts w:eastAsia="Calibri"/>
        </w:rPr>
        <w:t>Croll, P. (2008)</w:t>
      </w:r>
      <w:r w:rsidR="00712D58" w:rsidRPr="00757D20">
        <w:rPr>
          <w:rFonts w:eastAsia="Calibri"/>
        </w:rPr>
        <w:t>.</w:t>
      </w:r>
      <w:r w:rsidRPr="00757D20">
        <w:rPr>
          <w:rFonts w:eastAsia="Calibri"/>
        </w:rPr>
        <w:t xml:space="preserve"> Occupational choice, socio</w:t>
      </w:r>
      <w:r w:rsidRPr="00757D20">
        <w:rPr>
          <w:rFonts w:ascii="Cambria Math" w:eastAsia="Calibri" w:hAnsi="Cambria Math" w:cs="Cambria Math"/>
        </w:rPr>
        <w:t>‐</w:t>
      </w:r>
      <w:r w:rsidRPr="00757D20">
        <w:rPr>
          <w:rFonts w:eastAsia="Calibri"/>
        </w:rPr>
        <w:t xml:space="preserve">economic status and educational attainment: A study of the occupational choices and destinations of young people in the British Household Panel Survey. </w:t>
      </w:r>
      <w:r w:rsidRPr="00757D20">
        <w:rPr>
          <w:rFonts w:eastAsia="Calibri"/>
          <w:i/>
          <w:iCs/>
        </w:rPr>
        <w:t>Research Papers in Education, 23</w:t>
      </w:r>
      <w:r w:rsidRPr="00757D20">
        <w:rPr>
          <w:rFonts w:eastAsia="Calibri"/>
        </w:rPr>
        <w:t xml:space="preserve">(3), 243-268. </w:t>
      </w:r>
      <w:hyperlink r:id="rId66" w:history="1">
        <w:r w:rsidR="00227970" w:rsidRPr="002B713F">
          <w:rPr>
            <w:rStyle w:val="Hyperlink"/>
          </w:rPr>
          <w:t>https://doi.org/10.1080/02671520701755424</w:t>
        </w:r>
      </w:hyperlink>
      <w:r w:rsidR="00C07BCA">
        <w:t xml:space="preserve"> </w:t>
      </w:r>
    </w:p>
    <w:p w14:paraId="1B89921B" w14:textId="6F7CD01F" w:rsidR="008E5E29" w:rsidRPr="00757D20" w:rsidRDefault="008E5E29" w:rsidP="00BF0B57">
      <w:pPr>
        <w:spacing w:before="120" w:after="120"/>
        <w:ind w:left="709" w:hanging="720"/>
        <w:rPr>
          <w:rFonts w:eastAsia="Calibri"/>
        </w:rPr>
      </w:pPr>
      <w:r w:rsidRPr="00757D20">
        <w:rPr>
          <w:rFonts w:eastAsia="Calibri"/>
        </w:rPr>
        <w:t>Cuervo, H. &amp; Chesters, J. (2019). The [</w:t>
      </w:r>
      <w:proofErr w:type="spellStart"/>
      <w:r w:rsidRPr="00757D20">
        <w:rPr>
          <w:rFonts w:eastAsia="Calibri"/>
        </w:rPr>
        <w:t>im</w:t>
      </w:r>
      <w:proofErr w:type="spellEnd"/>
      <w:r w:rsidRPr="00757D20">
        <w:rPr>
          <w:rFonts w:eastAsia="Calibri"/>
        </w:rPr>
        <w:t xml:space="preserve">]possibility of planning a future: </w:t>
      </w:r>
      <w:r w:rsidR="00830D20" w:rsidRPr="00757D20">
        <w:rPr>
          <w:rFonts w:eastAsia="Calibri"/>
        </w:rPr>
        <w:t>H</w:t>
      </w:r>
      <w:r w:rsidRPr="00757D20">
        <w:rPr>
          <w:rFonts w:eastAsia="Calibri"/>
        </w:rPr>
        <w:t xml:space="preserve">ow prolonged precarious employment during transitions affects the lives of young Australians. </w:t>
      </w:r>
      <w:r w:rsidRPr="00757D20">
        <w:rPr>
          <w:rFonts w:eastAsia="Calibri"/>
          <w:i/>
          <w:iCs/>
        </w:rPr>
        <w:t xml:space="preserve">Labour &amp; Industry: </w:t>
      </w:r>
      <w:r w:rsidR="008B5AFC" w:rsidRPr="00757D20">
        <w:rPr>
          <w:rFonts w:eastAsia="Calibri"/>
          <w:i/>
          <w:iCs/>
        </w:rPr>
        <w:t>A</w:t>
      </w:r>
      <w:r w:rsidRPr="00757D20">
        <w:rPr>
          <w:rFonts w:eastAsia="Calibri"/>
          <w:i/>
          <w:iCs/>
        </w:rPr>
        <w:t xml:space="preserve"> </w:t>
      </w:r>
      <w:r w:rsidR="008B5AFC" w:rsidRPr="00757D20">
        <w:rPr>
          <w:rFonts w:eastAsia="Calibri"/>
          <w:i/>
          <w:iCs/>
        </w:rPr>
        <w:t>Jo</w:t>
      </w:r>
      <w:r w:rsidRPr="00757D20">
        <w:rPr>
          <w:rFonts w:eastAsia="Calibri"/>
          <w:i/>
          <w:iCs/>
        </w:rPr>
        <w:t xml:space="preserve">urnal of the </w:t>
      </w:r>
      <w:r w:rsidR="008B5AFC" w:rsidRPr="00757D20">
        <w:rPr>
          <w:rFonts w:eastAsia="Calibri"/>
          <w:i/>
          <w:iCs/>
        </w:rPr>
        <w:t>S</w:t>
      </w:r>
      <w:r w:rsidRPr="00757D20">
        <w:rPr>
          <w:rFonts w:eastAsia="Calibri"/>
          <w:i/>
          <w:iCs/>
        </w:rPr>
        <w:t xml:space="preserve">ocial and </w:t>
      </w:r>
      <w:r w:rsidR="008B5AFC" w:rsidRPr="00757D20">
        <w:rPr>
          <w:rFonts w:eastAsia="Calibri"/>
          <w:i/>
          <w:iCs/>
        </w:rPr>
        <w:t>E</w:t>
      </w:r>
      <w:r w:rsidRPr="00757D20">
        <w:rPr>
          <w:rFonts w:eastAsia="Calibri"/>
          <w:i/>
          <w:iCs/>
        </w:rPr>
        <w:t xml:space="preserve">conomic </w:t>
      </w:r>
      <w:r w:rsidR="008B5AFC" w:rsidRPr="00757D20">
        <w:rPr>
          <w:rFonts w:eastAsia="Calibri"/>
          <w:i/>
          <w:iCs/>
        </w:rPr>
        <w:t>R</w:t>
      </w:r>
      <w:r w:rsidRPr="00757D20">
        <w:rPr>
          <w:rFonts w:eastAsia="Calibri"/>
          <w:i/>
          <w:iCs/>
        </w:rPr>
        <w:t xml:space="preserve">elations of </w:t>
      </w:r>
      <w:r w:rsidR="008B5AFC" w:rsidRPr="00757D20">
        <w:rPr>
          <w:rFonts w:eastAsia="Calibri"/>
          <w:i/>
          <w:iCs/>
        </w:rPr>
        <w:t>W</w:t>
      </w:r>
      <w:r w:rsidRPr="00757D20">
        <w:rPr>
          <w:rFonts w:eastAsia="Calibri"/>
          <w:i/>
          <w:iCs/>
        </w:rPr>
        <w:t>ork, 29</w:t>
      </w:r>
      <w:r w:rsidRPr="00757D20">
        <w:rPr>
          <w:rFonts w:eastAsia="Calibri"/>
        </w:rPr>
        <w:t xml:space="preserve">(4), 295-312. </w:t>
      </w:r>
      <w:hyperlink r:id="rId67" w:history="1">
        <w:r w:rsidR="00C07BCA" w:rsidRPr="00BC059C">
          <w:rPr>
            <w:rStyle w:val="Hyperlink"/>
            <w:rFonts w:eastAsia="Calibri"/>
          </w:rPr>
          <w:t>https://doi.org/10.1080/10301763.2019.1696654</w:t>
        </w:r>
      </w:hyperlink>
      <w:r w:rsidR="00C07BCA">
        <w:rPr>
          <w:rFonts w:eastAsia="Calibri"/>
        </w:rPr>
        <w:t xml:space="preserve"> </w:t>
      </w:r>
    </w:p>
    <w:p w14:paraId="07B6D3EE" w14:textId="13CF3FB6" w:rsidR="008E5E29" w:rsidRPr="00757D20" w:rsidRDefault="008E5E29" w:rsidP="00BF0B57">
      <w:pPr>
        <w:spacing w:before="120" w:after="120"/>
        <w:ind w:left="709" w:hanging="720"/>
        <w:rPr>
          <w:rFonts w:eastAsia="Calibri"/>
        </w:rPr>
      </w:pPr>
      <w:r w:rsidRPr="00757D20">
        <w:rPr>
          <w:rFonts w:eastAsia="Calibri"/>
        </w:rPr>
        <w:t xml:space="preserve">Cunninghame, I. (2022). Influence of policy discourse on student choice in Australian higher education. </w:t>
      </w:r>
      <w:r w:rsidRPr="00757D20">
        <w:rPr>
          <w:rFonts w:eastAsia="Calibri"/>
          <w:i/>
          <w:iCs/>
        </w:rPr>
        <w:t>International Journal of Inclusive Education, 26</w:t>
      </w:r>
      <w:r w:rsidRPr="00757D20">
        <w:rPr>
          <w:rFonts w:eastAsia="Calibri"/>
        </w:rPr>
        <w:t xml:space="preserve">(13), 1227-1242. </w:t>
      </w:r>
      <w:hyperlink r:id="rId68" w:history="1">
        <w:r w:rsidR="00C07BCA" w:rsidRPr="00BC059C">
          <w:rPr>
            <w:rStyle w:val="Hyperlink"/>
            <w:rFonts w:eastAsia="Calibri"/>
          </w:rPr>
          <w:t>https://doi-org.ezproxy.newcastle.edu.au/10.1080/13603116.2020.1791980</w:t>
        </w:r>
      </w:hyperlink>
      <w:r w:rsidR="00C07BCA">
        <w:rPr>
          <w:rFonts w:eastAsia="Calibri"/>
        </w:rPr>
        <w:t xml:space="preserve"> </w:t>
      </w:r>
    </w:p>
    <w:p w14:paraId="0BECF4D5" w14:textId="6E4EE52D" w:rsidR="008E5E29" w:rsidRPr="00757D20" w:rsidRDefault="008E5E29" w:rsidP="00BF0B57">
      <w:pPr>
        <w:spacing w:before="120" w:after="120"/>
        <w:ind w:left="709" w:hanging="720"/>
      </w:pPr>
      <w:r w:rsidRPr="00757D20">
        <w:t xml:space="preserve">Cunninghame, I., &amp; Trinidad, S. (2017). The role of higher education in facilitating social mobility. </w:t>
      </w:r>
      <w:r w:rsidRPr="00757D20">
        <w:rPr>
          <w:i/>
          <w:iCs/>
        </w:rPr>
        <w:t>International Studies in Widening Participation, 4</w:t>
      </w:r>
      <w:r w:rsidRPr="00757D20">
        <w:t xml:space="preserve">(1), 74-85. </w:t>
      </w:r>
      <w:hyperlink r:id="rId69" w:history="1">
        <w:r w:rsidR="00C07BCA" w:rsidRPr="00BC059C">
          <w:rPr>
            <w:rStyle w:val="Hyperlink"/>
          </w:rPr>
          <w:t>https://www.acses.edu.au/publication/the-role-of-higher-education-in-facilitating-social-mobility/</w:t>
        </w:r>
      </w:hyperlink>
      <w:r w:rsidR="00C07BCA">
        <w:t xml:space="preserve"> </w:t>
      </w:r>
      <w:r w:rsidRPr="00757D20">
        <w:t xml:space="preserve"> </w:t>
      </w:r>
    </w:p>
    <w:p w14:paraId="1C7938AB" w14:textId="4D98F28E" w:rsidR="008E5E29" w:rsidRPr="00757D20" w:rsidRDefault="008E5E29" w:rsidP="00BF0B57">
      <w:pPr>
        <w:spacing w:before="120" w:after="120"/>
        <w:ind w:left="709" w:hanging="720"/>
        <w:rPr>
          <w:rFonts w:eastAsia="Calibri"/>
        </w:rPr>
      </w:pPr>
      <w:r w:rsidRPr="00757D20">
        <w:rPr>
          <w:rFonts w:eastAsia="Calibri"/>
        </w:rPr>
        <w:t xml:space="preserve">Cunninghame, I., Vernon, L. &amp; Pitman, T. (2020). To be seen and heard: Enhancing student engagement to support university aspirations and expectations for students from low socioeconomic status backgrounds. </w:t>
      </w:r>
      <w:r w:rsidRPr="00757D20">
        <w:rPr>
          <w:rFonts w:eastAsia="Calibri"/>
          <w:i/>
          <w:iCs/>
        </w:rPr>
        <w:t>British Educational Research Journal, 46</w:t>
      </w:r>
      <w:r w:rsidRPr="00757D20">
        <w:rPr>
          <w:rFonts w:eastAsia="Calibri"/>
        </w:rPr>
        <w:t>(6), 1487-1506.</w:t>
      </w:r>
      <w:r w:rsidR="004A01EB" w:rsidRPr="00757D20">
        <w:rPr>
          <w:rFonts w:eastAsia="Calibri"/>
        </w:rPr>
        <w:t xml:space="preserve"> </w:t>
      </w:r>
      <w:hyperlink r:id="rId70" w:history="1">
        <w:r w:rsidR="004A01EB" w:rsidRPr="002B713F">
          <w:rPr>
            <w:rStyle w:val="Hyperlink"/>
          </w:rPr>
          <w:t>https://doi.org/10.1002/berj.3659</w:t>
        </w:r>
      </w:hyperlink>
      <w:r w:rsidR="00C07BCA">
        <w:t xml:space="preserve"> </w:t>
      </w:r>
    </w:p>
    <w:p w14:paraId="717FAED1" w14:textId="4377A3A8" w:rsidR="008E5E29" w:rsidRPr="00757D20" w:rsidRDefault="008E5E29" w:rsidP="00BF0B57">
      <w:pPr>
        <w:spacing w:before="120" w:after="120"/>
        <w:ind w:left="709" w:hanging="720"/>
        <w:rPr>
          <w:rFonts w:eastAsia="Calibri"/>
        </w:rPr>
      </w:pPr>
      <w:r w:rsidRPr="00757D20">
        <w:rPr>
          <w:rFonts w:eastAsia="Calibri"/>
        </w:rPr>
        <w:t xml:space="preserve">Department of Education (2019). </w:t>
      </w:r>
      <w:r w:rsidRPr="00757D20">
        <w:rPr>
          <w:rFonts w:eastAsia="Calibri"/>
          <w:i/>
          <w:iCs/>
        </w:rPr>
        <w:t xml:space="preserve">Benefits of </w:t>
      </w:r>
      <w:r w:rsidR="00874B0C" w:rsidRPr="00757D20">
        <w:rPr>
          <w:rFonts w:eastAsia="Calibri"/>
          <w:i/>
          <w:iCs/>
        </w:rPr>
        <w:t>e</w:t>
      </w:r>
      <w:r w:rsidRPr="00757D20">
        <w:rPr>
          <w:rFonts w:eastAsia="Calibri"/>
          <w:i/>
          <w:iCs/>
        </w:rPr>
        <w:t xml:space="preserve">ducational </w:t>
      </w:r>
      <w:r w:rsidR="00874B0C" w:rsidRPr="00757D20">
        <w:rPr>
          <w:rFonts w:eastAsia="Calibri"/>
          <w:i/>
          <w:iCs/>
        </w:rPr>
        <w:t>a</w:t>
      </w:r>
      <w:r w:rsidRPr="00757D20">
        <w:rPr>
          <w:rFonts w:eastAsia="Calibri"/>
          <w:i/>
          <w:iCs/>
        </w:rPr>
        <w:t>ttainment: Wealth</w:t>
      </w:r>
      <w:r w:rsidRPr="00757D20">
        <w:rPr>
          <w:rFonts w:eastAsia="Calibri"/>
        </w:rPr>
        <w:t xml:space="preserve">. </w:t>
      </w:r>
      <w:hyperlink r:id="rId71" w:history="1">
        <w:r w:rsidR="00C07BCA" w:rsidRPr="00BC059C">
          <w:rPr>
            <w:rStyle w:val="Hyperlink"/>
            <w:rFonts w:eastAsia="Calibri"/>
          </w:rPr>
          <w:t>https://www.education.gov.au/integrated-data-research/resources/wealth</w:t>
        </w:r>
      </w:hyperlink>
      <w:r w:rsidR="00C07BCA">
        <w:rPr>
          <w:rFonts w:eastAsia="Calibri"/>
        </w:rPr>
        <w:t xml:space="preserve"> </w:t>
      </w:r>
    </w:p>
    <w:p w14:paraId="4A6278B1" w14:textId="0F0D9A1C" w:rsidR="008E5E29" w:rsidRPr="00757D20" w:rsidRDefault="008E5E29" w:rsidP="00BF0B57">
      <w:pPr>
        <w:spacing w:before="120" w:after="120"/>
        <w:ind w:left="709" w:hanging="720"/>
        <w:rPr>
          <w:rFonts w:eastAsia="Calibri"/>
        </w:rPr>
      </w:pPr>
      <w:r w:rsidRPr="00757D20">
        <w:rPr>
          <w:rFonts w:eastAsia="Calibri"/>
        </w:rPr>
        <w:t xml:space="preserve">Department of Education (2023). </w:t>
      </w:r>
      <w:r w:rsidRPr="00757D20">
        <w:rPr>
          <w:rFonts w:eastAsia="Calibri"/>
          <w:i/>
          <w:iCs/>
        </w:rPr>
        <w:t xml:space="preserve">Australian </w:t>
      </w:r>
      <w:r w:rsidR="00874B0C" w:rsidRPr="00757D20">
        <w:rPr>
          <w:rFonts w:eastAsia="Calibri"/>
          <w:i/>
          <w:iCs/>
        </w:rPr>
        <w:t>u</w:t>
      </w:r>
      <w:r w:rsidRPr="00757D20">
        <w:rPr>
          <w:rFonts w:eastAsia="Calibri"/>
          <w:i/>
          <w:iCs/>
        </w:rPr>
        <w:t xml:space="preserve">niversities </w:t>
      </w:r>
      <w:r w:rsidR="00874B0C" w:rsidRPr="00757D20">
        <w:rPr>
          <w:rFonts w:eastAsia="Calibri"/>
          <w:i/>
          <w:iCs/>
        </w:rPr>
        <w:t>a</w:t>
      </w:r>
      <w:r w:rsidRPr="00757D20">
        <w:rPr>
          <w:rFonts w:eastAsia="Calibri"/>
          <w:i/>
          <w:iCs/>
        </w:rPr>
        <w:t xml:space="preserve">ccord </w:t>
      </w:r>
      <w:r w:rsidR="00874B0C" w:rsidRPr="00757D20">
        <w:rPr>
          <w:rFonts w:eastAsia="Calibri"/>
          <w:i/>
          <w:iCs/>
        </w:rPr>
        <w:t>interim</w:t>
      </w:r>
      <w:r w:rsidRPr="00757D20">
        <w:rPr>
          <w:rFonts w:eastAsia="Calibri"/>
          <w:i/>
          <w:iCs/>
        </w:rPr>
        <w:t xml:space="preserve"> </w:t>
      </w:r>
      <w:r w:rsidR="00874B0C" w:rsidRPr="00757D20">
        <w:rPr>
          <w:rFonts w:eastAsia="Calibri"/>
          <w:i/>
          <w:iCs/>
        </w:rPr>
        <w:t>r</w:t>
      </w:r>
      <w:r w:rsidRPr="00757D20">
        <w:rPr>
          <w:rFonts w:eastAsia="Calibri"/>
          <w:i/>
          <w:iCs/>
        </w:rPr>
        <w:t>eport.</w:t>
      </w:r>
      <w:r w:rsidR="00874B0C" w:rsidRPr="00757D20">
        <w:rPr>
          <w:rFonts w:eastAsia="Calibri"/>
        </w:rPr>
        <w:t xml:space="preserve"> </w:t>
      </w:r>
      <w:hyperlink r:id="rId72" w:history="1">
        <w:r w:rsidR="00C07BCA" w:rsidRPr="00BC059C">
          <w:rPr>
            <w:rStyle w:val="Hyperlink"/>
            <w:rFonts w:eastAsia="Calibri"/>
          </w:rPr>
          <w:t>https://www.education.gov.au/australian-universities-accord/resources/accord-interim-report</w:t>
        </w:r>
      </w:hyperlink>
      <w:r w:rsidR="00C07BCA">
        <w:rPr>
          <w:rFonts w:eastAsia="Calibri"/>
        </w:rPr>
        <w:t xml:space="preserve"> </w:t>
      </w:r>
    </w:p>
    <w:p w14:paraId="3EBD0660" w14:textId="157D6797" w:rsidR="008E5E29" w:rsidRPr="00757D20" w:rsidRDefault="008E5E29" w:rsidP="00BF0B57">
      <w:pPr>
        <w:spacing w:before="120" w:after="120"/>
        <w:ind w:left="709" w:hanging="720"/>
        <w:rPr>
          <w:rFonts w:eastAsia="Calibri"/>
        </w:rPr>
      </w:pPr>
      <w:r w:rsidRPr="00757D20">
        <w:rPr>
          <w:rFonts w:eastAsia="Calibri"/>
        </w:rPr>
        <w:t xml:space="preserve">Department of Education (2024a). </w:t>
      </w:r>
      <w:r w:rsidRPr="00757D20">
        <w:rPr>
          <w:rFonts w:eastAsia="Calibri"/>
          <w:i/>
          <w:iCs/>
        </w:rPr>
        <w:t xml:space="preserve">Australian </w:t>
      </w:r>
      <w:r w:rsidR="00874B0C" w:rsidRPr="00757D20">
        <w:rPr>
          <w:rFonts w:eastAsia="Calibri"/>
          <w:i/>
          <w:iCs/>
        </w:rPr>
        <w:t>u</w:t>
      </w:r>
      <w:r w:rsidRPr="00757D20">
        <w:rPr>
          <w:rFonts w:eastAsia="Calibri"/>
          <w:i/>
          <w:iCs/>
        </w:rPr>
        <w:t xml:space="preserve">niversities </w:t>
      </w:r>
      <w:r w:rsidR="00874B0C" w:rsidRPr="00757D20">
        <w:rPr>
          <w:rFonts w:eastAsia="Calibri"/>
          <w:i/>
          <w:iCs/>
        </w:rPr>
        <w:t>a</w:t>
      </w:r>
      <w:r w:rsidRPr="00757D20">
        <w:rPr>
          <w:rFonts w:eastAsia="Calibri"/>
          <w:i/>
          <w:iCs/>
        </w:rPr>
        <w:t xml:space="preserve">ccord </w:t>
      </w:r>
      <w:r w:rsidR="00874B0C" w:rsidRPr="00757D20">
        <w:rPr>
          <w:rFonts w:eastAsia="Calibri"/>
          <w:i/>
          <w:iCs/>
        </w:rPr>
        <w:t>f</w:t>
      </w:r>
      <w:r w:rsidRPr="00757D20">
        <w:rPr>
          <w:rFonts w:eastAsia="Calibri"/>
          <w:i/>
          <w:iCs/>
        </w:rPr>
        <w:t xml:space="preserve">inal </w:t>
      </w:r>
      <w:r w:rsidR="00874B0C" w:rsidRPr="00757D20">
        <w:rPr>
          <w:rFonts w:eastAsia="Calibri"/>
          <w:i/>
          <w:iCs/>
        </w:rPr>
        <w:t>r</w:t>
      </w:r>
      <w:r w:rsidRPr="00757D20">
        <w:rPr>
          <w:rFonts w:eastAsia="Calibri"/>
          <w:i/>
          <w:iCs/>
        </w:rPr>
        <w:t>eport</w:t>
      </w:r>
      <w:r w:rsidRPr="00757D20">
        <w:rPr>
          <w:rFonts w:eastAsia="Calibri"/>
        </w:rPr>
        <w:t xml:space="preserve">. </w:t>
      </w:r>
      <w:hyperlink r:id="rId73" w:history="1">
        <w:r w:rsidR="00C07BCA" w:rsidRPr="00BC059C">
          <w:rPr>
            <w:rStyle w:val="Hyperlink"/>
            <w:rFonts w:eastAsia="Calibri"/>
          </w:rPr>
          <w:t>https://www.education.gov.au/resources/australian-universities-accord</w:t>
        </w:r>
      </w:hyperlink>
      <w:r w:rsidR="00C07BCA">
        <w:rPr>
          <w:rFonts w:eastAsia="Calibri"/>
        </w:rPr>
        <w:t xml:space="preserve"> </w:t>
      </w:r>
    </w:p>
    <w:p w14:paraId="74AA762D" w14:textId="046F5992" w:rsidR="008E5E29" w:rsidRPr="00757D20" w:rsidRDefault="008E5E29" w:rsidP="00BF0B57">
      <w:pPr>
        <w:spacing w:before="120" w:after="120"/>
        <w:ind w:left="709" w:hanging="720"/>
        <w:rPr>
          <w:rFonts w:eastAsia="Calibri"/>
        </w:rPr>
      </w:pPr>
      <w:r w:rsidRPr="00757D20">
        <w:rPr>
          <w:rFonts w:eastAsia="Calibri"/>
        </w:rPr>
        <w:t xml:space="preserve">Department of Education (2024b). </w:t>
      </w:r>
      <w:r w:rsidRPr="00757D20">
        <w:rPr>
          <w:rFonts w:eastAsia="Calibri"/>
          <w:i/>
          <w:iCs/>
        </w:rPr>
        <w:t xml:space="preserve">Key findings from the 2023 </w:t>
      </w:r>
      <w:r w:rsidR="00874B0C" w:rsidRPr="00757D20">
        <w:rPr>
          <w:rFonts w:eastAsia="Calibri"/>
          <w:i/>
          <w:iCs/>
        </w:rPr>
        <w:t>h</w:t>
      </w:r>
      <w:r w:rsidRPr="00757D20">
        <w:rPr>
          <w:rFonts w:eastAsia="Calibri"/>
          <w:i/>
          <w:iCs/>
        </w:rPr>
        <w:t xml:space="preserve">igher </w:t>
      </w:r>
      <w:r w:rsidR="00874B0C" w:rsidRPr="00757D20">
        <w:rPr>
          <w:rFonts w:eastAsia="Calibri"/>
          <w:i/>
          <w:iCs/>
        </w:rPr>
        <w:t>e</w:t>
      </w:r>
      <w:r w:rsidRPr="00757D20">
        <w:rPr>
          <w:rFonts w:eastAsia="Calibri"/>
          <w:i/>
          <w:iCs/>
        </w:rPr>
        <w:t xml:space="preserve">ducation </w:t>
      </w:r>
      <w:r w:rsidR="00874B0C" w:rsidRPr="00757D20">
        <w:rPr>
          <w:rFonts w:eastAsia="Calibri"/>
          <w:i/>
          <w:iCs/>
        </w:rPr>
        <w:t>s</w:t>
      </w:r>
      <w:r w:rsidRPr="00757D20">
        <w:rPr>
          <w:rFonts w:eastAsia="Calibri"/>
          <w:i/>
          <w:iCs/>
        </w:rPr>
        <w:t xml:space="preserve">tudent </w:t>
      </w:r>
      <w:r w:rsidR="00874B0C" w:rsidRPr="00757D20">
        <w:rPr>
          <w:rFonts w:eastAsia="Calibri"/>
          <w:i/>
          <w:iCs/>
        </w:rPr>
        <w:t>s</w:t>
      </w:r>
      <w:r w:rsidRPr="00757D20">
        <w:rPr>
          <w:rFonts w:eastAsia="Calibri"/>
          <w:i/>
          <w:iCs/>
        </w:rPr>
        <w:t xml:space="preserve">tatistics. </w:t>
      </w:r>
      <w:hyperlink r:id="rId74" w:history="1">
        <w:r w:rsidR="00C07BCA" w:rsidRPr="00BC059C">
          <w:rPr>
            <w:rStyle w:val="Hyperlink"/>
            <w:rFonts w:eastAsia="Calibri"/>
          </w:rPr>
          <w:t>https://www.education.gov.au/higher-education-statistics/student-</w:t>
        </w:r>
        <w:r w:rsidR="00C07BCA" w:rsidRPr="00BC059C">
          <w:rPr>
            <w:rStyle w:val="Hyperlink"/>
            <w:rFonts w:eastAsia="Calibri"/>
          </w:rPr>
          <w:lastRenderedPageBreak/>
          <w:t>data/selected-higher-education-statistics-2023-student-data/key-findings-2023-student-data</w:t>
        </w:r>
      </w:hyperlink>
      <w:r w:rsidR="00C07BCA">
        <w:rPr>
          <w:rFonts w:eastAsia="Calibri"/>
        </w:rPr>
        <w:t xml:space="preserve"> </w:t>
      </w:r>
      <w:r w:rsidRPr="00757D20">
        <w:rPr>
          <w:rFonts w:eastAsia="Calibri"/>
        </w:rPr>
        <w:t xml:space="preserve"> </w:t>
      </w:r>
    </w:p>
    <w:p w14:paraId="4A848C5D" w14:textId="539EEE9D" w:rsidR="008E5E29" w:rsidRPr="00757D20" w:rsidRDefault="008E5E29" w:rsidP="00BF0B57">
      <w:pPr>
        <w:spacing w:before="120" w:after="120"/>
        <w:ind w:left="709" w:hanging="720"/>
        <w:rPr>
          <w:rFonts w:eastAsia="Calibri"/>
        </w:rPr>
      </w:pPr>
      <w:r w:rsidRPr="00757D20">
        <w:rPr>
          <w:rFonts w:eastAsia="Calibri"/>
        </w:rPr>
        <w:t xml:space="preserve">Department of Education (2024c). </w:t>
      </w:r>
      <w:r w:rsidRPr="00757D20">
        <w:rPr>
          <w:rFonts w:eastAsia="Calibri"/>
          <w:i/>
          <w:iCs/>
        </w:rPr>
        <w:t xml:space="preserve">Commonwealth </w:t>
      </w:r>
      <w:proofErr w:type="spellStart"/>
      <w:r w:rsidR="00452DD3" w:rsidRPr="00757D20">
        <w:rPr>
          <w:rFonts w:eastAsia="Calibri"/>
          <w:i/>
          <w:iCs/>
        </w:rPr>
        <w:t>p</w:t>
      </w:r>
      <w:r w:rsidRPr="00757D20">
        <w:rPr>
          <w:rFonts w:eastAsia="Calibri"/>
          <w:i/>
          <w:iCs/>
        </w:rPr>
        <w:t>rac</w:t>
      </w:r>
      <w:proofErr w:type="spellEnd"/>
      <w:r w:rsidRPr="00757D20">
        <w:rPr>
          <w:rFonts w:eastAsia="Calibri"/>
          <w:i/>
          <w:iCs/>
        </w:rPr>
        <w:t xml:space="preserve"> </w:t>
      </w:r>
      <w:r w:rsidR="00452DD3" w:rsidRPr="00757D20">
        <w:rPr>
          <w:rFonts w:eastAsia="Calibri"/>
          <w:i/>
          <w:iCs/>
        </w:rPr>
        <w:t>p</w:t>
      </w:r>
      <w:r w:rsidRPr="00757D20">
        <w:rPr>
          <w:rFonts w:eastAsia="Calibri"/>
          <w:i/>
          <w:iCs/>
        </w:rPr>
        <w:t>ayment</w:t>
      </w:r>
      <w:r w:rsidRPr="00757D20">
        <w:rPr>
          <w:rFonts w:eastAsia="Calibri"/>
        </w:rPr>
        <w:t xml:space="preserve">. </w:t>
      </w:r>
      <w:hyperlink r:id="rId75" w:history="1">
        <w:r w:rsidR="00C07BCA" w:rsidRPr="00BC059C">
          <w:rPr>
            <w:rStyle w:val="Hyperlink"/>
            <w:rFonts w:eastAsia="Calibri"/>
          </w:rPr>
          <w:t>https://www.education.gov.au/higher-education/commonwealth-prac-payment</w:t>
        </w:r>
      </w:hyperlink>
      <w:r w:rsidR="00C07BCA">
        <w:rPr>
          <w:rFonts w:eastAsia="Calibri"/>
        </w:rPr>
        <w:t xml:space="preserve"> </w:t>
      </w:r>
    </w:p>
    <w:p w14:paraId="5A09BAE7" w14:textId="5D2A1DC0" w:rsidR="008E5E29" w:rsidRPr="00757D20" w:rsidRDefault="008E5E29" w:rsidP="00BF0B57">
      <w:pPr>
        <w:spacing w:before="120" w:after="120"/>
        <w:ind w:left="709" w:hanging="720"/>
        <w:rPr>
          <w:rFonts w:eastAsia="Calibri"/>
        </w:rPr>
      </w:pPr>
      <w:r w:rsidRPr="00757D20">
        <w:rPr>
          <w:rFonts w:eastAsia="Calibri"/>
        </w:rPr>
        <w:t xml:space="preserve">Devlin, M. &amp; McKay, J. (2018). The financial realities for students from low SES backgrounds at Australian regional universities. </w:t>
      </w:r>
      <w:r w:rsidRPr="00757D20">
        <w:rPr>
          <w:rFonts w:eastAsia="Calibri"/>
          <w:i/>
          <w:iCs/>
        </w:rPr>
        <w:t>Australian and International Journal of Rural Education, 28</w:t>
      </w:r>
      <w:r w:rsidRPr="00757D20">
        <w:rPr>
          <w:rFonts w:eastAsia="Calibri"/>
        </w:rPr>
        <w:t>(1), 121-136.</w:t>
      </w:r>
      <w:r w:rsidRPr="00757D20">
        <w:rPr>
          <w:rFonts w:eastAsia="Calibri"/>
          <w:color w:val="55585D"/>
        </w:rPr>
        <w:t xml:space="preserve"> </w:t>
      </w:r>
      <w:hyperlink r:id="rId76" w:history="1">
        <w:r w:rsidR="008330C5" w:rsidRPr="002B713F">
          <w:rPr>
            <w:rStyle w:val="Hyperlink"/>
          </w:rPr>
          <w:t>https://doi.org/10.47381/aijre.v28i1.152</w:t>
        </w:r>
      </w:hyperlink>
      <w:r w:rsidR="00C07BCA">
        <w:t xml:space="preserve"> </w:t>
      </w:r>
    </w:p>
    <w:p w14:paraId="42541812" w14:textId="0FEBC4D3" w:rsidR="008E5E29" w:rsidRPr="00757D20" w:rsidRDefault="008E5E29" w:rsidP="00BF0B57">
      <w:pPr>
        <w:spacing w:before="120" w:after="120"/>
        <w:ind w:left="709" w:hanging="720"/>
        <w:rPr>
          <w:rFonts w:eastAsia="Calibri"/>
        </w:rPr>
      </w:pPr>
      <w:r w:rsidRPr="00757D20">
        <w:rPr>
          <w:rFonts w:eastAsia="Calibri"/>
        </w:rPr>
        <w:t xml:space="preserve">Dollinger, M., D’Angelo, B., Naylor, R., Harvey, A. &amp; Mahat, M. (2021). Participatory design for community-based research: </w:t>
      </w:r>
      <w:r w:rsidR="0026185A" w:rsidRPr="00757D20">
        <w:rPr>
          <w:rFonts w:eastAsia="Calibri"/>
        </w:rPr>
        <w:t>A</w:t>
      </w:r>
      <w:r w:rsidRPr="00757D20">
        <w:rPr>
          <w:rFonts w:eastAsia="Calibri"/>
        </w:rPr>
        <w:t xml:space="preserve"> study on regional student higher education pathways. </w:t>
      </w:r>
      <w:r w:rsidRPr="00757D20">
        <w:rPr>
          <w:rFonts w:eastAsia="Calibri"/>
          <w:i/>
          <w:iCs/>
        </w:rPr>
        <w:t>The Australian Educational Researcher, 48</w:t>
      </w:r>
      <w:r w:rsidRPr="00757D20">
        <w:rPr>
          <w:rFonts w:eastAsia="Calibri"/>
        </w:rPr>
        <w:t xml:space="preserve">, 739–755. </w:t>
      </w:r>
      <w:hyperlink r:id="rId77" w:history="1">
        <w:r w:rsidR="00C07BCA" w:rsidRPr="00BC059C">
          <w:rPr>
            <w:rStyle w:val="Hyperlink"/>
            <w:rFonts w:eastAsia="Calibri"/>
          </w:rPr>
          <w:t>https://doi.org/10.1007/s13384-020-00417-5</w:t>
        </w:r>
      </w:hyperlink>
      <w:r w:rsidR="00C07BCA">
        <w:rPr>
          <w:rFonts w:eastAsia="Calibri"/>
        </w:rPr>
        <w:t xml:space="preserve"> </w:t>
      </w:r>
    </w:p>
    <w:p w14:paraId="2F2C3073" w14:textId="6C160FB1" w:rsidR="008E5E29" w:rsidRPr="00757D20" w:rsidRDefault="008E5E29" w:rsidP="00BF0B57">
      <w:pPr>
        <w:spacing w:before="120" w:after="120"/>
        <w:ind w:left="709" w:hanging="720"/>
        <w:rPr>
          <w:rFonts w:eastAsia="Calibri"/>
          <w:color w:val="0563C1"/>
          <w:u w:val="single"/>
        </w:rPr>
      </w:pPr>
      <w:r w:rsidRPr="00757D20">
        <w:rPr>
          <w:rFonts w:eastAsia="Calibri"/>
        </w:rPr>
        <w:t xml:space="preserve">Drane, C., Vernon, L. &amp; O’Shea, S. (2020). </w:t>
      </w:r>
      <w:r w:rsidRPr="00757D20">
        <w:rPr>
          <w:rFonts w:eastAsia="Calibri"/>
          <w:i/>
          <w:iCs/>
        </w:rPr>
        <w:t>The impact of ‘learning at home’ on the educational outcomes of vulnerable children in Australia during the COVID-19 pandemic</w:t>
      </w:r>
      <w:r w:rsidRPr="00757D20">
        <w:rPr>
          <w:rFonts w:eastAsia="Calibri"/>
        </w:rPr>
        <w:t xml:space="preserve">. </w:t>
      </w:r>
      <w:hyperlink r:id="rId78" w:history="1">
        <w:r w:rsidR="00C07BCA" w:rsidRPr="00BC059C">
          <w:rPr>
            <w:rStyle w:val="Hyperlink"/>
          </w:rPr>
          <w:t>https://www.ncsehe.edu.au/app/uploads/2020/04/</w:t>
        </w:r>
        <w:r w:rsidR="00C07BCA" w:rsidRPr="00BC059C">
          <w:rPr>
            <w:rStyle w:val="Hyperlink"/>
            <w:rFonts w:eastAsia="Calibri"/>
          </w:rPr>
          <w:t>NCSEHE</w:t>
        </w:r>
        <w:r w:rsidR="00C07BCA" w:rsidRPr="00BC059C">
          <w:rPr>
            <w:rStyle w:val="Hyperlink"/>
          </w:rPr>
          <w:t>_V2_Final_literaturereview-learningathome-covid19-final_30042020.pdf</w:t>
        </w:r>
      </w:hyperlink>
      <w:r w:rsidR="00C07BCA">
        <w:t xml:space="preserve"> </w:t>
      </w:r>
      <w:r w:rsidR="00731DDD" w:rsidRPr="00757D20">
        <w:rPr>
          <w:rFonts w:eastAsia="Calibri"/>
        </w:rPr>
        <w:t xml:space="preserve"> </w:t>
      </w:r>
      <w:r w:rsidR="00731DDD" w:rsidRPr="00757D20" w:rsidDel="00731DDD">
        <w:rPr>
          <w:rFonts w:eastAsia="Calibri"/>
        </w:rPr>
        <w:t xml:space="preserve"> </w:t>
      </w:r>
      <w:r w:rsidR="00731DDD" w:rsidRPr="00757D20">
        <w:rPr>
          <w:rFonts w:eastAsia="Calibri"/>
        </w:rPr>
        <w:t xml:space="preserve"> </w:t>
      </w:r>
    </w:p>
    <w:p w14:paraId="4D4B714F" w14:textId="40A2302A" w:rsidR="008E5E29" w:rsidRPr="00757D20" w:rsidRDefault="008E5E29" w:rsidP="00BF0B57">
      <w:pPr>
        <w:spacing w:before="120" w:after="120"/>
        <w:ind w:left="709" w:hanging="720"/>
        <w:rPr>
          <w:rFonts w:eastAsia="Calibri"/>
        </w:rPr>
      </w:pPr>
      <w:r w:rsidRPr="00757D20">
        <w:rPr>
          <w:rFonts w:eastAsia="Calibri"/>
        </w:rPr>
        <w:t xml:space="preserve">Filho, W. L., Salvia, A., L. </w:t>
      </w:r>
      <w:proofErr w:type="spellStart"/>
      <w:r w:rsidRPr="00757D20">
        <w:rPr>
          <w:rFonts w:eastAsia="Calibri"/>
        </w:rPr>
        <w:t>Beynaghi</w:t>
      </w:r>
      <w:proofErr w:type="spellEnd"/>
      <w:r w:rsidRPr="00757D20">
        <w:rPr>
          <w:rFonts w:eastAsia="Calibri"/>
        </w:rPr>
        <w:t xml:space="preserve">, A., Fritzen, B., Ulisses, A., Avila, L. V. </w:t>
      </w:r>
      <w:proofErr w:type="spellStart"/>
      <w:r w:rsidRPr="00757D20">
        <w:rPr>
          <w:rFonts w:eastAsia="Calibri"/>
        </w:rPr>
        <w:t>Shulla</w:t>
      </w:r>
      <w:proofErr w:type="spellEnd"/>
      <w:r w:rsidRPr="00757D20">
        <w:rPr>
          <w:rFonts w:eastAsia="Calibri"/>
        </w:rPr>
        <w:t xml:space="preserve">, K., Vasconcelos, C. R. P., Moggi, S., Mifsud, M., </w:t>
      </w:r>
      <w:proofErr w:type="spellStart"/>
      <w:r w:rsidRPr="00757D20">
        <w:rPr>
          <w:rFonts w:eastAsia="Calibri"/>
        </w:rPr>
        <w:t>Anholon</w:t>
      </w:r>
      <w:proofErr w:type="spellEnd"/>
      <w:r w:rsidRPr="00757D20">
        <w:rPr>
          <w:rFonts w:eastAsia="Calibri"/>
        </w:rPr>
        <w:t xml:space="preserve">, R., </w:t>
      </w:r>
      <w:proofErr w:type="spellStart"/>
      <w:r w:rsidRPr="00757D20">
        <w:rPr>
          <w:rFonts w:eastAsia="Calibri"/>
        </w:rPr>
        <w:t>Rampasso</w:t>
      </w:r>
      <w:proofErr w:type="spellEnd"/>
      <w:r w:rsidRPr="00757D20">
        <w:rPr>
          <w:rFonts w:eastAsia="Calibri"/>
        </w:rPr>
        <w:t xml:space="preserve">, I. S., Kozlova, V., Iliško, D., </w:t>
      </w:r>
      <w:proofErr w:type="spellStart"/>
      <w:r w:rsidRPr="00757D20">
        <w:rPr>
          <w:rFonts w:eastAsia="Calibri"/>
        </w:rPr>
        <w:t>Skouloudis</w:t>
      </w:r>
      <w:proofErr w:type="spellEnd"/>
      <w:r w:rsidRPr="00757D20">
        <w:rPr>
          <w:rFonts w:eastAsia="Calibri"/>
        </w:rPr>
        <w:t xml:space="preserve"> A. &amp; Nikolaou, I. (2024). Digital transformation and sustainable development in higher education in a post-pandemic world, </w:t>
      </w:r>
      <w:r w:rsidRPr="00757D20">
        <w:rPr>
          <w:rFonts w:eastAsia="Calibri"/>
          <w:i/>
          <w:iCs/>
        </w:rPr>
        <w:t>International Journal of Sustainable Development &amp; World Ecology, 31</w:t>
      </w:r>
      <w:r w:rsidRPr="00757D20">
        <w:rPr>
          <w:rFonts w:eastAsia="Calibri"/>
        </w:rPr>
        <w:t xml:space="preserve">(1), 108-123. </w:t>
      </w:r>
      <w:hyperlink r:id="rId79" w:history="1">
        <w:r w:rsidR="00C07BCA" w:rsidRPr="00BC059C">
          <w:rPr>
            <w:rStyle w:val="Hyperlink"/>
            <w:rFonts w:eastAsia="Calibri"/>
          </w:rPr>
          <w:t>https://doi.org/10.1080/13504509.2023.2237933</w:t>
        </w:r>
      </w:hyperlink>
      <w:r w:rsidR="00C07BCA">
        <w:rPr>
          <w:rFonts w:eastAsia="Calibri"/>
        </w:rPr>
        <w:t xml:space="preserve"> </w:t>
      </w:r>
    </w:p>
    <w:p w14:paraId="6246D31E" w14:textId="48D5D999" w:rsidR="008E5E29" w:rsidRPr="00757D20" w:rsidRDefault="008E5E29" w:rsidP="00BF0B57">
      <w:pPr>
        <w:spacing w:before="120" w:after="120"/>
        <w:ind w:left="709" w:hanging="720"/>
        <w:rPr>
          <w:rFonts w:eastAsia="Calibri"/>
        </w:rPr>
      </w:pPr>
      <w:r w:rsidRPr="00757D20">
        <w:rPr>
          <w:rFonts w:eastAsia="Calibri"/>
        </w:rPr>
        <w:t xml:space="preserve">Fray, L., Gore, J., Harris, J. &amp; North, B. (2020). Key influences on aspirations for higher education of Australian school students in regional and remote locations: </w:t>
      </w:r>
      <w:r w:rsidR="00FB788F" w:rsidRPr="00757D20">
        <w:rPr>
          <w:rFonts w:eastAsia="Calibri"/>
        </w:rPr>
        <w:t>A</w:t>
      </w:r>
      <w:r w:rsidRPr="00757D20">
        <w:rPr>
          <w:rFonts w:eastAsia="Calibri"/>
        </w:rPr>
        <w:t xml:space="preserve"> scoping review of empirical research, 1991–2016. </w:t>
      </w:r>
      <w:r w:rsidRPr="00757D20">
        <w:rPr>
          <w:rFonts w:eastAsia="Calibri"/>
          <w:i/>
          <w:iCs/>
        </w:rPr>
        <w:t>The Australian Educational Researcher, 47</w:t>
      </w:r>
      <w:r w:rsidRPr="00757D20">
        <w:rPr>
          <w:rFonts w:eastAsia="Calibri"/>
        </w:rPr>
        <w:t xml:space="preserve">, 61–93. </w:t>
      </w:r>
      <w:hyperlink r:id="rId80" w:history="1">
        <w:r w:rsidR="00C07BCA" w:rsidRPr="00BC059C">
          <w:rPr>
            <w:rStyle w:val="Hyperlink"/>
            <w:rFonts w:eastAsia="Calibri"/>
          </w:rPr>
          <w:t>https://doi.org/10.1007/s13384-019-00332-4</w:t>
        </w:r>
      </w:hyperlink>
      <w:r w:rsidR="00C07BCA">
        <w:rPr>
          <w:rFonts w:eastAsia="Calibri"/>
        </w:rPr>
        <w:t xml:space="preserve"> </w:t>
      </w:r>
    </w:p>
    <w:p w14:paraId="521E038F" w14:textId="3AFB13A2" w:rsidR="008E5E29" w:rsidRPr="00757D20" w:rsidRDefault="008E5E29" w:rsidP="00BF0B57">
      <w:pPr>
        <w:spacing w:before="120" w:after="120"/>
        <w:ind w:left="709" w:hanging="720"/>
        <w:rPr>
          <w:rFonts w:eastAsia="Calibri"/>
        </w:rPr>
      </w:pPr>
      <w:r w:rsidRPr="00757D20">
        <w:rPr>
          <w:rFonts w:eastAsia="Calibri"/>
        </w:rPr>
        <w:t xml:space="preserve">Fray, L., </w:t>
      </w:r>
      <w:proofErr w:type="spellStart"/>
      <w:r w:rsidRPr="00757D20">
        <w:rPr>
          <w:rFonts w:eastAsia="Calibri"/>
        </w:rPr>
        <w:t>Jaremus</w:t>
      </w:r>
      <w:proofErr w:type="spellEnd"/>
      <w:r w:rsidRPr="00757D20">
        <w:rPr>
          <w:rFonts w:eastAsia="Calibri"/>
        </w:rPr>
        <w:t>, F., Gore, J. &amp; Harris, J. (2023). Schooling upheaval during C</w:t>
      </w:r>
      <w:r w:rsidR="00090F6F" w:rsidRPr="00757D20">
        <w:rPr>
          <w:rFonts w:eastAsia="Calibri"/>
        </w:rPr>
        <w:t>ovid</w:t>
      </w:r>
      <w:r w:rsidRPr="00757D20">
        <w:rPr>
          <w:rFonts w:eastAsia="Calibri"/>
        </w:rPr>
        <w:noBreakHyphen/>
        <w:t xml:space="preserve">19: </w:t>
      </w:r>
      <w:r w:rsidR="00FB788F" w:rsidRPr="00757D20">
        <w:rPr>
          <w:rFonts w:eastAsia="Calibri"/>
        </w:rPr>
        <w:t>T</w:t>
      </w:r>
      <w:r w:rsidRPr="00757D20">
        <w:rPr>
          <w:rFonts w:eastAsia="Calibri"/>
        </w:rPr>
        <w:t xml:space="preserve">roubling consequences for students’ return to school. </w:t>
      </w:r>
      <w:r w:rsidRPr="00757D20">
        <w:rPr>
          <w:rFonts w:eastAsia="Calibri"/>
          <w:i/>
          <w:iCs/>
        </w:rPr>
        <w:t>The Australian Educational Researcher, 50</w:t>
      </w:r>
      <w:r w:rsidRPr="00757D20">
        <w:rPr>
          <w:rFonts w:eastAsia="Calibri"/>
        </w:rPr>
        <w:t>, 1533–1550.</w:t>
      </w:r>
      <w:r w:rsidR="0062786F" w:rsidRPr="00757D20">
        <w:rPr>
          <w:rFonts w:eastAsia="Calibri"/>
        </w:rPr>
        <w:t xml:space="preserve"> </w:t>
      </w:r>
      <w:hyperlink r:id="rId81" w:history="1">
        <w:r w:rsidR="00C07BCA" w:rsidRPr="00BC059C">
          <w:rPr>
            <w:rStyle w:val="Hyperlink"/>
            <w:rFonts w:eastAsia="Calibri"/>
          </w:rPr>
          <w:t>https://doi.org/10.1007/s13384-022-00572-x</w:t>
        </w:r>
      </w:hyperlink>
      <w:r w:rsidR="00C07BCA">
        <w:rPr>
          <w:rFonts w:eastAsia="Calibri"/>
        </w:rPr>
        <w:t xml:space="preserve"> </w:t>
      </w:r>
    </w:p>
    <w:p w14:paraId="2CFB389E" w14:textId="1B2A03C8" w:rsidR="009E548F" w:rsidRPr="00757D20" w:rsidRDefault="008E5E29" w:rsidP="009E548F">
      <w:pPr>
        <w:spacing w:before="120" w:after="120"/>
        <w:ind w:left="709" w:hanging="720"/>
        <w:rPr>
          <w:rFonts w:eastAsia="Calibri"/>
        </w:rPr>
      </w:pPr>
      <w:r w:rsidRPr="00757D20">
        <w:rPr>
          <w:rFonts w:eastAsia="Calibri"/>
        </w:rPr>
        <w:t xml:space="preserve">Galanti, T., Guidetti, G., Mazzei, E., </w:t>
      </w:r>
      <w:proofErr w:type="spellStart"/>
      <w:r w:rsidRPr="00757D20">
        <w:rPr>
          <w:rFonts w:eastAsia="Calibri"/>
        </w:rPr>
        <w:t>Zappalà</w:t>
      </w:r>
      <w:proofErr w:type="spellEnd"/>
      <w:r w:rsidRPr="00757D20">
        <w:rPr>
          <w:rFonts w:eastAsia="Calibri"/>
        </w:rPr>
        <w:t xml:space="preserve">, S. &amp; Toscano, F. (2021). Work </w:t>
      </w:r>
      <w:r w:rsidR="00FB788F" w:rsidRPr="00757D20">
        <w:rPr>
          <w:rFonts w:eastAsia="Calibri"/>
        </w:rPr>
        <w:t>f</w:t>
      </w:r>
      <w:r w:rsidRPr="00757D20">
        <w:rPr>
          <w:rFonts w:eastAsia="Calibri"/>
        </w:rPr>
        <w:t xml:space="preserve">rom </w:t>
      </w:r>
      <w:r w:rsidR="00FB788F" w:rsidRPr="00757D20">
        <w:rPr>
          <w:rFonts w:eastAsia="Calibri"/>
        </w:rPr>
        <w:t>h</w:t>
      </w:r>
      <w:r w:rsidRPr="00757D20">
        <w:rPr>
          <w:rFonts w:eastAsia="Calibri"/>
        </w:rPr>
        <w:t xml:space="preserve">ome </w:t>
      </w:r>
      <w:r w:rsidR="00FB788F" w:rsidRPr="00757D20">
        <w:rPr>
          <w:rFonts w:eastAsia="Calibri"/>
        </w:rPr>
        <w:t>d</w:t>
      </w:r>
      <w:r w:rsidRPr="00757D20">
        <w:rPr>
          <w:rFonts w:eastAsia="Calibri"/>
        </w:rPr>
        <w:t xml:space="preserve">uring the COVID-19 </w:t>
      </w:r>
      <w:r w:rsidR="00FB788F" w:rsidRPr="00757D20">
        <w:rPr>
          <w:rFonts w:eastAsia="Calibri"/>
        </w:rPr>
        <w:t>o</w:t>
      </w:r>
      <w:r w:rsidRPr="00757D20">
        <w:rPr>
          <w:rFonts w:eastAsia="Calibri"/>
        </w:rPr>
        <w:t xml:space="preserve">utbreak: The </w:t>
      </w:r>
      <w:r w:rsidR="00FB788F" w:rsidRPr="00757D20">
        <w:rPr>
          <w:rFonts w:eastAsia="Calibri"/>
        </w:rPr>
        <w:t>i</w:t>
      </w:r>
      <w:r w:rsidRPr="00757D20">
        <w:rPr>
          <w:rFonts w:eastAsia="Calibri"/>
        </w:rPr>
        <w:t xml:space="preserve">mpact on </w:t>
      </w:r>
      <w:r w:rsidR="00FB788F" w:rsidRPr="00757D20">
        <w:rPr>
          <w:rFonts w:eastAsia="Calibri"/>
        </w:rPr>
        <w:t>e</w:t>
      </w:r>
      <w:r w:rsidRPr="00757D20">
        <w:rPr>
          <w:rFonts w:eastAsia="Calibri"/>
        </w:rPr>
        <w:t xml:space="preserve">mployees’ </w:t>
      </w:r>
      <w:r w:rsidR="00FB788F" w:rsidRPr="00757D20">
        <w:rPr>
          <w:rFonts w:eastAsia="Calibri"/>
        </w:rPr>
        <w:t>r</w:t>
      </w:r>
      <w:r w:rsidRPr="00757D20">
        <w:rPr>
          <w:rFonts w:eastAsia="Calibri"/>
        </w:rPr>
        <w:t xml:space="preserve">emote </w:t>
      </w:r>
      <w:r w:rsidR="00FB788F" w:rsidRPr="00757D20">
        <w:rPr>
          <w:rFonts w:eastAsia="Calibri"/>
        </w:rPr>
        <w:t>w</w:t>
      </w:r>
      <w:r w:rsidRPr="00757D20">
        <w:rPr>
          <w:rFonts w:eastAsia="Calibri"/>
        </w:rPr>
        <w:t xml:space="preserve">ork </w:t>
      </w:r>
      <w:r w:rsidR="00FB788F" w:rsidRPr="00757D20">
        <w:rPr>
          <w:rFonts w:eastAsia="Calibri"/>
        </w:rPr>
        <w:t>p</w:t>
      </w:r>
      <w:r w:rsidRPr="00757D20">
        <w:rPr>
          <w:rFonts w:eastAsia="Calibri"/>
        </w:rPr>
        <w:t xml:space="preserve">roductivity, </w:t>
      </w:r>
      <w:r w:rsidR="00FB788F" w:rsidRPr="00757D20">
        <w:rPr>
          <w:rFonts w:eastAsia="Calibri"/>
        </w:rPr>
        <w:t>e</w:t>
      </w:r>
      <w:r w:rsidRPr="00757D20">
        <w:rPr>
          <w:rFonts w:eastAsia="Calibri"/>
        </w:rPr>
        <w:t xml:space="preserve">ngagement, and </w:t>
      </w:r>
      <w:r w:rsidR="00FB788F" w:rsidRPr="00757D20">
        <w:rPr>
          <w:rFonts w:eastAsia="Calibri"/>
        </w:rPr>
        <w:t>s</w:t>
      </w:r>
      <w:r w:rsidRPr="00757D20">
        <w:rPr>
          <w:rFonts w:eastAsia="Calibri"/>
        </w:rPr>
        <w:t xml:space="preserve">tress. </w:t>
      </w:r>
      <w:r w:rsidRPr="00757D20">
        <w:rPr>
          <w:rFonts w:eastAsia="Calibri"/>
          <w:i/>
          <w:iCs/>
        </w:rPr>
        <w:t>Journal of Occupational and Environmental Medicine, 63</w:t>
      </w:r>
      <w:r w:rsidRPr="00757D20">
        <w:rPr>
          <w:rFonts w:eastAsia="Calibri"/>
        </w:rPr>
        <w:t>(7), 426-432.</w:t>
      </w:r>
      <w:r w:rsidR="009E548F" w:rsidRPr="00757D20">
        <w:rPr>
          <w:rFonts w:eastAsia="Calibri"/>
        </w:rPr>
        <w:t xml:space="preserve"> </w:t>
      </w:r>
      <w:hyperlink r:id="rId82" w:history="1">
        <w:r w:rsidR="00C07BCA" w:rsidRPr="00BC059C">
          <w:rPr>
            <w:rStyle w:val="Hyperlink"/>
            <w:rFonts w:eastAsia="Calibri"/>
          </w:rPr>
          <w:t>http://doi.org/10.1097/JOM.0000000000002236</w:t>
        </w:r>
      </w:hyperlink>
      <w:r w:rsidR="00C07BCA">
        <w:rPr>
          <w:rFonts w:eastAsia="Calibri"/>
        </w:rPr>
        <w:t xml:space="preserve"> </w:t>
      </w:r>
    </w:p>
    <w:p w14:paraId="6C3AF9B1" w14:textId="2CC3A7AA" w:rsidR="008E5E29" w:rsidRPr="00757D20" w:rsidRDefault="008E5E29" w:rsidP="00BF0B57">
      <w:pPr>
        <w:spacing w:before="120" w:after="120"/>
        <w:ind w:left="709" w:hanging="720"/>
        <w:rPr>
          <w:rFonts w:eastAsia="Calibri"/>
          <w:color w:val="FF0000"/>
        </w:rPr>
      </w:pPr>
      <w:r w:rsidRPr="00757D20">
        <w:rPr>
          <w:rFonts w:eastAsia="Calibri"/>
        </w:rPr>
        <w:t xml:space="preserve">Gale, T. &amp; Parker, S. (2015). Calculating student aspiration: Bourdieu, spatiality and the politics of recognition. </w:t>
      </w:r>
      <w:r w:rsidRPr="00757D20">
        <w:rPr>
          <w:rFonts w:eastAsia="Calibri"/>
          <w:i/>
          <w:iCs/>
        </w:rPr>
        <w:t>Cambridge Journal of Education, 45</w:t>
      </w:r>
      <w:r w:rsidRPr="00757D20">
        <w:rPr>
          <w:rFonts w:eastAsia="Calibri"/>
        </w:rPr>
        <w:t xml:space="preserve">(1), 81-96. </w:t>
      </w:r>
      <w:hyperlink r:id="rId83" w:history="1">
        <w:r w:rsidR="00C07BCA" w:rsidRPr="00BC059C">
          <w:rPr>
            <w:rStyle w:val="Hyperlink"/>
            <w:rFonts w:eastAsia="Calibri"/>
          </w:rPr>
          <w:t>http://dx.doi.org/10.1080/0305764X.2014.988685</w:t>
        </w:r>
      </w:hyperlink>
      <w:r w:rsidR="00C07BCA">
        <w:rPr>
          <w:rFonts w:eastAsia="Calibri"/>
        </w:rPr>
        <w:t xml:space="preserve"> </w:t>
      </w:r>
    </w:p>
    <w:p w14:paraId="2D89DCA2" w14:textId="1A06B7D7" w:rsidR="008E5E29" w:rsidRPr="00757D20" w:rsidRDefault="008E5E29" w:rsidP="00BF0B57">
      <w:pPr>
        <w:spacing w:before="120" w:after="120"/>
        <w:ind w:left="709" w:hanging="720"/>
        <w:rPr>
          <w:rFonts w:eastAsia="Calibri"/>
        </w:rPr>
      </w:pPr>
      <w:r w:rsidRPr="00757D20">
        <w:rPr>
          <w:rFonts w:eastAsia="Calibri"/>
        </w:rPr>
        <w:t xml:space="preserve">Gale, T. (2015). Widening and expanding participation in Australian higher education: In the absence of sociological imagination. </w:t>
      </w:r>
      <w:r w:rsidRPr="00757D20">
        <w:rPr>
          <w:rFonts w:eastAsia="Calibri"/>
          <w:i/>
          <w:iCs/>
        </w:rPr>
        <w:t>Australian Educational Researcher, 42</w:t>
      </w:r>
      <w:r w:rsidRPr="00757D20">
        <w:rPr>
          <w:rFonts w:eastAsia="Calibri"/>
        </w:rPr>
        <w:t xml:space="preserve">, 257-271. </w:t>
      </w:r>
      <w:hyperlink r:id="rId84" w:history="1">
        <w:r w:rsidR="00C07BCA" w:rsidRPr="00BC059C">
          <w:rPr>
            <w:rStyle w:val="Hyperlink"/>
            <w:rFonts w:eastAsia="Calibri"/>
          </w:rPr>
          <w:t>http://doi.org/10.1007/s13384-014-0167-7</w:t>
        </w:r>
      </w:hyperlink>
      <w:r w:rsidR="00C07BCA">
        <w:rPr>
          <w:rFonts w:eastAsia="Calibri"/>
        </w:rPr>
        <w:t xml:space="preserve"> </w:t>
      </w:r>
    </w:p>
    <w:p w14:paraId="1CE20AE5" w14:textId="10E0BE7A" w:rsidR="008E5E29" w:rsidRPr="00757D20" w:rsidRDefault="008E5E29" w:rsidP="00BF0B57">
      <w:pPr>
        <w:spacing w:before="120" w:after="120"/>
        <w:ind w:left="709" w:hanging="720"/>
        <w:rPr>
          <w:rFonts w:eastAsia="Calibri"/>
          <w:color w:val="FF0000"/>
        </w:rPr>
      </w:pPr>
      <w:proofErr w:type="spellStart"/>
      <w:r w:rsidRPr="00757D20">
        <w:rPr>
          <w:rFonts w:eastAsia="Calibri"/>
        </w:rPr>
        <w:t>Garretsen</w:t>
      </w:r>
      <w:proofErr w:type="spellEnd"/>
      <w:r w:rsidRPr="00757D20">
        <w:rPr>
          <w:rFonts w:eastAsia="Calibri"/>
        </w:rPr>
        <w:t xml:space="preserve">, H., Kitson, M. &amp; Yang, C. (2025). Global forces and local impacts: </w:t>
      </w:r>
      <w:r w:rsidR="00D27136" w:rsidRPr="00757D20">
        <w:rPr>
          <w:rFonts w:eastAsia="Calibri"/>
        </w:rPr>
        <w:t>M</w:t>
      </w:r>
      <w:r w:rsidRPr="00757D20">
        <w:rPr>
          <w:rFonts w:eastAsia="Calibri"/>
        </w:rPr>
        <w:t xml:space="preserve">egatrends in regional development. </w:t>
      </w:r>
      <w:r w:rsidRPr="00757D20">
        <w:rPr>
          <w:rFonts w:eastAsia="Calibri"/>
          <w:i/>
          <w:iCs/>
        </w:rPr>
        <w:t>Cambridge Journal of Regions, Economy and Society</w:t>
      </w:r>
      <w:r w:rsidRPr="00757D20">
        <w:rPr>
          <w:rFonts w:eastAsia="Calibri"/>
        </w:rPr>
        <w:t xml:space="preserve">, </w:t>
      </w:r>
      <w:r w:rsidRPr="00757D20">
        <w:rPr>
          <w:rFonts w:eastAsia="Calibri"/>
          <w:i/>
          <w:iCs/>
        </w:rPr>
        <w:t>18</w:t>
      </w:r>
      <w:r w:rsidRPr="00757D20">
        <w:rPr>
          <w:rFonts w:eastAsia="Calibri"/>
        </w:rPr>
        <w:t>(1), 1–16. </w:t>
      </w:r>
      <w:hyperlink r:id="rId85" w:history="1">
        <w:r w:rsidR="00C07BCA" w:rsidRPr="00BC059C">
          <w:rPr>
            <w:rStyle w:val="Hyperlink"/>
            <w:rFonts w:eastAsia="Calibri"/>
          </w:rPr>
          <w:t>https://doi.org/10.1093/cjres/rsae047</w:t>
        </w:r>
      </w:hyperlink>
      <w:r w:rsidR="00C07BCA">
        <w:rPr>
          <w:rFonts w:eastAsia="Calibri"/>
        </w:rPr>
        <w:t xml:space="preserve"> </w:t>
      </w:r>
    </w:p>
    <w:p w14:paraId="26C8B714" w14:textId="2E7E4430" w:rsidR="008E5E29" w:rsidRPr="00757D20" w:rsidRDefault="008E5E29" w:rsidP="00BF0B57">
      <w:pPr>
        <w:spacing w:before="120" w:after="120"/>
        <w:ind w:left="709" w:hanging="720"/>
        <w:rPr>
          <w:rFonts w:eastAsia="Calibri"/>
        </w:rPr>
      </w:pPr>
      <w:r w:rsidRPr="00757D20">
        <w:rPr>
          <w:rFonts w:eastAsia="Calibri"/>
        </w:rPr>
        <w:lastRenderedPageBreak/>
        <w:t xml:space="preserve">Gibson, S., </w:t>
      </w:r>
      <w:proofErr w:type="spellStart"/>
      <w:r w:rsidRPr="00757D20">
        <w:rPr>
          <w:rFonts w:eastAsia="Calibri"/>
        </w:rPr>
        <w:t>Patfield</w:t>
      </w:r>
      <w:proofErr w:type="spellEnd"/>
      <w:r w:rsidRPr="00757D20">
        <w:rPr>
          <w:rFonts w:eastAsia="Calibri"/>
        </w:rPr>
        <w:t xml:space="preserve">, S., Gore, J. &amp; Fray, L. (2022). </w:t>
      </w:r>
      <w:r w:rsidR="00323BCA" w:rsidRPr="00757D20">
        <w:rPr>
          <w:rFonts w:eastAsia="Calibri"/>
        </w:rPr>
        <w:t xml:space="preserve">Aspiring to higher education in regional and remote Australia: </w:t>
      </w:r>
      <w:r w:rsidR="003040BD" w:rsidRPr="00757D20">
        <w:rPr>
          <w:rFonts w:eastAsia="Calibri"/>
        </w:rPr>
        <w:t>T</w:t>
      </w:r>
      <w:r w:rsidR="00323BCA" w:rsidRPr="00757D20">
        <w:rPr>
          <w:rFonts w:eastAsia="Calibri"/>
        </w:rPr>
        <w:t>he diverse emotional and material realities shaping young people’s futures</w:t>
      </w:r>
      <w:r w:rsidR="009443D3" w:rsidRPr="00757D20">
        <w:rPr>
          <w:rFonts w:eastAsia="Calibri"/>
        </w:rPr>
        <w:t>.</w:t>
      </w:r>
      <w:r w:rsidRPr="00757D20">
        <w:rPr>
          <w:rFonts w:eastAsia="Calibri"/>
        </w:rPr>
        <w:t xml:space="preserve"> </w:t>
      </w:r>
      <w:r w:rsidRPr="00757D20">
        <w:rPr>
          <w:rFonts w:eastAsia="Calibri"/>
          <w:i/>
          <w:iCs/>
        </w:rPr>
        <w:t>The Australian Educational Researcher, 49</w:t>
      </w:r>
      <w:r w:rsidRPr="00757D20">
        <w:rPr>
          <w:rFonts w:eastAsia="Calibri"/>
        </w:rPr>
        <w:t xml:space="preserve">, 1105–1124. </w:t>
      </w:r>
      <w:hyperlink r:id="rId86" w:history="1">
        <w:r w:rsidR="00C07BCA" w:rsidRPr="00BC059C">
          <w:rPr>
            <w:rStyle w:val="Hyperlink"/>
            <w:rFonts w:eastAsia="Calibri"/>
          </w:rPr>
          <w:t>https://doi.org/10.1007/s13384-021-00463-7</w:t>
        </w:r>
      </w:hyperlink>
      <w:r w:rsidR="00C07BCA">
        <w:rPr>
          <w:rFonts w:eastAsia="Calibri"/>
        </w:rPr>
        <w:t xml:space="preserve"> </w:t>
      </w:r>
    </w:p>
    <w:p w14:paraId="7D244378" w14:textId="01113AA4" w:rsidR="008E5E29" w:rsidRPr="00757D20" w:rsidRDefault="008E5E29" w:rsidP="00BF0B57">
      <w:pPr>
        <w:spacing w:before="120" w:after="120"/>
        <w:ind w:left="709" w:hanging="720"/>
        <w:rPr>
          <w:rFonts w:eastAsia="Calibri"/>
        </w:rPr>
      </w:pPr>
      <w:r w:rsidRPr="00757D20">
        <w:rPr>
          <w:rFonts w:eastAsia="Calibri"/>
        </w:rPr>
        <w:t xml:space="preserve">Gleeson, J., Walsh, L., Gallo Cordoba, B., Mikola, M., Waite, C., &amp; Cutler, B. (2022). </w:t>
      </w:r>
      <w:r w:rsidRPr="00757D20">
        <w:rPr>
          <w:rFonts w:eastAsia="Calibri"/>
          <w:i/>
          <w:iCs/>
        </w:rPr>
        <w:t>Young women choosing careers: Who decides?</w:t>
      </w:r>
      <w:r w:rsidRPr="00757D20">
        <w:rPr>
          <w:rFonts w:eastAsia="Calibri"/>
        </w:rPr>
        <w:t xml:space="preserve"> </w:t>
      </w:r>
      <w:hyperlink r:id="rId87" w:history="1">
        <w:r w:rsidR="00C07BCA" w:rsidRPr="00BC059C">
          <w:rPr>
            <w:rStyle w:val="Hyperlink"/>
          </w:rPr>
          <w:t>https://www.monash.edu/education/cypep/research/young-women-choosing-careers-who-decides</w:t>
        </w:r>
      </w:hyperlink>
      <w:r w:rsidR="00C07BCA">
        <w:t xml:space="preserve"> </w:t>
      </w:r>
      <w:r w:rsidR="003F031A" w:rsidRPr="00757D20">
        <w:rPr>
          <w:rFonts w:eastAsia="Calibri"/>
        </w:rPr>
        <w:t xml:space="preserve"> </w:t>
      </w:r>
      <w:r w:rsidR="003F031A" w:rsidRPr="00757D20" w:rsidDel="00FC1BA6">
        <w:rPr>
          <w:rFonts w:eastAsia="Calibri"/>
        </w:rPr>
        <w:t xml:space="preserve"> </w:t>
      </w:r>
      <w:r w:rsidR="003F031A" w:rsidRPr="00757D20">
        <w:rPr>
          <w:rFonts w:eastAsia="Calibri"/>
        </w:rPr>
        <w:t xml:space="preserve"> </w:t>
      </w:r>
    </w:p>
    <w:p w14:paraId="733D3E30" w14:textId="685CE6F7" w:rsidR="008E5E29" w:rsidRPr="00757D20" w:rsidRDefault="008E5E29" w:rsidP="00BF0B57">
      <w:pPr>
        <w:spacing w:before="120" w:after="120"/>
        <w:ind w:left="709" w:hanging="720"/>
        <w:rPr>
          <w:rFonts w:eastAsia="Calibri"/>
        </w:rPr>
      </w:pPr>
      <w:r w:rsidRPr="00757D20">
        <w:rPr>
          <w:rFonts w:eastAsia="Calibri"/>
        </w:rPr>
        <w:t xml:space="preserve">Godden, N.J., Farrant, B.M., Farrant, J. Y., </w:t>
      </w:r>
      <w:proofErr w:type="spellStart"/>
      <w:r w:rsidRPr="00757D20">
        <w:rPr>
          <w:rFonts w:eastAsia="Calibri"/>
        </w:rPr>
        <w:t>Heyink</w:t>
      </w:r>
      <w:proofErr w:type="spellEnd"/>
      <w:r w:rsidRPr="00757D20">
        <w:rPr>
          <w:rFonts w:eastAsia="Calibri"/>
        </w:rPr>
        <w:t xml:space="preserve">, E., Collins, E. C., </w:t>
      </w:r>
      <w:proofErr w:type="spellStart"/>
      <w:r w:rsidRPr="00757D20">
        <w:rPr>
          <w:rFonts w:eastAsia="Calibri"/>
        </w:rPr>
        <w:t>Burgemeister</w:t>
      </w:r>
      <w:proofErr w:type="spellEnd"/>
      <w:r w:rsidRPr="00757D20">
        <w:rPr>
          <w:rFonts w:eastAsia="Calibri"/>
        </w:rPr>
        <w:t xml:space="preserve">, B., </w:t>
      </w:r>
      <w:proofErr w:type="spellStart"/>
      <w:r w:rsidRPr="00757D20">
        <w:rPr>
          <w:rFonts w:eastAsia="Calibri"/>
        </w:rPr>
        <w:t>Tabeshfar</w:t>
      </w:r>
      <w:proofErr w:type="spellEnd"/>
      <w:r w:rsidRPr="00757D20">
        <w:rPr>
          <w:rFonts w:eastAsia="Calibri"/>
        </w:rPr>
        <w:t xml:space="preserve">, M., Barrow, J., West, M., Kieft, J., Rothwell, M., Leviston, Z., Bailey, S., Blaise, M., &amp; Cooper, T. (2021). Climate change, activism, and supporting the mental health of children and young people: Perspectives from Western Australia. </w:t>
      </w:r>
      <w:r w:rsidRPr="00757D20">
        <w:rPr>
          <w:rFonts w:eastAsia="Calibri"/>
          <w:i/>
          <w:iCs/>
        </w:rPr>
        <w:t>Journal of Paediatrics and Child Health, 57</w:t>
      </w:r>
      <w:r w:rsidRPr="00757D20">
        <w:rPr>
          <w:rFonts w:eastAsia="Calibri"/>
        </w:rPr>
        <w:t>, 1759-1764.</w:t>
      </w:r>
      <w:r w:rsidR="00BD4848" w:rsidRPr="00757D20">
        <w:rPr>
          <w:rFonts w:eastAsia="Calibri"/>
        </w:rPr>
        <w:t xml:space="preserve"> </w:t>
      </w:r>
      <w:hyperlink r:id="rId88" w:history="1">
        <w:r w:rsidR="00C07BCA" w:rsidRPr="00BC059C">
          <w:rPr>
            <w:rStyle w:val="Hyperlink"/>
            <w:rFonts w:eastAsia="Calibri"/>
          </w:rPr>
          <w:t>http://doi.org/10.1111/jpc.15649</w:t>
        </w:r>
      </w:hyperlink>
      <w:r w:rsidR="00C07BCA">
        <w:rPr>
          <w:rFonts w:eastAsia="Calibri"/>
        </w:rPr>
        <w:t xml:space="preserve"> </w:t>
      </w:r>
    </w:p>
    <w:p w14:paraId="0F87B159" w14:textId="3EB82C75" w:rsidR="008E5E29" w:rsidRPr="00757D20" w:rsidRDefault="008E5E29" w:rsidP="00BF0B57">
      <w:pPr>
        <w:spacing w:before="120" w:after="120"/>
        <w:ind w:left="709" w:hanging="720"/>
        <w:rPr>
          <w:rFonts w:eastAsia="Calibri"/>
        </w:rPr>
      </w:pPr>
      <w:proofErr w:type="spellStart"/>
      <w:r w:rsidRPr="00757D20">
        <w:rPr>
          <w:rFonts w:eastAsia="Calibri"/>
        </w:rPr>
        <w:t>Godhino</w:t>
      </w:r>
      <w:proofErr w:type="spellEnd"/>
      <w:r w:rsidRPr="00757D20">
        <w:rPr>
          <w:rFonts w:eastAsia="Calibri"/>
        </w:rPr>
        <w:t xml:space="preserve">, C. (2022). What do we know about the employment impacts of climate policies? A review of the </w:t>
      </w:r>
      <w:r w:rsidR="001A3130" w:rsidRPr="00757D20">
        <w:rPr>
          <w:rFonts w:eastAsia="Calibri"/>
        </w:rPr>
        <w:t>ex-post</w:t>
      </w:r>
      <w:r w:rsidRPr="00757D20">
        <w:rPr>
          <w:rFonts w:eastAsia="Calibri"/>
        </w:rPr>
        <w:t xml:space="preserve"> literature. </w:t>
      </w:r>
      <w:r w:rsidRPr="00757D20">
        <w:rPr>
          <w:rFonts w:eastAsia="Calibri"/>
          <w:i/>
          <w:iCs/>
        </w:rPr>
        <w:t>WIREs Climate Change, 13</w:t>
      </w:r>
      <w:r w:rsidRPr="00757D20">
        <w:rPr>
          <w:rFonts w:eastAsia="Calibri"/>
        </w:rPr>
        <w:t xml:space="preserve">(6), e794. </w:t>
      </w:r>
      <w:hyperlink r:id="rId89" w:history="1">
        <w:r w:rsidR="00C07BCA" w:rsidRPr="00BC059C">
          <w:rPr>
            <w:rStyle w:val="Hyperlink"/>
            <w:rFonts w:eastAsia="Calibri"/>
          </w:rPr>
          <w:t>https://doi.org/10.1002/wcc.794</w:t>
        </w:r>
      </w:hyperlink>
      <w:r w:rsidR="00C07BCA">
        <w:rPr>
          <w:rFonts w:eastAsia="Calibri"/>
        </w:rPr>
        <w:t xml:space="preserve"> </w:t>
      </w:r>
    </w:p>
    <w:p w14:paraId="63AB6B30" w14:textId="0C918C95" w:rsidR="008E5E29" w:rsidRPr="00757D20" w:rsidRDefault="008E5E29" w:rsidP="00BF0B57">
      <w:pPr>
        <w:spacing w:before="120" w:after="120"/>
        <w:ind w:left="709" w:hanging="720"/>
        <w:rPr>
          <w:rFonts w:eastAsia="Calibri"/>
        </w:rPr>
      </w:pPr>
      <w:r w:rsidRPr="00757D20">
        <w:rPr>
          <w:rFonts w:eastAsia="Calibri"/>
        </w:rPr>
        <w:t xml:space="preserve">Gore, J., Fray, L., </w:t>
      </w:r>
      <w:proofErr w:type="spellStart"/>
      <w:r w:rsidRPr="00757D20">
        <w:rPr>
          <w:rFonts w:eastAsia="Calibri"/>
        </w:rPr>
        <w:t>Patfield</w:t>
      </w:r>
      <w:proofErr w:type="spellEnd"/>
      <w:r w:rsidRPr="00757D20">
        <w:rPr>
          <w:rFonts w:eastAsia="Calibri"/>
        </w:rPr>
        <w:t xml:space="preserve">, S. &amp; Harris, J. (2019). </w:t>
      </w:r>
      <w:r w:rsidRPr="00757D20">
        <w:rPr>
          <w:rFonts w:eastAsia="Calibri"/>
          <w:i/>
          <w:iCs/>
        </w:rPr>
        <w:t>Community influence on university aspirations: Does it take a village…?</w:t>
      </w:r>
      <w:r w:rsidRPr="00757D20">
        <w:rPr>
          <w:rFonts w:eastAsia="Calibri"/>
        </w:rPr>
        <w:t xml:space="preserve"> </w:t>
      </w:r>
      <w:hyperlink r:id="rId90" w:history="1">
        <w:r w:rsidR="00C07BCA" w:rsidRPr="00BC059C">
          <w:rPr>
            <w:rStyle w:val="Hyperlink"/>
            <w:rFonts w:eastAsia="Calibri"/>
          </w:rPr>
          <w:t>https://www.ncsehe.edu.au/publications/community-influence-university-aspirations/</w:t>
        </w:r>
      </w:hyperlink>
      <w:r w:rsidR="00C07BCA">
        <w:rPr>
          <w:rFonts w:eastAsia="Calibri"/>
        </w:rPr>
        <w:t xml:space="preserve"> </w:t>
      </w:r>
      <w:r w:rsidRPr="00757D20">
        <w:rPr>
          <w:rFonts w:eastAsia="Calibri"/>
        </w:rPr>
        <w:t xml:space="preserve"> </w:t>
      </w:r>
    </w:p>
    <w:p w14:paraId="423BF1B2" w14:textId="78DE40AD" w:rsidR="008E5E29" w:rsidRPr="00757D20" w:rsidRDefault="008E5E29" w:rsidP="00BF0B57">
      <w:pPr>
        <w:spacing w:before="120" w:after="120"/>
        <w:ind w:left="709" w:hanging="720"/>
      </w:pPr>
      <w:r w:rsidRPr="00757D20">
        <w:t xml:space="preserve">Gore, J., Holmes, K., Smith, M., Fray, L., McElduff, P., Weaver, N., &amp; Wallington, C. (2017). Unpacking the career aspirations of Australian school students: towards an evidence base for university equity initiatives in schools. </w:t>
      </w:r>
      <w:r w:rsidRPr="00757D20">
        <w:rPr>
          <w:i/>
          <w:iCs/>
        </w:rPr>
        <w:t>Higher Education Research &amp; Development, 36</w:t>
      </w:r>
      <w:r w:rsidRPr="00757D20">
        <w:t xml:space="preserve">(7), 1383-1400. </w:t>
      </w:r>
      <w:hyperlink r:id="rId91" w:history="1">
        <w:r w:rsidR="00C07BCA" w:rsidRPr="00BC059C">
          <w:rPr>
            <w:rStyle w:val="Hyperlink"/>
          </w:rPr>
          <w:t>https://doi.org/10.1080/07294360.2017.1325847</w:t>
        </w:r>
      </w:hyperlink>
      <w:r w:rsidR="00C07BCA">
        <w:t xml:space="preserve"> </w:t>
      </w:r>
      <w:r w:rsidRPr="00757D20">
        <w:t xml:space="preserve"> </w:t>
      </w:r>
    </w:p>
    <w:p w14:paraId="10B40AAA" w14:textId="20D9D6EE" w:rsidR="008E5E29" w:rsidRPr="00757D20" w:rsidRDefault="008E5E29" w:rsidP="00BF0B57">
      <w:pPr>
        <w:spacing w:before="120" w:after="120"/>
        <w:ind w:left="709" w:hanging="720"/>
      </w:pPr>
      <w:r w:rsidRPr="00757D20">
        <w:t xml:space="preserve">Gore, J., Holmes, K., Smith, M., Lyell, A., Ellis, H., &amp; Fray, L. (2015). </w:t>
      </w:r>
      <w:r w:rsidRPr="00757D20">
        <w:rPr>
          <w:i/>
          <w:iCs/>
        </w:rPr>
        <w:t>Choosing university: The impact of schools and schooling</w:t>
      </w:r>
      <w:r w:rsidRPr="00757D20">
        <w:t xml:space="preserve">. </w:t>
      </w:r>
      <w:hyperlink r:id="rId92" w:history="1">
        <w:r w:rsidR="00C07BCA" w:rsidRPr="00BC059C">
          <w:rPr>
            <w:rStyle w:val="Hyperlink"/>
          </w:rPr>
          <w:t>https://www.ncsehe.edu.au/wp-content/uploads/2015/09/Choosing-University-The-Impact-of-Schools-and-Schooling.pdf</w:t>
        </w:r>
      </w:hyperlink>
      <w:r w:rsidR="00C07BCA">
        <w:t xml:space="preserve"> </w:t>
      </w:r>
    </w:p>
    <w:p w14:paraId="6609DCCB" w14:textId="5E821C46" w:rsidR="008E5E29" w:rsidRPr="00757D20" w:rsidRDefault="008E5E29" w:rsidP="00BF0B57">
      <w:pPr>
        <w:spacing w:before="120" w:after="120"/>
        <w:ind w:left="709" w:hanging="720"/>
      </w:pPr>
      <w:r w:rsidRPr="00757D20">
        <w:t xml:space="preserve">Gore, J., Holmes, K., Smith, M., Southgate, E., &amp; Albright, J. (2015). Socioeconomic status and the career aspirations of Australian school students: Testing enduring assumptions. </w:t>
      </w:r>
      <w:r w:rsidRPr="00757D20">
        <w:rPr>
          <w:i/>
          <w:iCs/>
        </w:rPr>
        <w:t>Australian Educational Researcher, 42</w:t>
      </w:r>
      <w:r w:rsidRPr="00757D20">
        <w:t xml:space="preserve">(2), 155-177. </w:t>
      </w:r>
      <w:hyperlink r:id="rId93" w:history="1">
        <w:r w:rsidR="00C07BCA" w:rsidRPr="00BC059C">
          <w:rPr>
            <w:rStyle w:val="Hyperlink"/>
          </w:rPr>
          <w:t>https://doi.org/10.1007/S13384-015-0172-5/TABLES/5</w:t>
        </w:r>
      </w:hyperlink>
      <w:r w:rsidR="00C07BCA">
        <w:t xml:space="preserve"> </w:t>
      </w:r>
      <w:r w:rsidRPr="00757D20">
        <w:t xml:space="preserve"> </w:t>
      </w:r>
    </w:p>
    <w:p w14:paraId="23684B10" w14:textId="62A32B8E" w:rsidR="008E5E29" w:rsidRPr="00757D20" w:rsidRDefault="008E5E29" w:rsidP="00BF0B57">
      <w:pPr>
        <w:spacing w:before="120" w:after="120"/>
        <w:ind w:left="709" w:hanging="720"/>
      </w:pPr>
      <w:r w:rsidRPr="00757D20">
        <w:t xml:space="preserve">Gore, J., </w:t>
      </w:r>
      <w:proofErr w:type="spellStart"/>
      <w:r w:rsidRPr="00757D20">
        <w:t>Patfield</w:t>
      </w:r>
      <w:proofErr w:type="spellEnd"/>
      <w:r w:rsidRPr="00757D20">
        <w:t xml:space="preserve">, S., Fray, L., &amp; Harris, J. (2022). </w:t>
      </w:r>
      <w:r w:rsidRPr="00757D20">
        <w:rPr>
          <w:i/>
          <w:iCs/>
        </w:rPr>
        <w:t xml:space="preserve">Community </w:t>
      </w:r>
      <w:r w:rsidR="00237C45" w:rsidRPr="00757D20">
        <w:rPr>
          <w:i/>
          <w:iCs/>
        </w:rPr>
        <w:t>m</w:t>
      </w:r>
      <w:r w:rsidRPr="00757D20">
        <w:rPr>
          <w:i/>
          <w:iCs/>
        </w:rPr>
        <w:t xml:space="preserve">atters: The </w:t>
      </w:r>
      <w:r w:rsidR="00237C45" w:rsidRPr="00757D20">
        <w:rPr>
          <w:i/>
          <w:iCs/>
        </w:rPr>
        <w:t>c</w:t>
      </w:r>
      <w:r w:rsidRPr="00757D20">
        <w:rPr>
          <w:i/>
          <w:iCs/>
        </w:rPr>
        <w:t xml:space="preserve">omplex </w:t>
      </w:r>
      <w:r w:rsidR="00237C45" w:rsidRPr="00757D20">
        <w:rPr>
          <w:i/>
          <w:iCs/>
        </w:rPr>
        <w:t>l</w:t>
      </w:r>
      <w:r w:rsidRPr="00757D20">
        <w:rPr>
          <w:i/>
          <w:iCs/>
        </w:rPr>
        <w:t xml:space="preserve">inks </w:t>
      </w:r>
      <w:r w:rsidR="00237C45" w:rsidRPr="00757D20">
        <w:rPr>
          <w:i/>
          <w:iCs/>
        </w:rPr>
        <w:t>b</w:t>
      </w:r>
      <w:r w:rsidRPr="00757D20">
        <w:rPr>
          <w:i/>
          <w:iCs/>
        </w:rPr>
        <w:t xml:space="preserve">etween </w:t>
      </w:r>
      <w:r w:rsidR="00237C45" w:rsidRPr="00757D20">
        <w:rPr>
          <w:i/>
          <w:iCs/>
        </w:rPr>
        <w:t>c</w:t>
      </w:r>
      <w:r w:rsidRPr="00757D20">
        <w:rPr>
          <w:i/>
          <w:iCs/>
        </w:rPr>
        <w:t xml:space="preserve">ommunity and </w:t>
      </w:r>
      <w:r w:rsidR="00237C45" w:rsidRPr="00757D20">
        <w:rPr>
          <w:i/>
          <w:iCs/>
        </w:rPr>
        <w:t>y</w:t>
      </w:r>
      <w:r w:rsidRPr="00757D20">
        <w:rPr>
          <w:i/>
          <w:iCs/>
        </w:rPr>
        <w:t xml:space="preserve">oung </w:t>
      </w:r>
      <w:r w:rsidR="00237C45" w:rsidRPr="00757D20">
        <w:rPr>
          <w:i/>
          <w:iCs/>
        </w:rPr>
        <w:t>p</w:t>
      </w:r>
      <w:r w:rsidRPr="00757D20">
        <w:rPr>
          <w:i/>
          <w:iCs/>
        </w:rPr>
        <w:t xml:space="preserve">eople's </w:t>
      </w:r>
      <w:r w:rsidR="00237C45" w:rsidRPr="00757D20">
        <w:rPr>
          <w:i/>
          <w:iCs/>
        </w:rPr>
        <w:t>a</w:t>
      </w:r>
      <w:r w:rsidRPr="00757D20">
        <w:rPr>
          <w:i/>
          <w:iCs/>
        </w:rPr>
        <w:t xml:space="preserve">spirations for </w:t>
      </w:r>
      <w:r w:rsidR="00237C45" w:rsidRPr="00757D20">
        <w:rPr>
          <w:i/>
          <w:iCs/>
        </w:rPr>
        <w:t>h</w:t>
      </w:r>
      <w:r w:rsidRPr="00757D20">
        <w:rPr>
          <w:i/>
          <w:iCs/>
        </w:rPr>
        <w:t xml:space="preserve">igher </w:t>
      </w:r>
      <w:r w:rsidR="00237C45" w:rsidRPr="00757D20">
        <w:rPr>
          <w:i/>
          <w:iCs/>
        </w:rPr>
        <w:t>e</w:t>
      </w:r>
      <w:r w:rsidRPr="00757D20">
        <w:rPr>
          <w:i/>
          <w:iCs/>
        </w:rPr>
        <w:t>ducation</w:t>
      </w:r>
      <w:r w:rsidRPr="00757D20">
        <w:t xml:space="preserve">. Routledge </w:t>
      </w:r>
      <w:hyperlink r:id="rId94" w:history="1">
        <w:r w:rsidR="00C07BCA" w:rsidRPr="00BC059C">
          <w:rPr>
            <w:rStyle w:val="Hyperlink"/>
          </w:rPr>
          <w:t>https://doi.org/10.4324/9781003019534</w:t>
        </w:r>
      </w:hyperlink>
      <w:r w:rsidR="00C07BCA">
        <w:t xml:space="preserve"> </w:t>
      </w:r>
      <w:r w:rsidRPr="00757D20">
        <w:t xml:space="preserve"> </w:t>
      </w:r>
    </w:p>
    <w:p w14:paraId="73146D31" w14:textId="0A71A496" w:rsidR="008E5E29" w:rsidRPr="00757D20" w:rsidRDefault="008E5E29" w:rsidP="00BF0B57">
      <w:pPr>
        <w:spacing w:before="120" w:after="120"/>
        <w:ind w:left="709" w:hanging="720"/>
      </w:pPr>
      <w:r w:rsidRPr="00757D20">
        <w:t xml:space="preserve">Grint, K. (2022). Critical </w:t>
      </w:r>
      <w:r w:rsidR="00F94191" w:rsidRPr="00757D20">
        <w:t>e</w:t>
      </w:r>
      <w:r w:rsidRPr="00757D20">
        <w:t xml:space="preserve">ssay: Wicked problems in the </w:t>
      </w:r>
      <w:r w:rsidR="00F94191" w:rsidRPr="00757D20">
        <w:t>a</w:t>
      </w:r>
      <w:r w:rsidRPr="00757D20">
        <w:t xml:space="preserve">ge of </w:t>
      </w:r>
      <w:r w:rsidR="00F94191" w:rsidRPr="00757D20">
        <w:t>u</w:t>
      </w:r>
      <w:r w:rsidRPr="00757D20">
        <w:t xml:space="preserve">ncertainty. </w:t>
      </w:r>
      <w:r w:rsidRPr="00757D20">
        <w:rPr>
          <w:i/>
          <w:iCs/>
        </w:rPr>
        <w:t>Human Relations, 75</w:t>
      </w:r>
      <w:r w:rsidRPr="00757D20">
        <w:t xml:space="preserve">(8). </w:t>
      </w:r>
      <w:hyperlink r:id="rId95" w:history="1">
        <w:r w:rsidR="00C07BCA" w:rsidRPr="00BC059C">
          <w:rPr>
            <w:rStyle w:val="Hyperlink"/>
          </w:rPr>
          <w:t>https://doi.org/10.1177/00187267211070770</w:t>
        </w:r>
      </w:hyperlink>
      <w:r w:rsidR="00C07BCA">
        <w:t xml:space="preserve"> </w:t>
      </w:r>
      <w:r w:rsidRPr="00757D20">
        <w:t xml:space="preserve"> </w:t>
      </w:r>
    </w:p>
    <w:p w14:paraId="71ADDC78" w14:textId="158E540F" w:rsidR="008E5E29" w:rsidRPr="00757D20" w:rsidRDefault="008E5E29" w:rsidP="00BF0B57">
      <w:pPr>
        <w:spacing w:before="120" w:after="120"/>
        <w:ind w:left="709" w:hanging="720"/>
      </w:pPr>
      <w:r w:rsidRPr="00757D20">
        <w:t xml:space="preserve">Hare, J. (2023, April 23). Half of all young people go to </w:t>
      </w:r>
      <w:proofErr w:type="spellStart"/>
      <w:r w:rsidRPr="00757D20">
        <w:t>uni</w:t>
      </w:r>
      <w:proofErr w:type="spellEnd"/>
      <w:r w:rsidRPr="00757D20">
        <w:t xml:space="preserve">, but tradies are happier. </w:t>
      </w:r>
      <w:r w:rsidRPr="00757D20">
        <w:rPr>
          <w:i/>
          <w:iCs/>
        </w:rPr>
        <w:t>Australian Financial Review</w:t>
      </w:r>
      <w:r w:rsidRPr="00757D20">
        <w:t xml:space="preserve">. </w:t>
      </w:r>
      <w:hyperlink r:id="rId96" w:history="1">
        <w:r w:rsidR="00C07BCA" w:rsidRPr="00BC059C">
          <w:rPr>
            <w:rStyle w:val="Hyperlink"/>
          </w:rPr>
          <w:t>https://www.afr.com/work-and-careers/education/half-of-all-young-people-go-to-uni-but-tradies-are-happier-20230420-p5d201</w:t>
        </w:r>
      </w:hyperlink>
      <w:r w:rsidR="00C07BCA">
        <w:t xml:space="preserve"> </w:t>
      </w:r>
    </w:p>
    <w:p w14:paraId="35EFE88C" w14:textId="3A8D90D7" w:rsidR="008E5E29" w:rsidRPr="00757D20" w:rsidRDefault="008E5E29" w:rsidP="00BF0B57">
      <w:pPr>
        <w:spacing w:before="120" w:after="120"/>
        <w:ind w:left="709" w:hanging="720"/>
        <w:rPr>
          <w:rFonts w:eastAsia="Calibri"/>
        </w:rPr>
      </w:pPr>
      <w:r w:rsidRPr="00757D20">
        <w:rPr>
          <w:rFonts w:eastAsia="Calibri"/>
        </w:rPr>
        <w:t xml:space="preserve">Head, L., Adams, M., McGregor, H. v. &amp; Toole, S. (2014). Climate change and Australia, </w:t>
      </w:r>
      <w:r w:rsidRPr="00757D20">
        <w:rPr>
          <w:rFonts w:eastAsia="Calibri"/>
          <w:i/>
          <w:iCs/>
        </w:rPr>
        <w:t>WIREs Climate Change, 5</w:t>
      </w:r>
      <w:r w:rsidRPr="00757D20">
        <w:rPr>
          <w:rFonts w:eastAsia="Calibri"/>
        </w:rPr>
        <w:t xml:space="preserve">, 175-197, </w:t>
      </w:r>
      <w:hyperlink r:id="rId97" w:history="1">
        <w:r w:rsidR="00C07BCA" w:rsidRPr="00BC059C">
          <w:rPr>
            <w:rStyle w:val="Hyperlink"/>
            <w:rFonts w:eastAsia="Calibri"/>
          </w:rPr>
          <w:t>http://doi.org/10.1002/wcc.255</w:t>
        </w:r>
      </w:hyperlink>
      <w:r w:rsidR="00C07BCA">
        <w:rPr>
          <w:rFonts w:eastAsia="Calibri"/>
        </w:rPr>
        <w:t xml:space="preserve"> </w:t>
      </w:r>
    </w:p>
    <w:p w14:paraId="4FB90D90" w14:textId="3FA9E4CB" w:rsidR="008E5E29" w:rsidRPr="00757D20" w:rsidRDefault="008E5E29" w:rsidP="00BF0B57">
      <w:pPr>
        <w:spacing w:before="120" w:after="120"/>
        <w:ind w:left="709" w:hanging="720"/>
      </w:pPr>
      <w:r w:rsidRPr="00757D20">
        <w:lastRenderedPageBreak/>
        <w:t xml:space="preserve">Headspace: National Youth Mental Health Foundation. (2023). </w:t>
      </w:r>
      <w:r w:rsidRPr="00757D20">
        <w:rPr>
          <w:i/>
          <w:iCs/>
        </w:rPr>
        <w:t>Future work and study aspirations for young people aged 15+</w:t>
      </w:r>
      <w:r w:rsidRPr="00757D20">
        <w:t xml:space="preserve">. </w:t>
      </w:r>
      <w:hyperlink r:id="rId98" w:history="1">
        <w:r w:rsidR="00C07BCA" w:rsidRPr="00BC059C">
          <w:rPr>
            <w:rStyle w:val="Hyperlink"/>
          </w:rPr>
          <w:t>https://headspace.org.au/assets/20230322_Headspace-Survey-Report.pdf</w:t>
        </w:r>
      </w:hyperlink>
      <w:r w:rsidR="00C07BCA">
        <w:t xml:space="preserve"> </w:t>
      </w:r>
      <w:r w:rsidRPr="00757D20">
        <w:t xml:space="preserve"> </w:t>
      </w:r>
    </w:p>
    <w:p w14:paraId="094A2AD4" w14:textId="28BAA878" w:rsidR="008E5E29" w:rsidRPr="00757D20" w:rsidRDefault="008E5E29" w:rsidP="00BF0B57">
      <w:pPr>
        <w:spacing w:before="120" w:after="120"/>
        <w:ind w:left="709" w:hanging="720"/>
        <w:rPr>
          <w:rFonts w:eastAsia="Calibri"/>
        </w:rPr>
      </w:pPr>
      <w:r w:rsidRPr="00757D20">
        <w:rPr>
          <w:rFonts w:eastAsia="Calibri"/>
        </w:rPr>
        <w:t xml:space="preserve">Higher Education Policy Institute (2023). </w:t>
      </w:r>
      <w:r w:rsidRPr="00757D20">
        <w:rPr>
          <w:rFonts w:eastAsia="Calibri"/>
          <w:i/>
          <w:iCs/>
        </w:rPr>
        <w:t xml:space="preserve">Student accommodation costs across 10 cities in the UK: Cost pressures and their consequences in </w:t>
      </w:r>
      <w:r w:rsidR="00B6698B" w:rsidRPr="00757D20">
        <w:rPr>
          <w:rFonts w:eastAsia="Calibri"/>
          <w:i/>
          <w:iCs/>
        </w:rPr>
        <w:t>p</w:t>
      </w:r>
      <w:r w:rsidRPr="00757D20">
        <w:rPr>
          <w:rFonts w:eastAsia="Calibri"/>
          <w:i/>
          <w:iCs/>
        </w:rPr>
        <w:t>urpose-</w:t>
      </w:r>
      <w:r w:rsidR="00B6698B" w:rsidRPr="00757D20">
        <w:rPr>
          <w:rFonts w:eastAsia="Calibri"/>
          <w:i/>
          <w:iCs/>
        </w:rPr>
        <w:t>b</w:t>
      </w:r>
      <w:r w:rsidRPr="00757D20">
        <w:rPr>
          <w:rFonts w:eastAsia="Calibri"/>
          <w:i/>
          <w:iCs/>
        </w:rPr>
        <w:t xml:space="preserve">uilt </w:t>
      </w:r>
      <w:r w:rsidR="00B6698B" w:rsidRPr="00757D20">
        <w:rPr>
          <w:rFonts w:eastAsia="Calibri"/>
          <w:i/>
          <w:iCs/>
        </w:rPr>
        <w:t>s</w:t>
      </w:r>
      <w:r w:rsidRPr="00757D20">
        <w:rPr>
          <w:rFonts w:eastAsia="Calibri"/>
          <w:i/>
          <w:iCs/>
        </w:rPr>
        <w:t xml:space="preserve">tudent </w:t>
      </w:r>
      <w:r w:rsidR="00B6698B" w:rsidRPr="00757D20">
        <w:rPr>
          <w:rFonts w:eastAsia="Calibri"/>
          <w:i/>
          <w:iCs/>
        </w:rPr>
        <w:t>a</w:t>
      </w:r>
      <w:r w:rsidRPr="00757D20">
        <w:rPr>
          <w:rFonts w:eastAsia="Calibri"/>
          <w:i/>
          <w:iCs/>
        </w:rPr>
        <w:t>ccommodation</w:t>
      </w:r>
      <w:r w:rsidRPr="00757D20">
        <w:rPr>
          <w:rFonts w:eastAsia="Calibri"/>
        </w:rPr>
        <w:t xml:space="preserve">. </w:t>
      </w:r>
      <w:hyperlink r:id="rId99" w:history="1">
        <w:r w:rsidR="00C07BCA" w:rsidRPr="00BC059C">
          <w:rPr>
            <w:rStyle w:val="Hyperlink"/>
            <w:rFonts w:eastAsia="Calibri"/>
          </w:rPr>
          <w:t>https://www.unipol.org.uk/media/vt1jgqne/ten-cities-rent-survey-2023-final-report-print.pdf</w:t>
        </w:r>
      </w:hyperlink>
      <w:r w:rsidR="00C07BCA">
        <w:rPr>
          <w:rFonts w:eastAsia="Calibri"/>
        </w:rPr>
        <w:t xml:space="preserve"> </w:t>
      </w:r>
    </w:p>
    <w:p w14:paraId="7D59AE80" w14:textId="1B474B6B" w:rsidR="008E5E29" w:rsidRPr="00757D20" w:rsidRDefault="008E5E29" w:rsidP="00BF0B57">
      <w:pPr>
        <w:spacing w:before="120" w:after="120"/>
        <w:ind w:left="709" w:hanging="720"/>
        <w:rPr>
          <w:rFonts w:eastAsia="Calibri"/>
        </w:rPr>
      </w:pPr>
      <w:r w:rsidRPr="00757D20">
        <w:rPr>
          <w:rFonts w:eastAsia="Calibri"/>
        </w:rPr>
        <w:t xml:space="preserve">Holmes, D., </w:t>
      </w:r>
      <w:proofErr w:type="spellStart"/>
      <w:r w:rsidRPr="00757D20">
        <w:rPr>
          <w:rFonts w:eastAsia="Calibri"/>
        </w:rPr>
        <w:t>Coakes</w:t>
      </w:r>
      <w:proofErr w:type="spellEnd"/>
      <w:r w:rsidRPr="00757D20">
        <w:rPr>
          <w:rFonts w:eastAsia="Calibri"/>
        </w:rPr>
        <w:t xml:space="preserve">, S. &amp; Jaeger-Michael, R. (2024). </w:t>
      </w:r>
      <w:r w:rsidRPr="00757D20">
        <w:rPr>
          <w:rFonts w:eastAsia="Calibri"/>
          <w:i/>
          <w:iCs/>
        </w:rPr>
        <w:t>Institutional, stakeholder and regulatory constraints to the redevelopment of mine sites to alternative employment-generating land uses: Hunter Valley case study</w:t>
      </w:r>
      <w:r w:rsidRPr="00757D20">
        <w:rPr>
          <w:rFonts w:eastAsia="Calibri"/>
        </w:rPr>
        <w:t xml:space="preserve">. Australian Centre for Geomechanics </w:t>
      </w:r>
      <w:hyperlink r:id="rId100" w:history="1">
        <w:r w:rsidR="00C07BCA" w:rsidRPr="00BC059C">
          <w:rPr>
            <w:rStyle w:val="Hyperlink"/>
          </w:rPr>
          <w:t>https://doi.org/10.36487/ACG_repo/2415_22</w:t>
        </w:r>
      </w:hyperlink>
      <w:r w:rsidR="00C07BCA">
        <w:t xml:space="preserve"> </w:t>
      </w:r>
    </w:p>
    <w:p w14:paraId="74885A22" w14:textId="2AAAE86B" w:rsidR="008E5E29" w:rsidRPr="00757D20" w:rsidRDefault="008E5E29" w:rsidP="00BF0B57">
      <w:pPr>
        <w:spacing w:before="120" w:after="120"/>
        <w:ind w:left="709" w:hanging="720"/>
      </w:pPr>
      <w:r w:rsidRPr="00757D20">
        <w:t xml:space="preserve">Independent Schools Australia. (2024). </w:t>
      </w:r>
      <w:r w:rsidRPr="00757D20">
        <w:rPr>
          <w:i/>
          <w:iCs/>
        </w:rPr>
        <w:t xml:space="preserve">Independent </w:t>
      </w:r>
      <w:r w:rsidR="00EE184A" w:rsidRPr="00757D20">
        <w:rPr>
          <w:i/>
          <w:iCs/>
        </w:rPr>
        <w:t>s</w:t>
      </w:r>
      <w:r w:rsidRPr="00757D20">
        <w:rPr>
          <w:i/>
          <w:iCs/>
        </w:rPr>
        <w:t>chooling 2024: Enrolment trends, characteristics and projections</w:t>
      </w:r>
      <w:r w:rsidRPr="00757D20">
        <w:t xml:space="preserve">. </w:t>
      </w:r>
      <w:hyperlink r:id="rId101" w:history="1">
        <w:r w:rsidR="00C07BCA" w:rsidRPr="00BC059C">
          <w:rPr>
            <w:rStyle w:val="Hyperlink"/>
          </w:rPr>
          <w:t>https://isa.edu.au/wp-content/uploads/2024/11/2024-Independent-Schooling-2024-FINAL.pdf</w:t>
        </w:r>
      </w:hyperlink>
      <w:r w:rsidR="00C07BCA">
        <w:t xml:space="preserve"> </w:t>
      </w:r>
    </w:p>
    <w:p w14:paraId="2DF6D173" w14:textId="148CB7DB" w:rsidR="008E5E29" w:rsidRPr="00757D20" w:rsidRDefault="008E5E29" w:rsidP="00BF0B57">
      <w:pPr>
        <w:spacing w:before="120" w:after="120"/>
        <w:ind w:left="709" w:hanging="720"/>
        <w:rPr>
          <w:rFonts w:eastAsia="Calibri"/>
        </w:rPr>
      </w:pPr>
      <w:r w:rsidRPr="00757D20">
        <w:rPr>
          <w:rFonts w:eastAsia="Calibri"/>
        </w:rPr>
        <w:t xml:space="preserve">IPCC (2022). </w:t>
      </w:r>
      <w:r w:rsidRPr="00757D20">
        <w:rPr>
          <w:rFonts w:eastAsia="Calibri"/>
          <w:i/>
          <w:iCs/>
        </w:rPr>
        <w:t xml:space="preserve">Climate Change 2022: Impacts, </w:t>
      </w:r>
      <w:r w:rsidR="00EE184A" w:rsidRPr="00757D20">
        <w:rPr>
          <w:rFonts w:eastAsia="Calibri"/>
          <w:i/>
          <w:iCs/>
        </w:rPr>
        <w:t>a</w:t>
      </w:r>
      <w:r w:rsidRPr="00757D20">
        <w:rPr>
          <w:rFonts w:eastAsia="Calibri"/>
          <w:i/>
          <w:iCs/>
        </w:rPr>
        <w:t xml:space="preserve">daptation and </w:t>
      </w:r>
      <w:r w:rsidR="00EE184A" w:rsidRPr="00757D20">
        <w:rPr>
          <w:rFonts w:eastAsia="Calibri"/>
          <w:i/>
          <w:iCs/>
        </w:rPr>
        <w:t>v</w:t>
      </w:r>
      <w:r w:rsidRPr="00757D20">
        <w:rPr>
          <w:rFonts w:eastAsia="Calibri"/>
          <w:i/>
          <w:iCs/>
        </w:rPr>
        <w:t xml:space="preserve">ulnerability. Working </w:t>
      </w:r>
      <w:r w:rsidR="00EE184A" w:rsidRPr="00757D20">
        <w:rPr>
          <w:rFonts w:eastAsia="Calibri"/>
          <w:i/>
          <w:iCs/>
        </w:rPr>
        <w:t>g</w:t>
      </w:r>
      <w:r w:rsidRPr="00757D20">
        <w:rPr>
          <w:rFonts w:eastAsia="Calibri"/>
          <w:i/>
          <w:iCs/>
        </w:rPr>
        <w:t xml:space="preserve">roup II </w:t>
      </w:r>
      <w:r w:rsidR="00EE184A" w:rsidRPr="00757D20">
        <w:rPr>
          <w:rFonts w:eastAsia="Calibri"/>
          <w:i/>
          <w:iCs/>
        </w:rPr>
        <w:t>c</w:t>
      </w:r>
      <w:r w:rsidRPr="00757D20">
        <w:rPr>
          <w:rFonts w:eastAsia="Calibri"/>
          <w:i/>
          <w:iCs/>
        </w:rPr>
        <w:t xml:space="preserve">ontribution to the IPCC </w:t>
      </w:r>
      <w:r w:rsidR="00EE184A" w:rsidRPr="00757D20">
        <w:rPr>
          <w:rFonts w:eastAsia="Calibri"/>
          <w:i/>
          <w:iCs/>
        </w:rPr>
        <w:t>s</w:t>
      </w:r>
      <w:r w:rsidRPr="00757D20">
        <w:rPr>
          <w:rFonts w:eastAsia="Calibri"/>
          <w:i/>
          <w:iCs/>
        </w:rPr>
        <w:t xml:space="preserve">ixth </w:t>
      </w:r>
      <w:r w:rsidR="00EE184A" w:rsidRPr="00757D20">
        <w:rPr>
          <w:rFonts w:eastAsia="Calibri"/>
          <w:i/>
          <w:iCs/>
        </w:rPr>
        <w:t>a</w:t>
      </w:r>
      <w:r w:rsidRPr="00757D20">
        <w:rPr>
          <w:rFonts w:eastAsia="Calibri"/>
          <w:i/>
          <w:iCs/>
        </w:rPr>
        <w:t xml:space="preserve">ssessment </w:t>
      </w:r>
      <w:r w:rsidR="00EE184A" w:rsidRPr="00757D20">
        <w:rPr>
          <w:rFonts w:eastAsia="Calibri"/>
          <w:i/>
          <w:iCs/>
        </w:rPr>
        <w:t>r</w:t>
      </w:r>
      <w:r w:rsidRPr="00757D20">
        <w:rPr>
          <w:rFonts w:eastAsia="Calibri"/>
          <w:i/>
          <w:iCs/>
        </w:rPr>
        <w:t>eport</w:t>
      </w:r>
      <w:r w:rsidRPr="00757D20">
        <w:rPr>
          <w:rFonts w:eastAsia="Calibri"/>
        </w:rPr>
        <w:t xml:space="preserve">. </w:t>
      </w:r>
      <w:hyperlink r:id="rId102" w:history="1">
        <w:r w:rsidR="00C07BCA" w:rsidRPr="00BC059C">
          <w:rPr>
            <w:rStyle w:val="Hyperlink"/>
            <w:rFonts w:eastAsia="Calibri"/>
          </w:rPr>
          <w:t>https://www.ipcc.ch/report/ar6/wg2/</w:t>
        </w:r>
      </w:hyperlink>
      <w:r w:rsidR="00C07BCA">
        <w:rPr>
          <w:rFonts w:eastAsia="Calibri"/>
        </w:rPr>
        <w:t xml:space="preserve"> </w:t>
      </w:r>
    </w:p>
    <w:p w14:paraId="70CDEF6F" w14:textId="35BDFA50" w:rsidR="008E5E29" w:rsidRPr="00757D20" w:rsidRDefault="008E5E29" w:rsidP="00BF0B57">
      <w:pPr>
        <w:spacing w:before="120" w:after="120"/>
        <w:ind w:left="709" w:hanging="720"/>
        <w:rPr>
          <w:rFonts w:eastAsia="Calibri"/>
          <w:color w:val="0563C1"/>
          <w:u w:val="single"/>
        </w:rPr>
      </w:pPr>
      <w:r w:rsidRPr="00757D20">
        <w:rPr>
          <w:rFonts w:eastAsia="Calibri"/>
        </w:rPr>
        <w:t xml:space="preserve">Jaremus, F., Sincock, K., </w:t>
      </w:r>
      <w:proofErr w:type="spellStart"/>
      <w:r w:rsidRPr="00757D20">
        <w:rPr>
          <w:rFonts w:eastAsia="Calibri"/>
        </w:rPr>
        <w:t>Patfield</w:t>
      </w:r>
      <w:proofErr w:type="spellEnd"/>
      <w:r w:rsidRPr="00757D20">
        <w:rPr>
          <w:rFonts w:eastAsia="Calibri"/>
        </w:rPr>
        <w:t xml:space="preserve">, S., Fray, L., Prieto, E. &amp; Gore, J. (2023). Pressure to attend university: </w:t>
      </w:r>
      <w:r w:rsidR="00EE184A" w:rsidRPr="00757D20">
        <w:rPr>
          <w:rFonts w:eastAsia="Calibri"/>
        </w:rPr>
        <w:t>B</w:t>
      </w:r>
      <w:r w:rsidRPr="00757D20">
        <w:rPr>
          <w:rFonts w:eastAsia="Calibri"/>
        </w:rPr>
        <w:t xml:space="preserve">eyond narrow conceptions of pathways to a “good life”. </w:t>
      </w:r>
      <w:r w:rsidRPr="00757D20">
        <w:rPr>
          <w:rFonts w:eastAsia="Calibri"/>
          <w:i/>
          <w:iCs/>
        </w:rPr>
        <w:t>Educational Review</w:t>
      </w:r>
      <w:r w:rsidRPr="00757D20">
        <w:rPr>
          <w:rFonts w:eastAsia="Calibri"/>
        </w:rPr>
        <w:t xml:space="preserve">, 1-20. </w:t>
      </w:r>
      <w:hyperlink r:id="rId103" w:history="1">
        <w:r w:rsidR="00C07BCA" w:rsidRPr="00BC059C">
          <w:rPr>
            <w:rStyle w:val="Hyperlink"/>
            <w:rFonts w:eastAsia="Calibri"/>
          </w:rPr>
          <w:t>https://doi.org/10.1080/00131911.2023.2287417</w:t>
        </w:r>
      </w:hyperlink>
      <w:r w:rsidR="00C07BCA">
        <w:rPr>
          <w:rFonts w:eastAsia="Calibri"/>
        </w:rPr>
        <w:t xml:space="preserve"> </w:t>
      </w:r>
    </w:p>
    <w:p w14:paraId="27675A2E" w14:textId="5F9802DC" w:rsidR="008E5E29" w:rsidRPr="00757D20" w:rsidRDefault="008E5E29" w:rsidP="00BF0B57">
      <w:pPr>
        <w:spacing w:before="120" w:after="120"/>
        <w:ind w:left="709" w:hanging="720"/>
        <w:rPr>
          <w:rFonts w:eastAsia="Calibri"/>
        </w:rPr>
      </w:pPr>
      <w:r w:rsidRPr="00757D20">
        <w:rPr>
          <w:rFonts w:eastAsia="Calibri"/>
        </w:rPr>
        <w:t xml:space="preserve">Jaremus, F., Sincock, K., </w:t>
      </w:r>
      <w:proofErr w:type="spellStart"/>
      <w:r w:rsidRPr="00757D20">
        <w:rPr>
          <w:rFonts w:eastAsia="Calibri"/>
        </w:rPr>
        <w:t>Patfield</w:t>
      </w:r>
      <w:proofErr w:type="spellEnd"/>
      <w:r w:rsidRPr="00757D20">
        <w:rPr>
          <w:rFonts w:eastAsia="Calibri"/>
        </w:rPr>
        <w:t xml:space="preserve">, S., Prieto, E., Fray, L. &amp; Gore, J. (2022). </w:t>
      </w:r>
      <w:r w:rsidRPr="00757D20">
        <w:rPr>
          <w:rFonts w:eastAsia="Calibri"/>
          <w:i/>
          <w:iCs/>
        </w:rPr>
        <w:t>Aspirations, equity and higher education course choice: The path travelled</w:t>
      </w:r>
      <w:r w:rsidRPr="00757D20">
        <w:rPr>
          <w:rFonts w:eastAsia="Calibri"/>
        </w:rPr>
        <w:t xml:space="preserve">. </w:t>
      </w:r>
      <w:hyperlink r:id="rId104" w:history="1">
        <w:r w:rsidR="00C07BCA" w:rsidRPr="00BC059C">
          <w:rPr>
            <w:rStyle w:val="Hyperlink"/>
            <w:rFonts w:eastAsia="Calibri"/>
          </w:rPr>
          <w:t>https://www.acses.edu.au/app/uploads/2022/04/Jaremus_UON_Final.pdf</w:t>
        </w:r>
      </w:hyperlink>
      <w:r w:rsidR="00C07BCA">
        <w:rPr>
          <w:rFonts w:eastAsia="Calibri"/>
        </w:rPr>
        <w:t xml:space="preserve"> </w:t>
      </w:r>
    </w:p>
    <w:p w14:paraId="42FB5D12" w14:textId="45C430AB" w:rsidR="008E5E29" w:rsidRPr="00757D20" w:rsidRDefault="008E5E29" w:rsidP="00BF0B57">
      <w:pPr>
        <w:spacing w:before="120" w:after="120"/>
        <w:ind w:left="709" w:hanging="720"/>
        <w:rPr>
          <w:rFonts w:eastAsia="Calibri"/>
        </w:rPr>
      </w:pPr>
      <w:r w:rsidRPr="00757D20">
        <w:rPr>
          <w:rFonts w:eastAsia="Calibri"/>
        </w:rPr>
        <w:t xml:space="preserve">Jehi, T., Mulvey, M., Shulgan, E., Burke, E., Dean, M., Betancourt, J., Carliss, G., Khan, R., Majzoub, N., Halwani, R., Beeson, L. &amp; Zeman, C., (2023). Anxiety, </w:t>
      </w:r>
      <w:r w:rsidR="00EB49DD" w:rsidRPr="00757D20">
        <w:rPr>
          <w:rFonts w:eastAsia="Calibri"/>
        </w:rPr>
        <w:t>d</w:t>
      </w:r>
      <w:r w:rsidRPr="00757D20">
        <w:rPr>
          <w:rFonts w:eastAsia="Calibri"/>
        </w:rPr>
        <w:t xml:space="preserve">epression, </w:t>
      </w:r>
      <w:r w:rsidR="00EB49DD" w:rsidRPr="00757D20">
        <w:rPr>
          <w:rFonts w:eastAsia="Calibri"/>
        </w:rPr>
        <w:t>s</w:t>
      </w:r>
      <w:r w:rsidRPr="00757D20">
        <w:rPr>
          <w:rFonts w:eastAsia="Calibri"/>
        </w:rPr>
        <w:t xml:space="preserve">tress, and </w:t>
      </w:r>
      <w:r w:rsidR="00EB49DD" w:rsidRPr="00757D20">
        <w:rPr>
          <w:rFonts w:eastAsia="Calibri"/>
        </w:rPr>
        <w:t>t</w:t>
      </w:r>
      <w:r w:rsidRPr="00757D20">
        <w:rPr>
          <w:rFonts w:eastAsia="Calibri"/>
        </w:rPr>
        <w:t xml:space="preserve">est </w:t>
      </w:r>
      <w:r w:rsidR="00EB49DD" w:rsidRPr="00757D20">
        <w:rPr>
          <w:rFonts w:eastAsia="Calibri"/>
        </w:rPr>
        <w:t>a</w:t>
      </w:r>
      <w:r w:rsidRPr="00757D20">
        <w:rPr>
          <w:rFonts w:eastAsia="Calibri"/>
        </w:rPr>
        <w:t xml:space="preserve">nxiety are </w:t>
      </w:r>
      <w:r w:rsidR="00EB49DD" w:rsidRPr="00757D20">
        <w:rPr>
          <w:rFonts w:eastAsia="Calibri"/>
        </w:rPr>
        <w:t>i</w:t>
      </w:r>
      <w:r w:rsidRPr="00757D20">
        <w:rPr>
          <w:rFonts w:eastAsia="Calibri"/>
        </w:rPr>
        <w:t xml:space="preserve">nversely </w:t>
      </w:r>
      <w:r w:rsidR="00EB49DD" w:rsidRPr="00757D20">
        <w:rPr>
          <w:rFonts w:eastAsia="Calibri"/>
        </w:rPr>
        <w:t>a</w:t>
      </w:r>
      <w:r w:rsidRPr="00757D20">
        <w:rPr>
          <w:rFonts w:eastAsia="Calibri"/>
        </w:rPr>
        <w:t xml:space="preserve">ssociated with </w:t>
      </w:r>
      <w:r w:rsidR="00EB49DD" w:rsidRPr="00757D20">
        <w:rPr>
          <w:rFonts w:eastAsia="Calibri"/>
        </w:rPr>
        <w:t>a</w:t>
      </w:r>
      <w:r w:rsidRPr="00757D20">
        <w:rPr>
          <w:rFonts w:eastAsia="Calibri"/>
        </w:rPr>
        <w:t xml:space="preserve">cademic </w:t>
      </w:r>
      <w:r w:rsidR="00EB49DD" w:rsidRPr="00757D20">
        <w:rPr>
          <w:rFonts w:eastAsia="Calibri"/>
        </w:rPr>
        <w:t>p</w:t>
      </w:r>
      <w:r w:rsidRPr="00757D20">
        <w:rPr>
          <w:rFonts w:eastAsia="Calibri"/>
        </w:rPr>
        <w:t xml:space="preserve">erformance </w:t>
      </w:r>
      <w:r w:rsidR="00EB49DD" w:rsidRPr="00757D20">
        <w:rPr>
          <w:rFonts w:eastAsia="Calibri"/>
        </w:rPr>
        <w:t>a</w:t>
      </w:r>
      <w:r w:rsidRPr="00757D20">
        <w:rPr>
          <w:rFonts w:eastAsia="Calibri"/>
        </w:rPr>
        <w:t xml:space="preserve">mong </w:t>
      </w:r>
      <w:r w:rsidR="00EB49DD" w:rsidRPr="00757D20">
        <w:rPr>
          <w:rFonts w:eastAsia="Calibri"/>
        </w:rPr>
        <w:t>u</w:t>
      </w:r>
      <w:r w:rsidRPr="00757D20">
        <w:rPr>
          <w:rFonts w:eastAsia="Calibri"/>
        </w:rPr>
        <w:t xml:space="preserve">ndergraduate </w:t>
      </w:r>
      <w:r w:rsidR="00EB49DD" w:rsidRPr="00757D20">
        <w:rPr>
          <w:rFonts w:eastAsia="Calibri"/>
        </w:rPr>
        <w:t>s</w:t>
      </w:r>
      <w:r w:rsidRPr="00757D20">
        <w:rPr>
          <w:rFonts w:eastAsia="Calibri"/>
        </w:rPr>
        <w:t xml:space="preserve">tudents </w:t>
      </w:r>
      <w:r w:rsidR="00902660" w:rsidRPr="00757D20">
        <w:rPr>
          <w:rFonts w:eastAsia="Calibri"/>
        </w:rPr>
        <w:t>p</w:t>
      </w:r>
      <w:r w:rsidRPr="00757D20">
        <w:rPr>
          <w:rFonts w:eastAsia="Calibri"/>
        </w:rPr>
        <w:t>ost-</w:t>
      </w:r>
      <w:r w:rsidR="00902660" w:rsidRPr="00757D20">
        <w:rPr>
          <w:rFonts w:eastAsia="Calibri"/>
        </w:rPr>
        <w:t>Covid</w:t>
      </w:r>
      <w:r w:rsidRPr="00757D20">
        <w:rPr>
          <w:rFonts w:eastAsia="Calibri"/>
        </w:rPr>
        <w:t xml:space="preserve">-19 </w:t>
      </w:r>
      <w:r w:rsidR="00902660" w:rsidRPr="00757D20">
        <w:rPr>
          <w:rFonts w:eastAsia="Calibri"/>
        </w:rPr>
        <w:t>c</w:t>
      </w:r>
      <w:r w:rsidRPr="00757D20">
        <w:rPr>
          <w:rFonts w:eastAsia="Calibri"/>
        </w:rPr>
        <w:t xml:space="preserve">onfinement. </w:t>
      </w:r>
      <w:r w:rsidRPr="00757D20">
        <w:rPr>
          <w:rFonts w:eastAsia="Calibri"/>
          <w:i/>
          <w:iCs/>
        </w:rPr>
        <w:t>American Journal of Health Education, 55</w:t>
      </w:r>
      <w:r w:rsidRPr="00757D20">
        <w:rPr>
          <w:rFonts w:eastAsia="Calibri"/>
        </w:rPr>
        <w:t xml:space="preserve">(2), 89-99. </w:t>
      </w:r>
      <w:hyperlink r:id="rId105" w:history="1">
        <w:r w:rsidR="00C07BCA" w:rsidRPr="00BC059C">
          <w:rPr>
            <w:rStyle w:val="Hyperlink"/>
            <w:rFonts w:eastAsia="Calibri"/>
          </w:rPr>
          <w:t>https://doi.org/10.1080/19325037.2023.2296943</w:t>
        </w:r>
      </w:hyperlink>
      <w:r w:rsidR="00C07BCA">
        <w:rPr>
          <w:rFonts w:eastAsia="Calibri"/>
        </w:rPr>
        <w:t xml:space="preserve"> </w:t>
      </w:r>
    </w:p>
    <w:p w14:paraId="402E4485" w14:textId="05E91A89" w:rsidR="008E5E29" w:rsidRPr="00757D20" w:rsidRDefault="008E5E29" w:rsidP="00BF0B57">
      <w:pPr>
        <w:spacing w:before="120" w:after="120"/>
        <w:ind w:left="709" w:hanging="720"/>
      </w:pPr>
      <w:r w:rsidRPr="00757D20">
        <w:t xml:space="preserve">Jenkins, A. C., &amp; Mitchell, J. P. (2010). Mentalizing under </w:t>
      </w:r>
      <w:r w:rsidR="00EB49DD" w:rsidRPr="00757D20">
        <w:t>u</w:t>
      </w:r>
      <w:r w:rsidRPr="00757D20">
        <w:t xml:space="preserve">ncertainty: Dissociated </w:t>
      </w:r>
      <w:r w:rsidR="00EB5718" w:rsidRPr="00757D20">
        <w:t>n</w:t>
      </w:r>
      <w:r w:rsidRPr="00757D20">
        <w:t xml:space="preserve">eural </w:t>
      </w:r>
      <w:r w:rsidR="00EB5718" w:rsidRPr="00757D20">
        <w:t>r</w:t>
      </w:r>
      <w:r w:rsidRPr="00757D20">
        <w:t xml:space="preserve">esponses to </w:t>
      </w:r>
      <w:r w:rsidR="00EB5718" w:rsidRPr="00757D20">
        <w:t>a</w:t>
      </w:r>
      <w:r w:rsidRPr="00757D20">
        <w:t xml:space="preserve">mbiguous and </w:t>
      </w:r>
      <w:r w:rsidR="00EB5718" w:rsidRPr="00757D20">
        <w:t>u</w:t>
      </w:r>
      <w:r w:rsidRPr="00757D20">
        <w:t xml:space="preserve">nambiguous </w:t>
      </w:r>
      <w:r w:rsidR="00EB5718" w:rsidRPr="00757D20">
        <w:t>m</w:t>
      </w:r>
      <w:r w:rsidRPr="00757D20">
        <w:t xml:space="preserve">ental </w:t>
      </w:r>
      <w:r w:rsidR="00EB5718" w:rsidRPr="00757D20">
        <w:t>s</w:t>
      </w:r>
      <w:r w:rsidRPr="00757D20">
        <w:t xml:space="preserve">tate </w:t>
      </w:r>
      <w:r w:rsidR="00EB5718" w:rsidRPr="00757D20">
        <w:t>i</w:t>
      </w:r>
      <w:r w:rsidRPr="00757D20">
        <w:t xml:space="preserve">nferences. </w:t>
      </w:r>
      <w:r w:rsidRPr="00757D20">
        <w:rPr>
          <w:i/>
          <w:iCs/>
        </w:rPr>
        <w:t>Cerebral Cortex, 20</w:t>
      </w:r>
      <w:r w:rsidRPr="00757D20">
        <w:t xml:space="preserve">(2). </w:t>
      </w:r>
      <w:hyperlink r:id="rId106" w:history="1">
        <w:r w:rsidR="00C07BCA" w:rsidRPr="00BC059C">
          <w:rPr>
            <w:rStyle w:val="Hyperlink"/>
          </w:rPr>
          <w:t>https://doi.org/10.1093/cercor/bhp109</w:t>
        </w:r>
      </w:hyperlink>
      <w:r w:rsidR="00C07BCA">
        <w:t xml:space="preserve"> </w:t>
      </w:r>
      <w:r w:rsidRPr="00757D20">
        <w:t xml:space="preserve"> </w:t>
      </w:r>
    </w:p>
    <w:p w14:paraId="4A077902" w14:textId="4BE49744" w:rsidR="008E5E29" w:rsidRPr="00757D20" w:rsidRDefault="008E5E29" w:rsidP="00BF0B57">
      <w:pPr>
        <w:spacing w:before="120" w:after="120"/>
        <w:ind w:left="709" w:hanging="720"/>
        <w:rPr>
          <w:rFonts w:eastAsia="Calibri"/>
        </w:rPr>
      </w:pPr>
      <w:r w:rsidRPr="00757D20">
        <w:rPr>
          <w:rFonts w:eastAsia="Calibri"/>
        </w:rPr>
        <w:t>Jiménez-Mijangos, L. P., Rodríguez</w:t>
      </w:r>
      <w:r w:rsidRPr="00757D20">
        <w:rPr>
          <w:rFonts w:eastAsia="Calibri"/>
        </w:rPr>
        <w:noBreakHyphen/>
        <w:t>Arce, J., Martínez</w:t>
      </w:r>
      <w:r w:rsidRPr="00757D20">
        <w:rPr>
          <w:rFonts w:eastAsia="Calibri"/>
        </w:rPr>
        <w:noBreakHyphen/>
        <w:t>Méndez, R. &amp; Reyes</w:t>
      </w:r>
      <w:r w:rsidRPr="00757D20">
        <w:rPr>
          <w:rFonts w:eastAsia="Calibri"/>
        </w:rPr>
        <w:noBreakHyphen/>
        <w:t xml:space="preserve">Lagos, J. J. (2023). Advances and challenges in the detection of academic stress and anxiety in the classroom: A literature review and recommendations. </w:t>
      </w:r>
      <w:r w:rsidRPr="00757D20">
        <w:rPr>
          <w:rFonts w:eastAsia="Calibri"/>
          <w:i/>
          <w:iCs/>
        </w:rPr>
        <w:t>Education and Information Technologies, 28</w:t>
      </w:r>
      <w:r w:rsidRPr="00757D20">
        <w:rPr>
          <w:rFonts w:eastAsia="Calibri"/>
        </w:rPr>
        <w:t xml:space="preserve">, 3637–3666. </w:t>
      </w:r>
      <w:hyperlink r:id="rId107" w:history="1">
        <w:r w:rsidR="00C07BCA" w:rsidRPr="00BC059C">
          <w:rPr>
            <w:rStyle w:val="Hyperlink"/>
            <w:rFonts w:eastAsia="Calibri"/>
          </w:rPr>
          <w:t>https://doi.org/10.1007/s10639-022-11324-w</w:t>
        </w:r>
      </w:hyperlink>
      <w:r w:rsidR="00C07BCA">
        <w:rPr>
          <w:rFonts w:eastAsia="Calibri"/>
        </w:rPr>
        <w:t xml:space="preserve"> </w:t>
      </w:r>
    </w:p>
    <w:p w14:paraId="1BBA21A3" w14:textId="46EC3FAB" w:rsidR="008E5E29" w:rsidRPr="00757D20" w:rsidRDefault="008E5E29" w:rsidP="00BF0B57">
      <w:pPr>
        <w:spacing w:before="120" w:after="120"/>
        <w:ind w:left="709" w:hanging="720"/>
        <w:rPr>
          <w:rFonts w:eastAsia="Calibri"/>
        </w:rPr>
      </w:pPr>
      <w:r w:rsidRPr="00757D20">
        <w:rPr>
          <w:rFonts w:eastAsia="Calibri"/>
        </w:rPr>
        <w:t xml:space="preserve">Johansen, B. &amp; Euchner, J. (2013). Navigating the VUCA </w:t>
      </w:r>
      <w:r w:rsidR="007D0254" w:rsidRPr="00757D20">
        <w:rPr>
          <w:rFonts w:eastAsia="Calibri"/>
        </w:rPr>
        <w:t>w</w:t>
      </w:r>
      <w:r w:rsidRPr="00757D20">
        <w:rPr>
          <w:rFonts w:eastAsia="Calibri"/>
        </w:rPr>
        <w:t xml:space="preserve">orld: An </w:t>
      </w:r>
      <w:r w:rsidR="007D0254" w:rsidRPr="00757D20">
        <w:rPr>
          <w:rFonts w:eastAsia="Calibri"/>
        </w:rPr>
        <w:t>i</w:t>
      </w:r>
      <w:r w:rsidRPr="00757D20">
        <w:rPr>
          <w:rFonts w:eastAsia="Calibri"/>
        </w:rPr>
        <w:t xml:space="preserve">nterview with Bob Johansen. </w:t>
      </w:r>
      <w:r w:rsidRPr="00757D20">
        <w:rPr>
          <w:rFonts w:eastAsia="Calibri"/>
          <w:i/>
          <w:iCs/>
        </w:rPr>
        <w:t>Research Technology Management, 56</w:t>
      </w:r>
      <w:r w:rsidRPr="00757D20">
        <w:rPr>
          <w:rFonts w:eastAsia="Calibri"/>
        </w:rPr>
        <w:t>(1), 10-15.</w:t>
      </w:r>
      <w:r w:rsidR="006B208D" w:rsidRPr="00757D20">
        <w:rPr>
          <w:rFonts w:eastAsia="Calibri"/>
        </w:rPr>
        <w:t xml:space="preserve"> </w:t>
      </w:r>
      <w:hyperlink r:id="rId108" w:history="1">
        <w:r w:rsidR="00C07BCA" w:rsidRPr="00BC059C">
          <w:rPr>
            <w:rStyle w:val="Hyperlink"/>
          </w:rPr>
          <w:t>https://www.tandfonline.com/doi/abs/10.5437/08956308X5601003</w:t>
        </w:r>
      </w:hyperlink>
      <w:r w:rsidR="00C07BCA">
        <w:t xml:space="preserve"> </w:t>
      </w:r>
      <w:r w:rsidR="006B208D" w:rsidRPr="00757D20">
        <w:rPr>
          <w:rFonts w:eastAsia="Calibri"/>
        </w:rPr>
        <w:t xml:space="preserve"> </w:t>
      </w:r>
    </w:p>
    <w:p w14:paraId="4EA930DF" w14:textId="44206755" w:rsidR="008E5E29" w:rsidRPr="00757D20" w:rsidRDefault="008E5E29" w:rsidP="00BF0B57">
      <w:pPr>
        <w:spacing w:before="120" w:after="120"/>
        <w:ind w:left="709" w:hanging="720"/>
      </w:pPr>
      <w:r w:rsidRPr="00757D20">
        <w:t xml:space="preserve">Kennedy, J., Tregenza, H., &amp; Kidd, J. (2024). $148 million slashed from NSW public school funding as deputy principals forced back to classrooms. </w:t>
      </w:r>
      <w:hyperlink r:id="rId109" w:history="1">
        <w:r w:rsidR="00C07BCA" w:rsidRPr="00BC059C">
          <w:rPr>
            <w:rStyle w:val="Hyperlink"/>
          </w:rPr>
          <w:t>https://www.abc.net.au/news/2024-04-10/nsw-public-school-funding-to-be-slashed-by-148-million/103688640</w:t>
        </w:r>
      </w:hyperlink>
      <w:r w:rsidR="00C07BCA">
        <w:t xml:space="preserve"> </w:t>
      </w:r>
      <w:r w:rsidRPr="00757D20">
        <w:t xml:space="preserve"> </w:t>
      </w:r>
    </w:p>
    <w:p w14:paraId="4BC4BFDD" w14:textId="35207B92" w:rsidR="008E5E29" w:rsidRPr="00757D20" w:rsidRDefault="008E5E29" w:rsidP="00BF0B57">
      <w:pPr>
        <w:spacing w:before="120" w:after="120"/>
        <w:ind w:left="709" w:hanging="720"/>
      </w:pPr>
      <w:r w:rsidRPr="00757D20">
        <w:lastRenderedPageBreak/>
        <w:t xml:space="preserve">Kienzler, H., </w:t>
      </w:r>
      <w:proofErr w:type="spellStart"/>
      <w:r w:rsidRPr="00757D20">
        <w:t>Massazza</w:t>
      </w:r>
      <w:proofErr w:type="spellEnd"/>
      <w:r w:rsidRPr="00757D20">
        <w:t xml:space="preserve">, A., Kuykendall, R., Tamimi, N., Hammoudeh, W., &amp; </w:t>
      </w:r>
      <w:proofErr w:type="spellStart"/>
      <w:r w:rsidRPr="00757D20">
        <w:t>Giacaman</w:t>
      </w:r>
      <w:proofErr w:type="spellEnd"/>
      <w:r w:rsidRPr="00757D20">
        <w:t xml:space="preserve">, R. (2025). Uncertainty and mental health: A qualitative scoping review. </w:t>
      </w:r>
      <w:r w:rsidRPr="00757D20">
        <w:rPr>
          <w:i/>
          <w:iCs/>
        </w:rPr>
        <w:t>SSM - Qualitative Research in Health, 7</w:t>
      </w:r>
      <w:r w:rsidRPr="00757D20">
        <w:t xml:space="preserve">. </w:t>
      </w:r>
      <w:hyperlink r:id="rId110" w:history="1">
        <w:r w:rsidR="00C07BCA" w:rsidRPr="00BC059C">
          <w:rPr>
            <w:rStyle w:val="Hyperlink"/>
          </w:rPr>
          <w:t>https://doi.org/10.1016/j.ssmqr.2024.100521</w:t>
        </w:r>
      </w:hyperlink>
      <w:r w:rsidR="00C07BCA">
        <w:t xml:space="preserve"> </w:t>
      </w:r>
      <w:r w:rsidRPr="00757D20">
        <w:t xml:space="preserve"> </w:t>
      </w:r>
    </w:p>
    <w:p w14:paraId="56016DDB" w14:textId="7F8D924C" w:rsidR="008E5E29" w:rsidRPr="00757D20" w:rsidRDefault="008E5E29" w:rsidP="00BF0B57">
      <w:pPr>
        <w:spacing w:before="120" w:after="120"/>
        <w:ind w:left="709" w:hanging="720"/>
        <w:rPr>
          <w:rFonts w:eastAsia="Calibri"/>
        </w:rPr>
      </w:pPr>
      <w:r w:rsidRPr="00757D20">
        <w:rPr>
          <w:rFonts w:eastAsia="Calibri"/>
        </w:rPr>
        <w:t xml:space="preserve">Kramer, A. &amp; Kramer, K.Z. (2020). Editorial: The potential impact of the Covid-19 pandemic on occupational status, work from home, and occupational mobility. </w:t>
      </w:r>
      <w:r w:rsidRPr="00757D20">
        <w:rPr>
          <w:rFonts w:eastAsia="Calibri"/>
          <w:i/>
          <w:iCs/>
        </w:rPr>
        <w:t xml:space="preserve">Journal of Vocational </w:t>
      </w:r>
      <w:proofErr w:type="spellStart"/>
      <w:r w:rsidRPr="00757D20">
        <w:rPr>
          <w:rFonts w:eastAsia="Calibri"/>
          <w:i/>
          <w:iCs/>
        </w:rPr>
        <w:t>Behavior</w:t>
      </w:r>
      <w:proofErr w:type="spellEnd"/>
      <w:r w:rsidRPr="00757D20">
        <w:rPr>
          <w:rFonts w:eastAsia="Calibri"/>
          <w:i/>
          <w:iCs/>
        </w:rPr>
        <w:t>, 119</w:t>
      </w:r>
      <w:r w:rsidRPr="00757D20">
        <w:rPr>
          <w:rFonts w:eastAsia="Calibri"/>
        </w:rPr>
        <w:t>, 103442.</w:t>
      </w:r>
      <w:r w:rsidR="006B33BE" w:rsidRPr="00757D20">
        <w:rPr>
          <w:rFonts w:eastAsia="Calibri"/>
        </w:rPr>
        <w:t xml:space="preserve"> </w:t>
      </w:r>
      <w:hyperlink r:id="rId111" w:tgtFrame="_blank" w:tooltip="Persistent link using digital object identifier" w:history="1">
        <w:r w:rsidR="006B33BE" w:rsidRPr="002B713F">
          <w:rPr>
            <w:rStyle w:val="Hyperlink"/>
          </w:rPr>
          <w:t>https://doi.org/10.1016/j.jvb.2020.103442</w:t>
        </w:r>
      </w:hyperlink>
      <w:r w:rsidR="00C07BCA">
        <w:t xml:space="preserve"> </w:t>
      </w:r>
    </w:p>
    <w:p w14:paraId="0FE04BF8" w14:textId="0D5A8889" w:rsidR="008E5E29" w:rsidRPr="00757D20" w:rsidRDefault="008E5E29" w:rsidP="00BF0B57">
      <w:pPr>
        <w:spacing w:before="120" w:after="120"/>
        <w:ind w:left="709" w:hanging="720"/>
        <w:rPr>
          <w:rFonts w:eastAsia="Calibri"/>
        </w:rPr>
      </w:pPr>
      <w:r w:rsidRPr="00757D20">
        <w:rPr>
          <w:rFonts w:eastAsia="Calibri"/>
        </w:rPr>
        <w:t>Larcombe, W., Finch, S., Sore, R., Murray, C. M., Kentish, S., Mulder, R. A., Lee-</w:t>
      </w:r>
      <w:proofErr w:type="spellStart"/>
      <w:r w:rsidRPr="00757D20">
        <w:rPr>
          <w:rFonts w:eastAsia="Calibri"/>
        </w:rPr>
        <w:t>Stecum</w:t>
      </w:r>
      <w:proofErr w:type="spellEnd"/>
      <w:r w:rsidRPr="00757D20">
        <w:rPr>
          <w:rFonts w:eastAsia="Calibri"/>
        </w:rPr>
        <w:t xml:space="preserve">, P., Baik, C., </w:t>
      </w:r>
      <w:proofErr w:type="spellStart"/>
      <w:r w:rsidRPr="00757D20">
        <w:rPr>
          <w:rFonts w:eastAsia="Calibri"/>
        </w:rPr>
        <w:t>Tokatlidis</w:t>
      </w:r>
      <w:proofErr w:type="spellEnd"/>
      <w:r w:rsidRPr="00757D20">
        <w:rPr>
          <w:rFonts w:eastAsia="Calibri"/>
        </w:rPr>
        <w:t xml:space="preserve">, O. &amp; Williams, D. A. (2016). Prevalence and socio-demographic correlates of psychological distress among students at an Australian university. </w:t>
      </w:r>
      <w:r w:rsidRPr="00757D20">
        <w:rPr>
          <w:rFonts w:eastAsia="Calibri"/>
          <w:i/>
          <w:iCs/>
        </w:rPr>
        <w:t>Studies in Higher Education, 41</w:t>
      </w:r>
      <w:r w:rsidRPr="00757D20">
        <w:rPr>
          <w:rFonts w:eastAsia="Calibri"/>
        </w:rPr>
        <w:t xml:space="preserve">(6), 1074–1091, </w:t>
      </w:r>
      <w:hyperlink r:id="rId112" w:history="1">
        <w:r w:rsidR="00C07BCA" w:rsidRPr="00BC059C">
          <w:rPr>
            <w:rStyle w:val="Hyperlink"/>
            <w:rFonts w:eastAsia="Calibri"/>
          </w:rPr>
          <w:t>http://dx.doi.org/10.1080/03075079.2014.966072</w:t>
        </w:r>
      </w:hyperlink>
      <w:r w:rsidR="00C07BCA">
        <w:rPr>
          <w:rFonts w:eastAsia="Calibri"/>
        </w:rPr>
        <w:t xml:space="preserve"> </w:t>
      </w:r>
    </w:p>
    <w:p w14:paraId="2ACF21AB" w14:textId="0B84BC93" w:rsidR="008E5E29" w:rsidRPr="00757D20" w:rsidRDefault="008E5E29" w:rsidP="00BF0B57">
      <w:pPr>
        <w:spacing w:before="120" w:after="120"/>
        <w:ind w:left="709" w:hanging="720"/>
      </w:pPr>
      <w:r w:rsidRPr="00757D20">
        <w:t xml:space="preserve">Larsen, S. (2024). More Australian families are choosing private schools – we need to understand why. </w:t>
      </w:r>
      <w:r w:rsidRPr="00757D20">
        <w:rPr>
          <w:i/>
          <w:iCs/>
        </w:rPr>
        <w:t>The Conversation</w:t>
      </w:r>
      <w:r w:rsidRPr="00757D20">
        <w:t xml:space="preserve">. </w:t>
      </w:r>
      <w:hyperlink r:id="rId113" w:history="1">
        <w:r w:rsidR="00C07BCA" w:rsidRPr="00BC059C">
          <w:rPr>
            <w:rStyle w:val="Hyperlink"/>
          </w:rPr>
          <w:t>https://theconversation.com/more-australian-families-are-choosing-private-schools-we-need-to-understand-why-242791</w:t>
        </w:r>
      </w:hyperlink>
      <w:r w:rsidR="00C07BCA">
        <w:t xml:space="preserve"> </w:t>
      </w:r>
      <w:r w:rsidRPr="00757D20">
        <w:t xml:space="preserve"> </w:t>
      </w:r>
    </w:p>
    <w:p w14:paraId="674B55EA" w14:textId="609E5A84" w:rsidR="008E5E29" w:rsidRPr="00757D20" w:rsidRDefault="008E5E29" w:rsidP="00BF0B57">
      <w:pPr>
        <w:spacing w:before="120" w:after="120"/>
        <w:ind w:left="709" w:hanging="720"/>
        <w:rPr>
          <w:rFonts w:eastAsia="Calibri"/>
        </w:rPr>
      </w:pPr>
      <w:r w:rsidRPr="00757D20">
        <w:rPr>
          <w:rFonts w:eastAsia="Calibri"/>
        </w:rPr>
        <w:t xml:space="preserve">LeBlanc, P. J. (2018). Higher </w:t>
      </w:r>
      <w:r w:rsidR="008D2E93" w:rsidRPr="00757D20">
        <w:rPr>
          <w:rFonts w:eastAsia="Calibri"/>
        </w:rPr>
        <w:t>e</w:t>
      </w:r>
      <w:r w:rsidRPr="00757D20">
        <w:rPr>
          <w:rFonts w:eastAsia="Calibri"/>
        </w:rPr>
        <w:t xml:space="preserve">ducation in a VUCA </w:t>
      </w:r>
      <w:r w:rsidR="008D2E93" w:rsidRPr="00757D20">
        <w:rPr>
          <w:rFonts w:eastAsia="Calibri"/>
        </w:rPr>
        <w:t>w</w:t>
      </w:r>
      <w:r w:rsidRPr="00757D20">
        <w:rPr>
          <w:rFonts w:eastAsia="Calibri"/>
        </w:rPr>
        <w:t xml:space="preserve">orld. </w:t>
      </w:r>
      <w:r w:rsidRPr="00757D20">
        <w:rPr>
          <w:rFonts w:eastAsia="Calibri"/>
          <w:i/>
          <w:iCs/>
        </w:rPr>
        <w:t>Change</w:t>
      </w:r>
      <w:r w:rsidR="00E60A3D" w:rsidRPr="00757D20">
        <w:rPr>
          <w:rFonts w:eastAsia="Calibri"/>
          <w:i/>
          <w:iCs/>
        </w:rPr>
        <w:t>: The Magazine of Higher Learning</w:t>
      </w:r>
      <w:r w:rsidRPr="00757D20">
        <w:rPr>
          <w:rFonts w:eastAsia="Calibri"/>
        </w:rPr>
        <w:t xml:space="preserve">, </w:t>
      </w:r>
      <w:r w:rsidRPr="00757D20">
        <w:rPr>
          <w:rFonts w:eastAsia="Calibri"/>
          <w:i/>
          <w:iCs/>
        </w:rPr>
        <w:t>50</w:t>
      </w:r>
      <w:r w:rsidRPr="00757D20">
        <w:rPr>
          <w:rFonts w:eastAsia="Calibri"/>
        </w:rPr>
        <w:t>(3/4), 23-26.</w:t>
      </w:r>
      <w:r w:rsidR="00E60A3D" w:rsidRPr="00757D20">
        <w:rPr>
          <w:rFonts w:eastAsia="Calibri"/>
        </w:rPr>
        <w:t xml:space="preserve"> </w:t>
      </w:r>
      <w:hyperlink r:id="rId114" w:history="1">
        <w:r w:rsidR="00C07BCA" w:rsidRPr="00BC059C">
          <w:rPr>
            <w:rStyle w:val="Hyperlink"/>
          </w:rPr>
          <w:t>https://www.tandfonline.com/doi/full/10.1080/00091383.2018.1507370</w:t>
        </w:r>
      </w:hyperlink>
      <w:r w:rsidR="00C07BCA">
        <w:t xml:space="preserve"> </w:t>
      </w:r>
      <w:r w:rsidR="00E60A3D" w:rsidRPr="00757D20">
        <w:rPr>
          <w:rFonts w:eastAsia="Calibri"/>
        </w:rPr>
        <w:t xml:space="preserve"> </w:t>
      </w:r>
    </w:p>
    <w:p w14:paraId="502BE612" w14:textId="7F352629" w:rsidR="008E5E29" w:rsidRPr="00757D20" w:rsidRDefault="008E5E29" w:rsidP="00BF0B57">
      <w:pPr>
        <w:spacing w:before="120" w:after="120"/>
        <w:ind w:left="709" w:hanging="720"/>
        <w:rPr>
          <w:rFonts w:eastAsia="Calibri"/>
        </w:rPr>
      </w:pPr>
      <w:r w:rsidRPr="00757D20">
        <w:rPr>
          <w:rFonts w:eastAsia="Calibri"/>
        </w:rPr>
        <w:t xml:space="preserve">Lester, L., Flatau, P. &amp; Kyron, M. (2022). </w:t>
      </w:r>
      <w:r w:rsidRPr="00757D20">
        <w:rPr>
          <w:rFonts w:eastAsia="Calibri"/>
          <w:i/>
          <w:iCs/>
        </w:rPr>
        <w:t>Understanding the social impacts of drought</w:t>
      </w:r>
      <w:r w:rsidRPr="00757D20">
        <w:rPr>
          <w:rFonts w:eastAsia="Calibri"/>
        </w:rPr>
        <w:t xml:space="preserve">. </w:t>
      </w:r>
      <w:hyperlink r:id="rId115" w:history="1">
        <w:r w:rsidR="00C07BCA" w:rsidRPr="00BC059C">
          <w:rPr>
            <w:rStyle w:val="Hyperlink"/>
            <w:rFonts w:eastAsia="Calibri"/>
          </w:rPr>
          <w:t>https://www.gsdc.wa.gov.au/app/uploads/2022/07/Understanding-the-Social-Impacts-of-Drought-UWA.pdf</w:t>
        </w:r>
      </w:hyperlink>
      <w:r w:rsidR="00C07BCA">
        <w:rPr>
          <w:rFonts w:eastAsia="Calibri"/>
        </w:rPr>
        <w:t xml:space="preserve"> </w:t>
      </w:r>
    </w:p>
    <w:p w14:paraId="3F26283D" w14:textId="62AF7DD7" w:rsidR="008E5E29" w:rsidRPr="00757D20" w:rsidRDefault="008E5E29" w:rsidP="00BF0B57">
      <w:pPr>
        <w:spacing w:before="120" w:after="120"/>
        <w:ind w:left="709" w:hanging="720"/>
      </w:pPr>
      <w:r w:rsidRPr="00757D20">
        <w:t xml:space="preserve">Levin, B. (2001). Lives of Teachers: Update on a </w:t>
      </w:r>
      <w:r w:rsidR="00F73E4E" w:rsidRPr="00757D20">
        <w:t>l</w:t>
      </w:r>
      <w:r w:rsidRPr="00757D20">
        <w:t xml:space="preserve">ongitudinal </w:t>
      </w:r>
      <w:r w:rsidR="00F73E4E" w:rsidRPr="00757D20">
        <w:t>c</w:t>
      </w:r>
      <w:r w:rsidRPr="00757D20">
        <w:t xml:space="preserve">ase </w:t>
      </w:r>
      <w:r w:rsidR="007D0A00" w:rsidRPr="00757D20">
        <w:t>s</w:t>
      </w:r>
      <w:r w:rsidRPr="00757D20">
        <w:t xml:space="preserve">tudy. </w:t>
      </w:r>
      <w:r w:rsidRPr="00757D20">
        <w:rPr>
          <w:i/>
          <w:iCs/>
        </w:rPr>
        <w:t xml:space="preserve">Teacher Education </w:t>
      </w:r>
      <w:r w:rsidR="00F73E4E" w:rsidRPr="00757D20">
        <w:rPr>
          <w:i/>
          <w:iCs/>
        </w:rPr>
        <w:t>Quarterly</w:t>
      </w:r>
      <w:r w:rsidRPr="00757D20">
        <w:rPr>
          <w:i/>
          <w:iCs/>
        </w:rPr>
        <w:t xml:space="preserve">, </w:t>
      </w:r>
      <w:proofErr w:type="gramStart"/>
      <w:r w:rsidRPr="00757D20">
        <w:rPr>
          <w:i/>
          <w:iCs/>
        </w:rPr>
        <w:t>Summer</w:t>
      </w:r>
      <w:r w:rsidRPr="00757D20">
        <w:t>(</w:t>
      </w:r>
      <w:proofErr w:type="gramEnd"/>
      <w:r w:rsidRPr="00757D20">
        <w:t xml:space="preserve">3), 29-47. </w:t>
      </w:r>
      <w:hyperlink r:id="rId116" w:history="1">
        <w:r w:rsidR="00C07BCA" w:rsidRPr="00BC059C">
          <w:rPr>
            <w:rStyle w:val="Hyperlink"/>
          </w:rPr>
          <w:t>https://libres.uncg.edu/ir/uncg/f/B_Levin_Lives_2001.pdf</w:t>
        </w:r>
      </w:hyperlink>
      <w:r w:rsidR="00C07BCA">
        <w:t xml:space="preserve"> </w:t>
      </w:r>
      <w:r w:rsidRPr="00757D20">
        <w:t xml:space="preserve"> </w:t>
      </w:r>
    </w:p>
    <w:p w14:paraId="35E294FC" w14:textId="48BD7B90" w:rsidR="008E5E29" w:rsidRPr="00757D20" w:rsidRDefault="008E5E29" w:rsidP="00BF0B57">
      <w:pPr>
        <w:spacing w:before="120" w:after="120"/>
        <w:ind w:left="709" w:hanging="720"/>
        <w:rPr>
          <w:rFonts w:eastAsia="Calibri"/>
        </w:rPr>
      </w:pPr>
      <w:proofErr w:type="spellStart"/>
      <w:r w:rsidRPr="00757D20">
        <w:rPr>
          <w:rFonts w:eastAsia="Calibri"/>
        </w:rPr>
        <w:t>Mabungela</w:t>
      </w:r>
      <w:proofErr w:type="spellEnd"/>
      <w:r w:rsidRPr="00757D20">
        <w:rPr>
          <w:rFonts w:eastAsia="Calibri"/>
        </w:rPr>
        <w:t xml:space="preserve">, M. (2023). Artificial </w:t>
      </w:r>
      <w:r w:rsidR="007D0A00" w:rsidRPr="00757D20">
        <w:rPr>
          <w:rFonts w:eastAsia="Calibri"/>
        </w:rPr>
        <w:t>i</w:t>
      </w:r>
      <w:r w:rsidRPr="00757D20">
        <w:rPr>
          <w:rFonts w:eastAsia="Calibri"/>
        </w:rPr>
        <w:t xml:space="preserve">ntelligence (AI) and </w:t>
      </w:r>
      <w:r w:rsidR="007D0A00" w:rsidRPr="00757D20">
        <w:rPr>
          <w:rFonts w:eastAsia="Calibri"/>
        </w:rPr>
        <w:t>a</w:t>
      </w:r>
      <w:r w:rsidRPr="00757D20">
        <w:rPr>
          <w:rFonts w:eastAsia="Calibri"/>
        </w:rPr>
        <w:t xml:space="preserve">utomation in the </w:t>
      </w:r>
      <w:r w:rsidR="007D0A00" w:rsidRPr="00757D20">
        <w:rPr>
          <w:rFonts w:eastAsia="Calibri"/>
        </w:rPr>
        <w:t>w</w:t>
      </w:r>
      <w:r w:rsidRPr="00757D20">
        <w:rPr>
          <w:rFonts w:eastAsia="Calibri"/>
        </w:rPr>
        <w:t xml:space="preserve">orld of </w:t>
      </w:r>
      <w:r w:rsidR="007D0A00" w:rsidRPr="00757D20">
        <w:rPr>
          <w:rFonts w:eastAsia="Calibri"/>
        </w:rPr>
        <w:t>w</w:t>
      </w:r>
      <w:r w:rsidRPr="00757D20">
        <w:rPr>
          <w:rFonts w:eastAsia="Calibri"/>
        </w:rPr>
        <w:t xml:space="preserve">ork: A </w:t>
      </w:r>
      <w:r w:rsidR="007D0A00" w:rsidRPr="00757D20">
        <w:rPr>
          <w:rFonts w:eastAsia="Calibri"/>
        </w:rPr>
        <w:t>t</w:t>
      </w:r>
      <w:r w:rsidRPr="00757D20">
        <w:rPr>
          <w:rFonts w:eastAsia="Calibri"/>
        </w:rPr>
        <w:t xml:space="preserve">hreat to Employees? </w:t>
      </w:r>
      <w:r w:rsidRPr="00757D20">
        <w:rPr>
          <w:rFonts w:eastAsia="Calibri"/>
          <w:i/>
          <w:iCs/>
        </w:rPr>
        <w:t>Research in Social Sciences and Technology, 8</w:t>
      </w:r>
      <w:r w:rsidRPr="00757D20">
        <w:rPr>
          <w:rFonts w:eastAsia="Calibri"/>
        </w:rPr>
        <w:t xml:space="preserve">(4), 135-146. </w:t>
      </w:r>
      <w:hyperlink r:id="rId117" w:history="1">
        <w:r w:rsidR="00C07BCA" w:rsidRPr="00BC059C">
          <w:rPr>
            <w:rStyle w:val="Hyperlink"/>
            <w:rFonts w:eastAsia="Calibri"/>
          </w:rPr>
          <w:t>https://doi.org/10.46303/ressat.2023.37</w:t>
        </w:r>
      </w:hyperlink>
      <w:r w:rsidR="00C07BCA">
        <w:rPr>
          <w:rFonts w:eastAsia="Calibri"/>
        </w:rPr>
        <w:t xml:space="preserve"> </w:t>
      </w:r>
    </w:p>
    <w:p w14:paraId="507A65CE" w14:textId="31809CD0" w:rsidR="008E5E29" w:rsidRPr="00757D20" w:rsidRDefault="008E5E29" w:rsidP="00BF0B57">
      <w:pPr>
        <w:spacing w:before="120" w:after="120"/>
        <w:ind w:left="709" w:hanging="720"/>
      </w:pPr>
      <w:r w:rsidRPr="00757D20">
        <w:t>Malone, K. (2018)</w:t>
      </w:r>
      <w:r w:rsidRPr="00757D20">
        <w:rPr>
          <w:i/>
        </w:rPr>
        <w:t xml:space="preserve">. Children in the </w:t>
      </w:r>
      <w:proofErr w:type="spellStart"/>
      <w:r w:rsidR="007D0A00" w:rsidRPr="00757D20">
        <w:rPr>
          <w:i/>
        </w:rPr>
        <w:t>a</w:t>
      </w:r>
      <w:r w:rsidRPr="00757D20">
        <w:rPr>
          <w:i/>
        </w:rPr>
        <w:t>nthropocene</w:t>
      </w:r>
      <w:proofErr w:type="spellEnd"/>
      <w:r w:rsidRPr="00757D20">
        <w:rPr>
          <w:i/>
        </w:rPr>
        <w:t xml:space="preserve">: Rethinking </w:t>
      </w:r>
      <w:r w:rsidR="007D0A00" w:rsidRPr="00757D20">
        <w:rPr>
          <w:i/>
        </w:rPr>
        <w:t>s</w:t>
      </w:r>
      <w:r w:rsidRPr="00757D20">
        <w:rPr>
          <w:i/>
        </w:rPr>
        <w:t xml:space="preserve">ustainability and </w:t>
      </w:r>
      <w:r w:rsidR="007D0A00" w:rsidRPr="00757D20">
        <w:rPr>
          <w:i/>
        </w:rPr>
        <w:t>c</w:t>
      </w:r>
      <w:r w:rsidRPr="00757D20">
        <w:rPr>
          <w:i/>
        </w:rPr>
        <w:t xml:space="preserve">hild </w:t>
      </w:r>
      <w:r w:rsidR="007D0A00" w:rsidRPr="00757D20">
        <w:rPr>
          <w:i/>
        </w:rPr>
        <w:t>f</w:t>
      </w:r>
      <w:r w:rsidRPr="00757D20">
        <w:rPr>
          <w:i/>
        </w:rPr>
        <w:t xml:space="preserve">riendliness in </w:t>
      </w:r>
      <w:r w:rsidR="007D0A00" w:rsidRPr="00757D20">
        <w:rPr>
          <w:i/>
        </w:rPr>
        <w:t>c</w:t>
      </w:r>
      <w:r w:rsidRPr="00757D20">
        <w:rPr>
          <w:i/>
        </w:rPr>
        <w:t>ities.</w:t>
      </w:r>
      <w:r w:rsidRPr="00757D20">
        <w:t xml:space="preserve"> Springer. </w:t>
      </w:r>
      <w:hyperlink r:id="rId118" w:history="1">
        <w:r w:rsidR="00C07BCA" w:rsidRPr="00BC059C">
          <w:rPr>
            <w:rStyle w:val="Hyperlink"/>
          </w:rPr>
          <w:t>https://doi.org/10.1057/978-1-137-43091-5</w:t>
        </w:r>
      </w:hyperlink>
      <w:r w:rsidR="00C07BCA">
        <w:t xml:space="preserve"> </w:t>
      </w:r>
      <w:r w:rsidRPr="00757D20">
        <w:t xml:space="preserve"> </w:t>
      </w:r>
    </w:p>
    <w:p w14:paraId="02A07D03" w14:textId="08911ACB" w:rsidR="008E5E29" w:rsidRPr="00757D20" w:rsidRDefault="008E5E29" w:rsidP="00BF0B57">
      <w:pPr>
        <w:spacing w:before="120" w:after="120"/>
        <w:ind w:left="709" w:hanging="720"/>
      </w:pPr>
      <w:r w:rsidRPr="00757D20">
        <w:t xml:space="preserve">Marks, G. N. (2017). Is SES really that important for educational outcomes in Australia? A review and some recent evidence. </w:t>
      </w:r>
      <w:r w:rsidRPr="00757D20">
        <w:rPr>
          <w:i/>
          <w:iCs/>
        </w:rPr>
        <w:t>Australian Educational Researcher, 44</w:t>
      </w:r>
      <w:r w:rsidRPr="00757D20">
        <w:t xml:space="preserve">(2), 191-211. </w:t>
      </w:r>
      <w:hyperlink r:id="rId119" w:history="1">
        <w:r w:rsidR="00C07BCA" w:rsidRPr="00BC059C">
          <w:rPr>
            <w:rStyle w:val="Hyperlink"/>
          </w:rPr>
          <w:t>https://doi.org/10.1007/s13384-016-0219-2</w:t>
        </w:r>
      </w:hyperlink>
      <w:r w:rsidR="00C07BCA">
        <w:t xml:space="preserve"> </w:t>
      </w:r>
      <w:r w:rsidRPr="00757D20">
        <w:t xml:space="preserve"> </w:t>
      </w:r>
    </w:p>
    <w:p w14:paraId="61E88227" w14:textId="544F5A77" w:rsidR="008E5E29" w:rsidRPr="00757D20" w:rsidRDefault="008E5E29" w:rsidP="00BF0B57">
      <w:pPr>
        <w:spacing w:before="120" w:after="120"/>
        <w:ind w:left="709" w:hanging="720"/>
      </w:pPr>
      <w:r w:rsidRPr="00757D20">
        <w:t xml:space="preserve">Martin, A. M. &amp; Hand, B. (2007). Factors </w:t>
      </w:r>
      <w:r w:rsidR="009D11B5" w:rsidRPr="00757D20">
        <w:t>a</w:t>
      </w:r>
      <w:r w:rsidRPr="00757D20">
        <w:t xml:space="preserve">ffecting the </w:t>
      </w:r>
      <w:r w:rsidR="009D11B5" w:rsidRPr="00757D20">
        <w:t>i</w:t>
      </w:r>
      <w:r w:rsidRPr="00757D20">
        <w:t xml:space="preserve">mplementation of </w:t>
      </w:r>
      <w:r w:rsidR="009D11B5" w:rsidRPr="00757D20">
        <w:t>a</w:t>
      </w:r>
      <w:r w:rsidRPr="00757D20">
        <w:t xml:space="preserve">rgument in the </w:t>
      </w:r>
      <w:r w:rsidR="009D11B5" w:rsidRPr="00757D20">
        <w:t>e</w:t>
      </w:r>
      <w:r w:rsidRPr="00757D20">
        <w:t xml:space="preserve">lementary </w:t>
      </w:r>
      <w:r w:rsidR="009D11B5" w:rsidRPr="00757D20">
        <w:t>s</w:t>
      </w:r>
      <w:r w:rsidRPr="00757D20">
        <w:t xml:space="preserve">cience </w:t>
      </w:r>
      <w:r w:rsidR="009D11B5" w:rsidRPr="00757D20">
        <w:t>c</w:t>
      </w:r>
      <w:r w:rsidRPr="00757D20">
        <w:t xml:space="preserve">lassroom. A </w:t>
      </w:r>
      <w:r w:rsidR="009D11B5" w:rsidRPr="00757D20">
        <w:t>l</w:t>
      </w:r>
      <w:r w:rsidRPr="00757D20">
        <w:t xml:space="preserve">ongitudinal </w:t>
      </w:r>
      <w:r w:rsidR="009D11B5" w:rsidRPr="00757D20">
        <w:t>c</w:t>
      </w:r>
      <w:r w:rsidRPr="00757D20">
        <w:t xml:space="preserve">ase </w:t>
      </w:r>
      <w:r w:rsidR="009D11B5" w:rsidRPr="00757D20">
        <w:t>s</w:t>
      </w:r>
      <w:r w:rsidRPr="00757D20">
        <w:t xml:space="preserve">tudy. </w:t>
      </w:r>
      <w:r w:rsidRPr="00757D20">
        <w:rPr>
          <w:i/>
          <w:iCs/>
        </w:rPr>
        <w:t>Research in Science Education, 39</w:t>
      </w:r>
      <w:r w:rsidRPr="00757D20">
        <w:t xml:space="preserve">(1). </w:t>
      </w:r>
      <w:hyperlink r:id="rId120" w:history="1">
        <w:r w:rsidR="00C07BCA" w:rsidRPr="00BC059C">
          <w:rPr>
            <w:rStyle w:val="Hyperlink"/>
          </w:rPr>
          <w:t>https://doi.org/10.1007/s11165-007-9072-7</w:t>
        </w:r>
      </w:hyperlink>
      <w:r w:rsidR="00C07BCA">
        <w:t xml:space="preserve"> </w:t>
      </w:r>
      <w:r w:rsidRPr="00757D20">
        <w:t xml:space="preserve"> </w:t>
      </w:r>
    </w:p>
    <w:p w14:paraId="2FD5F680" w14:textId="37135621" w:rsidR="008E5E29" w:rsidRPr="00757D20" w:rsidRDefault="008E5E29" w:rsidP="00BF0B57">
      <w:pPr>
        <w:spacing w:before="120" w:after="120"/>
        <w:ind w:left="709" w:hanging="720"/>
        <w:rPr>
          <w:rFonts w:eastAsia="Calibri"/>
        </w:rPr>
      </w:pPr>
      <w:proofErr w:type="spellStart"/>
      <w:r w:rsidRPr="00757D20">
        <w:rPr>
          <w:rFonts w:eastAsia="Calibri"/>
        </w:rPr>
        <w:t>Matsieli</w:t>
      </w:r>
      <w:proofErr w:type="spellEnd"/>
      <w:r w:rsidRPr="00757D20">
        <w:rPr>
          <w:rFonts w:eastAsia="Calibri"/>
        </w:rPr>
        <w:t>, M. &amp; Mutula, S. (2024). C</w:t>
      </w:r>
      <w:r w:rsidR="00535BDE" w:rsidRPr="00757D20">
        <w:rPr>
          <w:rFonts w:eastAsia="Calibri"/>
        </w:rPr>
        <w:t>ovid</w:t>
      </w:r>
      <w:r w:rsidRPr="00757D20">
        <w:rPr>
          <w:rFonts w:eastAsia="Calibri"/>
        </w:rPr>
        <w:t xml:space="preserve">-19 and </w:t>
      </w:r>
      <w:r w:rsidR="00B33707" w:rsidRPr="00757D20">
        <w:rPr>
          <w:rFonts w:eastAsia="Calibri"/>
        </w:rPr>
        <w:t>d</w:t>
      </w:r>
      <w:r w:rsidRPr="00757D20">
        <w:rPr>
          <w:rFonts w:eastAsia="Calibri"/>
        </w:rPr>
        <w:t xml:space="preserve">igital </w:t>
      </w:r>
      <w:r w:rsidR="00B33707" w:rsidRPr="00757D20">
        <w:rPr>
          <w:rFonts w:eastAsia="Calibri"/>
        </w:rPr>
        <w:t>t</w:t>
      </w:r>
      <w:r w:rsidRPr="00757D20">
        <w:rPr>
          <w:rFonts w:eastAsia="Calibri"/>
        </w:rPr>
        <w:t xml:space="preserve">ransformation in </w:t>
      </w:r>
      <w:r w:rsidR="00B33707" w:rsidRPr="00757D20">
        <w:rPr>
          <w:rFonts w:eastAsia="Calibri"/>
        </w:rPr>
        <w:t>h</w:t>
      </w:r>
      <w:r w:rsidRPr="00757D20">
        <w:rPr>
          <w:rFonts w:eastAsia="Calibri"/>
        </w:rPr>
        <w:t xml:space="preserve">igher </w:t>
      </w:r>
      <w:r w:rsidR="00B33707" w:rsidRPr="00757D20">
        <w:rPr>
          <w:rFonts w:eastAsia="Calibri"/>
        </w:rPr>
        <w:t>e</w:t>
      </w:r>
      <w:r w:rsidRPr="00757D20">
        <w:rPr>
          <w:rFonts w:eastAsia="Calibri"/>
        </w:rPr>
        <w:t xml:space="preserve">ducation </w:t>
      </w:r>
      <w:r w:rsidR="00B33707" w:rsidRPr="00757D20">
        <w:rPr>
          <w:rFonts w:eastAsia="Calibri"/>
        </w:rPr>
        <w:t>i</w:t>
      </w:r>
      <w:r w:rsidRPr="00757D20">
        <w:rPr>
          <w:rFonts w:eastAsia="Calibri"/>
        </w:rPr>
        <w:t xml:space="preserve">nstitutions: Towards </w:t>
      </w:r>
      <w:r w:rsidR="00B33707" w:rsidRPr="00757D20">
        <w:rPr>
          <w:rFonts w:eastAsia="Calibri"/>
        </w:rPr>
        <w:t>i</w:t>
      </w:r>
      <w:r w:rsidRPr="00757D20">
        <w:rPr>
          <w:rFonts w:eastAsia="Calibri"/>
        </w:rPr>
        <w:t xml:space="preserve">nclusive and </w:t>
      </w:r>
      <w:r w:rsidR="00B33707" w:rsidRPr="00757D20">
        <w:rPr>
          <w:rFonts w:eastAsia="Calibri"/>
        </w:rPr>
        <w:t>e</w:t>
      </w:r>
      <w:r w:rsidRPr="00757D20">
        <w:rPr>
          <w:rFonts w:eastAsia="Calibri"/>
        </w:rPr>
        <w:t xml:space="preserve">quitable </w:t>
      </w:r>
      <w:r w:rsidR="00B33707" w:rsidRPr="00757D20">
        <w:rPr>
          <w:rFonts w:eastAsia="Calibri"/>
        </w:rPr>
        <w:t>a</w:t>
      </w:r>
      <w:r w:rsidRPr="00757D20">
        <w:rPr>
          <w:rFonts w:eastAsia="Calibri"/>
        </w:rPr>
        <w:t xml:space="preserve">ccess to </w:t>
      </w:r>
      <w:r w:rsidR="00B33707" w:rsidRPr="00757D20">
        <w:rPr>
          <w:rFonts w:eastAsia="Calibri"/>
        </w:rPr>
        <w:t>q</w:t>
      </w:r>
      <w:r w:rsidRPr="00757D20">
        <w:rPr>
          <w:rFonts w:eastAsia="Calibri"/>
        </w:rPr>
        <w:t xml:space="preserve">uality </w:t>
      </w:r>
      <w:r w:rsidR="00B33707" w:rsidRPr="00757D20">
        <w:rPr>
          <w:rFonts w:eastAsia="Calibri"/>
        </w:rPr>
        <w:t>e</w:t>
      </w:r>
      <w:r w:rsidRPr="00757D20">
        <w:rPr>
          <w:rFonts w:eastAsia="Calibri"/>
        </w:rPr>
        <w:t xml:space="preserve">ducation. </w:t>
      </w:r>
      <w:r w:rsidRPr="00757D20">
        <w:rPr>
          <w:rFonts w:eastAsia="Calibri"/>
          <w:i/>
          <w:iCs/>
        </w:rPr>
        <w:t>Education Sciences, 14</w:t>
      </w:r>
      <w:r w:rsidRPr="00757D20">
        <w:rPr>
          <w:rFonts w:eastAsia="Calibri"/>
        </w:rPr>
        <w:t>(8), 819-838.</w:t>
      </w:r>
      <w:r w:rsidRPr="00757D20">
        <w:rPr>
          <w:rFonts w:eastAsia="Calibri"/>
          <w:color w:val="222222"/>
          <w:shd w:val="clear" w:color="auto" w:fill="FFFFFF"/>
        </w:rPr>
        <w:t xml:space="preserve"> </w:t>
      </w:r>
      <w:r w:rsidRPr="00757D20">
        <w:rPr>
          <w:rFonts w:eastAsia="Calibri"/>
        </w:rPr>
        <w:t> </w:t>
      </w:r>
      <w:hyperlink r:id="rId121" w:history="1">
        <w:r w:rsidR="00C07BCA" w:rsidRPr="00BC059C">
          <w:rPr>
            <w:rStyle w:val="Hyperlink"/>
            <w:rFonts w:eastAsia="Calibri"/>
          </w:rPr>
          <w:t>https://doi.org/10.3390/educsci14080819</w:t>
        </w:r>
      </w:hyperlink>
      <w:r w:rsidR="00C07BCA">
        <w:rPr>
          <w:rFonts w:eastAsia="Calibri"/>
        </w:rPr>
        <w:t xml:space="preserve"> </w:t>
      </w:r>
    </w:p>
    <w:p w14:paraId="3E5E5F4C" w14:textId="1C8FA8AE" w:rsidR="008E5E29" w:rsidRPr="00757D20" w:rsidRDefault="008E5E29" w:rsidP="00BF0B57">
      <w:pPr>
        <w:spacing w:before="120" w:after="120"/>
        <w:ind w:left="709" w:hanging="720"/>
        <w:rPr>
          <w:rFonts w:eastAsia="Calibri"/>
        </w:rPr>
      </w:pPr>
      <w:r w:rsidRPr="00757D20">
        <w:rPr>
          <w:rFonts w:eastAsia="Calibri"/>
        </w:rPr>
        <w:t xml:space="preserve">McGorry, P. D. (2022). The reality of mental health care for young people, and the urgent need for solutions. </w:t>
      </w:r>
      <w:r w:rsidRPr="00757D20">
        <w:rPr>
          <w:rFonts w:eastAsia="Calibri"/>
          <w:i/>
          <w:iCs/>
        </w:rPr>
        <w:t>Medical Journal of Australia, 216</w:t>
      </w:r>
      <w:r w:rsidRPr="00757D20">
        <w:rPr>
          <w:rFonts w:eastAsia="Calibri"/>
        </w:rPr>
        <w:t xml:space="preserve">(2), 78–79. </w:t>
      </w:r>
      <w:hyperlink r:id="rId122" w:history="1">
        <w:r w:rsidR="00C07BCA" w:rsidRPr="00BC059C">
          <w:rPr>
            <w:rStyle w:val="Hyperlink"/>
            <w:rFonts w:eastAsia="Calibri"/>
          </w:rPr>
          <w:t>https://doi.org/10.5694/mja2.51327</w:t>
        </w:r>
      </w:hyperlink>
      <w:r w:rsidR="00C07BCA">
        <w:rPr>
          <w:rFonts w:eastAsia="Calibri"/>
        </w:rPr>
        <w:t xml:space="preserve"> </w:t>
      </w:r>
    </w:p>
    <w:p w14:paraId="457AB56F" w14:textId="206B5F13" w:rsidR="008E5E29" w:rsidRPr="00757D20" w:rsidRDefault="008E5E29" w:rsidP="00BF0B57">
      <w:pPr>
        <w:spacing w:before="120" w:after="120"/>
        <w:ind w:left="709" w:hanging="720"/>
        <w:rPr>
          <w:rFonts w:eastAsia="Calibri"/>
        </w:rPr>
      </w:pPr>
      <w:r w:rsidRPr="00757D20">
        <w:rPr>
          <w:rFonts w:eastAsia="Calibri"/>
        </w:rPr>
        <w:t xml:space="preserve">McMahon, W. W. (2009). </w:t>
      </w:r>
      <w:r w:rsidRPr="00757D20">
        <w:rPr>
          <w:rFonts w:eastAsia="Calibri"/>
          <w:i/>
          <w:iCs/>
        </w:rPr>
        <w:t xml:space="preserve">Higher learning, greater good: The </w:t>
      </w:r>
      <w:r w:rsidR="00B33707" w:rsidRPr="00757D20">
        <w:rPr>
          <w:rFonts w:eastAsia="Calibri"/>
          <w:i/>
          <w:iCs/>
        </w:rPr>
        <w:t>p</w:t>
      </w:r>
      <w:r w:rsidRPr="00757D20">
        <w:rPr>
          <w:rFonts w:eastAsia="Calibri"/>
          <w:i/>
          <w:iCs/>
        </w:rPr>
        <w:t xml:space="preserve">rivate and </w:t>
      </w:r>
      <w:r w:rsidR="00B33707" w:rsidRPr="00757D20">
        <w:rPr>
          <w:rFonts w:eastAsia="Calibri"/>
          <w:i/>
          <w:iCs/>
        </w:rPr>
        <w:t>s</w:t>
      </w:r>
      <w:r w:rsidRPr="00757D20">
        <w:rPr>
          <w:rFonts w:eastAsia="Calibri"/>
          <w:i/>
          <w:iCs/>
        </w:rPr>
        <w:t xml:space="preserve">ocial </w:t>
      </w:r>
      <w:r w:rsidR="00B33707" w:rsidRPr="00757D20">
        <w:rPr>
          <w:rFonts w:eastAsia="Calibri"/>
          <w:i/>
          <w:iCs/>
        </w:rPr>
        <w:t>b</w:t>
      </w:r>
      <w:r w:rsidRPr="00757D20">
        <w:rPr>
          <w:rFonts w:eastAsia="Calibri"/>
          <w:i/>
          <w:iCs/>
        </w:rPr>
        <w:t xml:space="preserve">enefits of </w:t>
      </w:r>
      <w:r w:rsidR="00B33707" w:rsidRPr="00757D20">
        <w:rPr>
          <w:rFonts w:eastAsia="Calibri"/>
          <w:i/>
          <w:iCs/>
        </w:rPr>
        <w:t>h</w:t>
      </w:r>
      <w:r w:rsidRPr="00757D20">
        <w:rPr>
          <w:rFonts w:eastAsia="Calibri"/>
          <w:i/>
          <w:iCs/>
        </w:rPr>
        <w:t xml:space="preserve">igher </w:t>
      </w:r>
      <w:r w:rsidR="00B33707" w:rsidRPr="00757D20">
        <w:rPr>
          <w:rFonts w:eastAsia="Calibri"/>
          <w:i/>
          <w:iCs/>
        </w:rPr>
        <w:t>e</w:t>
      </w:r>
      <w:r w:rsidRPr="00757D20">
        <w:rPr>
          <w:rFonts w:eastAsia="Calibri"/>
          <w:i/>
          <w:iCs/>
        </w:rPr>
        <w:t>ducation</w:t>
      </w:r>
      <w:r w:rsidRPr="00757D20">
        <w:rPr>
          <w:rFonts w:eastAsia="Calibri"/>
        </w:rPr>
        <w:t>. Johns Hopkins University Press.</w:t>
      </w:r>
    </w:p>
    <w:p w14:paraId="0F8F4077" w14:textId="19CB951B" w:rsidR="008E5E29" w:rsidRPr="00757D20" w:rsidRDefault="008E5E29" w:rsidP="00BF0B57">
      <w:pPr>
        <w:spacing w:before="120" w:after="120"/>
        <w:ind w:left="709" w:hanging="720"/>
      </w:pPr>
      <w:r w:rsidRPr="00757D20">
        <w:lastRenderedPageBreak/>
        <w:t xml:space="preserve">McPherson, A., &amp; Lampert, J. (2025). An analysis of Australian teacher workforce policy: Challenges and opportunities for teacher recruitment and retention. </w:t>
      </w:r>
      <w:r w:rsidRPr="00757D20">
        <w:rPr>
          <w:i/>
          <w:iCs/>
        </w:rPr>
        <w:t>Policy Futures in Education, 23</w:t>
      </w:r>
      <w:r w:rsidRPr="00757D20">
        <w:t xml:space="preserve">(2). </w:t>
      </w:r>
      <w:hyperlink r:id="rId123" w:history="1">
        <w:r w:rsidR="00C07BCA" w:rsidRPr="00BC059C">
          <w:rPr>
            <w:rStyle w:val="Hyperlink"/>
          </w:rPr>
          <w:t>https://doi.org/10.1177/14782103241283106</w:t>
        </w:r>
      </w:hyperlink>
      <w:r w:rsidR="00C07BCA">
        <w:t xml:space="preserve"> </w:t>
      </w:r>
      <w:r w:rsidRPr="00757D20">
        <w:t xml:space="preserve"> </w:t>
      </w:r>
    </w:p>
    <w:p w14:paraId="05A8C03E" w14:textId="540E8D16" w:rsidR="008E5E29" w:rsidRPr="00757D20" w:rsidRDefault="008E5E29" w:rsidP="00BF0B57">
      <w:pPr>
        <w:spacing w:before="120" w:after="120"/>
        <w:ind w:left="709" w:hanging="720"/>
        <w:rPr>
          <w:rFonts w:eastAsia="Calibri"/>
        </w:rPr>
      </w:pPr>
      <w:r w:rsidRPr="00757D20">
        <w:rPr>
          <w:rFonts w:eastAsia="Calibri"/>
        </w:rPr>
        <w:t xml:space="preserve">Mehta, K. J., Aula-Blasco, J. &amp; Mantaj, J. (2024). University students’ preferences of learning modes post COVID-19-associated lockdowns: In-person, online, and blended. </w:t>
      </w:r>
      <w:r w:rsidRPr="00757D20">
        <w:rPr>
          <w:rFonts w:eastAsia="Calibri"/>
          <w:i/>
          <w:iCs/>
        </w:rPr>
        <w:t>PLOS One, 19</w:t>
      </w:r>
      <w:r w:rsidRPr="00757D20">
        <w:rPr>
          <w:rFonts w:eastAsia="Calibri"/>
        </w:rPr>
        <w:t xml:space="preserve">(7), 1-21. </w:t>
      </w:r>
      <w:hyperlink r:id="rId124" w:history="1">
        <w:r w:rsidR="00C07BCA" w:rsidRPr="00BC059C">
          <w:rPr>
            <w:rStyle w:val="Hyperlink"/>
            <w:rFonts w:eastAsia="Calibri"/>
          </w:rPr>
          <w:t>https://doi.org/10.1371/journal.pone.0296670</w:t>
        </w:r>
      </w:hyperlink>
      <w:r w:rsidR="00C07BCA">
        <w:rPr>
          <w:rFonts w:eastAsia="Calibri"/>
        </w:rPr>
        <w:t xml:space="preserve"> </w:t>
      </w:r>
    </w:p>
    <w:p w14:paraId="35E3C80A" w14:textId="3FD5D206" w:rsidR="008E5E29" w:rsidRPr="00757D20" w:rsidRDefault="008E5E29" w:rsidP="00BF0B57">
      <w:pPr>
        <w:spacing w:before="120" w:after="120"/>
        <w:ind w:left="709" w:hanging="720"/>
      </w:pPr>
      <w:r w:rsidRPr="00757D20">
        <w:t xml:space="preserve">Mendick, H., Ahmad, A., Allen, K., &amp; Harvey, L. (2018). </w:t>
      </w:r>
      <w:r w:rsidRPr="00757D20">
        <w:rPr>
          <w:i/>
          <w:iCs/>
        </w:rPr>
        <w:t xml:space="preserve">Celebrity, </w:t>
      </w:r>
      <w:r w:rsidR="005527C3" w:rsidRPr="00757D20">
        <w:rPr>
          <w:i/>
          <w:iCs/>
        </w:rPr>
        <w:t>a</w:t>
      </w:r>
      <w:r w:rsidRPr="00757D20">
        <w:rPr>
          <w:i/>
          <w:iCs/>
        </w:rPr>
        <w:t xml:space="preserve">spiration and </w:t>
      </w:r>
      <w:r w:rsidR="005527C3" w:rsidRPr="00757D20">
        <w:rPr>
          <w:i/>
          <w:iCs/>
        </w:rPr>
        <w:t>c</w:t>
      </w:r>
      <w:r w:rsidRPr="00757D20">
        <w:rPr>
          <w:i/>
          <w:iCs/>
        </w:rPr>
        <w:t xml:space="preserve">ontemporary </w:t>
      </w:r>
      <w:r w:rsidR="005527C3" w:rsidRPr="00757D20">
        <w:rPr>
          <w:i/>
          <w:iCs/>
        </w:rPr>
        <w:t>y</w:t>
      </w:r>
      <w:r w:rsidRPr="00757D20">
        <w:rPr>
          <w:i/>
          <w:iCs/>
        </w:rPr>
        <w:t xml:space="preserve">outh: Education and </w:t>
      </w:r>
      <w:r w:rsidR="005527C3" w:rsidRPr="00757D20">
        <w:rPr>
          <w:i/>
          <w:iCs/>
        </w:rPr>
        <w:t>i</w:t>
      </w:r>
      <w:r w:rsidRPr="00757D20">
        <w:rPr>
          <w:i/>
          <w:iCs/>
        </w:rPr>
        <w:t xml:space="preserve">nequality in an </w:t>
      </w:r>
      <w:r w:rsidR="005527C3" w:rsidRPr="00757D20">
        <w:rPr>
          <w:i/>
          <w:iCs/>
        </w:rPr>
        <w:t>e</w:t>
      </w:r>
      <w:r w:rsidRPr="00757D20">
        <w:rPr>
          <w:i/>
          <w:iCs/>
        </w:rPr>
        <w:t xml:space="preserve">ra of </w:t>
      </w:r>
      <w:r w:rsidR="005527C3" w:rsidRPr="00757D20">
        <w:rPr>
          <w:i/>
          <w:iCs/>
        </w:rPr>
        <w:t>a</w:t>
      </w:r>
      <w:r w:rsidRPr="00757D20">
        <w:rPr>
          <w:i/>
          <w:iCs/>
        </w:rPr>
        <w:t>usterity</w:t>
      </w:r>
      <w:r w:rsidRPr="00757D20">
        <w:t xml:space="preserve">. Bloomsbury. </w:t>
      </w:r>
      <w:hyperlink r:id="rId125" w:history="1">
        <w:r w:rsidR="00C07BCA" w:rsidRPr="00BC059C">
          <w:rPr>
            <w:rStyle w:val="Hyperlink"/>
          </w:rPr>
          <w:t>https://www.bloomsbury.com/au/celebrity-aspiration-and-contemporary-youth-9781474294249/</w:t>
        </w:r>
      </w:hyperlink>
      <w:r w:rsidR="00C07BCA">
        <w:t xml:space="preserve"> </w:t>
      </w:r>
      <w:r w:rsidRPr="00757D20">
        <w:t xml:space="preserve"> </w:t>
      </w:r>
    </w:p>
    <w:p w14:paraId="7E7E0657" w14:textId="5FC767FA" w:rsidR="008E5E29" w:rsidRPr="00757D20" w:rsidRDefault="008E5E29" w:rsidP="00BF0B57">
      <w:pPr>
        <w:spacing w:before="120" w:after="120"/>
        <w:ind w:left="709" w:hanging="720"/>
        <w:rPr>
          <w:rFonts w:eastAsia="Calibri"/>
        </w:rPr>
      </w:pPr>
      <w:proofErr w:type="spellStart"/>
      <w:r w:rsidRPr="00757D20">
        <w:rPr>
          <w:rFonts w:eastAsia="Calibri"/>
        </w:rPr>
        <w:t>Mirbabaie</w:t>
      </w:r>
      <w:proofErr w:type="spellEnd"/>
      <w:r w:rsidRPr="00757D20">
        <w:rPr>
          <w:rFonts w:eastAsia="Calibri"/>
        </w:rPr>
        <w:t xml:space="preserve">, M., </w:t>
      </w:r>
      <w:proofErr w:type="spellStart"/>
      <w:r w:rsidRPr="00757D20">
        <w:rPr>
          <w:rFonts w:eastAsia="Calibri"/>
        </w:rPr>
        <w:t>Brünker</w:t>
      </w:r>
      <w:proofErr w:type="spellEnd"/>
      <w:r w:rsidRPr="00757D20">
        <w:rPr>
          <w:rFonts w:eastAsia="Calibri"/>
        </w:rPr>
        <w:t xml:space="preserve">, F., </w:t>
      </w:r>
      <w:proofErr w:type="spellStart"/>
      <w:r w:rsidRPr="00757D20">
        <w:rPr>
          <w:rFonts w:eastAsia="Calibri"/>
        </w:rPr>
        <w:t>Möllmann</w:t>
      </w:r>
      <w:proofErr w:type="spellEnd"/>
      <w:r w:rsidRPr="00757D20">
        <w:rPr>
          <w:rFonts w:eastAsia="Calibri"/>
        </w:rPr>
        <w:t xml:space="preserve"> (Frick), N. R. J. &amp; Stieglitz, S. (2022). The rise of artificial intelligence – understanding the AI identity threat at the workplace. </w:t>
      </w:r>
      <w:r w:rsidRPr="00757D20">
        <w:rPr>
          <w:rFonts w:eastAsia="Calibri"/>
          <w:i/>
          <w:iCs/>
        </w:rPr>
        <w:t>Electronic Markets, 32</w:t>
      </w:r>
      <w:r w:rsidRPr="00757D20">
        <w:rPr>
          <w:rFonts w:eastAsia="Calibri"/>
        </w:rPr>
        <w:t xml:space="preserve">, 73-99. </w:t>
      </w:r>
      <w:hyperlink r:id="rId126" w:history="1">
        <w:r w:rsidR="00C07BCA" w:rsidRPr="00BC059C">
          <w:rPr>
            <w:rStyle w:val="Hyperlink"/>
            <w:rFonts w:eastAsia="Calibri"/>
          </w:rPr>
          <w:t>https://doi.org/10.1007/s12525-021-00496-x</w:t>
        </w:r>
      </w:hyperlink>
      <w:r w:rsidR="00C07BCA">
        <w:rPr>
          <w:rFonts w:eastAsia="Calibri"/>
        </w:rPr>
        <w:t xml:space="preserve"> </w:t>
      </w:r>
    </w:p>
    <w:p w14:paraId="43C62839" w14:textId="14499461" w:rsidR="008E5E29" w:rsidRPr="00757D20" w:rsidRDefault="008E5E29" w:rsidP="00BF0B57">
      <w:pPr>
        <w:spacing w:before="120" w:after="120"/>
        <w:ind w:left="709" w:hanging="720"/>
        <w:rPr>
          <w:rFonts w:eastAsia="Calibri"/>
        </w:rPr>
      </w:pPr>
      <w:proofErr w:type="spellStart"/>
      <w:r w:rsidRPr="00757D20">
        <w:rPr>
          <w:rFonts w:eastAsia="Calibri"/>
        </w:rPr>
        <w:t>Montenovo</w:t>
      </w:r>
      <w:proofErr w:type="spellEnd"/>
      <w:r w:rsidRPr="00757D20">
        <w:rPr>
          <w:rFonts w:eastAsia="Calibri"/>
        </w:rPr>
        <w:t xml:space="preserve">, L., Jiang, X, Lozano-Rojas, F., Schmutte, I., Simon, K., Weinberg, B. A. &amp; Wing, C. (2022). Determinants of </w:t>
      </w:r>
      <w:r w:rsidR="00C575DD" w:rsidRPr="00757D20">
        <w:rPr>
          <w:rFonts w:eastAsia="Calibri"/>
        </w:rPr>
        <w:t>d</w:t>
      </w:r>
      <w:r w:rsidRPr="00757D20">
        <w:rPr>
          <w:rFonts w:eastAsia="Calibri"/>
        </w:rPr>
        <w:t xml:space="preserve">isparities in </w:t>
      </w:r>
      <w:r w:rsidR="00C575DD" w:rsidRPr="00757D20">
        <w:rPr>
          <w:rFonts w:eastAsia="Calibri"/>
        </w:rPr>
        <w:t>e</w:t>
      </w:r>
      <w:r w:rsidRPr="00757D20">
        <w:rPr>
          <w:rFonts w:eastAsia="Calibri"/>
        </w:rPr>
        <w:t>arly C</w:t>
      </w:r>
      <w:r w:rsidR="00C575DD" w:rsidRPr="00757D20">
        <w:rPr>
          <w:rFonts w:eastAsia="Calibri"/>
        </w:rPr>
        <w:t>ovid</w:t>
      </w:r>
      <w:r w:rsidRPr="00757D20">
        <w:rPr>
          <w:rFonts w:eastAsia="Calibri"/>
        </w:rPr>
        <w:t xml:space="preserve">-19 </w:t>
      </w:r>
      <w:r w:rsidR="00C575DD" w:rsidRPr="00757D20">
        <w:rPr>
          <w:rFonts w:eastAsia="Calibri"/>
        </w:rPr>
        <w:t>j</w:t>
      </w:r>
      <w:r w:rsidRPr="00757D20">
        <w:rPr>
          <w:rFonts w:eastAsia="Calibri"/>
        </w:rPr>
        <w:t xml:space="preserve">ob </w:t>
      </w:r>
      <w:r w:rsidR="00C575DD" w:rsidRPr="00757D20">
        <w:rPr>
          <w:rFonts w:eastAsia="Calibri"/>
        </w:rPr>
        <w:t>l</w:t>
      </w:r>
      <w:r w:rsidRPr="00757D20">
        <w:rPr>
          <w:rFonts w:eastAsia="Calibri"/>
        </w:rPr>
        <w:t xml:space="preserve">osses, </w:t>
      </w:r>
      <w:r w:rsidRPr="00757D20">
        <w:rPr>
          <w:rFonts w:eastAsia="Calibri"/>
          <w:i/>
          <w:iCs/>
        </w:rPr>
        <w:t>Demography, 59</w:t>
      </w:r>
      <w:r w:rsidRPr="00757D20">
        <w:rPr>
          <w:rFonts w:eastAsia="Calibri"/>
        </w:rPr>
        <w:t>(3), 827-855.</w:t>
      </w:r>
      <w:r w:rsidR="00840932" w:rsidRPr="00757D20">
        <w:rPr>
          <w:rFonts w:eastAsia="Calibri"/>
        </w:rPr>
        <w:t xml:space="preserve"> </w:t>
      </w:r>
      <w:hyperlink r:id="rId127" w:history="1">
        <w:r w:rsidR="00C07BCA" w:rsidRPr="00BC059C">
          <w:rPr>
            <w:rStyle w:val="Hyperlink"/>
            <w:rFonts w:eastAsia="Calibri"/>
          </w:rPr>
          <w:t>https://doi.org/10.1215/00703370-9961471</w:t>
        </w:r>
      </w:hyperlink>
      <w:r w:rsidR="00C07BCA">
        <w:rPr>
          <w:rFonts w:eastAsia="Calibri"/>
        </w:rPr>
        <w:t xml:space="preserve"> </w:t>
      </w:r>
    </w:p>
    <w:p w14:paraId="2401ECD9" w14:textId="46559CCB" w:rsidR="008E5E29" w:rsidRPr="00757D20" w:rsidRDefault="008E5E29" w:rsidP="00BF0B57">
      <w:pPr>
        <w:spacing w:before="120" w:after="120"/>
        <w:ind w:left="709" w:hanging="720"/>
        <w:rPr>
          <w:rFonts w:eastAsia="Calibri"/>
        </w:rPr>
      </w:pPr>
      <w:r w:rsidRPr="00757D20">
        <w:rPr>
          <w:rFonts w:eastAsia="Calibri"/>
        </w:rPr>
        <w:t xml:space="preserve">Morley, C., Hodge, L., Clarke, J., McIntyre, H., Mays, J., Briese, J. &amp; Kostecki, T. (2022). ‘This unpaid placement makes you poor’: Australian social work students’ experiences of the financial burden of field education. </w:t>
      </w:r>
      <w:r w:rsidRPr="00757D20">
        <w:rPr>
          <w:rFonts w:eastAsia="Calibri"/>
          <w:i/>
          <w:iCs/>
        </w:rPr>
        <w:t>Social Work Education: The International Journal, 43</w:t>
      </w:r>
      <w:r w:rsidRPr="00757D20">
        <w:rPr>
          <w:rFonts w:eastAsia="Calibri"/>
        </w:rPr>
        <w:t xml:space="preserve">(4), 1039-1057. </w:t>
      </w:r>
      <w:hyperlink r:id="rId128" w:history="1">
        <w:r w:rsidR="00C07BCA" w:rsidRPr="00BC059C">
          <w:rPr>
            <w:rStyle w:val="Hyperlink"/>
            <w:rFonts w:eastAsia="Calibri"/>
          </w:rPr>
          <w:t>https://doi.org/10.1080/02615479.2022.2161507</w:t>
        </w:r>
      </w:hyperlink>
      <w:r w:rsidR="00C07BCA">
        <w:rPr>
          <w:rFonts w:eastAsia="Calibri"/>
        </w:rPr>
        <w:t xml:space="preserve"> </w:t>
      </w:r>
    </w:p>
    <w:p w14:paraId="78E80803" w14:textId="6CE8030D" w:rsidR="008E5E29" w:rsidRPr="00757D20" w:rsidRDefault="008E5E29" w:rsidP="00BF0B57">
      <w:pPr>
        <w:spacing w:before="120" w:after="120"/>
        <w:ind w:left="709" w:hanging="720"/>
        <w:rPr>
          <w:rFonts w:eastAsia="Calibri"/>
        </w:rPr>
      </w:pPr>
      <w:r w:rsidRPr="00757D20">
        <w:rPr>
          <w:rFonts w:eastAsia="Calibri"/>
        </w:rPr>
        <w:t xml:space="preserve">National Union of Students [Australia] (2022). </w:t>
      </w:r>
      <w:r w:rsidRPr="00757D20">
        <w:rPr>
          <w:rFonts w:eastAsia="Calibri"/>
          <w:i/>
          <w:iCs/>
        </w:rPr>
        <w:t>Locked out of youth allowance: Student poverty and Centrelink in Australia.</w:t>
      </w:r>
      <w:r w:rsidRPr="00757D20">
        <w:rPr>
          <w:rFonts w:eastAsia="Calibri"/>
        </w:rPr>
        <w:t xml:space="preserve"> </w:t>
      </w:r>
      <w:hyperlink r:id="rId129" w:history="1">
        <w:r w:rsidR="00C07BCA" w:rsidRPr="00BC059C">
          <w:rPr>
            <w:rStyle w:val="Hyperlink"/>
            <w:rFonts w:eastAsia="Calibri"/>
          </w:rPr>
          <w:t>https://changetheage.asn.au/wp-content/uploads/2022/10/Locked-out-of-youth-allowance-student-poverty-and-centrelink-in-Australia-1.pdf</w:t>
        </w:r>
      </w:hyperlink>
      <w:r w:rsidR="00C07BCA">
        <w:rPr>
          <w:rFonts w:eastAsia="Calibri"/>
        </w:rPr>
        <w:t xml:space="preserve"> </w:t>
      </w:r>
    </w:p>
    <w:p w14:paraId="78884A5B" w14:textId="470B8B94" w:rsidR="008E5E29" w:rsidRPr="00757D20" w:rsidRDefault="008E5E29" w:rsidP="00BF0B57">
      <w:pPr>
        <w:spacing w:before="120" w:after="120"/>
        <w:ind w:left="709" w:hanging="720"/>
        <w:rPr>
          <w:rFonts w:eastAsia="Calibri"/>
        </w:rPr>
      </w:pPr>
      <w:r w:rsidRPr="00757D20">
        <w:rPr>
          <w:rFonts w:eastAsia="Calibri"/>
        </w:rPr>
        <w:t xml:space="preserve">National Union of Students [UK] (2024). </w:t>
      </w:r>
      <w:r w:rsidRPr="00757D20">
        <w:rPr>
          <w:rFonts w:eastAsia="Calibri"/>
          <w:i/>
          <w:iCs/>
        </w:rPr>
        <w:t>For our future: What students want to see at the next General Election</w:t>
      </w:r>
      <w:r w:rsidRPr="00757D20">
        <w:rPr>
          <w:rFonts w:eastAsia="Calibri"/>
        </w:rPr>
        <w:t xml:space="preserve">. </w:t>
      </w:r>
      <w:hyperlink r:id="rId130" w:history="1">
        <w:r w:rsidR="00C07BCA" w:rsidRPr="00BC059C">
          <w:rPr>
            <w:rStyle w:val="Hyperlink"/>
            <w:rFonts w:eastAsia="Calibri"/>
          </w:rPr>
          <w:t>https://assets.nationbuilder.com/nus/pages/936/attachments/original/1706528887/Manifesto_for_our_Future.pdf?1706528887</w:t>
        </w:r>
      </w:hyperlink>
      <w:r w:rsidR="00C07BCA">
        <w:rPr>
          <w:rFonts w:eastAsia="Calibri"/>
        </w:rPr>
        <w:t xml:space="preserve"> </w:t>
      </w:r>
    </w:p>
    <w:p w14:paraId="1F997B39" w14:textId="35932C67" w:rsidR="008E5E29" w:rsidRPr="00757D20" w:rsidRDefault="008E5E29" w:rsidP="00BF0B57">
      <w:pPr>
        <w:spacing w:before="120" w:after="120"/>
        <w:ind w:left="709" w:hanging="720"/>
        <w:rPr>
          <w:rFonts w:eastAsia="Calibri"/>
        </w:rPr>
      </w:pPr>
      <w:r w:rsidRPr="00757D20">
        <w:rPr>
          <w:rFonts w:eastAsia="Calibri"/>
        </w:rPr>
        <w:t xml:space="preserve">Naylor, R. &amp; James, R. (2015). Systemic equity challenges: An overview of the role of Australian universities in student equity and social inclusion. </w:t>
      </w:r>
      <w:r w:rsidR="005F6BDE" w:rsidRPr="00757D20">
        <w:rPr>
          <w:rFonts w:eastAsia="Calibri"/>
        </w:rPr>
        <w:t>In</w:t>
      </w:r>
      <w:r w:rsidRPr="00757D20">
        <w:rPr>
          <w:rFonts w:eastAsia="Calibri"/>
        </w:rPr>
        <w:t xml:space="preserve"> </w:t>
      </w:r>
      <w:r w:rsidR="005F6BDE" w:rsidRPr="00757D20">
        <w:t xml:space="preserve">M. Shah, A Bennett &amp; E. Southgate </w:t>
      </w:r>
      <w:r w:rsidRPr="00757D20">
        <w:rPr>
          <w:rFonts w:eastAsia="Calibri"/>
        </w:rPr>
        <w:t xml:space="preserve">(Eds.), </w:t>
      </w:r>
      <w:r w:rsidRPr="00757D20">
        <w:rPr>
          <w:rFonts w:eastAsia="Calibri"/>
          <w:i/>
          <w:iCs/>
        </w:rPr>
        <w:t>Widening Higher Education Participation: A Global Perspective</w:t>
      </w:r>
      <w:r w:rsidRPr="00757D20">
        <w:rPr>
          <w:rFonts w:eastAsia="Calibri"/>
        </w:rPr>
        <w:t xml:space="preserve"> (pp. 1- 13). Elsevier Science &amp; Technology.</w:t>
      </w:r>
    </w:p>
    <w:p w14:paraId="7FE517FF" w14:textId="7A298E3C" w:rsidR="008E5E29" w:rsidRPr="00757D20" w:rsidRDefault="008E5E29" w:rsidP="00BF0B57">
      <w:pPr>
        <w:spacing w:before="120" w:after="120"/>
        <w:ind w:left="709" w:hanging="720"/>
      </w:pPr>
      <w:r w:rsidRPr="00757D20">
        <w:t xml:space="preserve">NCVER. (2023). Total VET students and courses 2023. </w:t>
      </w:r>
      <w:hyperlink r:id="rId131" w:history="1">
        <w:r w:rsidR="00C07BCA" w:rsidRPr="00BC059C">
          <w:rPr>
            <w:rStyle w:val="Hyperlink"/>
          </w:rPr>
          <w:t>https://www.ncver.edu.au/__data/assets/pdf_file/0050/9689477/Total-VET-students-and-courses-2023_v3.pdf</w:t>
        </w:r>
      </w:hyperlink>
      <w:r w:rsidR="00C07BCA">
        <w:t xml:space="preserve"> </w:t>
      </w:r>
    </w:p>
    <w:p w14:paraId="12D69CA2" w14:textId="4DA3860C" w:rsidR="008E5E29" w:rsidRPr="00757D20" w:rsidRDefault="008E5E29" w:rsidP="00BF0B57">
      <w:pPr>
        <w:spacing w:before="120" w:after="120"/>
        <w:ind w:left="709" w:hanging="720"/>
        <w:rPr>
          <w:rFonts w:eastAsia="Calibri"/>
        </w:rPr>
      </w:pPr>
      <w:r w:rsidRPr="00757D20">
        <w:rPr>
          <w:rFonts w:eastAsia="Calibri"/>
        </w:rPr>
        <w:t xml:space="preserve">Norton, A. (2020, October 9). 3 flaws in Job-Ready Graduates package will add to the turmoil in Australian higher education. </w:t>
      </w:r>
      <w:r w:rsidRPr="00757D20">
        <w:rPr>
          <w:rFonts w:eastAsia="Calibri"/>
          <w:i/>
          <w:iCs/>
        </w:rPr>
        <w:t>The Conversation</w:t>
      </w:r>
      <w:r w:rsidRPr="00757D20">
        <w:rPr>
          <w:rFonts w:eastAsia="Calibri"/>
        </w:rPr>
        <w:t xml:space="preserve">. </w:t>
      </w:r>
      <w:hyperlink r:id="rId132" w:history="1">
        <w:r w:rsidR="00C07BCA" w:rsidRPr="00BC059C">
          <w:rPr>
            <w:rStyle w:val="Hyperlink"/>
            <w:rFonts w:eastAsia="Calibri"/>
          </w:rPr>
          <w:t>https://theconversation.com/3-flaws-in-job-ready-graduates-package-will-add-to-the-turmoil-in-australian-higher-education-147740</w:t>
        </w:r>
      </w:hyperlink>
      <w:r w:rsidR="00C07BCA">
        <w:rPr>
          <w:rFonts w:eastAsia="Calibri"/>
        </w:rPr>
        <w:t xml:space="preserve"> </w:t>
      </w:r>
    </w:p>
    <w:p w14:paraId="4E43A43B" w14:textId="089A9EC8" w:rsidR="008E5E29" w:rsidRPr="00757D20" w:rsidRDefault="008E5E29" w:rsidP="00BF0B57">
      <w:pPr>
        <w:spacing w:before="120" w:after="120"/>
        <w:ind w:left="709" w:hanging="720"/>
      </w:pPr>
      <w:r w:rsidRPr="00757D20">
        <w:t xml:space="preserve">Norton, A. (2023). </w:t>
      </w:r>
      <w:r w:rsidRPr="00757D20">
        <w:rPr>
          <w:i/>
          <w:iCs/>
        </w:rPr>
        <w:t>Mapping Australian Higher Education 2023</w:t>
      </w:r>
      <w:r w:rsidRPr="00757D20">
        <w:t xml:space="preserve">. </w:t>
      </w:r>
      <w:hyperlink r:id="rId133" w:history="1">
        <w:r w:rsidR="00C07BCA" w:rsidRPr="00BC059C">
          <w:rPr>
            <w:rStyle w:val="Hyperlink"/>
          </w:rPr>
          <w:t>https://andrewnorton.net.au/wp-content/uploads/2023/11/mapping-australian-higher-education-2023_update.pdf</w:t>
        </w:r>
      </w:hyperlink>
      <w:r w:rsidR="00C07BCA">
        <w:t xml:space="preserve"> </w:t>
      </w:r>
    </w:p>
    <w:p w14:paraId="140039D0" w14:textId="280E152A" w:rsidR="008E5E29" w:rsidRPr="00757D20" w:rsidRDefault="008E5E29" w:rsidP="00BF0B57">
      <w:pPr>
        <w:spacing w:before="120" w:after="120"/>
        <w:ind w:left="709" w:hanging="720"/>
        <w:rPr>
          <w:rFonts w:eastAsia="Calibri"/>
        </w:rPr>
      </w:pPr>
      <w:r w:rsidRPr="00757D20">
        <w:rPr>
          <w:rFonts w:eastAsia="Calibri"/>
        </w:rPr>
        <w:lastRenderedPageBreak/>
        <w:t xml:space="preserve">O’Keeffe, P. &amp; Papadopoulos, A. (2021). The Australian </w:t>
      </w:r>
      <w:r w:rsidR="00414AEA" w:rsidRPr="00757D20">
        <w:rPr>
          <w:rFonts w:eastAsia="Calibri"/>
        </w:rPr>
        <w:t>g</w:t>
      </w:r>
      <w:r w:rsidRPr="00757D20">
        <w:rPr>
          <w:rFonts w:eastAsia="Calibri"/>
        </w:rPr>
        <w:t xml:space="preserve">overnment’s business-friendly employment response to COVID-19: A critical discourse analysis. </w:t>
      </w:r>
      <w:r w:rsidRPr="00757D20">
        <w:rPr>
          <w:rFonts w:eastAsia="Calibri"/>
          <w:i/>
          <w:iCs/>
        </w:rPr>
        <w:t>The Economic and Labour Relations Review, 32</w:t>
      </w:r>
      <w:r w:rsidRPr="00757D20">
        <w:rPr>
          <w:rFonts w:eastAsia="Calibri"/>
        </w:rPr>
        <w:t xml:space="preserve">(3), 453 –471. </w:t>
      </w:r>
      <w:hyperlink r:id="rId134" w:history="1">
        <w:r w:rsidR="00C07BCA" w:rsidRPr="00BC059C">
          <w:rPr>
            <w:rStyle w:val="Hyperlink"/>
            <w:rFonts w:eastAsia="Calibri"/>
          </w:rPr>
          <w:t>https://doi.org/10.1177/1035304621997891</w:t>
        </w:r>
      </w:hyperlink>
      <w:r w:rsidR="00C07BCA">
        <w:rPr>
          <w:rFonts w:eastAsia="Calibri"/>
        </w:rPr>
        <w:t xml:space="preserve"> </w:t>
      </w:r>
    </w:p>
    <w:p w14:paraId="67B693E3" w14:textId="5F3C2417" w:rsidR="008E5E29" w:rsidRPr="00757D20" w:rsidRDefault="008E5E29" w:rsidP="00BF0B57">
      <w:pPr>
        <w:spacing w:before="120" w:after="120"/>
        <w:ind w:left="709" w:hanging="720"/>
        <w:rPr>
          <w:rFonts w:eastAsia="Calibri"/>
        </w:rPr>
      </w:pPr>
      <w:r w:rsidRPr="00757D20">
        <w:rPr>
          <w:rFonts w:eastAsia="Calibri"/>
        </w:rPr>
        <w:t xml:space="preserve">O’Shea, S., Koshy, P., &amp; Drane, C. (2021). The implications of </w:t>
      </w:r>
      <w:r w:rsidR="00414AEA" w:rsidRPr="00757D20">
        <w:rPr>
          <w:rFonts w:eastAsia="Calibri"/>
        </w:rPr>
        <w:t>Covid-19</w:t>
      </w:r>
      <w:r w:rsidRPr="00757D20">
        <w:rPr>
          <w:rFonts w:eastAsia="Calibri"/>
        </w:rPr>
        <w:t xml:space="preserve"> for student equity in Australian higher education. </w:t>
      </w:r>
      <w:r w:rsidRPr="00757D20">
        <w:rPr>
          <w:rFonts w:eastAsia="Calibri"/>
          <w:i/>
          <w:iCs/>
        </w:rPr>
        <w:t>Journal of Higher Education Policy and Management</w:t>
      </w:r>
      <w:r w:rsidRPr="00757D20">
        <w:rPr>
          <w:rFonts w:eastAsia="Calibri"/>
        </w:rPr>
        <w:t xml:space="preserve">, </w:t>
      </w:r>
      <w:r w:rsidRPr="00757D20">
        <w:rPr>
          <w:rFonts w:eastAsia="Calibri"/>
          <w:i/>
          <w:iCs/>
        </w:rPr>
        <w:t>43</w:t>
      </w:r>
      <w:r w:rsidRPr="00757D20">
        <w:rPr>
          <w:rFonts w:eastAsia="Calibri"/>
        </w:rPr>
        <w:t xml:space="preserve">(6), 576-591. </w:t>
      </w:r>
      <w:hyperlink r:id="rId135" w:history="1">
        <w:r w:rsidR="00C07BCA" w:rsidRPr="00BC059C">
          <w:rPr>
            <w:rStyle w:val="Hyperlink"/>
            <w:rFonts w:eastAsia="Calibri"/>
          </w:rPr>
          <w:t>https://doi.org/10.1080/1360080X.2021.1933305</w:t>
        </w:r>
      </w:hyperlink>
      <w:r w:rsidR="00C07BCA">
        <w:rPr>
          <w:rFonts w:eastAsia="Calibri"/>
        </w:rPr>
        <w:t xml:space="preserve"> </w:t>
      </w:r>
    </w:p>
    <w:p w14:paraId="62545590" w14:textId="640421F5" w:rsidR="008E5E29" w:rsidRPr="00757D20" w:rsidRDefault="008E5E29" w:rsidP="00BF0B57">
      <w:pPr>
        <w:spacing w:before="120" w:after="120"/>
        <w:ind w:left="709" w:hanging="720"/>
        <w:rPr>
          <w:rFonts w:eastAsia="Calibri"/>
        </w:rPr>
      </w:pPr>
      <w:r w:rsidRPr="00757D20">
        <w:rPr>
          <w:rFonts w:eastAsia="Calibri"/>
        </w:rPr>
        <w:t xml:space="preserve">OECD. (2023). </w:t>
      </w:r>
      <w:r w:rsidRPr="00757D20">
        <w:rPr>
          <w:rFonts w:eastAsia="Calibri"/>
          <w:i/>
          <w:iCs/>
        </w:rPr>
        <w:t xml:space="preserve">Education </w:t>
      </w:r>
      <w:proofErr w:type="gramStart"/>
      <w:r w:rsidRPr="00757D20">
        <w:rPr>
          <w:rFonts w:eastAsia="Calibri"/>
          <w:i/>
          <w:iCs/>
        </w:rPr>
        <w:t>at a Glance</w:t>
      </w:r>
      <w:proofErr w:type="gramEnd"/>
      <w:r w:rsidRPr="00757D20">
        <w:rPr>
          <w:rFonts w:eastAsia="Calibri"/>
          <w:i/>
          <w:iCs/>
        </w:rPr>
        <w:t xml:space="preserve"> 2023: OECD Indicators</w:t>
      </w:r>
      <w:r w:rsidR="00414AEA" w:rsidRPr="00757D20">
        <w:rPr>
          <w:rFonts w:eastAsia="Calibri"/>
        </w:rPr>
        <w:t xml:space="preserve">. </w:t>
      </w:r>
      <w:hyperlink r:id="rId136" w:history="1">
        <w:r w:rsidR="00C07BCA" w:rsidRPr="00BC059C">
          <w:rPr>
            <w:rStyle w:val="Hyperlink"/>
            <w:rFonts w:eastAsia="Calibri"/>
          </w:rPr>
          <w:t>https://doi.org/10.1787/e13bef63-en</w:t>
        </w:r>
      </w:hyperlink>
      <w:r w:rsidR="00C07BCA">
        <w:rPr>
          <w:rFonts w:eastAsia="Calibri"/>
        </w:rPr>
        <w:t xml:space="preserve"> </w:t>
      </w:r>
    </w:p>
    <w:p w14:paraId="586356F1" w14:textId="4EEAC02E" w:rsidR="008E5E29" w:rsidRPr="00757D20" w:rsidRDefault="008E5E29" w:rsidP="00BF0B57">
      <w:pPr>
        <w:spacing w:before="120" w:after="120"/>
        <w:ind w:left="709" w:hanging="720"/>
        <w:rPr>
          <w:rFonts w:eastAsia="Calibri"/>
        </w:rPr>
      </w:pPr>
      <w:r w:rsidRPr="00757D20">
        <w:rPr>
          <w:rFonts w:eastAsia="Calibri"/>
        </w:rPr>
        <w:t xml:space="preserve">Oke, N., Hodge, L., McIntyre, H &amp; Turner, S. (2023). ‘I </w:t>
      </w:r>
      <w:r w:rsidR="00414AEA" w:rsidRPr="00757D20">
        <w:rPr>
          <w:rFonts w:eastAsia="Calibri"/>
        </w:rPr>
        <w:t>h</w:t>
      </w:r>
      <w:r w:rsidRPr="00757D20">
        <w:rPr>
          <w:rFonts w:eastAsia="Calibri"/>
        </w:rPr>
        <w:t xml:space="preserve">ad to </w:t>
      </w:r>
      <w:r w:rsidR="00414AEA" w:rsidRPr="00757D20">
        <w:rPr>
          <w:rFonts w:eastAsia="Calibri"/>
        </w:rPr>
        <w:t>t</w:t>
      </w:r>
      <w:r w:rsidRPr="00757D20">
        <w:rPr>
          <w:rFonts w:eastAsia="Calibri"/>
        </w:rPr>
        <w:t xml:space="preserve">ake a </w:t>
      </w:r>
      <w:r w:rsidR="00414AEA" w:rsidRPr="00757D20">
        <w:rPr>
          <w:rFonts w:eastAsia="Calibri"/>
        </w:rPr>
        <w:t>c</w:t>
      </w:r>
      <w:r w:rsidRPr="00757D20">
        <w:rPr>
          <w:rFonts w:eastAsia="Calibri"/>
        </w:rPr>
        <w:t xml:space="preserve">asual </w:t>
      </w:r>
      <w:r w:rsidR="00414AEA" w:rsidRPr="00757D20">
        <w:rPr>
          <w:rFonts w:eastAsia="Calibri"/>
        </w:rPr>
        <w:t>c</w:t>
      </w:r>
      <w:r w:rsidRPr="00757D20">
        <w:rPr>
          <w:rFonts w:eastAsia="Calibri"/>
        </w:rPr>
        <w:t xml:space="preserve">ontract and </w:t>
      </w:r>
      <w:r w:rsidR="00414AEA" w:rsidRPr="00757D20">
        <w:rPr>
          <w:rFonts w:eastAsia="Calibri"/>
        </w:rPr>
        <w:t>w</w:t>
      </w:r>
      <w:r w:rsidRPr="00757D20">
        <w:rPr>
          <w:rFonts w:eastAsia="Calibri"/>
        </w:rPr>
        <w:t xml:space="preserve">ork </w:t>
      </w:r>
      <w:r w:rsidR="00414AEA" w:rsidRPr="00757D20">
        <w:rPr>
          <w:rFonts w:eastAsia="Calibri"/>
        </w:rPr>
        <w:t>o</w:t>
      </w:r>
      <w:r w:rsidRPr="00757D20">
        <w:rPr>
          <w:rFonts w:eastAsia="Calibri"/>
        </w:rPr>
        <w:t xml:space="preserve">ne </w:t>
      </w:r>
      <w:r w:rsidR="00414AEA" w:rsidRPr="00757D20">
        <w:rPr>
          <w:rFonts w:eastAsia="Calibri"/>
        </w:rPr>
        <w:t>d</w:t>
      </w:r>
      <w:r w:rsidRPr="00757D20">
        <w:rPr>
          <w:rFonts w:eastAsia="Calibri"/>
        </w:rPr>
        <w:t xml:space="preserve">ay a </w:t>
      </w:r>
      <w:r w:rsidR="00414AEA" w:rsidRPr="00757D20">
        <w:rPr>
          <w:rFonts w:eastAsia="Calibri"/>
        </w:rPr>
        <w:t>w</w:t>
      </w:r>
      <w:r w:rsidRPr="00757D20">
        <w:rPr>
          <w:rFonts w:eastAsia="Calibri"/>
        </w:rPr>
        <w:t xml:space="preserve">eek’: Students’ </w:t>
      </w:r>
      <w:r w:rsidR="00414AEA" w:rsidRPr="00757D20">
        <w:rPr>
          <w:rFonts w:eastAsia="Calibri"/>
        </w:rPr>
        <w:t>e</w:t>
      </w:r>
      <w:r w:rsidRPr="00757D20">
        <w:rPr>
          <w:rFonts w:eastAsia="Calibri"/>
        </w:rPr>
        <w:t xml:space="preserve">xperiences of </w:t>
      </w:r>
      <w:r w:rsidR="00414AEA" w:rsidRPr="00757D20">
        <w:rPr>
          <w:rFonts w:eastAsia="Calibri"/>
        </w:rPr>
        <w:t>l</w:t>
      </w:r>
      <w:r w:rsidRPr="00757D20">
        <w:rPr>
          <w:rFonts w:eastAsia="Calibri"/>
        </w:rPr>
        <w:t xml:space="preserve">engthy </w:t>
      </w:r>
      <w:r w:rsidR="00414AEA" w:rsidRPr="00757D20">
        <w:rPr>
          <w:rFonts w:eastAsia="Calibri"/>
        </w:rPr>
        <w:t>u</w:t>
      </w:r>
      <w:r w:rsidRPr="00757D20">
        <w:rPr>
          <w:rFonts w:eastAsia="Calibri"/>
        </w:rPr>
        <w:t xml:space="preserve">niversity </w:t>
      </w:r>
      <w:r w:rsidR="00414AEA" w:rsidRPr="00757D20">
        <w:rPr>
          <w:rFonts w:eastAsia="Calibri"/>
        </w:rPr>
        <w:t>p</w:t>
      </w:r>
      <w:r w:rsidRPr="00757D20">
        <w:rPr>
          <w:rFonts w:eastAsia="Calibri"/>
        </w:rPr>
        <w:t xml:space="preserve">lacements as </w:t>
      </w:r>
      <w:r w:rsidR="00414AEA" w:rsidRPr="00757D20">
        <w:rPr>
          <w:rFonts w:eastAsia="Calibri"/>
        </w:rPr>
        <w:t>d</w:t>
      </w:r>
      <w:r w:rsidRPr="00757D20">
        <w:rPr>
          <w:rFonts w:eastAsia="Calibri"/>
        </w:rPr>
        <w:t xml:space="preserve">rivers of </w:t>
      </w:r>
      <w:r w:rsidR="00414AEA" w:rsidRPr="00757D20">
        <w:rPr>
          <w:rFonts w:eastAsia="Calibri"/>
        </w:rPr>
        <w:t>p</w:t>
      </w:r>
      <w:r w:rsidRPr="00757D20">
        <w:rPr>
          <w:rFonts w:eastAsia="Calibri"/>
        </w:rPr>
        <w:t xml:space="preserve">recarity. </w:t>
      </w:r>
      <w:r w:rsidRPr="00757D20">
        <w:rPr>
          <w:rFonts w:eastAsia="Calibri"/>
          <w:i/>
          <w:iCs/>
        </w:rPr>
        <w:t>Work, Employment and Society, 37</w:t>
      </w:r>
      <w:r w:rsidRPr="00757D20">
        <w:rPr>
          <w:rFonts w:eastAsia="Calibri"/>
        </w:rPr>
        <w:t xml:space="preserve">(6), 1664-1680. </w:t>
      </w:r>
      <w:hyperlink r:id="rId137" w:history="1">
        <w:r w:rsidR="00C07BCA" w:rsidRPr="00BC059C">
          <w:rPr>
            <w:rStyle w:val="Hyperlink"/>
            <w:rFonts w:eastAsia="Calibri"/>
          </w:rPr>
          <w:t>http://doi.org/10.1177/09500170221091679</w:t>
        </w:r>
      </w:hyperlink>
      <w:r w:rsidR="00C07BCA">
        <w:rPr>
          <w:rFonts w:eastAsia="Calibri"/>
        </w:rPr>
        <w:t xml:space="preserve"> </w:t>
      </w:r>
    </w:p>
    <w:p w14:paraId="760B4F63" w14:textId="1F1CACA0" w:rsidR="008E5E29" w:rsidRPr="00757D20" w:rsidRDefault="008E5E29" w:rsidP="00BF0B57">
      <w:pPr>
        <w:spacing w:before="120" w:after="120"/>
        <w:ind w:left="709" w:hanging="720"/>
      </w:pPr>
      <w:proofErr w:type="spellStart"/>
      <w:r w:rsidRPr="00757D20">
        <w:t>Patfield</w:t>
      </w:r>
      <w:proofErr w:type="spellEnd"/>
      <w:r w:rsidRPr="00757D20">
        <w:t xml:space="preserve">, S., Fray, L., &amp; Gore, J. (2024). Translating </w:t>
      </w:r>
      <w:r w:rsidR="00750C7C" w:rsidRPr="00757D20">
        <w:t>l</w:t>
      </w:r>
      <w:r w:rsidRPr="00757D20">
        <w:t xml:space="preserve">ongitudinal </w:t>
      </w:r>
      <w:r w:rsidR="00750C7C" w:rsidRPr="00757D20">
        <w:t>r</w:t>
      </w:r>
      <w:r w:rsidRPr="00757D20">
        <w:t xml:space="preserve">esearch: From </w:t>
      </w:r>
      <w:r w:rsidR="00750C7C" w:rsidRPr="00757D20">
        <w:t>l</w:t>
      </w:r>
      <w:r w:rsidRPr="00757D20">
        <w:t xml:space="preserve">arge </w:t>
      </w:r>
      <w:r w:rsidR="00750C7C" w:rsidRPr="00757D20">
        <w:t>d</w:t>
      </w:r>
      <w:r w:rsidRPr="00757D20">
        <w:t xml:space="preserve">atasets to </w:t>
      </w:r>
      <w:r w:rsidR="00750C7C" w:rsidRPr="00757D20">
        <w:t>i</w:t>
      </w:r>
      <w:r w:rsidRPr="00757D20">
        <w:t xml:space="preserve">nsights for </w:t>
      </w:r>
      <w:r w:rsidR="00151AD9" w:rsidRPr="00757D20">
        <w:t xml:space="preserve">professional </w:t>
      </w:r>
      <w:r w:rsidR="00F17D55" w:rsidRPr="00757D20">
        <w:t>practice</w:t>
      </w:r>
      <w:r w:rsidRPr="00757D20">
        <w:t xml:space="preserve">. In J. Cook, Q. Maire </w:t>
      </w:r>
      <w:r w:rsidR="007F43BA" w:rsidRPr="00757D20">
        <w:t>&amp;</w:t>
      </w:r>
      <w:r w:rsidRPr="00757D20">
        <w:t xml:space="preserve"> J. Wyn, (Eds.), </w:t>
      </w:r>
      <w:r w:rsidRPr="00757D20">
        <w:rPr>
          <w:i/>
          <w:iCs/>
        </w:rPr>
        <w:t xml:space="preserve">Longitudinal </w:t>
      </w:r>
      <w:r w:rsidR="00F17D55" w:rsidRPr="00757D20">
        <w:rPr>
          <w:i/>
          <w:iCs/>
        </w:rPr>
        <w:t>m</w:t>
      </w:r>
      <w:r w:rsidRPr="00757D20">
        <w:rPr>
          <w:i/>
          <w:iCs/>
        </w:rPr>
        <w:t xml:space="preserve">ethods in </w:t>
      </w:r>
      <w:r w:rsidR="00F17D55" w:rsidRPr="00757D20">
        <w:rPr>
          <w:i/>
          <w:iCs/>
        </w:rPr>
        <w:t>y</w:t>
      </w:r>
      <w:r w:rsidRPr="00757D20">
        <w:rPr>
          <w:i/>
          <w:iCs/>
        </w:rPr>
        <w:t xml:space="preserve">outh </w:t>
      </w:r>
      <w:r w:rsidR="00F17D55" w:rsidRPr="00757D20">
        <w:rPr>
          <w:i/>
          <w:iCs/>
        </w:rPr>
        <w:t>r</w:t>
      </w:r>
      <w:r w:rsidRPr="00757D20">
        <w:rPr>
          <w:i/>
          <w:iCs/>
        </w:rPr>
        <w:t xml:space="preserve">esearch. Perspectives on </w:t>
      </w:r>
      <w:r w:rsidR="00F17D55" w:rsidRPr="00757D20">
        <w:rPr>
          <w:i/>
          <w:iCs/>
        </w:rPr>
        <w:t>c</w:t>
      </w:r>
      <w:r w:rsidRPr="00757D20">
        <w:rPr>
          <w:i/>
          <w:iCs/>
        </w:rPr>
        <w:t xml:space="preserve">hildren and </w:t>
      </w:r>
      <w:r w:rsidR="00F17D55" w:rsidRPr="00757D20">
        <w:rPr>
          <w:i/>
          <w:iCs/>
        </w:rPr>
        <w:t>y</w:t>
      </w:r>
      <w:r w:rsidRPr="00757D20">
        <w:rPr>
          <w:i/>
          <w:iCs/>
        </w:rPr>
        <w:t xml:space="preserve">oung </w:t>
      </w:r>
      <w:r w:rsidR="00F17D55" w:rsidRPr="00757D20">
        <w:rPr>
          <w:i/>
          <w:iCs/>
        </w:rPr>
        <w:t>p</w:t>
      </w:r>
      <w:r w:rsidRPr="00757D20">
        <w:rPr>
          <w:i/>
          <w:iCs/>
        </w:rPr>
        <w:t>eople</w:t>
      </w:r>
      <w:r w:rsidRPr="00757D20">
        <w:t xml:space="preserve">, vol 15 (pp. 211-227). Springer. </w:t>
      </w:r>
      <w:hyperlink r:id="rId138" w:history="1">
        <w:r w:rsidR="00C07BCA" w:rsidRPr="00BC059C">
          <w:rPr>
            <w:rStyle w:val="Hyperlink"/>
          </w:rPr>
          <w:t>https://doi.org/10.1007/978-981-97-2332-4_16</w:t>
        </w:r>
      </w:hyperlink>
      <w:r w:rsidR="00C07BCA">
        <w:t xml:space="preserve"> </w:t>
      </w:r>
      <w:r w:rsidRPr="00757D20">
        <w:t xml:space="preserve"> </w:t>
      </w:r>
    </w:p>
    <w:p w14:paraId="6D19DAD1" w14:textId="153BE41E" w:rsidR="007841EF" w:rsidRDefault="007841EF" w:rsidP="00BF0B57">
      <w:pPr>
        <w:spacing w:before="120" w:after="120"/>
        <w:ind w:left="709" w:hanging="720"/>
        <w:rPr>
          <w:rFonts w:eastAsia="Calibri"/>
        </w:rPr>
      </w:pPr>
      <w:r>
        <w:rPr>
          <w:rFonts w:eastAsia="Calibri"/>
        </w:rPr>
        <w:t xml:space="preserve">Pee, </w:t>
      </w:r>
      <w:r w:rsidR="0080679D">
        <w:rPr>
          <w:rFonts w:eastAsia="Calibri"/>
        </w:rPr>
        <w:t>S</w:t>
      </w:r>
      <w:r w:rsidR="001E7662">
        <w:rPr>
          <w:rFonts w:eastAsia="Calibri"/>
        </w:rPr>
        <w:t xml:space="preserve"> &amp; </w:t>
      </w:r>
      <w:proofErr w:type="spellStart"/>
      <w:r w:rsidR="001E7662">
        <w:rPr>
          <w:rFonts w:eastAsia="Calibri"/>
        </w:rPr>
        <w:t>Vu</w:t>
      </w:r>
      <w:r w:rsidR="00F15416">
        <w:rPr>
          <w:rFonts w:eastAsia="Calibri"/>
        </w:rPr>
        <w:t>lulleh</w:t>
      </w:r>
      <w:proofErr w:type="spellEnd"/>
      <w:r w:rsidR="00314BD7">
        <w:rPr>
          <w:rFonts w:eastAsia="Calibri"/>
        </w:rPr>
        <w:t xml:space="preserve">, N. (2020). </w:t>
      </w:r>
      <w:r w:rsidR="00CE5000" w:rsidRPr="00CE5000">
        <w:rPr>
          <w:rFonts w:eastAsia="Calibri"/>
        </w:rPr>
        <w:t>Role of Universities in Transforming Society: Challenges and Practices</w:t>
      </w:r>
      <w:r w:rsidR="006F651B">
        <w:rPr>
          <w:rFonts w:eastAsia="Calibri"/>
        </w:rPr>
        <w:t xml:space="preserve">. </w:t>
      </w:r>
      <w:r w:rsidR="00146F9B">
        <w:rPr>
          <w:rFonts w:eastAsia="Calibri"/>
        </w:rPr>
        <w:t xml:space="preserve">In </w:t>
      </w:r>
      <w:r w:rsidR="006F3CCD">
        <w:rPr>
          <w:rFonts w:eastAsia="Calibri"/>
        </w:rPr>
        <w:t xml:space="preserve">E. </w:t>
      </w:r>
      <w:r w:rsidR="000B50A9">
        <w:rPr>
          <w:rFonts w:eastAsia="Calibri"/>
        </w:rPr>
        <w:t>Seng</w:t>
      </w:r>
      <w:r w:rsidR="00AB6757">
        <w:rPr>
          <w:rFonts w:eastAsia="Calibri"/>
        </w:rPr>
        <w:t>upta</w:t>
      </w:r>
      <w:r w:rsidR="006F3CCD">
        <w:rPr>
          <w:rFonts w:eastAsia="Calibri"/>
        </w:rPr>
        <w:t xml:space="preserve">, P. </w:t>
      </w:r>
      <w:proofErr w:type="spellStart"/>
      <w:r w:rsidR="006F3CCD">
        <w:rPr>
          <w:rFonts w:eastAsia="Calibri"/>
        </w:rPr>
        <w:t>Blesinger</w:t>
      </w:r>
      <w:proofErr w:type="spellEnd"/>
      <w:r w:rsidR="0074776B">
        <w:rPr>
          <w:rFonts w:eastAsia="Calibri"/>
        </w:rPr>
        <w:t xml:space="preserve"> &amp; C. Mahoney</w:t>
      </w:r>
      <w:r w:rsidR="00765B94">
        <w:rPr>
          <w:rFonts w:eastAsia="Calibri"/>
        </w:rPr>
        <w:t xml:space="preserve">, (Eds.), </w:t>
      </w:r>
      <w:r w:rsidR="00A820D8" w:rsidRPr="00DA0A20">
        <w:rPr>
          <w:rFonts w:eastAsia="Calibri"/>
          <w:i/>
          <w:iCs/>
        </w:rPr>
        <w:t>International Perspectives on Policies, Practices &amp; Pedagogies for Promoting Social Responsibility in Higher Education</w:t>
      </w:r>
      <w:r w:rsidR="00512E4C">
        <w:rPr>
          <w:rFonts w:eastAsia="Calibri"/>
        </w:rPr>
        <w:t xml:space="preserve">, </w:t>
      </w:r>
      <w:r w:rsidR="005E2940">
        <w:rPr>
          <w:rFonts w:eastAsia="Calibri"/>
        </w:rPr>
        <w:t>vol 32</w:t>
      </w:r>
      <w:r w:rsidR="0099371A">
        <w:rPr>
          <w:rFonts w:eastAsia="Calibri"/>
        </w:rPr>
        <w:t xml:space="preserve"> (pp.</w:t>
      </w:r>
      <w:r w:rsidR="00E5422B">
        <w:rPr>
          <w:rFonts w:eastAsia="Calibri"/>
        </w:rPr>
        <w:t xml:space="preserve"> 67</w:t>
      </w:r>
      <w:r w:rsidR="0096765D">
        <w:rPr>
          <w:rFonts w:eastAsia="Calibri"/>
        </w:rPr>
        <w:t>-</w:t>
      </w:r>
      <w:r w:rsidR="006D5DD6">
        <w:rPr>
          <w:rFonts w:eastAsia="Calibri"/>
        </w:rPr>
        <w:t>79</w:t>
      </w:r>
      <w:r w:rsidR="00BD21E2">
        <w:rPr>
          <w:rFonts w:eastAsia="Calibri"/>
        </w:rPr>
        <w:t>)</w:t>
      </w:r>
      <w:r w:rsidR="00A7006E">
        <w:rPr>
          <w:rFonts w:eastAsia="Calibri"/>
        </w:rPr>
        <w:t>. Emerald</w:t>
      </w:r>
      <w:r w:rsidR="000E1992">
        <w:rPr>
          <w:rFonts w:eastAsia="Calibri"/>
        </w:rPr>
        <w:t xml:space="preserve">. </w:t>
      </w:r>
      <w:hyperlink r:id="rId139" w:history="1">
        <w:r w:rsidR="00E5422B" w:rsidRPr="00E5422B">
          <w:rPr>
            <w:rStyle w:val="Hyperlink"/>
            <w:rFonts w:eastAsia="Calibri"/>
          </w:rPr>
          <w:t>https://doi.org/10.1108/S2055-364120200000032005</w:t>
        </w:r>
      </w:hyperlink>
    </w:p>
    <w:p w14:paraId="2E4AEF21" w14:textId="1B74DB9D" w:rsidR="004D5CBC" w:rsidRPr="00757D20" w:rsidRDefault="008E5E29" w:rsidP="00BF0B57">
      <w:pPr>
        <w:spacing w:before="120" w:after="120"/>
        <w:ind w:left="709" w:hanging="720"/>
        <w:rPr>
          <w:rFonts w:eastAsia="Calibri"/>
          <w:color w:val="0563C1"/>
          <w:u w:val="single"/>
        </w:rPr>
      </w:pPr>
      <w:r w:rsidRPr="00757D20">
        <w:rPr>
          <w:rFonts w:eastAsia="Calibri"/>
        </w:rPr>
        <w:t xml:space="preserve">Perry, L. B. (2018). Educational inequality in Australia. In Committee for Economic Development of Australia (Ed.) </w:t>
      </w:r>
      <w:r w:rsidRPr="00757D20">
        <w:rPr>
          <w:rFonts w:eastAsia="Calibri"/>
          <w:i/>
          <w:iCs/>
        </w:rPr>
        <w:t>How unequal? Insights on inequality</w:t>
      </w:r>
      <w:r w:rsidRPr="00757D20">
        <w:rPr>
          <w:rFonts w:eastAsia="Calibri"/>
        </w:rPr>
        <w:t xml:space="preserve">. Committee for Economic Development of Australia. (pp. 56-67). </w:t>
      </w:r>
      <w:r w:rsidR="004D5CBC" w:rsidRPr="00757D20">
        <w:t xml:space="preserve"> </w:t>
      </w:r>
      <w:hyperlink r:id="rId140" w:history="1">
        <w:r w:rsidR="00C07BCA" w:rsidRPr="00BC059C">
          <w:rPr>
            <w:rStyle w:val="Hyperlink"/>
          </w:rPr>
          <w:t>https://www.ceda.com.au/researchandpolicies/research/population/how-unequal-insights-on-inequality</w:t>
        </w:r>
      </w:hyperlink>
      <w:r w:rsidR="00C07BCA">
        <w:t xml:space="preserve"> </w:t>
      </w:r>
      <w:r w:rsidR="00C977C9" w:rsidRPr="00757D20" w:rsidDel="00C977C9">
        <w:rPr>
          <w:rFonts w:eastAsia="Calibri"/>
          <w:color w:val="0563C1"/>
          <w:u w:val="single"/>
        </w:rPr>
        <w:t xml:space="preserve"> </w:t>
      </w:r>
      <w:r w:rsidR="00C07BCA">
        <w:rPr>
          <w:rFonts w:eastAsia="Calibri"/>
          <w:color w:val="0563C1"/>
          <w:u w:val="single"/>
        </w:rPr>
        <w:t xml:space="preserve"> </w:t>
      </w:r>
    </w:p>
    <w:p w14:paraId="0E19D487" w14:textId="32CC42ED" w:rsidR="008E5E29" w:rsidRPr="00757D20" w:rsidRDefault="008E5E29" w:rsidP="00BF0B57">
      <w:pPr>
        <w:spacing w:before="120" w:after="120"/>
        <w:ind w:left="709" w:hanging="720"/>
        <w:rPr>
          <w:rFonts w:eastAsia="Calibri"/>
        </w:rPr>
      </w:pPr>
      <w:r w:rsidRPr="00757D20">
        <w:rPr>
          <w:rFonts w:eastAsia="Calibri"/>
        </w:rPr>
        <w:t xml:space="preserve">Pham, V. B. &amp; Chau, T. H. H. (2024). Student </w:t>
      </w:r>
      <w:r w:rsidR="00672BDE" w:rsidRPr="00757D20">
        <w:rPr>
          <w:rFonts w:eastAsia="Calibri"/>
        </w:rPr>
        <w:t>e</w:t>
      </w:r>
      <w:r w:rsidRPr="00757D20">
        <w:rPr>
          <w:rFonts w:eastAsia="Calibri"/>
        </w:rPr>
        <w:t xml:space="preserve">ngagement in the </w:t>
      </w:r>
      <w:r w:rsidR="00672BDE" w:rsidRPr="00757D20">
        <w:rPr>
          <w:rFonts w:eastAsia="Calibri"/>
        </w:rPr>
        <w:t>c</w:t>
      </w:r>
      <w:r w:rsidRPr="00757D20">
        <w:rPr>
          <w:rFonts w:eastAsia="Calibri"/>
        </w:rPr>
        <w:t xml:space="preserve">ontext of </w:t>
      </w:r>
      <w:r w:rsidR="00672BDE" w:rsidRPr="00757D20">
        <w:rPr>
          <w:rFonts w:eastAsia="Calibri"/>
        </w:rPr>
        <w:t>p</w:t>
      </w:r>
      <w:r w:rsidRPr="00757D20">
        <w:rPr>
          <w:rFonts w:eastAsia="Calibri"/>
        </w:rPr>
        <w:t>ost-</w:t>
      </w:r>
      <w:r w:rsidR="00672BDE" w:rsidRPr="00757D20">
        <w:rPr>
          <w:rFonts w:eastAsia="Calibri"/>
        </w:rPr>
        <w:t>c</w:t>
      </w:r>
      <w:r w:rsidRPr="00757D20">
        <w:rPr>
          <w:rFonts w:eastAsia="Calibri"/>
        </w:rPr>
        <w:t xml:space="preserve">ovid: A </w:t>
      </w:r>
      <w:r w:rsidR="00672BDE" w:rsidRPr="00757D20">
        <w:rPr>
          <w:rFonts w:eastAsia="Calibri"/>
        </w:rPr>
        <w:t>c</w:t>
      </w:r>
      <w:r w:rsidRPr="00757D20">
        <w:rPr>
          <w:rFonts w:eastAsia="Calibri"/>
        </w:rPr>
        <w:t xml:space="preserve">ase of </w:t>
      </w:r>
      <w:r w:rsidR="00672BDE" w:rsidRPr="00757D20">
        <w:rPr>
          <w:rFonts w:eastAsia="Calibri"/>
        </w:rPr>
        <w:t>h</w:t>
      </w:r>
      <w:r w:rsidRPr="00757D20">
        <w:rPr>
          <w:rFonts w:eastAsia="Calibri"/>
        </w:rPr>
        <w:t xml:space="preserve">igher </w:t>
      </w:r>
      <w:r w:rsidR="00672BDE" w:rsidRPr="00757D20">
        <w:rPr>
          <w:rFonts w:eastAsia="Calibri"/>
        </w:rPr>
        <w:t>e</w:t>
      </w:r>
      <w:r w:rsidRPr="00757D20">
        <w:rPr>
          <w:rFonts w:eastAsia="Calibri"/>
        </w:rPr>
        <w:t xml:space="preserve">ducation </w:t>
      </w:r>
      <w:r w:rsidR="00672BDE" w:rsidRPr="00757D20">
        <w:rPr>
          <w:rFonts w:eastAsia="Calibri"/>
        </w:rPr>
        <w:t>i</w:t>
      </w:r>
      <w:r w:rsidRPr="00757D20">
        <w:rPr>
          <w:rFonts w:eastAsia="Calibri"/>
        </w:rPr>
        <w:t xml:space="preserve">nstitutions. </w:t>
      </w:r>
      <w:r w:rsidRPr="00757D20">
        <w:rPr>
          <w:rFonts w:eastAsia="Calibri"/>
          <w:i/>
          <w:iCs/>
        </w:rPr>
        <w:t>International Journal of Instruction, 17</w:t>
      </w:r>
      <w:r w:rsidRPr="00757D20">
        <w:rPr>
          <w:rFonts w:eastAsia="Calibri"/>
        </w:rPr>
        <w:t>(2), 321-334.</w:t>
      </w:r>
      <w:r w:rsidRPr="00757D20">
        <w:rPr>
          <w:rFonts w:eastAsia="Calibri"/>
          <w:u w:val="single"/>
        </w:rPr>
        <w:t xml:space="preserve"> </w:t>
      </w:r>
      <w:hyperlink r:id="rId141" w:history="1">
        <w:r w:rsidR="00C07BCA" w:rsidRPr="00BC059C">
          <w:rPr>
            <w:rStyle w:val="Hyperlink"/>
            <w:rFonts w:eastAsia="Calibri"/>
          </w:rPr>
          <w:t>https://doi.org/10.29333/iji.2024.17218a</w:t>
        </w:r>
      </w:hyperlink>
      <w:r w:rsidR="00C07BCA">
        <w:rPr>
          <w:rFonts w:eastAsia="Calibri"/>
        </w:rPr>
        <w:t xml:space="preserve"> </w:t>
      </w:r>
    </w:p>
    <w:p w14:paraId="0FFAFCCA" w14:textId="06F11162" w:rsidR="008E5E29" w:rsidRPr="00757D20" w:rsidRDefault="008E5E29" w:rsidP="00BF0B57">
      <w:pPr>
        <w:spacing w:before="120" w:after="120"/>
        <w:ind w:left="709" w:hanging="720"/>
        <w:rPr>
          <w:rFonts w:eastAsia="Calibri"/>
          <w:u w:val="single"/>
        </w:rPr>
      </w:pPr>
      <w:r w:rsidRPr="00757D20">
        <w:rPr>
          <w:rFonts w:eastAsia="Calibri"/>
        </w:rPr>
        <w:t xml:space="preserve">Polesel, J., Leahy, M. &amp; Gillis, S. (2018). Educational inequality and transitions to university in Australia. </w:t>
      </w:r>
      <w:r w:rsidRPr="00757D20">
        <w:rPr>
          <w:rFonts w:eastAsia="Calibri"/>
          <w:i/>
          <w:iCs/>
        </w:rPr>
        <w:t>British Journal of Sociology of Education, 39</w:t>
      </w:r>
      <w:r w:rsidRPr="00757D20">
        <w:rPr>
          <w:rFonts w:eastAsia="Calibri"/>
        </w:rPr>
        <w:t xml:space="preserve">(6), 793-810. </w:t>
      </w:r>
      <w:hyperlink r:id="rId142" w:history="1">
        <w:r w:rsidR="00C07BCA" w:rsidRPr="00BC059C">
          <w:rPr>
            <w:rStyle w:val="Hyperlink"/>
            <w:rFonts w:eastAsia="Calibri"/>
          </w:rPr>
          <w:t>https://doi.org/10.1080/01425692.2017.1409101</w:t>
        </w:r>
      </w:hyperlink>
      <w:r w:rsidR="00C07BCA">
        <w:rPr>
          <w:rFonts w:eastAsia="Calibri"/>
        </w:rPr>
        <w:t xml:space="preserve"> </w:t>
      </w:r>
    </w:p>
    <w:p w14:paraId="2AC07846" w14:textId="71558DCA" w:rsidR="008E5E29" w:rsidRPr="00757D20" w:rsidRDefault="008E5E29" w:rsidP="00BF0B57">
      <w:pPr>
        <w:spacing w:before="120" w:after="120"/>
        <w:ind w:left="709" w:hanging="720"/>
        <w:rPr>
          <w:rFonts w:eastAsia="Calibri"/>
        </w:rPr>
      </w:pPr>
      <w:r w:rsidRPr="00757D20">
        <w:rPr>
          <w:rFonts w:eastAsia="Calibri"/>
        </w:rPr>
        <w:t xml:space="preserve">Price, J. A., Rutherford, S. M. &amp; Tucker, J. M. (2022). A silver lining: Revitalising impacts of Covid for students, staff, and the institution in higher education - a case study. In T. Bowell, N. Pepperell, A. Richardson &amp; M-T. Corino (Eds.), </w:t>
      </w:r>
      <w:r w:rsidRPr="00757D20">
        <w:rPr>
          <w:rFonts w:eastAsia="Calibri"/>
          <w:i/>
          <w:iCs/>
        </w:rPr>
        <w:t xml:space="preserve">Revitalising </w:t>
      </w:r>
      <w:r w:rsidR="0019406C" w:rsidRPr="00757D20">
        <w:rPr>
          <w:rFonts w:eastAsia="Calibri"/>
          <w:i/>
          <w:iCs/>
        </w:rPr>
        <w:t>h</w:t>
      </w:r>
      <w:r w:rsidRPr="00757D20">
        <w:rPr>
          <w:rFonts w:eastAsia="Calibri"/>
          <w:i/>
          <w:iCs/>
        </w:rPr>
        <w:t xml:space="preserve">igher </w:t>
      </w:r>
      <w:r w:rsidR="00672BDE" w:rsidRPr="00757D20">
        <w:rPr>
          <w:rFonts w:eastAsia="Calibri"/>
          <w:i/>
          <w:iCs/>
        </w:rPr>
        <w:t>e</w:t>
      </w:r>
      <w:r w:rsidRPr="00757D20">
        <w:rPr>
          <w:rFonts w:eastAsia="Calibri"/>
          <w:i/>
          <w:iCs/>
        </w:rPr>
        <w:t xml:space="preserve">ducation </w:t>
      </w:r>
      <w:r w:rsidR="00672BDE" w:rsidRPr="00757D20">
        <w:rPr>
          <w:rFonts w:eastAsia="Calibri"/>
          <w:i/>
          <w:iCs/>
        </w:rPr>
        <w:t>i</w:t>
      </w:r>
      <w:r w:rsidRPr="00757D20">
        <w:rPr>
          <w:rFonts w:eastAsia="Calibri"/>
          <w:i/>
          <w:iCs/>
        </w:rPr>
        <w:t xml:space="preserve">nsights from </w:t>
      </w:r>
      <w:proofErr w:type="spellStart"/>
      <w:r w:rsidRPr="00757D20">
        <w:rPr>
          <w:rFonts w:eastAsia="Calibri"/>
          <w:i/>
          <w:iCs/>
        </w:rPr>
        <w:t>Te</w:t>
      </w:r>
      <w:proofErr w:type="spellEnd"/>
      <w:r w:rsidRPr="00757D20">
        <w:rPr>
          <w:rFonts w:eastAsia="Calibri"/>
          <w:i/>
          <w:iCs/>
        </w:rPr>
        <w:t xml:space="preserve"> Puna Aurei </w:t>
      </w:r>
      <w:proofErr w:type="spellStart"/>
      <w:r w:rsidRPr="00757D20">
        <w:rPr>
          <w:rFonts w:eastAsia="Calibri"/>
          <w:i/>
          <w:iCs/>
        </w:rPr>
        <w:t>LearnFest</w:t>
      </w:r>
      <w:proofErr w:type="spellEnd"/>
      <w:r w:rsidRPr="00757D20">
        <w:rPr>
          <w:rFonts w:eastAsia="Calibri"/>
          <w:i/>
          <w:iCs/>
        </w:rPr>
        <w:t xml:space="preserve"> 2022</w:t>
      </w:r>
      <w:r w:rsidRPr="00757D20">
        <w:rPr>
          <w:rFonts w:eastAsia="Calibri"/>
        </w:rPr>
        <w:t xml:space="preserve"> (pp. 18-30). Cardiff University Press. </w:t>
      </w:r>
    </w:p>
    <w:p w14:paraId="34D2D352" w14:textId="13ABDF19" w:rsidR="008E5E29" w:rsidRPr="00757D20" w:rsidRDefault="008E5E29" w:rsidP="00BF0B57">
      <w:pPr>
        <w:spacing w:before="120" w:after="120"/>
        <w:ind w:left="709" w:hanging="720"/>
        <w:rPr>
          <w:rFonts w:eastAsia="Calibri"/>
          <w:color w:val="0563C1"/>
          <w:u w:val="single"/>
        </w:rPr>
      </w:pPr>
      <w:proofErr w:type="spellStart"/>
      <w:r w:rsidRPr="00757D20">
        <w:rPr>
          <w:rFonts w:eastAsia="Calibri"/>
        </w:rPr>
        <w:t>Prodonovich</w:t>
      </w:r>
      <w:proofErr w:type="spellEnd"/>
      <w:r w:rsidRPr="00757D20">
        <w:rPr>
          <w:rFonts w:eastAsia="Calibri"/>
        </w:rPr>
        <w:t xml:space="preserve">, S., Perry, L.B. &amp; Taggart, A. (2014). Developing conceptual understandings of the capacity to aspire for higher education. </w:t>
      </w:r>
      <w:r w:rsidRPr="00757D20">
        <w:rPr>
          <w:rFonts w:eastAsia="Calibri"/>
          <w:i/>
          <w:iCs/>
        </w:rPr>
        <w:t>Issues in Educational Research, 24</w:t>
      </w:r>
      <w:r w:rsidRPr="00757D20">
        <w:rPr>
          <w:rFonts w:eastAsia="Calibri"/>
        </w:rPr>
        <w:t>(2), 174-189.</w:t>
      </w:r>
      <w:r w:rsidRPr="00757D20">
        <w:t xml:space="preserve"> </w:t>
      </w:r>
      <w:hyperlink r:id="rId143" w:history="1">
        <w:r w:rsidR="00C07BCA" w:rsidRPr="00BC059C">
          <w:rPr>
            <w:rStyle w:val="Hyperlink"/>
          </w:rPr>
          <w:t>https://iier.org.au/iier24/prodonovich.pdf</w:t>
        </w:r>
      </w:hyperlink>
      <w:r w:rsidR="00C07BCA">
        <w:t xml:space="preserve"> </w:t>
      </w:r>
      <w:r w:rsidR="001825B4" w:rsidRPr="00757D20">
        <w:rPr>
          <w:rFonts w:eastAsia="Calibri"/>
        </w:rPr>
        <w:t xml:space="preserve"> </w:t>
      </w:r>
      <w:r w:rsidRPr="00757D20">
        <w:rPr>
          <w:rFonts w:eastAsia="Calibri"/>
        </w:rPr>
        <w:t xml:space="preserve"> </w:t>
      </w:r>
    </w:p>
    <w:p w14:paraId="1701CBFB" w14:textId="3CA074F0" w:rsidR="008E5E29" w:rsidRPr="00757D20" w:rsidRDefault="008E5E29" w:rsidP="00BF0B57">
      <w:pPr>
        <w:spacing w:before="120" w:after="120"/>
        <w:ind w:left="709" w:hanging="720"/>
        <w:rPr>
          <w:rFonts w:eastAsia="Calibri"/>
        </w:rPr>
      </w:pPr>
      <w:r w:rsidRPr="00757D20">
        <w:rPr>
          <w:rFonts w:eastAsia="Calibri"/>
        </w:rPr>
        <w:t xml:space="preserve">Raciti, M.M. (2019). </w:t>
      </w:r>
      <w:r w:rsidRPr="00757D20">
        <w:rPr>
          <w:rFonts w:eastAsia="Calibri"/>
          <w:i/>
          <w:iCs/>
        </w:rPr>
        <w:t xml:space="preserve">Career </w:t>
      </w:r>
      <w:r w:rsidR="00574C3A" w:rsidRPr="00757D20">
        <w:rPr>
          <w:rFonts w:eastAsia="Calibri"/>
          <w:i/>
          <w:iCs/>
        </w:rPr>
        <w:t>c</w:t>
      </w:r>
      <w:r w:rsidRPr="00757D20">
        <w:rPr>
          <w:rFonts w:eastAsia="Calibri"/>
          <w:i/>
          <w:iCs/>
        </w:rPr>
        <w:t xml:space="preserve">onstruction, </w:t>
      </w:r>
      <w:r w:rsidR="00574C3A" w:rsidRPr="00757D20">
        <w:rPr>
          <w:rFonts w:eastAsia="Calibri"/>
          <w:i/>
          <w:iCs/>
        </w:rPr>
        <w:t>f</w:t>
      </w:r>
      <w:r w:rsidRPr="00757D20">
        <w:rPr>
          <w:rFonts w:eastAsia="Calibri"/>
          <w:i/>
          <w:iCs/>
        </w:rPr>
        <w:t xml:space="preserve">uture </w:t>
      </w:r>
      <w:r w:rsidR="00574C3A" w:rsidRPr="00757D20">
        <w:rPr>
          <w:rFonts w:eastAsia="Calibri"/>
          <w:i/>
          <w:iCs/>
        </w:rPr>
        <w:t>w</w:t>
      </w:r>
      <w:r w:rsidRPr="00757D20">
        <w:rPr>
          <w:rFonts w:eastAsia="Calibri"/>
          <w:i/>
          <w:iCs/>
        </w:rPr>
        <w:t xml:space="preserve">ork and the </w:t>
      </w:r>
      <w:r w:rsidR="00574C3A" w:rsidRPr="00757D20">
        <w:rPr>
          <w:rFonts w:eastAsia="Calibri"/>
          <w:i/>
          <w:iCs/>
        </w:rPr>
        <w:t>p</w:t>
      </w:r>
      <w:r w:rsidRPr="00757D20">
        <w:rPr>
          <w:rFonts w:eastAsia="Calibri"/>
          <w:i/>
          <w:iCs/>
        </w:rPr>
        <w:t xml:space="preserve">erceived </w:t>
      </w:r>
      <w:r w:rsidR="00574C3A" w:rsidRPr="00757D20">
        <w:rPr>
          <w:rFonts w:eastAsia="Calibri"/>
          <w:i/>
          <w:iCs/>
        </w:rPr>
        <w:t>r</w:t>
      </w:r>
      <w:r w:rsidRPr="00757D20">
        <w:rPr>
          <w:rFonts w:eastAsia="Calibri"/>
          <w:i/>
          <w:iCs/>
        </w:rPr>
        <w:t xml:space="preserve">isks of </w:t>
      </w:r>
      <w:r w:rsidR="00574C3A" w:rsidRPr="00757D20">
        <w:rPr>
          <w:rFonts w:eastAsia="Calibri"/>
          <w:i/>
          <w:iCs/>
        </w:rPr>
        <w:t>g</w:t>
      </w:r>
      <w:r w:rsidRPr="00757D20">
        <w:rPr>
          <w:rFonts w:eastAsia="Calibri"/>
          <w:i/>
          <w:iCs/>
        </w:rPr>
        <w:t xml:space="preserve">oing to </w:t>
      </w:r>
      <w:r w:rsidR="00574C3A" w:rsidRPr="00757D20">
        <w:rPr>
          <w:rFonts w:eastAsia="Calibri"/>
          <w:i/>
          <w:iCs/>
        </w:rPr>
        <w:t>u</w:t>
      </w:r>
      <w:r w:rsidRPr="00757D20">
        <w:rPr>
          <w:rFonts w:eastAsia="Calibri"/>
          <w:i/>
          <w:iCs/>
        </w:rPr>
        <w:t xml:space="preserve">niversity for </w:t>
      </w:r>
      <w:r w:rsidR="00574C3A" w:rsidRPr="00757D20">
        <w:rPr>
          <w:rFonts w:eastAsia="Calibri"/>
          <w:i/>
          <w:iCs/>
        </w:rPr>
        <w:t>y</w:t>
      </w:r>
      <w:r w:rsidRPr="00757D20">
        <w:rPr>
          <w:rFonts w:eastAsia="Calibri"/>
          <w:i/>
          <w:iCs/>
        </w:rPr>
        <w:t xml:space="preserve">oung </w:t>
      </w:r>
      <w:r w:rsidR="00574C3A" w:rsidRPr="00757D20">
        <w:rPr>
          <w:rFonts w:eastAsia="Calibri"/>
          <w:i/>
          <w:iCs/>
        </w:rPr>
        <w:t>p</w:t>
      </w:r>
      <w:r w:rsidRPr="00757D20">
        <w:rPr>
          <w:rFonts w:eastAsia="Calibri"/>
          <w:i/>
          <w:iCs/>
        </w:rPr>
        <w:t xml:space="preserve">eople from low SES </w:t>
      </w:r>
      <w:r w:rsidR="00574C3A" w:rsidRPr="00757D20">
        <w:rPr>
          <w:rFonts w:eastAsia="Calibri"/>
          <w:i/>
          <w:iCs/>
        </w:rPr>
        <w:t>b</w:t>
      </w:r>
      <w:r w:rsidRPr="00757D20">
        <w:rPr>
          <w:rFonts w:eastAsia="Calibri"/>
          <w:i/>
          <w:iCs/>
        </w:rPr>
        <w:t xml:space="preserve">ackgrounds: Research </w:t>
      </w:r>
      <w:r w:rsidR="00574C3A" w:rsidRPr="00757D20">
        <w:rPr>
          <w:rFonts w:eastAsia="Calibri"/>
          <w:i/>
          <w:iCs/>
        </w:rPr>
        <w:t>f</w:t>
      </w:r>
      <w:r w:rsidRPr="00757D20">
        <w:rPr>
          <w:rFonts w:eastAsia="Calibri"/>
          <w:i/>
          <w:iCs/>
        </w:rPr>
        <w:t xml:space="preserve">ellowship </w:t>
      </w:r>
      <w:r w:rsidR="00574C3A" w:rsidRPr="00757D20">
        <w:rPr>
          <w:rFonts w:eastAsia="Calibri"/>
          <w:i/>
          <w:iCs/>
        </w:rPr>
        <w:t>f</w:t>
      </w:r>
      <w:r w:rsidRPr="00757D20">
        <w:rPr>
          <w:rFonts w:eastAsia="Calibri"/>
          <w:i/>
          <w:iCs/>
        </w:rPr>
        <w:t xml:space="preserve">inal </w:t>
      </w:r>
      <w:r w:rsidR="00574C3A" w:rsidRPr="00757D20">
        <w:rPr>
          <w:rFonts w:eastAsia="Calibri"/>
          <w:i/>
          <w:iCs/>
        </w:rPr>
        <w:lastRenderedPageBreak/>
        <w:t>r</w:t>
      </w:r>
      <w:r w:rsidRPr="00757D20">
        <w:rPr>
          <w:rFonts w:eastAsia="Calibri"/>
          <w:i/>
          <w:iCs/>
        </w:rPr>
        <w:t>eport</w:t>
      </w:r>
      <w:r w:rsidR="00574C3A" w:rsidRPr="00757D20">
        <w:rPr>
          <w:rFonts w:eastAsia="Calibri"/>
        </w:rPr>
        <w:t xml:space="preserve">. </w:t>
      </w:r>
      <w:r w:rsidRPr="00757D20">
        <w:rPr>
          <w:rFonts w:eastAsia="Calibri"/>
        </w:rPr>
        <w:t xml:space="preserve"> </w:t>
      </w:r>
      <w:hyperlink r:id="rId144" w:history="1">
        <w:r w:rsidR="00C07BCA" w:rsidRPr="00BC059C">
          <w:rPr>
            <w:rStyle w:val="Hyperlink"/>
          </w:rPr>
          <w:t>https://www.acses.edu.au/publication/career-construction-future-work-and-the-perceived-risks-of-going-to-university-for-young-people-from-low-ses-backgrounds/</w:t>
        </w:r>
      </w:hyperlink>
      <w:r w:rsidR="00C07BCA">
        <w:t xml:space="preserve"> </w:t>
      </w:r>
      <w:r w:rsidR="00574C3A" w:rsidRPr="00757D20">
        <w:rPr>
          <w:rFonts w:eastAsia="Calibri"/>
        </w:rPr>
        <w:t xml:space="preserve"> </w:t>
      </w:r>
      <w:r w:rsidRPr="00757D20">
        <w:rPr>
          <w:rFonts w:eastAsia="Calibri"/>
        </w:rPr>
        <w:t xml:space="preserve"> </w:t>
      </w:r>
    </w:p>
    <w:p w14:paraId="3AFB11D5" w14:textId="012C40F0" w:rsidR="008E5E29" w:rsidRPr="00757D20" w:rsidRDefault="008E5E29" w:rsidP="00BF0B57">
      <w:pPr>
        <w:spacing w:before="120" w:after="120"/>
        <w:ind w:left="709" w:hanging="720"/>
      </w:pPr>
      <w:r w:rsidRPr="00757D20">
        <w:t xml:space="preserve">Raco, M. (2009). From expectations to aspirations: State modernisation, urban policy, and the existential politics of welfare in the UK. </w:t>
      </w:r>
      <w:r w:rsidRPr="00757D20">
        <w:rPr>
          <w:i/>
          <w:iCs/>
        </w:rPr>
        <w:t>Political Geography, 28</w:t>
      </w:r>
      <w:r w:rsidRPr="00757D20">
        <w:t xml:space="preserve">(7). </w:t>
      </w:r>
      <w:hyperlink r:id="rId145" w:history="1">
        <w:r w:rsidR="00C07BCA" w:rsidRPr="00BC059C">
          <w:rPr>
            <w:rStyle w:val="Hyperlink"/>
          </w:rPr>
          <w:t>https://doi.org/10.1016/j.polgeo.2009.10.009</w:t>
        </w:r>
      </w:hyperlink>
      <w:r w:rsidR="00C07BCA">
        <w:t xml:space="preserve"> </w:t>
      </w:r>
      <w:r w:rsidRPr="00757D20">
        <w:t xml:space="preserve"> </w:t>
      </w:r>
    </w:p>
    <w:p w14:paraId="4CE7F451" w14:textId="5A005AD1" w:rsidR="008E5E29" w:rsidRPr="00757D20" w:rsidRDefault="008E5E29" w:rsidP="00BF0B57">
      <w:pPr>
        <w:spacing w:before="120" w:after="120"/>
        <w:ind w:left="709" w:hanging="720"/>
        <w:rPr>
          <w:rFonts w:eastAsia="Calibri"/>
        </w:rPr>
      </w:pPr>
      <w:r w:rsidRPr="00757D20">
        <w:rPr>
          <w:rFonts w:eastAsia="Calibri"/>
        </w:rPr>
        <w:t xml:space="preserve">Rainford, J. (2023). Are we still “raising aspirations”? The complex relationship between aspiration and widening participation practices in English higher education institutions. </w:t>
      </w:r>
      <w:r w:rsidRPr="00757D20">
        <w:rPr>
          <w:rFonts w:eastAsia="Calibri"/>
          <w:i/>
          <w:iCs/>
        </w:rPr>
        <w:t>Educational Review</w:t>
      </w:r>
      <w:r w:rsidRPr="00757D20">
        <w:rPr>
          <w:rFonts w:eastAsia="Calibri"/>
        </w:rPr>
        <w:t xml:space="preserve">, </w:t>
      </w:r>
      <w:r w:rsidRPr="00757D20">
        <w:rPr>
          <w:rFonts w:eastAsia="Calibri"/>
          <w:i/>
          <w:iCs/>
        </w:rPr>
        <w:t>75</w:t>
      </w:r>
      <w:r w:rsidRPr="00757D20">
        <w:rPr>
          <w:rFonts w:eastAsia="Calibri"/>
        </w:rPr>
        <w:t xml:space="preserve">(3), 411-428. </w:t>
      </w:r>
      <w:hyperlink r:id="rId146" w:history="1">
        <w:r w:rsidR="00C07BCA" w:rsidRPr="00BC059C">
          <w:rPr>
            <w:rStyle w:val="Hyperlink"/>
            <w:rFonts w:eastAsia="Calibri"/>
          </w:rPr>
          <w:t>https://doi.org/10.1080/00131911.2021.1923461</w:t>
        </w:r>
      </w:hyperlink>
      <w:r w:rsidR="00C07BCA">
        <w:rPr>
          <w:rFonts w:eastAsia="Calibri"/>
        </w:rPr>
        <w:t xml:space="preserve"> </w:t>
      </w:r>
    </w:p>
    <w:p w14:paraId="79949C64" w14:textId="76FE4625" w:rsidR="008E5E29" w:rsidRPr="00757D20" w:rsidRDefault="008E5E29" w:rsidP="00BF0B57">
      <w:pPr>
        <w:spacing w:before="120" w:after="120"/>
        <w:ind w:left="709" w:hanging="720"/>
      </w:pPr>
      <w:r w:rsidRPr="00757D20">
        <w:t xml:space="preserve">Rajak, D., &amp; Dolan, C. (2022). Aspiring </w:t>
      </w:r>
      <w:r w:rsidR="00660019" w:rsidRPr="00757D20">
        <w:t>m</w:t>
      </w:r>
      <w:r w:rsidRPr="00757D20">
        <w:t xml:space="preserve">inds: ‘A </w:t>
      </w:r>
      <w:r w:rsidR="00660019" w:rsidRPr="00757D20">
        <w:t>g</w:t>
      </w:r>
      <w:r w:rsidRPr="00757D20">
        <w:t xml:space="preserve">eneration of </w:t>
      </w:r>
      <w:r w:rsidR="00660019" w:rsidRPr="00757D20">
        <w:t>e</w:t>
      </w:r>
      <w:r w:rsidRPr="00757D20">
        <w:t xml:space="preserve">ntrepreneurs in the </w:t>
      </w:r>
      <w:r w:rsidR="00660019" w:rsidRPr="00757D20">
        <w:t>m</w:t>
      </w:r>
      <w:r w:rsidRPr="00757D20">
        <w:t xml:space="preserve">aking’. </w:t>
      </w:r>
      <w:r w:rsidRPr="00757D20">
        <w:rPr>
          <w:i/>
          <w:iCs/>
        </w:rPr>
        <w:t>Sociological Research Online, 27</w:t>
      </w:r>
      <w:r w:rsidRPr="00757D20">
        <w:t xml:space="preserve">(4). </w:t>
      </w:r>
      <w:hyperlink r:id="rId147" w:history="1">
        <w:r w:rsidR="00C07BCA" w:rsidRPr="00BC059C">
          <w:rPr>
            <w:rStyle w:val="Hyperlink"/>
          </w:rPr>
          <w:t>https://doi.org/10.1177/13607804211042905</w:t>
        </w:r>
      </w:hyperlink>
      <w:r w:rsidR="00C07BCA">
        <w:t xml:space="preserve"> </w:t>
      </w:r>
      <w:r w:rsidRPr="00757D20">
        <w:t xml:space="preserve"> </w:t>
      </w:r>
    </w:p>
    <w:p w14:paraId="5540A7C8" w14:textId="22A84941" w:rsidR="008E5E29" w:rsidRPr="00757D20" w:rsidRDefault="008E5E29" w:rsidP="00BF0B57">
      <w:pPr>
        <w:spacing w:before="120" w:after="120"/>
        <w:ind w:left="709" w:hanging="720"/>
        <w:rPr>
          <w:rFonts w:eastAsia="Calibri"/>
        </w:rPr>
      </w:pPr>
      <w:r w:rsidRPr="00757D20">
        <w:rPr>
          <w:rFonts w:eastAsia="Calibri"/>
        </w:rPr>
        <w:t xml:space="preserve">Ramadan, R., Randell, A., Lavoie, S., Gao, C. X., Manrique, P. C., Anderson, R., McDowell, C. &amp; </w:t>
      </w:r>
      <w:proofErr w:type="spellStart"/>
      <w:r w:rsidRPr="00757D20">
        <w:rPr>
          <w:rFonts w:eastAsia="Calibri"/>
        </w:rPr>
        <w:t>Zbukvic</w:t>
      </w:r>
      <w:proofErr w:type="spellEnd"/>
      <w:r w:rsidRPr="00757D20">
        <w:rPr>
          <w:rFonts w:eastAsia="Calibri"/>
        </w:rPr>
        <w:t xml:space="preserve">, I. (2023). Empirical evidence for climate concerns, negative emotions and climate-related mental ill-health in young people: A scoping review. </w:t>
      </w:r>
      <w:r w:rsidRPr="00757D20">
        <w:rPr>
          <w:rFonts w:eastAsia="Calibri"/>
          <w:i/>
          <w:iCs/>
        </w:rPr>
        <w:t>Early Intervention in Psychiatry, 17</w:t>
      </w:r>
      <w:r w:rsidRPr="00757D20">
        <w:rPr>
          <w:rFonts w:eastAsia="Calibri"/>
        </w:rPr>
        <w:t>, 537–563.</w:t>
      </w:r>
      <w:r w:rsidR="009F12F0" w:rsidRPr="00757D20">
        <w:rPr>
          <w:rFonts w:eastAsia="Calibri"/>
        </w:rPr>
        <w:t xml:space="preserve"> </w:t>
      </w:r>
      <w:hyperlink r:id="rId148" w:history="1">
        <w:r w:rsidR="00C07BCA" w:rsidRPr="00BC059C">
          <w:rPr>
            <w:rStyle w:val="Hyperlink"/>
            <w:rFonts w:eastAsia="Calibri"/>
          </w:rPr>
          <w:t>http://doi.org/10.1111/eip.13374</w:t>
        </w:r>
      </w:hyperlink>
      <w:r w:rsidR="00C07BCA">
        <w:rPr>
          <w:rFonts w:eastAsia="Calibri"/>
        </w:rPr>
        <w:t xml:space="preserve"> </w:t>
      </w:r>
    </w:p>
    <w:p w14:paraId="2C717C73" w14:textId="48CB645F" w:rsidR="008E5E29" w:rsidRPr="00757D20" w:rsidRDefault="008E5E29" w:rsidP="00BF0B57">
      <w:pPr>
        <w:spacing w:before="120" w:after="120"/>
        <w:ind w:left="709" w:hanging="720"/>
        <w:rPr>
          <w:rFonts w:eastAsia="Calibri"/>
        </w:rPr>
      </w:pPr>
      <w:proofErr w:type="spellStart"/>
      <w:r w:rsidRPr="00757D20">
        <w:rPr>
          <w:rFonts w:eastAsia="Calibri"/>
        </w:rPr>
        <w:t>Ravulo</w:t>
      </w:r>
      <w:proofErr w:type="spellEnd"/>
      <w:r w:rsidRPr="00757D20">
        <w:rPr>
          <w:rFonts w:eastAsia="Calibri"/>
        </w:rPr>
        <w:t xml:space="preserve">, J., Said, S., Micsko, J. &amp; Purchase, G. (2020). Social value and its impact through widening participation: A review of four programs working with primary, secondary &amp; higher education students. </w:t>
      </w:r>
      <w:r w:rsidRPr="00757D20">
        <w:rPr>
          <w:rFonts w:eastAsia="Calibri"/>
          <w:i/>
          <w:iCs/>
        </w:rPr>
        <w:t>Cogent Social Sciences, 6</w:t>
      </w:r>
      <w:r w:rsidRPr="00757D20">
        <w:rPr>
          <w:rFonts w:eastAsia="Calibri"/>
        </w:rPr>
        <w:t xml:space="preserve">(1), 1722307. </w:t>
      </w:r>
      <w:hyperlink r:id="rId149" w:history="1">
        <w:r w:rsidR="00C07BCA" w:rsidRPr="00BC059C">
          <w:rPr>
            <w:rStyle w:val="Hyperlink"/>
            <w:rFonts w:eastAsia="Calibri"/>
          </w:rPr>
          <w:t>https://doi.org/10.1080/23311886.2020.1722307</w:t>
        </w:r>
      </w:hyperlink>
      <w:r w:rsidR="00C07BCA">
        <w:rPr>
          <w:rFonts w:eastAsia="Calibri"/>
        </w:rPr>
        <w:t xml:space="preserve"> </w:t>
      </w:r>
    </w:p>
    <w:p w14:paraId="18C0049F" w14:textId="77777777" w:rsidR="008E5E29" w:rsidRPr="00757D20" w:rsidRDefault="008E5E29" w:rsidP="00BF0B57">
      <w:pPr>
        <w:spacing w:before="120" w:after="120"/>
        <w:ind w:left="709" w:hanging="720"/>
        <w:rPr>
          <w:rFonts w:eastAsia="Calibri"/>
        </w:rPr>
      </w:pPr>
      <w:r w:rsidRPr="00757D20">
        <w:rPr>
          <w:rFonts w:eastAsia="Calibri"/>
        </w:rPr>
        <w:t xml:space="preserve">Rayner, J. (2016). </w:t>
      </w:r>
      <w:r w:rsidRPr="00757D20">
        <w:rPr>
          <w:rFonts w:eastAsia="Calibri"/>
          <w:i/>
          <w:iCs/>
        </w:rPr>
        <w:t>Generation less: How Australia is cheating the young</w:t>
      </w:r>
      <w:r w:rsidRPr="00757D20">
        <w:rPr>
          <w:rFonts w:eastAsia="Calibri"/>
        </w:rPr>
        <w:t>. Black Inc. Redback.</w:t>
      </w:r>
    </w:p>
    <w:p w14:paraId="197E0E1F" w14:textId="6725573D" w:rsidR="008E5E29" w:rsidRPr="00757D20" w:rsidRDefault="008E5E29" w:rsidP="00BF0B57">
      <w:pPr>
        <w:spacing w:before="120" w:after="120"/>
        <w:ind w:left="709" w:hanging="720"/>
        <w:rPr>
          <w:rFonts w:eastAsia="Calibri"/>
        </w:rPr>
      </w:pPr>
      <w:r w:rsidRPr="00757D20">
        <w:rPr>
          <w:rFonts w:eastAsia="Calibri"/>
        </w:rPr>
        <w:t xml:space="preserve">Reay, D. (2021). The working classes and higher education: Meritocratic fallacies of upward mobility in the United Kingdom. </w:t>
      </w:r>
      <w:r w:rsidRPr="00757D20">
        <w:rPr>
          <w:rFonts w:eastAsia="Calibri"/>
          <w:i/>
          <w:iCs/>
        </w:rPr>
        <w:t>European Journal of Education, 56</w:t>
      </w:r>
      <w:r w:rsidRPr="00757D20">
        <w:rPr>
          <w:rFonts w:eastAsia="Calibri"/>
        </w:rPr>
        <w:t>, 53-64.</w:t>
      </w:r>
      <w:r w:rsidR="00EC09CD" w:rsidRPr="00757D20">
        <w:rPr>
          <w:rFonts w:eastAsia="Calibri"/>
        </w:rPr>
        <w:t xml:space="preserve"> </w:t>
      </w:r>
      <w:hyperlink r:id="rId150" w:history="1">
        <w:r w:rsidR="00C07BCA" w:rsidRPr="00BC059C">
          <w:rPr>
            <w:rStyle w:val="Hyperlink"/>
            <w:rFonts w:eastAsia="Calibri"/>
          </w:rPr>
          <w:t>https://doi.org/10.1111/ejed.12438</w:t>
        </w:r>
      </w:hyperlink>
      <w:r w:rsidR="00C07BCA">
        <w:rPr>
          <w:rFonts w:eastAsia="Calibri"/>
        </w:rPr>
        <w:t xml:space="preserve"> </w:t>
      </w:r>
    </w:p>
    <w:p w14:paraId="13F0843F" w14:textId="494A2561" w:rsidR="008E5E29" w:rsidRPr="00757D20" w:rsidRDefault="008E5E29" w:rsidP="00BF0B57">
      <w:pPr>
        <w:spacing w:before="120" w:after="120"/>
        <w:ind w:left="709" w:hanging="720"/>
      </w:pPr>
      <w:r w:rsidRPr="00757D20">
        <w:t xml:space="preserve">Rose, R., &amp; Shevlin, M. (2016). The development of case studies as a method within a longitudinal study of special educational needs provision in the Republic of Ireland. </w:t>
      </w:r>
      <w:r w:rsidRPr="00757D20">
        <w:rPr>
          <w:i/>
          <w:iCs/>
        </w:rPr>
        <w:t>Journal of Research in Special Educational Needs, 16</w:t>
      </w:r>
      <w:r w:rsidRPr="00757D20">
        <w:t xml:space="preserve">(2). </w:t>
      </w:r>
      <w:hyperlink r:id="rId151" w:history="1">
        <w:r w:rsidR="00C07BCA" w:rsidRPr="00BC059C">
          <w:rPr>
            <w:rStyle w:val="Hyperlink"/>
          </w:rPr>
          <w:t>https://doi.org/10.1111/1471-3802.12066</w:t>
        </w:r>
      </w:hyperlink>
      <w:r w:rsidR="00C07BCA">
        <w:t xml:space="preserve"> </w:t>
      </w:r>
      <w:r w:rsidRPr="00757D20">
        <w:t xml:space="preserve"> </w:t>
      </w:r>
    </w:p>
    <w:p w14:paraId="0D0E1538" w14:textId="5D6245E0" w:rsidR="008E5E29" w:rsidRPr="00757D20" w:rsidRDefault="008E5E29" w:rsidP="00BF0B57">
      <w:pPr>
        <w:spacing w:before="120" w:after="120"/>
        <w:ind w:left="709" w:hanging="720"/>
        <w:rPr>
          <w:rFonts w:eastAsia="Calibri"/>
        </w:rPr>
      </w:pPr>
      <w:r w:rsidRPr="00757D20">
        <w:rPr>
          <w:rFonts w:eastAsia="Calibri"/>
        </w:rPr>
        <w:t xml:space="preserve">Ross, J., (2023, March 21). Nine in 10 Australasian students juggling study with paid work. </w:t>
      </w:r>
      <w:r w:rsidRPr="00757D20">
        <w:rPr>
          <w:rFonts w:eastAsia="Calibri"/>
          <w:i/>
          <w:iCs/>
        </w:rPr>
        <w:t>Times Higher Education</w:t>
      </w:r>
      <w:r w:rsidRPr="00757D20">
        <w:rPr>
          <w:rFonts w:eastAsia="Calibri"/>
        </w:rPr>
        <w:t xml:space="preserve">. </w:t>
      </w:r>
      <w:hyperlink r:id="rId152" w:history="1">
        <w:r w:rsidR="00C07BCA" w:rsidRPr="00BC059C">
          <w:rPr>
            <w:rStyle w:val="Hyperlink"/>
            <w:rFonts w:eastAsia="Calibri"/>
          </w:rPr>
          <w:t>https://www.timeshighereducation.com/news/nine-10-australasian-students-juggling-study-paid-work</w:t>
        </w:r>
      </w:hyperlink>
      <w:r w:rsidR="00C07BCA">
        <w:rPr>
          <w:rFonts w:eastAsia="Calibri"/>
        </w:rPr>
        <w:t xml:space="preserve"> </w:t>
      </w:r>
    </w:p>
    <w:p w14:paraId="7050BEE3" w14:textId="6D06CF6D" w:rsidR="008E5E29" w:rsidRPr="00757D20" w:rsidRDefault="008E5E29" w:rsidP="00BF0B57">
      <w:pPr>
        <w:spacing w:before="120" w:after="120"/>
        <w:ind w:left="709" w:hanging="720"/>
        <w:rPr>
          <w:rFonts w:eastAsia="Calibri"/>
        </w:rPr>
      </w:pPr>
      <w:r w:rsidRPr="00757D20">
        <w:rPr>
          <w:rFonts w:eastAsia="Calibri"/>
        </w:rPr>
        <w:t xml:space="preserve">Salmi, J &amp; D’Addio, A. (2021). Policies for achieving inclusion in higher education. </w:t>
      </w:r>
      <w:r w:rsidRPr="00757D20">
        <w:rPr>
          <w:rFonts w:eastAsia="Calibri"/>
          <w:i/>
          <w:iCs/>
        </w:rPr>
        <w:t>Policy Reviews in Higher Education, 5</w:t>
      </w:r>
      <w:r w:rsidRPr="00757D20">
        <w:rPr>
          <w:rFonts w:eastAsia="Calibri"/>
        </w:rPr>
        <w:t xml:space="preserve">(1), 47-72. </w:t>
      </w:r>
      <w:hyperlink r:id="rId153" w:history="1">
        <w:r w:rsidR="00C07BCA" w:rsidRPr="00BC059C">
          <w:rPr>
            <w:rStyle w:val="Hyperlink"/>
            <w:rFonts w:eastAsia="Calibri"/>
          </w:rPr>
          <w:t>https://doi.org/10.1080/23322969.2020.1835529</w:t>
        </w:r>
      </w:hyperlink>
      <w:r w:rsidR="00C07BCA">
        <w:rPr>
          <w:rFonts w:eastAsia="Calibri"/>
        </w:rPr>
        <w:t xml:space="preserve"> </w:t>
      </w:r>
    </w:p>
    <w:p w14:paraId="64B7F77C" w14:textId="2D59E1BA" w:rsidR="008E5E29" w:rsidRPr="00757D20" w:rsidRDefault="008E5E29" w:rsidP="00BF0B57">
      <w:pPr>
        <w:spacing w:before="120" w:after="120"/>
        <w:ind w:left="709" w:hanging="720"/>
        <w:rPr>
          <w:rFonts w:eastAsia="Calibri"/>
        </w:rPr>
      </w:pPr>
      <w:r w:rsidRPr="00757D20">
        <w:rPr>
          <w:rFonts w:eastAsia="Calibri"/>
        </w:rPr>
        <w:t xml:space="preserve">Schoon, I. &amp; </w:t>
      </w:r>
      <w:proofErr w:type="spellStart"/>
      <w:r w:rsidRPr="00757D20">
        <w:rPr>
          <w:rFonts w:eastAsia="Calibri"/>
        </w:rPr>
        <w:t>Henseke</w:t>
      </w:r>
      <w:proofErr w:type="spellEnd"/>
      <w:r w:rsidRPr="00757D20">
        <w:rPr>
          <w:rFonts w:eastAsia="Calibri"/>
        </w:rPr>
        <w:t xml:space="preserve">, G. (2023). Navigating an uncertain future. How schools can support career adaptability of young people in the aftermath of the Covid-19 pandemic. </w:t>
      </w:r>
      <w:proofErr w:type="spellStart"/>
      <w:r w:rsidRPr="00757D20">
        <w:rPr>
          <w:rFonts w:eastAsia="Calibri"/>
          <w:i/>
          <w:iCs/>
        </w:rPr>
        <w:t>Zeitschrift</w:t>
      </w:r>
      <w:proofErr w:type="spellEnd"/>
      <w:r w:rsidRPr="00757D20">
        <w:rPr>
          <w:rFonts w:eastAsia="Calibri"/>
          <w:i/>
          <w:iCs/>
        </w:rPr>
        <w:t xml:space="preserve"> für </w:t>
      </w:r>
      <w:proofErr w:type="spellStart"/>
      <w:r w:rsidRPr="00757D20">
        <w:rPr>
          <w:rFonts w:eastAsia="Calibri"/>
          <w:i/>
          <w:iCs/>
        </w:rPr>
        <w:t>Psychologie</w:t>
      </w:r>
      <w:proofErr w:type="spellEnd"/>
      <w:r w:rsidRPr="00757D20">
        <w:rPr>
          <w:rFonts w:eastAsia="Calibri"/>
          <w:i/>
          <w:iCs/>
        </w:rPr>
        <w:t>, 231</w:t>
      </w:r>
      <w:r w:rsidRPr="00757D20">
        <w:rPr>
          <w:rFonts w:eastAsia="Calibri"/>
        </w:rPr>
        <w:t xml:space="preserve">(3), 217-227. </w:t>
      </w:r>
      <w:hyperlink r:id="rId154" w:history="1">
        <w:r w:rsidR="00C07BCA" w:rsidRPr="00BC059C">
          <w:rPr>
            <w:rStyle w:val="Hyperlink"/>
            <w:rFonts w:eastAsia="Calibri"/>
          </w:rPr>
          <w:t>http://doi.org/10.1027/2151-2604/a000530</w:t>
        </w:r>
      </w:hyperlink>
      <w:r w:rsidR="00C07BCA">
        <w:rPr>
          <w:rFonts w:eastAsia="Calibri"/>
        </w:rPr>
        <w:t xml:space="preserve"> </w:t>
      </w:r>
    </w:p>
    <w:p w14:paraId="009E34FB" w14:textId="4AFB0BCC" w:rsidR="008E5E29" w:rsidRPr="00757D20" w:rsidRDefault="008E5E29" w:rsidP="00BF0B57">
      <w:pPr>
        <w:spacing w:before="120" w:after="120"/>
        <w:ind w:left="709" w:hanging="720"/>
      </w:pPr>
      <w:r w:rsidRPr="00757D20">
        <w:t xml:space="preserve">Schweizer, S., Lawson, R. P., &amp; Blakemore, S.-J. (2023). Uncertainty as a driver of the youth mental health crisis. </w:t>
      </w:r>
      <w:r w:rsidRPr="00757D20">
        <w:rPr>
          <w:i/>
          <w:iCs/>
        </w:rPr>
        <w:t>Current Opinion in Psychology, 53</w:t>
      </w:r>
      <w:r w:rsidRPr="00757D20">
        <w:t xml:space="preserve">. </w:t>
      </w:r>
      <w:hyperlink r:id="rId155" w:history="1">
        <w:r w:rsidR="00C07BCA" w:rsidRPr="00BC059C">
          <w:rPr>
            <w:rStyle w:val="Hyperlink"/>
          </w:rPr>
          <w:t>https://doi.org/10.1016/j.copsyc.2023.101657</w:t>
        </w:r>
      </w:hyperlink>
      <w:r w:rsidR="00C07BCA">
        <w:t xml:space="preserve"> </w:t>
      </w:r>
      <w:r w:rsidRPr="00757D20">
        <w:t xml:space="preserve"> </w:t>
      </w:r>
    </w:p>
    <w:p w14:paraId="506327FF" w14:textId="55023EC8" w:rsidR="008E5E29" w:rsidRPr="00757D20" w:rsidRDefault="008E5E29" w:rsidP="00BF0B57">
      <w:pPr>
        <w:spacing w:before="120" w:after="120"/>
        <w:ind w:left="709" w:hanging="720"/>
        <w:rPr>
          <w:rFonts w:eastAsia="Calibri"/>
          <w:color w:val="0563C1"/>
          <w:u w:val="single"/>
        </w:rPr>
      </w:pPr>
      <w:r w:rsidRPr="00757D20">
        <w:rPr>
          <w:rFonts w:eastAsia="Calibri"/>
        </w:rPr>
        <w:t xml:space="preserve">Scott, M. (2024, February 26). Urgent higher education reform is needed to fix a broken system and secure Australia’s future. </w:t>
      </w:r>
      <w:r w:rsidRPr="00757D20">
        <w:rPr>
          <w:rFonts w:eastAsia="Calibri"/>
          <w:i/>
          <w:iCs/>
        </w:rPr>
        <w:t>The Guardian</w:t>
      </w:r>
      <w:r w:rsidRPr="00757D20">
        <w:rPr>
          <w:rFonts w:eastAsia="Calibri"/>
        </w:rPr>
        <w:t>.</w:t>
      </w:r>
      <w:r w:rsidRPr="00757D20">
        <w:rPr>
          <w:rFonts w:eastAsia="Calibri"/>
          <w:u w:val="single"/>
        </w:rPr>
        <w:t xml:space="preserve"> </w:t>
      </w:r>
      <w:hyperlink r:id="rId156" w:anchor="comments" w:history="1">
        <w:r w:rsidR="00C07BCA" w:rsidRPr="00BC059C">
          <w:rPr>
            <w:rStyle w:val="Hyperlink"/>
            <w:rFonts w:eastAsia="Calibri"/>
          </w:rPr>
          <w:t>https://www.theguardian.com/commentisfree/2024/feb/26/urgent-higher-education-reform-is-needed-to-fix-a-broken-system-and-secure-australias-future#comments</w:t>
        </w:r>
      </w:hyperlink>
      <w:r w:rsidR="00C07BCA">
        <w:rPr>
          <w:rFonts w:eastAsia="Calibri"/>
        </w:rPr>
        <w:t xml:space="preserve"> </w:t>
      </w:r>
    </w:p>
    <w:p w14:paraId="07023EED" w14:textId="661D03D9" w:rsidR="008E5E29" w:rsidRPr="00757D20" w:rsidRDefault="008E5E29" w:rsidP="00BF0B57">
      <w:pPr>
        <w:spacing w:before="120" w:after="120"/>
        <w:ind w:left="709" w:hanging="720"/>
        <w:rPr>
          <w:rFonts w:eastAsia="Calibri"/>
        </w:rPr>
      </w:pPr>
      <w:r w:rsidRPr="00757D20">
        <w:rPr>
          <w:rFonts w:eastAsia="Calibri"/>
        </w:rPr>
        <w:t xml:space="preserve">Sellar, S., Gale, T., &amp; Parker, S. (2011). Appreciating aspirations in Australian higher education. </w:t>
      </w:r>
      <w:r w:rsidRPr="00757D20">
        <w:rPr>
          <w:rFonts w:eastAsia="Calibri"/>
          <w:i/>
          <w:iCs/>
        </w:rPr>
        <w:t>Cambridge Journal of Education, 41</w:t>
      </w:r>
      <w:r w:rsidRPr="00757D20">
        <w:rPr>
          <w:rFonts w:eastAsia="Calibri"/>
        </w:rPr>
        <w:t xml:space="preserve">(1), 37-52. </w:t>
      </w:r>
      <w:hyperlink r:id="rId157" w:history="1">
        <w:r w:rsidR="00C07BCA" w:rsidRPr="00BC059C">
          <w:rPr>
            <w:rStyle w:val="Hyperlink"/>
            <w:rFonts w:eastAsia="Calibri"/>
          </w:rPr>
          <w:t>http://doi.org/10.1080/0305764X.2010.549457</w:t>
        </w:r>
      </w:hyperlink>
      <w:r w:rsidR="00C07BCA">
        <w:rPr>
          <w:rFonts w:eastAsia="Calibri"/>
        </w:rPr>
        <w:t xml:space="preserve"> </w:t>
      </w:r>
    </w:p>
    <w:p w14:paraId="7C34CE81" w14:textId="3C0DCB9F" w:rsidR="008E5E29" w:rsidRPr="00757D20" w:rsidRDefault="008E5E29" w:rsidP="00BF0B57">
      <w:pPr>
        <w:spacing w:before="120" w:after="120"/>
        <w:ind w:left="709" w:hanging="720"/>
      </w:pPr>
      <w:r w:rsidRPr="00757D20">
        <w:t xml:space="preserve">Sena, B. (2024). </w:t>
      </w:r>
      <w:r w:rsidRPr="00757D20">
        <w:rPr>
          <w:i/>
          <w:iCs/>
        </w:rPr>
        <w:t xml:space="preserve">The </w:t>
      </w:r>
      <w:r w:rsidR="00B928B2" w:rsidRPr="00757D20">
        <w:rPr>
          <w:i/>
          <w:iCs/>
        </w:rPr>
        <w:t>c</w:t>
      </w:r>
      <w:r w:rsidRPr="00757D20">
        <w:rPr>
          <w:i/>
          <w:iCs/>
        </w:rPr>
        <w:t xml:space="preserve">ase </w:t>
      </w:r>
      <w:r w:rsidR="00B928B2" w:rsidRPr="00757D20">
        <w:rPr>
          <w:i/>
          <w:iCs/>
        </w:rPr>
        <w:t>s</w:t>
      </w:r>
      <w:r w:rsidRPr="00757D20">
        <w:rPr>
          <w:i/>
          <w:iCs/>
        </w:rPr>
        <w:t xml:space="preserve">tudy in </w:t>
      </w:r>
      <w:r w:rsidR="00B928B2" w:rsidRPr="00757D20">
        <w:rPr>
          <w:i/>
          <w:iCs/>
        </w:rPr>
        <w:t>s</w:t>
      </w:r>
      <w:r w:rsidRPr="00757D20">
        <w:rPr>
          <w:i/>
          <w:iCs/>
        </w:rPr>
        <w:t xml:space="preserve">ocial </w:t>
      </w:r>
      <w:r w:rsidR="00B928B2" w:rsidRPr="00757D20">
        <w:rPr>
          <w:i/>
          <w:iCs/>
        </w:rPr>
        <w:t>r</w:t>
      </w:r>
      <w:r w:rsidRPr="00757D20">
        <w:rPr>
          <w:i/>
          <w:iCs/>
        </w:rPr>
        <w:t>esearch</w:t>
      </w:r>
      <w:r w:rsidRPr="00757D20">
        <w:t xml:space="preserve">. Routledge. </w:t>
      </w:r>
      <w:hyperlink r:id="rId158" w:history="1">
        <w:r w:rsidR="00C07BCA" w:rsidRPr="00BC059C">
          <w:rPr>
            <w:rStyle w:val="Hyperlink"/>
          </w:rPr>
          <w:t>http://doi.org/10.4324/9781003318255</w:t>
        </w:r>
      </w:hyperlink>
      <w:r w:rsidR="00C07BCA">
        <w:t xml:space="preserve"> </w:t>
      </w:r>
      <w:r w:rsidRPr="00757D20">
        <w:t xml:space="preserve"> </w:t>
      </w:r>
      <w:r w:rsidR="00C07BCA">
        <w:t xml:space="preserve"> </w:t>
      </w:r>
    </w:p>
    <w:p w14:paraId="10E324DA" w14:textId="7085E0F5" w:rsidR="008E5E29" w:rsidRPr="00757D20" w:rsidRDefault="008E5E29" w:rsidP="00BF0B57">
      <w:pPr>
        <w:spacing w:before="120" w:after="120"/>
        <w:ind w:left="709" w:hanging="720"/>
        <w:rPr>
          <w:rFonts w:eastAsia="Calibri"/>
        </w:rPr>
      </w:pPr>
      <w:r w:rsidRPr="00757D20">
        <w:rPr>
          <w:rFonts w:eastAsia="Calibri"/>
        </w:rPr>
        <w:t xml:space="preserve">Services Australia (2022). </w:t>
      </w:r>
      <w:r w:rsidRPr="00757D20">
        <w:rPr>
          <w:rFonts w:eastAsia="Calibri"/>
          <w:i/>
        </w:rPr>
        <w:t>Reviewable independence.</w:t>
      </w:r>
      <w:r w:rsidRPr="00757D20">
        <w:rPr>
          <w:rFonts w:eastAsia="Calibri"/>
        </w:rPr>
        <w:t xml:space="preserve"> </w:t>
      </w:r>
      <w:hyperlink r:id="rId159" w:history="1">
        <w:r w:rsidR="00C07BCA" w:rsidRPr="00BC059C">
          <w:rPr>
            <w:rStyle w:val="Hyperlink"/>
            <w:rFonts w:eastAsia="Calibri"/>
          </w:rPr>
          <w:t>https://www.servicesaustralia.gov.au/reviewable-independence-for-youth-allowance-for-students-and-australian-apprentices?context=43916</w:t>
        </w:r>
      </w:hyperlink>
      <w:r w:rsidR="00C07BCA">
        <w:rPr>
          <w:rFonts w:eastAsia="Calibri"/>
        </w:rPr>
        <w:t xml:space="preserve"> </w:t>
      </w:r>
    </w:p>
    <w:p w14:paraId="75096794" w14:textId="1A4595F1" w:rsidR="008E5E29" w:rsidRPr="00757D20" w:rsidRDefault="008E5E29" w:rsidP="00BF0B57">
      <w:pPr>
        <w:spacing w:before="120" w:after="120"/>
        <w:ind w:left="709" w:hanging="720"/>
      </w:pPr>
      <w:r w:rsidRPr="00757D20">
        <w:t xml:space="preserve">Simons, H. (2009). </w:t>
      </w:r>
      <w:r w:rsidRPr="00757D20">
        <w:rPr>
          <w:i/>
          <w:iCs/>
        </w:rPr>
        <w:t xml:space="preserve">Case </w:t>
      </w:r>
      <w:r w:rsidR="00B928B2" w:rsidRPr="00757D20">
        <w:rPr>
          <w:i/>
          <w:iCs/>
        </w:rPr>
        <w:t>s</w:t>
      </w:r>
      <w:r w:rsidRPr="00757D20">
        <w:rPr>
          <w:i/>
          <w:iCs/>
        </w:rPr>
        <w:t xml:space="preserve">tudy </w:t>
      </w:r>
      <w:r w:rsidR="00B928B2" w:rsidRPr="00757D20">
        <w:rPr>
          <w:i/>
          <w:iCs/>
        </w:rPr>
        <w:t>r</w:t>
      </w:r>
      <w:r w:rsidRPr="00757D20">
        <w:rPr>
          <w:i/>
          <w:iCs/>
        </w:rPr>
        <w:t xml:space="preserve">esearch in </w:t>
      </w:r>
      <w:r w:rsidR="00B928B2" w:rsidRPr="00757D20">
        <w:rPr>
          <w:i/>
          <w:iCs/>
        </w:rPr>
        <w:t>p</w:t>
      </w:r>
      <w:r w:rsidRPr="00757D20">
        <w:rPr>
          <w:i/>
          <w:iCs/>
        </w:rPr>
        <w:t>ractice</w:t>
      </w:r>
      <w:r w:rsidRPr="00757D20">
        <w:t>. Sage</w:t>
      </w:r>
      <w:r w:rsidR="00B928B2" w:rsidRPr="00757D20">
        <w:t xml:space="preserve">. </w:t>
      </w:r>
      <w:hyperlink r:id="rId160" w:history="1">
        <w:r w:rsidR="00C07BCA" w:rsidRPr="00BC059C">
          <w:rPr>
            <w:rStyle w:val="Hyperlink"/>
          </w:rPr>
          <w:t>https://ebookcentral.proquest.com/lib/newcastle/detail.action?pq-origsite=primo&amp;docID=743724</w:t>
        </w:r>
      </w:hyperlink>
      <w:r w:rsidR="00C07BCA">
        <w:t xml:space="preserve"> </w:t>
      </w:r>
      <w:r w:rsidRPr="00757D20">
        <w:t xml:space="preserve"> </w:t>
      </w:r>
    </w:p>
    <w:p w14:paraId="04D7954D" w14:textId="212233BD" w:rsidR="008E5E29" w:rsidRPr="00757D20" w:rsidRDefault="008E5E29" w:rsidP="00BF0B57">
      <w:pPr>
        <w:spacing w:before="120" w:after="120"/>
        <w:ind w:left="709" w:hanging="720"/>
        <w:rPr>
          <w:rFonts w:eastAsia="Calibri"/>
        </w:rPr>
      </w:pPr>
      <w:r w:rsidRPr="00757D20">
        <w:rPr>
          <w:rFonts w:eastAsia="Calibri"/>
        </w:rPr>
        <w:t xml:space="preserve">Sinha, R. (2024, February 13). Forget about a job for life. Today’s workers need to prepare for many jobs across multiple industries. </w:t>
      </w:r>
      <w:r w:rsidRPr="00757D20">
        <w:rPr>
          <w:rFonts w:eastAsia="Calibri"/>
          <w:i/>
          <w:iCs/>
        </w:rPr>
        <w:t>The Conversation</w:t>
      </w:r>
      <w:r w:rsidRPr="00757D20">
        <w:rPr>
          <w:rFonts w:eastAsia="Calibri"/>
        </w:rPr>
        <w:t xml:space="preserve">. </w:t>
      </w:r>
      <w:hyperlink r:id="rId161" w:history="1">
        <w:r w:rsidR="00C07BCA" w:rsidRPr="00BC059C">
          <w:rPr>
            <w:rStyle w:val="Hyperlink"/>
            <w:rFonts w:eastAsia="Calibri"/>
          </w:rPr>
          <w:t>https://theconversation.com/forget-about-a-job-for-life-todays-workers-need-to-prepare-for-many-jobs-across-multiple-industries-222753</w:t>
        </w:r>
      </w:hyperlink>
      <w:r w:rsidR="00C07BCA">
        <w:rPr>
          <w:rFonts w:eastAsia="Calibri"/>
        </w:rPr>
        <w:t xml:space="preserve"> </w:t>
      </w:r>
    </w:p>
    <w:p w14:paraId="5D875A40" w14:textId="4BADF891" w:rsidR="008E5E29" w:rsidRPr="00757D20" w:rsidRDefault="008E5E29" w:rsidP="00BF0B57">
      <w:pPr>
        <w:spacing w:before="120" w:after="120"/>
        <w:ind w:left="709" w:hanging="720"/>
        <w:rPr>
          <w:rFonts w:eastAsia="Calibri"/>
        </w:rPr>
      </w:pPr>
      <w:r w:rsidRPr="00757D20">
        <w:rPr>
          <w:rFonts w:eastAsia="Calibri"/>
        </w:rPr>
        <w:t xml:space="preserve">Smyth, E. (2023). Social differentiation in career decision-making processes and higher education intentions: </w:t>
      </w:r>
      <w:r w:rsidR="00B928B2" w:rsidRPr="00757D20">
        <w:rPr>
          <w:rFonts w:eastAsia="Calibri"/>
        </w:rPr>
        <w:t>T</w:t>
      </w:r>
      <w:r w:rsidRPr="00757D20">
        <w:rPr>
          <w:rFonts w:eastAsia="Calibri"/>
        </w:rPr>
        <w:t xml:space="preserve">he role of family background and school composition in the use of different sources of information. </w:t>
      </w:r>
      <w:r w:rsidRPr="00757D20">
        <w:rPr>
          <w:rFonts w:eastAsia="Calibri"/>
          <w:i/>
          <w:iCs/>
        </w:rPr>
        <w:t>Oxford Review of Education, 49</w:t>
      </w:r>
      <w:r w:rsidRPr="00757D20">
        <w:rPr>
          <w:rFonts w:eastAsia="Calibri"/>
        </w:rPr>
        <w:t>(5), 643-663.</w:t>
      </w:r>
      <w:r w:rsidR="00A27385" w:rsidRPr="00757D20">
        <w:rPr>
          <w:rFonts w:eastAsia="Calibri"/>
        </w:rPr>
        <w:t xml:space="preserve"> </w:t>
      </w:r>
      <w:hyperlink r:id="rId162" w:history="1">
        <w:r w:rsidR="00C07BCA" w:rsidRPr="00BC059C">
          <w:rPr>
            <w:rStyle w:val="Hyperlink"/>
            <w:rFonts w:eastAsia="Calibri"/>
          </w:rPr>
          <w:t>https://doi.org/10.1080/03054985.2022.2128321</w:t>
        </w:r>
      </w:hyperlink>
      <w:r w:rsidR="00C07BCA">
        <w:rPr>
          <w:rFonts w:eastAsia="Calibri"/>
        </w:rPr>
        <w:t xml:space="preserve"> </w:t>
      </w:r>
    </w:p>
    <w:p w14:paraId="2C9E3AB1" w14:textId="0E10F0E9" w:rsidR="008E5E29" w:rsidRPr="00757D20" w:rsidRDefault="008E5E29" w:rsidP="00BF0B57">
      <w:pPr>
        <w:spacing w:before="120" w:after="120"/>
        <w:ind w:left="709" w:hanging="720"/>
        <w:rPr>
          <w:rFonts w:eastAsia="Calibri"/>
        </w:rPr>
      </w:pPr>
      <w:r w:rsidRPr="00757D20">
        <w:rPr>
          <w:rFonts w:eastAsia="Calibri"/>
        </w:rPr>
        <w:t xml:space="preserve">Stein, S. (2021). Reimagining global citizenship education for a volatile, uncertain, complex, and ambiguous (VUCA) world. </w:t>
      </w:r>
      <w:r w:rsidRPr="00757D20">
        <w:rPr>
          <w:rFonts w:eastAsia="Calibri"/>
          <w:i/>
          <w:iCs/>
        </w:rPr>
        <w:t>Globalisation, Societies and Education, 19</w:t>
      </w:r>
      <w:r w:rsidRPr="00757D20">
        <w:rPr>
          <w:rFonts w:eastAsia="Calibri"/>
        </w:rPr>
        <w:t>(4), 482-495.</w:t>
      </w:r>
      <w:r w:rsidR="003B0117" w:rsidRPr="00757D20">
        <w:rPr>
          <w:rFonts w:eastAsia="Calibri"/>
        </w:rPr>
        <w:t xml:space="preserve"> </w:t>
      </w:r>
      <w:hyperlink r:id="rId163" w:history="1">
        <w:r w:rsidR="00C07BCA" w:rsidRPr="00BC059C">
          <w:rPr>
            <w:rStyle w:val="Hyperlink"/>
            <w:rFonts w:eastAsia="Calibri"/>
          </w:rPr>
          <w:t>https://doi.org/10.1080/14767724.2021.1904212</w:t>
        </w:r>
      </w:hyperlink>
      <w:r w:rsidR="00C07BCA">
        <w:rPr>
          <w:rFonts w:eastAsia="Calibri"/>
        </w:rPr>
        <w:t xml:space="preserve"> </w:t>
      </w:r>
    </w:p>
    <w:p w14:paraId="4D3E724A" w14:textId="4EA2A328" w:rsidR="008E5E29" w:rsidRPr="00757D20" w:rsidRDefault="008E5E29" w:rsidP="00BF0B57">
      <w:pPr>
        <w:spacing w:before="120" w:after="120"/>
        <w:ind w:left="709" w:hanging="720"/>
        <w:rPr>
          <w:rFonts w:eastAsia="Calibri"/>
        </w:rPr>
      </w:pPr>
      <w:r w:rsidRPr="00757D20">
        <w:rPr>
          <w:rFonts w:eastAsia="Calibri"/>
        </w:rPr>
        <w:t xml:space="preserve">Tham, A., Raciti, M. &amp; Dale, J. (2023). Widening participation between 2001 and 2021: A systematic literature review and research agenda review and research agenda. </w:t>
      </w:r>
      <w:r w:rsidRPr="00757D20">
        <w:rPr>
          <w:rFonts w:eastAsia="Calibri"/>
          <w:i/>
          <w:iCs/>
        </w:rPr>
        <w:t>Journal of University Teaching and Learning Practice, 20</w:t>
      </w:r>
      <w:r w:rsidRPr="00757D20">
        <w:rPr>
          <w:rFonts w:eastAsia="Calibri"/>
        </w:rPr>
        <w:t>(6), 15-27.</w:t>
      </w:r>
      <w:r w:rsidR="008B4E71" w:rsidRPr="00757D20">
        <w:rPr>
          <w:rFonts w:eastAsia="Calibri"/>
        </w:rPr>
        <w:t xml:space="preserve"> </w:t>
      </w:r>
      <w:hyperlink r:id="rId164" w:history="1">
        <w:r w:rsidR="00C07BCA" w:rsidRPr="00BC059C">
          <w:rPr>
            <w:rStyle w:val="Hyperlink"/>
            <w:rFonts w:eastAsia="Calibri"/>
          </w:rPr>
          <w:t>https://doi.org/10.53761/1.20.6.16</w:t>
        </w:r>
      </w:hyperlink>
      <w:r w:rsidR="00C07BCA">
        <w:rPr>
          <w:rFonts w:eastAsia="Calibri"/>
        </w:rPr>
        <w:t xml:space="preserve"> </w:t>
      </w:r>
    </w:p>
    <w:p w14:paraId="6FB3607D" w14:textId="63D44D30" w:rsidR="008E5E29" w:rsidRPr="00757D20" w:rsidRDefault="008E5E29" w:rsidP="00BF0B57">
      <w:pPr>
        <w:spacing w:before="120" w:after="120"/>
        <w:ind w:left="709" w:hanging="720"/>
      </w:pPr>
      <w:r w:rsidRPr="00757D20">
        <w:t xml:space="preserve">The Smith Family. (2022). Pathways, </w:t>
      </w:r>
      <w:r w:rsidR="00EA32FE" w:rsidRPr="00757D20">
        <w:t>e</w:t>
      </w:r>
      <w:r w:rsidRPr="00757D20">
        <w:t xml:space="preserve">ngagement and </w:t>
      </w:r>
      <w:r w:rsidR="00EA32FE" w:rsidRPr="00757D20">
        <w:t>t</w:t>
      </w:r>
      <w:r w:rsidRPr="00757D20">
        <w:t xml:space="preserve">ransitions: Initial post-school transitions among young people experiencing disadvantage. </w:t>
      </w:r>
      <w:hyperlink r:id="rId165" w:history="1">
        <w:r w:rsidR="00C07BCA" w:rsidRPr="00BC059C">
          <w:rPr>
            <w:rStyle w:val="Hyperlink"/>
          </w:rPr>
          <w:t>https://www.thesmithfamily.com.au/-/media/files/research/reports/2022-pathways-engagement-transitions-report.pdf</w:t>
        </w:r>
      </w:hyperlink>
      <w:r w:rsidR="00C07BCA">
        <w:t xml:space="preserve"> </w:t>
      </w:r>
    </w:p>
    <w:p w14:paraId="4F8992EC" w14:textId="0E944DD4" w:rsidR="008E5E29" w:rsidRPr="00757D20" w:rsidRDefault="008E5E29" w:rsidP="00BF0B57">
      <w:pPr>
        <w:spacing w:before="120" w:after="120"/>
        <w:ind w:left="709" w:hanging="720"/>
      </w:pPr>
      <w:r w:rsidRPr="00757D20">
        <w:t xml:space="preserve">Tomaszewski, W., Perales, F., Xiang, N., &amp; Kubler, M. (2022). Differences in </w:t>
      </w:r>
      <w:r w:rsidR="00876530" w:rsidRPr="00757D20">
        <w:t>h</w:t>
      </w:r>
      <w:r w:rsidRPr="00757D20">
        <w:t xml:space="preserve">igher </w:t>
      </w:r>
      <w:r w:rsidR="00876530" w:rsidRPr="00757D20">
        <w:t>e</w:t>
      </w:r>
      <w:r w:rsidRPr="00757D20">
        <w:t xml:space="preserve">ducation </w:t>
      </w:r>
      <w:r w:rsidR="00876530" w:rsidRPr="00757D20">
        <w:t>a</w:t>
      </w:r>
      <w:r w:rsidRPr="00757D20">
        <w:t xml:space="preserve">ccess, </w:t>
      </w:r>
      <w:r w:rsidR="00876530" w:rsidRPr="00757D20">
        <w:t>p</w:t>
      </w:r>
      <w:r w:rsidRPr="00757D20">
        <w:t xml:space="preserve">articipation and </w:t>
      </w:r>
      <w:r w:rsidR="00876530" w:rsidRPr="00757D20">
        <w:t>o</w:t>
      </w:r>
      <w:r w:rsidRPr="00757D20">
        <w:t xml:space="preserve">utcomes by </w:t>
      </w:r>
      <w:r w:rsidR="00876530" w:rsidRPr="00757D20">
        <w:t>s</w:t>
      </w:r>
      <w:r w:rsidRPr="00757D20">
        <w:t xml:space="preserve">ocioeconomic </w:t>
      </w:r>
      <w:r w:rsidR="00876530" w:rsidRPr="00757D20">
        <w:t>b</w:t>
      </w:r>
      <w:r w:rsidRPr="00757D20">
        <w:t xml:space="preserve">ackground: A </w:t>
      </w:r>
      <w:r w:rsidR="00876530" w:rsidRPr="00757D20">
        <w:t>l</w:t>
      </w:r>
      <w:r w:rsidRPr="00757D20">
        <w:t xml:space="preserve">ife </w:t>
      </w:r>
      <w:r w:rsidR="00876530" w:rsidRPr="00757D20">
        <w:t>c</w:t>
      </w:r>
      <w:r w:rsidRPr="00757D20">
        <w:t xml:space="preserve">ourse </w:t>
      </w:r>
      <w:r w:rsidR="00876530" w:rsidRPr="00757D20">
        <w:t>p</w:t>
      </w:r>
      <w:r w:rsidRPr="00757D20">
        <w:t xml:space="preserve">erspective. In J. Baxter, J. Lam, J. Povey, J., R. Lee, S. R. Zubrick, (Eds.) </w:t>
      </w:r>
      <w:r w:rsidRPr="00757D20">
        <w:rPr>
          <w:i/>
          <w:iCs/>
        </w:rPr>
        <w:t xml:space="preserve">Family </w:t>
      </w:r>
      <w:r w:rsidR="00876530" w:rsidRPr="00757D20">
        <w:rPr>
          <w:i/>
          <w:iCs/>
        </w:rPr>
        <w:t>d</w:t>
      </w:r>
      <w:r w:rsidRPr="00757D20">
        <w:rPr>
          <w:i/>
          <w:iCs/>
        </w:rPr>
        <w:t xml:space="preserve">ynamics over the </w:t>
      </w:r>
      <w:r w:rsidR="00876530" w:rsidRPr="00757D20">
        <w:rPr>
          <w:i/>
          <w:iCs/>
        </w:rPr>
        <w:t>l</w:t>
      </w:r>
      <w:r w:rsidRPr="00757D20">
        <w:rPr>
          <w:i/>
          <w:iCs/>
        </w:rPr>
        <w:t xml:space="preserve">ife </w:t>
      </w:r>
      <w:r w:rsidR="00876530" w:rsidRPr="00757D20">
        <w:rPr>
          <w:i/>
          <w:iCs/>
        </w:rPr>
        <w:t>c</w:t>
      </w:r>
      <w:r w:rsidRPr="00757D20">
        <w:rPr>
          <w:i/>
          <w:iCs/>
        </w:rPr>
        <w:t xml:space="preserve">ourse. Life </w:t>
      </w:r>
      <w:r w:rsidR="00876530" w:rsidRPr="00757D20">
        <w:rPr>
          <w:i/>
          <w:iCs/>
        </w:rPr>
        <w:t>c</w:t>
      </w:r>
      <w:r w:rsidRPr="00757D20">
        <w:rPr>
          <w:i/>
          <w:iCs/>
        </w:rPr>
        <w:t xml:space="preserve">ourse </w:t>
      </w:r>
      <w:r w:rsidR="00876530" w:rsidRPr="00757D20">
        <w:rPr>
          <w:i/>
          <w:iCs/>
        </w:rPr>
        <w:t>r</w:t>
      </w:r>
      <w:r w:rsidRPr="00757D20">
        <w:rPr>
          <w:i/>
          <w:iCs/>
        </w:rPr>
        <w:t xml:space="preserve">esearch and </w:t>
      </w:r>
      <w:r w:rsidR="00876530" w:rsidRPr="00757D20">
        <w:rPr>
          <w:i/>
          <w:iCs/>
        </w:rPr>
        <w:t>s</w:t>
      </w:r>
      <w:r w:rsidRPr="00757D20">
        <w:rPr>
          <w:i/>
          <w:iCs/>
        </w:rPr>
        <w:t xml:space="preserve">ocial </w:t>
      </w:r>
      <w:r w:rsidR="00876530" w:rsidRPr="00757D20">
        <w:rPr>
          <w:i/>
          <w:iCs/>
        </w:rPr>
        <w:t>p</w:t>
      </w:r>
      <w:r w:rsidRPr="00757D20">
        <w:rPr>
          <w:i/>
          <w:iCs/>
        </w:rPr>
        <w:t>olicies</w:t>
      </w:r>
      <w:r w:rsidRPr="00757D20">
        <w:t xml:space="preserve">, vol 15, (pp. 133-155). Springer. </w:t>
      </w:r>
      <w:hyperlink r:id="rId166" w:history="1">
        <w:r w:rsidR="00C07BCA" w:rsidRPr="00BC059C">
          <w:rPr>
            <w:rStyle w:val="Hyperlink"/>
          </w:rPr>
          <w:t>https://doi.org/10.1007/978-3-031-12224-8_7</w:t>
        </w:r>
      </w:hyperlink>
      <w:r w:rsidR="00C07BCA">
        <w:t xml:space="preserve"> </w:t>
      </w:r>
      <w:r w:rsidRPr="00757D20">
        <w:t xml:space="preserve"> </w:t>
      </w:r>
    </w:p>
    <w:p w14:paraId="6BD636C8" w14:textId="36BD4A58" w:rsidR="008E5E29" w:rsidRPr="00757D20" w:rsidRDefault="008E5E29" w:rsidP="00BF0B57">
      <w:pPr>
        <w:spacing w:before="120" w:after="120"/>
        <w:ind w:left="709" w:hanging="720"/>
      </w:pPr>
      <w:r w:rsidRPr="00757D20">
        <w:t xml:space="preserve">Uhls, Y. T. (2025). Gen Z seeks safety above all else as the generation grows up amid constant crisis and existential threat. </w:t>
      </w:r>
      <w:r w:rsidRPr="00757D20">
        <w:rPr>
          <w:i/>
          <w:iCs/>
        </w:rPr>
        <w:t>The Conversation</w:t>
      </w:r>
      <w:r w:rsidRPr="00757D20">
        <w:t xml:space="preserve">. </w:t>
      </w:r>
      <w:hyperlink r:id="rId167" w:history="1">
        <w:r w:rsidR="00C07BCA" w:rsidRPr="00BC059C">
          <w:rPr>
            <w:rStyle w:val="Hyperlink"/>
          </w:rPr>
          <w:t>https://theconversation.com/gen-z-seeks-safety-above-all-else-as-the-generation-grows-up-amid-constant-crisis-and-existential-threat-245455</w:t>
        </w:r>
      </w:hyperlink>
      <w:r w:rsidR="00C07BCA">
        <w:t xml:space="preserve"> </w:t>
      </w:r>
      <w:r w:rsidRPr="00757D20">
        <w:t xml:space="preserve"> </w:t>
      </w:r>
    </w:p>
    <w:p w14:paraId="140088B3" w14:textId="2FA39914" w:rsidR="008E5E29" w:rsidRPr="00757D20" w:rsidRDefault="008E5E29" w:rsidP="00BF0B57">
      <w:pPr>
        <w:spacing w:before="120" w:after="120"/>
        <w:ind w:left="709" w:hanging="720"/>
        <w:rPr>
          <w:rFonts w:eastAsia="Calibri"/>
        </w:rPr>
      </w:pPr>
      <w:r w:rsidRPr="00757D20">
        <w:rPr>
          <w:rFonts w:eastAsia="Calibri"/>
        </w:rPr>
        <w:lastRenderedPageBreak/>
        <w:t xml:space="preserve">Universities Australia (2018). </w:t>
      </w:r>
      <w:r w:rsidRPr="00757D20">
        <w:rPr>
          <w:rFonts w:eastAsia="Calibri"/>
          <w:i/>
          <w:iCs/>
        </w:rPr>
        <w:t>2017 Universities Australia student finances survey</w:t>
      </w:r>
      <w:r w:rsidRPr="00757D20">
        <w:rPr>
          <w:rFonts w:eastAsia="Calibri"/>
        </w:rPr>
        <w:t xml:space="preserve">. </w:t>
      </w:r>
      <w:hyperlink r:id="rId168" w:history="1">
        <w:r w:rsidR="00C07BCA" w:rsidRPr="00BC059C">
          <w:rPr>
            <w:rStyle w:val="Hyperlink"/>
            <w:rFonts w:eastAsia="Calibri"/>
          </w:rPr>
          <w:t>https://universitiesaustralia.edu.au/policy-submissions/teaching-learning-funding/student-finances-survey/</w:t>
        </w:r>
      </w:hyperlink>
      <w:r w:rsidR="00C07BCA">
        <w:rPr>
          <w:rFonts w:eastAsia="Calibri"/>
        </w:rPr>
        <w:t xml:space="preserve"> </w:t>
      </w:r>
    </w:p>
    <w:p w14:paraId="7389002F" w14:textId="568C69FF" w:rsidR="008E5E29" w:rsidRPr="00757D20" w:rsidRDefault="008E5E29" w:rsidP="00BF0B57">
      <w:pPr>
        <w:spacing w:before="120" w:after="120"/>
        <w:ind w:left="709" w:hanging="720"/>
        <w:rPr>
          <w:rFonts w:eastAsia="Calibri"/>
          <w:color w:val="0563C1"/>
          <w:u w:val="single"/>
        </w:rPr>
      </w:pPr>
      <w:r w:rsidRPr="00757D20">
        <w:rPr>
          <w:rFonts w:eastAsia="Calibri"/>
        </w:rPr>
        <w:t xml:space="preserve">Universities Australia (2019). </w:t>
      </w:r>
      <w:r w:rsidRPr="00757D20">
        <w:rPr>
          <w:rFonts w:eastAsia="Calibri"/>
          <w:i/>
          <w:iCs/>
        </w:rPr>
        <w:t>Work integrated learning in universities: Final report.</w:t>
      </w:r>
      <w:r w:rsidRPr="00757D20">
        <w:rPr>
          <w:rFonts w:eastAsia="Calibri"/>
        </w:rPr>
        <w:t xml:space="preserve"> </w:t>
      </w:r>
      <w:hyperlink r:id="rId169" w:history="1">
        <w:r w:rsidR="00C07BCA" w:rsidRPr="00BC059C">
          <w:rPr>
            <w:rStyle w:val="Hyperlink"/>
            <w:rFonts w:eastAsia="Calibri"/>
          </w:rPr>
          <w:t>https://ltr.edu.au/resources/WIL_in_universities_-_final_report_April_2019.pdf</w:t>
        </w:r>
      </w:hyperlink>
      <w:r w:rsidR="00C07BCA">
        <w:rPr>
          <w:rFonts w:eastAsia="Calibri"/>
        </w:rPr>
        <w:t xml:space="preserve"> </w:t>
      </w:r>
    </w:p>
    <w:p w14:paraId="69D8FE03" w14:textId="750A50E9" w:rsidR="008E5E29" w:rsidRPr="00757D20" w:rsidRDefault="008E5E29" w:rsidP="00BF0B57">
      <w:pPr>
        <w:spacing w:before="120" w:after="120"/>
        <w:ind w:left="709" w:hanging="720"/>
        <w:rPr>
          <w:rFonts w:eastAsia="Calibri"/>
        </w:rPr>
      </w:pPr>
      <w:r w:rsidRPr="00757D20">
        <w:rPr>
          <w:rFonts w:eastAsia="Calibri"/>
        </w:rPr>
        <w:t xml:space="preserve">Vyas, L &amp; </w:t>
      </w:r>
      <w:proofErr w:type="spellStart"/>
      <w:r w:rsidRPr="00757D20">
        <w:rPr>
          <w:rFonts w:eastAsia="Calibri"/>
        </w:rPr>
        <w:t>Butakhieo</w:t>
      </w:r>
      <w:proofErr w:type="spellEnd"/>
      <w:r w:rsidRPr="00757D20">
        <w:rPr>
          <w:rFonts w:eastAsia="Calibri"/>
        </w:rPr>
        <w:t xml:space="preserve">, N. (2021). The impact of working from home during COVID-19 on work and life domains: </w:t>
      </w:r>
      <w:r w:rsidR="00FB2B6B" w:rsidRPr="00757D20">
        <w:rPr>
          <w:rFonts w:eastAsia="Calibri"/>
        </w:rPr>
        <w:t>A</w:t>
      </w:r>
      <w:r w:rsidRPr="00757D20">
        <w:rPr>
          <w:rFonts w:eastAsia="Calibri"/>
        </w:rPr>
        <w:t xml:space="preserve">n exploratory study on Hong Kong. </w:t>
      </w:r>
      <w:r w:rsidRPr="00757D20">
        <w:rPr>
          <w:rFonts w:eastAsia="Calibri"/>
          <w:i/>
          <w:iCs/>
        </w:rPr>
        <w:t>Policy Design and Practice, 4</w:t>
      </w:r>
      <w:r w:rsidRPr="00757D20">
        <w:rPr>
          <w:rFonts w:eastAsia="Calibri"/>
        </w:rPr>
        <w:t xml:space="preserve">(1), 59-76, </w:t>
      </w:r>
      <w:hyperlink r:id="rId170" w:history="1">
        <w:r w:rsidR="00C07BCA" w:rsidRPr="00BC059C">
          <w:rPr>
            <w:rStyle w:val="Hyperlink"/>
            <w:rFonts w:eastAsia="Calibri"/>
          </w:rPr>
          <w:t>http://doi.org/10.1080/25741292.2020.1863560</w:t>
        </w:r>
      </w:hyperlink>
      <w:r w:rsidR="00C07BCA">
        <w:rPr>
          <w:rFonts w:eastAsia="Calibri"/>
        </w:rPr>
        <w:t xml:space="preserve"> </w:t>
      </w:r>
    </w:p>
    <w:p w14:paraId="4495AB81" w14:textId="27897F48" w:rsidR="008E5E29" w:rsidRPr="00757D20" w:rsidRDefault="008E5E29" w:rsidP="00BF0B57">
      <w:pPr>
        <w:spacing w:before="120" w:after="120"/>
        <w:ind w:left="709" w:hanging="720"/>
        <w:rPr>
          <w:rFonts w:eastAsia="Calibri"/>
        </w:rPr>
      </w:pPr>
      <w:r w:rsidRPr="00757D20">
        <w:rPr>
          <w:rFonts w:eastAsia="Calibri"/>
        </w:rPr>
        <w:t xml:space="preserve">Walker, I. (2019). </w:t>
      </w:r>
      <w:r w:rsidRPr="00757D20">
        <w:rPr>
          <w:rFonts w:eastAsia="Calibri"/>
          <w:i/>
          <w:iCs/>
        </w:rPr>
        <w:t>The TAFE report: Changing young people’s perceptions of TAFE and vocational education</w:t>
      </w:r>
      <w:r w:rsidRPr="00757D20">
        <w:rPr>
          <w:rFonts w:eastAsia="Calibri"/>
        </w:rPr>
        <w:t xml:space="preserve">. </w:t>
      </w:r>
      <w:hyperlink r:id="rId171" w:history="1">
        <w:r w:rsidR="00C07BCA" w:rsidRPr="00BC059C">
          <w:rPr>
            <w:rStyle w:val="Hyperlink"/>
            <w:rFonts w:eastAsia="Calibri"/>
          </w:rPr>
          <w:t>https://www.voced.edu.au/content/ngv%3A84570#</w:t>
        </w:r>
      </w:hyperlink>
      <w:r w:rsidR="00C07BCA">
        <w:rPr>
          <w:rFonts w:eastAsia="Calibri"/>
        </w:rPr>
        <w:t xml:space="preserve"> </w:t>
      </w:r>
    </w:p>
    <w:p w14:paraId="3CE15BB7" w14:textId="56EBC6EE" w:rsidR="008E5E29" w:rsidRPr="00757D20" w:rsidRDefault="008E5E29" w:rsidP="00BF0B57">
      <w:pPr>
        <w:spacing w:before="120" w:after="120"/>
        <w:ind w:left="709" w:hanging="720"/>
        <w:rPr>
          <w:rFonts w:eastAsia="Calibri"/>
        </w:rPr>
      </w:pPr>
      <w:r w:rsidRPr="00757D20">
        <w:rPr>
          <w:rFonts w:eastAsia="Calibri"/>
        </w:rPr>
        <w:t xml:space="preserve">Walsh, L. &amp; Black, R. (2022). Reacting to </w:t>
      </w:r>
      <w:r w:rsidR="00A23AB4" w:rsidRPr="00757D20">
        <w:rPr>
          <w:rFonts w:eastAsia="Calibri"/>
        </w:rPr>
        <w:t>u</w:t>
      </w:r>
      <w:r w:rsidRPr="00757D20">
        <w:rPr>
          <w:rFonts w:eastAsia="Calibri"/>
        </w:rPr>
        <w:t xml:space="preserve">ncertainty, </w:t>
      </w:r>
      <w:r w:rsidR="00A23AB4" w:rsidRPr="00757D20">
        <w:rPr>
          <w:rFonts w:eastAsia="Calibri"/>
        </w:rPr>
        <w:t>s</w:t>
      </w:r>
      <w:r w:rsidRPr="00757D20">
        <w:rPr>
          <w:rFonts w:eastAsia="Calibri"/>
        </w:rPr>
        <w:t xml:space="preserve">eeking </w:t>
      </w:r>
      <w:r w:rsidR="00A23AB4" w:rsidRPr="00757D20">
        <w:rPr>
          <w:rFonts w:eastAsia="Calibri"/>
        </w:rPr>
        <w:t>h</w:t>
      </w:r>
      <w:r w:rsidRPr="00757D20">
        <w:rPr>
          <w:rFonts w:eastAsia="Calibri"/>
        </w:rPr>
        <w:t xml:space="preserve">ope: The </w:t>
      </w:r>
      <w:r w:rsidR="00A23AB4" w:rsidRPr="00757D20">
        <w:rPr>
          <w:rFonts w:eastAsia="Calibri"/>
        </w:rPr>
        <w:t>u</w:t>
      </w:r>
      <w:r w:rsidRPr="00757D20">
        <w:rPr>
          <w:rFonts w:eastAsia="Calibri"/>
        </w:rPr>
        <w:t xml:space="preserve">niversity </w:t>
      </w:r>
      <w:r w:rsidR="003A3192" w:rsidRPr="00757D20">
        <w:rPr>
          <w:rFonts w:eastAsia="Calibri"/>
        </w:rPr>
        <w:t>s</w:t>
      </w:r>
      <w:r w:rsidRPr="00757D20">
        <w:rPr>
          <w:rFonts w:eastAsia="Calibri"/>
        </w:rPr>
        <w:t xml:space="preserve">tudent as </w:t>
      </w:r>
      <w:r w:rsidR="003A3192" w:rsidRPr="00757D20">
        <w:rPr>
          <w:rFonts w:eastAsia="Calibri"/>
        </w:rPr>
        <w:t>h</w:t>
      </w:r>
      <w:r w:rsidRPr="00757D20">
        <w:rPr>
          <w:rFonts w:eastAsia="Calibri"/>
        </w:rPr>
        <w:t xml:space="preserve">omo </w:t>
      </w:r>
      <w:proofErr w:type="spellStart"/>
      <w:r w:rsidR="003A3192" w:rsidRPr="00757D20">
        <w:rPr>
          <w:rFonts w:eastAsia="Calibri"/>
        </w:rPr>
        <w:t>p</w:t>
      </w:r>
      <w:r w:rsidRPr="00757D20">
        <w:rPr>
          <w:rFonts w:eastAsia="Calibri"/>
        </w:rPr>
        <w:t>romptus</w:t>
      </w:r>
      <w:proofErr w:type="spellEnd"/>
      <w:r w:rsidRPr="00757D20">
        <w:rPr>
          <w:rFonts w:eastAsia="Calibri"/>
        </w:rPr>
        <w:t xml:space="preserve">. In P. Kelly, P. </w:t>
      </w:r>
      <w:proofErr w:type="spellStart"/>
      <w:r w:rsidRPr="00757D20">
        <w:rPr>
          <w:rFonts w:eastAsia="Calibri"/>
        </w:rPr>
        <w:t>Kraftl</w:t>
      </w:r>
      <w:proofErr w:type="spellEnd"/>
      <w:r w:rsidRPr="00757D20">
        <w:rPr>
          <w:rFonts w:eastAsia="Calibri"/>
        </w:rPr>
        <w:t xml:space="preserve">, D. Carbajo Padilla, R. Black, D, Macdonald, M. Noonan &amp; A. S. Ribeiro (Eds.), </w:t>
      </w:r>
      <w:r w:rsidRPr="00757D20">
        <w:rPr>
          <w:rFonts w:eastAsia="Calibri"/>
          <w:i/>
          <w:iCs/>
        </w:rPr>
        <w:t xml:space="preserve">Young </w:t>
      </w:r>
      <w:r w:rsidR="00FA28A3" w:rsidRPr="00757D20">
        <w:rPr>
          <w:rFonts w:eastAsia="Calibri"/>
          <w:i/>
          <w:iCs/>
        </w:rPr>
        <w:t>p</w:t>
      </w:r>
      <w:r w:rsidRPr="00757D20">
        <w:rPr>
          <w:rFonts w:eastAsia="Calibri"/>
          <w:i/>
          <w:iCs/>
        </w:rPr>
        <w:t xml:space="preserve">eople and </w:t>
      </w:r>
      <w:r w:rsidR="00FA28A3" w:rsidRPr="00757D20">
        <w:rPr>
          <w:rFonts w:eastAsia="Calibri"/>
          <w:i/>
          <w:iCs/>
        </w:rPr>
        <w:t>s</w:t>
      </w:r>
      <w:r w:rsidRPr="00757D20">
        <w:rPr>
          <w:rFonts w:eastAsia="Calibri"/>
          <w:i/>
          <w:iCs/>
        </w:rPr>
        <w:t xml:space="preserve">tories for the </w:t>
      </w:r>
      <w:proofErr w:type="spellStart"/>
      <w:r w:rsidR="00FA28A3" w:rsidRPr="00757D20">
        <w:rPr>
          <w:rFonts w:eastAsia="Calibri"/>
          <w:i/>
          <w:iCs/>
        </w:rPr>
        <w:t>a</w:t>
      </w:r>
      <w:r w:rsidRPr="00757D20">
        <w:rPr>
          <w:rFonts w:eastAsia="Calibri"/>
          <w:i/>
          <w:iCs/>
        </w:rPr>
        <w:t>nthropocene</w:t>
      </w:r>
      <w:proofErr w:type="spellEnd"/>
      <w:r w:rsidRPr="00757D20">
        <w:rPr>
          <w:rFonts w:eastAsia="Calibri"/>
        </w:rPr>
        <w:t>. (pp. 97-110). Rowman &amp; Littlefield</w:t>
      </w:r>
    </w:p>
    <w:p w14:paraId="2C884BE1" w14:textId="5560EC01" w:rsidR="008E5E29" w:rsidRPr="00757D20" w:rsidRDefault="008E5E29" w:rsidP="00BF0B57">
      <w:pPr>
        <w:spacing w:before="120" w:after="120"/>
        <w:ind w:left="709" w:hanging="720"/>
        <w:rPr>
          <w:rFonts w:eastAsia="Calibri"/>
        </w:rPr>
      </w:pPr>
      <w:r w:rsidRPr="00757D20">
        <w:rPr>
          <w:rFonts w:eastAsia="Calibri"/>
        </w:rPr>
        <w:t xml:space="preserve">Walsh, L., Gleeson, J., Magyar, B. &amp; Cordoba, B. G. (2021). </w:t>
      </w:r>
      <w:proofErr w:type="gramStart"/>
      <w:r w:rsidRPr="00757D20">
        <w:rPr>
          <w:rFonts w:eastAsia="Calibri"/>
          <w:i/>
          <w:iCs/>
        </w:rPr>
        <w:t>Life,</w:t>
      </w:r>
      <w:proofErr w:type="gramEnd"/>
      <w:r w:rsidRPr="00757D20">
        <w:rPr>
          <w:rFonts w:eastAsia="Calibri"/>
          <w:i/>
          <w:iCs/>
        </w:rPr>
        <w:t xml:space="preserve"> disrupted: </w:t>
      </w:r>
      <w:proofErr w:type="gramStart"/>
      <w:r w:rsidRPr="00757D20">
        <w:rPr>
          <w:rFonts w:eastAsia="Calibri"/>
          <w:i/>
          <w:iCs/>
        </w:rPr>
        <w:t>Young</w:t>
      </w:r>
      <w:proofErr w:type="gramEnd"/>
      <w:r w:rsidRPr="00757D20">
        <w:rPr>
          <w:rFonts w:eastAsia="Calibri"/>
          <w:i/>
          <w:iCs/>
        </w:rPr>
        <w:t xml:space="preserve"> people, education and employment before and after COVID-19</w:t>
      </w:r>
      <w:r w:rsidRPr="00757D20">
        <w:rPr>
          <w:rFonts w:eastAsia="Calibri"/>
        </w:rPr>
        <w:t xml:space="preserve">. </w:t>
      </w:r>
      <w:hyperlink r:id="rId172" w:history="1">
        <w:r w:rsidR="00C07BCA" w:rsidRPr="00BC059C">
          <w:rPr>
            <w:rStyle w:val="Hyperlink"/>
            <w:rFonts w:eastAsia="Calibri"/>
          </w:rPr>
          <w:t>https://research.monash.edu/en/publications/life-disrupted-young-people-education-and-employment-before-and-a</w:t>
        </w:r>
      </w:hyperlink>
      <w:r w:rsidR="00C07BCA">
        <w:rPr>
          <w:rFonts w:eastAsia="Calibri"/>
        </w:rPr>
        <w:t xml:space="preserve"> </w:t>
      </w:r>
    </w:p>
    <w:p w14:paraId="03D3CCC3" w14:textId="751925B2" w:rsidR="008E5E29" w:rsidRPr="00757D20" w:rsidRDefault="008E5E29" w:rsidP="00BF0B57">
      <w:pPr>
        <w:spacing w:before="120" w:after="120"/>
        <w:ind w:left="709" w:hanging="720"/>
      </w:pPr>
      <w:r w:rsidRPr="00757D20">
        <w:t xml:space="preserve">Webb, S., Black, R., Morton, R., Plowright, S., &amp; Roy, R. (2015). </w:t>
      </w:r>
      <w:r w:rsidRPr="00757D20">
        <w:rPr>
          <w:i/>
          <w:iCs/>
        </w:rPr>
        <w:t>Geographical and place dimensions of post-school participation in education and work</w:t>
      </w:r>
      <w:r w:rsidRPr="00757D20">
        <w:t xml:space="preserve">. </w:t>
      </w:r>
      <w:hyperlink r:id="rId173" w:history="1">
        <w:r w:rsidR="00C07BCA" w:rsidRPr="00BC059C">
          <w:rPr>
            <w:rStyle w:val="Hyperlink"/>
          </w:rPr>
          <w:t>https://www.ncver.edu.au/__data/assets/file/0026/9908/geographical-and-place-dimensions-2776.pdf</w:t>
        </w:r>
      </w:hyperlink>
      <w:r w:rsidR="00C07BCA">
        <w:t xml:space="preserve"> </w:t>
      </w:r>
    </w:p>
    <w:p w14:paraId="6F62F608" w14:textId="51FF107F" w:rsidR="008E5E29" w:rsidRPr="00757D20" w:rsidRDefault="008E5E29" w:rsidP="00BF0B57">
      <w:pPr>
        <w:spacing w:before="120" w:after="120"/>
        <w:ind w:left="709" w:hanging="720"/>
        <w:rPr>
          <w:rFonts w:eastAsia="Calibri"/>
          <w:b/>
          <w:bCs/>
        </w:rPr>
      </w:pPr>
      <w:r w:rsidRPr="00757D20">
        <w:rPr>
          <w:rFonts w:eastAsia="Calibri"/>
        </w:rPr>
        <w:t xml:space="preserve">Wicklow, K. (2023). </w:t>
      </w:r>
      <w:r w:rsidRPr="00757D20">
        <w:rPr>
          <w:rFonts w:eastAsia="Calibri"/>
          <w:i/>
          <w:iCs/>
        </w:rPr>
        <w:t>Ensuring UK first-in-family students get full value from HE during the cost-of-living crisis</w:t>
      </w:r>
      <w:r w:rsidRPr="00757D20">
        <w:rPr>
          <w:rFonts w:eastAsia="Calibri"/>
        </w:rPr>
        <w:t xml:space="preserve">. Guild HE. </w:t>
      </w:r>
      <w:hyperlink r:id="rId174" w:history="1">
        <w:r w:rsidR="00C07BCA" w:rsidRPr="00BC059C">
          <w:rPr>
            <w:rStyle w:val="Hyperlink"/>
            <w:rFonts w:eastAsia="Calibri"/>
          </w:rPr>
          <w:t>https://www.emerald.com/insight/content/doi/10.1108/EOR-13-2023-0016/full/pdf</w:t>
        </w:r>
      </w:hyperlink>
      <w:r w:rsidR="00C07BCA">
        <w:rPr>
          <w:rFonts w:eastAsia="Calibri"/>
        </w:rPr>
        <w:t xml:space="preserve"> </w:t>
      </w:r>
    </w:p>
    <w:p w14:paraId="42857CA7" w14:textId="078CBB3D" w:rsidR="008E5E29" w:rsidRPr="00757D20" w:rsidRDefault="008E5E29" w:rsidP="00BF0B57">
      <w:pPr>
        <w:spacing w:before="120" w:after="120"/>
        <w:ind w:left="709" w:hanging="720"/>
      </w:pPr>
      <w:r w:rsidRPr="00757D20">
        <w:t xml:space="preserve">Windle, J. (2009). The limits of school choice: </w:t>
      </w:r>
      <w:r w:rsidR="00715D44" w:rsidRPr="00757D20">
        <w:t>S</w:t>
      </w:r>
      <w:r w:rsidRPr="00757D20">
        <w:t xml:space="preserve">ome implications for accountability of selective practices and positional competition in Australian education. </w:t>
      </w:r>
      <w:r w:rsidRPr="00757D20">
        <w:rPr>
          <w:i/>
          <w:iCs/>
        </w:rPr>
        <w:t>Critical Studies in Education, 50</w:t>
      </w:r>
      <w:r w:rsidRPr="00757D20">
        <w:t xml:space="preserve">(3). </w:t>
      </w:r>
      <w:hyperlink r:id="rId175" w:history="1">
        <w:r w:rsidR="00C07BCA" w:rsidRPr="00BC059C">
          <w:rPr>
            <w:rStyle w:val="Hyperlink"/>
          </w:rPr>
          <w:t>https://doi.org/10.1080/17508480903009566</w:t>
        </w:r>
      </w:hyperlink>
      <w:r w:rsidR="00C07BCA">
        <w:t xml:space="preserve"> </w:t>
      </w:r>
      <w:r w:rsidRPr="00757D20">
        <w:t xml:space="preserve"> </w:t>
      </w:r>
    </w:p>
    <w:p w14:paraId="160BF44D" w14:textId="52F2DA8C" w:rsidR="008E5E29" w:rsidRPr="00757D20" w:rsidRDefault="008E5E29" w:rsidP="00BF0B57">
      <w:pPr>
        <w:spacing w:before="120" w:after="120"/>
        <w:ind w:left="709" w:hanging="720"/>
        <w:rPr>
          <w:rFonts w:eastAsia="Calibri"/>
        </w:rPr>
      </w:pPr>
      <w:r w:rsidRPr="00757D20">
        <w:rPr>
          <w:rFonts w:eastAsia="Calibri"/>
        </w:rPr>
        <w:t xml:space="preserve">Wintour, P. (2012, October 10). David Cameron presents himself as leader of 'aspiration nation'. </w:t>
      </w:r>
      <w:r w:rsidRPr="00757D20">
        <w:rPr>
          <w:rFonts w:eastAsia="Calibri"/>
          <w:i/>
          <w:iCs/>
        </w:rPr>
        <w:t>The Guardian</w:t>
      </w:r>
      <w:r w:rsidRPr="00757D20">
        <w:rPr>
          <w:rFonts w:eastAsia="Calibri"/>
        </w:rPr>
        <w:t xml:space="preserve">. </w:t>
      </w:r>
      <w:hyperlink r:id="rId176" w:history="1">
        <w:r w:rsidR="00C07BCA" w:rsidRPr="00BC059C">
          <w:rPr>
            <w:rStyle w:val="Hyperlink"/>
            <w:rFonts w:eastAsia="Calibri"/>
          </w:rPr>
          <w:t>https://www.theguardian.com/politics/2012/oct/10/david-cameron-leader-aspiration-nation</w:t>
        </w:r>
      </w:hyperlink>
      <w:r w:rsidR="00C07BCA">
        <w:rPr>
          <w:rFonts w:eastAsia="Calibri"/>
        </w:rPr>
        <w:t xml:space="preserve"> </w:t>
      </w:r>
    </w:p>
    <w:p w14:paraId="63A7FB72" w14:textId="0DEB19EE" w:rsidR="008E5E29" w:rsidRPr="00757D20" w:rsidRDefault="008E5E29" w:rsidP="00BF0B57">
      <w:pPr>
        <w:spacing w:before="120" w:after="120"/>
        <w:ind w:left="709" w:hanging="720"/>
        <w:rPr>
          <w:rFonts w:eastAsia="Calibri"/>
        </w:rPr>
      </w:pPr>
      <w:r w:rsidRPr="00757D20">
        <w:rPr>
          <w:rFonts w:eastAsia="Calibri"/>
        </w:rPr>
        <w:t xml:space="preserve">Wood, C. &amp; Schuch, C. (2021). Crisis for the university student: Changing student housing and growing cost burden. </w:t>
      </w:r>
      <w:r w:rsidRPr="00757D20">
        <w:rPr>
          <w:rFonts w:eastAsia="Calibri"/>
          <w:i/>
          <w:iCs/>
        </w:rPr>
        <w:t>University of North Carolina at Charlotte Undergraduate Research Journal, 1</w:t>
      </w:r>
      <w:r w:rsidRPr="00757D20">
        <w:rPr>
          <w:rFonts w:eastAsia="Calibri"/>
        </w:rPr>
        <w:t>, 78-105.</w:t>
      </w:r>
      <w:r w:rsidR="008D7C3D" w:rsidRPr="00757D20">
        <w:rPr>
          <w:rFonts w:eastAsia="Calibri"/>
        </w:rPr>
        <w:t xml:space="preserve"> </w:t>
      </w:r>
      <w:hyperlink r:id="rId177" w:history="1">
        <w:r w:rsidR="00C07BCA" w:rsidRPr="00BC059C">
          <w:rPr>
            <w:rStyle w:val="Hyperlink"/>
          </w:rPr>
          <w:t>https://journals.charlotte.edu/urj/article/view/1072</w:t>
        </w:r>
      </w:hyperlink>
      <w:r w:rsidR="00C07BCA">
        <w:t xml:space="preserve"> </w:t>
      </w:r>
      <w:r w:rsidR="008D7C3D" w:rsidRPr="00757D20">
        <w:rPr>
          <w:rFonts w:eastAsia="Calibri"/>
        </w:rPr>
        <w:t xml:space="preserve"> </w:t>
      </w:r>
    </w:p>
    <w:p w14:paraId="3E663D93" w14:textId="640B1F1A" w:rsidR="008E5E29" w:rsidRPr="00757D20" w:rsidRDefault="008E5E29" w:rsidP="00BF0B57">
      <w:pPr>
        <w:spacing w:before="120" w:after="120"/>
        <w:ind w:left="709" w:hanging="720"/>
        <w:rPr>
          <w:rFonts w:eastAsia="Calibri"/>
        </w:rPr>
      </w:pPr>
      <w:r w:rsidRPr="00757D20">
        <w:rPr>
          <w:rFonts w:eastAsia="Calibri"/>
        </w:rPr>
        <w:t xml:space="preserve">Wu, J., Snell, G. &amp; Samji, H. (2020). Climate anxiety in young people: </w:t>
      </w:r>
      <w:r w:rsidR="009A0B37" w:rsidRPr="00757D20">
        <w:rPr>
          <w:rFonts w:eastAsia="Calibri"/>
        </w:rPr>
        <w:t>A</w:t>
      </w:r>
      <w:r w:rsidRPr="00757D20">
        <w:rPr>
          <w:rFonts w:eastAsia="Calibri"/>
        </w:rPr>
        <w:t xml:space="preserve"> call to action. </w:t>
      </w:r>
      <w:r w:rsidRPr="00757D20">
        <w:rPr>
          <w:rFonts w:eastAsia="Calibri"/>
          <w:i/>
          <w:iCs/>
        </w:rPr>
        <w:t>The Lancet Planetary Health, 4</w:t>
      </w:r>
      <w:r w:rsidRPr="00757D20">
        <w:rPr>
          <w:rFonts w:eastAsia="Calibri"/>
        </w:rPr>
        <w:t>(10), e435-e436.</w:t>
      </w:r>
      <w:r w:rsidR="00726617" w:rsidRPr="00757D20">
        <w:rPr>
          <w:rFonts w:eastAsia="Calibri"/>
        </w:rPr>
        <w:t xml:space="preserve"> </w:t>
      </w:r>
      <w:r w:rsidR="00726617" w:rsidRPr="00DA0A20">
        <w:rPr>
          <w:rStyle w:val="Hyperlink"/>
        </w:rPr>
        <w:t>https://doi.org/10.1016/ S2542-5196(20)30223-0</w:t>
      </w:r>
      <w:r w:rsidR="00C07BCA">
        <w:rPr>
          <w:rFonts w:eastAsia="Calibri"/>
        </w:rPr>
        <w:t xml:space="preserve"> </w:t>
      </w:r>
    </w:p>
    <w:p w14:paraId="7354FF39" w14:textId="0A04D763" w:rsidR="008E5E29" w:rsidRPr="00757D20" w:rsidRDefault="008E5E29" w:rsidP="00BF0B57">
      <w:pPr>
        <w:spacing w:before="120" w:after="120"/>
        <w:ind w:left="709" w:hanging="720"/>
        <w:rPr>
          <w:rFonts w:eastAsia="Calibri"/>
        </w:rPr>
      </w:pPr>
      <w:r w:rsidRPr="00757D20">
        <w:rPr>
          <w:rFonts w:eastAsia="Calibri"/>
        </w:rPr>
        <w:t xml:space="preserve">Wuthrich, V. M., Belcher, J., Kilby, C., Jagiello, T. &amp; Lowe, C. (2021). Tracking stress, depression, and anxiety across the final year of secondary school: A longitudinal study. </w:t>
      </w:r>
      <w:r w:rsidRPr="00757D20">
        <w:rPr>
          <w:rFonts w:eastAsia="Calibri"/>
          <w:i/>
          <w:iCs/>
        </w:rPr>
        <w:t>Journal of School Psychology, 88</w:t>
      </w:r>
      <w:r w:rsidRPr="00757D20">
        <w:rPr>
          <w:rFonts w:eastAsia="Calibri"/>
        </w:rPr>
        <w:t xml:space="preserve">, 18-30. </w:t>
      </w:r>
      <w:hyperlink r:id="rId178" w:history="1">
        <w:r w:rsidR="00C07BCA" w:rsidRPr="00BC059C">
          <w:rPr>
            <w:rStyle w:val="Hyperlink"/>
            <w:rFonts w:eastAsia="Calibri"/>
          </w:rPr>
          <w:t>https://doi.org/10.1016/j.jsp.2021.07.004</w:t>
        </w:r>
      </w:hyperlink>
      <w:r w:rsidR="00C07BCA">
        <w:rPr>
          <w:rFonts w:eastAsia="Calibri"/>
        </w:rPr>
        <w:t xml:space="preserve"> </w:t>
      </w:r>
    </w:p>
    <w:p w14:paraId="1ED03135" w14:textId="77777777" w:rsidR="008E5E29" w:rsidRPr="00757D20" w:rsidRDefault="008E5E29" w:rsidP="00BF0B57">
      <w:pPr>
        <w:spacing w:before="120" w:after="120"/>
        <w:ind w:left="709" w:hanging="720"/>
      </w:pPr>
      <w:r w:rsidRPr="00757D20">
        <w:t xml:space="preserve">Yin, R. K. (2018). </w:t>
      </w:r>
      <w:r w:rsidRPr="00757D20">
        <w:rPr>
          <w:i/>
          <w:iCs/>
        </w:rPr>
        <w:t>Case study research and applications: Design and methods</w:t>
      </w:r>
      <w:r w:rsidRPr="00757D20">
        <w:t xml:space="preserve"> (6th ed.). Sage. </w:t>
      </w:r>
    </w:p>
    <w:p w14:paraId="668EBA68" w14:textId="00599645" w:rsidR="003F4604" w:rsidRPr="00757D20" w:rsidRDefault="008E5E29" w:rsidP="008803E3">
      <w:pPr>
        <w:spacing w:before="120" w:after="120"/>
        <w:ind w:left="709" w:hanging="720"/>
        <w:rPr>
          <w:rFonts w:asciiTheme="majorHAnsi" w:eastAsiaTheme="majorEastAsia" w:hAnsiTheme="majorHAnsi" w:cstheme="majorBidi"/>
          <w:color w:val="6B3B57"/>
          <w:sz w:val="52"/>
          <w:szCs w:val="40"/>
        </w:rPr>
      </w:pPr>
      <w:proofErr w:type="spellStart"/>
      <w:r w:rsidRPr="00757D20">
        <w:rPr>
          <w:rFonts w:eastAsia="Calibri"/>
        </w:rPr>
        <w:lastRenderedPageBreak/>
        <w:t>Zipin</w:t>
      </w:r>
      <w:proofErr w:type="spellEnd"/>
      <w:r w:rsidRPr="00757D20">
        <w:rPr>
          <w:rFonts w:eastAsia="Calibri"/>
        </w:rPr>
        <w:t xml:space="preserve">, L., Sellar, S., Brennan, M. &amp; Gale, T. (2015). Educating for futures in marginalized regions: </w:t>
      </w:r>
      <w:r w:rsidR="001854C9" w:rsidRPr="00757D20">
        <w:rPr>
          <w:rFonts w:eastAsia="Calibri"/>
        </w:rPr>
        <w:t>A</w:t>
      </w:r>
      <w:r w:rsidRPr="00757D20">
        <w:rPr>
          <w:rFonts w:eastAsia="Calibri"/>
        </w:rPr>
        <w:t xml:space="preserve"> sociological framework for rethinking and researching aspirations. </w:t>
      </w:r>
      <w:r w:rsidRPr="00757D20">
        <w:rPr>
          <w:rFonts w:eastAsia="Calibri"/>
          <w:i/>
          <w:iCs/>
        </w:rPr>
        <w:t>Educational Philosophy and Theory, 47</w:t>
      </w:r>
      <w:r w:rsidRPr="00757D20">
        <w:rPr>
          <w:rFonts w:eastAsia="Calibri"/>
        </w:rPr>
        <w:t xml:space="preserve">(3), 227-246. </w:t>
      </w:r>
      <w:hyperlink r:id="rId179" w:history="1">
        <w:r w:rsidR="00C07BCA" w:rsidRPr="00BC059C">
          <w:rPr>
            <w:rStyle w:val="Hyperlink"/>
            <w:rFonts w:eastAsia="Calibri"/>
          </w:rPr>
          <w:t>http://doi.org/10.1080/00131857.2013.839376</w:t>
        </w:r>
      </w:hyperlink>
      <w:r w:rsidR="00C07BCA">
        <w:rPr>
          <w:rFonts w:eastAsia="Calibri"/>
        </w:rPr>
        <w:t xml:space="preserve"> </w:t>
      </w:r>
      <w:r w:rsidR="003F4604" w:rsidRPr="00757D20">
        <w:br w:type="page"/>
      </w:r>
    </w:p>
    <w:p w14:paraId="0AAD0921" w14:textId="294C1357" w:rsidR="009D6D47" w:rsidRPr="00757D20" w:rsidRDefault="00605BB1" w:rsidP="00605BB1">
      <w:pPr>
        <w:pStyle w:val="Heading1"/>
      </w:pPr>
      <w:bookmarkStart w:id="119" w:name="_Appendix"/>
      <w:bookmarkStart w:id="120" w:name="_Toc219977256"/>
      <w:bookmarkEnd w:id="119"/>
      <w:r w:rsidRPr="00757D20">
        <w:lastRenderedPageBreak/>
        <w:t>Appendix</w:t>
      </w:r>
      <w:bookmarkEnd w:id="120"/>
    </w:p>
    <w:p w14:paraId="5DC2D16D" w14:textId="1186F1A8" w:rsidR="00E41A9D" w:rsidRPr="00DA0A20" w:rsidRDefault="00727DD5" w:rsidP="005F1E45">
      <w:pPr>
        <w:rPr>
          <w:rFonts w:cs="Arial"/>
          <w:color w:val="6B3B57" w:themeColor="accent2"/>
          <w:sz w:val="40"/>
          <w:szCs w:val="40"/>
        </w:rPr>
      </w:pPr>
      <w:bookmarkStart w:id="121" w:name="_Toc196396100"/>
      <w:bookmarkStart w:id="122" w:name="_Toc196396178"/>
      <w:r w:rsidRPr="00DA0A20">
        <w:rPr>
          <w:rFonts w:cs="Arial"/>
          <w:color w:val="6B3B57" w:themeColor="accent2"/>
          <w:sz w:val="40"/>
          <w:szCs w:val="40"/>
        </w:rPr>
        <w:t xml:space="preserve">The </w:t>
      </w:r>
      <w:r w:rsidR="00393B15" w:rsidRPr="00DA0A20">
        <w:rPr>
          <w:rFonts w:cs="Arial"/>
          <w:color w:val="6B3B57" w:themeColor="accent2"/>
          <w:sz w:val="40"/>
          <w:szCs w:val="40"/>
        </w:rPr>
        <w:t xml:space="preserve">Aspirations </w:t>
      </w:r>
      <w:r w:rsidR="000C10B4" w:rsidRPr="00DA0A20">
        <w:rPr>
          <w:rFonts w:cs="Arial"/>
          <w:color w:val="6B3B57" w:themeColor="accent2"/>
          <w:sz w:val="40"/>
          <w:szCs w:val="40"/>
        </w:rPr>
        <w:t>P</w:t>
      </w:r>
      <w:r w:rsidR="00393B15" w:rsidRPr="00DA0A20">
        <w:rPr>
          <w:rFonts w:cs="Arial"/>
          <w:color w:val="6B3B57" w:themeColor="accent2"/>
          <w:sz w:val="40"/>
          <w:szCs w:val="40"/>
        </w:rPr>
        <w:t xml:space="preserve">rogram of </w:t>
      </w:r>
      <w:r w:rsidR="000C10B4" w:rsidRPr="00DA0A20">
        <w:rPr>
          <w:rFonts w:cs="Arial"/>
          <w:color w:val="6B3B57" w:themeColor="accent2"/>
          <w:sz w:val="40"/>
          <w:szCs w:val="40"/>
        </w:rPr>
        <w:t>W</w:t>
      </w:r>
      <w:r w:rsidR="00393B15" w:rsidRPr="00DA0A20">
        <w:rPr>
          <w:rFonts w:cs="Arial"/>
          <w:color w:val="6B3B57" w:themeColor="accent2"/>
          <w:sz w:val="40"/>
          <w:szCs w:val="40"/>
        </w:rPr>
        <w:t>ork</w:t>
      </w:r>
      <w:bookmarkEnd w:id="121"/>
      <w:bookmarkEnd w:id="122"/>
    </w:p>
    <w:p w14:paraId="40569C3C" w14:textId="5A71F443" w:rsidR="00491A7B" w:rsidRPr="00757D20" w:rsidRDefault="00491A7B" w:rsidP="00C80BAF">
      <w:pPr>
        <w:rPr>
          <w:rFonts w:asciiTheme="majorHAnsi" w:hAnsiTheme="majorHAnsi"/>
          <w:sz w:val="28"/>
          <w:szCs w:val="28"/>
        </w:rPr>
      </w:pPr>
      <w:bookmarkStart w:id="123" w:name="_Toc196396101"/>
      <w:bookmarkStart w:id="124" w:name="_Toc196396179"/>
      <w:r w:rsidRPr="00757D20">
        <w:rPr>
          <w:rFonts w:asciiTheme="majorHAnsi" w:hAnsiTheme="majorHAnsi"/>
          <w:sz w:val="28"/>
          <w:szCs w:val="28"/>
        </w:rPr>
        <w:t xml:space="preserve">The </w:t>
      </w:r>
      <w:r w:rsidRPr="0022309A">
        <w:rPr>
          <w:rFonts w:asciiTheme="majorHAnsi" w:hAnsiTheme="majorHAnsi"/>
          <w:i/>
          <w:iCs/>
          <w:sz w:val="28"/>
          <w:szCs w:val="28"/>
        </w:rPr>
        <w:t xml:space="preserve">Aspirations Longitudinal </w:t>
      </w:r>
      <w:r w:rsidR="00FA6DF6" w:rsidRPr="0022309A">
        <w:rPr>
          <w:rFonts w:asciiTheme="majorHAnsi" w:hAnsiTheme="majorHAnsi"/>
          <w:i/>
          <w:iCs/>
          <w:sz w:val="28"/>
          <w:szCs w:val="28"/>
        </w:rPr>
        <w:t>Study</w:t>
      </w:r>
      <w:r w:rsidR="00FA6DF6" w:rsidRPr="00757D20">
        <w:rPr>
          <w:rFonts w:asciiTheme="majorHAnsi" w:hAnsiTheme="majorHAnsi"/>
          <w:sz w:val="28"/>
          <w:szCs w:val="28"/>
        </w:rPr>
        <w:t xml:space="preserve"> </w:t>
      </w:r>
      <w:r w:rsidRPr="00757D20">
        <w:rPr>
          <w:rFonts w:asciiTheme="majorHAnsi" w:hAnsiTheme="majorHAnsi"/>
          <w:sz w:val="28"/>
          <w:szCs w:val="28"/>
        </w:rPr>
        <w:t>(</w:t>
      </w:r>
      <w:r w:rsidRPr="00757D20">
        <w:rPr>
          <w:rStyle w:val="wixui-rich-texttext"/>
          <w:rFonts w:asciiTheme="majorHAnsi" w:hAnsiTheme="majorHAnsi"/>
          <w:sz w:val="28"/>
          <w:szCs w:val="28"/>
        </w:rPr>
        <w:t>2012</w:t>
      </w:r>
      <w:r w:rsidR="0010408E">
        <w:rPr>
          <w:rStyle w:val="wixui-rich-texttext"/>
          <w:rFonts w:asciiTheme="majorHAnsi" w:hAnsiTheme="majorHAnsi"/>
          <w:sz w:val="28"/>
          <w:szCs w:val="28"/>
        </w:rPr>
        <w:t>–</w:t>
      </w:r>
      <w:r w:rsidRPr="00757D20">
        <w:rPr>
          <w:rStyle w:val="wixui-rich-texttext"/>
          <w:rFonts w:asciiTheme="majorHAnsi" w:hAnsiTheme="majorHAnsi"/>
          <w:sz w:val="28"/>
          <w:szCs w:val="28"/>
        </w:rPr>
        <w:t>2015)</w:t>
      </w:r>
      <w:bookmarkEnd w:id="123"/>
      <w:bookmarkEnd w:id="124"/>
    </w:p>
    <w:p w14:paraId="55B475B3" w14:textId="7564B130" w:rsidR="00491A7B" w:rsidRPr="00757D20" w:rsidRDefault="00491A7B" w:rsidP="00E73AD0">
      <w:pPr>
        <w:spacing w:after="0"/>
      </w:pPr>
      <w:r w:rsidRPr="00757D20">
        <w:t>The </w:t>
      </w:r>
      <w:hyperlink r:id="rId180" w:tgtFrame="_blank" w:history="1">
        <w:r w:rsidRPr="00DA0A20">
          <w:rPr>
            <w:rStyle w:val="Hyperlink"/>
            <w:i/>
            <w:iCs/>
          </w:rPr>
          <w:t>Aspirations Longitudinal</w:t>
        </w:r>
        <w:r w:rsidRPr="00757D20">
          <w:rPr>
            <w:rStyle w:val="Hyperlink"/>
          </w:rPr>
          <w:t xml:space="preserve"> </w:t>
        </w:r>
        <w:r w:rsidR="00FA6DF6" w:rsidRPr="0022309A">
          <w:rPr>
            <w:rStyle w:val="Hyperlink"/>
            <w:i/>
            <w:iCs/>
          </w:rPr>
          <w:t>Study</w:t>
        </w:r>
      </w:hyperlink>
      <w:r w:rsidRPr="00757D20">
        <w:t xml:space="preserve"> is a significant research project </w:t>
      </w:r>
      <w:r w:rsidR="0010408E">
        <w:t>that</w:t>
      </w:r>
      <w:r w:rsidR="0010408E" w:rsidRPr="00757D20">
        <w:t xml:space="preserve"> </w:t>
      </w:r>
      <w:r w:rsidRPr="00757D20">
        <w:t xml:space="preserve">sought to provide comprehensive insight into the factors that shape the career and educational aspirations of Australian school students. </w:t>
      </w:r>
      <w:r w:rsidR="00A56051" w:rsidRPr="00757D20">
        <w:t>Funded by</w:t>
      </w:r>
      <w:r w:rsidRPr="00757D20">
        <w:t xml:space="preserve"> the Australian Research Council and the NSW Department of Education and Communities</w:t>
      </w:r>
      <w:r w:rsidR="00A56051" w:rsidRPr="00757D20">
        <w:t xml:space="preserve">, the </w:t>
      </w:r>
      <w:r w:rsidR="00341B7E" w:rsidRPr="00757D20">
        <w:t>project tracked students from 64 government schools to investigate how their aspirations developed or changed over time.</w:t>
      </w:r>
    </w:p>
    <w:p w14:paraId="3A24AF28" w14:textId="77777777" w:rsidR="00C80BAF" w:rsidRPr="00757D20" w:rsidRDefault="00C80BAF" w:rsidP="00E73AD0">
      <w:pPr>
        <w:spacing w:after="0"/>
      </w:pPr>
    </w:p>
    <w:p w14:paraId="4771E012" w14:textId="572727F1" w:rsidR="00491A7B" w:rsidRPr="00757D20" w:rsidRDefault="00491A7B" w:rsidP="00C80BAF">
      <w:pPr>
        <w:rPr>
          <w:rFonts w:asciiTheme="majorHAnsi" w:hAnsiTheme="majorHAnsi"/>
          <w:sz w:val="28"/>
          <w:szCs w:val="28"/>
        </w:rPr>
      </w:pPr>
      <w:bookmarkStart w:id="125" w:name="_Toc196396102"/>
      <w:bookmarkStart w:id="126" w:name="_Toc196396180"/>
      <w:r w:rsidRPr="00757D20">
        <w:rPr>
          <w:rFonts w:asciiTheme="majorHAnsi" w:hAnsiTheme="majorHAnsi"/>
          <w:sz w:val="28"/>
          <w:szCs w:val="28"/>
        </w:rPr>
        <w:t xml:space="preserve">Community </w:t>
      </w:r>
      <w:r w:rsidR="00B90907" w:rsidRPr="00757D20">
        <w:rPr>
          <w:rFonts w:asciiTheme="majorHAnsi" w:hAnsiTheme="majorHAnsi"/>
          <w:sz w:val="28"/>
          <w:szCs w:val="28"/>
        </w:rPr>
        <w:t>I</w:t>
      </w:r>
      <w:r w:rsidRPr="00757D20">
        <w:rPr>
          <w:rFonts w:asciiTheme="majorHAnsi" w:hAnsiTheme="majorHAnsi"/>
          <w:sz w:val="28"/>
          <w:szCs w:val="28"/>
        </w:rPr>
        <w:t xml:space="preserve">nfluence on </w:t>
      </w:r>
      <w:r w:rsidR="00B90907" w:rsidRPr="00757D20">
        <w:rPr>
          <w:rFonts w:asciiTheme="majorHAnsi" w:hAnsiTheme="majorHAnsi"/>
          <w:sz w:val="28"/>
          <w:szCs w:val="28"/>
        </w:rPr>
        <w:t>U</w:t>
      </w:r>
      <w:r w:rsidRPr="00757D20">
        <w:rPr>
          <w:rFonts w:asciiTheme="majorHAnsi" w:hAnsiTheme="majorHAnsi"/>
          <w:sz w:val="28"/>
          <w:szCs w:val="28"/>
        </w:rPr>
        <w:t xml:space="preserve">niversity </w:t>
      </w:r>
      <w:r w:rsidR="00B90907" w:rsidRPr="00757D20">
        <w:rPr>
          <w:rFonts w:asciiTheme="majorHAnsi" w:hAnsiTheme="majorHAnsi"/>
          <w:sz w:val="28"/>
          <w:szCs w:val="28"/>
        </w:rPr>
        <w:t>A</w:t>
      </w:r>
      <w:r w:rsidRPr="00757D20">
        <w:rPr>
          <w:rFonts w:asciiTheme="majorHAnsi" w:hAnsiTheme="majorHAnsi"/>
          <w:sz w:val="28"/>
          <w:szCs w:val="28"/>
        </w:rPr>
        <w:t xml:space="preserve">spirations: Does it </w:t>
      </w:r>
      <w:r w:rsidR="00B90907" w:rsidRPr="00757D20">
        <w:rPr>
          <w:rFonts w:asciiTheme="majorHAnsi" w:hAnsiTheme="majorHAnsi"/>
          <w:sz w:val="28"/>
          <w:szCs w:val="28"/>
        </w:rPr>
        <w:t>T</w:t>
      </w:r>
      <w:r w:rsidRPr="00757D20">
        <w:rPr>
          <w:rFonts w:asciiTheme="majorHAnsi" w:hAnsiTheme="majorHAnsi"/>
          <w:sz w:val="28"/>
          <w:szCs w:val="28"/>
        </w:rPr>
        <w:t xml:space="preserve">ake a </w:t>
      </w:r>
      <w:r w:rsidR="00B90907" w:rsidRPr="00757D20">
        <w:rPr>
          <w:rFonts w:asciiTheme="majorHAnsi" w:hAnsiTheme="majorHAnsi"/>
          <w:sz w:val="28"/>
          <w:szCs w:val="28"/>
        </w:rPr>
        <w:t>V</w:t>
      </w:r>
      <w:r w:rsidRPr="00757D20">
        <w:rPr>
          <w:rFonts w:asciiTheme="majorHAnsi" w:hAnsiTheme="majorHAnsi"/>
          <w:sz w:val="28"/>
          <w:szCs w:val="28"/>
        </w:rPr>
        <w:t>illage?</w:t>
      </w:r>
      <w:r w:rsidR="00A95CF6" w:rsidRPr="00757D20">
        <w:rPr>
          <w:rFonts w:asciiTheme="majorHAnsi" w:hAnsiTheme="majorHAnsi"/>
          <w:sz w:val="28"/>
          <w:szCs w:val="28"/>
        </w:rPr>
        <w:t xml:space="preserve"> </w:t>
      </w:r>
      <w:r w:rsidR="000E133E" w:rsidRPr="00757D20">
        <w:rPr>
          <w:rFonts w:asciiTheme="majorHAnsi" w:hAnsiTheme="majorHAnsi"/>
          <w:sz w:val="28"/>
          <w:szCs w:val="28"/>
        </w:rPr>
        <w:t>(</w:t>
      </w:r>
      <w:r w:rsidR="00A95CF6" w:rsidRPr="00757D20">
        <w:rPr>
          <w:rFonts w:asciiTheme="majorHAnsi" w:hAnsiTheme="majorHAnsi"/>
          <w:sz w:val="28"/>
          <w:szCs w:val="28"/>
        </w:rPr>
        <w:t>2018)</w:t>
      </w:r>
      <w:bookmarkEnd w:id="125"/>
      <w:bookmarkEnd w:id="126"/>
    </w:p>
    <w:p w14:paraId="07A2EA50" w14:textId="1DF16EBD" w:rsidR="00491A7B" w:rsidRPr="00757D20" w:rsidRDefault="00491A7B" w:rsidP="008A40AA">
      <w:pPr>
        <w:spacing w:after="0"/>
      </w:pPr>
      <w:r w:rsidRPr="00757D20">
        <w:t xml:space="preserve">This project investigated the impact of local communities on school students’ aspirations for higher education. Drawing on multiple datasets involving students in Years 3–12 and augmented by rich, detailed case studies, the researchers explored the role of communities in shaping post-school aspirations among students from targeted equity groups. By foregrounding the role of communities in shaping student aspirations, including variance within and between communities, the project contributed to building the evidence base for equity policy and practice. This project was funded by the National Centre for Student Equity in Higher Education </w:t>
      </w:r>
      <w:r w:rsidR="0065377C" w:rsidRPr="00757D20">
        <w:t>(now ACSES)</w:t>
      </w:r>
      <w:r w:rsidRPr="00757D20">
        <w:t>.</w:t>
      </w:r>
    </w:p>
    <w:p w14:paraId="6679A973" w14:textId="77777777" w:rsidR="00C80BAF" w:rsidRPr="00757D20" w:rsidRDefault="00C80BAF" w:rsidP="008A40AA">
      <w:pPr>
        <w:spacing w:after="0"/>
      </w:pPr>
    </w:p>
    <w:p w14:paraId="1003B670" w14:textId="3E74809C" w:rsidR="00491A7B" w:rsidRPr="00757D20" w:rsidRDefault="00491A7B" w:rsidP="00C80BAF">
      <w:pPr>
        <w:rPr>
          <w:rFonts w:asciiTheme="majorHAnsi" w:hAnsiTheme="majorHAnsi"/>
          <w:sz w:val="28"/>
          <w:szCs w:val="28"/>
        </w:rPr>
      </w:pPr>
      <w:bookmarkStart w:id="127" w:name="_Toc196396103"/>
      <w:bookmarkStart w:id="128" w:name="_Toc196396181"/>
      <w:r w:rsidRPr="00757D20">
        <w:rPr>
          <w:rFonts w:asciiTheme="majorHAnsi" w:hAnsiTheme="majorHAnsi"/>
          <w:sz w:val="28"/>
          <w:szCs w:val="28"/>
        </w:rPr>
        <w:t>Girls in Maths</w:t>
      </w:r>
      <w:r w:rsidR="00A95CF6" w:rsidRPr="00757D20">
        <w:rPr>
          <w:rFonts w:asciiTheme="majorHAnsi" w:hAnsiTheme="majorHAnsi"/>
          <w:sz w:val="28"/>
          <w:szCs w:val="28"/>
        </w:rPr>
        <w:t xml:space="preserve"> (2017)</w:t>
      </w:r>
      <w:bookmarkEnd w:id="127"/>
      <w:bookmarkEnd w:id="128"/>
    </w:p>
    <w:p w14:paraId="0874366B" w14:textId="0216E158" w:rsidR="00354AE4" w:rsidRPr="00757D20" w:rsidRDefault="00354AE4" w:rsidP="00B875D0">
      <w:pPr>
        <w:spacing w:after="0"/>
        <w:rPr>
          <w:color w:val="000000"/>
          <w:sz w:val="23"/>
          <w:szCs w:val="23"/>
        </w:rPr>
      </w:pPr>
      <w:r w:rsidRPr="00757D20">
        <w:t>This project, funded by the Margaret Bowers Estate, explored girls’ mathematics-related educational and occupational aspirations. Using Year 12 subject selection data, quantitative data from the </w:t>
      </w:r>
      <w:r w:rsidRPr="00757D20">
        <w:rPr>
          <w:i/>
          <w:iCs/>
        </w:rPr>
        <w:t xml:space="preserve">Aspirations Longitudinal </w:t>
      </w:r>
      <w:r w:rsidR="00FA6DF6" w:rsidRPr="0022309A">
        <w:rPr>
          <w:i/>
          <w:iCs/>
        </w:rPr>
        <w:t>Study</w:t>
      </w:r>
      <w:r w:rsidRPr="00757D20">
        <w:t>, and interviews with students, parents</w:t>
      </w:r>
      <w:r w:rsidR="002A38FB" w:rsidRPr="00757D20">
        <w:t>,</w:t>
      </w:r>
      <w:r w:rsidRPr="00757D20">
        <w:t xml:space="preserve"> and mathematics teachers this project examined the complex relationship between gender and school mathematics participation. The project contributed robust evidence towards understanding girls’ underrepresentation in mathematics, demonstrating how gender biases continue to impact boys’ and girls’ relationship with mathematics.</w:t>
      </w:r>
    </w:p>
    <w:p w14:paraId="030E6352" w14:textId="4E2AFADA" w:rsidR="00C80BAF" w:rsidRPr="00757D20" w:rsidRDefault="00C80BAF" w:rsidP="00B875D0">
      <w:pPr>
        <w:spacing w:after="0"/>
        <w:rPr>
          <w:color w:val="000000"/>
          <w:sz w:val="23"/>
          <w:szCs w:val="23"/>
        </w:rPr>
      </w:pPr>
    </w:p>
    <w:p w14:paraId="79C367E1" w14:textId="0D1E4FDA" w:rsidR="00491A7B" w:rsidRPr="00757D20" w:rsidRDefault="00491A7B" w:rsidP="00C80BAF">
      <w:pPr>
        <w:rPr>
          <w:rFonts w:asciiTheme="majorHAnsi" w:hAnsiTheme="majorHAnsi"/>
          <w:bCs/>
          <w:sz w:val="28"/>
          <w:szCs w:val="28"/>
        </w:rPr>
      </w:pPr>
      <w:bookmarkStart w:id="129" w:name="_Toc196396105"/>
      <w:bookmarkStart w:id="130" w:name="_Toc196396183"/>
      <w:r w:rsidRPr="00757D20">
        <w:rPr>
          <w:rFonts w:asciiTheme="majorHAnsi" w:hAnsiTheme="majorHAnsi"/>
          <w:bCs/>
          <w:sz w:val="28"/>
          <w:szCs w:val="28"/>
        </w:rPr>
        <w:t xml:space="preserve">Locating aspirations: Evidence to </w:t>
      </w:r>
      <w:r w:rsidR="00B90907" w:rsidRPr="00757D20">
        <w:rPr>
          <w:rFonts w:asciiTheme="majorHAnsi" w:hAnsiTheme="majorHAnsi"/>
          <w:bCs/>
          <w:sz w:val="28"/>
          <w:szCs w:val="28"/>
        </w:rPr>
        <w:t>S</w:t>
      </w:r>
      <w:r w:rsidRPr="00757D20">
        <w:rPr>
          <w:rFonts w:asciiTheme="majorHAnsi" w:hAnsiTheme="majorHAnsi"/>
          <w:bCs/>
          <w:sz w:val="28"/>
          <w:szCs w:val="28"/>
        </w:rPr>
        <w:t xml:space="preserve">upport </w:t>
      </w:r>
      <w:r w:rsidR="00B90907" w:rsidRPr="00757D20">
        <w:rPr>
          <w:rFonts w:asciiTheme="majorHAnsi" w:hAnsiTheme="majorHAnsi"/>
          <w:bCs/>
          <w:sz w:val="28"/>
          <w:szCs w:val="28"/>
        </w:rPr>
        <w:t>P</w:t>
      </w:r>
      <w:r w:rsidRPr="00757D20">
        <w:rPr>
          <w:rFonts w:asciiTheme="majorHAnsi" w:hAnsiTheme="majorHAnsi"/>
          <w:bCs/>
          <w:sz w:val="28"/>
          <w:szCs w:val="28"/>
        </w:rPr>
        <w:t xml:space="preserve">articipation in </w:t>
      </w:r>
      <w:r w:rsidR="00B90907" w:rsidRPr="00757D20">
        <w:rPr>
          <w:rFonts w:asciiTheme="majorHAnsi" w:hAnsiTheme="majorHAnsi"/>
          <w:bCs/>
          <w:sz w:val="28"/>
          <w:szCs w:val="28"/>
        </w:rPr>
        <w:t>H</w:t>
      </w:r>
      <w:r w:rsidRPr="00757D20">
        <w:rPr>
          <w:rFonts w:asciiTheme="majorHAnsi" w:hAnsiTheme="majorHAnsi"/>
          <w:bCs/>
          <w:sz w:val="28"/>
          <w:szCs w:val="28"/>
        </w:rPr>
        <w:t xml:space="preserve">igher </w:t>
      </w:r>
      <w:r w:rsidR="00B90907" w:rsidRPr="00757D20">
        <w:rPr>
          <w:rFonts w:asciiTheme="majorHAnsi" w:hAnsiTheme="majorHAnsi"/>
          <w:bCs/>
          <w:sz w:val="28"/>
          <w:szCs w:val="28"/>
        </w:rPr>
        <w:t>E</w:t>
      </w:r>
      <w:r w:rsidRPr="00757D20">
        <w:rPr>
          <w:rFonts w:asciiTheme="majorHAnsi" w:hAnsiTheme="majorHAnsi"/>
          <w:bCs/>
          <w:sz w:val="28"/>
          <w:szCs w:val="28"/>
        </w:rPr>
        <w:t xml:space="preserve">ducation of </w:t>
      </w:r>
      <w:r w:rsidR="00B90907" w:rsidRPr="00757D20">
        <w:rPr>
          <w:rFonts w:asciiTheme="majorHAnsi" w:hAnsiTheme="majorHAnsi"/>
          <w:bCs/>
          <w:sz w:val="28"/>
          <w:szCs w:val="28"/>
        </w:rPr>
        <w:t>L</w:t>
      </w:r>
      <w:r w:rsidRPr="00757D20">
        <w:rPr>
          <w:rFonts w:asciiTheme="majorHAnsi" w:hAnsiTheme="majorHAnsi"/>
          <w:bCs/>
          <w:sz w:val="28"/>
          <w:szCs w:val="28"/>
        </w:rPr>
        <w:t xml:space="preserve">ow SES </w:t>
      </w:r>
      <w:r w:rsidR="00B90907" w:rsidRPr="00757D20">
        <w:rPr>
          <w:rFonts w:asciiTheme="majorHAnsi" w:hAnsiTheme="majorHAnsi"/>
          <w:bCs/>
          <w:sz w:val="28"/>
          <w:szCs w:val="28"/>
        </w:rPr>
        <w:t>S</w:t>
      </w:r>
      <w:r w:rsidRPr="00757D20">
        <w:rPr>
          <w:rFonts w:asciiTheme="majorHAnsi" w:hAnsiTheme="majorHAnsi"/>
          <w:bCs/>
          <w:sz w:val="28"/>
          <w:szCs w:val="28"/>
        </w:rPr>
        <w:t xml:space="preserve">tudents from </w:t>
      </w:r>
      <w:r w:rsidR="00B90907" w:rsidRPr="00757D20">
        <w:rPr>
          <w:rFonts w:asciiTheme="majorHAnsi" w:hAnsiTheme="majorHAnsi"/>
          <w:bCs/>
          <w:sz w:val="28"/>
          <w:szCs w:val="28"/>
        </w:rPr>
        <w:t>R</w:t>
      </w:r>
      <w:r w:rsidRPr="00757D20">
        <w:rPr>
          <w:rFonts w:asciiTheme="majorHAnsi" w:hAnsiTheme="majorHAnsi"/>
          <w:bCs/>
          <w:sz w:val="28"/>
          <w:szCs w:val="28"/>
        </w:rPr>
        <w:t xml:space="preserve">egional and </w:t>
      </w:r>
      <w:r w:rsidR="00B90907" w:rsidRPr="00757D20">
        <w:rPr>
          <w:rFonts w:asciiTheme="majorHAnsi" w:hAnsiTheme="majorHAnsi"/>
          <w:bCs/>
          <w:sz w:val="28"/>
          <w:szCs w:val="28"/>
        </w:rPr>
        <w:t>R</w:t>
      </w:r>
      <w:r w:rsidRPr="00757D20">
        <w:rPr>
          <w:rFonts w:asciiTheme="majorHAnsi" w:hAnsiTheme="majorHAnsi"/>
          <w:bCs/>
          <w:sz w:val="28"/>
          <w:szCs w:val="28"/>
        </w:rPr>
        <w:t>emote Australia</w:t>
      </w:r>
      <w:r w:rsidR="00A95CF6" w:rsidRPr="00757D20">
        <w:rPr>
          <w:rFonts w:asciiTheme="majorHAnsi" w:hAnsiTheme="majorHAnsi"/>
          <w:bCs/>
          <w:sz w:val="28"/>
          <w:szCs w:val="28"/>
        </w:rPr>
        <w:t xml:space="preserve"> (2017)</w:t>
      </w:r>
      <w:bookmarkEnd w:id="129"/>
      <w:bookmarkEnd w:id="130"/>
    </w:p>
    <w:p w14:paraId="1EAB01D1" w14:textId="289CCA3F" w:rsidR="00491A7B" w:rsidRPr="00757D20" w:rsidRDefault="00E62153" w:rsidP="00EA3632">
      <w:pPr>
        <w:spacing w:after="0"/>
      </w:pPr>
      <w:r w:rsidRPr="00757D20">
        <w:t xml:space="preserve">This </w:t>
      </w:r>
      <w:r w:rsidR="00FD784B" w:rsidRPr="00757D20">
        <w:t xml:space="preserve">study </w:t>
      </w:r>
      <w:r w:rsidR="00491A7B" w:rsidRPr="00757D20">
        <w:t>examined the educational and career aspirations of regional and remote students from low socio</w:t>
      </w:r>
      <w:r w:rsidR="0010408E">
        <w:t>-</w:t>
      </w:r>
      <w:r w:rsidR="00491A7B" w:rsidRPr="00757D20">
        <w:t xml:space="preserve">economic status backgrounds. Existing data </w:t>
      </w:r>
      <w:r w:rsidR="0049707B" w:rsidRPr="00757D20">
        <w:t xml:space="preserve">from the </w:t>
      </w:r>
      <w:r w:rsidR="0049707B" w:rsidRPr="00DA0A20">
        <w:rPr>
          <w:i/>
          <w:iCs/>
        </w:rPr>
        <w:t>Aspirations Longitudinal</w:t>
      </w:r>
      <w:r w:rsidR="0049707B" w:rsidRPr="00757D20">
        <w:t xml:space="preserve"> </w:t>
      </w:r>
      <w:r w:rsidR="00FA6DF6">
        <w:rPr>
          <w:i/>
          <w:iCs/>
        </w:rPr>
        <w:t xml:space="preserve">Study </w:t>
      </w:r>
      <w:r w:rsidR="00491A7B" w:rsidRPr="00757D20">
        <w:t>were combined with additional quantitative and qualitative data collected through surveys of, and interviews with, students, teachers</w:t>
      </w:r>
      <w:r w:rsidR="00160F81" w:rsidRPr="00757D20">
        <w:t>,</w:t>
      </w:r>
      <w:r w:rsidR="00491A7B" w:rsidRPr="00757D20">
        <w:t xml:space="preserve"> and parents. The project produced robust evidence on regional and remote student aspirations, demonstrating how heterogeneity within areas and communities provides varying experiences and shapes diverse aspirations. The project was funded by the Australian Department of Education of </w:t>
      </w:r>
      <w:r w:rsidR="00491A7B" w:rsidRPr="00757D20">
        <w:lastRenderedPageBreak/>
        <w:t>Education and Training through the Higher Education Participation and Partnerships Program (HEPPP).</w:t>
      </w:r>
    </w:p>
    <w:p w14:paraId="21E34793" w14:textId="77777777" w:rsidR="00C80BAF" w:rsidRPr="00757D20" w:rsidRDefault="00C80BAF" w:rsidP="00EA3632">
      <w:pPr>
        <w:spacing w:after="0"/>
      </w:pPr>
    </w:p>
    <w:p w14:paraId="100344B3" w14:textId="77777777" w:rsidR="00A4430A" w:rsidRPr="00757D20" w:rsidRDefault="00A4430A" w:rsidP="00A4430A">
      <w:pPr>
        <w:rPr>
          <w:rFonts w:asciiTheme="majorHAnsi" w:hAnsiTheme="majorHAnsi"/>
          <w:sz w:val="28"/>
          <w:szCs w:val="28"/>
        </w:rPr>
      </w:pPr>
      <w:bookmarkStart w:id="131" w:name="_Toc196396104"/>
      <w:bookmarkStart w:id="132" w:name="_Toc196396182"/>
      <w:bookmarkStart w:id="133" w:name="_Toc196396106"/>
      <w:bookmarkStart w:id="134" w:name="_Toc196396184"/>
      <w:r w:rsidRPr="00757D20">
        <w:rPr>
          <w:rFonts w:asciiTheme="majorHAnsi" w:hAnsiTheme="majorHAnsi"/>
          <w:sz w:val="28"/>
          <w:szCs w:val="28"/>
        </w:rPr>
        <w:t>Unlocking Capacity and Empowering Choices: Indigenous Students’ Aspirations for Higher Education (2016)</w:t>
      </w:r>
      <w:bookmarkEnd w:id="131"/>
      <w:bookmarkEnd w:id="132"/>
    </w:p>
    <w:p w14:paraId="686F3182" w14:textId="3CFE7ED6" w:rsidR="00A4430A" w:rsidRPr="00757D20" w:rsidRDefault="00A4430A" w:rsidP="00A4430A">
      <w:pPr>
        <w:spacing w:after="0"/>
      </w:pPr>
      <w:r w:rsidRPr="00757D20">
        <w:t xml:space="preserve">This project explored the educational intentions and occupational interests of Indigenous school students from Years 3–12 as well as their understanding of the path from school to higher education. Quantitative and qualitative analysis of data from the </w:t>
      </w:r>
      <w:r w:rsidRPr="00DA0A20">
        <w:rPr>
          <w:i/>
          <w:iCs/>
        </w:rPr>
        <w:t>Aspirations Longitudinal</w:t>
      </w:r>
      <w:r w:rsidRPr="00757D20">
        <w:t xml:space="preserve"> </w:t>
      </w:r>
      <w:r w:rsidR="00FA6DF6">
        <w:rPr>
          <w:i/>
          <w:iCs/>
        </w:rPr>
        <w:t>Study</w:t>
      </w:r>
      <w:r w:rsidRPr="00757D20">
        <w:t xml:space="preserve">, focus groups and interviews, indicated major enablers and barriers to higher education achievement that were identified by Indigenous students, their parents and teachers. The project was funded by the Australian Department of Education of Education and Training through the HEPPP. </w:t>
      </w:r>
    </w:p>
    <w:p w14:paraId="6D981647" w14:textId="77777777" w:rsidR="00A4430A" w:rsidRPr="00757D20" w:rsidRDefault="00A4430A" w:rsidP="00A4430A">
      <w:pPr>
        <w:spacing w:after="0"/>
        <w:rPr>
          <w:rFonts w:asciiTheme="majorHAnsi" w:hAnsiTheme="majorHAnsi"/>
          <w:bCs/>
          <w:sz w:val="28"/>
          <w:szCs w:val="28"/>
        </w:rPr>
      </w:pPr>
    </w:p>
    <w:p w14:paraId="019E5219" w14:textId="323D116D" w:rsidR="00491A7B" w:rsidRPr="00757D20" w:rsidRDefault="00491A7B" w:rsidP="00C80BAF">
      <w:pPr>
        <w:rPr>
          <w:rFonts w:asciiTheme="majorHAnsi" w:hAnsiTheme="majorHAnsi"/>
          <w:bCs/>
          <w:sz w:val="28"/>
          <w:szCs w:val="28"/>
        </w:rPr>
      </w:pPr>
      <w:r w:rsidRPr="00757D20">
        <w:rPr>
          <w:rFonts w:asciiTheme="majorHAnsi" w:hAnsiTheme="majorHAnsi"/>
          <w:bCs/>
          <w:sz w:val="28"/>
          <w:szCs w:val="28"/>
        </w:rPr>
        <w:t xml:space="preserve">Choosing </w:t>
      </w:r>
      <w:r w:rsidR="00B90907" w:rsidRPr="00757D20">
        <w:rPr>
          <w:rFonts w:asciiTheme="majorHAnsi" w:hAnsiTheme="majorHAnsi"/>
          <w:bCs/>
          <w:sz w:val="28"/>
          <w:szCs w:val="28"/>
        </w:rPr>
        <w:t>U</w:t>
      </w:r>
      <w:r w:rsidRPr="00757D20">
        <w:rPr>
          <w:rFonts w:asciiTheme="majorHAnsi" w:hAnsiTheme="majorHAnsi"/>
          <w:bCs/>
          <w:sz w:val="28"/>
          <w:szCs w:val="28"/>
        </w:rPr>
        <w:t xml:space="preserve">niversity: The </w:t>
      </w:r>
      <w:r w:rsidR="00B90907" w:rsidRPr="00757D20">
        <w:rPr>
          <w:rFonts w:asciiTheme="majorHAnsi" w:hAnsiTheme="majorHAnsi"/>
          <w:bCs/>
          <w:sz w:val="28"/>
          <w:szCs w:val="28"/>
        </w:rPr>
        <w:t>I</w:t>
      </w:r>
      <w:r w:rsidRPr="00757D20">
        <w:rPr>
          <w:rFonts w:asciiTheme="majorHAnsi" w:hAnsiTheme="majorHAnsi"/>
          <w:bCs/>
          <w:sz w:val="28"/>
          <w:szCs w:val="28"/>
        </w:rPr>
        <w:t xml:space="preserve">mpact of </w:t>
      </w:r>
      <w:r w:rsidR="00B90907" w:rsidRPr="00757D20">
        <w:rPr>
          <w:rFonts w:asciiTheme="majorHAnsi" w:hAnsiTheme="majorHAnsi"/>
          <w:bCs/>
          <w:sz w:val="28"/>
          <w:szCs w:val="28"/>
        </w:rPr>
        <w:t>S</w:t>
      </w:r>
      <w:r w:rsidRPr="00757D20">
        <w:rPr>
          <w:rFonts w:asciiTheme="majorHAnsi" w:hAnsiTheme="majorHAnsi"/>
          <w:bCs/>
          <w:sz w:val="28"/>
          <w:szCs w:val="28"/>
        </w:rPr>
        <w:t xml:space="preserve">chools and </w:t>
      </w:r>
      <w:r w:rsidR="00B90907" w:rsidRPr="00757D20">
        <w:rPr>
          <w:rFonts w:asciiTheme="majorHAnsi" w:hAnsiTheme="majorHAnsi"/>
          <w:bCs/>
          <w:sz w:val="28"/>
          <w:szCs w:val="28"/>
        </w:rPr>
        <w:t>S</w:t>
      </w:r>
      <w:r w:rsidRPr="00757D20">
        <w:rPr>
          <w:rFonts w:asciiTheme="majorHAnsi" w:hAnsiTheme="majorHAnsi"/>
          <w:bCs/>
          <w:sz w:val="28"/>
          <w:szCs w:val="28"/>
        </w:rPr>
        <w:t>chooling</w:t>
      </w:r>
      <w:r w:rsidR="00A95CF6" w:rsidRPr="00757D20">
        <w:rPr>
          <w:rFonts w:asciiTheme="majorHAnsi" w:hAnsiTheme="majorHAnsi"/>
          <w:bCs/>
          <w:sz w:val="28"/>
          <w:szCs w:val="28"/>
        </w:rPr>
        <w:t xml:space="preserve"> (2014)</w:t>
      </w:r>
      <w:bookmarkEnd w:id="133"/>
      <w:bookmarkEnd w:id="134"/>
    </w:p>
    <w:p w14:paraId="31C0457A" w14:textId="6B2348C7" w:rsidR="00491A7B" w:rsidRPr="00757D20" w:rsidRDefault="00FD784B" w:rsidP="008A0E61">
      <w:pPr>
        <w:spacing w:after="0"/>
      </w:pPr>
      <w:r w:rsidRPr="00757D20">
        <w:t>This project</w:t>
      </w:r>
      <w:r w:rsidR="00491A7B" w:rsidRPr="00757D20">
        <w:t xml:space="preserve"> sought to identify factors associated with schools and schooling that impact on students’ aspirations to attend university. The aim was to better understand barriers and enabling conditions over which schools have some control </w:t>
      </w:r>
      <w:proofErr w:type="gramStart"/>
      <w:r w:rsidR="00491A7B" w:rsidRPr="00757D20">
        <w:t>in order to</w:t>
      </w:r>
      <w:proofErr w:type="gramEnd"/>
      <w:r w:rsidR="00491A7B" w:rsidRPr="00757D20">
        <w:t xml:space="preserve"> provide insight into possible ways of improving the higher education participation and success of low socio</w:t>
      </w:r>
      <w:r w:rsidR="0010408E">
        <w:t>-</w:t>
      </w:r>
      <w:r w:rsidR="00491A7B" w:rsidRPr="00757D20">
        <w:t>economic status and other marginalised students. This project was funded by the National Centre for Student Equity in Higher Education</w:t>
      </w:r>
      <w:r w:rsidR="0065377C" w:rsidRPr="00757D20">
        <w:t xml:space="preserve"> </w:t>
      </w:r>
      <w:r w:rsidR="00DC2952" w:rsidRPr="00757D20">
        <w:t>(now ACSES)</w:t>
      </w:r>
      <w:r w:rsidR="00491A7B" w:rsidRPr="00757D20">
        <w:t>.</w:t>
      </w:r>
    </w:p>
    <w:p w14:paraId="7CF343F3" w14:textId="77777777" w:rsidR="00792F00" w:rsidRPr="00757D20" w:rsidRDefault="00792F00" w:rsidP="00B17924">
      <w:pPr>
        <w:rPr>
          <w:lang w:eastAsia="en-AU"/>
        </w:rPr>
      </w:pPr>
    </w:p>
    <w:p w14:paraId="57D064EB" w14:textId="2F881AE6" w:rsidR="00491A7B" w:rsidRPr="00757D20" w:rsidRDefault="00491A7B" w:rsidP="00B17924">
      <w:pPr>
        <w:rPr>
          <w:lang w:eastAsia="en-AU"/>
        </w:rPr>
      </w:pPr>
    </w:p>
    <w:sectPr w:rsidR="00491A7B" w:rsidRPr="00757D20" w:rsidSect="008C7722">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4F84" w14:textId="77777777" w:rsidR="003D6B4F" w:rsidRDefault="003D6B4F" w:rsidP="008C7722">
      <w:pPr>
        <w:spacing w:after="0" w:line="240" w:lineRule="auto"/>
      </w:pPr>
      <w:r>
        <w:separator/>
      </w:r>
    </w:p>
  </w:endnote>
  <w:endnote w:type="continuationSeparator" w:id="0">
    <w:p w14:paraId="07BB6E8A" w14:textId="77777777" w:rsidR="003D6B4F" w:rsidRDefault="003D6B4F" w:rsidP="008C7722">
      <w:pPr>
        <w:spacing w:after="0" w:line="240" w:lineRule="auto"/>
      </w:pPr>
      <w:r>
        <w:continuationSeparator/>
      </w:r>
    </w:p>
  </w:endnote>
  <w:endnote w:type="continuationNotice" w:id="1">
    <w:p w14:paraId="70CA392B" w14:textId="77777777" w:rsidR="003D6B4F" w:rsidRDefault="003D6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Medium">
    <w:altName w:val="Cambria"/>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color w:val="927A55" w:themeColor="background1" w:themeShade="80"/>
        <w:sz w:val="18"/>
        <w:szCs w:val="18"/>
      </w:rPr>
    </w:sdtEndPr>
    <w:sdtContent>
      <w:p w14:paraId="64C65937" w14:textId="77777777" w:rsidR="008C7722" w:rsidRPr="008C7722" w:rsidRDefault="008C7722">
        <w:pPr>
          <w:pStyle w:val="Footer"/>
          <w:jc w:val="center"/>
          <w:rPr>
            <w:color w:val="927A55" w:themeColor="background1" w:themeShade="80"/>
            <w:sz w:val="18"/>
            <w:szCs w:val="18"/>
          </w:rPr>
        </w:pPr>
        <w:r w:rsidRPr="004D1005">
          <w:rPr>
            <w:sz w:val="18"/>
            <w:szCs w:val="18"/>
          </w:rPr>
          <w:fldChar w:fldCharType="begin"/>
        </w:r>
        <w:r w:rsidRPr="004D1005">
          <w:rPr>
            <w:sz w:val="18"/>
            <w:szCs w:val="18"/>
          </w:rPr>
          <w:instrText xml:space="preserve"> PAGE   \* MERGEFORMAT </w:instrText>
        </w:r>
        <w:r w:rsidRPr="004D1005">
          <w:rPr>
            <w:sz w:val="18"/>
            <w:szCs w:val="18"/>
          </w:rPr>
          <w:fldChar w:fldCharType="separate"/>
        </w:r>
        <w:r w:rsidRPr="004D1005">
          <w:rPr>
            <w:noProof/>
            <w:sz w:val="18"/>
            <w:szCs w:val="18"/>
          </w:rPr>
          <w:t>2</w:t>
        </w:r>
        <w:r w:rsidRPr="004D1005">
          <w:rPr>
            <w:noProof/>
            <w:sz w:val="18"/>
            <w:szCs w:val="18"/>
          </w:rPr>
          <w:fldChar w:fldCharType="end"/>
        </w:r>
      </w:p>
    </w:sdtContent>
  </w:sdt>
  <w:p w14:paraId="28597058"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EC65" w14:textId="77777777" w:rsidR="003D6B4F" w:rsidRDefault="003D6B4F" w:rsidP="008C7722">
      <w:pPr>
        <w:spacing w:after="0" w:line="240" w:lineRule="auto"/>
      </w:pPr>
      <w:r>
        <w:separator/>
      </w:r>
    </w:p>
  </w:footnote>
  <w:footnote w:type="continuationSeparator" w:id="0">
    <w:p w14:paraId="361B6C56" w14:textId="77777777" w:rsidR="003D6B4F" w:rsidRDefault="003D6B4F" w:rsidP="008C7722">
      <w:pPr>
        <w:spacing w:after="0" w:line="240" w:lineRule="auto"/>
      </w:pPr>
      <w:r>
        <w:continuationSeparator/>
      </w:r>
    </w:p>
  </w:footnote>
  <w:footnote w:type="continuationNotice" w:id="1">
    <w:p w14:paraId="101AF614" w14:textId="77777777" w:rsidR="003D6B4F" w:rsidRDefault="003D6B4F">
      <w:pPr>
        <w:spacing w:after="0" w:line="240" w:lineRule="auto"/>
      </w:pPr>
    </w:p>
  </w:footnote>
  <w:footnote w:id="2">
    <w:p w14:paraId="3AF9CA54" w14:textId="0E2A85D2" w:rsidR="00A0109C" w:rsidRDefault="00A0109C">
      <w:pPr>
        <w:pStyle w:val="FootnoteText"/>
        <w:rPr>
          <w:rFonts w:cs="Arial"/>
          <w:sz w:val="18"/>
          <w:szCs w:val="18"/>
        </w:rPr>
      </w:pPr>
      <w:r>
        <w:rPr>
          <w:rStyle w:val="FootnoteReference"/>
        </w:rPr>
        <w:footnoteRef/>
      </w:r>
      <w:r>
        <w:t xml:space="preserve"> </w:t>
      </w:r>
      <w:r w:rsidR="00DD5E01" w:rsidRPr="00F420AF">
        <w:rPr>
          <w:rFonts w:cs="Arial"/>
          <w:sz w:val="18"/>
          <w:szCs w:val="18"/>
        </w:rPr>
        <w:t xml:space="preserve">The full title of the study was </w:t>
      </w:r>
      <w:r w:rsidR="00DD5E01" w:rsidRPr="00F420AF">
        <w:rPr>
          <w:rFonts w:cs="Arial"/>
          <w:i/>
          <w:sz w:val="18"/>
          <w:szCs w:val="18"/>
        </w:rPr>
        <w:t>Educational and Career Aspirations in the Middle Years of Schooling: Understanding Complexity for Increased Equity</w:t>
      </w:r>
      <w:r w:rsidR="00DD5E01" w:rsidRPr="00F420AF">
        <w:rPr>
          <w:rFonts w:cs="Arial"/>
          <w:sz w:val="18"/>
          <w:szCs w:val="18"/>
        </w:rPr>
        <w:t xml:space="preserve">. The study was an Australian Research Council Linkage project jointly funded by the Australian Research Council and the NSW Department of Education.  </w:t>
      </w:r>
    </w:p>
    <w:p w14:paraId="140FFEF7" w14:textId="77777777" w:rsidR="00DD5E01" w:rsidRDefault="00DD5E01">
      <w:pPr>
        <w:pStyle w:val="FootnoteText"/>
      </w:pPr>
    </w:p>
  </w:footnote>
  <w:footnote w:id="3">
    <w:p w14:paraId="38582F1C" w14:textId="3E195176" w:rsidR="009E3513" w:rsidRDefault="009E3513" w:rsidP="009E3513">
      <w:pPr>
        <w:pStyle w:val="Footnote"/>
      </w:pPr>
      <w:r w:rsidRPr="00D618E7">
        <w:rPr>
          <w:rStyle w:val="FootnoteReference"/>
        </w:rPr>
        <w:footnoteRef/>
      </w:r>
      <w:r w:rsidRPr="00D618E7">
        <w:t xml:space="preserve"> The school names</w:t>
      </w:r>
      <w:r w:rsidR="00C43ED0">
        <w:t xml:space="preserve"> are</w:t>
      </w:r>
      <w:r w:rsidRPr="00D618E7">
        <w:t xml:space="preserve"> </w:t>
      </w:r>
      <w:r w:rsidR="00C43ED0">
        <w:t>pseudonyms</w:t>
      </w:r>
      <w:r w:rsidRPr="00D618E7">
        <w:t xml:space="preserve"> to preserve their anonymity.</w:t>
      </w:r>
    </w:p>
    <w:p w14:paraId="100724A9" w14:textId="77777777" w:rsidR="00B816C1" w:rsidRPr="00D618E7" w:rsidRDefault="00B816C1" w:rsidP="009E3513">
      <w:pPr>
        <w:pStyle w:val="Footnote"/>
      </w:pPr>
    </w:p>
  </w:footnote>
  <w:footnote w:id="4">
    <w:p w14:paraId="67AE4147" w14:textId="23979970" w:rsidR="00694A8B" w:rsidRDefault="00694A8B">
      <w:pPr>
        <w:pStyle w:val="FootnoteText"/>
      </w:pPr>
      <w:r>
        <w:rPr>
          <w:rStyle w:val="FootnoteReference"/>
        </w:rPr>
        <w:footnoteRef/>
      </w:r>
      <w:r>
        <w:t xml:space="preserve"> </w:t>
      </w:r>
      <w:r w:rsidR="00D3532D" w:rsidRPr="00891245">
        <w:rPr>
          <w:rFonts w:cs="Arial"/>
          <w:sz w:val="18"/>
          <w:szCs w:val="18"/>
        </w:rPr>
        <w:t>ICSEA is a standardised scale used for measuring school-level advantage in Australia. It includes parent education and occupation, proportion of Indigenous students</w:t>
      </w:r>
      <w:r w:rsidR="00D3532D">
        <w:rPr>
          <w:rFonts w:cs="Arial"/>
          <w:sz w:val="18"/>
          <w:szCs w:val="18"/>
        </w:rPr>
        <w:t>,</w:t>
      </w:r>
      <w:r w:rsidR="00D3532D" w:rsidRPr="00891245">
        <w:rPr>
          <w:rFonts w:cs="Arial"/>
          <w:sz w:val="18"/>
          <w:szCs w:val="18"/>
        </w:rPr>
        <w:t xml:space="preserve"> and school geographic location. It has a mean of 1000 and standard deviation of 100.</w:t>
      </w:r>
    </w:p>
  </w:footnote>
  <w:footnote w:id="5">
    <w:p w14:paraId="072A9BF6" w14:textId="66A758C5" w:rsidR="00C415D4" w:rsidRPr="00A92C7A" w:rsidRDefault="00C415D4" w:rsidP="00C415D4">
      <w:pPr>
        <w:pStyle w:val="FootnoteText"/>
        <w:rPr>
          <w:rFonts w:cs="Arial"/>
        </w:rPr>
      </w:pPr>
      <w:r w:rsidRPr="00A92C7A">
        <w:rPr>
          <w:rStyle w:val="FootnoteReference"/>
          <w:rFonts w:cs="Arial"/>
          <w:sz w:val="18"/>
          <w:szCs w:val="18"/>
        </w:rPr>
        <w:footnoteRef/>
      </w:r>
      <w:r w:rsidRPr="00A92C7A">
        <w:rPr>
          <w:rFonts w:cs="Arial"/>
          <w:sz w:val="18"/>
          <w:szCs w:val="18"/>
        </w:rPr>
        <w:t xml:space="preserve"> HECS is a Commonwealth-funded scheme that allows students to access funds to cover their proportion of university fees. This amount is then repaid once they are earning a minimum repayment threshold. The threshold is $54,435 for the 2024-25 financial year. In response to the recommendation of the Universities Accord and in light of the current cost-of-living crisis, the threshold will rise to $67,000 in the 2025-26 financial year. By June 2025, the Commonwealth will also apply a 20% reduction on all student debt loans.</w:t>
      </w:r>
    </w:p>
  </w:footnote>
  <w:footnote w:id="6">
    <w:p w14:paraId="4710BEA4" w14:textId="77777777" w:rsidR="00F27856" w:rsidRPr="00AB5327" w:rsidRDefault="00F27856" w:rsidP="00F27856">
      <w:pPr>
        <w:pStyle w:val="FootnoteText"/>
        <w:rPr>
          <w:rFonts w:cs="Arial"/>
        </w:rPr>
      </w:pPr>
      <w:r w:rsidRPr="00AB5327">
        <w:rPr>
          <w:rStyle w:val="FootnoteReference"/>
          <w:rFonts w:cs="Arial"/>
          <w:sz w:val="18"/>
          <w:szCs w:val="18"/>
        </w:rPr>
        <w:footnoteRef/>
      </w:r>
      <w:r w:rsidRPr="00AB5327">
        <w:rPr>
          <w:rFonts w:cs="Arial"/>
          <w:sz w:val="18"/>
          <w:szCs w:val="18"/>
        </w:rPr>
        <w:t xml:space="preserve"> Centrelink provides social security payments and services in Australia.</w:t>
      </w:r>
    </w:p>
  </w:footnote>
  <w:footnote w:id="7">
    <w:p w14:paraId="7FA6B4F5" w14:textId="77777777" w:rsidR="00D64F00" w:rsidRPr="004B3AA4" w:rsidRDefault="00D64F00" w:rsidP="00D618E7">
      <w:pPr>
        <w:pStyle w:val="Footnote"/>
      </w:pPr>
      <w:r w:rsidRPr="004B3AA4">
        <w:rPr>
          <w:rStyle w:val="FootnoteReference"/>
          <w:rFonts w:cs="Arial"/>
        </w:rPr>
        <w:footnoteRef/>
      </w:r>
      <w:r w:rsidRPr="004B3AA4">
        <w:t xml:space="preserve"> The Australian Tertiary Admissions Rank (ATAR) is a number that represents a ranking of student achievement in their final years of school and is used by universities as a selection tool for admission to degrees.</w:t>
      </w:r>
    </w:p>
  </w:footnote>
  <w:footnote w:id="8">
    <w:p w14:paraId="697772F7" w14:textId="354041DA" w:rsidR="0045380C" w:rsidRDefault="0045380C">
      <w:pPr>
        <w:pStyle w:val="FootnoteText"/>
      </w:pPr>
      <w:r>
        <w:rPr>
          <w:rStyle w:val="FootnoteReference"/>
        </w:rPr>
        <w:footnoteRef/>
      </w:r>
      <w:r>
        <w:t xml:space="preserve"> </w:t>
      </w:r>
      <w:r w:rsidRPr="00F420AF">
        <w:rPr>
          <w:rFonts w:cs="Arial"/>
          <w:sz w:val="18"/>
          <w:szCs w:val="18"/>
        </w:rPr>
        <w:t xml:space="preserve">The full title of the study was </w:t>
      </w:r>
      <w:r w:rsidRPr="00F420AF">
        <w:rPr>
          <w:rFonts w:cs="Arial"/>
          <w:i/>
          <w:sz w:val="18"/>
          <w:szCs w:val="18"/>
        </w:rPr>
        <w:t>Locating Aspirations: Evidence to support participation in higher education of low SES students from regional and remote Australia</w:t>
      </w:r>
      <w:r w:rsidRPr="00F420AF">
        <w:rPr>
          <w:rFonts w:cs="Arial"/>
          <w:sz w:val="18"/>
          <w:szCs w:val="18"/>
        </w:rPr>
        <w:t>. The study was funded by the Australian Government Department of Education and Training Higher Education Participation and Partnerships Program within the National Priorities Pool scheme.</w:t>
      </w:r>
      <w:r w:rsidRPr="00AB5327">
        <w:rPr>
          <w:sz w:val="22"/>
          <w:szCs w:val="22"/>
        </w:rPr>
        <w:t xml:space="preserve">  </w:t>
      </w:r>
    </w:p>
  </w:footnote>
  <w:footnote w:id="9">
    <w:p w14:paraId="153DC4A1" w14:textId="5D2B47E7" w:rsidR="006B3389" w:rsidRPr="00891245" w:rsidRDefault="006B3389" w:rsidP="006B3389">
      <w:pPr>
        <w:pStyle w:val="FootnoteText"/>
        <w:rPr>
          <w:rFonts w:cs="Arial"/>
          <w:sz w:val="16"/>
          <w:szCs w:val="16"/>
        </w:rPr>
      </w:pPr>
      <w:r w:rsidRPr="00891245">
        <w:rPr>
          <w:rStyle w:val="FootnoteReference"/>
          <w:rFonts w:cs="Arial"/>
          <w:sz w:val="18"/>
          <w:szCs w:val="18"/>
        </w:rPr>
        <w:footnoteRef/>
      </w:r>
      <w:r w:rsidRPr="00891245">
        <w:rPr>
          <w:rFonts w:cs="Arial"/>
          <w:sz w:val="18"/>
          <w:szCs w:val="18"/>
        </w:rPr>
        <w:t xml:space="preserve"> ICSEA scores were categorised using cut-offs from the state tertile values.</w:t>
      </w:r>
    </w:p>
  </w:footnote>
  <w:footnote w:id="10">
    <w:p w14:paraId="2F5BC782" w14:textId="47B19FAF" w:rsidR="000F4166" w:rsidRPr="006425B6" w:rsidRDefault="000F4166">
      <w:pPr>
        <w:pStyle w:val="FootnoteText"/>
        <w:rPr>
          <w:sz w:val="18"/>
          <w:szCs w:val="18"/>
        </w:rPr>
      </w:pPr>
      <w:r w:rsidRPr="006425B6">
        <w:rPr>
          <w:rStyle w:val="FootnoteReference"/>
          <w:sz w:val="18"/>
          <w:szCs w:val="18"/>
        </w:rPr>
        <w:footnoteRef/>
      </w:r>
      <w:r w:rsidRPr="006425B6">
        <w:rPr>
          <w:sz w:val="18"/>
          <w:szCs w:val="18"/>
        </w:rPr>
        <w:t xml:space="preserve"> Students were able to </w:t>
      </w:r>
      <w:r w:rsidR="00BD674E" w:rsidRPr="006425B6">
        <w:rPr>
          <w:sz w:val="18"/>
          <w:szCs w:val="18"/>
        </w:rPr>
        <w:t>identify more than one career interest in the survey</w:t>
      </w:r>
    </w:p>
  </w:footnote>
  <w:footnote w:id="11">
    <w:p w14:paraId="1D624861" w14:textId="157E6793" w:rsidR="003338B4" w:rsidRPr="00ED67A1" w:rsidRDefault="003338B4" w:rsidP="003338B4">
      <w:pPr>
        <w:pStyle w:val="FootnoteText"/>
        <w:rPr>
          <w:rFonts w:cs="Arial"/>
        </w:rPr>
      </w:pPr>
      <w:r w:rsidRPr="00ED67A1">
        <w:rPr>
          <w:rStyle w:val="FootnoteReference"/>
          <w:rFonts w:cs="Arial"/>
          <w:sz w:val="18"/>
          <w:szCs w:val="18"/>
        </w:rPr>
        <w:footnoteRef/>
      </w:r>
      <w:r w:rsidRPr="00ED67A1">
        <w:rPr>
          <w:rFonts w:cs="Arial"/>
          <w:sz w:val="18"/>
          <w:szCs w:val="18"/>
        </w:rPr>
        <w:t xml:space="preserve"> SEA is derived from parental education, occupation</w:t>
      </w:r>
      <w:r w:rsidR="003223AD">
        <w:rPr>
          <w:rFonts w:cs="Arial"/>
          <w:sz w:val="18"/>
          <w:szCs w:val="18"/>
        </w:rPr>
        <w:t>,</w:t>
      </w:r>
      <w:r w:rsidRPr="00ED67A1">
        <w:rPr>
          <w:rFonts w:cs="Arial"/>
          <w:sz w:val="18"/>
          <w:szCs w:val="18"/>
        </w:rPr>
        <w:t xml:space="preserve"> and qualification variables</w:t>
      </w:r>
      <w:r w:rsidR="003223AD">
        <w:rPr>
          <w:rFonts w:cs="Arial"/>
          <w:sz w:val="18"/>
          <w:szCs w:val="18"/>
        </w:rPr>
        <w:t>.</w:t>
      </w:r>
      <w:r w:rsidRPr="00ED67A1">
        <w:rPr>
          <w:rFonts w:cs="Arial"/>
          <w:sz w:val="18"/>
          <w:szCs w:val="18"/>
        </w:rPr>
        <w:fldChar w:fldCharType="begin"/>
      </w:r>
      <w:r w:rsidRPr="00ED67A1">
        <w:rPr>
          <w:rFonts w:cs="Arial"/>
          <w:sz w:val="18"/>
          <w:szCs w:val="18"/>
        </w:rPr>
        <w:instrText xml:space="preserve"> ADDIN EN.CITE &lt;EndNote&gt;&lt;Cite&gt;&lt;Author&gt;ACARA&lt;/Author&gt;&lt;Year&gt;2013&lt;/Year&gt;&lt;RecNum&gt;4002&lt;/RecNum&gt;&lt;DisplayText&gt;ACARA. (2013). ICSEA 2013 Generation Report. https://docs.acara.edu.au/resources/ICSEA_2013_Generation_Report.pdf &lt;/DisplayText&gt;&lt;record&gt;&lt;rec-number&gt;4002&lt;/rec-number&gt;&lt;foreign-keys&gt;&lt;key app="EN" db-id="f2ftvv5v02e9v3e22psx2f91zs990eeafs5f" timestamp="1744565513" guid="f9b31590-b8a4-47ea-a9f6-a6e979784239"&gt;4002&lt;/key&gt;&lt;/foreign-keys&gt;&lt;ref-type name="Electronic Article"&gt;43&lt;/ref-type&gt;&lt;contributors&gt;&lt;authors&gt;&lt;author&gt;ACARA,&lt;/author&gt;&lt;/authors&gt;&lt;/contributors&gt;&lt;titles&gt;&lt;title&gt;ICSEA 2013 Generation Report&lt;/title&gt;&lt;/titles&gt;&lt;dates&gt;&lt;year&gt;2013&lt;/year&gt;&lt;/dates&gt;&lt;urls&gt;&lt;related-urls&gt;&lt;url&gt;https://docs.acara.edu.au/resources/ICSEA_2013_Generation_Report.pdf&lt;/url&gt;&lt;/related-urls&gt;&lt;/urls&gt;&lt;/record&gt;&lt;/Cite&gt;&lt;/EndNote&gt;</w:instrText>
      </w:r>
      <w:r w:rsidRPr="00ED67A1">
        <w:rPr>
          <w:rFonts w:cs="Arial"/>
          <w:sz w:val="18"/>
          <w:szCs w:val="18"/>
        </w:rPr>
        <w:fldChar w:fldCharType="separate"/>
      </w:r>
      <w:r w:rsidRPr="00ED67A1">
        <w:rPr>
          <w:rFonts w:cs="Arial"/>
          <w:sz w:val="18"/>
          <w:szCs w:val="18"/>
        </w:rPr>
        <w:fldChar w:fldCharType="end"/>
      </w:r>
    </w:p>
  </w:footnote>
  <w:footnote w:id="12">
    <w:p w14:paraId="2CF98DFD" w14:textId="6D953D32" w:rsidR="005B419D" w:rsidRPr="0022309A" w:rsidRDefault="005B419D" w:rsidP="00DA0A20">
      <w:pPr>
        <w:spacing w:after="0"/>
        <w:rPr>
          <w:sz w:val="18"/>
          <w:szCs w:val="18"/>
        </w:rPr>
      </w:pPr>
      <w:r w:rsidRPr="0022309A">
        <w:rPr>
          <w:rStyle w:val="FootnoteReference"/>
          <w:sz w:val="18"/>
          <w:szCs w:val="18"/>
        </w:rPr>
        <w:footnoteRef/>
      </w:r>
      <w:r w:rsidRPr="0022309A">
        <w:rPr>
          <w:sz w:val="18"/>
          <w:szCs w:val="18"/>
        </w:rPr>
        <w:t xml:space="preserve"> Category differences reflect updates to ABS industry classifications (ANZSIC) between 2011 and 2021.</w:t>
      </w:r>
    </w:p>
  </w:footnote>
  <w:footnote w:id="13">
    <w:p w14:paraId="79CAC699" w14:textId="381E3ECF" w:rsidR="00275388" w:rsidRPr="00F46888" w:rsidRDefault="00275388" w:rsidP="00275388">
      <w:pPr>
        <w:pStyle w:val="FootnoteText"/>
        <w:rPr>
          <w:rFonts w:cs="Arial"/>
        </w:rPr>
      </w:pPr>
      <w:r w:rsidRPr="00F46888">
        <w:rPr>
          <w:rStyle w:val="FootnoteReference"/>
          <w:rFonts w:cs="Arial"/>
          <w:sz w:val="18"/>
          <w:szCs w:val="18"/>
        </w:rPr>
        <w:footnoteRef/>
      </w:r>
      <w:r w:rsidRPr="00F46888">
        <w:rPr>
          <w:rFonts w:cs="Arial"/>
          <w:sz w:val="18"/>
          <w:szCs w:val="18"/>
        </w:rPr>
        <w:t xml:space="preserve"> FIFO: Fly-In, Fly-Out, refers to a work arrangement where employees are flown to remote job sites for a set period, known as a "swing" and then return home once their shift is complete. This system is widely used in industries such as mining, oil and gas, and construction, where projects are often situated in isolated or offshore locations (</w:t>
      </w:r>
      <w:hyperlink r:id="rId1" w:history="1">
        <w:r w:rsidR="0005673A" w:rsidRPr="0088310C">
          <w:rPr>
            <w:rStyle w:val="Hyperlink"/>
            <w:rFonts w:cs="Arial"/>
            <w:sz w:val="18"/>
            <w:szCs w:val="18"/>
          </w:rPr>
          <w:t>https://www.bravusmining.com.au/what-is-fifo-work-in-australia/</w:t>
        </w:r>
      </w:hyperlink>
      <w:r w:rsidRPr="00F46888">
        <w:rPr>
          <w:rFonts w:cs="Arial"/>
          <w:sz w:val="18"/>
          <w:szCs w:val="18"/>
        </w:rPr>
        <w:t>)</w:t>
      </w:r>
    </w:p>
  </w:footnote>
  <w:footnote w:id="14">
    <w:p w14:paraId="0B143A5E" w14:textId="3F3C6551" w:rsidR="007D0DEE" w:rsidRPr="0022309A" w:rsidRDefault="007D0DEE">
      <w:pPr>
        <w:pStyle w:val="FootnoteText"/>
        <w:rPr>
          <w:sz w:val="18"/>
          <w:szCs w:val="18"/>
        </w:rPr>
      </w:pPr>
      <w:r w:rsidRPr="0022309A">
        <w:rPr>
          <w:rStyle w:val="FootnoteReference"/>
          <w:sz w:val="18"/>
          <w:szCs w:val="18"/>
        </w:rPr>
        <w:footnoteRef/>
      </w:r>
      <w:r w:rsidRPr="0022309A">
        <w:rPr>
          <w:sz w:val="18"/>
          <w:szCs w:val="18"/>
        </w:rPr>
        <w:t xml:space="preserve"> Category differences reflect updates to ABS industry classifications (ANZSIC) between 2011 and 2021.</w:t>
      </w:r>
    </w:p>
  </w:footnote>
  <w:footnote w:id="15">
    <w:p w14:paraId="4EFC4044" w14:textId="499D2062" w:rsidR="00615295" w:rsidRPr="00B17924" w:rsidRDefault="00615295" w:rsidP="00615295">
      <w:pPr>
        <w:pStyle w:val="FootnoteText"/>
        <w:rPr>
          <w:rFonts w:cs="Arial"/>
          <w:sz w:val="18"/>
          <w:szCs w:val="18"/>
        </w:rPr>
      </w:pPr>
      <w:r w:rsidRPr="00B17924">
        <w:rPr>
          <w:rStyle w:val="FootnoteReference"/>
          <w:rFonts w:cs="Arial"/>
          <w:sz w:val="18"/>
          <w:szCs w:val="18"/>
        </w:rPr>
        <w:footnoteRef/>
      </w:r>
      <w:r w:rsidRPr="00B17924">
        <w:rPr>
          <w:rFonts w:cs="Arial"/>
          <w:sz w:val="18"/>
          <w:szCs w:val="18"/>
        </w:rPr>
        <w:t xml:space="preserve"> </w:t>
      </w:r>
      <w:r w:rsidR="008B4F4F" w:rsidRPr="00B17924">
        <w:rPr>
          <w:rFonts w:cs="Arial"/>
          <w:sz w:val="18"/>
          <w:szCs w:val="18"/>
        </w:rPr>
        <w:t>An Australian slang term referring to</w:t>
      </w:r>
      <w:r w:rsidRPr="00B17924">
        <w:rPr>
          <w:rFonts w:cs="Arial"/>
          <w:sz w:val="18"/>
          <w:szCs w:val="18"/>
        </w:rPr>
        <w:t xml:space="preserve"> a vagrant, </w:t>
      </w:r>
      <w:r w:rsidR="009C7917">
        <w:rPr>
          <w:rFonts w:cs="Arial"/>
          <w:sz w:val="18"/>
          <w:szCs w:val="18"/>
        </w:rPr>
        <w:t xml:space="preserve">one who is </w:t>
      </w:r>
      <w:r w:rsidR="001973CC">
        <w:rPr>
          <w:rFonts w:cs="Arial"/>
          <w:sz w:val="18"/>
          <w:szCs w:val="18"/>
        </w:rPr>
        <w:t>“</w:t>
      </w:r>
      <w:r w:rsidR="009C7917">
        <w:rPr>
          <w:rFonts w:cs="Arial"/>
          <w:sz w:val="18"/>
          <w:szCs w:val="18"/>
        </w:rPr>
        <w:t>derelict</w:t>
      </w:r>
      <w:r w:rsidR="001973CC">
        <w:rPr>
          <w:rFonts w:cs="Arial"/>
          <w:sz w:val="18"/>
          <w:szCs w:val="18"/>
        </w:rPr>
        <w:t>”</w:t>
      </w:r>
      <w:r w:rsidRPr="00B17924">
        <w:rPr>
          <w:rFonts w:cs="Arial"/>
          <w:sz w:val="18"/>
          <w:szCs w:val="18"/>
        </w:rPr>
        <w:t>, especially one who is dependent on alcohol.</w:t>
      </w:r>
    </w:p>
    <w:p w14:paraId="3E3A5BED" w14:textId="77777777" w:rsidR="00615295" w:rsidRDefault="00615295" w:rsidP="006152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0D"/>
    <w:multiLevelType w:val="hybridMultilevel"/>
    <w:tmpl w:val="0D385820"/>
    <w:lvl w:ilvl="0" w:tplc="1F9CF7A4">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E07F2"/>
    <w:multiLevelType w:val="hybridMultilevel"/>
    <w:tmpl w:val="1C54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17A29"/>
    <w:multiLevelType w:val="multilevel"/>
    <w:tmpl w:val="B3D4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953C0"/>
    <w:multiLevelType w:val="hybridMultilevel"/>
    <w:tmpl w:val="5EE4B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2E17E3"/>
    <w:multiLevelType w:val="hybridMultilevel"/>
    <w:tmpl w:val="4A922ABE"/>
    <w:lvl w:ilvl="0" w:tplc="9808FCE0">
      <w:numFmt w:val="bullet"/>
      <w:lvlText w:val=""/>
      <w:lvlJc w:val="left"/>
      <w:pPr>
        <w:ind w:left="720" w:hanging="360"/>
      </w:pPr>
      <w:rPr>
        <w:rFonts w:ascii="Inter Light" w:eastAsia="Times New Roman" w:hAnsi="Inter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7669C"/>
    <w:multiLevelType w:val="hybridMultilevel"/>
    <w:tmpl w:val="6ED43F2E"/>
    <w:lvl w:ilvl="0" w:tplc="9808FCE0">
      <w:numFmt w:val="bullet"/>
      <w:lvlText w:val=""/>
      <w:lvlJc w:val="left"/>
      <w:pPr>
        <w:ind w:left="1080" w:hanging="360"/>
      </w:pPr>
      <w:rPr>
        <w:rFonts w:ascii="Inter Light" w:eastAsia="Times New Roman" w:hAnsi="Inter 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3584906"/>
    <w:multiLevelType w:val="hybridMultilevel"/>
    <w:tmpl w:val="48043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F4DB9"/>
    <w:multiLevelType w:val="hybridMultilevel"/>
    <w:tmpl w:val="F174A9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D9F1BD5"/>
    <w:multiLevelType w:val="multilevel"/>
    <w:tmpl w:val="E8105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51311"/>
    <w:multiLevelType w:val="hybridMultilevel"/>
    <w:tmpl w:val="594A0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A40AA"/>
    <w:multiLevelType w:val="hybridMultilevel"/>
    <w:tmpl w:val="FBE4E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06747"/>
    <w:multiLevelType w:val="hybridMultilevel"/>
    <w:tmpl w:val="DACA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6F23AB"/>
    <w:multiLevelType w:val="multilevel"/>
    <w:tmpl w:val="0E842DE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9C0141"/>
    <w:multiLevelType w:val="multilevel"/>
    <w:tmpl w:val="294A546E"/>
    <w:lvl w:ilvl="0">
      <w:start w:val="2"/>
      <w:numFmt w:val="decimal"/>
      <w:lvlText w:val="%1."/>
      <w:lvlJc w:val="left"/>
      <w:pPr>
        <w:tabs>
          <w:tab w:val="num" w:pos="720"/>
        </w:tabs>
        <w:ind w:left="720" w:hanging="360"/>
      </w:pPr>
    </w:lvl>
    <w:lvl w:ilvl="1">
      <w:numFmt w:val="bullet"/>
      <w:lvlText w:val=""/>
      <w:lvlJc w:val="left"/>
      <w:pPr>
        <w:ind w:left="1440" w:hanging="360"/>
      </w:pPr>
      <w:rPr>
        <w:rFonts w:ascii="Inter Light" w:eastAsia="Times New Roman" w:hAnsi="Inter Light"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16925"/>
    <w:multiLevelType w:val="hybridMultilevel"/>
    <w:tmpl w:val="083A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6173A8"/>
    <w:multiLevelType w:val="hybridMultilevel"/>
    <w:tmpl w:val="84820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4B4"/>
    <w:multiLevelType w:val="hybridMultilevel"/>
    <w:tmpl w:val="1694A0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EA7322"/>
    <w:multiLevelType w:val="multilevel"/>
    <w:tmpl w:val="7C0E9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C40A6B"/>
    <w:multiLevelType w:val="hybridMultilevel"/>
    <w:tmpl w:val="DC680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D21AF1"/>
    <w:multiLevelType w:val="hybridMultilevel"/>
    <w:tmpl w:val="3FFC31AC"/>
    <w:lvl w:ilvl="0" w:tplc="C4E040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F950FA"/>
    <w:multiLevelType w:val="multilevel"/>
    <w:tmpl w:val="7B7C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34CBA"/>
    <w:multiLevelType w:val="multilevel"/>
    <w:tmpl w:val="20FA77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D40AD1"/>
    <w:multiLevelType w:val="multilevel"/>
    <w:tmpl w:val="4A5CFE6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43715EB"/>
    <w:multiLevelType w:val="multilevel"/>
    <w:tmpl w:val="3D0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C2CA1"/>
    <w:multiLevelType w:val="multilevel"/>
    <w:tmpl w:val="CEF64B56"/>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3A71D5"/>
    <w:multiLevelType w:val="hybridMultilevel"/>
    <w:tmpl w:val="7F7AF0C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470DF3"/>
    <w:multiLevelType w:val="hybridMultilevel"/>
    <w:tmpl w:val="90DE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8F2BEE"/>
    <w:multiLevelType w:val="hybridMultilevel"/>
    <w:tmpl w:val="4750144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F574FC"/>
    <w:multiLevelType w:val="multilevel"/>
    <w:tmpl w:val="6848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B87CB9"/>
    <w:multiLevelType w:val="hybridMultilevel"/>
    <w:tmpl w:val="E9BA413A"/>
    <w:lvl w:ilvl="0" w:tplc="9808FCE0">
      <w:numFmt w:val="bullet"/>
      <w:lvlText w:val=""/>
      <w:lvlJc w:val="left"/>
      <w:pPr>
        <w:ind w:left="720" w:hanging="360"/>
      </w:pPr>
      <w:rPr>
        <w:rFonts w:ascii="Inter Light" w:eastAsia="Times New Roman" w:hAnsi="Inter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F5268F"/>
    <w:multiLevelType w:val="hybridMultilevel"/>
    <w:tmpl w:val="8E0259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E46C66"/>
    <w:multiLevelType w:val="multilevel"/>
    <w:tmpl w:val="9CC01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9045F9"/>
    <w:multiLevelType w:val="hybridMultilevel"/>
    <w:tmpl w:val="024C639E"/>
    <w:lvl w:ilvl="0" w:tplc="0FF44F86">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E502A3D"/>
    <w:multiLevelType w:val="hybridMultilevel"/>
    <w:tmpl w:val="DBE0DC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6818995">
    <w:abstractNumId w:val="12"/>
  </w:num>
  <w:num w:numId="2" w16cid:durableId="2019577000">
    <w:abstractNumId w:val="12"/>
  </w:num>
  <w:num w:numId="3" w16cid:durableId="1679231932">
    <w:abstractNumId w:val="12"/>
  </w:num>
  <w:num w:numId="4" w16cid:durableId="1118719434">
    <w:abstractNumId w:val="12"/>
  </w:num>
  <w:num w:numId="5" w16cid:durableId="1094285619">
    <w:abstractNumId w:val="12"/>
  </w:num>
  <w:num w:numId="6" w16cid:durableId="2005279948">
    <w:abstractNumId w:val="12"/>
  </w:num>
  <w:num w:numId="7" w16cid:durableId="1102409569">
    <w:abstractNumId w:val="12"/>
  </w:num>
  <w:num w:numId="8" w16cid:durableId="682828340">
    <w:abstractNumId w:val="12"/>
  </w:num>
  <w:num w:numId="9" w16cid:durableId="143091166">
    <w:abstractNumId w:val="12"/>
  </w:num>
  <w:num w:numId="10" w16cid:durableId="1429109473">
    <w:abstractNumId w:val="32"/>
  </w:num>
  <w:num w:numId="11" w16cid:durableId="1153133941">
    <w:abstractNumId w:val="27"/>
  </w:num>
  <w:num w:numId="12" w16cid:durableId="1693603539">
    <w:abstractNumId w:val="24"/>
  </w:num>
  <w:num w:numId="13" w16cid:durableId="133181503">
    <w:abstractNumId w:val="12"/>
  </w:num>
  <w:num w:numId="14" w16cid:durableId="39017471">
    <w:abstractNumId w:val="12"/>
  </w:num>
  <w:num w:numId="15" w16cid:durableId="26638077">
    <w:abstractNumId w:val="12"/>
  </w:num>
  <w:num w:numId="16" w16cid:durableId="1965035220">
    <w:abstractNumId w:val="12"/>
  </w:num>
  <w:num w:numId="17" w16cid:durableId="1335916213">
    <w:abstractNumId w:val="12"/>
  </w:num>
  <w:num w:numId="18" w16cid:durableId="299649766">
    <w:abstractNumId w:val="12"/>
  </w:num>
  <w:num w:numId="19" w16cid:durableId="1521237232">
    <w:abstractNumId w:val="12"/>
  </w:num>
  <w:num w:numId="20" w16cid:durableId="172569004">
    <w:abstractNumId w:val="12"/>
  </w:num>
  <w:num w:numId="21" w16cid:durableId="601109960">
    <w:abstractNumId w:val="12"/>
  </w:num>
  <w:num w:numId="22" w16cid:durableId="1158837203">
    <w:abstractNumId w:val="32"/>
  </w:num>
  <w:num w:numId="23" w16cid:durableId="1263103749">
    <w:abstractNumId w:val="22"/>
  </w:num>
  <w:num w:numId="24" w16cid:durableId="838931287">
    <w:abstractNumId w:val="28"/>
  </w:num>
  <w:num w:numId="25" w16cid:durableId="601492549">
    <w:abstractNumId w:val="20"/>
  </w:num>
  <w:num w:numId="26" w16cid:durableId="909460984">
    <w:abstractNumId w:val="2"/>
  </w:num>
  <w:num w:numId="27" w16cid:durableId="847132196">
    <w:abstractNumId w:val="31"/>
  </w:num>
  <w:num w:numId="28" w16cid:durableId="133572789">
    <w:abstractNumId w:val="17"/>
  </w:num>
  <w:num w:numId="29" w16cid:durableId="1173570911">
    <w:abstractNumId w:val="13"/>
  </w:num>
  <w:num w:numId="30" w16cid:durableId="976180671">
    <w:abstractNumId w:val="8"/>
  </w:num>
  <w:num w:numId="31" w16cid:durableId="335692408">
    <w:abstractNumId w:val="16"/>
  </w:num>
  <w:num w:numId="32" w16cid:durableId="1289045250">
    <w:abstractNumId w:val="7"/>
  </w:num>
  <w:num w:numId="33" w16cid:durableId="1248731415">
    <w:abstractNumId w:val="11"/>
  </w:num>
  <w:num w:numId="34" w16cid:durableId="1576430941">
    <w:abstractNumId w:val="29"/>
  </w:num>
  <w:num w:numId="35" w16cid:durableId="1953515971">
    <w:abstractNumId w:val="5"/>
  </w:num>
  <w:num w:numId="36" w16cid:durableId="888416110">
    <w:abstractNumId w:val="26"/>
  </w:num>
  <w:num w:numId="37" w16cid:durableId="1567258333">
    <w:abstractNumId w:val="15"/>
  </w:num>
  <w:num w:numId="38" w16cid:durableId="915748381">
    <w:abstractNumId w:val="4"/>
  </w:num>
  <w:num w:numId="39" w16cid:durableId="1704669785">
    <w:abstractNumId w:val="30"/>
  </w:num>
  <w:num w:numId="40" w16cid:durableId="1090274474">
    <w:abstractNumId w:val="33"/>
  </w:num>
  <w:num w:numId="41" w16cid:durableId="1413114693">
    <w:abstractNumId w:val="3"/>
  </w:num>
  <w:num w:numId="42" w16cid:durableId="1788348186">
    <w:abstractNumId w:val="9"/>
  </w:num>
  <w:num w:numId="43" w16cid:durableId="1357266481">
    <w:abstractNumId w:val="21"/>
  </w:num>
  <w:num w:numId="44" w16cid:durableId="1326125681">
    <w:abstractNumId w:val="19"/>
  </w:num>
  <w:num w:numId="45" w16cid:durableId="564805033">
    <w:abstractNumId w:val="14"/>
  </w:num>
  <w:num w:numId="46" w16cid:durableId="828792872">
    <w:abstractNumId w:val="23"/>
  </w:num>
  <w:num w:numId="47" w16cid:durableId="446236804">
    <w:abstractNumId w:val="25"/>
  </w:num>
  <w:num w:numId="48" w16cid:durableId="1636256365">
    <w:abstractNumId w:val="0"/>
  </w:num>
  <w:num w:numId="49" w16cid:durableId="882516704">
    <w:abstractNumId w:val="10"/>
  </w:num>
  <w:num w:numId="50" w16cid:durableId="1527212439">
    <w:abstractNumId w:val="6"/>
  </w:num>
  <w:num w:numId="51" w16cid:durableId="2036344373">
    <w:abstractNumId w:val="1"/>
  </w:num>
  <w:num w:numId="52" w16cid:durableId="691341086">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2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ftvv5v02e9v3e22psx2f91zs990eeafs5f&quot;&gt;My EndNote Library&lt;record-ids&gt;&lt;item&gt;270&lt;/item&gt;&lt;item&gt;315&lt;/item&gt;&lt;item&gt;372&lt;/item&gt;&lt;item&gt;605&lt;/item&gt;&lt;item&gt;848&lt;/item&gt;&lt;item&gt;961&lt;/item&gt;&lt;item&gt;1140&lt;/item&gt;&lt;item&gt;1186&lt;/item&gt;&lt;item&gt;1383&lt;/item&gt;&lt;item&gt;1607&lt;/item&gt;&lt;item&gt;1679&lt;/item&gt;&lt;item&gt;1925&lt;/item&gt;&lt;item&gt;3850&lt;/item&gt;&lt;item&gt;3856&lt;/item&gt;&lt;item&gt;3987&lt;/item&gt;&lt;item&gt;3993&lt;/item&gt;&lt;item&gt;3994&lt;/item&gt;&lt;item&gt;3995&lt;/item&gt;&lt;item&gt;3996&lt;/item&gt;&lt;item&gt;3997&lt;/item&gt;&lt;item&gt;3998&lt;/item&gt;&lt;item&gt;3999&lt;/item&gt;&lt;item&gt;4000&lt;/item&gt;&lt;item&gt;4001&lt;/item&gt;&lt;item&gt;4002&lt;/item&gt;&lt;item&gt;4011&lt;/item&gt;&lt;item&gt;4012&lt;/item&gt;&lt;item&gt;4013&lt;/item&gt;&lt;item&gt;4014&lt;/item&gt;&lt;item&gt;4015&lt;/item&gt;&lt;item&gt;4016&lt;/item&gt;&lt;item&gt;4017&lt;/item&gt;&lt;item&gt;4018&lt;/item&gt;&lt;item&gt;4019&lt;/item&gt;&lt;item&gt;4021&lt;/item&gt;&lt;item&gt;4024&lt;/item&gt;&lt;item&gt;4025&lt;/item&gt;&lt;item&gt;4026&lt;/item&gt;&lt;item&gt;4027&lt;/item&gt;&lt;item&gt;4031&lt;/item&gt;&lt;item&gt;4032&lt;/item&gt;&lt;item&gt;4033&lt;/item&gt;&lt;item&gt;4034&lt;/item&gt;&lt;item&gt;4035&lt;/item&gt;&lt;item&gt;4036&lt;/item&gt;&lt;item&gt;4037&lt;/item&gt;&lt;item&gt;4044&lt;/item&gt;&lt;item&gt;4050&lt;/item&gt;&lt;item&gt;4051&lt;/item&gt;&lt;item&gt;4052&lt;/item&gt;&lt;item&gt;4058&lt;/item&gt;&lt;item&gt;4062&lt;/item&gt;&lt;item&gt;4075&lt;/item&gt;&lt;item&gt;4093&lt;/item&gt;&lt;item&gt;4116&lt;/item&gt;&lt;item&gt;4135&lt;/item&gt;&lt;item&gt;4153&lt;/item&gt;&lt;/record-ids&gt;&lt;/item&gt;&lt;/Libraries&gt;"/>
  </w:docVars>
  <w:rsids>
    <w:rsidRoot w:val="00367F0B"/>
    <w:rsid w:val="0000000A"/>
    <w:rsid w:val="00000212"/>
    <w:rsid w:val="00000463"/>
    <w:rsid w:val="0000049B"/>
    <w:rsid w:val="0000199D"/>
    <w:rsid w:val="00001E88"/>
    <w:rsid w:val="000028F7"/>
    <w:rsid w:val="00002C5C"/>
    <w:rsid w:val="00002F48"/>
    <w:rsid w:val="00002F72"/>
    <w:rsid w:val="0000303B"/>
    <w:rsid w:val="0000308F"/>
    <w:rsid w:val="00003561"/>
    <w:rsid w:val="000036BD"/>
    <w:rsid w:val="00003C9C"/>
    <w:rsid w:val="00003CEF"/>
    <w:rsid w:val="00004809"/>
    <w:rsid w:val="00006AE5"/>
    <w:rsid w:val="00006BC1"/>
    <w:rsid w:val="00006D85"/>
    <w:rsid w:val="00007656"/>
    <w:rsid w:val="00007FC8"/>
    <w:rsid w:val="000100B6"/>
    <w:rsid w:val="00010751"/>
    <w:rsid w:val="00010A66"/>
    <w:rsid w:val="00010D80"/>
    <w:rsid w:val="00011576"/>
    <w:rsid w:val="00011C05"/>
    <w:rsid w:val="00012436"/>
    <w:rsid w:val="00012718"/>
    <w:rsid w:val="00013C8C"/>
    <w:rsid w:val="00014C82"/>
    <w:rsid w:val="00014E8E"/>
    <w:rsid w:val="000151C8"/>
    <w:rsid w:val="00015318"/>
    <w:rsid w:val="00016F70"/>
    <w:rsid w:val="00017898"/>
    <w:rsid w:val="0002017D"/>
    <w:rsid w:val="00020335"/>
    <w:rsid w:val="000205B9"/>
    <w:rsid w:val="00020C46"/>
    <w:rsid w:val="000210C3"/>
    <w:rsid w:val="00021172"/>
    <w:rsid w:val="0002179F"/>
    <w:rsid w:val="0002181C"/>
    <w:rsid w:val="0002221D"/>
    <w:rsid w:val="00022C55"/>
    <w:rsid w:val="00023B02"/>
    <w:rsid w:val="00024971"/>
    <w:rsid w:val="00024B64"/>
    <w:rsid w:val="00025B1B"/>
    <w:rsid w:val="00025ECF"/>
    <w:rsid w:val="000269D2"/>
    <w:rsid w:val="0002711C"/>
    <w:rsid w:val="000313F6"/>
    <w:rsid w:val="00031544"/>
    <w:rsid w:val="00031551"/>
    <w:rsid w:val="00031943"/>
    <w:rsid w:val="00032045"/>
    <w:rsid w:val="000320C8"/>
    <w:rsid w:val="00032C31"/>
    <w:rsid w:val="000331D1"/>
    <w:rsid w:val="000335A1"/>
    <w:rsid w:val="00033E48"/>
    <w:rsid w:val="000344D7"/>
    <w:rsid w:val="00034CE2"/>
    <w:rsid w:val="0003504C"/>
    <w:rsid w:val="000350A0"/>
    <w:rsid w:val="000352AA"/>
    <w:rsid w:val="000355D3"/>
    <w:rsid w:val="00035996"/>
    <w:rsid w:val="00036713"/>
    <w:rsid w:val="000367CA"/>
    <w:rsid w:val="00036990"/>
    <w:rsid w:val="0003732C"/>
    <w:rsid w:val="0003758D"/>
    <w:rsid w:val="00037C2B"/>
    <w:rsid w:val="00041023"/>
    <w:rsid w:val="0004178E"/>
    <w:rsid w:val="00041E3B"/>
    <w:rsid w:val="00041EB9"/>
    <w:rsid w:val="00042DC5"/>
    <w:rsid w:val="00043EAE"/>
    <w:rsid w:val="00043ED2"/>
    <w:rsid w:val="00043F75"/>
    <w:rsid w:val="00044841"/>
    <w:rsid w:val="000459AB"/>
    <w:rsid w:val="00045DB1"/>
    <w:rsid w:val="0004624F"/>
    <w:rsid w:val="00046C2B"/>
    <w:rsid w:val="000474B0"/>
    <w:rsid w:val="000477A0"/>
    <w:rsid w:val="00047FC7"/>
    <w:rsid w:val="00050B6D"/>
    <w:rsid w:val="0005166C"/>
    <w:rsid w:val="00051B21"/>
    <w:rsid w:val="0005296A"/>
    <w:rsid w:val="00053511"/>
    <w:rsid w:val="000539A9"/>
    <w:rsid w:val="00054A67"/>
    <w:rsid w:val="00054F83"/>
    <w:rsid w:val="00055733"/>
    <w:rsid w:val="000563D6"/>
    <w:rsid w:val="0005673A"/>
    <w:rsid w:val="000569C0"/>
    <w:rsid w:val="00056BD0"/>
    <w:rsid w:val="00060CBC"/>
    <w:rsid w:val="0006147B"/>
    <w:rsid w:val="00061493"/>
    <w:rsid w:val="00061E77"/>
    <w:rsid w:val="000626F1"/>
    <w:rsid w:val="000636DB"/>
    <w:rsid w:val="00063B7E"/>
    <w:rsid w:val="00065295"/>
    <w:rsid w:val="00066765"/>
    <w:rsid w:val="00070F2F"/>
    <w:rsid w:val="0007126F"/>
    <w:rsid w:val="00071691"/>
    <w:rsid w:val="000716D8"/>
    <w:rsid w:val="000721C0"/>
    <w:rsid w:val="00072457"/>
    <w:rsid w:val="00073546"/>
    <w:rsid w:val="000738BE"/>
    <w:rsid w:val="00073D87"/>
    <w:rsid w:val="00074DEE"/>
    <w:rsid w:val="00075005"/>
    <w:rsid w:val="000752C0"/>
    <w:rsid w:val="00075A7F"/>
    <w:rsid w:val="00075F00"/>
    <w:rsid w:val="0007639E"/>
    <w:rsid w:val="000764AC"/>
    <w:rsid w:val="000767B9"/>
    <w:rsid w:val="00077CA7"/>
    <w:rsid w:val="0008041E"/>
    <w:rsid w:val="0008079D"/>
    <w:rsid w:val="000811A7"/>
    <w:rsid w:val="00081498"/>
    <w:rsid w:val="00081759"/>
    <w:rsid w:val="000818AD"/>
    <w:rsid w:val="00081F26"/>
    <w:rsid w:val="000822B1"/>
    <w:rsid w:val="0008238B"/>
    <w:rsid w:val="00082988"/>
    <w:rsid w:val="00082C65"/>
    <w:rsid w:val="0008362B"/>
    <w:rsid w:val="0008369F"/>
    <w:rsid w:val="00083BDC"/>
    <w:rsid w:val="00083D89"/>
    <w:rsid w:val="00083E90"/>
    <w:rsid w:val="00084CC2"/>
    <w:rsid w:val="000851B4"/>
    <w:rsid w:val="00085B36"/>
    <w:rsid w:val="00085E1D"/>
    <w:rsid w:val="00085F78"/>
    <w:rsid w:val="0008644E"/>
    <w:rsid w:val="0008730B"/>
    <w:rsid w:val="000875B5"/>
    <w:rsid w:val="000877ED"/>
    <w:rsid w:val="00087D45"/>
    <w:rsid w:val="00087F4C"/>
    <w:rsid w:val="0009048C"/>
    <w:rsid w:val="00090A65"/>
    <w:rsid w:val="00090F6F"/>
    <w:rsid w:val="00091CF2"/>
    <w:rsid w:val="00091F51"/>
    <w:rsid w:val="000920DC"/>
    <w:rsid w:val="0009230F"/>
    <w:rsid w:val="000925E8"/>
    <w:rsid w:val="0009279B"/>
    <w:rsid w:val="00093BF9"/>
    <w:rsid w:val="00095261"/>
    <w:rsid w:val="0009527D"/>
    <w:rsid w:val="000958B2"/>
    <w:rsid w:val="00096312"/>
    <w:rsid w:val="0009691C"/>
    <w:rsid w:val="00096DB3"/>
    <w:rsid w:val="00096F96"/>
    <w:rsid w:val="00096FF1"/>
    <w:rsid w:val="00097952"/>
    <w:rsid w:val="00097A30"/>
    <w:rsid w:val="00097EC0"/>
    <w:rsid w:val="000A0228"/>
    <w:rsid w:val="000A0C78"/>
    <w:rsid w:val="000A12A7"/>
    <w:rsid w:val="000A1CD0"/>
    <w:rsid w:val="000A207C"/>
    <w:rsid w:val="000A2CF6"/>
    <w:rsid w:val="000A2DD6"/>
    <w:rsid w:val="000A3DF2"/>
    <w:rsid w:val="000A41CC"/>
    <w:rsid w:val="000A5435"/>
    <w:rsid w:val="000A5D2D"/>
    <w:rsid w:val="000A68C5"/>
    <w:rsid w:val="000A6A67"/>
    <w:rsid w:val="000A7CD3"/>
    <w:rsid w:val="000B02AC"/>
    <w:rsid w:val="000B046D"/>
    <w:rsid w:val="000B06DB"/>
    <w:rsid w:val="000B1579"/>
    <w:rsid w:val="000B2206"/>
    <w:rsid w:val="000B2387"/>
    <w:rsid w:val="000B2DCC"/>
    <w:rsid w:val="000B314C"/>
    <w:rsid w:val="000B49ED"/>
    <w:rsid w:val="000B50A9"/>
    <w:rsid w:val="000B5395"/>
    <w:rsid w:val="000B5698"/>
    <w:rsid w:val="000B573A"/>
    <w:rsid w:val="000B7078"/>
    <w:rsid w:val="000B7AC1"/>
    <w:rsid w:val="000B7B55"/>
    <w:rsid w:val="000C0130"/>
    <w:rsid w:val="000C10B4"/>
    <w:rsid w:val="000C1AAD"/>
    <w:rsid w:val="000C1AFF"/>
    <w:rsid w:val="000C2720"/>
    <w:rsid w:val="000C2D1E"/>
    <w:rsid w:val="000C2F2F"/>
    <w:rsid w:val="000C3D43"/>
    <w:rsid w:val="000C4658"/>
    <w:rsid w:val="000C4D0F"/>
    <w:rsid w:val="000C527B"/>
    <w:rsid w:val="000C5FCD"/>
    <w:rsid w:val="000C6A41"/>
    <w:rsid w:val="000C6F67"/>
    <w:rsid w:val="000C7E8F"/>
    <w:rsid w:val="000D00FE"/>
    <w:rsid w:val="000D1208"/>
    <w:rsid w:val="000D17BD"/>
    <w:rsid w:val="000D1A40"/>
    <w:rsid w:val="000D1C43"/>
    <w:rsid w:val="000D1FEF"/>
    <w:rsid w:val="000D25D4"/>
    <w:rsid w:val="000D3349"/>
    <w:rsid w:val="000D3A1C"/>
    <w:rsid w:val="000D4680"/>
    <w:rsid w:val="000D47EA"/>
    <w:rsid w:val="000D527D"/>
    <w:rsid w:val="000D55DD"/>
    <w:rsid w:val="000D5D6D"/>
    <w:rsid w:val="000D6430"/>
    <w:rsid w:val="000D6A47"/>
    <w:rsid w:val="000D6D1A"/>
    <w:rsid w:val="000D6F16"/>
    <w:rsid w:val="000D75C9"/>
    <w:rsid w:val="000D7A82"/>
    <w:rsid w:val="000E0067"/>
    <w:rsid w:val="000E0CE1"/>
    <w:rsid w:val="000E0DEE"/>
    <w:rsid w:val="000E133E"/>
    <w:rsid w:val="000E1992"/>
    <w:rsid w:val="000E1FE8"/>
    <w:rsid w:val="000E288A"/>
    <w:rsid w:val="000E2894"/>
    <w:rsid w:val="000E317F"/>
    <w:rsid w:val="000E4A28"/>
    <w:rsid w:val="000E55DF"/>
    <w:rsid w:val="000E5DA2"/>
    <w:rsid w:val="000E5EE3"/>
    <w:rsid w:val="000E5F09"/>
    <w:rsid w:val="000E708D"/>
    <w:rsid w:val="000F03C8"/>
    <w:rsid w:val="000F07BB"/>
    <w:rsid w:val="000F0880"/>
    <w:rsid w:val="000F0ABA"/>
    <w:rsid w:val="000F124B"/>
    <w:rsid w:val="000F177A"/>
    <w:rsid w:val="000F2210"/>
    <w:rsid w:val="000F2413"/>
    <w:rsid w:val="000F3053"/>
    <w:rsid w:val="000F3489"/>
    <w:rsid w:val="000F3633"/>
    <w:rsid w:val="000F383D"/>
    <w:rsid w:val="000F391F"/>
    <w:rsid w:val="000F3C02"/>
    <w:rsid w:val="000F4166"/>
    <w:rsid w:val="000F457F"/>
    <w:rsid w:val="000F47A2"/>
    <w:rsid w:val="000F6126"/>
    <w:rsid w:val="000F61A2"/>
    <w:rsid w:val="000F6650"/>
    <w:rsid w:val="000F6BB5"/>
    <w:rsid w:val="000F6DA5"/>
    <w:rsid w:val="000F7301"/>
    <w:rsid w:val="000F78DE"/>
    <w:rsid w:val="000F7FA0"/>
    <w:rsid w:val="001005F2"/>
    <w:rsid w:val="00100ECC"/>
    <w:rsid w:val="00101595"/>
    <w:rsid w:val="001017D7"/>
    <w:rsid w:val="0010194C"/>
    <w:rsid w:val="00102384"/>
    <w:rsid w:val="00103CED"/>
    <w:rsid w:val="0010408E"/>
    <w:rsid w:val="001058BE"/>
    <w:rsid w:val="0010611A"/>
    <w:rsid w:val="00106A71"/>
    <w:rsid w:val="00107593"/>
    <w:rsid w:val="00107E7D"/>
    <w:rsid w:val="00110125"/>
    <w:rsid w:val="0011033C"/>
    <w:rsid w:val="0011057E"/>
    <w:rsid w:val="0011075A"/>
    <w:rsid w:val="0011081A"/>
    <w:rsid w:val="0011198B"/>
    <w:rsid w:val="00111D45"/>
    <w:rsid w:val="0011210D"/>
    <w:rsid w:val="00112E0A"/>
    <w:rsid w:val="00114D3C"/>
    <w:rsid w:val="00114D57"/>
    <w:rsid w:val="00114D91"/>
    <w:rsid w:val="00114DBD"/>
    <w:rsid w:val="00114E09"/>
    <w:rsid w:val="00115953"/>
    <w:rsid w:val="00115F42"/>
    <w:rsid w:val="00117040"/>
    <w:rsid w:val="00117565"/>
    <w:rsid w:val="0011788C"/>
    <w:rsid w:val="001205C5"/>
    <w:rsid w:val="001208B9"/>
    <w:rsid w:val="00120B89"/>
    <w:rsid w:val="00120E69"/>
    <w:rsid w:val="00120F4B"/>
    <w:rsid w:val="00122F1D"/>
    <w:rsid w:val="0012321D"/>
    <w:rsid w:val="001233DD"/>
    <w:rsid w:val="001235FF"/>
    <w:rsid w:val="0012360A"/>
    <w:rsid w:val="001236FC"/>
    <w:rsid w:val="00123C1F"/>
    <w:rsid w:val="001240E4"/>
    <w:rsid w:val="00124190"/>
    <w:rsid w:val="00124523"/>
    <w:rsid w:val="0012459B"/>
    <w:rsid w:val="00124973"/>
    <w:rsid w:val="00124C9B"/>
    <w:rsid w:val="00125BEB"/>
    <w:rsid w:val="00125CF4"/>
    <w:rsid w:val="00125F96"/>
    <w:rsid w:val="0012705D"/>
    <w:rsid w:val="00127B91"/>
    <w:rsid w:val="00130162"/>
    <w:rsid w:val="001309B0"/>
    <w:rsid w:val="00130EF6"/>
    <w:rsid w:val="00130F5A"/>
    <w:rsid w:val="00130FA1"/>
    <w:rsid w:val="0013109D"/>
    <w:rsid w:val="001313DB"/>
    <w:rsid w:val="00131B07"/>
    <w:rsid w:val="00131B50"/>
    <w:rsid w:val="00131D52"/>
    <w:rsid w:val="00132478"/>
    <w:rsid w:val="0013308A"/>
    <w:rsid w:val="00134505"/>
    <w:rsid w:val="001346E5"/>
    <w:rsid w:val="00134BEB"/>
    <w:rsid w:val="00134FDA"/>
    <w:rsid w:val="001359FD"/>
    <w:rsid w:val="00135CD4"/>
    <w:rsid w:val="001364C8"/>
    <w:rsid w:val="0013673A"/>
    <w:rsid w:val="001369FC"/>
    <w:rsid w:val="00136F16"/>
    <w:rsid w:val="0013786C"/>
    <w:rsid w:val="00140221"/>
    <w:rsid w:val="001410ED"/>
    <w:rsid w:val="00141A37"/>
    <w:rsid w:val="00142210"/>
    <w:rsid w:val="0014375B"/>
    <w:rsid w:val="00143B02"/>
    <w:rsid w:val="00144E06"/>
    <w:rsid w:val="001453FF"/>
    <w:rsid w:val="001456CE"/>
    <w:rsid w:val="00145F52"/>
    <w:rsid w:val="00146D34"/>
    <w:rsid w:val="00146F1A"/>
    <w:rsid w:val="00146F9B"/>
    <w:rsid w:val="00150963"/>
    <w:rsid w:val="00150CF0"/>
    <w:rsid w:val="00151201"/>
    <w:rsid w:val="00151763"/>
    <w:rsid w:val="001517F4"/>
    <w:rsid w:val="00151AD9"/>
    <w:rsid w:val="00152380"/>
    <w:rsid w:val="001535E4"/>
    <w:rsid w:val="00153D49"/>
    <w:rsid w:val="0015405E"/>
    <w:rsid w:val="001552F5"/>
    <w:rsid w:val="001571C6"/>
    <w:rsid w:val="0015740A"/>
    <w:rsid w:val="001574D5"/>
    <w:rsid w:val="00157B19"/>
    <w:rsid w:val="001604AA"/>
    <w:rsid w:val="00160ED3"/>
    <w:rsid w:val="00160F81"/>
    <w:rsid w:val="00161366"/>
    <w:rsid w:val="00161CA3"/>
    <w:rsid w:val="00164637"/>
    <w:rsid w:val="00164727"/>
    <w:rsid w:val="001649B5"/>
    <w:rsid w:val="00164A27"/>
    <w:rsid w:val="00164B80"/>
    <w:rsid w:val="00165CC2"/>
    <w:rsid w:val="00165E11"/>
    <w:rsid w:val="001674A9"/>
    <w:rsid w:val="00170096"/>
    <w:rsid w:val="00170202"/>
    <w:rsid w:val="00171DC0"/>
    <w:rsid w:val="00172DFD"/>
    <w:rsid w:val="00172F8F"/>
    <w:rsid w:val="001746BD"/>
    <w:rsid w:val="0017505C"/>
    <w:rsid w:val="00175420"/>
    <w:rsid w:val="00175677"/>
    <w:rsid w:val="001764BA"/>
    <w:rsid w:val="001767FF"/>
    <w:rsid w:val="0017738C"/>
    <w:rsid w:val="00177642"/>
    <w:rsid w:val="001805A6"/>
    <w:rsid w:val="001806CD"/>
    <w:rsid w:val="001822CA"/>
    <w:rsid w:val="001825B4"/>
    <w:rsid w:val="00182CFF"/>
    <w:rsid w:val="0018358A"/>
    <w:rsid w:val="00183A8D"/>
    <w:rsid w:val="00183E75"/>
    <w:rsid w:val="00184559"/>
    <w:rsid w:val="00184C94"/>
    <w:rsid w:val="00184DA7"/>
    <w:rsid w:val="0018547A"/>
    <w:rsid w:val="001854C9"/>
    <w:rsid w:val="00185B4A"/>
    <w:rsid w:val="00185DF3"/>
    <w:rsid w:val="00185E7C"/>
    <w:rsid w:val="00185E7F"/>
    <w:rsid w:val="001862CB"/>
    <w:rsid w:val="00186F72"/>
    <w:rsid w:val="00186FD0"/>
    <w:rsid w:val="001878AD"/>
    <w:rsid w:val="00190603"/>
    <w:rsid w:val="001907E9"/>
    <w:rsid w:val="00191154"/>
    <w:rsid w:val="0019149B"/>
    <w:rsid w:val="00191E6C"/>
    <w:rsid w:val="00191FBB"/>
    <w:rsid w:val="00192309"/>
    <w:rsid w:val="00192536"/>
    <w:rsid w:val="0019254D"/>
    <w:rsid w:val="00192A27"/>
    <w:rsid w:val="00193415"/>
    <w:rsid w:val="0019362D"/>
    <w:rsid w:val="001936B9"/>
    <w:rsid w:val="0019406C"/>
    <w:rsid w:val="00194679"/>
    <w:rsid w:val="001948B0"/>
    <w:rsid w:val="00194A14"/>
    <w:rsid w:val="00195E36"/>
    <w:rsid w:val="00196CE7"/>
    <w:rsid w:val="001972F3"/>
    <w:rsid w:val="001973CC"/>
    <w:rsid w:val="00197996"/>
    <w:rsid w:val="00197FA3"/>
    <w:rsid w:val="001A0416"/>
    <w:rsid w:val="001A1361"/>
    <w:rsid w:val="001A227A"/>
    <w:rsid w:val="001A2D27"/>
    <w:rsid w:val="001A2F6E"/>
    <w:rsid w:val="001A3130"/>
    <w:rsid w:val="001A32A6"/>
    <w:rsid w:val="001A3E1E"/>
    <w:rsid w:val="001A3E9A"/>
    <w:rsid w:val="001A4547"/>
    <w:rsid w:val="001A48AB"/>
    <w:rsid w:val="001A4E5F"/>
    <w:rsid w:val="001A5385"/>
    <w:rsid w:val="001A58D9"/>
    <w:rsid w:val="001A5ED3"/>
    <w:rsid w:val="001A63B5"/>
    <w:rsid w:val="001A6684"/>
    <w:rsid w:val="001A6E6B"/>
    <w:rsid w:val="001A6FBD"/>
    <w:rsid w:val="001A7A2F"/>
    <w:rsid w:val="001B0A99"/>
    <w:rsid w:val="001B0BC5"/>
    <w:rsid w:val="001B0D37"/>
    <w:rsid w:val="001B1284"/>
    <w:rsid w:val="001B13D7"/>
    <w:rsid w:val="001B1B8F"/>
    <w:rsid w:val="001B20E6"/>
    <w:rsid w:val="001B2558"/>
    <w:rsid w:val="001B2E0E"/>
    <w:rsid w:val="001B3C9B"/>
    <w:rsid w:val="001B3F86"/>
    <w:rsid w:val="001B4383"/>
    <w:rsid w:val="001B4C96"/>
    <w:rsid w:val="001B4E2C"/>
    <w:rsid w:val="001B60CB"/>
    <w:rsid w:val="001B6B3D"/>
    <w:rsid w:val="001B6EBE"/>
    <w:rsid w:val="001B70D2"/>
    <w:rsid w:val="001B7BA1"/>
    <w:rsid w:val="001C001E"/>
    <w:rsid w:val="001C0AC8"/>
    <w:rsid w:val="001C2D1D"/>
    <w:rsid w:val="001C2D69"/>
    <w:rsid w:val="001C33A6"/>
    <w:rsid w:val="001C4868"/>
    <w:rsid w:val="001C49F2"/>
    <w:rsid w:val="001C4D5E"/>
    <w:rsid w:val="001C5493"/>
    <w:rsid w:val="001C63AE"/>
    <w:rsid w:val="001C6C23"/>
    <w:rsid w:val="001C7A86"/>
    <w:rsid w:val="001C7E4F"/>
    <w:rsid w:val="001D058F"/>
    <w:rsid w:val="001D14B5"/>
    <w:rsid w:val="001D1826"/>
    <w:rsid w:val="001D2F8D"/>
    <w:rsid w:val="001D39D4"/>
    <w:rsid w:val="001D4836"/>
    <w:rsid w:val="001D4CA5"/>
    <w:rsid w:val="001D5C6E"/>
    <w:rsid w:val="001D67FF"/>
    <w:rsid w:val="001D7387"/>
    <w:rsid w:val="001D7E63"/>
    <w:rsid w:val="001D7F73"/>
    <w:rsid w:val="001E09D7"/>
    <w:rsid w:val="001E0FF5"/>
    <w:rsid w:val="001E19A7"/>
    <w:rsid w:val="001E1F35"/>
    <w:rsid w:val="001E2586"/>
    <w:rsid w:val="001E25FE"/>
    <w:rsid w:val="001E2812"/>
    <w:rsid w:val="001E2A8B"/>
    <w:rsid w:val="001E3084"/>
    <w:rsid w:val="001E5A15"/>
    <w:rsid w:val="001E5EEA"/>
    <w:rsid w:val="001E6084"/>
    <w:rsid w:val="001E73A4"/>
    <w:rsid w:val="001E7662"/>
    <w:rsid w:val="001E7D67"/>
    <w:rsid w:val="001F0258"/>
    <w:rsid w:val="001F0441"/>
    <w:rsid w:val="001F070F"/>
    <w:rsid w:val="001F0F3A"/>
    <w:rsid w:val="001F13B0"/>
    <w:rsid w:val="001F1DB3"/>
    <w:rsid w:val="001F1F66"/>
    <w:rsid w:val="001F2CF1"/>
    <w:rsid w:val="001F360C"/>
    <w:rsid w:val="001F3998"/>
    <w:rsid w:val="001F39F2"/>
    <w:rsid w:val="001F5C58"/>
    <w:rsid w:val="001F5CD6"/>
    <w:rsid w:val="001F75A7"/>
    <w:rsid w:val="001F7812"/>
    <w:rsid w:val="001F78F0"/>
    <w:rsid w:val="0020015F"/>
    <w:rsid w:val="00200468"/>
    <w:rsid w:val="00200637"/>
    <w:rsid w:val="0020099A"/>
    <w:rsid w:val="00201BE0"/>
    <w:rsid w:val="00201C1B"/>
    <w:rsid w:val="002020F4"/>
    <w:rsid w:val="002022EB"/>
    <w:rsid w:val="00204EE3"/>
    <w:rsid w:val="002051B1"/>
    <w:rsid w:val="002054F2"/>
    <w:rsid w:val="00206288"/>
    <w:rsid w:val="00206763"/>
    <w:rsid w:val="0020746E"/>
    <w:rsid w:val="0020750C"/>
    <w:rsid w:val="002075A3"/>
    <w:rsid w:val="00207904"/>
    <w:rsid w:val="00210807"/>
    <w:rsid w:val="00210967"/>
    <w:rsid w:val="00210FA3"/>
    <w:rsid w:val="002111FD"/>
    <w:rsid w:val="0021124D"/>
    <w:rsid w:val="002114F6"/>
    <w:rsid w:val="002121A9"/>
    <w:rsid w:val="0021224B"/>
    <w:rsid w:val="00212CA8"/>
    <w:rsid w:val="00212DEC"/>
    <w:rsid w:val="00212FED"/>
    <w:rsid w:val="002132D2"/>
    <w:rsid w:val="00213777"/>
    <w:rsid w:val="00213FB8"/>
    <w:rsid w:val="0021498F"/>
    <w:rsid w:val="00214AA5"/>
    <w:rsid w:val="00214D21"/>
    <w:rsid w:val="00214F68"/>
    <w:rsid w:val="00215A18"/>
    <w:rsid w:val="00216051"/>
    <w:rsid w:val="0021729D"/>
    <w:rsid w:val="00217F33"/>
    <w:rsid w:val="002200A7"/>
    <w:rsid w:val="0022029E"/>
    <w:rsid w:val="00220D50"/>
    <w:rsid w:val="00221627"/>
    <w:rsid w:val="00221CE4"/>
    <w:rsid w:val="002225BE"/>
    <w:rsid w:val="0022309A"/>
    <w:rsid w:val="00223A3C"/>
    <w:rsid w:val="00223AA7"/>
    <w:rsid w:val="00224549"/>
    <w:rsid w:val="0022468A"/>
    <w:rsid w:val="00224758"/>
    <w:rsid w:val="00225099"/>
    <w:rsid w:val="002253AA"/>
    <w:rsid w:val="00225665"/>
    <w:rsid w:val="00225B29"/>
    <w:rsid w:val="002276CA"/>
    <w:rsid w:val="00227970"/>
    <w:rsid w:val="0023023F"/>
    <w:rsid w:val="00230808"/>
    <w:rsid w:val="00230F90"/>
    <w:rsid w:val="00231724"/>
    <w:rsid w:val="002319CC"/>
    <w:rsid w:val="00231A2D"/>
    <w:rsid w:val="00231CBF"/>
    <w:rsid w:val="002327FC"/>
    <w:rsid w:val="00232B0A"/>
    <w:rsid w:val="00233608"/>
    <w:rsid w:val="00233CA6"/>
    <w:rsid w:val="0023411E"/>
    <w:rsid w:val="00234C21"/>
    <w:rsid w:val="00234F5D"/>
    <w:rsid w:val="00235727"/>
    <w:rsid w:val="00235E2C"/>
    <w:rsid w:val="0023654A"/>
    <w:rsid w:val="00236DB4"/>
    <w:rsid w:val="0023726A"/>
    <w:rsid w:val="00237298"/>
    <w:rsid w:val="00237416"/>
    <w:rsid w:val="00237C45"/>
    <w:rsid w:val="002405FE"/>
    <w:rsid w:val="00240E8C"/>
    <w:rsid w:val="00241995"/>
    <w:rsid w:val="002419FF"/>
    <w:rsid w:val="00241A49"/>
    <w:rsid w:val="00241C08"/>
    <w:rsid w:val="002427E4"/>
    <w:rsid w:val="00244C9E"/>
    <w:rsid w:val="002450F5"/>
    <w:rsid w:val="00245124"/>
    <w:rsid w:val="00245CED"/>
    <w:rsid w:val="00246844"/>
    <w:rsid w:val="00246D26"/>
    <w:rsid w:val="00246E54"/>
    <w:rsid w:val="00247320"/>
    <w:rsid w:val="002479C4"/>
    <w:rsid w:val="00247B9E"/>
    <w:rsid w:val="002505BE"/>
    <w:rsid w:val="00251471"/>
    <w:rsid w:val="002517CA"/>
    <w:rsid w:val="002524EF"/>
    <w:rsid w:val="00252E15"/>
    <w:rsid w:val="00252F67"/>
    <w:rsid w:val="002535C1"/>
    <w:rsid w:val="00253BDA"/>
    <w:rsid w:val="00254E28"/>
    <w:rsid w:val="00255A9A"/>
    <w:rsid w:val="00255C4D"/>
    <w:rsid w:val="00255F56"/>
    <w:rsid w:val="00256F7D"/>
    <w:rsid w:val="00257B4D"/>
    <w:rsid w:val="00257C61"/>
    <w:rsid w:val="00257F34"/>
    <w:rsid w:val="00260A2E"/>
    <w:rsid w:val="00260B51"/>
    <w:rsid w:val="0026185A"/>
    <w:rsid w:val="00261D45"/>
    <w:rsid w:val="002623D5"/>
    <w:rsid w:val="00262BA8"/>
    <w:rsid w:val="00262BEA"/>
    <w:rsid w:val="00264407"/>
    <w:rsid w:val="00264FF5"/>
    <w:rsid w:val="0026582A"/>
    <w:rsid w:val="002677A6"/>
    <w:rsid w:val="00267D64"/>
    <w:rsid w:val="00270039"/>
    <w:rsid w:val="002701BD"/>
    <w:rsid w:val="00270526"/>
    <w:rsid w:val="00270A52"/>
    <w:rsid w:val="00270EB6"/>
    <w:rsid w:val="00271822"/>
    <w:rsid w:val="00271D48"/>
    <w:rsid w:val="002720C4"/>
    <w:rsid w:val="0027256B"/>
    <w:rsid w:val="002740A8"/>
    <w:rsid w:val="00274596"/>
    <w:rsid w:val="00274D3E"/>
    <w:rsid w:val="00274EBF"/>
    <w:rsid w:val="00275137"/>
    <w:rsid w:val="00275388"/>
    <w:rsid w:val="0027543C"/>
    <w:rsid w:val="002763F4"/>
    <w:rsid w:val="002769C5"/>
    <w:rsid w:val="00276BC7"/>
    <w:rsid w:val="00277773"/>
    <w:rsid w:val="0027795B"/>
    <w:rsid w:val="00277ED5"/>
    <w:rsid w:val="0028009C"/>
    <w:rsid w:val="00280C41"/>
    <w:rsid w:val="00282E52"/>
    <w:rsid w:val="00283649"/>
    <w:rsid w:val="00283B7E"/>
    <w:rsid w:val="00284864"/>
    <w:rsid w:val="0028497B"/>
    <w:rsid w:val="00285081"/>
    <w:rsid w:val="00285955"/>
    <w:rsid w:val="00285A6A"/>
    <w:rsid w:val="00285AAA"/>
    <w:rsid w:val="0028611E"/>
    <w:rsid w:val="002863A3"/>
    <w:rsid w:val="00286EA1"/>
    <w:rsid w:val="002871FB"/>
    <w:rsid w:val="002874F4"/>
    <w:rsid w:val="0028782D"/>
    <w:rsid w:val="00287CC0"/>
    <w:rsid w:val="00290C77"/>
    <w:rsid w:val="00291322"/>
    <w:rsid w:val="00291ED5"/>
    <w:rsid w:val="00291F26"/>
    <w:rsid w:val="002922A9"/>
    <w:rsid w:val="00292C73"/>
    <w:rsid w:val="0029398F"/>
    <w:rsid w:val="002943F3"/>
    <w:rsid w:val="002947D5"/>
    <w:rsid w:val="002949B5"/>
    <w:rsid w:val="00294C58"/>
    <w:rsid w:val="002950EB"/>
    <w:rsid w:val="002951CA"/>
    <w:rsid w:val="00295510"/>
    <w:rsid w:val="002958BA"/>
    <w:rsid w:val="00295EC7"/>
    <w:rsid w:val="00296238"/>
    <w:rsid w:val="00296D12"/>
    <w:rsid w:val="002971AE"/>
    <w:rsid w:val="002975C7"/>
    <w:rsid w:val="002A03B3"/>
    <w:rsid w:val="002A0670"/>
    <w:rsid w:val="002A0F0E"/>
    <w:rsid w:val="002A1640"/>
    <w:rsid w:val="002A1691"/>
    <w:rsid w:val="002A1EFA"/>
    <w:rsid w:val="002A1F5F"/>
    <w:rsid w:val="002A21E9"/>
    <w:rsid w:val="002A229E"/>
    <w:rsid w:val="002A2C25"/>
    <w:rsid w:val="002A3396"/>
    <w:rsid w:val="002A33B2"/>
    <w:rsid w:val="002A38FB"/>
    <w:rsid w:val="002A3E13"/>
    <w:rsid w:val="002A44E4"/>
    <w:rsid w:val="002A4C03"/>
    <w:rsid w:val="002A4EFB"/>
    <w:rsid w:val="002A57FC"/>
    <w:rsid w:val="002A6E44"/>
    <w:rsid w:val="002A7772"/>
    <w:rsid w:val="002A7A97"/>
    <w:rsid w:val="002A7E06"/>
    <w:rsid w:val="002B034E"/>
    <w:rsid w:val="002B059A"/>
    <w:rsid w:val="002B05AB"/>
    <w:rsid w:val="002B0CA1"/>
    <w:rsid w:val="002B12E0"/>
    <w:rsid w:val="002B1472"/>
    <w:rsid w:val="002B1AB0"/>
    <w:rsid w:val="002B215B"/>
    <w:rsid w:val="002B222D"/>
    <w:rsid w:val="002B2CC4"/>
    <w:rsid w:val="002B3578"/>
    <w:rsid w:val="002B3A34"/>
    <w:rsid w:val="002B3CD7"/>
    <w:rsid w:val="002B3E66"/>
    <w:rsid w:val="002B4433"/>
    <w:rsid w:val="002B48C2"/>
    <w:rsid w:val="002B4AC1"/>
    <w:rsid w:val="002B5297"/>
    <w:rsid w:val="002B6460"/>
    <w:rsid w:val="002B69D2"/>
    <w:rsid w:val="002B6A90"/>
    <w:rsid w:val="002B713F"/>
    <w:rsid w:val="002B7A00"/>
    <w:rsid w:val="002B7EC8"/>
    <w:rsid w:val="002C0963"/>
    <w:rsid w:val="002C106B"/>
    <w:rsid w:val="002C1D7F"/>
    <w:rsid w:val="002C2155"/>
    <w:rsid w:val="002C2A17"/>
    <w:rsid w:val="002C2A94"/>
    <w:rsid w:val="002C2B01"/>
    <w:rsid w:val="002C2C45"/>
    <w:rsid w:val="002C3173"/>
    <w:rsid w:val="002C31A5"/>
    <w:rsid w:val="002C3437"/>
    <w:rsid w:val="002C371B"/>
    <w:rsid w:val="002C3AAE"/>
    <w:rsid w:val="002C3B7C"/>
    <w:rsid w:val="002C3D7A"/>
    <w:rsid w:val="002C40D4"/>
    <w:rsid w:val="002C4D93"/>
    <w:rsid w:val="002C4E66"/>
    <w:rsid w:val="002C5355"/>
    <w:rsid w:val="002C553F"/>
    <w:rsid w:val="002C5551"/>
    <w:rsid w:val="002C588E"/>
    <w:rsid w:val="002C643E"/>
    <w:rsid w:val="002C65AD"/>
    <w:rsid w:val="002C6A66"/>
    <w:rsid w:val="002C7327"/>
    <w:rsid w:val="002C7925"/>
    <w:rsid w:val="002C7993"/>
    <w:rsid w:val="002D0445"/>
    <w:rsid w:val="002D1F62"/>
    <w:rsid w:val="002D2716"/>
    <w:rsid w:val="002D2B6F"/>
    <w:rsid w:val="002D2D8D"/>
    <w:rsid w:val="002D324E"/>
    <w:rsid w:val="002D3507"/>
    <w:rsid w:val="002D353A"/>
    <w:rsid w:val="002D4089"/>
    <w:rsid w:val="002D4385"/>
    <w:rsid w:val="002E0259"/>
    <w:rsid w:val="002E0696"/>
    <w:rsid w:val="002E0DA7"/>
    <w:rsid w:val="002E19E2"/>
    <w:rsid w:val="002E1D22"/>
    <w:rsid w:val="002E2E7D"/>
    <w:rsid w:val="002E33C0"/>
    <w:rsid w:val="002E36FA"/>
    <w:rsid w:val="002E43CF"/>
    <w:rsid w:val="002E4B19"/>
    <w:rsid w:val="002E577E"/>
    <w:rsid w:val="002E5EF1"/>
    <w:rsid w:val="002E604E"/>
    <w:rsid w:val="002E741C"/>
    <w:rsid w:val="002F100D"/>
    <w:rsid w:val="002F2840"/>
    <w:rsid w:val="002F2AD6"/>
    <w:rsid w:val="002F2C56"/>
    <w:rsid w:val="002F2E43"/>
    <w:rsid w:val="002F3187"/>
    <w:rsid w:val="002F32D4"/>
    <w:rsid w:val="002F4DAD"/>
    <w:rsid w:val="002F4DBE"/>
    <w:rsid w:val="002F4EA3"/>
    <w:rsid w:val="002F58D8"/>
    <w:rsid w:val="002F5A89"/>
    <w:rsid w:val="002F6BB5"/>
    <w:rsid w:val="002F70CE"/>
    <w:rsid w:val="002F720A"/>
    <w:rsid w:val="002F7333"/>
    <w:rsid w:val="002F7646"/>
    <w:rsid w:val="002F7845"/>
    <w:rsid w:val="002F7A47"/>
    <w:rsid w:val="002F7DA5"/>
    <w:rsid w:val="003010DD"/>
    <w:rsid w:val="0030120C"/>
    <w:rsid w:val="0030182D"/>
    <w:rsid w:val="00301879"/>
    <w:rsid w:val="003019CE"/>
    <w:rsid w:val="003026EC"/>
    <w:rsid w:val="00302E88"/>
    <w:rsid w:val="00302F1B"/>
    <w:rsid w:val="003040BD"/>
    <w:rsid w:val="00304271"/>
    <w:rsid w:val="003043E5"/>
    <w:rsid w:val="00304CCA"/>
    <w:rsid w:val="00307B14"/>
    <w:rsid w:val="00310982"/>
    <w:rsid w:val="00311A4B"/>
    <w:rsid w:val="00311A8A"/>
    <w:rsid w:val="00311DF1"/>
    <w:rsid w:val="0031222A"/>
    <w:rsid w:val="00312726"/>
    <w:rsid w:val="00312F9E"/>
    <w:rsid w:val="00313569"/>
    <w:rsid w:val="003135B3"/>
    <w:rsid w:val="00314A70"/>
    <w:rsid w:val="00314BD7"/>
    <w:rsid w:val="00315096"/>
    <w:rsid w:val="00315BE0"/>
    <w:rsid w:val="00316483"/>
    <w:rsid w:val="0031706B"/>
    <w:rsid w:val="003170D5"/>
    <w:rsid w:val="003177B8"/>
    <w:rsid w:val="003202BE"/>
    <w:rsid w:val="0032036D"/>
    <w:rsid w:val="00320376"/>
    <w:rsid w:val="00321148"/>
    <w:rsid w:val="00321559"/>
    <w:rsid w:val="00321645"/>
    <w:rsid w:val="003216F3"/>
    <w:rsid w:val="0032180B"/>
    <w:rsid w:val="003223AD"/>
    <w:rsid w:val="00322827"/>
    <w:rsid w:val="00322DC6"/>
    <w:rsid w:val="003238CC"/>
    <w:rsid w:val="00323BCA"/>
    <w:rsid w:val="00323DB2"/>
    <w:rsid w:val="00323F7A"/>
    <w:rsid w:val="00324C47"/>
    <w:rsid w:val="00324C7F"/>
    <w:rsid w:val="00324D94"/>
    <w:rsid w:val="00325804"/>
    <w:rsid w:val="003260BA"/>
    <w:rsid w:val="00326590"/>
    <w:rsid w:val="00326BC4"/>
    <w:rsid w:val="00326D8F"/>
    <w:rsid w:val="00326E64"/>
    <w:rsid w:val="00327828"/>
    <w:rsid w:val="00327AD7"/>
    <w:rsid w:val="00327B06"/>
    <w:rsid w:val="00330336"/>
    <w:rsid w:val="00330D37"/>
    <w:rsid w:val="00330E4F"/>
    <w:rsid w:val="00331AB8"/>
    <w:rsid w:val="00331C79"/>
    <w:rsid w:val="00331F8C"/>
    <w:rsid w:val="003321C3"/>
    <w:rsid w:val="00332852"/>
    <w:rsid w:val="003331B3"/>
    <w:rsid w:val="003338B4"/>
    <w:rsid w:val="003340E1"/>
    <w:rsid w:val="003349CF"/>
    <w:rsid w:val="00335032"/>
    <w:rsid w:val="003361E2"/>
    <w:rsid w:val="00336615"/>
    <w:rsid w:val="00336623"/>
    <w:rsid w:val="00336BDD"/>
    <w:rsid w:val="003375B1"/>
    <w:rsid w:val="00340C93"/>
    <w:rsid w:val="00341279"/>
    <w:rsid w:val="00341B7E"/>
    <w:rsid w:val="00341C5F"/>
    <w:rsid w:val="003425B2"/>
    <w:rsid w:val="003427A8"/>
    <w:rsid w:val="0034381B"/>
    <w:rsid w:val="00343A7D"/>
    <w:rsid w:val="00345558"/>
    <w:rsid w:val="00345D0E"/>
    <w:rsid w:val="00345EC1"/>
    <w:rsid w:val="00346318"/>
    <w:rsid w:val="00346CF8"/>
    <w:rsid w:val="00346E48"/>
    <w:rsid w:val="00347A70"/>
    <w:rsid w:val="00347BD0"/>
    <w:rsid w:val="0035070F"/>
    <w:rsid w:val="00350C0E"/>
    <w:rsid w:val="00350EB9"/>
    <w:rsid w:val="00351370"/>
    <w:rsid w:val="003531DB"/>
    <w:rsid w:val="003538BD"/>
    <w:rsid w:val="00353CEA"/>
    <w:rsid w:val="00353D0E"/>
    <w:rsid w:val="00353D60"/>
    <w:rsid w:val="00353F85"/>
    <w:rsid w:val="003543A8"/>
    <w:rsid w:val="00354666"/>
    <w:rsid w:val="00354764"/>
    <w:rsid w:val="00354AE4"/>
    <w:rsid w:val="00354DCD"/>
    <w:rsid w:val="0035549E"/>
    <w:rsid w:val="003571A3"/>
    <w:rsid w:val="00357956"/>
    <w:rsid w:val="003602B6"/>
    <w:rsid w:val="00360D46"/>
    <w:rsid w:val="003612E8"/>
    <w:rsid w:val="003614BE"/>
    <w:rsid w:val="00362128"/>
    <w:rsid w:val="0036280F"/>
    <w:rsid w:val="00362D6D"/>
    <w:rsid w:val="00362EBD"/>
    <w:rsid w:val="00363039"/>
    <w:rsid w:val="00364D51"/>
    <w:rsid w:val="00365AB1"/>
    <w:rsid w:val="00365BC1"/>
    <w:rsid w:val="0036717C"/>
    <w:rsid w:val="003672CF"/>
    <w:rsid w:val="003677EB"/>
    <w:rsid w:val="00367F0B"/>
    <w:rsid w:val="00367FDC"/>
    <w:rsid w:val="00370341"/>
    <w:rsid w:val="0037039F"/>
    <w:rsid w:val="00370BEC"/>
    <w:rsid w:val="00370C41"/>
    <w:rsid w:val="0037180D"/>
    <w:rsid w:val="00372829"/>
    <w:rsid w:val="00373045"/>
    <w:rsid w:val="0037349C"/>
    <w:rsid w:val="00373838"/>
    <w:rsid w:val="00373848"/>
    <w:rsid w:val="003738F6"/>
    <w:rsid w:val="00374EB3"/>
    <w:rsid w:val="00375855"/>
    <w:rsid w:val="00377971"/>
    <w:rsid w:val="0038028D"/>
    <w:rsid w:val="0038031A"/>
    <w:rsid w:val="003803B0"/>
    <w:rsid w:val="003811D2"/>
    <w:rsid w:val="00382230"/>
    <w:rsid w:val="00382C6A"/>
    <w:rsid w:val="00383342"/>
    <w:rsid w:val="00384096"/>
    <w:rsid w:val="00385227"/>
    <w:rsid w:val="003858E4"/>
    <w:rsid w:val="003862BF"/>
    <w:rsid w:val="003863A3"/>
    <w:rsid w:val="00387168"/>
    <w:rsid w:val="00390A0E"/>
    <w:rsid w:val="00390D51"/>
    <w:rsid w:val="0039149D"/>
    <w:rsid w:val="00391A27"/>
    <w:rsid w:val="00391D93"/>
    <w:rsid w:val="00392512"/>
    <w:rsid w:val="00392EB6"/>
    <w:rsid w:val="003934D7"/>
    <w:rsid w:val="00393B15"/>
    <w:rsid w:val="00393FD6"/>
    <w:rsid w:val="00394737"/>
    <w:rsid w:val="00394780"/>
    <w:rsid w:val="00394B33"/>
    <w:rsid w:val="0039589C"/>
    <w:rsid w:val="00395B20"/>
    <w:rsid w:val="0039642A"/>
    <w:rsid w:val="00396CC4"/>
    <w:rsid w:val="00397416"/>
    <w:rsid w:val="00397D79"/>
    <w:rsid w:val="003A089E"/>
    <w:rsid w:val="003A0C9E"/>
    <w:rsid w:val="003A1EB2"/>
    <w:rsid w:val="003A20C9"/>
    <w:rsid w:val="003A27B3"/>
    <w:rsid w:val="003A2C58"/>
    <w:rsid w:val="003A2D49"/>
    <w:rsid w:val="003A3192"/>
    <w:rsid w:val="003A394A"/>
    <w:rsid w:val="003A3BD3"/>
    <w:rsid w:val="003A455C"/>
    <w:rsid w:val="003A5946"/>
    <w:rsid w:val="003A59BF"/>
    <w:rsid w:val="003A5BC4"/>
    <w:rsid w:val="003A5C8A"/>
    <w:rsid w:val="003A6083"/>
    <w:rsid w:val="003A6235"/>
    <w:rsid w:val="003A6CEB"/>
    <w:rsid w:val="003A7011"/>
    <w:rsid w:val="003B0117"/>
    <w:rsid w:val="003B035B"/>
    <w:rsid w:val="003B10A8"/>
    <w:rsid w:val="003B1131"/>
    <w:rsid w:val="003B1247"/>
    <w:rsid w:val="003B18DE"/>
    <w:rsid w:val="003B25E3"/>
    <w:rsid w:val="003B2E57"/>
    <w:rsid w:val="003B2F54"/>
    <w:rsid w:val="003B44AD"/>
    <w:rsid w:val="003B4CE4"/>
    <w:rsid w:val="003B58CB"/>
    <w:rsid w:val="003B5BD3"/>
    <w:rsid w:val="003B642A"/>
    <w:rsid w:val="003B6810"/>
    <w:rsid w:val="003B7932"/>
    <w:rsid w:val="003C12CC"/>
    <w:rsid w:val="003C14F5"/>
    <w:rsid w:val="003C173A"/>
    <w:rsid w:val="003C1A08"/>
    <w:rsid w:val="003C1E69"/>
    <w:rsid w:val="003C2083"/>
    <w:rsid w:val="003C229F"/>
    <w:rsid w:val="003C2DEE"/>
    <w:rsid w:val="003C3790"/>
    <w:rsid w:val="003C3ABC"/>
    <w:rsid w:val="003C4213"/>
    <w:rsid w:val="003C4580"/>
    <w:rsid w:val="003C47B5"/>
    <w:rsid w:val="003C4F88"/>
    <w:rsid w:val="003C501B"/>
    <w:rsid w:val="003C6207"/>
    <w:rsid w:val="003C6237"/>
    <w:rsid w:val="003C7865"/>
    <w:rsid w:val="003D0BC9"/>
    <w:rsid w:val="003D1688"/>
    <w:rsid w:val="003D18B2"/>
    <w:rsid w:val="003D1BF0"/>
    <w:rsid w:val="003D1E81"/>
    <w:rsid w:val="003D2401"/>
    <w:rsid w:val="003D24E3"/>
    <w:rsid w:val="003D26BB"/>
    <w:rsid w:val="003D2A28"/>
    <w:rsid w:val="003D2FD8"/>
    <w:rsid w:val="003D3F36"/>
    <w:rsid w:val="003D51D3"/>
    <w:rsid w:val="003D5863"/>
    <w:rsid w:val="003D5C07"/>
    <w:rsid w:val="003D6B4F"/>
    <w:rsid w:val="003D6D4E"/>
    <w:rsid w:val="003D71E3"/>
    <w:rsid w:val="003D7CF9"/>
    <w:rsid w:val="003E014B"/>
    <w:rsid w:val="003E05EE"/>
    <w:rsid w:val="003E0BD6"/>
    <w:rsid w:val="003E1A31"/>
    <w:rsid w:val="003E207D"/>
    <w:rsid w:val="003E21AA"/>
    <w:rsid w:val="003E3409"/>
    <w:rsid w:val="003E375E"/>
    <w:rsid w:val="003E3822"/>
    <w:rsid w:val="003E3886"/>
    <w:rsid w:val="003E3F6A"/>
    <w:rsid w:val="003E4018"/>
    <w:rsid w:val="003E47CA"/>
    <w:rsid w:val="003E4D9A"/>
    <w:rsid w:val="003E68BF"/>
    <w:rsid w:val="003E68CA"/>
    <w:rsid w:val="003E7005"/>
    <w:rsid w:val="003E72C1"/>
    <w:rsid w:val="003E76D4"/>
    <w:rsid w:val="003E7EF3"/>
    <w:rsid w:val="003F031A"/>
    <w:rsid w:val="003F0ED1"/>
    <w:rsid w:val="003F1170"/>
    <w:rsid w:val="003F15D0"/>
    <w:rsid w:val="003F2386"/>
    <w:rsid w:val="003F2888"/>
    <w:rsid w:val="003F2A6A"/>
    <w:rsid w:val="003F34DE"/>
    <w:rsid w:val="003F38D3"/>
    <w:rsid w:val="003F4126"/>
    <w:rsid w:val="003F436F"/>
    <w:rsid w:val="003F4604"/>
    <w:rsid w:val="003F4C5D"/>
    <w:rsid w:val="003F5B36"/>
    <w:rsid w:val="003F5F71"/>
    <w:rsid w:val="003F61E9"/>
    <w:rsid w:val="003F6BA5"/>
    <w:rsid w:val="003F6BBF"/>
    <w:rsid w:val="003F6C46"/>
    <w:rsid w:val="003F77D3"/>
    <w:rsid w:val="003F79D2"/>
    <w:rsid w:val="003F7C04"/>
    <w:rsid w:val="003F7D57"/>
    <w:rsid w:val="003F7ED3"/>
    <w:rsid w:val="00400662"/>
    <w:rsid w:val="0040085D"/>
    <w:rsid w:val="00400888"/>
    <w:rsid w:val="00400C94"/>
    <w:rsid w:val="00400D81"/>
    <w:rsid w:val="00400E73"/>
    <w:rsid w:val="0040122C"/>
    <w:rsid w:val="00401723"/>
    <w:rsid w:val="00401855"/>
    <w:rsid w:val="004018B7"/>
    <w:rsid w:val="0040206A"/>
    <w:rsid w:val="00402349"/>
    <w:rsid w:val="004030ED"/>
    <w:rsid w:val="00403BC1"/>
    <w:rsid w:val="00403D77"/>
    <w:rsid w:val="00404072"/>
    <w:rsid w:val="0040409C"/>
    <w:rsid w:val="00404342"/>
    <w:rsid w:val="0040439E"/>
    <w:rsid w:val="00404D16"/>
    <w:rsid w:val="00405008"/>
    <w:rsid w:val="004064DE"/>
    <w:rsid w:val="00406F56"/>
    <w:rsid w:val="004074C5"/>
    <w:rsid w:val="00407983"/>
    <w:rsid w:val="00407AB2"/>
    <w:rsid w:val="0041020E"/>
    <w:rsid w:val="00410536"/>
    <w:rsid w:val="00410B44"/>
    <w:rsid w:val="00410F51"/>
    <w:rsid w:val="00410FB5"/>
    <w:rsid w:val="004112CA"/>
    <w:rsid w:val="004114A7"/>
    <w:rsid w:val="004118D6"/>
    <w:rsid w:val="00412F2D"/>
    <w:rsid w:val="00413F38"/>
    <w:rsid w:val="004143EB"/>
    <w:rsid w:val="004144EE"/>
    <w:rsid w:val="0041488A"/>
    <w:rsid w:val="00414AEA"/>
    <w:rsid w:val="004154AE"/>
    <w:rsid w:val="004155DA"/>
    <w:rsid w:val="00415648"/>
    <w:rsid w:val="00415BB8"/>
    <w:rsid w:val="0041657F"/>
    <w:rsid w:val="004167F1"/>
    <w:rsid w:val="00416AEA"/>
    <w:rsid w:val="00417299"/>
    <w:rsid w:val="0041789B"/>
    <w:rsid w:val="00422008"/>
    <w:rsid w:val="00422EB2"/>
    <w:rsid w:val="00422FFE"/>
    <w:rsid w:val="00423374"/>
    <w:rsid w:val="004244BD"/>
    <w:rsid w:val="004250F6"/>
    <w:rsid w:val="00426272"/>
    <w:rsid w:val="004274E4"/>
    <w:rsid w:val="0043019A"/>
    <w:rsid w:val="004320D6"/>
    <w:rsid w:val="0043239D"/>
    <w:rsid w:val="00432551"/>
    <w:rsid w:val="004328D2"/>
    <w:rsid w:val="0043398B"/>
    <w:rsid w:val="0043468B"/>
    <w:rsid w:val="00434705"/>
    <w:rsid w:val="00434991"/>
    <w:rsid w:val="00434C50"/>
    <w:rsid w:val="00434EC5"/>
    <w:rsid w:val="00435C00"/>
    <w:rsid w:val="004363D9"/>
    <w:rsid w:val="00437473"/>
    <w:rsid w:val="00437DAB"/>
    <w:rsid w:val="00437EF5"/>
    <w:rsid w:val="004401C1"/>
    <w:rsid w:val="00441648"/>
    <w:rsid w:val="00441A61"/>
    <w:rsid w:val="00442392"/>
    <w:rsid w:val="00442FD4"/>
    <w:rsid w:val="00442FE7"/>
    <w:rsid w:val="004431E6"/>
    <w:rsid w:val="004432DA"/>
    <w:rsid w:val="00443984"/>
    <w:rsid w:val="00443AFF"/>
    <w:rsid w:val="00443C6F"/>
    <w:rsid w:val="00444AC8"/>
    <w:rsid w:val="004451B8"/>
    <w:rsid w:val="00445236"/>
    <w:rsid w:val="004457D1"/>
    <w:rsid w:val="0044679A"/>
    <w:rsid w:val="00446A36"/>
    <w:rsid w:val="00446B42"/>
    <w:rsid w:val="00446B7A"/>
    <w:rsid w:val="00446E68"/>
    <w:rsid w:val="00447A62"/>
    <w:rsid w:val="00450859"/>
    <w:rsid w:val="00450E2B"/>
    <w:rsid w:val="00451636"/>
    <w:rsid w:val="00451BDD"/>
    <w:rsid w:val="00452107"/>
    <w:rsid w:val="004521CC"/>
    <w:rsid w:val="004524DE"/>
    <w:rsid w:val="00452DD3"/>
    <w:rsid w:val="00452F99"/>
    <w:rsid w:val="0045380C"/>
    <w:rsid w:val="00453C7A"/>
    <w:rsid w:val="004540D4"/>
    <w:rsid w:val="004541C8"/>
    <w:rsid w:val="00454391"/>
    <w:rsid w:val="0045503D"/>
    <w:rsid w:val="00455753"/>
    <w:rsid w:val="00456669"/>
    <w:rsid w:val="00456A2B"/>
    <w:rsid w:val="00456CBC"/>
    <w:rsid w:val="00456DBD"/>
    <w:rsid w:val="00456E4A"/>
    <w:rsid w:val="004601D5"/>
    <w:rsid w:val="00460554"/>
    <w:rsid w:val="00460AB2"/>
    <w:rsid w:val="00460DA8"/>
    <w:rsid w:val="00461715"/>
    <w:rsid w:val="0046234B"/>
    <w:rsid w:val="00462E69"/>
    <w:rsid w:val="00463351"/>
    <w:rsid w:val="00463357"/>
    <w:rsid w:val="0046397E"/>
    <w:rsid w:val="00464509"/>
    <w:rsid w:val="0046486F"/>
    <w:rsid w:val="004648BF"/>
    <w:rsid w:val="00464C25"/>
    <w:rsid w:val="00464D43"/>
    <w:rsid w:val="004653E8"/>
    <w:rsid w:val="004657B2"/>
    <w:rsid w:val="004658A3"/>
    <w:rsid w:val="00466596"/>
    <w:rsid w:val="00467FDD"/>
    <w:rsid w:val="004708F7"/>
    <w:rsid w:val="0047163C"/>
    <w:rsid w:val="00471683"/>
    <w:rsid w:val="00471796"/>
    <w:rsid w:val="00471935"/>
    <w:rsid w:val="00471C3C"/>
    <w:rsid w:val="00471F24"/>
    <w:rsid w:val="00473425"/>
    <w:rsid w:val="00473A59"/>
    <w:rsid w:val="00473E5D"/>
    <w:rsid w:val="00474980"/>
    <w:rsid w:val="00474AC4"/>
    <w:rsid w:val="00475611"/>
    <w:rsid w:val="004759A3"/>
    <w:rsid w:val="00476430"/>
    <w:rsid w:val="00476EAE"/>
    <w:rsid w:val="00477806"/>
    <w:rsid w:val="0047786D"/>
    <w:rsid w:val="004803BB"/>
    <w:rsid w:val="0048040F"/>
    <w:rsid w:val="004813FD"/>
    <w:rsid w:val="00482677"/>
    <w:rsid w:val="00482916"/>
    <w:rsid w:val="00482C31"/>
    <w:rsid w:val="00482C8E"/>
    <w:rsid w:val="00483101"/>
    <w:rsid w:val="00483CE2"/>
    <w:rsid w:val="00485365"/>
    <w:rsid w:val="00485880"/>
    <w:rsid w:val="00486046"/>
    <w:rsid w:val="004863CD"/>
    <w:rsid w:val="004863F2"/>
    <w:rsid w:val="0049027F"/>
    <w:rsid w:val="00490A79"/>
    <w:rsid w:val="00491A7B"/>
    <w:rsid w:val="0049219F"/>
    <w:rsid w:val="004923E1"/>
    <w:rsid w:val="00492B6E"/>
    <w:rsid w:val="00492F2C"/>
    <w:rsid w:val="00492FD7"/>
    <w:rsid w:val="00494C4C"/>
    <w:rsid w:val="00495050"/>
    <w:rsid w:val="0049520D"/>
    <w:rsid w:val="004957C2"/>
    <w:rsid w:val="00495B9C"/>
    <w:rsid w:val="00496014"/>
    <w:rsid w:val="004961B3"/>
    <w:rsid w:val="00496225"/>
    <w:rsid w:val="0049707B"/>
    <w:rsid w:val="004A01EB"/>
    <w:rsid w:val="004A0FFB"/>
    <w:rsid w:val="004A1B6A"/>
    <w:rsid w:val="004A1C38"/>
    <w:rsid w:val="004A1E21"/>
    <w:rsid w:val="004A2AFD"/>
    <w:rsid w:val="004A3BE6"/>
    <w:rsid w:val="004A49F5"/>
    <w:rsid w:val="004A5E07"/>
    <w:rsid w:val="004A5F19"/>
    <w:rsid w:val="004A6732"/>
    <w:rsid w:val="004A68E5"/>
    <w:rsid w:val="004B088D"/>
    <w:rsid w:val="004B0AC5"/>
    <w:rsid w:val="004B0E14"/>
    <w:rsid w:val="004B1DD7"/>
    <w:rsid w:val="004B200F"/>
    <w:rsid w:val="004B2BB6"/>
    <w:rsid w:val="004B2D15"/>
    <w:rsid w:val="004B3316"/>
    <w:rsid w:val="004B358E"/>
    <w:rsid w:val="004B3A6A"/>
    <w:rsid w:val="004B3AA4"/>
    <w:rsid w:val="004B3E9D"/>
    <w:rsid w:val="004B4EBC"/>
    <w:rsid w:val="004B5098"/>
    <w:rsid w:val="004B57AD"/>
    <w:rsid w:val="004B584D"/>
    <w:rsid w:val="004B697A"/>
    <w:rsid w:val="004B73A2"/>
    <w:rsid w:val="004B79AF"/>
    <w:rsid w:val="004C038C"/>
    <w:rsid w:val="004C0B40"/>
    <w:rsid w:val="004C0D1C"/>
    <w:rsid w:val="004C16CE"/>
    <w:rsid w:val="004C1902"/>
    <w:rsid w:val="004C279C"/>
    <w:rsid w:val="004C3902"/>
    <w:rsid w:val="004C4708"/>
    <w:rsid w:val="004C4CBD"/>
    <w:rsid w:val="004C529C"/>
    <w:rsid w:val="004C56AC"/>
    <w:rsid w:val="004C7361"/>
    <w:rsid w:val="004C74F9"/>
    <w:rsid w:val="004C7882"/>
    <w:rsid w:val="004C7895"/>
    <w:rsid w:val="004D06A0"/>
    <w:rsid w:val="004D0818"/>
    <w:rsid w:val="004D0ECA"/>
    <w:rsid w:val="004D1005"/>
    <w:rsid w:val="004D13A5"/>
    <w:rsid w:val="004D1628"/>
    <w:rsid w:val="004D1C77"/>
    <w:rsid w:val="004D2065"/>
    <w:rsid w:val="004D32A5"/>
    <w:rsid w:val="004D37D0"/>
    <w:rsid w:val="004D457D"/>
    <w:rsid w:val="004D4752"/>
    <w:rsid w:val="004D4BBB"/>
    <w:rsid w:val="004D5093"/>
    <w:rsid w:val="004D5B66"/>
    <w:rsid w:val="004D5CBC"/>
    <w:rsid w:val="004D6569"/>
    <w:rsid w:val="004D65B4"/>
    <w:rsid w:val="004D6D7B"/>
    <w:rsid w:val="004D783F"/>
    <w:rsid w:val="004D7D59"/>
    <w:rsid w:val="004E06A0"/>
    <w:rsid w:val="004E1176"/>
    <w:rsid w:val="004E1D37"/>
    <w:rsid w:val="004E33E1"/>
    <w:rsid w:val="004E3981"/>
    <w:rsid w:val="004E4F6E"/>
    <w:rsid w:val="004E557B"/>
    <w:rsid w:val="004E5827"/>
    <w:rsid w:val="004E6C81"/>
    <w:rsid w:val="004E713F"/>
    <w:rsid w:val="004E75D6"/>
    <w:rsid w:val="004E7755"/>
    <w:rsid w:val="004E775C"/>
    <w:rsid w:val="004F0266"/>
    <w:rsid w:val="004F1CBF"/>
    <w:rsid w:val="004F2008"/>
    <w:rsid w:val="004F20A7"/>
    <w:rsid w:val="004F2100"/>
    <w:rsid w:val="004F2533"/>
    <w:rsid w:val="004F29DA"/>
    <w:rsid w:val="004F33D7"/>
    <w:rsid w:val="004F4389"/>
    <w:rsid w:val="004F55DB"/>
    <w:rsid w:val="004F5B80"/>
    <w:rsid w:val="004F6656"/>
    <w:rsid w:val="004F6A4F"/>
    <w:rsid w:val="004F7275"/>
    <w:rsid w:val="004F78CA"/>
    <w:rsid w:val="004F7DA3"/>
    <w:rsid w:val="00500C03"/>
    <w:rsid w:val="005011E3"/>
    <w:rsid w:val="00501AF4"/>
    <w:rsid w:val="00502225"/>
    <w:rsid w:val="0050252C"/>
    <w:rsid w:val="00502543"/>
    <w:rsid w:val="00502AD1"/>
    <w:rsid w:val="005031DD"/>
    <w:rsid w:val="005038A0"/>
    <w:rsid w:val="005038A2"/>
    <w:rsid w:val="00503A4D"/>
    <w:rsid w:val="00503DA1"/>
    <w:rsid w:val="0050420B"/>
    <w:rsid w:val="00504552"/>
    <w:rsid w:val="00505697"/>
    <w:rsid w:val="005064A0"/>
    <w:rsid w:val="00507C47"/>
    <w:rsid w:val="00507C4F"/>
    <w:rsid w:val="00507CA5"/>
    <w:rsid w:val="0051139C"/>
    <w:rsid w:val="005115E3"/>
    <w:rsid w:val="0051176F"/>
    <w:rsid w:val="005119DB"/>
    <w:rsid w:val="00511DBA"/>
    <w:rsid w:val="00511DE9"/>
    <w:rsid w:val="005124C1"/>
    <w:rsid w:val="0051268F"/>
    <w:rsid w:val="0051272C"/>
    <w:rsid w:val="00512E4C"/>
    <w:rsid w:val="005145F7"/>
    <w:rsid w:val="00515CD7"/>
    <w:rsid w:val="00515DA6"/>
    <w:rsid w:val="00516153"/>
    <w:rsid w:val="0051649D"/>
    <w:rsid w:val="00516D66"/>
    <w:rsid w:val="00517032"/>
    <w:rsid w:val="00517104"/>
    <w:rsid w:val="005179B1"/>
    <w:rsid w:val="005204BF"/>
    <w:rsid w:val="0052078C"/>
    <w:rsid w:val="00522417"/>
    <w:rsid w:val="005224EB"/>
    <w:rsid w:val="00522AEA"/>
    <w:rsid w:val="005239FE"/>
    <w:rsid w:val="00523C7A"/>
    <w:rsid w:val="005240CB"/>
    <w:rsid w:val="005246F8"/>
    <w:rsid w:val="00524813"/>
    <w:rsid w:val="005258A3"/>
    <w:rsid w:val="00525FCA"/>
    <w:rsid w:val="00526536"/>
    <w:rsid w:val="00526752"/>
    <w:rsid w:val="0052691F"/>
    <w:rsid w:val="00526DF3"/>
    <w:rsid w:val="00526FDC"/>
    <w:rsid w:val="00527DB7"/>
    <w:rsid w:val="005300CF"/>
    <w:rsid w:val="005305CB"/>
    <w:rsid w:val="005308C8"/>
    <w:rsid w:val="00530C30"/>
    <w:rsid w:val="00530E9C"/>
    <w:rsid w:val="005312C7"/>
    <w:rsid w:val="005315FE"/>
    <w:rsid w:val="005319C2"/>
    <w:rsid w:val="0053286F"/>
    <w:rsid w:val="00532F17"/>
    <w:rsid w:val="005334F8"/>
    <w:rsid w:val="00533AA7"/>
    <w:rsid w:val="0053469F"/>
    <w:rsid w:val="005349BD"/>
    <w:rsid w:val="00534B8E"/>
    <w:rsid w:val="00535BDE"/>
    <w:rsid w:val="00536221"/>
    <w:rsid w:val="005362C5"/>
    <w:rsid w:val="00536340"/>
    <w:rsid w:val="005364EB"/>
    <w:rsid w:val="0053729D"/>
    <w:rsid w:val="00537D20"/>
    <w:rsid w:val="00540196"/>
    <w:rsid w:val="00540E87"/>
    <w:rsid w:val="00541E06"/>
    <w:rsid w:val="00542762"/>
    <w:rsid w:val="0054292A"/>
    <w:rsid w:val="00542959"/>
    <w:rsid w:val="005429F9"/>
    <w:rsid w:val="00543B83"/>
    <w:rsid w:val="005442A9"/>
    <w:rsid w:val="005445A2"/>
    <w:rsid w:val="00544A38"/>
    <w:rsid w:val="0054559D"/>
    <w:rsid w:val="0054566A"/>
    <w:rsid w:val="00546747"/>
    <w:rsid w:val="00547462"/>
    <w:rsid w:val="00547732"/>
    <w:rsid w:val="005504D9"/>
    <w:rsid w:val="005506BC"/>
    <w:rsid w:val="00551454"/>
    <w:rsid w:val="00552222"/>
    <w:rsid w:val="00552403"/>
    <w:rsid w:val="00552726"/>
    <w:rsid w:val="005527C3"/>
    <w:rsid w:val="00552DCE"/>
    <w:rsid w:val="005532CB"/>
    <w:rsid w:val="00553484"/>
    <w:rsid w:val="0055466F"/>
    <w:rsid w:val="00554705"/>
    <w:rsid w:val="00554C40"/>
    <w:rsid w:val="00555276"/>
    <w:rsid w:val="00555653"/>
    <w:rsid w:val="005559D0"/>
    <w:rsid w:val="005560BB"/>
    <w:rsid w:val="005560C9"/>
    <w:rsid w:val="005565AE"/>
    <w:rsid w:val="00556AE5"/>
    <w:rsid w:val="00557171"/>
    <w:rsid w:val="0055733C"/>
    <w:rsid w:val="00557D1A"/>
    <w:rsid w:val="00557FD1"/>
    <w:rsid w:val="005601EC"/>
    <w:rsid w:val="0056054B"/>
    <w:rsid w:val="005607E0"/>
    <w:rsid w:val="005609D6"/>
    <w:rsid w:val="00560FB6"/>
    <w:rsid w:val="0056226F"/>
    <w:rsid w:val="00563BB0"/>
    <w:rsid w:val="00564081"/>
    <w:rsid w:val="00564700"/>
    <w:rsid w:val="0056487D"/>
    <w:rsid w:val="00564AD1"/>
    <w:rsid w:val="00565494"/>
    <w:rsid w:val="00565644"/>
    <w:rsid w:val="005657B2"/>
    <w:rsid w:val="00565ABC"/>
    <w:rsid w:val="00565BC1"/>
    <w:rsid w:val="005674D8"/>
    <w:rsid w:val="0056770E"/>
    <w:rsid w:val="00567A26"/>
    <w:rsid w:val="00567B9E"/>
    <w:rsid w:val="00567CE3"/>
    <w:rsid w:val="00570996"/>
    <w:rsid w:val="005709C4"/>
    <w:rsid w:val="00571710"/>
    <w:rsid w:val="0057196B"/>
    <w:rsid w:val="00572313"/>
    <w:rsid w:val="005727EB"/>
    <w:rsid w:val="005729D0"/>
    <w:rsid w:val="00572C42"/>
    <w:rsid w:val="00573065"/>
    <w:rsid w:val="0057329A"/>
    <w:rsid w:val="00574216"/>
    <w:rsid w:val="00574C3A"/>
    <w:rsid w:val="00574C87"/>
    <w:rsid w:val="005752CD"/>
    <w:rsid w:val="0057557B"/>
    <w:rsid w:val="00576CF0"/>
    <w:rsid w:val="00576FEC"/>
    <w:rsid w:val="005771EE"/>
    <w:rsid w:val="0057747E"/>
    <w:rsid w:val="00577C95"/>
    <w:rsid w:val="00577E0B"/>
    <w:rsid w:val="0058081F"/>
    <w:rsid w:val="00581A27"/>
    <w:rsid w:val="00581AD0"/>
    <w:rsid w:val="0058238C"/>
    <w:rsid w:val="005829DE"/>
    <w:rsid w:val="005831AC"/>
    <w:rsid w:val="005831BB"/>
    <w:rsid w:val="00583274"/>
    <w:rsid w:val="005832FE"/>
    <w:rsid w:val="00583731"/>
    <w:rsid w:val="00583903"/>
    <w:rsid w:val="00583975"/>
    <w:rsid w:val="00583DCD"/>
    <w:rsid w:val="0058428D"/>
    <w:rsid w:val="0058529D"/>
    <w:rsid w:val="005852B4"/>
    <w:rsid w:val="005853E7"/>
    <w:rsid w:val="005854B1"/>
    <w:rsid w:val="00585948"/>
    <w:rsid w:val="00585A58"/>
    <w:rsid w:val="00585B70"/>
    <w:rsid w:val="005864E0"/>
    <w:rsid w:val="00587C6A"/>
    <w:rsid w:val="00590107"/>
    <w:rsid w:val="00590927"/>
    <w:rsid w:val="005909AF"/>
    <w:rsid w:val="00591788"/>
    <w:rsid w:val="005922ED"/>
    <w:rsid w:val="005925CD"/>
    <w:rsid w:val="0059299F"/>
    <w:rsid w:val="00592BC2"/>
    <w:rsid w:val="005938DA"/>
    <w:rsid w:val="00594204"/>
    <w:rsid w:val="005943A7"/>
    <w:rsid w:val="00595233"/>
    <w:rsid w:val="005952B4"/>
    <w:rsid w:val="0059580E"/>
    <w:rsid w:val="00595DDC"/>
    <w:rsid w:val="00596366"/>
    <w:rsid w:val="00597764"/>
    <w:rsid w:val="005A14C2"/>
    <w:rsid w:val="005A29E5"/>
    <w:rsid w:val="005A2B88"/>
    <w:rsid w:val="005A2C0F"/>
    <w:rsid w:val="005A3136"/>
    <w:rsid w:val="005A35ED"/>
    <w:rsid w:val="005A4102"/>
    <w:rsid w:val="005A474C"/>
    <w:rsid w:val="005A512F"/>
    <w:rsid w:val="005A562F"/>
    <w:rsid w:val="005A5FD7"/>
    <w:rsid w:val="005A61C3"/>
    <w:rsid w:val="005A6405"/>
    <w:rsid w:val="005A7161"/>
    <w:rsid w:val="005A7F3D"/>
    <w:rsid w:val="005B04C8"/>
    <w:rsid w:val="005B051D"/>
    <w:rsid w:val="005B0F58"/>
    <w:rsid w:val="005B1844"/>
    <w:rsid w:val="005B186A"/>
    <w:rsid w:val="005B1A9D"/>
    <w:rsid w:val="005B1C72"/>
    <w:rsid w:val="005B268F"/>
    <w:rsid w:val="005B2745"/>
    <w:rsid w:val="005B2774"/>
    <w:rsid w:val="005B282B"/>
    <w:rsid w:val="005B2934"/>
    <w:rsid w:val="005B308C"/>
    <w:rsid w:val="005B324C"/>
    <w:rsid w:val="005B3CDA"/>
    <w:rsid w:val="005B3DCA"/>
    <w:rsid w:val="005B419D"/>
    <w:rsid w:val="005B603A"/>
    <w:rsid w:val="005B755D"/>
    <w:rsid w:val="005B772E"/>
    <w:rsid w:val="005C0F1D"/>
    <w:rsid w:val="005C1167"/>
    <w:rsid w:val="005C1297"/>
    <w:rsid w:val="005C1932"/>
    <w:rsid w:val="005C2B01"/>
    <w:rsid w:val="005C5001"/>
    <w:rsid w:val="005C5C25"/>
    <w:rsid w:val="005C5F17"/>
    <w:rsid w:val="005C6832"/>
    <w:rsid w:val="005C6957"/>
    <w:rsid w:val="005C7009"/>
    <w:rsid w:val="005C7C37"/>
    <w:rsid w:val="005C7E5B"/>
    <w:rsid w:val="005D034E"/>
    <w:rsid w:val="005D2018"/>
    <w:rsid w:val="005D3BE7"/>
    <w:rsid w:val="005D402C"/>
    <w:rsid w:val="005D481E"/>
    <w:rsid w:val="005D4C03"/>
    <w:rsid w:val="005D6306"/>
    <w:rsid w:val="005D6D7E"/>
    <w:rsid w:val="005D70EA"/>
    <w:rsid w:val="005D7243"/>
    <w:rsid w:val="005D7D5E"/>
    <w:rsid w:val="005E03A8"/>
    <w:rsid w:val="005E06BA"/>
    <w:rsid w:val="005E0A2A"/>
    <w:rsid w:val="005E0B5A"/>
    <w:rsid w:val="005E0DDF"/>
    <w:rsid w:val="005E1936"/>
    <w:rsid w:val="005E2917"/>
    <w:rsid w:val="005E2940"/>
    <w:rsid w:val="005E2ABB"/>
    <w:rsid w:val="005E37D1"/>
    <w:rsid w:val="005E3B12"/>
    <w:rsid w:val="005E3C2E"/>
    <w:rsid w:val="005E4087"/>
    <w:rsid w:val="005E4435"/>
    <w:rsid w:val="005E49CD"/>
    <w:rsid w:val="005E4A66"/>
    <w:rsid w:val="005E4B81"/>
    <w:rsid w:val="005E5978"/>
    <w:rsid w:val="005E5B59"/>
    <w:rsid w:val="005E5D75"/>
    <w:rsid w:val="005E6FD1"/>
    <w:rsid w:val="005E705A"/>
    <w:rsid w:val="005E7516"/>
    <w:rsid w:val="005E79EB"/>
    <w:rsid w:val="005F0092"/>
    <w:rsid w:val="005F0161"/>
    <w:rsid w:val="005F024F"/>
    <w:rsid w:val="005F0263"/>
    <w:rsid w:val="005F03C2"/>
    <w:rsid w:val="005F09ED"/>
    <w:rsid w:val="005F0D04"/>
    <w:rsid w:val="005F1BC0"/>
    <w:rsid w:val="005F1E45"/>
    <w:rsid w:val="005F30DF"/>
    <w:rsid w:val="005F410B"/>
    <w:rsid w:val="005F43BE"/>
    <w:rsid w:val="005F4D0F"/>
    <w:rsid w:val="005F4F9B"/>
    <w:rsid w:val="005F5EEF"/>
    <w:rsid w:val="005F63F6"/>
    <w:rsid w:val="005F6BDE"/>
    <w:rsid w:val="005F7AD2"/>
    <w:rsid w:val="005F7C53"/>
    <w:rsid w:val="005F7C8E"/>
    <w:rsid w:val="00600E49"/>
    <w:rsid w:val="0060110B"/>
    <w:rsid w:val="00601D61"/>
    <w:rsid w:val="00602270"/>
    <w:rsid w:val="0060245A"/>
    <w:rsid w:val="00602F50"/>
    <w:rsid w:val="00603D30"/>
    <w:rsid w:val="00604C69"/>
    <w:rsid w:val="00605BB1"/>
    <w:rsid w:val="00610F4C"/>
    <w:rsid w:val="00612CAD"/>
    <w:rsid w:val="00612E19"/>
    <w:rsid w:val="00613754"/>
    <w:rsid w:val="00613B3A"/>
    <w:rsid w:val="00614325"/>
    <w:rsid w:val="00614AAD"/>
    <w:rsid w:val="00615295"/>
    <w:rsid w:val="006157FD"/>
    <w:rsid w:val="00615D64"/>
    <w:rsid w:val="006165D3"/>
    <w:rsid w:val="0061682C"/>
    <w:rsid w:val="00616FFC"/>
    <w:rsid w:val="006175B8"/>
    <w:rsid w:val="00617602"/>
    <w:rsid w:val="006177E0"/>
    <w:rsid w:val="00617BF3"/>
    <w:rsid w:val="00617C67"/>
    <w:rsid w:val="00620C18"/>
    <w:rsid w:val="00620D25"/>
    <w:rsid w:val="00620DCF"/>
    <w:rsid w:val="006210D5"/>
    <w:rsid w:val="006213DA"/>
    <w:rsid w:val="00621C9D"/>
    <w:rsid w:val="00621F9B"/>
    <w:rsid w:val="0062241F"/>
    <w:rsid w:val="00622C21"/>
    <w:rsid w:val="006235F9"/>
    <w:rsid w:val="00623613"/>
    <w:rsid w:val="006238CC"/>
    <w:rsid w:val="0062476F"/>
    <w:rsid w:val="00624957"/>
    <w:rsid w:val="00624E0A"/>
    <w:rsid w:val="006255C0"/>
    <w:rsid w:val="0062565D"/>
    <w:rsid w:val="00625BC7"/>
    <w:rsid w:val="00625EFE"/>
    <w:rsid w:val="0062633B"/>
    <w:rsid w:val="00626DED"/>
    <w:rsid w:val="00626FFA"/>
    <w:rsid w:val="0062723E"/>
    <w:rsid w:val="0062763B"/>
    <w:rsid w:val="0062778E"/>
    <w:rsid w:val="0062786F"/>
    <w:rsid w:val="00630398"/>
    <w:rsid w:val="00631ECF"/>
    <w:rsid w:val="006320AF"/>
    <w:rsid w:val="006334A4"/>
    <w:rsid w:val="006343FE"/>
    <w:rsid w:val="00634724"/>
    <w:rsid w:val="00634FE3"/>
    <w:rsid w:val="0063512A"/>
    <w:rsid w:val="00635F09"/>
    <w:rsid w:val="0063630D"/>
    <w:rsid w:val="00636E46"/>
    <w:rsid w:val="00637186"/>
    <w:rsid w:val="00637ACB"/>
    <w:rsid w:val="00637DFD"/>
    <w:rsid w:val="00637F97"/>
    <w:rsid w:val="00640202"/>
    <w:rsid w:val="0064023C"/>
    <w:rsid w:val="00640344"/>
    <w:rsid w:val="00640CAD"/>
    <w:rsid w:val="00641300"/>
    <w:rsid w:val="0064130B"/>
    <w:rsid w:val="0064258C"/>
    <w:rsid w:val="006425B6"/>
    <w:rsid w:val="00643271"/>
    <w:rsid w:val="00643821"/>
    <w:rsid w:val="00644649"/>
    <w:rsid w:val="0064476C"/>
    <w:rsid w:val="006448D5"/>
    <w:rsid w:val="00644F41"/>
    <w:rsid w:val="006450AA"/>
    <w:rsid w:val="006456F1"/>
    <w:rsid w:val="00645C48"/>
    <w:rsid w:val="0064717E"/>
    <w:rsid w:val="00647EA4"/>
    <w:rsid w:val="006506A6"/>
    <w:rsid w:val="00650B74"/>
    <w:rsid w:val="00650D04"/>
    <w:rsid w:val="00650E8B"/>
    <w:rsid w:val="00651568"/>
    <w:rsid w:val="00651582"/>
    <w:rsid w:val="006515C4"/>
    <w:rsid w:val="00651A2A"/>
    <w:rsid w:val="00651C0E"/>
    <w:rsid w:val="006525CE"/>
    <w:rsid w:val="00652727"/>
    <w:rsid w:val="0065377C"/>
    <w:rsid w:val="00653CC1"/>
    <w:rsid w:val="00653DAD"/>
    <w:rsid w:val="006540C2"/>
    <w:rsid w:val="006544EA"/>
    <w:rsid w:val="00654FFB"/>
    <w:rsid w:val="006554CF"/>
    <w:rsid w:val="00656AD5"/>
    <w:rsid w:val="00656CB7"/>
    <w:rsid w:val="00656DFF"/>
    <w:rsid w:val="00657E7B"/>
    <w:rsid w:val="00660019"/>
    <w:rsid w:val="00660497"/>
    <w:rsid w:val="0066065D"/>
    <w:rsid w:val="00660E2A"/>
    <w:rsid w:val="00660EF6"/>
    <w:rsid w:val="0066104D"/>
    <w:rsid w:val="00661126"/>
    <w:rsid w:val="006612F4"/>
    <w:rsid w:val="00661804"/>
    <w:rsid w:val="00661923"/>
    <w:rsid w:val="00662041"/>
    <w:rsid w:val="00662538"/>
    <w:rsid w:val="006633C6"/>
    <w:rsid w:val="00663474"/>
    <w:rsid w:val="006634B1"/>
    <w:rsid w:val="00663A99"/>
    <w:rsid w:val="0066405C"/>
    <w:rsid w:val="00664BFD"/>
    <w:rsid w:val="00664ED3"/>
    <w:rsid w:val="00664F9F"/>
    <w:rsid w:val="0066554C"/>
    <w:rsid w:val="00667C15"/>
    <w:rsid w:val="00667D8F"/>
    <w:rsid w:val="00667E8A"/>
    <w:rsid w:val="00667F46"/>
    <w:rsid w:val="00667F53"/>
    <w:rsid w:val="00670251"/>
    <w:rsid w:val="006709FA"/>
    <w:rsid w:val="00670F0C"/>
    <w:rsid w:val="0067297E"/>
    <w:rsid w:val="00672BDE"/>
    <w:rsid w:val="00675634"/>
    <w:rsid w:val="00675C08"/>
    <w:rsid w:val="00676554"/>
    <w:rsid w:val="00677186"/>
    <w:rsid w:val="00677E39"/>
    <w:rsid w:val="00680C0E"/>
    <w:rsid w:val="00680CFE"/>
    <w:rsid w:val="00680D2C"/>
    <w:rsid w:val="00680FCF"/>
    <w:rsid w:val="0068108C"/>
    <w:rsid w:val="006813BB"/>
    <w:rsid w:val="006818D1"/>
    <w:rsid w:val="00681A02"/>
    <w:rsid w:val="00681CF2"/>
    <w:rsid w:val="0068249F"/>
    <w:rsid w:val="006828CC"/>
    <w:rsid w:val="00682953"/>
    <w:rsid w:val="00682DD2"/>
    <w:rsid w:val="006832B6"/>
    <w:rsid w:val="0068399B"/>
    <w:rsid w:val="0068430E"/>
    <w:rsid w:val="0068453F"/>
    <w:rsid w:val="00685287"/>
    <w:rsid w:val="006857DB"/>
    <w:rsid w:val="00686E27"/>
    <w:rsid w:val="00687846"/>
    <w:rsid w:val="0069040A"/>
    <w:rsid w:val="00690692"/>
    <w:rsid w:val="00690C82"/>
    <w:rsid w:val="00691483"/>
    <w:rsid w:val="00691A97"/>
    <w:rsid w:val="0069247E"/>
    <w:rsid w:val="00693687"/>
    <w:rsid w:val="00693AD1"/>
    <w:rsid w:val="00693ECB"/>
    <w:rsid w:val="006940BA"/>
    <w:rsid w:val="00694A8B"/>
    <w:rsid w:val="006952B7"/>
    <w:rsid w:val="0069531F"/>
    <w:rsid w:val="00695849"/>
    <w:rsid w:val="00695BDE"/>
    <w:rsid w:val="00696149"/>
    <w:rsid w:val="006972E4"/>
    <w:rsid w:val="00697DF9"/>
    <w:rsid w:val="006A01CF"/>
    <w:rsid w:val="006A0260"/>
    <w:rsid w:val="006A0459"/>
    <w:rsid w:val="006A0EB7"/>
    <w:rsid w:val="006A1339"/>
    <w:rsid w:val="006A1F56"/>
    <w:rsid w:val="006A269E"/>
    <w:rsid w:val="006A33F9"/>
    <w:rsid w:val="006A345C"/>
    <w:rsid w:val="006A397D"/>
    <w:rsid w:val="006A3B04"/>
    <w:rsid w:val="006A3B07"/>
    <w:rsid w:val="006A3D54"/>
    <w:rsid w:val="006A435C"/>
    <w:rsid w:val="006A4802"/>
    <w:rsid w:val="006A5056"/>
    <w:rsid w:val="006A5A1F"/>
    <w:rsid w:val="006A5E1D"/>
    <w:rsid w:val="006A6304"/>
    <w:rsid w:val="006A73C1"/>
    <w:rsid w:val="006A7843"/>
    <w:rsid w:val="006B0189"/>
    <w:rsid w:val="006B0502"/>
    <w:rsid w:val="006B0EB0"/>
    <w:rsid w:val="006B208D"/>
    <w:rsid w:val="006B294A"/>
    <w:rsid w:val="006B3389"/>
    <w:rsid w:val="006B33BE"/>
    <w:rsid w:val="006B3E30"/>
    <w:rsid w:val="006B408E"/>
    <w:rsid w:val="006B4CA6"/>
    <w:rsid w:val="006B54B0"/>
    <w:rsid w:val="006B6534"/>
    <w:rsid w:val="006B6718"/>
    <w:rsid w:val="006B6E74"/>
    <w:rsid w:val="006C15C1"/>
    <w:rsid w:val="006C1660"/>
    <w:rsid w:val="006C30BD"/>
    <w:rsid w:val="006C349C"/>
    <w:rsid w:val="006C4168"/>
    <w:rsid w:val="006C4CE8"/>
    <w:rsid w:val="006C4F6C"/>
    <w:rsid w:val="006C557E"/>
    <w:rsid w:val="006C5836"/>
    <w:rsid w:val="006C5D5E"/>
    <w:rsid w:val="006C6630"/>
    <w:rsid w:val="006C7B60"/>
    <w:rsid w:val="006C7C1F"/>
    <w:rsid w:val="006D040A"/>
    <w:rsid w:val="006D04FC"/>
    <w:rsid w:val="006D05EA"/>
    <w:rsid w:val="006D0B6E"/>
    <w:rsid w:val="006D0C02"/>
    <w:rsid w:val="006D0F5A"/>
    <w:rsid w:val="006D1BB0"/>
    <w:rsid w:val="006D1DEF"/>
    <w:rsid w:val="006D2844"/>
    <w:rsid w:val="006D2F4D"/>
    <w:rsid w:val="006D305B"/>
    <w:rsid w:val="006D37ED"/>
    <w:rsid w:val="006D3C42"/>
    <w:rsid w:val="006D4166"/>
    <w:rsid w:val="006D4B90"/>
    <w:rsid w:val="006D51AF"/>
    <w:rsid w:val="006D53A6"/>
    <w:rsid w:val="006D5DD6"/>
    <w:rsid w:val="006D7B05"/>
    <w:rsid w:val="006D7D49"/>
    <w:rsid w:val="006E06D8"/>
    <w:rsid w:val="006E2AD0"/>
    <w:rsid w:val="006E4B39"/>
    <w:rsid w:val="006E5C32"/>
    <w:rsid w:val="006F18B5"/>
    <w:rsid w:val="006F2616"/>
    <w:rsid w:val="006F2704"/>
    <w:rsid w:val="006F30A6"/>
    <w:rsid w:val="006F37F4"/>
    <w:rsid w:val="006F38E9"/>
    <w:rsid w:val="006F3CCD"/>
    <w:rsid w:val="006F4A34"/>
    <w:rsid w:val="006F4ECC"/>
    <w:rsid w:val="006F6178"/>
    <w:rsid w:val="006F651B"/>
    <w:rsid w:val="006F7566"/>
    <w:rsid w:val="006F7CB2"/>
    <w:rsid w:val="006F7FE8"/>
    <w:rsid w:val="0070031A"/>
    <w:rsid w:val="00701B45"/>
    <w:rsid w:val="00702A1D"/>
    <w:rsid w:val="00703A3D"/>
    <w:rsid w:val="00704921"/>
    <w:rsid w:val="00706252"/>
    <w:rsid w:val="00706D25"/>
    <w:rsid w:val="007074E2"/>
    <w:rsid w:val="00707AB9"/>
    <w:rsid w:val="007104FD"/>
    <w:rsid w:val="007105FD"/>
    <w:rsid w:val="007117CC"/>
    <w:rsid w:val="00711A1E"/>
    <w:rsid w:val="00711DE1"/>
    <w:rsid w:val="00712D58"/>
    <w:rsid w:val="007135D8"/>
    <w:rsid w:val="00715167"/>
    <w:rsid w:val="00715310"/>
    <w:rsid w:val="007153FE"/>
    <w:rsid w:val="007155BB"/>
    <w:rsid w:val="00715659"/>
    <w:rsid w:val="00715D44"/>
    <w:rsid w:val="007168DE"/>
    <w:rsid w:val="00716A87"/>
    <w:rsid w:val="00717242"/>
    <w:rsid w:val="0071790A"/>
    <w:rsid w:val="00717C39"/>
    <w:rsid w:val="00717F91"/>
    <w:rsid w:val="00720AE0"/>
    <w:rsid w:val="00720DD9"/>
    <w:rsid w:val="00721766"/>
    <w:rsid w:val="0072190B"/>
    <w:rsid w:val="00722138"/>
    <w:rsid w:val="0072245A"/>
    <w:rsid w:val="0072264F"/>
    <w:rsid w:val="007227DD"/>
    <w:rsid w:val="00722912"/>
    <w:rsid w:val="007230D6"/>
    <w:rsid w:val="00723560"/>
    <w:rsid w:val="0072385D"/>
    <w:rsid w:val="007239E5"/>
    <w:rsid w:val="00723A2D"/>
    <w:rsid w:val="00723D3C"/>
    <w:rsid w:val="007247E8"/>
    <w:rsid w:val="0072495C"/>
    <w:rsid w:val="00724D43"/>
    <w:rsid w:val="00724DC8"/>
    <w:rsid w:val="00724F7F"/>
    <w:rsid w:val="007252DD"/>
    <w:rsid w:val="00726617"/>
    <w:rsid w:val="00727212"/>
    <w:rsid w:val="00727B2D"/>
    <w:rsid w:val="00727DD5"/>
    <w:rsid w:val="00730463"/>
    <w:rsid w:val="00730833"/>
    <w:rsid w:val="00730C7F"/>
    <w:rsid w:val="00731121"/>
    <w:rsid w:val="007319D9"/>
    <w:rsid w:val="00731DDD"/>
    <w:rsid w:val="007326EF"/>
    <w:rsid w:val="00732CAF"/>
    <w:rsid w:val="00732F87"/>
    <w:rsid w:val="0073342F"/>
    <w:rsid w:val="00733CE8"/>
    <w:rsid w:val="00733E85"/>
    <w:rsid w:val="007352A3"/>
    <w:rsid w:val="00736623"/>
    <w:rsid w:val="00736C30"/>
    <w:rsid w:val="00736DF5"/>
    <w:rsid w:val="0073700D"/>
    <w:rsid w:val="007375F9"/>
    <w:rsid w:val="00737A89"/>
    <w:rsid w:val="007416B2"/>
    <w:rsid w:val="00742670"/>
    <w:rsid w:val="0074273C"/>
    <w:rsid w:val="007434A8"/>
    <w:rsid w:val="00743555"/>
    <w:rsid w:val="0074448F"/>
    <w:rsid w:val="00745C0C"/>
    <w:rsid w:val="00745D1D"/>
    <w:rsid w:val="007460A1"/>
    <w:rsid w:val="007465F3"/>
    <w:rsid w:val="007474E0"/>
    <w:rsid w:val="0074776B"/>
    <w:rsid w:val="0074796D"/>
    <w:rsid w:val="00747D8C"/>
    <w:rsid w:val="00747E08"/>
    <w:rsid w:val="00750850"/>
    <w:rsid w:val="007508B1"/>
    <w:rsid w:val="007509B8"/>
    <w:rsid w:val="00750C7C"/>
    <w:rsid w:val="007522B5"/>
    <w:rsid w:val="0075395F"/>
    <w:rsid w:val="007544E0"/>
    <w:rsid w:val="00755716"/>
    <w:rsid w:val="0075649C"/>
    <w:rsid w:val="007568EA"/>
    <w:rsid w:val="00756C33"/>
    <w:rsid w:val="00757727"/>
    <w:rsid w:val="007577B1"/>
    <w:rsid w:val="00757D20"/>
    <w:rsid w:val="0076001F"/>
    <w:rsid w:val="0076011C"/>
    <w:rsid w:val="00760814"/>
    <w:rsid w:val="0076083A"/>
    <w:rsid w:val="0076126A"/>
    <w:rsid w:val="007614B7"/>
    <w:rsid w:val="00761C76"/>
    <w:rsid w:val="00762A5A"/>
    <w:rsid w:val="00762FF1"/>
    <w:rsid w:val="00763F20"/>
    <w:rsid w:val="00764963"/>
    <w:rsid w:val="00765337"/>
    <w:rsid w:val="00765877"/>
    <w:rsid w:val="00765B94"/>
    <w:rsid w:val="00765C87"/>
    <w:rsid w:val="00766814"/>
    <w:rsid w:val="00766C10"/>
    <w:rsid w:val="00767352"/>
    <w:rsid w:val="0077003B"/>
    <w:rsid w:val="00770892"/>
    <w:rsid w:val="00771B45"/>
    <w:rsid w:val="00771F86"/>
    <w:rsid w:val="00772922"/>
    <w:rsid w:val="00772A68"/>
    <w:rsid w:val="00773AFF"/>
    <w:rsid w:val="00773C20"/>
    <w:rsid w:val="00774007"/>
    <w:rsid w:val="00774081"/>
    <w:rsid w:val="00774B0F"/>
    <w:rsid w:val="00775088"/>
    <w:rsid w:val="00777351"/>
    <w:rsid w:val="007775D9"/>
    <w:rsid w:val="0077796B"/>
    <w:rsid w:val="00777C94"/>
    <w:rsid w:val="00777E5A"/>
    <w:rsid w:val="00777E8A"/>
    <w:rsid w:val="00777F1B"/>
    <w:rsid w:val="00777FB5"/>
    <w:rsid w:val="007801A2"/>
    <w:rsid w:val="007805C3"/>
    <w:rsid w:val="007823E6"/>
    <w:rsid w:val="00782AB0"/>
    <w:rsid w:val="0078306F"/>
    <w:rsid w:val="007832D0"/>
    <w:rsid w:val="007835F4"/>
    <w:rsid w:val="00783AE4"/>
    <w:rsid w:val="007841EF"/>
    <w:rsid w:val="007842F1"/>
    <w:rsid w:val="00784596"/>
    <w:rsid w:val="007853EA"/>
    <w:rsid w:val="00785492"/>
    <w:rsid w:val="00785D38"/>
    <w:rsid w:val="00785F07"/>
    <w:rsid w:val="00786822"/>
    <w:rsid w:val="007873E7"/>
    <w:rsid w:val="00787A17"/>
    <w:rsid w:val="00790EA4"/>
    <w:rsid w:val="007911C3"/>
    <w:rsid w:val="00791C0D"/>
    <w:rsid w:val="007921B8"/>
    <w:rsid w:val="00792286"/>
    <w:rsid w:val="00792F00"/>
    <w:rsid w:val="007935DC"/>
    <w:rsid w:val="0079548E"/>
    <w:rsid w:val="0079592F"/>
    <w:rsid w:val="007964A6"/>
    <w:rsid w:val="00796557"/>
    <w:rsid w:val="00797196"/>
    <w:rsid w:val="00797F15"/>
    <w:rsid w:val="007A1D6B"/>
    <w:rsid w:val="007A1E17"/>
    <w:rsid w:val="007A1F16"/>
    <w:rsid w:val="007A2EB9"/>
    <w:rsid w:val="007A2F5C"/>
    <w:rsid w:val="007A3123"/>
    <w:rsid w:val="007A3E6F"/>
    <w:rsid w:val="007A43C8"/>
    <w:rsid w:val="007A4567"/>
    <w:rsid w:val="007A4595"/>
    <w:rsid w:val="007A5C55"/>
    <w:rsid w:val="007A5CC4"/>
    <w:rsid w:val="007A76AD"/>
    <w:rsid w:val="007B0F5F"/>
    <w:rsid w:val="007B2E66"/>
    <w:rsid w:val="007B328F"/>
    <w:rsid w:val="007B3424"/>
    <w:rsid w:val="007B34B6"/>
    <w:rsid w:val="007B3723"/>
    <w:rsid w:val="007B3C4A"/>
    <w:rsid w:val="007B3D34"/>
    <w:rsid w:val="007B3F29"/>
    <w:rsid w:val="007B4328"/>
    <w:rsid w:val="007B59CA"/>
    <w:rsid w:val="007B626F"/>
    <w:rsid w:val="007B6759"/>
    <w:rsid w:val="007B6C00"/>
    <w:rsid w:val="007B6ECE"/>
    <w:rsid w:val="007B6EE3"/>
    <w:rsid w:val="007B6F53"/>
    <w:rsid w:val="007B79DA"/>
    <w:rsid w:val="007B7C76"/>
    <w:rsid w:val="007B7F52"/>
    <w:rsid w:val="007C0152"/>
    <w:rsid w:val="007C0702"/>
    <w:rsid w:val="007C0AFF"/>
    <w:rsid w:val="007C18C4"/>
    <w:rsid w:val="007C1FA3"/>
    <w:rsid w:val="007C209F"/>
    <w:rsid w:val="007C21F1"/>
    <w:rsid w:val="007C2616"/>
    <w:rsid w:val="007C2A8A"/>
    <w:rsid w:val="007C2C76"/>
    <w:rsid w:val="007C3044"/>
    <w:rsid w:val="007C34F4"/>
    <w:rsid w:val="007C3B01"/>
    <w:rsid w:val="007C3D39"/>
    <w:rsid w:val="007C4671"/>
    <w:rsid w:val="007C5018"/>
    <w:rsid w:val="007C5FA7"/>
    <w:rsid w:val="007C6C99"/>
    <w:rsid w:val="007C73B0"/>
    <w:rsid w:val="007C7AC2"/>
    <w:rsid w:val="007D0254"/>
    <w:rsid w:val="007D0A00"/>
    <w:rsid w:val="007D0CB2"/>
    <w:rsid w:val="007D0DEE"/>
    <w:rsid w:val="007D0F92"/>
    <w:rsid w:val="007D1467"/>
    <w:rsid w:val="007D1594"/>
    <w:rsid w:val="007D17BE"/>
    <w:rsid w:val="007D2D60"/>
    <w:rsid w:val="007D3A9B"/>
    <w:rsid w:val="007D4A42"/>
    <w:rsid w:val="007D4DB2"/>
    <w:rsid w:val="007D5252"/>
    <w:rsid w:val="007D5534"/>
    <w:rsid w:val="007D59DD"/>
    <w:rsid w:val="007D6EF3"/>
    <w:rsid w:val="007D70F2"/>
    <w:rsid w:val="007D7777"/>
    <w:rsid w:val="007E02B1"/>
    <w:rsid w:val="007E065C"/>
    <w:rsid w:val="007E0D53"/>
    <w:rsid w:val="007E3337"/>
    <w:rsid w:val="007E3718"/>
    <w:rsid w:val="007E37B1"/>
    <w:rsid w:val="007E4306"/>
    <w:rsid w:val="007E564E"/>
    <w:rsid w:val="007E641A"/>
    <w:rsid w:val="007E6A8A"/>
    <w:rsid w:val="007E6CFB"/>
    <w:rsid w:val="007E7021"/>
    <w:rsid w:val="007F032C"/>
    <w:rsid w:val="007F0368"/>
    <w:rsid w:val="007F07E1"/>
    <w:rsid w:val="007F0F45"/>
    <w:rsid w:val="007F131F"/>
    <w:rsid w:val="007F1529"/>
    <w:rsid w:val="007F174E"/>
    <w:rsid w:val="007F1BF3"/>
    <w:rsid w:val="007F1E71"/>
    <w:rsid w:val="007F2C95"/>
    <w:rsid w:val="007F343B"/>
    <w:rsid w:val="007F3623"/>
    <w:rsid w:val="007F43BA"/>
    <w:rsid w:val="007F5545"/>
    <w:rsid w:val="007F5D63"/>
    <w:rsid w:val="007F66BA"/>
    <w:rsid w:val="007F689C"/>
    <w:rsid w:val="007F6C2D"/>
    <w:rsid w:val="007F6EFC"/>
    <w:rsid w:val="0080001E"/>
    <w:rsid w:val="0080087C"/>
    <w:rsid w:val="00800998"/>
    <w:rsid w:val="00800A94"/>
    <w:rsid w:val="00801383"/>
    <w:rsid w:val="00801BB7"/>
    <w:rsid w:val="00801E0A"/>
    <w:rsid w:val="008020AC"/>
    <w:rsid w:val="008023D1"/>
    <w:rsid w:val="00802884"/>
    <w:rsid w:val="00803C21"/>
    <w:rsid w:val="00803E76"/>
    <w:rsid w:val="00804771"/>
    <w:rsid w:val="00804A55"/>
    <w:rsid w:val="00805C45"/>
    <w:rsid w:val="00805DC3"/>
    <w:rsid w:val="0080679D"/>
    <w:rsid w:val="008067D7"/>
    <w:rsid w:val="00807C26"/>
    <w:rsid w:val="008100BE"/>
    <w:rsid w:val="008109D9"/>
    <w:rsid w:val="00810DC2"/>
    <w:rsid w:val="008117B5"/>
    <w:rsid w:val="008123B1"/>
    <w:rsid w:val="00812A30"/>
    <w:rsid w:val="0081429A"/>
    <w:rsid w:val="00815C34"/>
    <w:rsid w:val="008165C1"/>
    <w:rsid w:val="00816D08"/>
    <w:rsid w:val="00821B96"/>
    <w:rsid w:val="00822B09"/>
    <w:rsid w:val="00822CFC"/>
    <w:rsid w:val="008234E5"/>
    <w:rsid w:val="00823D55"/>
    <w:rsid w:val="008240FB"/>
    <w:rsid w:val="0082476C"/>
    <w:rsid w:val="0082531D"/>
    <w:rsid w:val="0082615B"/>
    <w:rsid w:val="00826370"/>
    <w:rsid w:val="0082677E"/>
    <w:rsid w:val="00826C4D"/>
    <w:rsid w:val="00826F2B"/>
    <w:rsid w:val="00827017"/>
    <w:rsid w:val="0082746D"/>
    <w:rsid w:val="00830D20"/>
    <w:rsid w:val="00830FA9"/>
    <w:rsid w:val="0083152B"/>
    <w:rsid w:val="00831549"/>
    <w:rsid w:val="00831E74"/>
    <w:rsid w:val="00832401"/>
    <w:rsid w:val="00832987"/>
    <w:rsid w:val="008330C5"/>
    <w:rsid w:val="00833728"/>
    <w:rsid w:val="00833B83"/>
    <w:rsid w:val="00833DD4"/>
    <w:rsid w:val="00835E94"/>
    <w:rsid w:val="008364EA"/>
    <w:rsid w:val="008368D0"/>
    <w:rsid w:val="00836B0A"/>
    <w:rsid w:val="00837DFC"/>
    <w:rsid w:val="00840599"/>
    <w:rsid w:val="00840818"/>
    <w:rsid w:val="00840932"/>
    <w:rsid w:val="00840B1E"/>
    <w:rsid w:val="00840C4B"/>
    <w:rsid w:val="00841125"/>
    <w:rsid w:val="00841F7C"/>
    <w:rsid w:val="00843376"/>
    <w:rsid w:val="00844495"/>
    <w:rsid w:val="00844EF5"/>
    <w:rsid w:val="0084561C"/>
    <w:rsid w:val="0084582F"/>
    <w:rsid w:val="008467A4"/>
    <w:rsid w:val="00846AEC"/>
    <w:rsid w:val="00846AF9"/>
    <w:rsid w:val="008473EA"/>
    <w:rsid w:val="00847632"/>
    <w:rsid w:val="00847908"/>
    <w:rsid w:val="00847D91"/>
    <w:rsid w:val="008502F3"/>
    <w:rsid w:val="00851650"/>
    <w:rsid w:val="00851EE7"/>
    <w:rsid w:val="008520A7"/>
    <w:rsid w:val="008525FC"/>
    <w:rsid w:val="0085271A"/>
    <w:rsid w:val="00852F0A"/>
    <w:rsid w:val="00852F5A"/>
    <w:rsid w:val="00853162"/>
    <w:rsid w:val="00853C66"/>
    <w:rsid w:val="0085452A"/>
    <w:rsid w:val="00854585"/>
    <w:rsid w:val="008568C3"/>
    <w:rsid w:val="00856944"/>
    <w:rsid w:val="008574CC"/>
    <w:rsid w:val="008578D5"/>
    <w:rsid w:val="008630EC"/>
    <w:rsid w:val="0086340A"/>
    <w:rsid w:val="00863F9D"/>
    <w:rsid w:val="00864701"/>
    <w:rsid w:val="00864826"/>
    <w:rsid w:val="00864EDD"/>
    <w:rsid w:val="00864F10"/>
    <w:rsid w:val="0086760B"/>
    <w:rsid w:val="00870717"/>
    <w:rsid w:val="00870BC1"/>
    <w:rsid w:val="00871FCD"/>
    <w:rsid w:val="00872A1C"/>
    <w:rsid w:val="00873645"/>
    <w:rsid w:val="0087417D"/>
    <w:rsid w:val="0087429D"/>
    <w:rsid w:val="00874879"/>
    <w:rsid w:val="00874B0C"/>
    <w:rsid w:val="00875285"/>
    <w:rsid w:val="008759FA"/>
    <w:rsid w:val="00875E2C"/>
    <w:rsid w:val="00875E7B"/>
    <w:rsid w:val="00876019"/>
    <w:rsid w:val="00876530"/>
    <w:rsid w:val="00876628"/>
    <w:rsid w:val="00876758"/>
    <w:rsid w:val="00877481"/>
    <w:rsid w:val="00877A27"/>
    <w:rsid w:val="00877C12"/>
    <w:rsid w:val="00877E75"/>
    <w:rsid w:val="008803E3"/>
    <w:rsid w:val="008819EB"/>
    <w:rsid w:val="00881ACE"/>
    <w:rsid w:val="00881C9E"/>
    <w:rsid w:val="008822CB"/>
    <w:rsid w:val="008827C8"/>
    <w:rsid w:val="008831E1"/>
    <w:rsid w:val="00883490"/>
    <w:rsid w:val="008843A2"/>
    <w:rsid w:val="008850EC"/>
    <w:rsid w:val="008859CA"/>
    <w:rsid w:val="00887352"/>
    <w:rsid w:val="00887DBF"/>
    <w:rsid w:val="0089014B"/>
    <w:rsid w:val="008905FB"/>
    <w:rsid w:val="00890686"/>
    <w:rsid w:val="008908EC"/>
    <w:rsid w:val="00890FD2"/>
    <w:rsid w:val="00891245"/>
    <w:rsid w:val="00891D03"/>
    <w:rsid w:val="008922AB"/>
    <w:rsid w:val="0089257D"/>
    <w:rsid w:val="008925AF"/>
    <w:rsid w:val="008927AA"/>
    <w:rsid w:val="008928DC"/>
    <w:rsid w:val="00893238"/>
    <w:rsid w:val="00893257"/>
    <w:rsid w:val="0089416A"/>
    <w:rsid w:val="00894186"/>
    <w:rsid w:val="00894641"/>
    <w:rsid w:val="00894E77"/>
    <w:rsid w:val="00894EC5"/>
    <w:rsid w:val="00895750"/>
    <w:rsid w:val="00895A86"/>
    <w:rsid w:val="00895E99"/>
    <w:rsid w:val="008968BB"/>
    <w:rsid w:val="00897D66"/>
    <w:rsid w:val="008A06FC"/>
    <w:rsid w:val="008A0E61"/>
    <w:rsid w:val="008A10FF"/>
    <w:rsid w:val="008A1391"/>
    <w:rsid w:val="008A13F0"/>
    <w:rsid w:val="008A149E"/>
    <w:rsid w:val="008A2A35"/>
    <w:rsid w:val="008A2B9A"/>
    <w:rsid w:val="008A3E66"/>
    <w:rsid w:val="008A40AA"/>
    <w:rsid w:val="008A48B7"/>
    <w:rsid w:val="008A499B"/>
    <w:rsid w:val="008A4C29"/>
    <w:rsid w:val="008A5626"/>
    <w:rsid w:val="008A5C90"/>
    <w:rsid w:val="008A5EFC"/>
    <w:rsid w:val="008A603F"/>
    <w:rsid w:val="008A60D0"/>
    <w:rsid w:val="008A6264"/>
    <w:rsid w:val="008A659B"/>
    <w:rsid w:val="008A663A"/>
    <w:rsid w:val="008A6C73"/>
    <w:rsid w:val="008A7B36"/>
    <w:rsid w:val="008B09E4"/>
    <w:rsid w:val="008B115F"/>
    <w:rsid w:val="008B1F62"/>
    <w:rsid w:val="008B4142"/>
    <w:rsid w:val="008B4A58"/>
    <w:rsid w:val="008B4E71"/>
    <w:rsid w:val="008B4F4F"/>
    <w:rsid w:val="008B5AFC"/>
    <w:rsid w:val="008B666D"/>
    <w:rsid w:val="008B6915"/>
    <w:rsid w:val="008B69E9"/>
    <w:rsid w:val="008B7332"/>
    <w:rsid w:val="008B73B2"/>
    <w:rsid w:val="008B7BA0"/>
    <w:rsid w:val="008C0C12"/>
    <w:rsid w:val="008C0DAA"/>
    <w:rsid w:val="008C0F8A"/>
    <w:rsid w:val="008C163E"/>
    <w:rsid w:val="008C1763"/>
    <w:rsid w:val="008C20D7"/>
    <w:rsid w:val="008C33BF"/>
    <w:rsid w:val="008C3EDB"/>
    <w:rsid w:val="008C4F06"/>
    <w:rsid w:val="008C50F6"/>
    <w:rsid w:val="008C5466"/>
    <w:rsid w:val="008C5DCA"/>
    <w:rsid w:val="008C68C8"/>
    <w:rsid w:val="008C6AD0"/>
    <w:rsid w:val="008C6C11"/>
    <w:rsid w:val="008C7084"/>
    <w:rsid w:val="008C7091"/>
    <w:rsid w:val="008C7722"/>
    <w:rsid w:val="008D03AA"/>
    <w:rsid w:val="008D1565"/>
    <w:rsid w:val="008D175E"/>
    <w:rsid w:val="008D1977"/>
    <w:rsid w:val="008D2E93"/>
    <w:rsid w:val="008D364D"/>
    <w:rsid w:val="008D43D5"/>
    <w:rsid w:val="008D4BCB"/>
    <w:rsid w:val="008D4E0E"/>
    <w:rsid w:val="008D4EF8"/>
    <w:rsid w:val="008D50AC"/>
    <w:rsid w:val="008D5CEF"/>
    <w:rsid w:val="008D650D"/>
    <w:rsid w:val="008D666A"/>
    <w:rsid w:val="008D78A8"/>
    <w:rsid w:val="008D78DE"/>
    <w:rsid w:val="008D7C3D"/>
    <w:rsid w:val="008E0363"/>
    <w:rsid w:val="008E0867"/>
    <w:rsid w:val="008E0969"/>
    <w:rsid w:val="008E0A97"/>
    <w:rsid w:val="008E14A6"/>
    <w:rsid w:val="008E1A6D"/>
    <w:rsid w:val="008E1A9D"/>
    <w:rsid w:val="008E2D26"/>
    <w:rsid w:val="008E39B3"/>
    <w:rsid w:val="008E3C36"/>
    <w:rsid w:val="008E445A"/>
    <w:rsid w:val="008E50DA"/>
    <w:rsid w:val="008E5E29"/>
    <w:rsid w:val="008E5F9F"/>
    <w:rsid w:val="008E66FA"/>
    <w:rsid w:val="008E7201"/>
    <w:rsid w:val="008E75A2"/>
    <w:rsid w:val="008E7848"/>
    <w:rsid w:val="008F091C"/>
    <w:rsid w:val="008F0B32"/>
    <w:rsid w:val="008F0E18"/>
    <w:rsid w:val="008F13E1"/>
    <w:rsid w:val="008F1833"/>
    <w:rsid w:val="008F3B0B"/>
    <w:rsid w:val="008F3B7B"/>
    <w:rsid w:val="008F3DF2"/>
    <w:rsid w:val="008F3FC7"/>
    <w:rsid w:val="008F50D1"/>
    <w:rsid w:val="008F5152"/>
    <w:rsid w:val="008F515A"/>
    <w:rsid w:val="008F537B"/>
    <w:rsid w:val="008F54CE"/>
    <w:rsid w:val="008F5830"/>
    <w:rsid w:val="008F59C2"/>
    <w:rsid w:val="008F6CB8"/>
    <w:rsid w:val="008F7821"/>
    <w:rsid w:val="008F79A2"/>
    <w:rsid w:val="008F7A75"/>
    <w:rsid w:val="0090172C"/>
    <w:rsid w:val="009018E2"/>
    <w:rsid w:val="009021DF"/>
    <w:rsid w:val="00902306"/>
    <w:rsid w:val="00902660"/>
    <w:rsid w:val="00902E37"/>
    <w:rsid w:val="00902FD2"/>
    <w:rsid w:val="009031BE"/>
    <w:rsid w:val="00903EA2"/>
    <w:rsid w:val="00903F4C"/>
    <w:rsid w:val="00903FE2"/>
    <w:rsid w:val="00904611"/>
    <w:rsid w:val="009055CC"/>
    <w:rsid w:val="00905A3B"/>
    <w:rsid w:val="009060EA"/>
    <w:rsid w:val="00906435"/>
    <w:rsid w:val="00906D32"/>
    <w:rsid w:val="00906E88"/>
    <w:rsid w:val="00910449"/>
    <w:rsid w:val="00910894"/>
    <w:rsid w:val="00910C95"/>
    <w:rsid w:val="0091172A"/>
    <w:rsid w:val="009118EF"/>
    <w:rsid w:val="009129B9"/>
    <w:rsid w:val="00912FD8"/>
    <w:rsid w:val="00913B7F"/>
    <w:rsid w:val="0091429E"/>
    <w:rsid w:val="00914545"/>
    <w:rsid w:val="009149F2"/>
    <w:rsid w:val="00914F49"/>
    <w:rsid w:val="0091514A"/>
    <w:rsid w:val="00915176"/>
    <w:rsid w:val="00915534"/>
    <w:rsid w:val="00915AB0"/>
    <w:rsid w:val="00915E94"/>
    <w:rsid w:val="0091661C"/>
    <w:rsid w:val="00916C84"/>
    <w:rsid w:val="00917509"/>
    <w:rsid w:val="00917689"/>
    <w:rsid w:val="00917AF2"/>
    <w:rsid w:val="009212C3"/>
    <w:rsid w:val="009230B6"/>
    <w:rsid w:val="0092383E"/>
    <w:rsid w:val="009239C2"/>
    <w:rsid w:val="00924ACD"/>
    <w:rsid w:val="0092565B"/>
    <w:rsid w:val="00926A3D"/>
    <w:rsid w:val="0092757A"/>
    <w:rsid w:val="00927622"/>
    <w:rsid w:val="00930898"/>
    <w:rsid w:val="0093119C"/>
    <w:rsid w:val="0093133F"/>
    <w:rsid w:val="00931C9B"/>
    <w:rsid w:val="009326AE"/>
    <w:rsid w:val="009333B6"/>
    <w:rsid w:val="00933643"/>
    <w:rsid w:val="00933C8B"/>
    <w:rsid w:val="009346F1"/>
    <w:rsid w:val="009348F6"/>
    <w:rsid w:val="00935D16"/>
    <w:rsid w:val="00936B07"/>
    <w:rsid w:val="00937266"/>
    <w:rsid w:val="00940099"/>
    <w:rsid w:val="009402B7"/>
    <w:rsid w:val="009406ED"/>
    <w:rsid w:val="00940BE8"/>
    <w:rsid w:val="00942897"/>
    <w:rsid w:val="00942B1A"/>
    <w:rsid w:val="00942E20"/>
    <w:rsid w:val="00942EFA"/>
    <w:rsid w:val="0094334E"/>
    <w:rsid w:val="009443D3"/>
    <w:rsid w:val="009446C7"/>
    <w:rsid w:val="00944C8E"/>
    <w:rsid w:val="00944CA3"/>
    <w:rsid w:val="009452E0"/>
    <w:rsid w:val="009453CC"/>
    <w:rsid w:val="00945686"/>
    <w:rsid w:val="0094597E"/>
    <w:rsid w:val="00945DDE"/>
    <w:rsid w:val="009461E1"/>
    <w:rsid w:val="00946252"/>
    <w:rsid w:val="009462F3"/>
    <w:rsid w:val="0094675A"/>
    <w:rsid w:val="00946B67"/>
    <w:rsid w:val="00946B7A"/>
    <w:rsid w:val="00946FEF"/>
    <w:rsid w:val="00947170"/>
    <w:rsid w:val="00951877"/>
    <w:rsid w:val="00951B28"/>
    <w:rsid w:val="00951CC4"/>
    <w:rsid w:val="00952132"/>
    <w:rsid w:val="009537C4"/>
    <w:rsid w:val="00953F63"/>
    <w:rsid w:val="00954382"/>
    <w:rsid w:val="0095460A"/>
    <w:rsid w:val="00954823"/>
    <w:rsid w:val="0095490E"/>
    <w:rsid w:val="009550FF"/>
    <w:rsid w:val="00955BAD"/>
    <w:rsid w:val="009560AE"/>
    <w:rsid w:val="00956881"/>
    <w:rsid w:val="009576B7"/>
    <w:rsid w:val="00957830"/>
    <w:rsid w:val="009578CD"/>
    <w:rsid w:val="00957B19"/>
    <w:rsid w:val="0096031E"/>
    <w:rsid w:val="009603D3"/>
    <w:rsid w:val="00960942"/>
    <w:rsid w:val="00960991"/>
    <w:rsid w:val="00960E3D"/>
    <w:rsid w:val="0096161C"/>
    <w:rsid w:val="009618F5"/>
    <w:rsid w:val="00961A54"/>
    <w:rsid w:val="0096219F"/>
    <w:rsid w:val="0096256A"/>
    <w:rsid w:val="00962653"/>
    <w:rsid w:val="0096315D"/>
    <w:rsid w:val="0096416E"/>
    <w:rsid w:val="009641FB"/>
    <w:rsid w:val="00965AA0"/>
    <w:rsid w:val="00966C2B"/>
    <w:rsid w:val="0096765D"/>
    <w:rsid w:val="00967A39"/>
    <w:rsid w:val="00967B3B"/>
    <w:rsid w:val="0097058B"/>
    <w:rsid w:val="00971185"/>
    <w:rsid w:val="009713EE"/>
    <w:rsid w:val="00971D37"/>
    <w:rsid w:val="009727A4"/>
    <w:rsid w:val="00972922"/>
    <w:rsid w:val="00972DB8"/>
    <w:rsid w:val="00973F14"/>
    <w:rsid w:val="00974A3F"/>
    <w:rsid w:val="00974C19"/>
    <w:rsid w:val="00975413"/>
    <w:rsid w:val="00975705"/>
    <w:rsid w:val="00976A60"/>
    <w:rsid w:val="009775DB"/>
    <w:rsid w:val="00977C5B"/>
    <w:rsid w:val="0098083B"/>
    <w:rsid w:val="0098125F"/>
    <w:rsid w:val="00981E41"/>
    <w:rsid w:val="00982650"/>
    <w:rsid w:val="009837D9"/>
    <w:rsid w:val="00983DD3"/>
    <w:rsid w:val="00984084"/>
    <w:rsid w:val="00984243"/>
    <w:rsid w:val="00984485"/>
    <w:rsid w:val="00984F0D"/>
    <w:rsid w:val="00985206"/>
    <w:rsid w:val="009857C9"/>
    <w:rsid w:val="00985AFD"/>
    <w:rsid w:val="00985F7E"/>
    <w:rsid w:val="00986C58"/>
    <w:rsid w:val="00986C76"/>
    <w:rsid w:val="00987F51"/>
    <w:rsid w:val="00990A65"/>
    <w:rsid w:val="00990C7B"/>
    <w:rsid w:val="00991B14"/>
    <w:rsid w:val="00992444"/>
    <w:rsid w:val="00992A88"/>
    <w:rsid w:val="0099371A"/>
    <w:rsid w:val="00993C90"/>
    <w:rsid w:val="009940FB"/>
    <w:rsid w:val="00994139"/>
    <w:rsid w:val="009946CB"/>
    <w:rsid w:val="00994813"/>
    <w:rsid w:val="00994886"/>
    <w:rsid w:val="00994976"/>
    <w:rsid w:val="00994C82"/>
    <w:rsid w:val="009951BC"/>
    <w:rsid w:val="00995904"/>
    <w:rsid w:val="00995E8B"/>
    <w:rsid w:val="00996C7E"/>
    <w:rsid w:val="0099727B"/>
    <w:rsid w:val="009975A8"/>
    <w:rsid w:val="009A00DA"/>
    <w:rsid w:val="009A03F1"/>
    <w:rsid w:val="009A0B37"/>
    <w:rsid w:val="009A0BD9"/>
    <w:rsid w:val="009A0F1D"/>
    <w:rsid w:val="009A0F68"/>
    <w:rsid w:val="009A1060"/>
    <w:rsid w:val="009A2B6A"/>
    <w:rsid w:val="009A3CED"/>
    <w:rsid w:val="009A4401"/>
    <w:rsid w:val="009A5B0D"/>
    <w:rsid w:val="009A6597"/>
    <w:rsid w:val="009A6E97"/>
    <w:rsid w:val="009A7DF9"/>
    <w:rsid w:val="009B00C5"/>
    <w:rsid w:val="009B2D67"/>
    <w:rsid w:val="009B3172"/>
    <w:rsid w:val="009B34F2"/>
    <w:rsid w:val="009B3F4B"/>
    <w:rsid w:val="009B3FFC"/>
    <w:rsid w:val="009B4172"/>
    <w:rsid w:val="009B4532"/>
    <w:rsid w:val="009B48CC"/>
    <w:rsid w:val="009B50AF"/>
    <w:rsid w:val="009B5218"/>
    <w:rsid w:val="009B5368"/>
    <w:rsid w:val="009B54C4"/>
    <w:rsid w:val="009B597F"/>
    <w:rsid w:val="009B64C3"/>
    <w:rsid w:val="009B73C1"/>
    <w:rsid w:val="009B757D"/>
    <w:rsid w:val="009B799F"/>
    <w:rsid w:val="009C0C1C"/>
    <w:rsid w:val="009C0DFE"/>
    <w:rsid w:val="009C0EBF"/>
    <w:rsid w:val="009C15FC"/>
    <w:rsid w:val="009C2832"/>
    <w:rsid w:val="009C2C65"/>
    <w:rsid w:val="009C3338"/>
    <w:rsid w:val="009C3F5D"/>
    <w:rsid w:val="009C48B6"/>
    <w:rsid w:val="009C4B7A"/>
    <w:rsid w:val="009C4E57"/>
    <w:rsid w:val="009C5601"/>
    <w:rsid w:val="009C6522"/>
    <w:rsid w:val="009C705D"/>
    <w:rsid w:val="009C710D"/>
    <w:rsid w:val="009C7917"/>
    <w:rsid w:val="009D11B5"/>
    <w:rsid w:val="009D1647"/>
    <w:rsid w:val="009D1D0B"/>
    <w:rsid w:val="009D249C"/>
    <w:rsid w:val="009D268E"/>
    <w:rsid w:val="009D3A39"/>
    <w:rsid w:val="009D3D8B"/>
    <w:rsid w:val="009D4A81"/>
    <w:rsid w:val="009D4FAD"/>
    <w:rsid w:val="009D5955"/>
    <w:rsid w:val="009D6D47"/>
    <w:rsid w:val="009D72F3"/>
    <w:rsid w:val="009D74C2"/>
    <w:rsid w:val="009D79F2"/>
    <w:rsid w:val="009E0407"/>
    <w:rsid w:val="009E0659"/>
    <w:rsid w:val="009E0D1E"/>
    <w:rsid w:val="009E108E"/>
    <w:rsid w:val="009E2283"/>
    <w:rsid w:val="009E23AC"/>
    <w:rsid w:val="009E241E"/>
    <w:rsid w:val="009E3513"/>
    <w:rsid w:val="009E3659"/>
    <w:rsid w:val="009E46B8"/>
    <w:rsid w:val="009E5117"/>
    <w:rsid w:val="009E548F"/>
    <w:rsid w:val="009E54DC"/>
    <w:rsid w:val="009E552B"/>
    <w:rsid w:val="009E5B39"/>
    <w:rsid w:val="009E5B7D"/>
    <w:rsid w:val="009E63CD"/>
    <w:rsid w:val="009E6E60"/>
    <w:rsid w:val="009E7D6B"/>
    <w:rsid w:val="009F0ABC"/>
    <w:rsid w:val="009F10F0"/>
    <w:rsid w:val="009F12F0"/>
    <w:rsid w:val="009F1CEF"/>
    <w:rsid w:val="009F20B7"/>
    <w:rsid w:val="009F224A"/>
    <w:rsid w:val="009F250B"/>
    <w:rsid w:val="009F31A0"/>
    <w:rsid w:val="009F32C5"/>
    <w:rsid w:val="009F3A67"/>
    <w:rsid w:val="009F47AB"/>
    <w:rsid w:val="009F4B12"/>
    <w:rsid w:val="009F4E63"/>
    <w:rsid w:val="009F558F"/>
    <w:rsid w:val="009F58F4"/>
    <w:rsid w:val="009F661F"/>
    <w:rsid w:val="009F690A"/>
    <w:rsid w:val="009F70DA"/>
    <w:rsid w:val="009F7EC7"/>
    <w:rsid w:val="00A009AC"/>
    <w:rsid w:val="00A00C45"/>
    <w:rsid w:val="00A00E38"/>
    <w:rsid w:val="00A0109C"/>
    <w:rsid w:val="00A0148C"/>
    <w:rsid w:val="00A016B4"/>
    <w:rsid w:val="00A02904"/>
    <w:rsid w:val="00A02F29"/>
    <w:rsid w:val="00A0369A"/>
    <w:rsid w:val="00A036E7"/>
    <w:rsid w:val="00A04149"/>
    <w:rsid w:val="00A05595"/>
    <w:rsid w:val="00A0576A"/>
    <w:rsid w:val="00A0687A"/>
    <w:rsid w:val="00A06CD4"/>
    <w:rsid w:val="00A06D83"/>
    <w:rsid w:val="00A10084"/>
    <w:rsid w:val="00A10247"/>
    <w:rsid w:val="00A10706"/>
    <w:rsid w:val="00A10BDE"/>
    <w:rsid w:val="00A10ED4"/>
    <w:rsid w:val="00A111F6"/>
    <w:rsid w:val="00A11571"/>
    <w:rsid w:val="00A11B9E"/>
    <w:rsid w:val="00A12028"/>
    <w:rsid w:val="00A1234E"/>
    <w:rsid w:val="00A1258F"/>
    <w:rsid w:val="00A12834"/>
    <w:rsid w:val="00A12D6F"/>
    <w:rsid w:val="00A1365B"/>
    <w:rsid w:val="00A13FF8"/>
    <w:rsid w:val="00A14691"/>
    <w:rsid w:val="00A14FB4"/>
    <w:rsid w:val="00A162AB"/>
    <w:rsid w:val="00A16DAB"/>
    <w:rsid w:val="00A17476"/>
    <w:rsid w:val="00A17A6C"/>
    <w:rsid w:val="00A20147"/>
    <w:rsid w:val="00A2058C"/>
    <w:rsid w:val="00A20786"/>
    <w:rsid w:val="00A20BC8"/>
    <w:rsid w:val="00A218C2"/>
    <w:rsid w:val="00A22543"/>
    <w:rsid w:val="00A22B4F"/>
    <w:rsid w:val="00A22D55"/>
    <w:rsid w:val="00A238C5"/>
    <w:rsid w:val="00A238F9"/>
    <w:rsid w:val="00A23AB4"/>
    <w:rsid w:val="00A23FD5"/>
    <w:rsid w:val="00A23FE1"/>
    <w:rsid w:val="00A2475D"/>
    <w:rsid w:val="00A24AB4"/>
    <w:rsid w:val="00A24B53"/>
    <w:rsid w:val="00A25106"/>
    <w:rsid w:val="00A25E55"/>
    <w:rsid w:val="00A26429"/>
    <w:rsid w:val="00A270A5"/>
    <w:rsid w:val="00A27385"/>
    <w:rsid w:val="00A273A9"/>
    <w:rsid w:val="00A277A0"/>
    <w:rsid w:val="00A27A95"/>
    <w:rsid w:val="00A27C9A"/>
    <w:rsid w:val="00A27E5F"/>
    <w:rsid w:val="00A30201"/>
    <w:rsid w:val="00A30594"/>
    <w:rsid w:val="00A307CB"/>
    <w:rsid w:val="00A329B1"/>
    <w:rsid w:val="00A32ECA"/>
    <w:rsid w:val="00A32FAA"/>
    <w:rsid w:val="00A3389D"/>
    <w:rsid w:val="00A34A87"/>
    <w:rsid w:val="00A35252"/>
    <w:rsid w:val="00A35546"/>
    <w:rsid w:val="00A35BFB"/>
    <w:rsid w:val="00A35C52"/>
    <w:rsid w:val="00A3633F"/>
    <w:rsid w:val="00A373EE"/>
    <w:rsid w:val="00A378FC"/>
    <w:rsid w:val="00A4180B"/>
    <w:rsid w:val="00A418D8"/>
    <w:rsid w:val="00A41B62"/>
    <w:rsid w:val="00A4204C"/>
    <w:rsid w:val="00A42D88"/>
    <w:rsid w:val="00A42E62"/>
    <w:rsid w:val="00A42EA5"/>
    <w:rsid w:val="00A433DA"/>
    <w:rsid w:val="00A43740"/>
    <w:rsid w:val="00A439C0"/>
    <w:rsid w:val="00A43B55"/>
    <w:rsid w:val="00A43F23"/>
    <w:rsid w:val="00A4430A"/>
    <w:rsid w:val="00A4447C"/>
    <w:rsid w:val="00A449CA"/>
    <w:rsid w:val="00A45036"/>
    <w:rsid w:val="00A456FC"/>
    <w:rsid w:val="00A45996"/>
    <w:rsid w:val="00A45C3C"/>
    <w:rsid w:val="00A45FB9"/>
    <w:rsid w:val="00A4627F"/>
    <w:rsid w:val="00A4631E"/>
    <w:rsid w:val="00A46474"/>
    <w:rsid w:val="00A46CFA"/>
    <w:rsid w:val="00A47FA7"/>
    <w:rsid w:val="00A5037B"/>
    <w:rsid w:val="00A5283D"/>
    <w:rsid w:val="00A5327A"/>
    <w:rsid w:val="00A53831"/>
    <w:rsid w:val="00A541BE"/>
    <w:rsid w:val="00A54A44"/>
    <w:rsid w:val="00A55C18"/>
    <w:rsid w:val="00A56051"/>
    <w:rsid w:val="00A56C46"/>
    <w:rsid w:val="00A56EE2"/>
    <w:rsid w:val="00A57267"/>
    <w:rsid w:val="00A573F1"/>
    <w:rsid w:val="00A57D34"/>
    <w:rsid w:val="00A57EAC"/>
    <w:rsid w:val="00A603C0"/>
    <w:rsid w:val="00A60BBF"/>
    <w:rsid w:val="00A616DF"/>
    <w:rsid w:val="00A617E7"/>
    <w:rsid w:val="00A61EAD"/>
    <w:rsid w:val="00A635DF"/>
    <w:rsid w:val="00A63753"/>
    <w:rsid w:val="00A6396D"/>
    <w:rsid w:val="00A64230"/>
    <w:rsid w:val="00A6510B"/>
    <w:rsid w:val="00A66900"/>
    <w:rsid w:val="00A66AE9"/>
    <w:rsid w:val="00A6780C"/>
    <w:rsid w:val="00A67AED"/>
    <w:rsid w:val="00A7006E"/>
    <w:rsid w:val="00A708D2"/>
    <w:rsid w:val="00A70C2D"/>
    <w:rsid w:val="00A70EDF"/>
    <w:rsid w:val="00A71498"/>
    <w:rsid w:val="00A7188E"/>
    <w:rsid w:val="00A72055"/>
    <w:rsid w:val="00A721ED"/>
    <w:rsid w:val="00A729E7"/>
    <w:rsid w:val="00A72F22"/>
    <w:rsid w:val="00A74D45"/>
    <w:rsid w:val="00A75186"/>
    <w:rsid w:val="00A755D6"/>
    <w:rsid w:val="00A75B8B"/>
    <w:rsid w:val="00A760E8"/>
    <w:rsid w:val="00A76574"/>
    <w:rsid w:val="00A76850"/>
    <w:rsid w:val="00A772CC"/>
    <w:rsid w:val="00A77582"/>
    <w:rsid w:val="00A80CA1"/>
    <w:rsid w:val="00A817EA"/>
    <w:rsid w:val="00A820D8"/>
    <w:rsid w:val="00A82225"/>
    <w:rsid w:val="00A82576"/>
    <w:rsid w:val="00A82818"/>
    <w:rsid w:val="00A82E90"/>
    <w:rsid w:val="00A83677"/>
    <w:rsid w:val="00A83F07"/>
    <w:rsid w:val="00A853A3"/>
    <w:rsid w:val="00A853D4"/>
    <w:rsid w:val="00A8653D"/>
    <w:rsid w:val="00A870DD"/>
    <w:rsid w:val="00A87490"/>
    <w:rsid w:val="00A879B5"/>
    <w:rsid w:val="00A90590"/>
    <w:rsid w:val="00A90C42"/>
    <w:rsid w:val="00A923CE"/>
    <w:rsid w:val="00A92B41"/>
    <w:rsid w:val="00A92C7A"/>
    <w:rsid w:val="00A9362A"/>
    <w:rsid w:val="00A9374C"/>
    <w:rsid w:val="00A941E5"/>
    <w:rsid w:val="00A94291"/>
    <w:rsid w:val="00A94AB0"/>
    <w:rsid w:val="00A94DE8"/>
    <w:rsid w:val="00A95CF6"/>
    <w:rsid w:val="00A96D27"/>
    <w:rsid w:val="00AA0600"/>
    <w:rsid w:val="00AA1308"/>
    <w:rsid w:val="00AA1ADE"/>
    <w:rsid w:val="00AA32BA"/>
    <w:rsid w:val="00AA3B9D"/>
    <w:rsid w:val="00AA4AC0"/>
    <w:rsid w:val="00AA4CF6"/>
    <w:rsid w:val="00AA55EF"/>
    <w:rsid w:val="00AA601D"/>
    <w:rsid w:val="00AA65B6"/>
    <w:rsid w:val="00AA7E65"/>
    <w:rsid w:val="00AB0665"/>
    <w:rsid w:val="00AB1C47"/>
    <w:rsid w:val="00AB1E95"/>
    <w:rsid w:val="00AB3B6E"/>
    <w:rsid w:val="00AB4106"/>
    <w:rsid w:val="00AB4488"/>
    <w:rsid w:val="00AB50C7"/>
    <w:rsid w:val="00AB526D"/>
    <w:rsid w:val="00AB5327"/>
    <w:rsid w:val="00AB6757"/>
    <w:rsid w:val="00AC131D"/>
    <w:rsid w:val="00AC146E"/>
    <w:rsid w:val="00AC1AF6"/>
    <w:rsid w:val="00AC2927"/>
    <w:rsid w:val="00AC2F66"/>
    <w:rsid w:val="00AC39BF"/>
    <w:rsid w:val="00AC39E5"/>
    <w:rsid w:val="00AC3D9A"/>
    <w:rsid w:val="00AC4DA8"/>
    <w:rsid w:val="00AC58E1"/>
    <w:rsid w:val="00AC5BDC"/>
    <w:rsid w:val="00AC6A6B"/>
    <w:rsid w:val="00AC6B8E"/>
    <w:rsid w:val="00AC75BE"/>
    <w:rsid w:val="00AD03A0"/>
    <w:rsid w:val="00AD0C6A"/>
    <w:rsid w:val="00AD1227"/>
    <w:rsid w:val="00AD1B24"/>
    <w:rsid w:val="00AD2409"/>
    <w:rsid w:val="00AD2807"/>
    <w:rsid w:val="00AD2CFB"/>
    <w:rsid w:val="00AD30E4"/>
    <w:rsid w:val="00AD336F"/>
    <w:rsid w:val="00AD3716"/>
    <w:rsid w:val="00AD3753"/>
    <w:rsid w:val="00AD429E"/>
    <w:rsid w:val="00AD4F3A"/>
    <w:rsid w:val="00AD508B"/>
    <w:rsid w:val="00AD52CE"/>
    <w:rsid w:val="00AD53D8"/>
    <w:rsid w:val="00AD57C3"/>
    <w:rsid w:val="00AD660A"/>
    <w:rsid w:val="00AD67D9"/>
    <w:rsid w:val="00AD6C82"/>
    <w:rsid w:val="00AD702B"/>
    <w:rsid w:val="00AD74FD"/>
    <w:rsid w:val="00AD7506"/>
    <w:rsid w:val="00AD7517"/>
    <w:rsid w:val="00AD76F4"/>
    <w:rsid w:val="00AD7C6D"/>
    <w:rsid w:val="00AE0E50"/>
    <w:rsid w:val="00AE26AB"/>
    <w:rsid w:val="00AE2B2B"/>
    <w:rsid w:val="00AE2C74"/>
    <w:rsid w:val="00AE3203"/>
    <w:rsid w:val="00AE3DFE"/>
    <w:rsid w:val="00AE4042"/>
    <w:rsid w:val="00AE433E"/>
    <w:rsid w:val="00AE4E4D"/>
    <w:rsid w:val="00AE4F04"/>
    <w:rsid w:val="00AE5601"/>
    <w:rsid w:val="00AE58A5"/>
    <w:rsid w:val="00AE6BC6"/>
    <w:rsid w:val="00AE76D2"/>
    <w:rsid w:val="00AE76EB"/>
    <w:rsid w:val="00AE7B09"/>
    <w:rsid w:val="00AE7BFF"/>
    <w:rsid w:val="00AE7E48"/>
    <w:rsid w:val="00AF0628"/>
    <w:rsid w:val="00AF0738"/>
    <w:rsid w:val="00AF0923"/>
    <w:rsid w:val="00AF0C6C"/>
    <w:rsid w:val="00AF1E1B"/>
    <w:rsid w:val="00AF1E58"/>
    <w:rsid w:val="00AF3088"/>
    <w:rsid w:val="00AF3358"/>
    <w:rsid w:val="00AF38D3"/>
    <w:rsid w:val="00AF4292"/>
    <w:rsid w:val="00AF469F"/>
    <w:rsid w:val="00AF46A1"/>
    <w:rsid w:val="00AF4F5A"/>
    <w:rsid w:val="00AF53D4"/>
    <w:rsid w:val="00AF5A58"/>
    <w:rsid w:val="00AF6D6A"/>
    <w:rsid w:val="00AF71E5"/>
    <w:rsid w:val="00AF7826"/>
    <w:rsid w:val="00AF7E23"/>
    <w:rsid w:val="00B00D03"/>
    <w:rsid w:val="00B01585"/>
    <w:rsid w:val="00B01E45"/>
    <w:rsid w:val="00B02818"/>
    <w:rsid w:val="00B02E64"/>
    <w:rsid w:val="00B03F7E"/>
    <w:rsid w:val="00B04563"/>
    <w:rsid w:val="00B05131"/>
    <w:rsid w:val="00B0626D"/>
    <w:rsid w:val="00B06D85"/>
    <w:rsid w:val="00B070B6"/>
    <w:rsid w:val="00B070FA"/>
    <w:rsid w:val="00B07146"/>
    <w:rsid w:val="00B07899"/>
    <w:rsid w:val="00B07BAD"/>
    <w:rsid w:val="00B10110"/>
    <w:rsid w:val="00B11BB8"/>
    <w:rsid w:val="00B11D8B"/>
    <w:rsid w:val="00B123F8"/>
    <w:rsid w:val="00B125AF"/>
    <w:rsid w:val="00B13139"/>
    <w:rsid w:val="00B13457"/>
    <w:rsid w:val="00B13A18"/>
    <w:rsid w:val="00B13D62"/>
    <w:rsid w:val="00B1400B"/>
    <w:rsid w:val="00B16046"/>
    <w:rsid w:val="00B162E9"/>
    <w:rsid w:val="00B163B7"/>
    <w:rsid w:val="00B17924"/>
    <w:rsid w:val="00B206D5"/>
    <w:rsid w:val="00B2193A"/>
    <w:rsid w:val="00B21DA0"/>
    <w:rsid w:val="00B221B7"/>
    <w:rsid w:val="00B22BBC"/>
    <w:rsid w:val="00B2391D"/>
    <w:rsid w:val="00B23AE7"/>
    <w:rsid w:val="00B23C9F"/>
    <w:rsid w:val="00B23E02"/>
    <w:rsid w:val="00B23E09"/>
    <w:rsid w:val="00B2479A"/>
    <w:rsid w:val="00B27364"/>
    <w:rsid w:val="00B31516"/>
    <w:rsid w:val="00B316B0"/>
    <w:rsid w:val="00B31823"/>
    <w:rsid w:val="00B32061"/>
    <w:rsid w:val="00B32161"/>
    <w:rsid w:val="00B32BBC"/>
    <w:rsid w:val="00B32D16"/>
    <w:rsid w:val="00B33707"/>
    <w:rsid w:val="00B33F3A"/>
    <w:rsid w:val="00B34539"/>
    <w:rsid w:val="00B34731"/>
    <w:rsid w:val="00B34C02"/>
    <w:rsid w:val="00B34D71"/>
    <w:rsid w:val="00B3553B"/>
    <w:rsid w:val="00B3563F"/>
    <w:rsid w:val="00B36CF7"/>
    <w:rsid w:val="00B36F57"/>
    <w:rsid w:val="00B37AFA"/>
    <w:rsid w:val="00B4095D"/>
    <w:rsid w:val="00B41B33"/>
    <w:rsid w:val="00B423AA"/>
    <w:rsid w:val="00B4272A"/>
    <w:rsid w:val="00B42C2B"/>
    <w:rsid w:val="00B4367E"/>
    <w:rsid w:val="00B44FA7"/>
    <w:rsid w:val="00B45B03"/>
    <w:rsid w:val="00B468DF"/>
    <w:rsid w:val="00B470E9"/>
    <w:rsid w:val="00B47673"/>
    <w:rsid w:val="00B476F5"/>
    <w:rsid w:val="00B478F2"/>
    <w:rsid w:val="00B47E7F"/>
    <w:rsid w:val="00B505C2"/>
    <w:rsid w:val="00B5075D"/>
    <w:rsid w:val="00B507A2"/>
    <w:rsid w:val="00B50807"/>
    <w:rsid w:val="00B523F1"/>
    <w:rsid w:val="00B528CA"/>
    <w:rsid w:val="00B53CDF"/>
    <w:rsid w:val="00B54818"/>
    <w:rsid w:val="00B54B6A"/>
    <w:rsid w:val="00B54E59"/>
    <w:rsid w:val="00B55B77"/>
    <w:rsid w:val="00B563EF"/>
    <w:rsid w:val="00B564B1"/>
    <w:rsid w:val="00B56CB4"/>
    <w:rsid w:val="00B57F11"/>
    <w:rsid w:val="00B60408"/>
    <w:rsid w:val="00B6103D"/>
    <w:rsid w:val="00B61659"/>
    <w:rsid w:val="00B6199F"/>
    <w:rsid w:val="00B61DAC"/>
    <w:rsid w:val="00B61EFD"/>
    <w:rsid w:val="00B626A2"/>
    <w:rsid w:val="00B62CF5"/>
    <w:rsid w:val="00B62D7C"/>
    <w:rsid w:val="00B63338"/>
    <w:rsid w:val="00B635FA"/>
    <w:rsid w:val="00B64119"/>
    <w:rsid w:val="00B64246"/>
    <w:rsid w:val="00B64406"/>
    <w:rsid w:val="00B64461"/>
    <w:rsid w:val="00B6698B"/>
    <w:rsid w:val="00B66B82"/>
    <w:rsid w:val="00B6746C"/>
    <w:rsid w:val="00B70443"/>
    <w:rsid w:val="00B7063C"/>
    <w:rsid w:val="00B7068A"/>
    <w:rsid w:val="00B71EAB"/>
    <w:rsid w:val="00B72687"/>
    <w:rsid w:val="00B7298D"/>
    <w:rsid w:val="00B72DD8"/>
    <w:rsid w:val="00B73D96"/>
    <w:rsid w:val="00B74D24"/>
    <w:rsid w:val="00B74E33"/>
    <w:rsid w:val="00B75159"/>
    <w:rsid w:val="00B76F59"/>
    <w:rsid w:val="00B8014F"/>
    <w:rsid w:val="00B801BD"/>
    <w:rsid w:val="00B808DD"/>
    <w:rsid w:val="00B81337"/>
    <w:rsid w:val="00B816C1"/>
    <w:rsid w:val="00B81ABB"/>
    <w:rsid w:val="00B82259"/>
    <w:rsid w:val="00B8263C"/>
    <w:rsid w:val="00B82A78"/>
    <w:rsid w:val="00B82AC3"/>
    <w:rsid w:val="00B82B82"/>
    <w:rsid w:val="00B84958"/>
    <w:rsid w:val="00B84C6E"/>
    <w:rsid w:val="00B8524D"/>
    <w:rsid w:val="00B85EA4"/>
    <w:rsid w:val="00B86048"/>
    <w:rsid w:val="00B8610A"/>
    <w:rsid w:val="00B86206"/>
    <w:rsid w:val="00B86380"/>
    <w:rsid w:val="00B8650A"/>
    <w:rsid w:val="00B86B26"/>
    <w:rsid w:val="00B86BA6"/>
    <w:rsid w:val="00B875D0"/>
    <w:rsid w:val="00B8768D"/>
    <w:rsid w:val="00B87728"/>
    <w:rsid w:val="00B878CE"/>
    <w:rsid w:val="00B87977"/>
    <w:rsid w:val="00B90907"/>
    <w:rsid w:val="00B912FC"/>
    <w:rsid w:val="00B91DB1"/>
    <w:rsid w:val="00B92279"/>
    <w:rsid w:val="00B922B4"/>
    <w:rsid w:val="00B925C6"/>
    <w:rsid w:val="00B928B2"/>
    <w:rsid w:val="00B929D1"/>
    <w:rsid w:val="00B92DA0"/>
    <w:rsid w:val="00B92F13"/>
    <w:rsid w:val="00B9365B"/>
    <w:rsid w:val="00B93BE1"/>
    <w:rsid w:val="00B941DA"/>
    <w:rsid w:val="00B950F7"/>
    <w:rsid w:val="00B95120"/>
    <w:rsid w:val="00B96002"/>
    <w:rsid w:val="00B967A8"/>
    <w:rsid w:val="00B9724F"/>
    <w:rsid w:val="00B972E5"/>
    <w:rsid w:val="00BA05D9"/>
    <w:rsid w:val="00BA0CE5"/>
    <w:rsid w:val="00BA1F7F"/>
    <w:rsid w:val="00BA1FA0"/>
    <w:rsid w:val="00BA24CA"/>
    <w:rsid w:val="00BA2674"/>
    <w:rsid w:val="00BA274E"/>
    <w:rsid w:val="00BA5C43"/>
    <w:rsid w:val="00BA5DC3"/>
    <w:rsid w:val="00BA72AA"/>
    <w:rsid w:val="00BA7550"/>
    <w:rsid w:val="00BB0076"/>
    <w:rsid w:val="00BB157E"/>
    <w:rsid w:val="00BB1E21"/>
    <w:rsid w:val="00BB2921"/>
    <w:rsid w:val="00BB3220"/>
    <w:rsid w:val="00BB3362"/>
    <w:rsid w:val="00BB3C96"/>
    <w:rsid w:val="00BB3D7B"/>
    <w:rsid w:val="00BB4763"/>
    <w:rsid w:val="00BB4835"/>
    <w:rsid w:val="00BB64EB"/>
    <w:rsid w:val="00BB66EE"/>
    <w:rsid w:val="00BB69B1"/>
    <w:rsid w:val="00BB71ED"/>
    <w:rsid w:val="00BB784C"/>
    <w:rsid w:val="00BB7B62"/>
    <w:rsid w:val="00BB7EB9"/>
    <w:rsid w:val="00BC0BB2"/>
    <w:rsid w:val="00BC0C1A"/>
    <w:rsid w:val="00BC0F18"/>
    <w:rsid w:val="00BC0FB1"/>
    <w:rsid w:val="00BC1936"/>
    <w:rsid w:val="00BC1F28"/>
    <w:rsid w:val="00BC2146"/>
    <w:rsid w:val="00BC28C3"/>
    <w:rsid w:val="00BC29DC"/>
    <w:rsid w:val="00BC3827"/>
    <w:rsid w:val="00BC4271"/>
    <w:rsid w:val="00BC4599"/>
    <w:rsid w:val="00BC47E7"/>
    <w:rsid w:val="00BC4ABF"/>
    <w:rsid w:val="00BC4CDC"/>
    <w:rsid w:val="00BC4D1C"/>
    <w:rsid w:val="00BC5BCA"/>
    <w:rsid w:val="00BC5C85"/>
    <w:rsid w:val="00BC7515"/>
    <w:rsid w:val="00BC7C37"/>
    <w:rsid w:val="00BC7D57"/>
    <w:rsid w:val="00BC7DEB"/>
    <w:rsid w:val="00BD0654"/>
    <w:rsid w:val="00BD0DA6"/>
    <w:rsid w:val="00BD0DAB"/>
    <w:rsid w:val="00BD0EC3"/>
    <w:rsid w:val="00BD12ED"/>
    <w:rsid w:val="00BD1436"/>
    <w:rsid w:val="00BD1EEB"/>
    <w:rsid w:val="00BD21E2"/>
    <w:rsid w:val="00BD2553"/>
    <w:rsid w:val="00BD387F"/>
    <w:rsid w:val="00BD3C2C"/>
    <w:rsid w:val="00BD3D98"/>
    <w:rsid w:val="00BD4848"/>
    <w:rsid w:val="00BD4935"/>
    <w:rsid w:val="00BD5D67"/>
    <w:rsid w:val="00BD6025"/>
    <w:rsid w:val="00BD6157"/>
    <w:rsid w:val="00BD674E"/>
    <w:rsid w:val="00BD719B"/>
    <w:rsid w:val="00BE01EC"/>
    <w:rsid w:val="00BE048C"/>
    <w:rsid w:val="00BE272C"/>
    <w:rsid w:val="00BE2925"/>
    <w:rsid w:val="00BE33E0"/>
    <w:rsid w:val="00BE3963"/>
    <w:rsid w:val="00BE47B5"/>
    <w:rsid w:val="00BE4BDD"/>
    <w:rsid w:val="00BE50D3"/>
    <w:rsid w:val="00BE52F1"/>
    <w:rsid w:val="00BE5C26"/>
    <w:rsid w:val="00BE64DD"/>
    <w:rsid w:val="00BE725A"/>
    <w:rsid w:val="00BE777E"/>
    <w:rsid w:val="00BE7D8A"/>
    <w:rsid w:val="00BE7D90"/>
    <w:rsid w:val="00BF0B57"/>
    <w:rsid w:val="00BF1189"/>
    <w:rsid w:val="00BF134A"/>
    <w:rsid w:val="00BF22A6"/>
    <w:rsid w:val="00BF33FE"/>
    <w:rsid w:val="00BF3413"/>
    <w:rsid w:val="00BF361C"/>
    <w:rsid w:val="00BF375A"/>
    <w:rsid w:val="00BF5018"/>
    <w:rsid w:val="00BF5630"/>
    <w:rsid w:val="00BF599B"/>
    <w:rsid w:val="00BF5D22"/>
    <w:rsid w:val="00BF6549"/>
    <w:rsid w:val="00BF6574"/>
    <w:rsid w:val="00BF7080"/>
    <w:rsid w:val="00BF7169"/>
    <w:rsid w:val="00BF7224"/>
    <w:rsid w:val="00BF79A7"/>
    <w:rsid w:val="00C00900"/>
    <w:rsid w:val="00C00C60"/>
    <w:rsid w:val="00C01E43"/>
    <w:rsid w:val="00C0339D"/>
    <w:rsid w:val="00C042A6"/>
    <w:rsid w:val="00C04542"/>
    <w:rsid w:val="00C04819"/>
    <w:rsid w:val="00C052D6"/>
    <w:rsid w:val="00C055DD"/>
    <w:rsid w:val="00C057CF"/>
    <w:rsid w:val="00C059FF"/>
    <w:rsid w:val="00C05B6E"/>
    <w:rsid w:val="00C05CB5"/>
    <w:rsid w:val="00C0615A"/>
    <w:rsid w:val="00C07863"/>
    <w:rsid w:val="00C07889"/>
    <w:rsid w:val="00C07ADB"/>
    <w:rsid w:val="00C07BCA"/>
    <w:rsid w:val="00C07DE0"/>
    <w:rsid w:val="00C1007A"/>
    <w:rsid w:val="00C10A74"/>
    <w:rsid w:val="00C116E6"/>
    <w:rsid w:val="00C121D0"/>
    <w:rsid w:val="00C1315D"/>
    <w:rsid w:val="00C133D0"/>
    <w:rsid w:val="00C142E3"/>
    <w:rsid w:val="00C14421"/>
    <w:rsid w:val="00C14617"/>
    <w:rsid w:val="00C154C2"/>
    <w:rsid w:val="00C168A4"/>
    <w:rsid w:val="00C169B2"/>
    <w:rsid w:val="00C16FC6"/>
    <w:rsid w:val="00C174B4"/>
    <w:rsid w:val="00C17AB4"/>
    <w:rsid w:val="00C2176A"/>
    <w:rsid w:val="00C21C52"/>
    <w:rsid w:val="00C22086"/>
    <w:rsid w:val="00C222A0"/>
    <w:rsid w:val="00C2250D"/>
    <w:rsid w:val="00C2290B"/>
    <w:rsid w:val="00C22DC5"/>
    <w:rsid w:val="00C232B1"/>
    <w:rsid w:val="00C23976"/>
    <w:rsid w:val="00C23ED8"/>
    <w:rsid w:val="00C24168"/>
    <w:rsid w:val="00C2504A"/>
    <w:rsid w:val="00C25E83"/>
    <w:rsid w:val="00C260F8"/>
    <w:rsid w:val="00C272A4"/>
    <w:rsid w:val="00C27530"/>
    <w:rsid w:val="00C27570"/>
    <w:rsid w:val="00C303BA"/>
    <w:rsid w:val="00C3080F"/>
    <w:rsid w:val="00C30CD2"/>
    <w:rsid w:val="00C3106E"/>
    <w:rsid w:val="00C31AAB"/>
    <w:rsid w:val="00C31E4C"/>
    <w:rsid w:val="00C3247A"/>
    <w:rsid w:val="00C33060"/>
    <w:rsid w:val="00C332FB"/>
    <w:rsid w:val="00C33733"/>
    <w:rsid w:val="00C33DCA"/>
    <w:rsid w:val="00C342A6"/>
    <w:rsid w:val="00C34352"/>
    <w:rsid w:val="00C34648"/>
    <w:rsid w:val="00C3499E"/>
    <w:rsid w:val="00C34D65"/>
    <w:rsid w:val="00C34E14"/>
    <w:rsid w:val="00C34E72"/>
    <w:rsid w:val="00C3526A"/>
    <w:rsid w:val="00C35DD7"/>
    <w:rsid w:val="00C35F5E"/>
    <w:rsid w:val="00C36578"/>
    <w:rsid w:val="00C36C53"/>
    <w:rsid w:val="00C36C58"/>
    <w:rsid w:val="00C37654"/>
    <w:rsid w:val="00C378B1"/>
    <w:rsid w:val="00C37AB3"/>
    <w:rsid w:val="00C40810"/>
    <w:rsid w:val="00C4083F"/>
    <w:rsid w:val="00C40BFF"/>
    <w:rsid w:val="00C415D4"/>
    <w:rsid w:val="00C41640"/>
    <w:rsid w:val="00C4190E"/>
    <w:rsid w:val="00C42DCC"/>
    <w:rsid w:val="00C43D96"/>
    <w:rsid w:val="00C43ED0"/>
    <w:rsid w:val="00C4414F"/>
    <w:rsid w:val="00C4459D"/>
    <w:rsid w:val="00C44E19"/>
    <w:rsid w:val="00C4511B"/>
    <w:rsid w:val="00C4518A"/>
    <w:rsid w:val="00C466AB"/>
    <w:rsid w:val="00C467F2"/>
    <w:rsid w:val="00C473FC"/>
    <w:rsid w:val="00C4787E"/>
    <w:rsid w:val="00C47DC9"/>
    <w:rsid w:val="00C5075D"/>
    <w:rsid w:val="00C507CD"/>
    <w:rsid w:val="00C51647"/>
    <w:rsid w:val="00C525DA"/>
    <w:rsid w:val="00C529DD"/>
    <w:rsid w:val="00C54023"/>
    <w:rsid w:val="00C54A8F"/>
    <w:rsid w:val="00C561D8"/>
    <w:rsid w:val="00C56D44"/>
    <w:rsid w:val="00C5710C"/>
    <w:rsid w:val="00C575C7"/>
    <w:rsid w:val="00C575DD"/>
    <w:rsid w:val="00C6015C"/>
    <w:rsid w:val="00C60D22"/>
    <w:rsid w:val="00C60E5A"/>
    <w:rsid w:val="00C6101F"/>
    <w:rsid w:val="00C61100"/>
    <w:rsid w:val="00C6178C"/>
    <w:rsid w:val="00C6192E"/>
    <w:rsid w:val="00C61EF7"/>
    <w:rsid w:val="00C6374B"/>
    <w:rsid w:val="00C640D7"/>
    <w:rsid w:val="00C64964"/>
    <w:rsid w:val="00C65867"/>
    <w:rsid w:val="00C65994"/>
    <w:rsid w:val="00C65C4F"/>
    <w:rsid w:val="00C67519"/>
    <w:rsid w:val="00C67845"/>
    <w:rsid w:val="00C67945"/>
    <w:rsid w:val="00C67C04"/>
    <w:rsid w:val="00C702D0"/>
    <w:rsid w:val="00C707B6"/>
    <w:rsid w:val="00C70CCF"/>
    <w:rsid w:val="00C70DF7"/>
    <w:rsid w:val="00C716AF"/>
    <w:rsid w:val="00C721DE"/>
    <w:rsid w:val="00C7235A"/>
    <w:rsid w:val="00C723B5"/>
    <w:rsid w:val="00C72B66"/>
    <w:rsid w:val="00C733AF"/>
    <w:rsid w:val="00C738F2"/>
    <w:rsid w:val="00C7434A"/>
    <w:rsid w:val="00C74EA7"/>
    <w:rsid w:val="00C75596"/>
    <w:rsid w:val="00C755EB"/>
    <w:rsid w:val="00C76052"/>
    <w:rsid w:val="00C761D0"/>
    <w:rsid w:val="00C76BA3"/>
    <w:rsid w:val="00C77255"/>
    <w:rsid w:val="00C77E24"/>
    <w:rsid w:val="00C8038C"/>
    <w:rsid w:val="00C80BAF"/>
    <w:rsid w:val="00C81531"/>
    <w:rsid w:val="00C81C4C"/>
    <w:rsid w:val="00C81EAD"/>
    <w:rsid w:val="00C82D74"/>
    <w:rsid w:val="00C8325F"/>
    <w:rsid w:val="00C8337C"/>
    <w:rsid w:val="00C8530B"/>
    <w:rsid w:val="00C85814"/>
    <w:rsid w:val="00C85A70"/>
    <w:rsid w:val="00C8647C"/>
    <w:rsid w:val="00C868EF"/>
    <w:rsid w:val="00C86A7E"/>
    <w:rsid w:val="00C870FB"/>
    <w:rsid w:val="00C87E80"/>
    <w:rsid w:val="00C9098F"/>
    <w:rsid w:val="00C90ED7"/>
    <w:rsid w:val="00C910C8"/>
    <w:rsid w:val="00C91667"/>
    <w:rsid w:val="00C91E5A"/>
    <w:rsid w:val="00C93FA3"/>
    <w:rsid w:val="00C94253"/>
    <w:rsid w:val="00C947B2"/>
    <w:rsid w:val="00C94905"/>
    <w:rsid w:val="00C9585C"/>
    <w:rsid w:val="00C95B4D"/>
    <w:rsid w:val="00C95B72"/>
    <w:rsid w:val="00C962E0"/>
    <w:rsid w:val="00C968D5"/>
    <w:rsid w:val="00C977C9"/>
    <w:rsid w:val="00C97818"/>
    <w:rsid w:val="00C97CB2"/>
    <w:rsid w:val="00CA02C9"/>
    <w:rsid w:val="00CA0626"/>
    <w:rsid w:val="00CA0B2F"/>
    <w:rsid w:val="00CA26EC"/>
    <w:rsid w:val="00CA2917"/>
    <w:rsid w:val="00CA3D32"/>
    <w:rsid w:val="00CA41F5"/>
    <w:rsid w:val="00CA474A"/>
    <w:rsid w:val="00CA4C1B"/>
    <w:rsid w:val="00CA4C9A"/>
    <w:rsid w:val="00CA4E6E"/>
    <w:rsid w:val="00CA51EF"/>
    <w:rsid w:val="00CA5238"/>
    <w:rsid w:val="00CA55D4"/>
    <w:rsid w:val="00CA5647"/>
    <w:rsid w:val="00CA5685"/>
    <w:rsid w:val="00CA578F"/>
    <w:rsid w:val="00CA5B3D"/>
    <w:rsid w:val="00CA5C56"/>
    <w:rsid w:val="00CA6234"/>
    <w:rsid w:val="00CA7367"/>
    <w:rsid w:val="00CA7855"/>
    <w:rsid w:val="00CA7CEB"/>
    <w:rsid w:val="00CB031D"/>
    <w:rsid w:val="00CB088C"/>
    <w:rsid w:val="00CB2785"/>
    <w:rsid w:val="00CB2901"/>
    <w:rsid w:val="00CB34D8"/>
    <w:rsid w:val="00CB3900"/>
    <w:rsid w:val="00CB4071"/>
    <w:rsid w:val="00CB4099"/>
    <w:rsid w:val="00CB4504"/>
    <w:rsid w:val="00CB4689"/>
    <w:rsid w:val="00CB4A68"/>
    <w:rsid w:val="00CB4B8B"/>
    <w:rsid w:val="00CB6B2A"/>
    <w:rsid w:val="00CB6BF6"/>
    <w:rsid w:val="00CB780F"/>
    <w:rsid w:val="00CB7F05"/>
    <w:rsid w:val="00CC016B"/>
    <w:rsid w:val="00CC064A"/>
    <w:rsid w:val="00CC116E"/>
    <w:rsid w:val="00CC1816"/>
    <w:rsid w:val="00CC1B0B"/>
    <w:rsid w:val="00CC1E62"/>
    <w:rsid w:val="00CC1E94"/>
    <w:rsid w:val="00CC246C"/>
    <w:rsid w:val="00CC27EA"/>
    <w:rsid w:val="00CC2838"/>
    <w:rsid w:val="00CC2873"/>
    <w:rsid w:val="00CC2E6C"/>
    <w:rsid w:val="00CC32B4"/>
    <w:rsid w:val="00CC3F51"/>
    <w:rsid w:val="00CC439E"/>
    <w:rsid w:val="00CC4414"/>
    <w:rsid w:val="00CC4595"/>
    <w:rsid w:val="00CC4731"/>
    <w:rsid w:val="00CC5195"/>
    <w:rsid w:val="00CC51C1"/>
    <w:rsid w:val="00CC664C"/>
    <w:rsid w:val="00CC69DA"/>
    <w:rsid w:val="00CD07D2"/>
    <w:rsid w:val="00CD0BB5"/>
    <w:rsid w:val="00CD0F0E"/>
    <w:rsid w:val="00CD1AFF"/>
    <w:rsid w:val="00CD1B64"/>
    <w:rsid w:val="00CD21AE"/>
    <w:rsid w:val="00CD2D30"/>
    <w:rsid w:val="00CD3568"/>
    <w:rsid w:val="00CD427A"/>
    <w:rsid w:val="00CD485C"/>
    <w:rsid w:val="00CD4EDE"/>
    <w:rsid w:val="00CD4F40"/>
    <w:rsid w:val="00CD5484"/>
    <w:rsid w:val="00CD62CC"/>
    <w:rsid w:val="00CD63D2"/>
    <w:rsid w:val="00CD6454"/>
    <w:rsid w:val="00CD663E"/>
    <w:rsid w:val="00CD6A68"/>
    <w:rsid w:val="00CD6F6C"/>
    <w:rsid w:val="00CD7F01"/>
    <w:rsid w:val="00CD7F6D"/>
    <w:rsid w:val="00CE0166"/>
    <w:rsid w:val="00CE1961"/>
    <w:rsid w:val="00CE2F2A"/>
    <w:rsid w:val="00CE2F74"/>
    <w:rsid w:val="00CE39FC"/>
    <w:rsid w:val="00CE3FD3"/>
    <w:rsid w:val="00CE4CC0"/>
    <w:rsid w:val="00CE5000"/>
    <w:rsid w:val="00CE5D87"/>
    <w:rsid w:val="00CE6420"/>
    <w:rsid w:val="00CE6FC4"/>
    <w:rsid w:val="00CE7300"/>
    <w:rsid w:val="00CE746C"/>
    <w:rsid w:val="00CE78D3"/>
    <w:rsid w:val="00CE7D87"/>
    <w:rsid w:val="00CF12DC"/>
    <w:rsid w:val="00CF1412"/>
    <w:rsid w:val="00CF20C7"/>
    <w:rsid w:val="00CF251A"/>
    <w:rsid w:val="00CF3245"/>
    <w:rsid w:val="00CF351E"/>
    <w:rsid w:val="00CF3A99"/>
    <w:rsid w:val="00CF3BE6"/>
    <w:rsid w:val="00CF3DED"/>
    <w:rsid w:val="00CF489D"/>
    <w:rsid w:val="00CF6C56"/>
    <w:rsid w:val="00CF6E20"/>
    <w:rsid w:val="00CF6F82"/>
    <w:rsid w:val="00CF7AD9"/>
    <w:rsid w:val="00D00C63"/>
    <w:rsid w:val="00D011C7"/>
    <w:rsid w:val="00D017A0"/>
    <w:rsid w:val="00D02816"/>
    <w:rsid w:val="00D02E31"/>
    <w:rsid w:val="00D03AC5"/>
    <w:rsid w:val="00D03D02"/>
    <w:rsid w:val="00D042AF"/>
    <w:rsid w:val="00D0488A"/>
    <w:rsid w:val="00D0629C"/>
    <w:rsid w:val="00D0649D"/>
    <w:rsid w:val="00D064B5"/>
    <w:rsid w:val="00D07526"/>
    <w:rsid w:val="00D07CF7"/>
    <w:rsid w:val="00D07DCB"/>
    <w:rsid w:val="00D10966"/>
    <w:rsid w:val="00D10CF1"/>
    <w:rsid w:val="00D11335"/>
    <w:rsid w:val="00D11A1B"/>
    <w:rsid w:val="00D11C19"/>
    <w:rsid w:val="00D123E8"/>
    <w:rsid w:val="00D12482"/>
    <w:rsid w:val="00D124D8"/>
    <w:rsid w:val="00D12B57"/>
    <w:rsid w:val="00D135AC"/>
    <w:rsid w:val="00D13AFD"/>
    <w:rsid w:val="00D13BF0"/>
    <w:rsid w:val="00D14959"/>
    <w:rsid w:val="00D15958"/>
    <w:rsid w:val="00D16911"/>
    <w:rsid w:val="00D174CE"/>
    <w:rsid w:val="00D174F9"/>
    <w:rsid w:val="00D177FE"/>
    <w:rsid w:val="00D201EB"/>
    <w:rsid w:val="00D20F29"/>
    <w:rsid w:val="00D20FAA"/>
    <w:rsid w:val="00D21D33"/>
    <w:rsid w:val="00D21F0A"/>
    <w:rsid w:val="00D21F5E"/>
    <w:rsid w:val="00D223D6"/>
    <w:rsid w:val="00D232D1"/>
    <w:rsid w:val="00D23334"/>
    <w:rsid w:val="00D23479"/>
    <w:rsid w:val="00D23663"/>
    <w:rsid w:val="00D23B0C"/>
    <w:rsid w:val="00D23B63"/>
    <w:rsid w:val="00D23CA1"/>
    <w:rsid w:val="00D23F2C"/>
    <w:rsid w:val="00D242AB"/>
    <w:rsid w:val="00D24711"/>
    <w:rsid w:val="00D25471"/>
    <w:rsid w:val="00D255CE"/>
    <w:rsid w:val="00D260D7"/>
    <w:rsid w:val="00D268CB"/>
    <w:rsid w:val="00D26A01"/>
    <w:rsid w:val="00D27136"/>
    <w:rsid w:val="00D27CF0"/>
    <w:rsid w:val="00D27EA7"/>
    <w:rsid w:val="00D30A0D"/>
    <w:rsid w:val="00D30FE1"/>
    <w:rsid w:val="00D31A58"/>
    <w:rsid w:val="00D32074"/>
    <w:rsid w:val="00D32268"/>
    <w:rsid w:val="00D327F0"/>
    <w:rsid w:val="00D32E5F"/>
    <w:rsid w:val="00D3390D"/>
    <w:rsid w:val="00D347D5"/>
    <w:rsid w:val="00D3532D"/>
    <w:rsid w:val="00D355B0"/>
    <w:rsid w:val="00D35992"/>
    <w:rsid w:val="00D36108"/>
    <w:rsid w:val="00D362FD"/>
    <w:rsid w:val="00D3631C"/>
    <w:rsid w:val="00D36353"/>
    <w:rsid w:val="00D37ABF"/>
    <w:rsid w:val="00D40429"/>
    <w:rsid w:val="00D4079A"/>
    <w:rsid w:val="00D41037"/>
    <w:rsid w:val="00D41E10"/>
    <w:rsid w:val="00D41F89"/>
    <w:rsid w:val="00D429DA"/>
    <w:rsid w:val="00D42CD0"/>
    <w:rsid w:val="00D42D9A"/>
    <w:rsid w:val="00D42EA6"/>
    <w:rsid w:val="00D456FF"/>
    <w:rsid w:val="00D4602C"/>
    <w:rsid w:val="00D46292"/>
    <w:rsid w:val="00D4669D"/>
    <w:rsid w:val="00D46A0D"/>
    <w:rsid w:val="00D46D83"/>
    <w:rsid w:val="00D47546"/>
    <w:rsid w:val="00D477CE"/>
    <w:rsid w:val="00D47A83"/>
    <w:rsid w:val="00D47CA8"/>
    <w:rsid w:val="00D512B6"/>
    <w:rsid w:val="00D51E89"/>
    <w:rsid w:val="00D52330"/>
    <w:rsid w:val="00D52539"/>
    <w:rsid w:val="00D52A89"/>
    <w:rsid w:val="00D52C60"/>
    <w:rsid w:val="00D533E8"/>
    <w:rsid w:val="00D53941"/>
    <w:rsid w:val="00D54311"/>
    <w:rsid w:val="00D54FB2"/>
    <w:rsid w:val="00D5505E"/>
    <w:rsid w:val="00D5570D"/>
    <w:rsid w:val="00D55B01"/>
    <w:rsid w:val="00D562E0"/>
    <w:rsid w:val="00D56412"/>
    <w:rsid w:val="00D565B3"/>
    <w:rsid w:val="00D56668"/>
    <w:rsid w:val="00D56BD8"/>
    <w:rsid w:val="00D57B4C"/>
    <w:rsid w:val="00D60FC7"/>
    <w:rsid w:val="00D618E7"/>
    <w:rsid w:val="00D62EE5"/>
    <w:rsid w:val="00D64077"/>
    <w:rsid w:val="00D6407C"/>
    <w:rsid w:val="00D644B6"/>
    <w:rsid w:val="00D6473A"/>
    <w:rsid w:val="00D64ED3"/>
    <w:rsid w:val="00D64F00"/>
    <w:rsid w:val="00D6655E"/>
    <w:rsid w:val="00D70275"/>
    <w:rsid w:val="00D718E6"/>
    <w:rsid w:val="00D71C17"/>
    <w:rsid w:val="00D71D86"/>
    <w:rsid w:val="00D721E2"/>
    <w:rsid w:val="00D736E1"/>
    <w:rsid w:val="00D7384A"/>
    <w:rsid w:val="00D73EB8"/>
    <w:rsid w:val="00D7418C"/>
    <w:rsid w:val="00D743AB"/>
    <w:rsid w:val="00D7604D"/>
    <w:rsid w:val="00D76660"/>
    <w:rsid w:val="00D769A3"/>
    <w:rsid w:val="00D76DAC"/>
    <w:rsid w:val="00D77160"/>
    <w:rsid w:val="00D803B2"/>
    <w:rsid w:val="00D810DD"/>
    <w:rsid w:val="00D81EA5"/>
    <w:rsid w:val="00D822D6"/>
    <w:rsid w:val="00D8280F"/>
    <w:rsid w:val="00D82B35"/>
    <w:rsid w:val="00D83408"/>
    <w:rsid w:val="00D83BD2"/>
    <w:rsid w:val="00D8593F"/>
    <w:rsid w:val="00D8598C"/>
    <w:rsid w:val="00D85FA9"/>
    <w:rsid w:val="00D865E5"/>
    <w:rsid w:val="00D8677A"/>
    <w:rsid w:val="00D869C3"/>
    <w:rsid w:val="00D86B12"/>
    <w:rsid w:val="00D87018"/>
    <w:rsid w:val="00D914AA"/>
    <w:rsid w:val="00D91870"/>
    <w:rsid w:val="00D92031"/>
    <w:rsid w:val="00D92C17"/>
    <w:rsid w:val="00D9305A"/>
    <w:rsid w:val="00D9421A"/>
    <w:rsid w:val="00D94411"/>
    <w:rsid w:val="00D95BCC"/>
    <w:rsid w:val="00D9698D"/>
    <w:rsid w:val="00D9735A"/>
    <w:rsid w:val="00D9741E"/>
    <w:rsid w:val="00D97907"/>
    <w:rsid w:val="00D97FAB"/>
    <w:rsid w:val="00DA08C4"/>
    <w:rsid w:val="00DA0A20"/>
    <w:rsid w:val="00DA121B"/>
    <w:rsid w:val="00DA1C90"/>
    <w:rsid w:val="00DA31D5"/>
    <w:rsid w:val="00DA33FC"/>
    <w:rsid w:val="00DA3615"/>
    <w:rsid w:val="00DA3B81"/>
    <w:rsid w:val="00DA41B3"/>
    <w:rsid w:val="00DA481A"/>
    <w:rsid w:val="00DA4BDD"/>
    <w:rsid w:val="00DA528F"/>
    <w:rsid w:val="00DA59CF"/>
    <w:rsid w:val="00DA5E9D"/>
    <w:rsid w:val="00DA618C"/>
    <w:rsid w:val="00DA6365"/>
    <w:rsid w:val="00DA6765"/>
    <w:rsid w:val="00DA7122"/>
    <w:rsid w:val="00DB1141"/>
    <w:rsid w:val="00DB1465"/>
    <w:rsid w:val="00DB20E2"/>
    <w:rsid w:val="00DB2243"/>
    <w:rsid w:val="00DB2488"/>
    <w:rsid w:val="00DB31EF"/>
    <w:rsid w:val="00DB33BD"/>
    <w:rsid w:val="00DB39DE"/>
    <w:rsid w:val="00DB3DB0"/>
    <w:rsid w:val="00DB6802"/>
    <w:rsid w:val="00DB6E10"/>
    <w:rsid w:val="00DB6E3D"/>
    <w:rsid w:val="00DB7047"/>
    <w:rsid w:val="00DB7544"/>
    <w:rsid w:val="00DB7616"/>
    <w:rsid w:val="00DB7D5D"/>
    <w:rsid w:val="00DC02E6"/>
    <w:rsid w:val="00DC0495"/>
    <w:rsid w:val="00DC193B"/>
    <w:rsid w:val="00DC281D"/>
    <w:rsid w:val="00DC2952"/>
    <w:rsid w:val="00DC2A03"/>
    <w:rsid w:val="00DC2E4F"/>
    <w:rsid w:val="00DC2E9B"/>
    <w:rsid w:val="00DC3BDA"/>
    <w:rsid w:val="00DC3EE5"/>
    <w:rsid w:val="00DC47A6"/>
    <w:rsid w:val="00DC4B1B"/>
    <w:rsid w:val="00DC5316"/>
    <w:rsid w:val="00DC56A6"/>
    <w:rsid w:val="00DC5BB9"/>
    <w:rsid w:val="00DC5C64"/>
    <w:rsid w:val="00DC6C57"/>
    <w:rsid w:val="00DC70AB"/>
    <w:rsid w:val="00DC7175"/>
    <w:rsid w:val="00DC74A9"/>
    <w:rsid w:val="00DC75A2"/>
    <w:rsid w:val="00DC7EAA"/>
    <w:rsid w:val="00DD0F70"/>
    <w:rsid w:val="00DD17C9"/>
    <w:rsid w:val="00DD18F1"/>
    <w:rsid w:val="00DD25A5"/>
    <w:rsid w:val="00DD3968"/>
    <w:rsid w:val="00DD5876"/>
    <w:rsid w:val="00DD5975"/>
    <w:rsid w:val="00DD5B67"/>
    <w:rsid w:val="00DD5CEA"/>
    <w:rsid w:val="00DD5E01"/>
    <w:rsid w:val="00DD7260"/>
    <w:rsid w:val="00DD7B43"/>
    <w:rsid w:val="00DD7E1C"/>
    <w:rsid w:val="00DE06F5"/>
    <w:rsid w:val="00DE0BD1"/>
    <w:rsid w:val="00DE184A"/>
    <w:rsid w:val="00DE2438"/>
    <w:rsid w:val="00DE338C"/>
    <w:rsid w:val="00DE3AE9"/>
    <w:rsid w:val="00DE44B4"/>
    <w:rsid w:val="00DE4C4B"/>
    <w:rsid w:val="00DE4D39"/>
    <w:rsid w:val="00DE4ECB"/>
    <w:rsid w:val="00DE50FE"/>
    <w:rsid w:val="00DE526A"/>
    <w:rsid w:val="00DE5B4D"/>
    <w:rsid w:val="00DE63D7"/>
    <w:rsid w:val="00DE6959"/>
    <w:rsid w:val="00DE6A28"/>
    <w:rsid w:val="00DE6CD8"/>
    <w:rsid w:val="00DE6FDE"/>
    <w:rsid w:val="00DE73A8"/>
    <w:rsid w:val="00DE73B3"/>
    <w:rsid w:val="00DE7C39"/>
    <w:rsid w:val="00DE7EB2"/>
    <w:rsid w:val="00DF0BDF"/>
    <w:rsid w:val="00DF0D3F"/>
    <w:rsid w:val="00DF0DE2"/>
    <w:rsid w:val="00DF1739"/>
    <w:rsid w:val="00DF17A8"/>
    <w:rsid w:val="00DF1827"/>
    <w:rsid w:val="00DF34A6"/>
    <w:rsid w:val="00DF3674"/>
    <w:rsid w:val="00DF38C3"/>
    <w:rsid w:val="00DF4047"/>
    <w:rsid w:val="00DF40FA"/>
    <w:rsid w:val="00DF4863"/>
    <w:rsid w:val="00DF4A27"/>
    <w:rsid w:val="00DF4D99"/>
    <w:rsid w:val="00DF6089"/>
    <w:rsid w:val="00DF62DF"/>
    <w:rsid w:val="00DF6778"/>
    <w:rsid w:val="00DF7AE1"/>
    <w:rsid w:val="00DF7F05"/>
    <w:rsid w:val="00E00676"/>
    <w:rsid w:val="00E00FF1"/>
    <w:rsid w:val="00E01435"/>
    <w:rsid w:val="00E02B31"/>
    <w:rsid w:val="00E02C8E"/>
    <w:rsid w:val="00E03EA2"/>
    <w:rsid w:val="00E03ED4"/>
    <w:rsid w:val="00E03FD3"/>
    <w:rsid w:val="00E04A89"/>
    <w:rsid w:val="00E04FDF"/>
    <w:rsid w:val="00E06F9E"/>
    <w:rsid w:val="00E0741A"/>
    <w:rsid w:val="00E07560"/>
    <w:rsid w:val="00E07576"/>
    <w:rsid w:val="00E10BA8"/>
    <w:rsid w:val="00E10CFD"/>
    <w:rsid w:val="00E11180"/>
    <w:rsid w:val="00E11281"/>
    <w:rsid w:val="00E1166E"/>
    <w:rsid w:val="00E12866"/>
    <w:rsid w:val="00E13908"/>
    <w:rsid w:val="00E161ED"/>
    <w:rsid w:val="00E16329"/>
    <w:rsid w:val="00E163EB"/>
    <w:rsid w:val="00E16733"/>
    <w:rsid w:val="00E168E7"/>
    <w:rsid w:val="00E209C9"/>
    <w:rsid w:val="00E212AA"/>
    <w:rsid w:val="00E21783"/>
    <w:rsid w:val="00E21BBB"/>
    <w:rsid w:val="00E2261E"/>
    <w:rsid w:val="00E23A20"/>
    <w:rsid w:val="00E23CFE"/>
    <w:rsid w:val="00E25112"/>
    <w:rsid w:val="00E254DD"/>
    <w:rsid w:val="00E25820"/>
    <w:rsid w:val="00E25A6A"/>
    <w:rsid w:val="00E25A94"/>
    <w:rsid w:val="00E25B11"/>
    <w:rsid w:val="00E27117"/>
    <w:rsid w:val="00E303C3"/>
    <w:rsid w:val="00E30E52"/>
    <w:rsid w:val="00E3234B"/>
    <w:rsid w:val="00E32586"/>
    <w:rsid w:val="00E32786"/>
    <w:rsid w:val="00E32E73"/>
    <w:rsid w:val="00E3310A"/>
    <w:rsid w:val="00E35052"/>
    <w:rsid w:val="00E358C7"/>
    <w:rsid w:val="00E35FF3"/>
    <w:rsid w:val="00E36146"/>
    <w:rsid w:val="00E365F0"/>
    <w:rsid w:val="00E367BE"/>
    <w:rsid w:val="00E37159"/>
    <w:rsid w:val="00E378FF"/>
    <w:rsid w:val="00E4007E"/>
    <w:rsid w:val="00E41A9D"/>
    <w:rsid w:val="00E41C47"/>
    <w:rsid w:val="00E41F17"/>
    <w:rsid w:val="00E41FEE"/>
    <w:rsid w:val="00E42F21"/>
    <w:rsid w:val="00E43F3A"/>
    <w:rsid w:val="00E446BE"/>
    <w:rsid w:val="00E44928"/>
    <w:rsid w:val="00E44CE8"/>
    <w:rsid w:val="00E44DEC"/>
    <w:rsid w:val="00E451B2"/>
    <w:rsid w:val="00E452CB"/>
    <w:rsid w:val="00E455DE"/>
    <w:rsid w:val="00E45F65"/>
    <w:rsid w:val="00E46205"/>
    <w:rsid w:val="00E46794"/>
    <w:rsid w:val="00E4773A"/>
    <w:rsid w:val="00E47E0F"/>
    <w:rsid w:val="00E50243"/>
    <w:rsid w:val="00E504C7"/>
    <w:rsid w:val="00E508CB"/>
    <w:rsid w:val="00E51683"/>
    <w:rsid w:val="00E51E67"/>
    <w:rsid w:val="00E5237F"/>
    <w:rsid w:val="00E531BF"/>
    <w:rsid w:val="00E537C5"/>
    <w:rsid w:val="00E5422B"/>
    <w:rsid w:val="00E554A9"/>
    <w:rsid w:val="00E56008"/>
    <w:rsid w:val="00E56093"/>
    <w:rsid w:val="00E560D9"/>
    <w:rsid w:val="00E566D9"/>
    <w:rsid w:val="00E5696B"/>
    <w:rsid w:val="00E56AD5"/>
    <w:rsid w:val="00E56B2F"/>
    <w:rsid w:val="00E57207"/>
    <w:rsid w:val="00E57597"/>
    <w:rsid w:val="00E578B0"/>
    <w:rsid w:val="00E60375"/>
    <w:rsid w:val="00E609D4"/>
    <w:rsid w:val="00E60A3D"/>
    <w:rsid w:val="00E610B2"/>
    <w:rsid w:val="00E61196"/>
    <w:rsid w:val="00E61E05"/>
    <w:rsid w:val="00E61E1C"/>
    <w:rsid w:val="00E620CD"/>
    <w:rsid w:val="00E62153"/>
    <w:rsid w:val="00E621DD"/>
    <w:rsid w:val="00E628D4"/>
    <w:rsid w:val="00E62940"/>
    <w:rsid w:val="00E62E40"/>
    <w:rsid w:val="00E62FA2"/>
    <w:rsid w:val="00E636F8"/>
    <w:rsid w:val="00E650B2"/>
    <w:rsid w:val="00E650DE"/>
    <w:rsid w:val="00E65C05"/>
    <w:rsid w:val="00E66508"/>
    <w:rsid w:val="00E668DC"/>
    <w:rsid w:val="00E675D7"/>
    <w:rsid w:val="00E70B6B"/>
    <w:rsid w:val="00E718EA"/>
    <w:rsid w:val="00E7381D"/>
    <w:rsid w:val="00E73AD0"/>
    <w:rsid w:val="00E749CB"/>
    <w:rsid w:val="00E74AB1"/>
    <w:rsid w:val="00E7573E"/>
    <w:rsid w:val="00E7612F"/>
    <w:rsid w:val="00E76D6D"/>
    <w:rsid w:val="00E76DC0"/>
    <w:rsid w:val="00E77AAC"/>
    <w:rsid w:val="00E80158"/>
    <w:rsid w:val="00E80659"/>
    <w:rsid w:val="00E81000"/>
    <w:rsid w:val="00E81B6E"/>
    <w:rsid w:val="00E81E01"/>
    <w:rsid w:val="00E82119"/>
    <w:rsid w:val="00E82791"/>
    <w:rsid w:val="00E84092"/>
    <w:rsid w:val="00E84F15"/>
    <w:rsid w:val="00E85043"/>
    <w:rsid w:val="00E87804"/>
    <w:rsid w:val="00E87903"/>
    <w:rsid w:val="00E90C35"/>
    <w:rsid w:val="00E90F41"/>
    <w:rsid w:val="00E91241"/>
    <w:rsid w:val="00E9205D"/>
    <w:rsid w:val="00E92755"/>
    <w:rsid w:val="00E93542"/>
    <w:rsid w:val="00E93AE7"/>
    <w:rsid w:val="00E949B2"/>
    <w:rsid w:val="00E95221"/>
    <w:rsid w:val="00E96060"/>
    <w:rsid w:val="00E96225"/>
    <w:rsid w:val="00E96359"/>
    <w:rsid w:val="00E96487"/>
    <w:rsid w:val="00E96A3A"/>
    <w:rsid w:val="00E970AE"/>
    <w:rsid w:val="00E976D9"/>
    <w:rsid w:val="00E97ED1"/>
    <w:rsid w:val="00EA0642"/>
    <w:rsid w:val="00EA0FD9"/>
    <w:rsid w:val="00EA13C9"/>
    <w:rsid w:val="00EA140E"/>
    <w:rsid w:val="00EA1CDB"/>
    <w:rsid w:val="00EA1D3C"/>
    <w:rsid w:val="00EA253C"/>
    <w:rsid w:val="00EA32FE"/>
    <w:rsid w:val="00EA334A"/>
    <w:rsid w:val="00EA3632"/>
    <w:rsid w:val="00EA4080"/>
    <w:rsid w:val="00EA5BF9"/>
    <w:rsid w:val="00EA6508"/>
    <w:rsid w:val="00EA7584"/>
    <w:rsid w:val="00EA7A42"/>
    <w:rsid w:val="00EA7C12"/>
    <w:rsid w:val="00EB2925"/>
    <w:rsid w:val="00EB2B93"/>
    <w:rsid w:val="00EB2F4C"/>
    <w:rsid w:val="00EB33B6"/>
    <w:rsid w:val="00EB3C66"/>
    <w:rsid w:val="00EB40D4"/>
    <w:rsid w:val="00EB4186"/>
    <w:rsid w:val="00EB4502"/>
    <w:rsid w:val="00EB4533"/>
    <w:rsid w:val="00EB45C0"/>
    <w:rsid w:val="00EB49DD"/>
    <w:rsid w:val="00EB5155"/>
    <w:rsid w:val="00EB5718"/>
    <w:rsid w:val="00EB5F3B"/>
    <w:rsid w:val="00EB64C6"/>
    <w:rsid w:val="00EB6A26"/>
    <w:rsid w:val="00EB77C5"/>
    <w:rsid w:val="00EB7982"/>
    <w:rsid w:val="00EB7ADC"/>
    <w:rsid w:val="00EB7B11"/>
    <w:rsid w:val="00EB7BCE"/>
    <w:rsid w:val="00EB7EDC"/>
    <w:rsid w:val="00EC0492"/>
    <w:rsid w:val="00EC09CD"/>
    <w:rsid w:val="00EC0F49"/>
    <w:rsid w:val="00EC1329"/>
    <w:rsid w:val="00EC19AF"/>
    <w:rsid w:val="00EC1DE7"/>
    <w:rsid w:val="00EC24A7"/>
    <w:rsid w:val="00EC25AD"/>
    <w:rsid w:val="00EC2728"/>
    <w:rsid w:val="00EC45C5"/>
    <w:rsid w:val="00EC496F"/>
    <w:rsid w:val="00EC5430"/>
    <w:rsid w:val="00EC60BD"/>
    <w:rsid w:val="00EC703F"/>
    <w:rsid w:val="00EC7CF2"/>
    <w:rsid w:val="00ED030C"/>
    <w:rsid w:val="00ED1338"/>
    <w:rsid w:val="00ED1586"/>
    <w:rsid w:val="00ED1E24"/>
    <w:rsid w:val="00ED2634"/>
    <w:rsid w:val="00ED2666"/>
    <w:rsid w:val="00ED277F"/>
    <w:rsid w:val="00ED2B4B"/>
    <w:rsid w:val="00ED2F06"/>
    <w:rsid w:val="00ED3554"/>
    <w:rsid w:val="00ED3836"/>
    <w:rsid w:val="00ED3D8C"/>
    <w:rsid w:val="00ED4C85"/>
    <w:rsid w:val="00ED4C96"/>
    <w:rsid w:val="00ED4E15"/>
    <w:rsid w:val="00ED4EAB"/>
    <w:rsid w:val="00ED4F24"/>
    <w:rsid w:val="00ED52C9"/>
    <w:rsid w:val="00ED67A1"/>
    <w:rsid w:val="00ED72A9"/>
    <w:rsid w:val="00ED747F"/>
    <w:rsid w:val="00ED7A57"/>
    <w:rsid w:val="00ED7D6C"/>
    <w:rsid w:val="00EE0E4A"/>
    <w:rsid w:val="00EE1137"/>
    <w:rsid w:val="00EE184A"/>
    <w:rsid w:val="00EE1D42"/>
    <w:rsid w:val="00EE1DEA"/>
    <w:rsid w:val="00EE1F32"/>
    <w:rsid w:val="00EE2290"/>
    <w:rsid w:val="00EE2310"/>
    <w:rsid w:val="00EE333F"/>
    <w:rsid w:val="00EE3646"/>
    <w:rsid w:val="00EE38D0"/>
    <w:rsid w:val="00EE3DB7"/>
    <w:rsid w:val="00EE429E"/>
    <w:rsid w:val="00EE592E"/>
    <w:rsid w:val="00EE5B5D"/>
    <w:rsid w:val="00EE5CA8"/>
    <w:rsid w:val="00EE6C0C"/>
    <w:rsid w:val="00EF0BEC"/>
    <w:rsid w:val="00EF189E"/>
    <w:rsid w:val="00EF24AA"/>
    <w:rsid w:val="00EF2E66"/>
    <w:rsid w:val="00EF413A"/>
    <w:rsid w:val="00EF45C4"/>
    <w:rsid w:val="00EF521F"/>
    <w:rsid w:val="00EF6201"/>
    <w:rsid w:val="00EF65CF"/>
    <w:rsid w:val="00EF6670"/>
    <w:rsid w:val="00EF6A6E"/>
    <w:rsid w:val="00EF6D63"/>
    <w:rsid w:val="00EF7567"/>
    <w:rsid w:val="00EF793A"/>
    <w:rsid w:val="00F005F8"/>
    <w:rsid w:val="00F00617"/>
    <w:rsid w:val="00F008C4"/>
    <w:rsid w:val="00F01600"/>
    <w:rsid w:val="00F01B2B"/>
    <w:rsid w:val="00F01D4B"/>
    <w:rsid w:val="00F028F2"/>
    <w:rsid w:val="00F02A57"/>
    <w:rsid w:val="00F02ED7"/>
    <w:rsid w:val="00F03B8A"/>
    <w:rsid w:val="00F04E8C"/>
    <w:rsid w:val="00F0535A"/>
    <w:rsid w:val="00F053AA"/>
    <w:rsid w:val="00F0546D"/>
    <w:rsid w:val="00F05F3C"/>
    <w:rsid w:val="00F06060"/>
    <w:rsid w:val="00F0700C"/>
    <w:rsid w:val="00F07258"/>
    <w:rsid w:val="00F0772F"/>
    <w:rsid w:val="00F07969"/>
    <w:rsid w:val="00F1073D"/>
    <w:rsid w:val="00F107E4"/>
    <w:rsid w:val="00F10A02"/>
    <w:rsid w:val="00F10B16"/>
    <w:rsid w:val="00F1208F"/>
    <w:rsid w:val="00F1306B"/>
    <w:rsid w:val="00F14138"/>
    <w:rsid w:val="00F14553"/>
    <w:rsid w:val="00F14A48"/>
    <w:rsid w:val="00F15416"/>
    <w:rsid w:val="00F15495"/>
    <w:rsid w:val="00F15626"/>
    <w:rsid w:val="00F166CF"/>
    <w:rsid w:val="00F17D55"/>
    <w:rsid w:val="00F203DC"/>
    <w:rsid w:val="00F205EE"/>
    <w:rsid w:val="00F22491"/>
    <w:rsid w:val="00F22833"/>
    <w:rsid w:val="00F22B53"/>
    <w:rsid w:val="00F22E6C"/>
    <w:rsid w:val="00F2474F"/>
    <w:rsid w:val="00F249BE"/>
    <w:rsid w:val="00F250DF"/>
    <w:rsid w:val="00F25742"/>
    <w:rsid w:val="00F258CB"/>
    <w:rsid w:val="00F25DD9"/>
    <w:rsid w:val="00F26B25"/>
    <w:rsid w:val="00F26E85"/>
    <w:rsid w:val="00F26E98"/>
    <w:rsid w:val="00F27856"/>
    <w:rsid w:val="00F3120E"/>
    <w:rsid w:val="00F312AB"/>
    <w:rsid w:val="00F31CD6"/>
    <w:rsid w:val="00F31D6D"/>
    <w:rsid w:val="00F328C0"/>
    <w:rsid w:val="00F32CC0"/>
    <w:rsid w:val="00F333B8"/>
    <w:rsid w:val="00F3357F"/>
    <w:rsid w:val="00F33590"/>
    <w:rsid w:val="00F3398E"/>
    <w:rsid w:val="00F34A1D"/>
    <w:rsid w:val="00F34E6D"/>
    <w:rsid w:val="00F35769"/>
    <w:rsid w:val="00F35B2E"/>
    <w:rsid w:val="00F35C73"/>
    <w:rsid w:val="00F35CE6"/>
    <w:rsid w:val="00F35F1D"/>
    <w:rsid w:val="00F371E2"/>
    <w:rsid w:val="00F40624"/>
    <w:rsid w:val="00F40B7E"/>
    <w:rsid w:val="00F40E4E"/>
    <w:rsid w:val="00F418C6"/>
    <w:rsid w:val="00F420AF"/>
    <w:rsid w:val="00F42D2F"/>
    <w:rsid w:val="00F42F20"/>
    <w:rsid w:val="00F44B57"/>
    <w:rsid w:val="00F44CA6"/>
    <w:rsid w:val="00F45792"/>
    <w:rsid w:val="00F459E2"/>
    <w:rsid w:val="00F45E1A"/>
    <w:rsid w:val="00F46888"/>
    <w:rsid w:val="00F46F2C"/>
    <w:rsid w:val="00F471F7"/>
    <w:rsid w:val="00F472C8"/>
    <w:rsid w:val="00F47540"/>
    <w:rsid w:val="00F47BC6"/>
    <w:rsid w:val="00F5043A"/>
    <w:rsid w:val="00F506FA"/>
    <w:rsid w:val="00F513CD"/>
    <w:rsid w:val="00F518B4"/>
    <w:rsid w:val="00F5193C"/>
    <w:rsid w:val="00F519F0"/>
    <w:rsid w:val="00F526D7"/>
    <w:rsid w:val="00F528C4"/>
    <w:rsid w:val="00F52DF6"/>
    <w:rsid w:val="00F53970"/>
    <w:rsid w:val="00F53A7B"/>
    <w:rsid w:val="00F54C11"/>
    <w:rsid w:val="00F55D30"/>
    <w:rsid w:val="00F55FF7"/>
    <w:rsid w:val="00F564C0"/>
    <w:rsid w:val="00F56BA8"/>
    <w:rsid w:val="00F56F1A"/>
    <w:rsid w:val="00F57199"/>
    <w:rsid w:val="00F57786"/>
    <w:rsid w:val="00F577C3"/>
    <w:rsid w:val="00F5789A"/>
    <w:rsid w:val="00F57D41"/>
    <w:rsid w:val="00F601BB"/>
    <w:rsid w:val="00F603A5"/>
    <w:rsid w:val="00F605DB"/>
    <w:rsid w:val="00F6184C"/>
    <w:rsid w:val="00F618FC"/>
    <w:rsid w:val="00F620A2"/>
    <w:rsid w:val="00F627CA"/>
    <w:rsid w:val="00F62897"/>
    <w:rsid w:val="00F631E9"/>
    <w:rsid w:val="00F63595"/>
    <w:rsid w:val="00F63703"/>
    <w:rsid w:val="00F63BCB"/>
    <w:rsid w:val="00F65274"/>
    <w:rsid w:val="00F65F8B"/>
    <w:rsid w:val="00F660BC"/>
    <w:rsid w:val="00F6618B"/>
    <w:rsid w:val="00F6677C"/>
    <w:rsid w:val="00F66954"/>
    <w:rsid w:val="00F67141"/>
    <w:rsid w:val="00F675B7"/>
    <w:rsid w:val="00F677BB"/>
    <w:rsid w:val="00F6799B"/>
    <w:rsid w:val="00F67EB8"/>
    <w:rsid w:val="00F703BB"/>
    <w:rsid w:val="00F7040B"/>
    <w:rsid w:val="00F70415"/>
    <w:rsid w:val="00F706CD"/>
    <w:rsid w:val="00F70FFA"/>
    <w:rsid w:val="00F71335"/>
    <w:rsid w:val="00F72248"/>
    <w:rsid w:val="00F738BA"/>
    <w:rsid w:val="00F73E4E"/>
    <w:rsid w:val="00F74915"/>
    <w:rsid w:val="00F75DCF"/>
    <w:rsid w:val="00F75F5A"/>
    <w:rsid w:val="00F76977"/>
    <w:rsid w:val="00F772F4"/>
    <w:rsid w:val="00F77703"/>
    <w:rsid w:val="00F77982"/>
    <w:rsid w:val="00F8006F"/>
    <w:rsid w:val="00F80994"/>
    <w:rsid w:val="00F8099E"/>
    <w:rsid w:val="00F80A46"/>
    <w:rsid w:val="00F80F2B"/>
    <w:rsid w:val="00F82427"/>
    <w:rsid w:val="00F826D8"/>
    <w:rsid w:val="00F828C6"/>
    <w:rsid w:val="00F83524"/>
    <w:rsid w:val="00F83B47"/>
    <w:rsid w:val="00F83E18"/>
    <w:rsid w:val="00F85166"/>
    <w:rsid w:val="00F85179"/>
    <w:rsid w:val="00F85779"/>
    <w:rsid w:val="00F85871"/>
    <w:rsid w:val="00F85D51"/>
    <w:rsid w:val="00F861E3"/>
    <w:rsid w:val="00F86E54"/>
    <w:rsid w:val="00F871A0"/>
    <w:rsid w:val="00F876E0"/>
    <w:rsid w:val="00F87907"/>
    <w:rsid w:val="00F879B2"/>
    <w:rsid w:val="00F907DD"/>
    <w:rsid w:val="00F90847"/>
    <w:rsid w:val="00F90DD0"/>
    <w:rsid w:val="00F92688"/>
    <w:rsid w:val="00F9273D"/>
    <w:rsid w:val="00F929E8"/>
    <w:rsid w:val="00F92C2B"/>
    <w:rsid w:val="00F92C41"/>
    <w:rsid w:val="00F931FC"/>
    <w:rsid w:val="00F93B22"/>
    <w:rsid w:val="00F93D9B"/>
    <w:rsid w:val="00F94191"/>
    <w:rsid w:val="00F941C8"/>
    <w:rsid w:val="00F94A41"/>
    <w:rsid w:val="00F9530B"/>
    <w:rsid w:val="00F96D62"/>
    <w:rsid w:val="00F97454"/>
    <w:rsid w:val="00FA0461"/>
    <w:rsid w:val="00FA0CF8"/>
    <w:rsid w:val="00FA1757"/>
    <w:rsid w:val="00FA1994"/>
    <w:rsid w:val="00FA28A3"/>
    <w:rsid w:val="00FA2A84"/>
    <w:rsid w:val="00FA3522"/>
    <w:rsid w:val="00FA3929"/>
    <w:rsid w:val="00FA3E43"/>
    <w:rsid w:val="00FA4043"/>
    <w:rsid w:val="00FA40F2"/>
    <w:rsid w:val="00FA4AF0"/>
    <w:rsid w:val="00FA4BA2"/>
    <w:rsid w:val="00FA5D9A"/>
    <w:rsid w:val="00FA6273"/>
    <w:rsid w:val="00FA6DF6"/>
    <w:rsid w:val="00FA7581"/>
    <w:rsid w:val="00FA78E2"/>
    <w:rsid w:val="00FA7E7B"/>
    <w:rsid w:val="00FB0035"/>
    <w:rsid w:val="00FB0443"/>
    <w:rsid w:val="00FB07B0"/>
    <w:rsid w:val="00FB0CE9"/>
    <w:rsid w:val="00FB15CF"/>
    <w:rsid w:val="00FB1EAA"/>
    <w:rsid w:val="00FB2345"/>
    <w:rsid w:val="00FB2352"/>
    <w:rsid w:val="00FB277C"/>
    <w:rsid w:val="00FB2B2E"/>
    <w:rsid w:val="00FB2B6B"/>
    <w:rsid w:val="00FB331C"/>
    <w:rsid w:val="00FB363A"/>
    <w:rsid w:val="00FB3D19"/>
    <w:rsid w:val="00FB4267"/>
    <w:rsid w:val="00FB51DE"/>
    <w:rsid w:val="00FB563A"/>
    <w:rsid w:val="00FB573C"/>
    <w:rsid w:val="00FB5FAB"/>
    <w:rsid w:val="00FB6426"/>
    <w:rsid w:val="00FB67F3"/>
    <w:rsid w:val="00FB6831"/>
    <w:rsid w:val="00FB788F"/>
    <w:rsid w:val="00FB7D17"/>
    <w:rsid w:val="00FB7E70"/>
    <w:rsid w:val="00FC0261"/>
    <w:rsid w:val="00FC0381"/>
    <w:rsid w:val="00FC1002"/>
    <w:rsid w:val="00FC1484"/>
    <w:rsid w:val="00FC1BA6"/>
    <w:rsid w:val="00FC239C"/>
    <w:rsid w:val="00FC31AE"/>
    <w:rsid w:val="00FC33F9"/>
    <w:rsid w:val="00FC4301"/>
    <w:rsid w:val="00FC55B2"/>
    <w:rsid w:val="00FC6876"/>
    <w:rsid w:val="00FC6A8C"/>
    <w:rsid w:val="00FD0978"/>
    <w:rsid w:val="00FD12EE"/>
    <w:rsid w:val="00FD2AAF"/>
    <w:rsid w:val="00FD3431"/>
    <w:rsid w:val="00FD3488"/>
    <w:rsid w:val="00FD450B"/>
    <w:rsid w:val="00FD4AFE"/>
    <w:rsid w:val="00FD564C"/>
    <w:rsid w:val="00FD5A25"/>
    <w:rsid w:val="00FD5B6C"/>
    <w:rsid w:val="00FD681B"/>
    <w:rsid w:val="00FD6851"/>
    <w:rsid w:val="00FD699C"/>
    <w:rsid w:val="00FD6C00"/>
    <w:rsid w:val="00FD7117"/>
    <w:rsid w:val="00FD737F"/>
    <w:rsid w:val="00FD784B"/>
    <w:rsid w:val="00FD7A1A"/>
    <w:rsid w:val="00FD7A89"/>
    <w:rsid w:val="00FD7F80"/>
    <w:rsid w:val="00FE0210"/>
    <w:rsid w:val="00FE0499"/>
    <w:rsid w:val="00FE1268"/>
    <w:rsid w:val="00FE2537"/>
    <w:rsid w:val="00FE31DF"/>
    <w:rsid w:val="00FE38F3"/>
    <w:rsid w:val="00FE3F38"/>
    <w:rsid w:val="00FE4277"/>
    <w:rsid w:val="00FE42DF"/>
    <w:rsid w:val="00FE456B"/>
    <w:rsid w:val="00FE47CA"/>
    <w:rsid w:val="00FE5406"/>
    <w:rsid w:val="00FE55B7"/>
    <w:rsid w:val="00FE5645"/>
    <w:rsid w:val="00FE679E"/>
    <w:rsid w:val="00FE6B93"/>
    <w:rsid w:val="00FE70B7"/>
    <w:rsid w:val="00FE78A4"/>
    <w:rsid w:val="00FF0553"/>
    <w:rsid w:val="00FF065D"/>
    <w:rsid w:val="00FF09BB"/>
    <w:rsid w:val="00FF0BB4"/>
    <w:rsid w:val="00FF0DFB"/>
    <w:rsid w:val="00FF11DC"/>
    <w:rsid w:val="00FF138E"/>
    <w:rsid w:val="00FF15C0"/>
    <w:rsid w:val="00FF25AE"/>
    <w:rsid w:val="00FF2895"/>
    <w:rsid w:val="00FF2C50"/>
    <w:rsid w:val="00FF2CC3"/>
    <w:rsid w:val="00FF30F2"/>
    <w:rsid w:val="00FF3155"/>
    <w:rsid w:val="00FF4302"/>
    <w:rsid w:val="00FF43E8"/>
    <w:rsid w:val="00FF535A"/>
    <w:rsid w:val="00FF603A"/>
    <w:rsid w:val="00FF667C"/>
    <w:rsid w:val="00FF6955"/>
    <w:rsid w:val="00FF6BA4"/>
    <w:rsid w:val="00FF6D3B"/>
    <w:rsid w:val="00FF7412"/>
    <w:rsid w:val="00FF74E0"/>
    <w:rsid w:val="00FF75A6"/>
    <w:rsid w:val="047E68A0"/>
    <w:rsid w:val="0572F222"/>
    <w:rsid w:val="0B76BA10"/>
    <w:rsid w:val="15DCC55F"/>
    <w:rsid w:val="1C13E6CF"/>
    <w:rsid w:val="1FB76C8F"/>
    <w:rsid w:val="242FECDD"/>
    <w:rsid w:val="271A655F"/>
    <w:rsid w:val="2753CCA1"/>
    <w:rsid w:val="29747819"/>
    <w:rsid w:val="2AE353C0"/>
    <w:rsid w:val="30DB4042"/>
    <w:rsid w:val="339E387D"/>
    <w:rsid w:val="40DA93BB"/>
    <w:rsid w:val="46797D40"/>
    <w:rsid w:val="495DA982"/>
    <w:rsid w:val="57207B59"/>
    <w:rsid w:val="62F05869"/>
    <w:rsid w:val="6699F730"/>
    <w:rsid w:val="66BF6D3E"/>
    <w:rsid w:val="66EB3741"/>
    <w:rsid w:val="672FE562"/>
    <w:rsid w:val="69DD8E82"/>
    <w:rsid w:val="71D318AD"/>
    <w:rsid w:val="74267689"/>
    <w:rsid w:val="7500863C"/>
    <w:rsid w:val="786461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760E3"/>
  <w15:chartTrackingRefBased/>
  <w15:docId w15:val="{E4007B65-2D57-42D4-961D-47DE272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8B"/>
    <w:pPr>
      <w:spacing w:line="274" w:lineRule="auto"/>
    </w:pPr>
    <w:rPr>
      <w:rFonts w:ascii="Arial" w:hAnsi="Arial"/>
    </w:rPr>
  </w:style>
  <w:style w:type="paragraph" w:styleId="Heading1">
    <w:name w:val="heading 1"/>
    <w:basedOn w:val="Normal"/>
    <w:next w:val="Normal"/>
    <w:link w:val="Heading1Char"/>
    <w:uiPriority w:val="9"/>
    <w:qFormat/>
    <w:rsid w:val="00A75B8B"/>
    <w:pPr>
      <w:keepNext/>
      <w:keepLines/>
      <w:numPr>
        <w:numId w:val="2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D618E7"/>
    <w:pPr>
      <w:keepNext/>
      <w:keepLines/>
      <w:numPr>
        <w:ilvl w:val="1"/>
        <w:numId w:val="23"/>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D618E7"/>
    <w:pPr>
      <w:keepNext/>
      <w:keepLines/>
      <w:numPr>
        <w:ilvl w:val="2"/>
        <w:numId w:val="23"/>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D618E7"/>
    <w:pPr>
      <w:keepNext/>
      <w:keepLines/>
      <w:numPr>
        <w:ilvl w:val="3"/>
        <w:numId w:val="23"/>
      </w:numPr>
      <w:spacing w:before="80" w:after="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ED72A9"/>
    <w:pPr>
      <w:keepNext/>
      <w:keepLines/>
      <w:numPr>
        <w:ilvl w:val="4"/>
        <w:numId w:val="23"/>
      </w:numPr>
      <w:spacing w:before="80" w:after="40"/>
      <w:outlineLvl w:val="4"/>
    </w:pPr>
    <w:rPr>
      <w:rFonts w:eastAsiaTheme="majorEastAsia" w:cstheme="majorBidi"/>
      <w:color w:val="6B3B57" w:themeColor="accent2"/>
    </w:rPr>
  </w:style>
  <w:style w:type="paragraph" w:styleId="Heading6">
    <w:name w:val="heading 6"/>
    <w:basedOn w:val="Normal"/>
    <w:next w:val="Normal"/>
    <w:link w:val="Heading6Char"/>
    <w:uiPriority w:val="9"/>
    <w:semiHidden/>
    <w:unhideWhenUsed/>
    <w:qFormat/>
    <w:rsid w:val="008C7722"/>
    <w:pPr>
      <w:keepNext/>
      <w:keepLines/>
      <w:numPr>
        <w:ilvl w:val="5"/>
        <w:numId w:val="2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B8B"/>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D618E7"/>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D618E7"/>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D618E7"/>
    <w:rPr>
      <w:rFonts w:ascii="Arial" w:eastAsiaTheme="majorEastAsia" w:hAnsi="Arial" w:cstheme="majorBidi"/>
      <w:b/>
      <w:i/>
      <w:iCs/>
    </w:rPr>
  </w:style>
  <w:style w:type="character" w:customStyle="1" w:styleId="Heading5Char">
    <w:name w:val="Heading 5 Char"/>
    <w:basedOn w:val="DefaultParagraphFont"/>
    <w:link w:val="Heading5"/>
    <w:uiPriority w:val="9"/>
    <w:semiHidden/>
    <w:rsid w:val="00ED72A9"/>
    <w:rPr>
      <w:rFonts w:ascii="Inter" w:eastAsiaTheme="majorEastAsia" w:hAnsi="Inter" w:cstheme="majorBidi"/>
      <w:color w:val="6B3B57" w:themeColor="accent2"/>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DD5B67"/>
    <w:pPr>
      <w:spacing w:after="480" w:line="216" w:lineRule="auto"/>
    </w:pPr>
    <w:rPr>
      <w:rFonts w:cs="Arial"/>
      <w:color w:val="351C26" w:themeColor="text1"/>
      <w:sz w:val="104"/>
      <w:szCs w:val="104"/>
    </w:rPr>
  </w:style>
  <w:style w:type="character" w:customStyle="1" w:styleId="TitleChar">
    <w:name w:val="Title Char"/>
    <w:basedOn w:val="DefaultParagraphFont"/>
    <w:link w:val="Title"/>
    <w:uiPriority w:val="10"/>
    <w:rsid w:val="00DD5B67"/>
    <w:rPr>
      <w:rFonts w:ascii="Arial" w:hAnsi="Arial" w:cs="Arial"/>
      <w:color w:val="351C26" w:themeColor="text1"/>
      <w:sz w:val="104"/>
      <w:szCs w:val="104"/>
    </w:rPr>
  </w:style>
  <w:style w:type="paragraph" w:styleId="Subtitle">
    <w:name w:val="Subtitle"/>
    <w:basedOn w:val="Normal"/>
    <w:next w:val="Normal"/>
    <w:link w:val="SubtitleChar"/>
    <w:uiPriority w:val="11"/>
    <w:qFormat/>
    <w:rsid w:val="00DD5B67"/>
    <w:pPr>
      <w:numPr>
        <w:ilvl w:val="1"/>
      </w:numPr>
      <w:spacing w:line="240" w:lineRule="auto"/>
    </w:pPr>
    <w:rPr>
      <w:rFonts w:eastAsiaTheme="majorEastAsia" w:cs="Arial"/>
      <w:color w:val="6B3B57"/>
      <w:spacing w:val="15"/>
      <w:sz w:val="40"/>
      <w:szCs w:val="24"/>
    </w:rPr>
  </w:style>
  <w:style w:type="character" w:customStyle="1" w:styleId="SubtitleChar">
    <w:name w:val="Subtitle Char"/>
    <w:basedOn w:val="DefaultParagraphFont"/>
    <w:link w:val="Subtitle"/>
    <w:uiPriority w:val="11"/>
    <w:rsid w:val="00DD5B67"/>
    <w:rPr>
      <w:rFonts w:ascii="Arial" w:eastAsiaTheme="majorEastAsia" w:hAnsi="Arial" w:cs="Arial"/>
      <w:color w:val="6B3B57"/>
      <w:spacing w:val="15"/>
      <w:sz w:val="40"/>
      <w:szCs w:val="24"/>
    </w:rPr>
  </w:style>
  <w:style w:type="paragraph" w:styleId="Quote">
    <w:name w:val="Quote"/>
    <w:basedOn w:val="Normal"/>
    <w:next w:val="Normal"/>
    <w:link w:val="QuoteChar"/>
    <w:uiPriority w:val="29"/>
    <w:qFormat/>
    <w:rsid w:val="002D2B6F"/>
    <w:pPr>
      <w:spacing w:before="280" w:after="280"/>
      <w:ind w:left="567" w:right="567"/>
    </w:pPr>
    <w:rPr>
      <w:iCs/>
      <w:kern w:val="0"/>
    </w:rPr>
  </w:style>
  <w:style w:type="character" w:customStyle="1" w:styleId="QuoteChar">
    <w:name w:val="Quote Char"/>
    <w:basedOn w:val="DefaultParagraphFont"/>
    <w:link w:val="Quote"/>
    <w:uiPriority w:val="29"/>
    <w:rsid w:val="002D2B6F"/>
    <w:rPr>
      <w:rFonts w:ascii="Arial" w:hAnsi="Arial"/>
      <w:iCs/>
      <w:kern w:val="0"/>
    </w:rPr>
  </w:style>
  <w:style w:type="paragraph" w:styleId="ListParagraph">
    <w:name w:val="List Paragraph"/>
    <w:basedOn w:val="Normal"/>
    <w:link w:val="ListParagraphChar"/>
    <w:uiPriority w:val="34"/>
    <w:qFormat/>
    <w:rsid w:val="00F871A0"/>
    <w:pPr>
      <w:numPr>
        <w:numId w:val="22"/>
      </w:numPr>
      <w:contextualSpacing/>
    </w:pPr>
  </w:style>
  <w:style w:type="character" w:styleId="IntenseEmphasis">
    <w:name w:val="Intense Emphasis"/>
    <w:basedOn w:val="DefaultParagraphFont"/>
    <w:uiPriority w:val="21"/>
    <w:qFormat/>
    <w:rsid w:val="008C7722"/>
    <w:rPr>
      <w:i/>
      <w:iCs/>
      <w:color w:val="32CDC5" w:themeColor="accent1" w:themeShade="BF"/>
    </w:rPr>
  </w:style>
  <w:style w:type="paragraph" w:styleId="IntenseQuote">
    <w:name w:val="Intense Quote"/>
    <w:basedOn w:val="Normal"/>
    <w:next w:val="Normal"/>
    <w:link w:val="IntenseQuoteChar"/>
    <w:uiPriority w:val="30"/>
    <w:qFormat/>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qFormat/>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9E3513"/>
    <w:pPr>
      <w:spacing w:after="100"/>
    </w:pPr>
  </w:style>
  <w:style w:type="character" w:styleId="Hyperlink">
    <w:name w:val="Hyperlink"/>
    <w:basedOn w:val="DefaultParagraphFont"/>
    <w:uiPriority w:val="99"/>
    <w:unhideWhenUsed/>
    <w:rsid w:val="00A75B8B"/>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3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Condensed" w:hAnsi="Bahnschrift SemiCondensed"/>
        <w:b/>
        <w:sz w:val="22"/>
      </w:rPr>
      <w:tblPr/>
      <w:tcPr>
        <w:shd w:val="clear" w:color="auto" w:fill="78DED9" w:themeFill="accent1"/>
      </w:tcPr>
    </w:tblStylePr>
  </w:style>
  <w:style w:type="paragraph" w:styleId="Caption">
    <w:name w:val="caption"/>
    <w:basedOn w:val="Normal"/>
    <w:next w:val="Normal"/>
    <w:uiPriority w:val="35"/>
    <w:unhideWhenUsed/>
    <w:qFormat/>
    <w:rsid w:val="00D618E7"/>
    <w:pPr>
      <w:spacing w:after="200" w:line="240" w:lineRule="auto"/>
    </w:pPr>
    <w:rPr>
      <w:i/>
      <w:iCs/>
      <w:color w:val="351C26" w:themeColor="text2"/>
      <w:szCs w:val="18"/>
    </w:rPr>
  </w:style>
  <w:style w:type="character" w:styleId="UnresolvedMention">
    <w:name w:val="Unresolved Mention"/>
    <w:basedOn w:val="DefaultParagraphFont"/>
    <w:uiPriority w:val="99"/>
    <w:semiHidden/>
    <w:unhideWhenUsed/>
    <w:rsid w:val="00F871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4CA3"/>
    <w:pPr>
      <w:widowControl/>
      <w:spacing w:after="160"/>
    </w:pPr>
    <w:rPr>
      <w:b/>
      <w:bCs/>
      <w:kern w:val="2"/>
      <w:lang w:val="en-AU"/>
    </w:rPr>
  </w:style>
  <w:style w:type="character" w:customStyle="1" w:styleId="CommentSubjectChar">
    <w:name w:val="Comment Subject Char"/>
    <w:basedOn w:val="CommentTextChar"/>
    <w:link w:val="CommentSubject"/>
    <w:uiPriority w:val="99"/>
    <w:semiHidden/>
    <w:rsid w:val="00944CA3"/>
    <w:rPr>
      <w:rFonts w:ascii="Arial" w:hAnsi="Arial"/>
      <w:b/>
      <w:bCs/>
      <w:kern w:val="0"/>
      <w:sz w:val="20"/>
      <w:szCs w:val="20"/>
      <w:lang w:val="en-US"/>
    </w:rPr>
  </w:style>
  <w:style w:type="paragraph" w:styleId="FootnoteText">
    <w:name w:val="footnote text"/>
    <w:basedOn w:val="Normal"/>
    <w:link w:val="FootnoteTextChar"/>
    <w:uiPriority w:val="99"/>
    <w:semiHidden/>
    <w:unhideWhenUsed/>
    <w:rsid w:val="00BC1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F28"/>
    <w:rPr>
      <w:sz w:val="20"/>
      <w:szCs w:val="20"/>
    </w:rPr>
  </w:style>
  <w:style w:type="character" w:styleId="FootnoteReference">
    <w:name w:val="footnote reference"/>
    <w:basedOn w:val="DefaultParagraphFont"/>
    <w:uiPriority w:val="99"/>
    <w:semiHidden/>
    <w:unhideWhenUsed/>
    <w:rsid w:val="00BC1F28"/>
    <w:rPr>
      <w:vertAlign w:val="superscript"/>
    </w:rPr>
  </w:style>
  <w:style w:type="paragraph" w:customStyle="1" w:styleId="EndNoteBibliographyTitle">
    <w:name w:val="EndNote Bibliography Title"/>
    <w:basedOn w:val="Normal"/>
    <w:link w:val="EndNoteBibliographyTitleChar"/>
    <w:rsid w:val="000D6430"/>
    <w:pPr>
      <w:spacing w:after="0"/>
      <w:jc w:val="center"/>
    </w:pPr>
    <w:rPr>
      <w:rFonts w:cs="Arial"/>
      <w:noProof/>
      <w:sz w:val="52"/>
      <w:lang w:val="en-US"/>
    </w:rPr>
  </w:style>
  <w:style w:type="character" w:customStyle="1" w:styleId="EndNoteBibliographyTitleChar">
    <w:name w:val="EndNote Bibliography Title Char"/>
    <w:basedOn w:val="DefaultParagraphFont"/>
    <w:link w:val="EndNoteBibliographyTitle"/>
    <w:rsid w:val="000D6430"/>
    <w:rPr>
      <w:rFonts w:ascii="Arial" w:hAnsi="Arial" w:cs="Arial"/>
      <w:noProof/>
      <w:sz w:val="52"/>
      <w:lang w:val="en-US"/>
    </w:rPr>
  </w:style>
  <w:style w:type="paragraph" w:customStyle="1" w:styleId="EndNoteBibliography">
    <w:name w:val="EndNote Bibliography"/>
    <w:basedOn w:val="Normal"/>
    <w:link w:val="EndNoteBibliographyChar"/>
    <w:rsid w:val="000D6430"/>
    <w:pPr>
      <w:spacing w:line="240" w:lineRule="auto"/>
    </w:pPr>
    <w:rPr>
      <w:rFonts w:cs="Arial"/>
      <w:noProof/>
      <w:sz w:val="52"/>
      <w:lang w:val="en-US"/>
    </w:rPr>
  </w:style>
  <w:style w:type="character" w:customStyle="1" w:styleId="EndNoteBibliographyChar">
    <w:name w:val="EndNote Bibliography Char"/>
    <w:basedOn w:val="DefaultParagraphFont"/>
    <w:link w:val="EndNoteBibliography"/>
    <w:rsid w:val="000D6430"/>
    <w:rPr>
      <w:rFonts w:ascii="Arial" w:hAnsi="Arial" w:cs="Arial"/>
      <w:noProof/>
      <w:sz w:val="52"/>
      <w:lang w:val="en-US"/>
    </w:rPr>
  </w:style>
  <w:style w:type="paragraph" w:styleId="BodyText">
    <w:name w:val="Body Text"/>
    <w:basedOn w:val="Normal"/>
    <w:link w:val="BodyTextChar"/>
    <w:rsid w:val="00A46474"/>
    <w:pPr>
      <w:spacing w:after="120" w:line="240" w:lineRule="auto"/>
    </w:pPr>
    <w:rPr>
      <w:rFonts w:eastAsia="Times New Roman" w:cs="Times New Roman"/>
      <w:kern w:val="0"/>
      <w:szCs w:val="24"/>
      <w14:ligatures w14:val="none"/>
    </w:rPr>
  </w:style>
  <w:style w:type="character" w:customStyle="1" w:styleId="BodyTextChar">
    <w:name w:val="Body Text Char"/>
    <w:basedOn w:val="DefaultParagraphFont"/>
    <w:link w:val="BodyText"/>
    <w:rsid w:val="00A46474"/>
    <w:rPr>
      <w:rFonts w:ascii="Arial" w:eastAsia="Times New Roman" w:hAnsi="Arial" w:cs="Times New Roman"/>
      <w:kern w:val="0"/>
      <w:szCs w:val="24"/>
      <w14:ligatures w14:val="none"/>
    </w:rPr>
  </w:style>
  <w:style w:type="paragraph" w:styleId="Revision">
    <w:name w:val="Revision"/>
    <w:hidden/>
    <w:uiPriority w:val="99"/>
    <w:semiHidden/>
    <w:rsid w:val="00031544"/>
    <w:pPr>
      <w:spacing w:after="0" w:line="240" w:lineRule="auto"/>
    </w:pPr>
    <w:rPr>
      <w:rFonts w:ascii="Arial" w:hAnsi="Arial"/>
    </w:rPr>
  </w:style>
  <w:style w:type="character" w:styleId="Mention">
    <w:name w:val="Mention"/>
    <w:basedOn w:val="DefaultParagraphFont"/>
    <w:uiPriority w:val="99"/>
    <w:unhideWhenUsed/>
    <w:rsid w:val="008D5CEF"/>
    <w:rPr>
      <w:color w:val="2B579A"/>
      <w:shd w:val="clear" w:color="auto" w:fill="E1DFDD"/>
    </w:rPr>
  </w:style>
  <w:style w:type="paragraph" w:customStyle="1" w:styleId="font7">
    <w:name w:val="font_7"/>
    <w:basedOn w:val="Normal"/>
    <w:rsid w:val="00491A7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ixui-rich-texttext">
    <w:name w:val="wixui-rich-text__text"/>
    <w:basedOn w:val="DefaultParagraphFont"/>
    <w:rsid w:val="00491A7B"/>
  </w:style>
  <w:style w:type="paragraph" w:customStyle="1" w:styleId="font9">
    <w:name w:val="font_9"/>
    <w:basedOn w:val="Normal"/>
    <w:rsid w:val="00491A7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ableofFigures">
    <w:name w:val="table of figures"/>
    <w:basedOn w:val="Normal"/>
    <w:next w:val="Normal"/>
    <w:uiPriority w:val="99"/>
    <w:unhideWhenUsed/>
    <w:rsid w:val="00CA4C1B"/>
    <w:pPr>
      <w:spacing w:after="0"/>
    </w:pPr>
  </w:style>
  <w:style w:type="paragraph" w:customStyle="1" w:styleId="ReferenceList">
    <w:name w:val="Reference List"/>
    <w:basedOn w:val="EndNoteBibliography"/>
    <w:link w:val="ReferenceListChar"/>
    <w:qFormat/>
    <w:rsid w:val="008F515A"/>
    <w:pPr>
      <w:spacing w:before="120" w:after="120"/>
      <w:ind w:left="720" w:hanging="720"/>
    </w:pPr>
  </w:style>
  <w:style w:type="character" w:customStyle="1" w:styleId="ReferenceListChar">
    <w:name w:val="Reference List Char"/>
    <w:basedOn w:val="EndNoteBibliographyChar"/>
    <w:link w:val="ReferenceList"/>
    <w:rsid w:val="00077CA7"/>
    <w:rPr>
      <w:rFonts w:ascii="Arial" w:hAnsi="Arial" w:cs="Arial"/>
      <w:noProof/>
      <w:sz w:val="52"/>
      <w:lang w:val="en-US"/>
    </w:rPr>
  </w:style>
  <w:style w:type="paragraph" w:customStyle="1" w:styleId="pf0">
    <w:name w:val="pf0"/>
    <w:basedOn w:val="Normal"/>
    <w:rsid w:val="000477A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0477A0"/>
    <w:rPr>
      <w:rFonts w:ascii="Segoe UI" w:hAnsi="Segoe UI" w:cs="Segoe UI" w:hint="default"/>
      <w:sz w:val="18"/>
      <w:szCs w:val="18"/>
    </w:rPr>
  </w:style>
  <w:style w:type="character" w:styleId="FollowedHyperlink">
    <w:name w:val="FollowedHyperlink"/>
    <w:basedOn w:val="DefaultParagraphFont"/>
    <w:uiPriority w:val="99"/>
    <w:semiHidden/>
    <w:unhideWhenUsed/>
    <w:rsid w:val="00A56051"/>
    <w:rPr>
      <w:color w:val="FCBF86" w:themeColor="followedHyperlink"/>
      <w:u w:val="single"/>
    </w:rPr>
  </w:style>
  <w:style w:type="paragraph" w:customStyle="1" w:styleId="headingnotitTOC">
    <w:name w:val="heading not it TOC"/>
    <w:basedOn w:val="Normal"/>
    <w:qFormat/>
    <w:rsid w:val="00315096"/>
    <w:pPr>
      <w:spacing w:before="360" w:after="360"/>
      <w:ind w:left="431" w:hanging="431"/>
    </w:pPr>
    <w:rPr>
      <w:rFonts w:eastAsia="Times New Roman" w:cs="Arial"/>
      <w:color w:val="6B3B57"/>
      <w:sz w:val="52"/>
      <w:szCs w:val="40"/>
      <w:lang w:eastAsia="en-AU"/>
    </w:rPr>
  </w:style>
  <w:style w:type="character" w:customStyle="1" w:styleId="ListParagraphChar">
    <w:name w:val="List Paragraph Char"/>
    <w:basedOn w:val="DefaultParagraphFont"/>
    <w:link w:val="ListParagraph"/>
    <w:uiPriority w:val="34"/>
    <w:locked/>
    <w:rsid w:val="00B34C02"/>
  </w:style>
  <w:style w:type="paragraph" w:customStyle="1" w:styleId="Reportcategorytitle">
    <w:name w:val="Report category title"/>
    <w:basedOn w:val="Subtitle"/>
    <w:qFormat/>
    <w:rsid w:val="0058529D"/>
    <w:pPr>
      <w:spacing w:after="360"/>
    </w:pPr>
    <w:rPr>
      <w:sz w:val="32"/>
      <w:szCs w:val="20"/>
    </w:rPr>
  </w:style>
  <w:style w:type="paragraph" w:customStyle="1" w:styleId="Footnote">
    <w:name w:val="Footnote"/>
    <w:basedOn w:val="FootnoteText"/>
    <w:qFormat/>
    <w:rsid w:val="00D61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7462">
      <w:bodyDiv w:val="1"/>
      <w:marLeft w:val="0"/>
      <w:marRight w:val="0"/>
      <w:marTop w:val="0"/>
      <w:marBottom w:val="0"/>
      <w:divBdr>
        <w:top w:val="none" w:sz="0" w:space="0" w:color="auto"/>
        <w:left w:val="none" w:sz="0" w:space="0" w:color="auto"/>
        <w:bottom w:val="none" w:sz="0" w:space="0" w:color="auto"/>
        <w:right w:val="none" w:sz="0" w:space="0" w:color="auto"/>
      </w:divBdr>
    </w:div>
    <w:div w:id="260186175">
      <w:bodyDiv w:val="1"/>
      <w:marLeft w:val="0"/>
      <w:marRight w:val="0"/>
      <w:marTop w:val="0"/>
      <w:marBottom w:val="0"/>
      <w:divBdr>
        <w:top w:val="none" w:sz="0" w:space="0" w:color="auto"/>
        <w:left w:val="none" w:sz="0" w:space="0" w:color="auto"/>
        <w:bottom w:val="none" w:sz="0" w:space="0" w:color="auto"/>
        <w:right w:val="none" w:sz="0" w:space="0" w:color="auto"/>
      </w:divBdr>
    </w:div>
    <w:div w:id="326595002">
      <w:bodyDiv w:val="1"/>
      <w:marLeft w:val="0"/>
      <w:marRight w:val="0"/>
      <w:marTop w:val="0"/>
      <w:marBottom w:val="0"/>
      <w:divBdr>
        <w:top w:val="none" w:sz="0" w:space="0" w:color="auto"/>
        <w:left w:val="none" w:sz="0" w:space="0" w:color="auto"/>
        <w:bottom w:val="none" w:sz="0" w:space="0" w:color="auto"/>
        <w:right w:val="none" w:sz="0" w:space="0" w:color="auto"/>
      </w:divBdr>
      <w:divsChild>
        <w:div w:id="7369335">
          <w:marLeft w:val="150"/>
          <w:marRight w:val="150"/>
          <w:marTop w:val="150"/>
          <w:marBottom w:val="150"/>
          <w:divBdr>
            <w:top w:val="none" w:sz="0" w:space="0" w:color="auto"/>
            <w:left w:val="none" w:sz="0" w:space="0" w:color="auto"/>
            <w:bottom w:val="none" w:sz="0" w:space="0" w:color="auto"/>
            <w:right w:val="none" w:sz="0" w:space="0" w:color="auto"/>
          </w:divBdr>
          <w:divsChild>
            <w:div w:id="1117526378">
              <w:marLeft w:val="0"/>
              <w:marRight w:val="0"/>
              <w:marTop w:val="0"/>
              <w:marBottom w:val="0"/>
              <w:divBdr>
                <w:top w:val="single" w:sz="2" w:space="0" w:color="7A7A7A"/>
                <w:left w:val="single" w:sz="2" w:space="0" w:color="7A7A7A"/>
                <w:bottom w:val="single" w:sz="2" w:space="0" w:color="7A7A7A"/>
                <w:right w:val="single" w:sz="2" w:space="0" w:color="7A7A7A"/>
              </w:divBdr>
              <w:divsChild>
                <w:div w:id="1548374143">
                  <w:marLeft w:val="0"/>
                  <w:marRight w:val="0"/>
                  <w:marTop w:val="0"/>
                  <w:marBottom w:val="0"/>
                  <w:divBdr>
                    <w:top w:val="none" w:sz="0" w:space="0" w:color="auto"/>
                    <w:left w:val="none" w:sz="0" w:space="0" w:color="auto"/>
                    <w:bottom w:val="none" w:sz="0" w:space="0" w:color="auto"/>
                    <w:right w:val="none" w:sz="0" w:space="0" w:color="auto"/>
                  </w:divBdr>
                  <w:divsChild>
                    <w:div w:id="1531183293">
                      <w:marLeft w:val="0"/>
                      <w:marRight w:val="0"/>
                      <w:marTop w:val="0"/>
                      <w:marBottom w:val="0"/>
                      <w:divBdr>
                        <w:top w:val="none" w:sz="0" w:space="0" w:color="auto"/>
                        <w:left w:val="none" w:sz="0" w:space="0" w:color="auto"/>
                        <w:bottom w:val="none" w:sz="0" w:space="0" w:color="auto"/>
                        <w:right w:val="none" w:sz="0" w:space="0" w:color="auto"/>
                      </w:divBdr>
                      <w:divsChild>
                        <w:div w:id="1002774930">
                          <w:marLeft w:val="0"/>
                          <w:marRight w:val="0"/>
                          <w:marTop w:val="0"/>
                          <w:marBottom w:val="225"/>
                          <w:divBdr>
                            <w:top w:val="none" w:sz="0" w:space="0" w:color="auto"/>
                            <w:left w:val="none" w:sz="0" w:space="0" w:color="auto"/>
                            <w:bottom w:val="none" w:sz="0" w:space="0" w:color="auto"/>
                            <w:right w:val="none" w:sz="0" w:space="0" w:color="auto"/>
                          </w:divBdr>
                        </w:div>
                        <w:div w:id="1319921753">
                          <w:marLeft w:val="0"/>
                          <w:marRight w:val="0"/>
                          <w:marTop w:val="0"/>
                          <w:marBottom w:val="75"/>
                          <w:divBdr>
                            <w:top w:val="none" w:sz="0" w:space="0" w:color="auto"/>
                            <w:left w:val="none" w:sz="0" w:space="0" w:color="auto"/>
                            <w:bottom w:val="none" w:sz="0" w:space="0" w:color="auto"/>
                            <w:right w:val="none" w:sz="0" w:space="0" w:color="auto"/>
                          </w:divBdr>
                        </w:div>
                        <w:div w:id="19330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1617">
          <w:marLeft w:val="150"/>
          <w:marRight w:val="150"/>
          <w:marTop w:val="150"/>
          <w:marBottom w:val="150"/>
          <w:divBdr>
            <w:top w:val="none" w:sz="0" w:space="0" w:color="auto"/>
            <w:left w:val="none" w:sz="0" w:space="0" w:color="auto"/>
            <w:bottom w:val="none" w:sz="0" w:space="0" w:color="auto"/>
            <w:right w:val="none" w:sz="0" w:space="0" w:color="auto"/>
          </w:divBdr>
          <w:divsChild>
            <w:div w:id="1796825182">
              <w:marLeft w:val="0"/>
              <w:marRight w:val="0"/>
              <w:marTop w:val="0"/>
              <w:marBottom w:val="0"/>
              <w:divBdr>
                <w:top w:val="single" w:sz="2" w:space="0" w:color="7A7A7A"/>
                <w:left w:val="single" w:sz="2" w:space="0" w:color="7A7A7A"/>
                <w:bottom w:val="single" w:sz="2" w:space="0" w:color="7A7A7A"/>
                <w:right w:val="single" w:sz="2" w:space="0" w:color="7A7A7A"/>
              </w:divBdr>
              <w:divsChild>
                <w:div w:id="394813933">
                  <w:marLeft w:val="0"/>
                  <w:marRight w:val="0"/>
                  <w:marTop w:val="0"/>
                  <w:marBottom w:val="0"/>
                  <w:divBdr>
                    <w:top w:val="none" w:sz="0" w:space="0" w:color="auto"/>
                    <w:left w:val="none" w:sz="0" w:space="0" w:color="auto"/>
                    <w:bottom w:val="none" w:sz="0" w:space="0" w:color="auto"/>
                    <w:right w:val="none" w:sz="0" w:space="0" w:color="auto"/>
                  </w:divBdr>
                  <w:divsChild>
                    <w:div w:id="1006517950">
                      <w:marLeft w:val="0"/>
                      <w:marRight w:val="0"/>
                      <w:marTop w:val="0"/>
                      <w:marBottom w:val="0"/>
                      <w:divBdr>
                        <w:top w:val="none" w:sz="0" w:space="0" w:color="auto"/>
                        <w:left w:val="none" w:sz="0" w:space="0" w:color="auto"/>
                        <w:bottom w:val="none" w:sz="0" w:space="0" w:color="auto"/>
                        <w:right w:val="none" w:sz="0" w:space="0" w:color="auto"/>
                      </w:divBdr>
                      <w:divsChild>
                        <w:div w:id="121466289">
                          <w:marLeft w:val="0"/>
                          <w:marRight w:val="0"/>
                          <w:marTop w:val="0"/>
                          <w:marBottom w:val="75"/>
                          <w:divBdr>
                            <w:top w:val="none" w:sz="0" w:space="0" w:color="auto"/>
                            <w:left w:val="none" w:sz="0" w:space="0" w:color="auto"/>
                            <w:bottom w:val="none" w:sz="0" w:space="0" w:color="auto"/>
                            <w:right w:val="none" w:sz="0" w:space="0" w:color="auto"/>
                          </w:divBdr>
                        </w:div>
                        <w:div w:id="300313389">
                          <w:marLeft w:val="0"/>
                          <w:marRight w:val="0"/>
                          <w:marTop w:val="0"/>
                          <w:marBottom w:val="0"/>
                          <w:divBdr>
                            <w:top w:val="none" w:sz="0" w:space="0" w:color="auto"/>
                            <w:left w:val="none" w:sz="0" w:space="0" w:color="auto"/>
                            <w:bottom w:val="none" w:sz="0" w:space="0" w:color="auto"/>
                            <w:right w:val="none" w:sz="0" w:space="0" w:color="auto"/>
                          </w:divBdr>
                        </w:div>
                        <w:div w:id="13733102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59709118">
          <w:marLeft w:val="150"/>
          <w:marRight w:val="150"/>
          <w:marTop w:val="150"/>
          <w:marBottom w:val="150"/>
          <w:divBdr>
            <w:top w:val="none" w:sz="0" w:space="0" w:color="auto"/>
            <w:left w:val="none" w:sz="0" w:space="0" w:color="auto"/>
            <w:bottom w:val="none" w:sz="0" w:space="0" w:color="auto"/>
            <w:right w:val="none" w:sz="0" w:space="0" w:color="auto"/>
          </w:divBdr>
          <w:divsChild>
            <w:div w:id="1950315385">
              <w:marLeft w:val="0"/>
              <w:marRight w:val="0"/>
              <w:marTop w:val="0"/>
              <w:marBottom w:val="0"/>
              <w:divBdr>
                <w:top w:val="single" w:sz="2" w:space="0" w:color="7A7A7A"/>
                <w:left w:val="single" w:sz="2" w:space="0" w:color="7A7A7A"/>
                <w:bottom w:val="single" w:sz="2" w:space="0" w:color="7A7A7A"/>
                <w:right w:val="single" w:sz="2" w:space="0" w:color="7A7A7A"/>
              </w:divBdr>
              <w:divsChild>
                <w:div w:id="163787135">
                  <w:marLeft w:val="0"/>
                  <w:marRight w:val="0"/>
                  <w:marTop w:val="0"/>
                  <w:marBottom w:val="0"/>
                  <w:divBdr>
                    <w:top w:val="none" w:sz="0" w:space="0" w:color="auto"/>
                    <w:left w:val="none" w:sz="0" w:space="0" w:color="auto"/>
                    <w:bottom w:val="none" w:sz="0" w:space="0" w:color="auto"/>
                    <w:right w:val="none" w:sz="0" w:space="0" w:color="auto"/>
                  </w:divBdr>
                  <w:divsChild>
                    <w:div w:id="55857208">
                      <w:marLeft w:val="0"/>
                      <w:marRight w:val="0"/>
                      <w:marTop w:val="0"/>
                      <w:marBottom w:val="0"/>
                      <w:divBdr>
                        <w:top w:val="none" w:sz="0" w:space="0" w:color="auto"/>
                        <w:left w:val="none" w:sz="0" w:space="0" w:color="auto"/>
                        <w:bottom w:val="none" w:sz="0" w:space="0" w:color="auto"/>
                        <w:right w:val="none" w:sz="0" w:space="0" w:color="auto"/>
                      </w:divBdr>
                      <w:divsChild>
                        <w:div w:id="1102451475">
                          <w:marLeft w:val="0"/>
                          <w:marRight w:val="0"/>
                          <w:marTop w:val="0"/>
                          <w:marBottom w:val="225"/>
                          <w:divBdr>
                            <w:top w:val="none" w:sz="0" w:space="0" w:color="auto"/>
                            <w:left w:val="none" w:sz="0" w:space="0" w:color="auto"/>
                            <w:bottom w:val="none" w:sz="0" w:space="0" w:color="auto"/>
                            <w:right w:val="none" w:sz="0" w:space="0" w:color="auto"/>
                          </w:divBdr>
                        </w:div>
                        <w:div w:id="1247348356">
                          <w:marLeft w:val="0"/>
                          <w:marRight w:val="0"/>
                          <w:marTop w:val="0"/>
                          <w:marBottom w:val="0"/>
                          <w:divBdr>
                            <w:top w:val="none" w:sz="0" w:space="0" w:color="auto"/>
                            <w:left w:val="none" w:sz="0" w:space="0" w:color="auto"/>
                            <w:bottom w:val="none" w:sz="0" w:space="0" w:color="auto"/>
                            <w:right w:val="none" w:sz="0" w:space="0" w:color="auto"/>
                          </w:divBdr>
                        </w:div>
                        <w:div w:id="17515831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9263603">
          <w:marLeft w:val="150"/>
          <w:marRight w:val="150"/>
          <w:marTop w:val="150"/>
          <w:marBottom w:val="150"/>
          <w:divBdr>
            <w:top w:val="none" w:sz="0" w:space="0" w:color="auto"/>
            <w:left w:val="none" w:sz="0" w:space="0" w:color="auto"/>
            <w:bottom w:val="none" w:sz="0" w:space="0" w:color="auto"/>
            <w:right w:val="none" w:sz="0" w:space="0" w:color="auto"/>
          </w:divBdr>
          <w:divsChild>
            <w:div w:id="1446577196">
              <w:marLeft w:val="0"/>
              <w:marRight w:val="0"/>
              <w:marTop w:val="0"/>
              <w:marBottom w:val="0"/>
              <w:divBdr>
                <w:top w:val="single" w:sz="2" w:space="0" w:color="7A7A7A"/>
                <w:left w:val="single" w:sz="2" w:space="0" w:color="7A7A7A"/>
                <w:bottom w:val="single" w:sz="2" w:space="0" w:color="7A7A7A"/>
                <w:right w:val="single" w:sz="2" w:space="0" w:color="7A7A7A"/>
              </w:divBdr>
              <w:divsChild>
                <w:div w:id="584920346">
                  <w:marLeft w:val="0"/>
                  <w:marRight w:val="0"/>
                  <w:marTop w:val="0"/>
                  <w:marBottom w:val="0"/>
                  <w:divBdr>
                    <w:top w:val="none" w:sz="0" w:space="0" w:color="auto"/>
                    <w:left w:val="none" w:sz="0" w:space="0" w:color="auto"/>
                    <w:bottom w:val="none" w:sz="0" w:space="0" w:color="auto"/>
                    <w:right w:val="none" w:sz="0" w:space="0" w:color="auto"/>
                  </w:divBdr>
                  <w:divsChild>
                    <w:div w:id="1065567558">
                      <w:marLeft w:val="0"/>
                      <w:marRight w:val="0"/>
                      <w:marTop w:val="0"/>
                      <w:marBottom w:val="0"/>
                      <w:divBdr>
                        <w:top w:val="none" w:sz="0" w:space="0" w:color="auto"/>
                        <w:left w:val="none" w:sz="0" w:space="0" w:color="auto"/>
                        <w:bottom w:val="none" w:sz="0" w:space="0" w:color="auto"/>
                        <w:right w:val="none" w:sz="0" w:space="0" w:color="auto"/>
                      </w:divBdr>
                      <w:divsChild>
                        <w:div w:id="80681359">
                          <w:marLeft w:val="0"/>
                          <w:marRight w:val="0"/>
                          <w:marTop w:val="0"/>
                          <w:marBottom w:val="225"/>
                          <w:divBdr>
                            <w:top w:val="none" w:sz="0" w:space="0" w:color="auto"/>
                            <w:left w:val="none" w:sz="0" w:space="0" w:color="auto"/>
                            <w:bottom w:val="none" w:sz="0" w:space="0" w:color="auto"/>
                            <w:right w:val="none" w:sz="0" w:space="0" w:color="auto"/>
                          </w:divBdr>
                        </w:div>
                        <w:div w:id="557320564">
                          <w:marLeft w:val="0"/>
                          <w:marRight w:val="0"/>
                          <w:marTop w:val="0"/>
                          <w:marBottom w:val="0"/>
                          <w:divBdr>
                            <w:top w:val="none" w:sz="0" w:space="0" w:color="auto"/>
                            <w:left w:val="none" w:sz="0" w:space="0" w:color="auto"/>
                            <w:bottom w:val="none" w:sz="0" w:space="0" w:color="auto"/>
                            <w:right w:val="none" w:sz="0" w:space="0" w:color="auto"/>
                          </w:divBdr>
                        </w:div>
                        <w:div w:id="8898793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28021878">
          <w:marLeft w:val="150"/>
          <w:marRight w:val="150"/>
          <w:marTop w:val="150"/>
          <w:marBottom w:val="150"/>
          <w:divBdr>
            <w:top w:val="none" w:sz="0" w:space="0" w:color="auto"/>
            <w:left w:val="none" w:sz="0" w:space="0" w:color="auto"/>
            <w:bottom w:val="none" w:sz="0" w:space="0" w:color="auto"/>
            <w:right w:val="none" w:sz="0" w:space="0" w:color="auto"/>
          </w:divBdr>
          <w:divsChild>
            <w:div w:id="819348070">
              <w:marLeft w:val="0"/>
              <w:marRight w:val="0"/>
              <w:marTop w:val="0"/>
              <w:marBottom w:val="0"/>
              <w:divBdr>
                <w:top w:val="single" w:sz="2" w:space="0" w:color="7A7A7A"/>
                <w:left w:val="single" w:sz="2" w:space="0" w:color="7A7A7A"/>
                <w:bottom w:val="single" w:sz="2" w:space="0" w:color="7A7A7A"/>
                <w:right w:val="single" w:sz="2" w:space="0" w:color="7A7A7A"/>
              </w:divBdr>
              <w:divsChild>
                <w:div w:id="277030682">
                  <w:marLeft w:val="0"/>
                  <w:marRight w:val="0"/>
                  <w:marTop w:val="0"/>
                  <w:marBottom w:val="0"/>
                  <w:divBdr>
                    <w:top w:val="none" w:sz="0" w:space="0" w:color="auto"/>
                    <w:left w:val="none" w:sz="0" w:space="0" w:color="auto"/>
                    <w:bottom w:val="none" w:sz="0" w:space="0" w:color="auto"/>
                    <w:right w:val="none" w:sz="0" w:space="0" w:color="auto"/>
                  </w:divBdr>
                  <w:divsChild>
                    <w:div w:id="1445035030">
                      <w:marLeft w:val="0"/>
                      <w:marRight w:val="0"/>
                      <w:marTop w:val="0"/>
                      <w:marBottom w:val="0"/>
                      <w:divBdr>
                        <w:top w:val="none" w:sz="0" w:space="0" w:color="auto"/>
                        <w:left w:val="none" w:sz="0" w:space="0" w:color="auto"/>
                        <w:bottom w:val="none" w:sz="0" w:space="0" w:color="auto"/>
                        <w:right w:val="none" w:sz="0" w:space="0" w:color="auto"/>
                      </w:divBdr>
                      <w:divsChild>
                        <w:div w:id="116223411">
                          <w:marLeft w:val="0"/>
                          <w:marRight w:val="0"/>
                          <w:marTop w:val="0"/>
                          <w:marBottom w:val="225"/>
                          <w:divBdr>
                            <w:top w:val="none" w:sz="0" w:space="0" w:color="auto"/>
                            <w:left w:val="none" w:sz="0" w:space="0" w:color="auto"/>
                            <w:bottom w:val="none" w:sz="0" w:space="0" w:color="auto"/>
                            <w:right w:val="none" w:sz="0" w:space="0" w:color="auto"/>
                          </w:divBdr>
                        </w:div>
                        <w:div w:id="232739939">
                          <w:marLeft w:val="0"/>
                          <w:marRight w:val="0"/>
                          <w:marTop w:val="0"/>
                          <w:marBottom w:val="75"/>
                          <w:divBdr>
                            <w:top w:val="none" w:sz="0" w:space="0" w:color="auto"/>
                            <w:left w:val="none" w:sz="0" w:space="0" w:color="auto"/>
                            <w:bottom w:val="none" w:sz="0" w:space="0" w:color="auto"/>
                            <w:right w:val="none" w:sz="0" w:space="0" w:color="auto"/>
                          </w:divBdr>
                        </w:div>
                        <w:div w:id="3342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7121">
          <w:marLeft w:val="150"/>
          <w:marRight w:val="150"/>
          <w:marTop w:val="150"/>
          <w:marBottom w:val="150"/>
          <w:divBdr>
            <w:top w:val="none" w:sz="0" w:space="0" w:color="auto"/>
            <w:left w:val="none" w:sz="0" w:space="0" w:color="auto"/>
            <w:bottom w:val="none" w:sz="0" w:space="0" w:color="auto"/>
            <w:right w:val="none" w:sz="0" w:space="0" w:color="auto"/>
          </w:divBdr>
          <w:divsChild>
            <w:div w:id="978263678">
              <w:marLeft w:val="0"/>
              <w:marRight w:val="0"/>
              <w:marTop w:val="0"/>
              <w:marBottom w:val="0"/>
              <w:divBdr>
                <w:top w:val="single" w:sz="2" w:space="0" w:color="7A7A7A"/>
                <w:left w:val="single" w:sz="2" w:space="0" w:color="7A7A7A"/>
                <w:bottom w:val="single" w:sz="2" w:space="0" w:color="7A7A7A"/>
                <w:right w:val="single" w:sz="2" w:space="0" w:color="7A7A7A"/>
              </w:divBdr>
              <w:divsChild>
                <w:div w:id="1665475398">
                  <w:marLeft w:val="0"/>
                  <w:marRight w:val="0"/>
                  <w:marTop w:val="0"/>
                  <w:marBottom w:val="0"/>
                  <w:divBdr>
                    <w:top w:val="none" w:sz="0" w:space="0" w:color="auto"/>
                    <w:left w:val="none" w:sz="0" w:space="0" w:color="auto"/>
                    <w:bottom w:val="none" w:sz="0" w:space="0" w:color="auto"/>
                    <w:right w:val="none" w:sz="0" w:space="0" w:color="auto"/>
                  </w:divBdr>
                  <w:divsChild>
                    <w:div w:id="955284448">
                      <w:marLeft w:val="0"/>
                      <w:marRight w:val="0"/>
                      <w:marTop w:val="0"/>
                      <w:marBottom w:val="0"/>
                      <w:divBdr>
                        <w:top w:val="none" w:sz="0" w:space="0" w:color="auto"/>
                        <w:left w:val="none" w:sz="0" w:space="0" w:color="auto"/>
                        <w:bottom w:val="none" w:sz="0" w:space="0" w:color="auto"/>
                        <w:right w:val="none" w:sz="0" w:space="0" w:color="auto"/>
                      </w:divBdr>
                      <w:divsChild>
                        <w:div w:id="1264342233">
                          <w:marLeft w:val="0"/>
                          <w:marRight w:val="0"/>
                          <w:marTop w:val="0"/>
                          <w:marBottom w:val="0"/>
                          <w:divBdr>
                            <w:top w:val="none" w:sz="0" w:space="0" w:color="auto"/>
                            <w:left w:val="none" w:sz="0" w:space="0" w:color="auto"/>
                            <w:bottom w:val="none" w:sz="0" w:space="0" w:color="auto"/>
                            <w:right w:val="none" w:sz="0" w:space="0" w:color="auto"/>
                          </w:divBdr>
                        </w:div>
                        <w:div w:id="1539510775">
                          <w:marLeft w:val="0"/>
                          <w:marRight w:val="0"/>
                          <w:marTop w:val="0"/>
                          <w:marBottom w:val="225"/>
                          <w:divBdr>
                            <w:top w:val="none" w:sz="0" w:space="0" w:color="auto"/>
                            <w:left w:val="none" w:sz="0" w:space="0" w:color="auto"/>
                            <w:bottom w:val="none" w:sz="0" w:space="0" w:color="auto"/>
                            <w:right w:val="none" w:sz="0" w:space="0" w:color="auto"/>
                          </w:divBdr>
                        </w:div>
                        <w:div w:id="1839686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69126960">
          <w:marLeft w:val="150"/>
          <w:marRight w:val="150"/>
          <w:marTop w:val="150"/>
          <w:marBottom w:val="150"/>
          <w:divBdr>
            <w:top w:val="none" w:sz="0" w:space="0" w:color="auto"/>
            <w:left w:val="none" w:sz="0" w:space="0" w:color="auto"/>
            <w:bottom w:val="none" w:sz="0" w:space="0" w:color="auto"/>
            <w:right w:val="none" w:sz="0" w:space="0" w:color="auto"/>
          </w:divBdr>
          <w:divsChild>
            <w:div w:id="179129782">
              <w:marLeft w:val="0"/>
              <w:marRight w:val="0"/>
              <w:marTop w:val="0"/>
              <w:marBottom w:val="0"/>
              <w:divBdr>
                <w:top w:val="single" w:sz="2" w:space="0" w:color="7A7A7A"/>
                <w:left w:val="single" w:sz="2" w:space="0" w:color="7A7A7A"/>
                <w:bottom w:val="single" w:sz="2" w:space="0" w:color="7A7A7A"/>
                <w:right w:val="single" w:sz="2" w:space="0" w:color="7A7A7A"/>
              </w:divBdr>
              <w:divsChild>
                <w:div w:id="834806660">
                  <w:marLeft w:val="0"/>
                  <w:marRight w:val="0"/>
                  <w:marTop w:val="0"/>
                  <w:marBottom w:val="0"/>
                  <w:divBdr>
                    <w:top w:val="none" w:sz="0" w:space="0" w:color="auto"/>
                    <w:left w:val="none" w:sz="0" w:space="0" w:color="auto"/>
                    <w:bottom w:val="none" w:sz="0" w:space="0" w:color="auto"/>
                    <w:right w:val="none" w:sz="0" w:space="0" w:color="auto"/>
                  </w:divBdr>
                  <w:divsChild>
                    <w:div w:id="463423838">
                      <w:marLeft w:val="0"/>
                      <w:marRight w:val="0"/>
                      <w:marTop w:val="0"/>
                      <w:marBottom w:val="0"/>
                      <w:divBdr>
                        <w:top w:val="none" w:sz="0" w:space="0" w:color="auto"/>
                        <w:left w:val="none" w:sz="0" w:space="0" w:color="auto"/>
                        <w:bottom w:val="none" w:sz="0" w:space="0" w:color="auto"/>
                        <w:right w:val="none" w:sz="0" w:space="0" w:color="auto"/>
                      </w:divBdr>
                      <w:divsChild>
                        <w:div w:id="563757856">
                          <w:marLeft w:val="0"/>
                          <w:marRight w:val="0"/>
                          <w:marTop w:val="0"/>
                          <w:marBottom w:val="75"/>
                          <w:divBdr>
                            <w:top w:val="none" w:sz="0" w:space="0" w:color="auto"/>
                            <w:left w:val="none" w:sz="0" w:space="0" w:color="auto"/>
                            <w:bottom w:val="none" w:sz="0" w:space="0" w:color="auto"/>
                            <w:right w:val="none" w:sz="0" w:space="0" w:color="auto"/>
                          </w:divBdr>
                        </w:div>
                        <w:div w:id="1354771323">
                          <w:marLeft w:val="0"/>
                          <w:marRight w:val="0"/>
                          <w:marTop w:val="0"/>
                          <w:marBottom w:val="0"/>
                          <w:divBdr>
                            <w:top w:val="none" w:sz="0" w:space="0" w:color="auto"/>
                            <w:left w:val="none" w:sz="0" w:space="0" w:color="auto"/>
                            <w:bottom w:val="none" w:sz="0" w:space="0" w:color="auto"/>
                            <w:right w:val="none" w:sz="0" w:space="0" w:color="auto"/>
                          </w:divBdr>
                        </w:div>
                        <w:div w:id="13594344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72487349">
          <w:marLeft w:val="150"/>
          <w:marRight w:val="150"/>
          <w:marTop w:val="150"/>
          <w:marBottom w:val="150"/>
          <w:divBdr>
            <w:top w:val="none" w:sz="0" w:space="0" w:color="auto"/>
            <w:left w:val="none" w:sz="0" w:space="0" w:color="auto"/>
            <w:bottom w:val="none" w:sz="0" w:space="0" w:color="auto"/>
            <w:right w:val="none" w:sz="0" w:space="0" w:color="auto"/>
          </w:divBdr>
          <w:divsChild>
            <w:div w:id="1112632527">
              <w:marLeft w:val="0"/>
              <w:marRight w:val="0"/>
              <w:marTop w:val="0"/>
              <w:marBottom w:val="0"/>
              <w:divBdr>
                <w:top w:val="single" w:sz="2" w:space="0" w:color="7A7A7A"/>
                <w:left w:val="single" w:sz="2" w:space="0" w:color="7A7A7A"/>
                <w:bottom w:val="single" w:sz="2" w:space="0" w:color="7A7A7A"/>
                <w:right w:val="single" w:sz="2" w:space="0" w:color="7A7A7A"/>
              </w:divBdr>
              <w:divsChild>
                <w:div w:id="2048024050">
                  <w:marLeft w:val="0"/>
                  <w:marRight w:val="0"/>
                  <w:marTop w:val="0"/>
                  <w:marBottom w:val="0"/>
                  <w:divBdr>
                    <w:top w:val="none" w:sz="0" w:space="0" w:color="auto"/>
                    <w:left w:val="none" w:sz="0" w:space="0" w:color="auto"/>
                    <w:bottom w:val="none" w:sz="0" w:space="0" w:color="auto"/>
                    <w:right w:val="none" w:sz="0" w:space="0" w:color="auto"/>
                  </w:divBdr>
                  <w:divsChild>
                    <w:div w:id="1347757439">
                      <w:marLeft w:val="0"/>
                      <w:marRight w:val="0"/>
                      <w:marTop w:val="0"/>
                      <w:marBottom w:val="0"/>
                      <w:divBdr>
                        <w:top w:val="none" w:sz="0" w:space="0" w:color="auto"/>
                        <w:left w:val="none" w:sz="0" w:space="0" w:color="auto"/>
                        <w:bottom w:val="none" w:sz="0" w:space="0" w:color="auto"/>
                        <w:right w:val="none" w:sz="0" w:space="0" w:color="auto"/>
                      </w:divBdr>
                      <w:divsChild>
                        <w:div w:id="228348285">
                          <w:marLeft w:val="0"/>
                          <w:marRight w:val="0"/>
                          <w:marTop w:val="0"/>
                          <w:marBottom w:val="225"/>
                          <w:divBdr>
                            <w:top w:val="none" w:sz="0" w:space="0" w:color="auto"/>
                            <w:left w:val="none" w:sz="0" w:space="0" w:color="auto"/>
                            <w:bottom w:val="none" w:sz="0" w:space="0" w:color="auto"/>
                            <w:right w:val="none" w:sz="0" w:space="0" w:color="auto"/>
                          </w:divBdr>
                        </w:div>
                        <w:div w:id="1469087308">
                          <w:marLeft w:val="0"/>
                          <w:marRight w:val="0"/>
                          <w:marTop w:val="0"/>
                          <w:marBottom w:val="0"/>
                          <w:divBdr>
                            <w:top w:val="none" w:sz="0" w:space="0" w:color="auto"/>
                            <w:left w:val="none" w:sz="0" w:space="0" w:color="auto"/>
                            <w:bottom w:val="none" w:sz="0" w:space="0" w:color="auto"/>
                            <w:right w:val="none" w:sz="0" w:space="0" w:color="auto"/>
                          </w:divBdr>
                        </w:div>
                        <w:div w:id="20334560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6228544">
          <w:marLeft w:val="150"/>
          <w:marRight w:val="150"/>
          <w:marTop w:val="150"/>
          <w:marBottom w:val="150"/>
          <w:divBdr>
            <w:top w:val="none" w:sz="0" w:space="0" w:color="auto"/>
            <w:left w:val="none" w:sz="0" w:space="0" w:color="auto"/>
            <w:bottom w:val="none" w:sz="0" w:space="0" w:color="auto"/>
            <w:right w:val="none" w:sz="0" w:space="0" w:color="auto"/>
          </w:divBdr>
          <w:divsChild>
            <w:div w:id="1219515417">
              <w:marLeft w:val="0"/>
              <w:marRight w:val="0"/>
              <w:marTop w:val="0"/>
              <w:marBottom w:val="0"/>
              <w:divBdr>
                <w:top w:val="single" w:sz="2" w:space="0" w:color="7A7A7A"/>
                <w:left w:val="single" w:sz="2" w:space="0" w:color="7A7A7A"/>
                <w:bottom w:val="single" w:sz="2" w:space="0" w:color="7A7A7A"/>
                <w:right w:val="single" w:sz="2" w:space="0" w:color="7A7A7A"/>
              </w:divBdr>
              <w:divsChild>
                <w:div w:id="1297636824">
                  <w:marLeft w:val="0"/>
                  <w:marRight w:val="0"/>
                  <w:marTop w:val="0"/>
                  <w:marBottom w:val="0"/>
                  <w:divBdr>
                    <w:top w:val="none" w:sz="0" w:space="0" w:color="auto"/>
                    <w:left w:val="none" w:sz="0" w:space="0" w:color="auto"/>
                    <w:bottom w:val="none" w:sz="0" w:space="0" w:color="auto"/>
                    <w:right w:val="none" w:sz="0" w:space="0" w:color="auto"/>
                  </w:divBdr>
                  <w:divsChild>
                    <w:div w:id="1212424199">
                      <w:marLeft w:val="0"/>
                      <w:marRight w:val="0"/>
                      <w:marTop w:val="0"/>
                      <w:marBottom w:val="0"/>
                      <w:divBdr>
                        <w:top w:val="none" w:sz="0" w:space="0" w:color="auto"/>
                        <w:left w:val="none" w:sz="0" w:space="0" w:color="auto"/>
                        <w:bottom w:val="none" w:sz="0" w:space="0" w:color="auto"/>
                        <w:right w:val="none" w:sz="0" w:space="0" w:color="auto"/>
                      </w:divBdr>
                      <w:divsChild>
                        <w:div w:id="890919714">
                          <w:marLeft w:val="0"/>
                          <w:marRight w:val="0"/>
                          <w:marTop w:val="0"/>
                          <w:marBottom w:val="225"/>
                          <w:divBdr>
                            <w:top w:val="none" w:sz="0" w:space="0" w:color="auto"/>
                            <w:left w:val="none" w:sz="0" w:space="0" w:color="auto"/>
                            <w:bottom w:val="none" w:sz="0" w:space="0" w:color="auto"/>
                            <w:right w:val="none" w:sz="0" w:space="0" w:color="auto"/>
                          </w:divBdr>
                        </w:div>
                        <w:div w:id="1238438274">
                          <w:marLeft w:val="0"/>
                          <w:marRight w:val="0"/>
                          <w:marTop w:val="0"/>
                          <w:marBottom w:val="0"/>
                          <w:divBdr>
                            <w:top w:val="none" w:sz="0" w:space="0" w:color="auto"/>
                            <w:left w:val="none" w:sz="0" w:space="0" w:color="auto"/>
                            <w:bottom w:val="none" w:sz="0" w:space="0" w:color="auto"/>
                            <w:right w:val="none" w:sz="0" w:space="0" w:color="auto"/>
                          </w:divBdr>
                        </w:div>
                        <w:div w:id="1735080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69074914">
      <w:bodyDiv w:val="1"/>
      <w:marLeft w:val="0"/>
      <w:marRight w:val="0"/>
      <w:marTop w:val="0"/>
      <w:marBottom w:val="0"/>
      <w:divBdr>
        <w:top w:val="none" w:sz="0" w:space="0" w:color="auto"/>
        <w:left w:val="none" w:sz="0" w:space="0" w:color="auto"/>
        <w:bottom w:val="none" w:sz="0" w:space="0" w:color="auto"/>
        <w:right w:val="none" w:sz="0" w:space="0" w:color="auto"/>
      </w:divBdr>
    </w:div>
    <w:div w:id="587810481">
      <w:bodyDiv w:val="1"/>
      <w:marLeft w:val="0"/>
      <w:marRight w:val="0"/>
      <w:marTop w:val="0"/>
      <w:marBottom w:val="0"/>
      <w:divBdr>
        <w:top w:val="none" w:sz="0" w:space="0" w:color="auto"/>
        <w:left w:val="none" w:sz="0" w:space="0" w:color="auto"/>
        <w:bottom w:val="none" w:sz="0" w:space="0" w:color="auto"/>
        <w:right w:val="none" w:sz="0" w:space="0" w:color="auto"/>
      </w:divBdr>
    </w:div>
    <w:div w:id="701320662">
      <w:bodyDiv w:val="1"/>
      <w:marLeft w:val="0"/>
      <w:marRight w:val="0"/>
      <w:marTop w:val="0"/>
      <w:marBottom w:val="0"/>
      <w:divBdr>
        <w:top w:val="none" w:sz="0" w:space="0" w:color="auto"/>
        <w:left w:val="none" w:sz="0" w:space="0" w:color="auto"/>
        <w:bottom w:val="none" w:sz="0" w:space="0" w:color="auto"/>
        <w:right w:val="none" w:sz="0" w:space="0" w:color="auto"/>
      </w:divBdr>
    </w:div>
    <w:div w:id="762649896">
      <w:bodyDiv w:val="1"/>
      <w:marLeft w:val="0"/>
      <w:marRight w:val="0"/>
      <w:marTop w:val="0"/>
      <w:marBottom w:val="0"/>
      <w:divBdr>
        <w:top w:val="none" w:sz="0" w:space="0" w:color="auto"/>
        <w:left w:val="none" w:sz="0" w:space="0" w:color="auto"/>
        <w:bottom w:val="none" w:sz="0" w:space="0" w:color="auto"/>
        <w:right w:val="none" w:sz="0" w:space="0" w:color="auto"/>
      </w:divBdr>
    </w:div>
    <w:div w:id="798719686">
      <w:bodyDiv w:val="1"/>
      <w:marLeft w:val="0"/>
      <w:marRight w:val="0"/>
      <w:marTop w:val="0"/>
      <w:marBottom w:val="0"/>
      <w:divBdr>
        <w:top w:val="none" w:sz="0" w:space="0" w:color="auto"/>
        <w:left w:val="none" w:sz="0" w:space="0" w:color="auto"/>
        <w:bottom w:val="none" w:sz="0" w:space="0" w:color="auto"/>
        <w:right w:val="none" w:sz="0" w:space="0" w:color="auto"/>
      </w:divBdr>
    </w:div>
    <w:div w:id="1001740178">
      <w:bodyDiv w:val="1"/>
      <w:marLeft w:val="0"/>
      <w:marRight w:val="0"/>
      <w:marTop w:val="0"/>
      <w:marBottom w:val="0"/>
      <w:divBdr>
        <w:top w:val="none" w:sz="0" w:space="0" w:color="auto"/>
        <w:left w:val="none" w:sz="0" w:space="0" w:color="auto"/>
        <w:bottom w:val="none" w:sz="0" w:space="0" w:color="auto"/>
        <w:right w:val="none" w:sz="0" w:space="0" w:color="auto"/>
      </w:divBdr>
      <w:divsChild>
        <w:div w:id="226886134">
          <w:marLeft w:val="0"/>
          <w:marRight w:val="0"/>
          <w:marTop w:val="0"/>
          <w:marBottom w:val="0"/>
          <w:divBdr>
            <w:top w:val="none" w:sz="0" w:space="0" w:color="auto"/>
            <w:left w:val="none" w:sz="0" w:space="0" w:color="auto"/>
            <w:bottom w:val="none" w:sz="0" w:space="0" w:color="auto"/>
            <w:right w:val="none" w:sz="0" w:space="0" w:color="auto"/>
          </w:divBdr>
        </w:div>
        <w:div w:id="537355830">
          <w:marLeft w:val="0"/>
          <w:marRight w:val="0"/>
          <w:marTop w:val="0"/>
          <w:marBottom w:val="0"/>
          <w:divBdr>
            <w:top w:val="none" w:sz="0" w:space="0" w:color="auto"/>
            <w:left w:val="none" w:sz="0" w:space="0" w:color="auto"/>
            <w:bottom w:val="none" w:sz="0" w:space="0" w:color="auto"/>
            <w:right w:val="none" w:sz="0" w:space="0" w:color="auto"/>
          </w:divBdr>
        </w:div>
        <w:div w:id="949625514">
          <w:marLeft w:val="0"/>
          <w:marRight w:val="0"/>
          <w:marTop w:val="0"/>
          <w:marBottom w:val="0"/>
          <w:divBdr>
            <w:top w:val="none" w:sz="0" w:space="0" w:color="auto"/>
            <w:left w:val="none" w:sz="0" w:space="0" w:color="auto"/>
            <w:bottom w:val="none" w:sz="0" w:space="0" w:color="auto"/>
            <w:right w:val="none" w:sz="0" w:space="0" w:color="auto"/>
          </w:divBdr>
        </w:div>
        <w:div w:id="1519857436">
          <w:marLeft w:val="0"/>
          <w:marRight w:val="0"/>
          <w:marTop w:val="0"/>
          <w:marBottom w:val="0"/>
          <w:divBdr>
            <w:top w:val="none" w:sz="0" w:space="0" w:color="auto"/>
            <w:left w:val="none" w:sz="0" w:space="0" w:color="auto"/>
            <w:bottom w:val="none" w:sz="0" w:space="0" w:color="auto"/>
            <w:right w:val="none" w:sz="0" w:space="0" w:color="auto"/>
          </w:divBdr>
        </w:div>
        <w:div w:id="1731339048">
          <w:marLeft w:val="0"/>
          <w:marRight w:val="0"/>
          <w:marTop w:val="0"/>
          <w:marBottom w:val="0"/>
          <w:divBdr>
            <w:top w:val="none" w:sz="0" w:space="0" w:color="auto"/>
            <w:left w:val="none" w:sz="0" w:space="0" w:color="auto"/>
            <w:bottom w:val="none" w:sz="0" w:space="0" w:color="auto"/>
            <w:right w:val="none" w:sz="0" w:space="0" w:color="auto"/>
          </w:divBdr>
        </w:div>
      </w:divsChild>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259752295">
      <w:bodyDiv w:val="1"/>
      <w:marLeft w:val="0"/>
      <w:marRight w:val="0"/>
      <w:marTop w:val="0"/>
      <w:marBottom w:val="0"/>
      <w:divBdr>
        <w:top w:val="none" w:sz="0" w:space="0" w:color="auto"/>
        <w:left w:val="none" w:sz="0" w:space="0" w:color="auto"/>
        <w:bottom w:val="none" w:sz="0" w:space="0" w:color="auto"/>
        <w:right w:val="none" w:sz="0" w:space="0" w:color="auto"/>
      </w:divBdr>
    </w:div>
    <w:div w:id="1456758248">
      <w:bodyDiv w:val="1"/>
      <w:marLeft w:val="0"/>
      <w:marRight w:val="0"/>
      <w:marTop w:val="0"/>
      <w:marBottom w:val="0"/>
      <w:divBdr>
        <w:top w:val="none" w:sz="0" w:space="0" w:color="auto"/>
        <w:left w:val="none" w:sz="0" w:space="0" w:color="auto"/>
        <w:bottom w:val="none" w:sz="0" w:space="0" w:color="auto"/>
        <w:right w:val="none" w:sz="0" w:space="0" w:color="auto"/>
      </w:divBdr>
    </w:div>
    <w:div w:id="1488668585">
      <w:bodyDiv w:val="1"/>
      <w:marLeft w:val="0"/>
      <w:marRight w:val="0"/>
      <w:marTop w:val="0"/>
      <w:marBottom w:val="0"/>
      <w:divBdr>
        <w:top w:val="none" w:sz="0" w:space="0" w:color="auto"/>
        <w:left w:val="none" w:sz="0" w:space="0" w:color="auto"/>
        <w:bottom w:val="none" w:sz="0" w:space="0" w:color="auto"/>
        <w:right w:val="none" w:sz="0" w:space="0" w:color="auto"/>
      </w:divBdr>
      <w:divsChild>
        <w:div w:id="1501038705">
          <w:marLeft w:val="0"/>
          <w:marRight w:val="0"/>
          <w:marTop w:val="0"/>
          <w:marBottom w:val="0"/>
          <w:divBdr>
            <w:top w:val="none" w:sz="0" w:space="0" w:color="auto"/>
            <w:left w:val="none" w:sz="0" w:space="0" w:color="auto"/>
            <w:bottom w:val="none" w:sz="0" w:space="0" w:color="auto"/>
            <w:right w:val="none" w:sz="0" w:space="0" w:color="auto"/>
          </w:divBdr>
        </w:div>
      </w:divsChild>
    </w:div>
    <w:div w:id="1553611683">
      <w:bodyDiv w:val="1"/>
      <w:marLeft w:val="0"/>
      <w:marRight w:val="0"/>
      <w:marTop w:val="0"/>
      <w:marBottom w:val="0"/>
      <w:divBdr>
        <w:top w:val="none" w:sz="0" w:space="0" w:color="auto"/>
        <w:left w:val="none" w:sz="0" w:space="0" w:color="auto"/>
        <w:bottom w:val="none" w:sz="0" w:space="0" w:color="auto"/>
        <w:right w:val="none" w:sz="0" w:space="0" w:color="auto"/>
      </w:divBdr>
    </w:div>
    <w:div w:id="1717969451">
      <w:bodyDiv w:val="1"/>
      <w:marLeft w:val="0"/>
      <w:marRight w:val="0"/>
      <w:marTop w:val="0"/>
      <w:marBottom w:val="0"/>
      <w:divBdr>
        <w:top w:val="none" w:sz="0" w:space="0" w:color="auto"/>
        <w:left w:val="none" w:sz="0" w:space="0" w:color="auto"/>
        <w:bottom w:val="none" w:sz="0" w:space="0" w:color="auto"/>
        <w:right w:val="none" w:sz="0" w:space="0" w:color="auto"/>
      </w:divBdr>
    </w:div>
    <w:div w:id="1804884451">
      <w:bodyDiv w:val="1"/>
      <w:marLeft w:val="0"/>
      <w:marRight w:val="0"/>
      <w:marTop w:val="0"/>
      <w:marBottom w:val="0"/>
      <w:divBdr>
        <w:top w:val="none" w:sz="0" w:space="0" w:color="auto"/>
        <w:left w:val="none" w:sz="0" w:space="0" w:color="auto"/>
        <w:bottom w:val="none" w:sz="0" w:space="0" w:color="auto"/>
        <w:right w:val="none" w:sz="0" w:space="0" w:color="auto"/>
      </w:divBdr>
    </w:div>
    <w:div w:id="1884293500">
      <w:bodyDiv w:val="1"/>
      <w:marLeft w:val="0"/>
      <w:marRight w:val="0"/>
      <w:marTop w:val="0"/>
      <w:marBottom w:val="0"/>
      <w:divBdr>
        <w:top w:val="none" w:sz="0" w:space="0" w:color="auto"/>
        <w:left w:val="none" w:sz="0" w:space="0" w:color="auto"/>
        <w:bottom w:val="none" w:sz="0" w:space="0" w:color="auto"/>
        <w:right w:val="none" w:sz="0" w:space="0" w:color="auto"/>
      </w:divBdr>
    </w:div>
    <w:div w:id="1979219417">
      <w:bodyDiv w:val="1"/>
      <w:marLeft w:val="0"/>
      <w:marRight w:val="0"/>
      <w:marTop w:val="0"/>
      <w:marBottom w:val="0"/>
      <w:divBdr>
        <w:top w:val="none" w:sz="0" w:space="0" w:color="auto"/>
        <w:left w:val="none" w:sz="0" w:space="0" w:color="auto"/>
        <w:bottom w:val="none" w:sz="0" w:space="0" w:color="auto"/>
        <w:right w:val="none" w:sz="0" w:space="0" w:color="auto"/>
      </w:divBdr>
    </w:div>
    <w:div w:id="2026859596">
      <w:bodyDiv w:val="1"/>
      <w:marLeft w:val="0"/>
      <w:marRight w:val="0"/>
      <w:marTop w:val="0"/>
      <w:marBottom w:val="0"/>
      <w:divBdr>
        <w:top w:val="none" w:sz="0" w:space="0" w:color="auto"/>
        <w:left w:val="none" w:sz="0" w:space="0" w:color="auto"/>
        <w:bottom w:val="none" w:sz="0" w:space="0" w:color="auto"/>
        <w:right w:val="none" w:sz="0" w:space="0" w:color="auto"/>
      </w:divBdr>
    </w:div>
    <w:div w:id="2052925006">
      <w:bodyDiv w:val="1"/>
      <w:marLeft w:val="0"/>
      <w:marRight w:val="0"/>
      <w:marTop w:val="0"/>
      <w:marBottom w:val="0"/>
      <w:divBdr>
        <w:top w:val="none" w:sz="0" w:space="0" w:color="auto"/>
        <w:left w:val="none" w:sz="0" w:space="0" w:color="auto"/>
        <w:bottom w:val="none" w:sz="0" w:space="0" w:color="auto"/>
        <w:right w:val="none" w:sz="0" w:space="0" w:color="auto"/>
      </w:divBdr>
    </w:div>
    <w:div w:id="2069721249">
      <w:bodyDiv w:val="1"/>
      <w:marLeft w:val="0"/>
      <w:marRight w:val="0"/>
      <w:marTop w:val="0"/>
      <w:marBottom w:val="0"/>
      <w:divBdr>
        <w:top w:val="none" w:sz="0" w:space="0" w:color="auto"/>
        <w:left w:val="none" w:sz="0" w:space="0" w:color="auto"/>
        <w:bottom w:val="none" w:sz="0" w:space="0" w:color="auto"/>
        <w:right w:val="none" w:sz="0" w:space="0" w:color="auto"/>
      </w:divBdr>
    </w:div>
    <w:div w:id="2110078630">
      <w:bodyDiv w:val="1"/>
      <w:marLeft w:val="0"/>
      <w:marRight w:val="0"/>
      <w:marTop w:val="0"/>
      <w:marBottom w:val="0"/>
      <w:divBdr>
        <w:top w:val="none" w:sz="0" w:space="0" w:color="auto"/>
        <w:left w:val="none" w:sz="0" w:space="0" w:color="auto"/>
        <w:bottom w:val="none" w:sz="0" w:space="0" w:color="auto"/>
        <w:right w:val="none" w:sz="0" w:space="0" w:color="auto"/>
      </w:divBdr>
    </w:div>
    <w:div w:id="2125272791">
      <w:bodyDiv w:val="1"/>
      <w:marLeft w:val="0"/>
      <w:marRight w:val="0"/>
      <w:marTop w:val="0"/>
      <w:marBottom w:val="0"/>
      <w:divBdr>
        <w:top w:val="none" w:sz="0" w:space="0" w:color="auto"/>
        <w:left w:val="none" w:sz="0" w:space="0" w:color="auto"/>
        <w:bottom w:val="none" w:sz="0" w:space="0" w:color="auto"/>
        <w:right w:val="none" w:sz="0" w:space="0" w:color="auto"/>
      </w:divBdr>
    </w:div>
    <w:div w:id="2136479012">
      <w:bodyDiv w:val="1"/>
      <w:marLeft w:val="0"/>
      <w:marRight w:val="0"/>
      <w:marTop w:val="0"/>
      <w:marBottom w:val="0"/>
      <w:divBdr>
        <w:top w:val="none" w:sz="0" w:space="0" w:color="auto"/>
        <w:left w:val="none" w:sz="0" w:space="0" w:color="auto"/>
        <w:bottom w:val="none" w:sz="0" w:space="0" w:color="auto"/>
        <w:right w:val="none" w:sz="0" w:space="0" w:color="auto"/>
      </w:divBdr>
      <w:divsChild>
        <w:div w:id="744185434">
          <w:marLeft w:val="0"/>
          <w:marRight w:val="0"/>
          <w:marTop w:val="0"/>
          <w:marBottom w:val="0"/>
          <w:divBdr>
            <w:top w:val="none" w:sz="0" w:space="0" w:color="auto"/>
            <w:left w:val="none" w:sz="0" w:space="0" w:color="auto"/>
            <w:bottom w:val="none" w:sz="0" w:space="0" w:color="auto"/>
            <w:right w:val="none" w:sz="0" w:space="0" w:color="auto"/>
          </w:divBdr>
        </w:div>
        <w:div w:id="765419770">
          <w:marLeft w:val="0"/>
          <w:marRight w:val="0"/>
          <w:marTop w:val="0"/>
          <w:marBottom w:val="0"/>
          <w:divBdr>
            <w:top w:val="none" w:sz="0" w:space="0" w:color="auto"/>
            <w:left w:val="none" w:sz="0" w:space="0" w:color="auto"/>
            <w:bottom w:val="none" w:sz="0" w:space="0" w:color="auto"/>
            <w:right w:val="none" w:sz="0" w:space="0" w:color="auto"/>
          </w:divBdr>
        </w:div>
        <w:div w:id="1369793395">
          <w:marLeft w:val="0"/>
          <w:marRight w:val="0"/>
          <w:marTop w:val="0"/>
          <w:marBottom w:val="0"/>
          <w:divBdr>
            <w:top w:val="none" w:sz="0" w:space="0" w:color="auto"/>
            <w:left w:val="none" w:sz="0" w:space="0" w:color="auto"/>
            <w:bottom w:val="none" w:sz="0" w:space="0" w:color="auto"/>
            <w:right w:val="none" w:sz="0" w:space="0" w:color="auto"/>
          </w:divBdr>
        </w:div>
        <w:div w:id="1702707686">
          <w:marLeft w:val="0"/>
          <w:marRight w:val="0"/>
          <w:marTop w:val="0"/>
          <w:marBottom w:val="0"/>
          <w:divBdr>
            <w:top w:val="none" w:sz="0" w:space="0" w:color="auto"/>
            <w:left w:val="none" w:sz="0" w:space="0" w:color="auto"/>
            <w:bottom w:val="none" w:sz="0" w:space="0" w:color="auto"/>
            <w:right w:val="none" w:sz="0" w:space="0" w:color="auto"/>
          </w:divBdr>
        </w:div>
        <w:div w:id="190730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46303/ressat.2023.37" TargetMode="External"/><Relationship Id="rId21" Type="http://schemas.openxmlformats.org/officeDocument/2006/relationships/chart" Target="charts/chart2.xml"/><Relationship Id="rId42" Type="http://schemas.openxmlformats.org/officeDocument/2006/relationships/hyperlink" Target="https://www.education.gov.au/heppp/resources/heppp-evaluation-final-report" TargetMode="External"/><Relationship Id="rId63" Type="http://schemas.openxmlformats.org/officeDocument/2006/relationships/hyperlink" Target="https://worldhappiness.report/ed/2021/" TargetMode="External"/><Relationship Id="rId84" Type="http://schemas.openxmlformats.org/officeDocument/2006/relationships/hyperlink" Target="http://doi.org/10.1007/s13384-014-0167-7" TargetMode="External"/><Relationship Id="rId138" Type="http://schemas.openxmlformats.org/officeDocument/2006/relationships/hyperlink" Target="https://doi.org/10.1007/978-981-97-2332-4_16" TargetMode="External"/><Relationship Id="rId159" Type="http://schemas.openxmlformats.org/officeDocument/2006/relationships/hyperlink" Target="https://www.servicesaustralia.gov.au/reviewable-independence-for-youth-allowance-for-students-and-australian-apprentices?context=43916" TargetMode="External"/><Relationship Id="rId170" Type="http://schemas.openxmlformats.org/officeDocument/2006/relationships/hyperlink" Target="http://doi.org/10.1080/25741292.2020.1863560" TargetMode="External"/><Relationship Id="rId107" Type="http://schemas.openxmlformats.org/officeDocument/2006/relationships/hyperlink" Target="https://doi.org/10.1007/s10639-022-11324-w" TargetMode="External"/><Relationship Id="rId11" Type="http://schemas.openxmlformats.org/officeDocument/2006/relationships/image" Target="media/image1.png"/><Relationship Id="rId32" Type="http://schemas.openxmlformats.org/officeDocument/2006/relationships/chart" Target="charts/chart7.xml"/><Relationship Id="rId53" Type="http://schemas.openxmlformats.org/officeDocument/2006/relationships/hyperlink" Target="https://onlinelibrary.wiley.com/doi/pdf/10.1111/eip.12357" TargetMode="External"/><Relationship Id="rId74" Type="http://schemas.openxmlformats.org/officeDocument/2006/relationships/hyperlink" Target="https://www.education.gov.au/higher-education-statistics/student-data/selected-higher-education-statistics-2023-student-data/key-findings-2023-student-data" TargetMode="External"/><Relationship Id="rId128" Type="http://schemas.openxmlformats.org/officeDocument/2006/relationships/hyperlink" Target="https://doi.org/10.1080/02615479.2022.2161507" TargetMode="External"/><Relationship Id="rId149" Type="http://schemas.openxmlformats.org/officeDocument/2006/relationships/hyperlink" Target="https://doi.org/10.1080/23311886.2020.1722307" TargetMode="External"/><Relationship Id="rId5" Type="http://schemas.openxmlformats.org/officeDocument/2006/relationships/numbering" Target="numbering.xml"/><Relationship Id="rId95" Type="http://schemas.openxmlformats.org/officeDocument/2006/relationships/hyperlink" Target="https://doi.org/10.1177/00187267211070770" TargetMode="External"/><Relationship Id="rId160" Type="http://schemas.openxmlformats.org/officeDocument/2006/relationships/hyperlink" Target="https://ebookcentral.proquest.com/lib/newcastle/detail.action?pq-origsite=primo&amp;docID=743724" TargetMode="External"/><Relationship Id="rId181" Type="http://schemas.openxmlformats.org/officeDocument/2006/relationships/fontTable" Target="fontTable.xml"/><Relationship Id="rId22" Type="http://schemas.openxmlformats.org/officeDocument/2006/relationships/image" Target="media/image7.png"/><Relationship Id="rId43" Type="http://schemas.openxmlformats.org/officeDocument/2006/relationships/hyperlink" Target="https://doi-org.ezproxy.newcastle.edu.au/10.1177/1440783310376848" TargetMode="External"/><Relationship Id="rId64" Type="http://schemas.openxmlformats.org/officeDocument/2006/relationships/hyperlink" Target="http://doi.org/10.1353/isia.2023.a918358" TargetMode="External"/><Relationship Id="rId118" Type="http://schemas.openxmlformats.org/officeDocument/2006/relationships/hyperlink" Target="https://doi.org/10.1057/978-1-137-43091-5" TargetMode="External"/><Relationship Id="rId139" Type="http://schemas.openxmlformats.org/officeDocument/2006/relationships/hyperlink" Target="https://doi.org/10.1108/S2055-364120200000032005" TargetMode="External"/><Relationship Id="rId85" Type="http://schemas.openxmlformats.org/officeDocument/2006/relationships/hyperlink" Target="https://doi.org/10.1093/cjres/rsae047" TargetMode="External"/><Relationship Id="rId150" Type="http://schemas.openxmlformats.org/officeDocument/2006/relationships/hyperlink" Target="https://doi.org/10.1111/ejed.12438" TargetMode="External"/><Relationship Id="rId171" Type="http://schemas.openxmlformats.org/officeDocument/2006/relationships/hyperlink" Target="https://www.voced.edu.au/content/ngv%3A84570" TargetMode="External"/><Relationship Id="rId12" Type="http://schemas.openxmlformats.org/officeDocument/2006/relationships/footer" Target="footer1.xml"/><Relationship Id="rId33" Type="http://schemas.openxmlformats.org/officeDocument/2006/relationships/chart" Target="charts/chart8.xml"/><Relationship Id="rId108" Type="http://schemas.openxmlformats.org/officeDocument/2006/relationships/hyperlink" Target="https://www.tandfonline.com/doi/abs/10.5437/08956308X5601003" TargetMode="External"/><Relationship Id="rId129" Type="http://schemas.openxmlformats.org/officeDocument/2006/relationships/hyperlink" Target="https://changetheage.asn.au/wp-content/uploads/2022/10/Locked-out-of-youth-allowance-student-poverty-and-centrelink-in-Australia-1.pdf" TargetMode="External"/><Relationship Id="rId54" Type="http://schemas.openxmlformats.org/officeDocument/2006/relationships/hyperlink" Target="https://doi-org.ezproxy.newcastle.edu.au/10.1080/10447318.2023.2297114" TargetMode="External"/><Relationship Id="rId75" Type="http://schemas.openxmlformats.org/officeDocument/2006/relationships/hyperlink" Target="https://www.education.gov.au/higher-education/commonwealth-prac-payment" TargetMode="External"/><Relationship Id="rId96" Type="http://schemas.openxmlformats.org/officeDocument/2006/relationships/hyperlink" Target="https://www.afr.com/work-and-careers/education/half-of-all-young-people-go-to-uni-but-tradies-are-happier-20230420-p5d201" TargetMode="External"/><Relationship Id="rId140" Type="http://schemas.openxmlformats.org/officeDocument/2006/relationships/hyperlink" Target="https://www.ceda.com.au/researchandpolicies/research/population/how-unequal-insights-on-inequality" TargetMode="External"/><Relationship Id="rId161" Type="http://schemas.openxmlformats.org/officeDocument/2006/relationships/hyperlink" Target="https://theconversation.com/forget-about-a-job-for-life-todays-workers-need-to-prepare-for-many-jobs-across-multiple-industries-222753"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image" Target="media/image8.png"/><Relationship Id="rId119" Type="http://schemas.openxmlformats.org/officeDocument/2006/relationships/hyperlink" Target="https://doi.org/10.1007/s13384-016-0219-2" TargetMode="External"/><Relationship Id="rId44" Type="http://schemas.openxmlformats.org/officeDocument/2006/relationships/hyperlink" Target="https://doi.org/10.1177/13607804221133116" TargetMode="External"/><Relationship Id="rId60" Type="http://schemas.openxmlformats.org/officeDocument/2006/relationships/hyperlink" Target="https://doi.org/10.1016/j.inteco.2013.08.001" TargetMode="External"/><Relationship Id="rId65" Type="http://schemas.openxmlformats.org/officeDocument/2006/relationships/hyperlink" Target="https://au.sagepub.com/en-gb/oce/qualitative-inquiry-and-research-design/book246896" TargetMode="External"/><Relationship Id="rId81" Type="http://schemas.openxmlformats.org/officeDocument/2006/relationships/hyperlink" Target="https://doi.org/10.1007/s13384-022-00572-x" TargetMode="External"/><Relationship Id="rId86" Type="http://schemas.openxmlformats.org/officeDocument/2006/relationships/hyperlink" Target="https://doi.org/10.1007/s13384-021-00463-7" TargetMode="External"/><Relationship Id="rId130" Type="http://schemas.openxmlformats.org/officeDocument/2006/relationships/hyperlink" Target="https://assets.nationbuilder.com/nus/pages/936/attachments/original/1706528887/Manifesto_for_our_Future.pdf?1706528887" TargetMode="External"/><Relationship Id="rId135" Type="http://schemas.openxmlformats.org/officeDocument/2006/relationships/hyperlink" Target="https://doi.org/10.1080/1360080X.2021.1933305" TargetMode="External"/><Relationship Id="rId151" Type="http://schemas.openxmlformats.org/officeDocument/2006/relationships/hyperlink" Target="https://doi.org/10.1111/1471-3802.12066" TargetMode="External"/><Relationship Id="rId156" Type="http://schemas.openxmlformats.org/officeDocument/2006/relationships/hyperlink" Target="https://www.theguardian.com/commentisfree/2024/feb/26/urgent-higher-education-reform-is-needed-to-fix-a-broken-system-and-secure-australias-future" TargetMode="External"/><Relationship Id="rId177" Type="http://schemas.openxmlformats.org/officeDocument/2006/relationships/hyperlink" Target="https://journals.charlotte.edu/urj/article/view/1072" TargetMode="External"/><Relationship Id="rId172" Type="http://schemas.openxmlformats.org/officeDocument/2006/relationships/hyperlink" Target="https://research.monash.edu/en/publications/life-disrupted-young-people-education-and-employment-before-and-a" TargetMode="External"/><Relationship Id="rId13" Type="http://schemas.openxmlformats.org/officeDocument/2006/relationships/hyperlink" Target="mailto:acses@curtin.edu.au" TargetMode="External"/><Relationship Id="rId18" Type="http://schemas.openxmlformats.org/officeDocument/2006/relationships/image" Target="media/image5.png"/><Relationship Id="rId39" Type="http://schemas.openxmlformats.org/officeDocument/2006/relationships/hyperlink" Target="https://docs.acara.edu.au/resources/ICSEA_2013_Generation_Report.pdf" TargetMode="External"/><Relationship Id="rId109" Type="http://schemas.openxmlformats.org/officeDocument/2006/relationships/hyperlink" Target="https://www.abc.net.au/news/2024-04-10/nsw-public-school-funding-to-be-slashed-by-148-million/103688640" TargetMode="External"/><Relationship Id="rId34" Type="http://schemas.openxmlformats.org/officeDocument/2006/relationships/image" Target="media/image13.png"/><Relationship Id="rId50" Type="http://schemas.openxmlformats.org/officeDocument/2006/relationships/hyperlink" Target="https://www.voced.edu.au/content/ngv%3A73898" TargetMode="External"/><Relationship Id="rId55" Type="http://schemas.openxmlformats.org/officeDocument/2006/relationships/hyperlink" Target="http://hdl.voced.edu.au/10707/44384" TargetMode="External"/><Relationship Id="rId76" Type="http://schemas.openxmlformats.org/officeDocument/2006/relationships/hyperlink" Target="https://doi.org/10.47381/aijre.v28i1.152" TargetMode="External"/><Relationship Id="rId97" Type="http://schemas.openxmlformats.org/officeDocument/2006/relationships/hyperlink" Target="http://doi.org/10.1002/wcc.255" TargetMode="External"/><Relationship Id="rId104" Type="http://schemas.openxmlformats.org/officeDocument/2006/relationships/hyperlink" Target="https://www.acses.edu.au/app/uploads/2022/04/Jaremus_UON_Final.pdf" TargetMode="External"/><Relationship Id="rId120" Type="http://schemas.openxmlformats.org/officeDocument/2006/relationships/hyperlink" Target="https://doi.org/10.1007/s11165-007-9072-7" TargetMode="External"/><Relationship Id="rId125" Type="http://schemas.openxmlformats.org/officeDocument/2006/relationships/hyperlink" Target="https://www.bloomsbury.com/au/celebrity-aspiration-and-contemporary-youth-9781474294249/" TargetMode="External"/><Relationship Id="rId141" Type="http://schemas.openxmlformats.org/officeDocument/2006/relationships/hyperlink" Target="https://doi.org/10.29333/iji.2024.17218a" TargetMode="External"/><Relationship Id="rId146" Type="http://schemas.openxmlformats.org/officeDocument/2006/relationships/hyperlink" Target="https://doi.org/10.1080/00131911.2021.1923461" TargetMode="External"/><Relationship Id="rId167" Type="http://schemas.openxmlformats.org/officeDocument/2006/relationships/hyperlink" Target="https://theconversation.com/gen-z-seeks-safety-above-all-else-as-the-generation-grows-up-amid-constant-crisis-and-existential-threat-245455" TargetMode="External"/><Relationship Id="rId7" Type="http://schemas.openxmlformats.org/officeDocument/2006/relationships/settings" Target="settings.xml"/><Relationship Id="rId71" Type="http://schemas.openxmlformats.org/officeDocument/2006/relationships/hyperlink" Target="https://www.education.gov.au/integrated-data-research/resources/wealth" TargetMode="External"/><Relationship Id="rId92" Type="http://schemas.openxmlformats.org/officeDocument/2006/relationships/hyperlink" Target="https://www.ncsehe.edu.au/wp-content/uploads/2015/09/Choosing-University-The-Impact-of-Schools-and-Schooling.pdf" TargetMode="External"/><Relationship Id="rId162" Type="http://schemas.openxmlformats.org/officeDocument/2006/relationships/hyperlink" Target="https://doi.org/10.1080/03054985.2022.2128321" TargetMode="External"/><Relationship Id="rId2" Type="http://schemas.openxmlformats.org/officeDocument/2006/relationships/customXml" Target="../customXml/item2.xml"/><Relationship Id="rId29" Type="http://schemas.openxmlformats.org/officeDocument/2006/relationships/chart" Target="charts/chart6.xml"/><Relationship Id="rId24" Type="http://schemas.openxmlformats.org/officeDocument/2006/relationships/chart" Target="charts/chart3.xml"/><Relationship Id="rId40" Type="http://schemas.openxmlformats.org/officeDocument/2006/relationships/hyperlink" Target="https://www.acara.edu.au/reporting/national-report-on-schooling-in-australia/student-numbers" TargetMode="External"/><Relationship Id="rId45" Type="http://schemas.openxmlformats.org/officeDocument/2006/relationships/hyperlink" Target="http://doi.org/10.1080/02680939.2013.790079" TargetMode="External"/><Relationship Id="rId66" Type="http://schemas.openxmlformats.org/officeDocument/2006/relationships/hyperlink" Target="https://doi.org/10.1080/02671520701755424" TargetMode="External"/><Relationship Id="rId87" Type="http://schemas.openxmlformats.org/officeDocument/2006/relationships/hyperlink" Target="https://www.monash.edu/education/cypep/research/young-women-choosing-careers-who-decides" TargetMode="External"/><Relationship Id="rId110" Type="http://schemas.openxmlformats.org/officeDocument/2006/relationships/hyperlink" Target="https://doi.org/10.1016/j.ssmqr.2024.100521" TargetMode="External"/><Relationship Id="rId115" Type="http://schemas.openxmlformats.org/officeDocument/2006/relationships/hyperlink" Target="https://www.gsdc.wa.gov.au/app/uploads/2022/07/Understanding-the-Social-Impacts-of-Drought-UWA.pdf" TargetMode="External"/><Relationship Id="rId131" Type="http://schemas.openxmlformats.org/officeDocument/2006/relationships/hyperlink" Target="https://www.ncver.edu.au/__data/assets/pdf_file/0050/9689477/Total-VET-students-and-courses-2023_v3.pdf" TargetMode="External"/><Relationship Id="rId136" Type="http://schemas.openxmlformats.org/officeDocument/2006/relationships/hyperlink" Target="https://doi.org/10.1787/e13bef63-en" TargetMode="External"/><Relationship Id="rId157" Type="http://schemas.openxmlformats.org/officeDocument/2006/relationships/hyperlink" Target="http://doi.org/10.1080/0305764X.2010.549457" TargetMode="External"/><Relationship Id="rId178" Type="http://schemas.openxmlformats.org/officeDocument/2006/relationships/hyperlink" Target="https://doi.org/10.1016/j.jsp.2021.07.004" TargetMode="External"/><Relationship Id="rId61" Type="http://schemas.openxmlformats.org/officeDocument/2006/relationships/hyperlink" Target="https://doi.org/10.1057/9781137350831_1" TargetMode="External"/><Relationship Id="rId82" Type="http://schemas.openxmlformats.org/officeDocument/2006/relationships/hyperlink" Target="http://doi.org/10.1097/JOM.0000000000002236" TargetMode="External"/><Relationship Id="rId152" Type="http://schemas.openxmlformats.org/officeDocument/2006/relationships/hyperlink" Target="https://www.timeshighereducation.com/news/nine-10-australasian-students-juggling-study-paid-work" TargetMode="External"/><Relationship Id="rId173" Type="http://schemas.openxmlformats.org/officeDocument/2006/relationships/hyperlink" Target="https://www.ncver.edu.au/__data/assets/file/0026/9908/geographical-and-place-dimensions-2776.pdf" TargetMode="External"/><Relationship Id="rId19" Type="http://schemas.openxmlformats.org/officeDocument/2006/relationships/image" Target="media/image6.png"/><Relationship Id="rId14" Type="http://schemas.openxmlformats.org/officeDocument/2006/relationships/hyperlink" Target="http://www.acses.edu.au" TargetMode="External"/><Relationship Id="rId30" Type="http://schemas.openxmlformats.org/officeDocument/2006/relationships/image" Target="media/image11.png"/><Relationship Id="rId35" Type="http://schemas.openxmlformats.org/officeDocument/2006/relationships/image" Target="media/image14.png"/><Relationship Id="rId56" Type="http://schemas.openxmlformats.org/officeDocument/2006/relationships/hyperlink" Target="https://doi.org/10.1080/13676261.2013.878789" TargetMode="External"/><Relationship Id="rId77" Type="http://schemas.openxmlformats.org/officeDocument/2006/relationships/hyperlink" Target="https://doi.org/10.1007/s13384-020-00417-5" TargetMode="External"/><Relationship Id="rId100" Type="http://schemas.openxmlformats.org/officeDocument/2006/relationships/hyperlink" Target="https://doi.org/10.36487/ACG_repo/2415_22" TargetMode="External"/><Relationship Id="rId105" Type="http://schemas.openxmlformats.org/officeDocument/2006/relationships/hyperlink" Target="https://doi.org/10.1080/19325037.2023.2296943" TargetMode="External"/><Relationship Id="rId126" Type="http://schemas.openxmlformats.org/officeDocument/2006/relationships/hyperlink" Target="https://doi.org/10.1007/s12525-021-00496-x" TargetMode="External"/><Relationship Id="rId147" Type="http://schemas.openxmlformats.org/officeDocument/2006/relationships/hyperlink" Target="https://doi.org/10.1177/13607804211042905" TargetMode="External"/><Relationship Id="rId168" Type="http://schemas.openxmlformats.org/officeDocument/2006/relationships/hyperlink" Target="https://universitiesaustralia.edu.au/policy-submissions/teaching-learning-funding/student-finances-survey/" TargetMode="External"/><Relationship Id="rId8" Type="http://schemas.openxmlformats.org/officeDocument/2006/relationships/webSettings" Target="webSettings.xml"/><Relationship Id="rId51" Type="http://schemas.openxmlformats.org/officeDocument/2006/relationships/hyperlink" Target="https://www.acses.edu.au/publication/ameliorating-disadvantage/" TargetMode="External"/><Relationship Id="rId72" Type="http://schemas.openxmlformats.org/officeDocument/2006/relationships/hyperlink" Target="https://www.education.gov.au/australian-universities-accord/resources/accord-interim-report" TargetMode="External"/><Relationship Id="rId93" Type="http://schemas.openxmlformats.org/officeDocument/2006/relationships/hyperlink" Target="https://doi.org/10.1007/S13384-015-0172-5/TABLES/5" TargetMode="External"/><Relationship Id="rId98" Type="http://schemas.openxmlformats.org/officeDocument/2006/relationships/hyperlink" Target="https://headspace.org.au/assets/20230322_Headspace-Survey-Report.pdf" TargetMode="External"/><Relationship Id="rId121" Type="http://schemas.openxmlformats.org/officeDocument/2006/relationships/hyperlink" Target="https://doi.org/10.3390/educsci14080819" TargetMode="External"/><Relationship Id="rId142" Type="http://schemas.openxmlformats.org/officeDocument/2006/relationships/hyperlink" Target="https://doi.org/10.1080/01425692.2017.1409101" TargetMode="External"/><Relationship Id="rId163" Type="http://schemas.openxmlformats.org/officeDocument/2006/relationships/hyperlink" Target="https://doi.org/10.1080/14767724.2021.1904212" TargetMode="External"/><Relationship Id="rId3" Type="http://schemas.openxmlformats.org/officeDocument/2006/relationships/customXml" Target="../customXml/item3.xml"/><Relationship Id="rId25" Type="http://schemas.openxmlformats.org/officeDocument/2006/relationships/chart" Target="charts/chart4.xml"/><Relationship Id="rId46" Type="http://schemas.openxmlformats.org/officeDocument/2006/relationships/hyperlink" Target="https://www.adogs.info/press/can-public-education-system-survive-residualisation" TargetMode="External"/><Relationship Id="rId67" Type="http://schemas.openxmlformats.org/officeDocument/2006/relationships/hyperlink" Target="https://doi.org/10.1080/10301763.2019.1696654" TargetMode="External"/><Relationship Id="rId116" Type="http://schemas.openxmlformats.org/officeDocument/2006/relationships/hyperlink" Target="https://libres.uncg.edu/ir/uncg/f/B_Levin_Lives_2001.pdf" TargetMode="External"/><Relationship Id="rId137" Type="http://schemas.openxmlformats.org/officeDocument/2006/relationships/hyperlink" Target="http://doi.org/10.1177/09500170221091679" TargetMode="External"/><Relationship Id="rId158" Type="http://schemas.openxmlformats.org/officeDocument/2006/relationships/hyperlink" Target="http://doi.org/10.4324/9781003318255" TargetMode="External"/><Relationship Id="rId20" Type="http://schemas.openxmlformats.org/officeDocument/2006/relationships/chart" Target="charts/chart1.xml"/><Relationship Id="rId41" Type="http://schemas.openxmlformats.org/officeDocument/2006/relationships/hyperlink" Target="https://www.myschool.edu.au/" TargetMode="External"/><Relationship Id="rId62" Type="http://schemas.openxmlformats.org/officeDocument/2006/relationships/hyperlink" Target="https://www.ncsehe.edu.au/publications/access-to-higher-education-does-distance-impact-students-intentions-to-attend-university/" TargetMode="External"/><Relationship Id="rId83" Type="http://schemas.openxmlformats.org/officeDocument/2006/relationships/hyperlink" Target="http://dx.doi.org/10.1080/0305764X.2014.988685" TargetMode="External"/><Relationship Id="rId88" Type="http://schemas.openxmlformats.org/officeDocument/2006/relationships/hyperlink" Target="http://doi.org/10.1111/jpc.15649" TargetMode="External"/><Relationship Id="rId111" Type="http://schemas.openxmlformats.org/officeDocument/2006/relationships/hyperlink" Target="https://doi.org/10.1016/j.jvb.2020.103442" TargetMode="External"/><Relationship Id="rId132" Type="http://schemas.openxmlformats.org/officeDocument/2006/relationships/hyperlink" Target="https://theconversation.com/3-flaws-in-job-ready-graduates-package-will-add-to-the-turmoil-in-australian-higher-education-147740" TargetMode="External"/><Relationship Id="rId153" Type="http://schemas.openxmlformats.org/officeDocument/2006/relationships/hyperlink" Target="https://doi.org/10.1080/23322969.2020.1835529" TargetMode="External"/><Relationship Id="rId174" Type="http://schemas.openxmlformats.org/officeDocument/2006/relationships/hyperlink" Target="https://www.emerald.com/insight/content/doi/10.1108/EOR-13-2023-0016/full/pdf" TargetMode="External"/><Relationship Id="rId179" Type="http://schemas.openxmlformats.org/officeDocument/2006/relationships/hyperlink" Target="http://doi.org/10.1080/00131857.2013.839376" TargetMode="External"/><Relationship Id="rId15" Type="http://schemas.openxmlformats.org/officeDocument/2006/relationships/image" Target="media/image2.png"/><Relationship Id="rId36" Type="http://schemas.openxmlformats.org/officeDocument/2006/relationships/chart" Target="charts/chart9.xml"/><Relationship Id="rId57" Type="http://schemas.openxmlformats.org/officeDocument/2006/relationships/hyperlink" Target="https://dehanz.net.au/entries/residualised-public-schooling-the-case-of-mount-druitt-high-school/" TargetMode="External"/><Relationship Id="rId106" Type="http://schemas.openxmlformats.org/officeDocument/2006/relationships/hyperlink" Target="https://doi.org/10.1093/cercor/bhp109" TargetMode="External"/><Relationship Id="rId127" Type="http://schemas.openxmlformats.org/officeDocument/2006/relationships/hyperlink" Target="https://doi.org/10.1215/00703370-9961471" TargetMode="External"/><Relationship Id="rId10" Type="http://schemas.openxmlformats.org/officeDocument/2006/relationships/endnotes" Target="endnotes.xml"/><Relationship Id="rId31" Type="http://schemas.openxmlformats.org/officeDocument/2006/relationships/image" Target="media/image12.png"/><Relationship Id="rId52" Type="http://schemas.openxmlformats.org/officeDocument/2006/relationships/hyperlink" Target="https://doi.org/10.1080/17508481003731042" TargetMode="External"/><Relationship Id="rId73" Type="http://schemas.openxmlformats.org/officeDocument/2006/relationships/hyperlink" Target="https://www.education.gov.au/resources/australian-universities-accord" TargetMode="External"/><Relationship Id="rId78" Type="http://schemas.openxmlformats.org/officeDocument/2006/relationships/hyperlink" Target="https://www.ncsehe.edu.au/app/uploads/2020/04/NCSEHE_V2_Final_literaturereview-learningathome-covid19-final_30042020.pdf" TargetMode="External"/><Relationship Id="rId94" Type="http://schemas.openxmlformats.org/officeDocument/2006/relationships/hyperlink" Target="https://doi.org/10.4324/9781003019534" TargetMode="External"/><Relationship Id="rId99" Type="http://schemas.openxmlformats.org/officeDocument/2006/relationships/hyperlink" Target="https://www.unipol.org.uk/media/vt1jgqne/ten-cities-rent-survey-2023-final-report-print.pdf" TargetMode="External"/><Relationship Id="rId101" Type="http://schemas.openxmlformats.org/officeDocument/2006/relationships/hyperlink" Target="https://isa.edu.au/wp-content/uploads/2024/11/2024-Independent-Schooling-2024-FINAL.pdf" TargetMode="External"/><Relationship Id="rId122" Type="http://schemas.openxmlformats.org/officeDocument/2006/relationships/hyperlink" Target="https://doi.org/10.5694/mja2.51327" TargetMode="External"/><Relationship Id="rId143" Type="http://schemas.openxmlformats.org/officeDocument/2006/relationships/hyperlink" Target="https://iier.org.au/iier24/prodonovich.pdf" TargetMode="External"/><Relationship Id="rId148" Type="http://schemas.openxmlformats.org/officeDocument/2006/relationships/hyperlink" Target="http://doi.org/10.1111/eip.13374" TargetMode="External"/><Relationship Id="rId164" Type="http://schemas.openxmlformats.org/officeDocument/2006/relationships/hyperlink" Target="https://doi.org/10.53761/1.20.6.16" TargetMode="External"/><Relationship Id="rId169" Type="http://schemas.openxmlformats.org/officeDocument/2006/relationships/hyperlink" Target="https://ltr.edu.au/resources/WIL_in_universities_-_final_report_April_2019.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newcastle.edu.au/research/centre/teachers-and-teaching/research-projects" TargetMode="External"/><Relationship Id="rId26" Type="http://schemas.openxmlformats.org/officeDocument/2006/relationships/image" Target="media/image9.png"/><Relationship Id="rId47" Type="http://schemas.openxmlformats.org/officeDocument/2006/relationships/hyperlink" Target="https://www.aeufederal.org.au/news-media/news/2025/students-and-teachers-need-better-wellbeing-support" TargetMode="External"/><Relationship Id="rId68" Type="http://schemas.openxmlformats.org/officeDocument/2006/relationships/hyperlink" Target="https://doi-org.ezproxy.newcastle.edu.au/10.1080/13603116.2020.1791980" TargetMode="External"/><Relationship Id="rId89" Type="http://schemas.openxmlformats.org/officeDocument/2006/relationships/hyperlink" Target="https://doi.org/10.1002/wcc.794" TargetMode="External"/><Relationship Id="rId112" Type="http://schemas.openxmlformats.org/officeDocument/2006/relationships/hyperlink" Target="http://dx.doi.org/10.1080/03075079.2014.966072" TargetMode="External"/><Relationship Id="rId133" Type="http://schemas.openxmlformats.org/officeDocument/2006/relationships/hyperlink" Target="https://andrewnorton.net.au/wp-content/uploads/2023/11/mapping-australian-higher-education-2023_update.pdf" TargetMode="External"/><Relationship Id="rId154" Type="http://schemas.openxmlformats.org/officeDocument/2006/relationships/hyperlink" Target="http://doi.org/10.1027/2151-2604/a000530" TargetMode="External"/><Relationship Id="rId175" Type="http://schemas.openxmlformats.org/officeDocument/2006/relationships/hyperlink" Target="https://doi.org/10.1080/17508480903009566" TargetMode="External"/><Relationship Id="rId16" Type="http://schemas.openxmlformats.org/officeDocument/2006/relationships/image" Target="media/image3.png"/><Relationship Id="rId37" Type="http://schemas.openxmlformats.org/officeDocument/2006/relationships/chart" Target="charts/chart10.xml"/><Relationship Id="rId58" Type="http://schemas.openxmlformats.org/officeDocument/2006/relationships/hyperlink" Target="https://www.theguardian.com/australia-news/2023/mar/05/urgent-calls-to-end-compulsory-unpaid-internships-as-students-forced-to-quit-due-to-cost-of-living" TargetMode="External"/><Relationship Id="rId79" Type="http://schemas.openxmlformats.org/officeDocument/2006/relationships/hyperlink" Target="https://doi.org/10.1080/13504509.2023.2237933" TargetMode="External"/><Relationship Id="rId102" Type="http://schemas.openxmlformats.org/officeDocument/2006/relationships/hyperlink" Target="https://www.ipcc.ch/report/ar6/wg2/" TargetMode="External"/><Relationship Id="rId123" Type="http://schemas.openxmlformats.org/officeDocument/2006/relationships/hyperlink" Target="https://doi.org/10.1177/14782103241283106" TargetMode="External"/><Relationship Id="rId144" Type="http://schemas.openxmlformats.org/officeDocument/2006/relationships/hyperlink" Target="https://www.acses.edu.au/publication/career-construction-future-work-and-the-perceived-risks-of-going-to-university-for-young-people-from-low-ses-backgrounds/" TargetMode="External"/><Relationship Id="rId90" Type="http://schemas.openxmlformats.org/officeDocument/2006/relationships/hyperlink" Target="https://www.ncsehe.edu.au/publications/community-influence-university-aspirations/" TargetMode="External"/><Relationship Id="rId165" Type="http://schemas.openxmlformats.org/officeDocument/2006/relationships/hyperlink" Target="https://www.thesmithfamily.com.au/-/media/files/research/reports/2022-pathways-engagement-transitions-report.pdf" TargetMode="External"/><Relationship Id="rId27" Type="http://schemas.openxmlformats.org/officeDocument/2006/relationships/image" Target="media/image10.png"/><Relationship Id="rId48" Type="http://schemas.openxmlformats.org/officeDocument/2006/relationships/hyperlink" Target="https://melbourne-cshe.unimelb.edu.au/__data/assets/pdf_file/0016/1513123/FYE-2014-FULL-report-FINAL-web.pdf" TargetMode="External"/><Relationship Id="rId69" Type="http://schemas.openxmlformats.org/officeDocument/2006/relationships/hyperlink" Target="https://www.acses.edu.au/publication/the-role-of-higher-education-in-facilitating-social-mobility/" TargetMode="External"/><Relationship Id="rId113" Type="http://schemas.openxmlformats.org/officeDocument/2006/relationships/hyperlink" Target="https://theconversation.com/more-australian-families-are-choosing-private-schools-we-need-to-understand-why-242791" TargetMode="External"/><Relationship Id="rId134" Type="http://schemas.openxmlformats.org/officeDocument/2006/relationships/hyperlink" Target="https://doi.org/10.1177/1035304621997891" TargetMode="External"/><Relationship Id="rId80" Type="http://schemas.openxmlformats.org/officeDocument/2006/relationships/hyperlink" Target="https://doi.org/10.1007/s13384-019-00332-4" TargetMode="External"/><Relationship Id="rId155" Type="http://schemas.openxmlformats.org/officeDocument/2006/relationships/hyperlink" Target="https://doi.org/10.1016/j.copsyc.2023.101657" TargetMode="External"/><Relationship Id="rId176" Type="http://schemas.openxmlformats.org/officeDocument/2006/relationships/hyperlink" Target="https://www.theguardian.com/politics/2012/oct/10/david-cameron-leader-aspiration-nation" TargetMode="External"/><Relationship Id="rId17" Type="http://schemas.openxmlformats.org/officeDocument/2006/relationships/image" Target="media/image4.png"/><Relationship Id="rId38" Type="http://schemas.openxmlformats.org/officeDocument/2006/relationships/hyperlink" Target="https://www.abs.gov.au/AUSSTATS/abs@.nsf/mf/1220.0" TargetMode="External"/><Relationship Id="rId59" Type="http://schemas.openxmlformats.org/officeDocument/2006/relationships/hyperlink" Target="https://doi.org/10.1108/IJILT-06-2020-0111" TargetMode="External"/><Relationship Id="rId103" Type="http://schemas.openxmlformats.org/officeDocument/2006/relationships/hyperlink" Target="https://doi.org/10.1080/00131911.2023.2287417" TargetMode="External"/><Relationship Id="rId124" Type="http://schemas.openxmlformats.org/officeDocument/2006/relationships/hyperlink" Target="https://doi.org/10.1371/journal.pone.0296670" TargetMode="External"/><Relationship Id="rId70" Type="http://schemas.openxmlformats.org/officeDocument/2006/relationships/hyperlink" Target="https://doi.org/10.1002/berj.3659" TargetMode="External"/><Relationship Id="rId91" Type="http://schemas.openxmlformats.org/officeDocument/2006/relationships/hyperlink" Target="https://doi.org/10.1080/07294360.2017.1325847" TargetMode="External"/><Relationship Id="rId145" Type="http://schemas.openxmlformats.org/officeDocument/2006/relationships/hyperlink" Target="https://doi.org/10.1016/j.polgeo.2009.10.009" TargetMode="External"/><Relationship Id="rId166" Type="http://schemas.openxmlformats.org/officeDocument/2006/relationships/hyperlink" Target="https://doi.org/10.1007/978-3-031-12224-8_7" TargetMode="External"/><Relationship Id="rId1" Type="http://schemas.openxmlformats.org/officeDocument/2006/relationships/customXml" Target="../customXml/item1.xml"/><Relationship Id="rId28" Type="http://schemas.openxmlformats.org/officeDocument/2006/relationships/chart" Target="charts/chart5.xml"/><Relationship Id="rId49" Type="http://schemas.openxmlformats.org/officeDocument/2006/relationships/hyperlink" Target="https://doi.org/10.1080/00131911.2022.2077703" TargetMode="External"/><Relationship Id="rId114" Type="http://schemas.openxmlformats.org/officeDocument/2006/relationships/hyperlink" Target="https://www.tandfonline.com/doi/full/10.1080/00091383.2018.15073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ravusmining.com.au/what-is-fifo-work-in-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f721\Downloads\ACSES%20Small%20Grants%20Report%20Templat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onstaff.sharepoint.com/sites/Aspirations/Shared%20Documents/ACSES%20project/Dissemination/Final%20Report/Case%20study%20reports/School%20infographics/Community%20Census%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r>
              <a:rPr lang="en-AU" sz="1100" b="1">
                <a:latin typeface="+mn-lt"/>
                <a:cs typeface="Arial" panose="020B0604020202020204" pitchFamily="34" charset="0"/>
              </a:rPr>
              <a:t>Highest Level of Educational Attainment</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endParaRPr lang="en-AU"/>
        </a:p>
      </c:txPr>
    </c:title>
    <c:autoTitleDeleted val="0"/>
    <c:plotArea>
      <c:layout/>
      <c:barChart>
        <c:barDir val="col"/>
        <c:grouping val="clustered"/>
        <c:varyColors val="0"/>
        <c:ser>
          <c:idx val="0"/>
          <c:order val="0"/>
          <c:tx>
            <c:strRef>
              <c:f>Griffith!$B$18</c:f>
              <c:strCache>
                <c:ptCount val="1"/>
                <c:pt idx="0">
                  <c:v>2016</c:v>
                </c:pt>
              </c:strCache>
            </c:strRef>
          </c:tx>
          <c:spPr>
            <a:solidFill>
              <a:srgbClr val="6B3B57"/>
            </a:solidFill>
            <a:ln>
              <a:noFill/>
            </a:ln>
            <a:effectLst/>
          </c:spPr>
          <c:invertIfNegative val="0"/>
          <c:cat>
            <c:strRef>
              <c:f>Griffith!$A$19:$A$34</c:f>
              <c:strCache>
                <c:ptCount val="4"/>
                <c:pt idx="0">
                  <c:v>Bachelor Degree or above</c:v>
                </c:pt>
                <c:pt idx="1">
                  <c:v>TAFE </c:v>
                </c:pt>
                <c:pt idx="2">
                  <c:v>High School</c:v>
                </c:pt>
                <c:pt idx="3">
                  <c:v>Not Stated</c:v>
                </c:pt>
              </c:strCache>
            </c:strRef>
          </c:cat>
          <c:val>
            <c:numRef>
              <c:f>Griffith!$B$19:$B$34</c:f>
              <c:numCache>
                <c:formatCode>General</c:formatCode>
                <c:ptCount val="4"/>
                <c:pt idx="0">
                  <c:v>13.8</c:v>
                </c:pt>
                <c:pt idx="1">
                  <c:v>24.9</c:v>
                </c:pt>
                <c:pt idx="2">
                  <c:v>34.9</c:v>
                </c:pt>
                <c:pt idx="3">
                  <c:v>15.100000000000001</c:v>
                </c:pt>
              </c:numCache>
            </c:numRef>
          </c:val>
          <c:extLst>
            <c:ext xmlns:c16="http://schemas.microsoft.com/office/drawing/2014/chart" uri="{C3380CC4-5D6E-409C-BE32-E72D297353CC}">
              <c16:uniqueId val="{00000000-A45B-45D8-BED7-257B79B6CE04}"/>
            </c:ext>
          </c:extLst>
        </c:ser>
        <c:ser>
          <c:idx val="1"/>
          <c:order val="1"/>
          <c:tx>
            <c:strRef>
              <c:f>Griffith!$C$18</c:f>
              <c:strCache>
                <c:ptCount val="1"/>
                <c:pt idx="0">
                  <c:v>2021</c:v>
                </c:pt>
              </c:strCache>
            </c:strRef>
          </c:tx>
          <c:spPr>
            <a:solidFill>
              <a:srgbClr val="78DED9"/>
            </a:solidFill>
            <a:ln>
              <a:noFill/>
            </a:ln>
            <a:effectLst/>
          </c:spPr>
          <c:invertIfNegative val="0"/>
          <c:cat>
            <c:strRef>
              <c:f>Griffith!$A$19:$A$34</c:f>
              <c:strCache>
                <c:ptCount val="4"/>
                <c:pt idx="0">
                  <c:v>Bachelor Degree or above</c:v>
                </c:pt>
                <c:pt idx="1">
                  <c:v>TAFE </c:v>
                </c:pt>
                <c:pt idx="2">
                  <c:v>High School</c:v>
                </c:pt>
                <c:pt idx="3">
                  <c:v>Not Stated</c:v>
                </c:pt>
              </c:strCache>
            </c:strRef>
          </c:cat>
          <c:val>
            <c:numRef>
              <c:f>Griffith!$C$19:$C$34</c:f>
              <c:numCache>
                <c:formatCode>General</c:formatCode>
                <c:ptCount val="4"/>
                <c:pt idx="0">
                  <c:v>10.5</c:v>
                </c:pt>
                <c:pt idx="1">
                  <c:v>23.8</c:v>
                </c:pt>
                <c:pt idx="2">
                  <c:v>46.900000000000006</c:v>
                </c:pt>
                <c:pt idx="3">
                  <c:v>16.399999999999999</c:v>
                </c:pt>
              </c:numCache>
            </c:numRef>
          </c:val>
          <c:extLst>
            <c:ext xmlns:c16="http://schemas.microsoft.com/office/drawing/2014/chart" uri="{C3380CC4-5D6E-409C-BE32-E72D297353CC}">
              <c16:uniqueId val="{00000001-A45B-45D8-BED7-257B79B6CE04}"/>
            </c:ext>
          </c:extLst>
        </c:ser>
        <c:dLbls>
          <c:showLegendKey val="0"/>
          <c:showVal val="0"/>
          <c:showCatName val="0"/>
          <c:showSerName val="0"/>
          <c:showPercent val="0"/>
          <c:showBubbleSize val="0"/>
        </c:dLbls>
        <c:gapWidth val="219"/>
        <c:overlap val="-27"/>
        <c:axId val="1933691328"/>
        <c:axId val="1933681728"/>
      </c:barChart>
      <c:catAx>
        <c:axId val="193369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933681728"/>
        <c:crosses val="autoZero"/>
        <c:auto val="1"/>
        <c:lblAlgn val="ctr"/>
        <c:lblOffset val="100"/>
        <c:noMultiLvlLbl val="0"/>
      </c:catAx>
      <c:valAx>
        <c:axId val="193368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AU" sz="800">
                    <a:latin typeface="+mn-lt"/>
                    <a:cs typeface="Arial" panose="020B0604020202020204" pitchFamily="34" charset="0"/>
                  </a:rPr>
                  <a:t>Percentage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93369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AU" sz="1100" b="1">
                <a:solidFill>
                  <a:sysClr val="windowText" lastClr="000000"/>
                </a:solidFill>
              </a:rPr>
              <a:t>Community</a:t>
            </a:r>
            <a:r>
              <a:rPr lang="en-AU" sz="1100" b="1" baseline="0">
                <a:solidFill>
                  <a:sysClr val="windowText" lastClr="000000"/>
                </a:solidFill>
              </a:rPr>
              <a:t> Occupations</a:t>
            </a:r>
            <a:endParaRPr lang="en-AU"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AU"/>
        </a:p>
      </c:txPr>
    </c:title>
    <c:autoTitleDeleted val="0"/>
    <c:plotArea>
      <c:layout/>
      <c:barChart>
        <c:barDir val="bar"/>
        <c:grouping val="clustered"/>
        <c:varyColors val="0"/>
        <c:ser>
          <c:idx val="0"/>
          <c:order val="0"/>
          <c:tx>
            <c:strRef>
              <c:f>Wyong!$B$7</c:f>
              <c:strCache>
                <c:ptCount val="1"/>
                <c:pt idx="0">
                  <c:v>2021</c:v>
                </c:pt>
              </c:strCache>
            </c:strRef>
          </c:tx>
          <c:spPr>
            <a:solidFill>
              <a:schemeClr val="accent1"/>
            </a:solidFill>
            <a:ln>
              <a:noFill/>
            </a:ln>
            <a:effectLst/>
          </c:spPr>
          <c:invertIfNegative val="0"/>
          <c:cat>
            <c:strRef>
              <c:f>Wyong!$A$8:$A$15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Wyong!$B$8:$B$15</c:f>
              <c:numCache>
                <c:formatCode>General</c:formatCode>
                <c:ptCount val="8"/>
                <c:pt idx="0">
                  <c:v>11.1</c:v>
                </c:pt>
                <c:pt idx="1">
                  <c:v>14.9</c:v>
                </c:pt>
                <c:pt idx="2">
                  <c:v>12.6</c:v>
                </c:pt>
                <c:pt idx="3">
                  <c:v>14.4</c:v>
                </c:pt>
                <c:pt idx="4">
                  <c:v>13.4</c:v>
                </c:pt>
                <c:pt idx="5">
                  <c:v>9.1</c:v>
                </c:pt>
                <c:pt idx="6">
                  <c:v>8.1999999999999993</c:v>
                </c:pt>
                <c:pt idx="7">
                  <c:v>13.6</c:v>
                </c:pt>
              </c:numCache>
            </c:numRef>
          </c:val>
          <c:extLst>
            <c:ext xmlns:c16="http://schemas.microsoft.com/office/drawing/2014/chart" uri="{C3380CC4-5D6E-409C-BE32-E72D297353CC}">
              <c16:uniqueId val="{00000000-3EAC-4E9C-ACCB-C45D7735B8F5}"/>
            </c:ext>
          </c:extLst>
        </c:ser>
        <c:ser>
          <c:idx val="1"/>
          <c:order val="1"/>
          <c:tx>
            <c:strRef>
              <c:f>Wyong!$C$7</c:f>
              <c:strCache>
                <c:ptCount val="1"/>
                <c:pt idx="0">
                  <c:v>2011</c:v>
                </c:pt>
              </c:strCache>
            </c:strRef>
          </c:tx>
          <c:spPr>
            <a:solidFill>
              <a:schemeClr val="accent2"/>
            </a:solidFill>
            <a:ln>
              <a:noFill/>
            </a:ln>
            <a:effectLst/>
          </c:spPr>
          <c:invertIfNegative val="0"/>
          <c:cat>
            <c:strRef>
              <c:f>Wyong!$A$8:$A$15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Wyong!$C$8:$C$15</c:f>
              <c:numCache>
                <c:formatCode>General</c:formatCode>
                <c:ptCount val="8"/>
                <c:pt idx="0">
                  <c:v>8.6</c:v>
                </c:pt>
                <c:pt idx="1">
                  <c:v>13.8</c:v>
                </c:pt>
                <c:pt idx="2">
                  <c:v>17</c:v>
                </c:pt>
                <c:pt idx="3">
                  <c:v>10.7</c:v>
                </c:pt>
                <c:pt idx="4">
                  <c:v>13.2</c:v>
                </c:pt>
                <c:pt idx="5">
                  <c:v>10.8</c:v>
                </c:pt>
                <c:pt idx="6">
                  <c:v>8.8000000000000007</c:v>
                </c:pt>
                <c:pt idx="7">
                  <c:v>14.7</c:v>
                </c:pt>
              </c:numCache>
            </c:numRef>
          </c:val>
          <c:extLst>
            <c:ext xmlns:c16="http://schemas.microsoft.com/office/drawing/2014/chart" uri="{C3380CC4-5D6E-409C-BE32-E72D297353CC}">
              <c16:uniqueId val="{00000001-3EAC-4E9C-ACCB-C45D7735B8F5}"/>
            </c:ext>
          </c:extLst>
        </c:ser>
        <c:dLbls>
          <c:showLegendKey val="0"/>
          <c:showVal val="0"/>
          <c:showCatName val="0"/>
          <c:showSerName val="0"/>
          <c:showPercent val="0"/>
          <c:showBubbleSize val="0"/>
        </c:dLbls>
        <c:gapWidth val="182"/>
        <c:axId val="1992676512"/>
        <c:axId val="1992676992"/>
      </c:barChart>
      <c:catAx>
        <c:axId val="1992676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92676992"/>
        <c:crosses val="autoZero"/>
        <c:auto val="1"/>
        <c:lblAlgn val="ctr"/>
        <c:lblOffset val="100"/>
        <c:noMultiLvlLbl val="0"/>
      </c:catAx>
      <c:valAx>
        <c:axId val="1992676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Percentage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9267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a:latin typeface="+mn-lt"/>
                <a:cs typeface="Arial" panose="020B0604020202020204" pitchFamily="34" charset="0"/>
              </a:rPr>
              <a:t>Community Occupations</a:t>
            </a:r>
          </a:p>
        </c:rich>
      </c:tx>
      <c:layout>
        <c:manualLayout>
          <c:xMode val="edge"/>
          <c:yMode val="edge"/>
          <c:x val="0.23820277581745466"/>
          <c:y val="2.833534305036147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Griffith!$B$7</c:f>
              <c:strCache>
                <c:ptCount val="1"/>
                <c:pt idx="0">
                  <c:v>2021</c:v>
                </c:pt>
              </c:strCache>
            </c:strRef>
          </c:tx>
          <c:spPr>
            <a:solidFill>
              <a:srgbClr val="78DED9"/>
            </a:solidFill>
            <a:ln>
              <a:noFill/>
            </a:ln>
            <a:effectLst/>
          </c:spPr>
          <c:invertIfNegative val="0"/>
          <c:cat>
            <c:strRef>
              <c:f>Griffith!$A$8:$A$15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Griffith!$B$8:$B$15</c:f>
              <c:numCache>
                <c:formatCode>General</c:formatCode>
                <c:ptCount val="8"/>
                <c:pt idx="0">
                  <c:v>15.5</c:v>
                </c:pt>
                <c:pt idx="1">
                  <c:v>13.3</c:v>
                </c:pt>
                <c:pt idx="2">
                  <c:v>13.4</c:v>
                </c:pt>
                <c:pt idx="3">
                  <c:v>9.1999999999999993</c:v>
                </c:pt>
                <c:pt idx="4">
                  <c:v>11.2</c:v>
                </c:pt>
                <c:pt idx="5">
                  <c:v>8.8000000000000007</c:v>
                </c:pt>
                <c:pt idx="6">
                  <c:v>7</c:v>
                </c:pt>
                <c:pt idx="7">
                  <c:v>19</c:v>
                </c:pt>
              </c:numCache>
            </c:numRef>
          </c:val>
          <c:extLst>
            <c:ext xmlns:c16="http://schemas.microsoft.com/office/drawing/2014/chart" uri="{C3380CC4-5D6E-409C-BE32-E72D297353CC}">
              <c16:uniqueId val="{00000000-A958-4F57-8D04-64D234BC4C27}"/>
            </c:ext>
          </c:extLst>
        </c:ser>
        <c:ser>
          <c:idx val="1"/>
          <c:order val="1"/>
          <c:tx>
            <c:strRef>
              <c:f>Griffith!$C$7</c:f>
              <c:strCache>
                <c:ptCount val="1"/>
                <c:pt idx="0">
                  <c:v>2016</c:v>
                </c:pt>
              </c:strCache>
            </c:strRef>
          </c:tx>
          <c:spPr>
            <a:solidFill>
              <a:srgbClr val="6B3B57"/>
            </a:solidFill>
            <a:ln>
              <a:noFill/>
            </a:ln>
            <a:effectLst/>
          </c:spPr>
          <c:invertIfNegative val="0"/>
          <c:cat>
            <c:strRef>
              <c:f>Griffith!$A$8:$A$15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Griffith!$C$8:$C$15</c:f>
              <c:numCache>
                <c:formatCode>General</c:formatCode>
                <c:ptCount val="8"/>
                <c:pt idx="0">
                  <c:v>15.4</c:v>
                </c:pt>
                <c:pt idx="1">
                  <c:v>13.2</c:v>
                </c:pt>
                <c:pt idx="2">
                  <c:v>13.8</c:v>
                </c:pt>
                <c:pt idx="3">
                  <c:v>10.6</c:v>
                </c:pt>
                <c:pt idx="4">
                  <c:v>11.7</c:v>
                </c:pt>
                <c:pt idx="5">
                  <c:v>8.8000000000000007</c:v>
                </c:pt>
                <c:pt idx="6">
                  <c:v>6.8</c:v>
                </c:pt>
                <c:pt idx="7">
                  <c:v>17.899999999999999</c:v>
                </c:pt>
              </c:numCache>
            </c:numRef>
          </c:val>
          <c:extLst>
            <c:ext xmlns:c16="http://schemas.microsoft.com/office/drawing/2014/chart" uri="{C3380CC4-5D6E-409C-BE32-E72D297353CC}">
              <c16:uniqueId val="{00000001-A958-4F57-8D04-64D234BC4C27}"/>
            </c:ext>
          </c:extLst>
        </c:ser>
        <c:dLbls>
          <c:showLegendKey val="0"/>
          <c:showVal val="0"/>
          <c:showCatName val="0"/>
          <c:showSerName val="0"/>
          <c:showPercent val="0"/>
          <c:showBubbleSize val="0"/>
        </c:dLbls>
        <c:gapWidth val="182"/>
        <c:axId val="98466448"/>
        <c:axId val="98453968"/>
      </c:barChart>
      <c:catAx>
        <c:axId val="98466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98453968"/>
        <c:crosses val="autoZero"/>
        <c:auto val="1"/>
        <c:lblAlgn val="ctr"/>
        <c:lblOffset val="100"/>
        <c:noMultiLvlLbl val="0"/>
      </c:catAx>
      <c:valAx>
        <c:axId val="98453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AU" sz="800">
                    <a:latin typeface="+mn-lt"/>
                    <a:cs typeface="Arial" panose="020B0604020202020204" pitchFamily="34" charset="0"/>
                  </a:rPr>
                  <a:t>Percentage %</a:t>
                </a:r>
              </a:p>
            </c:rich>
          </c:tx>
          <c:layout>
            <c:manualLayout>
              <c:xMode val="edge"/>
              <c:yMode val="edge"/>
              <c:x val="0.53621324857328623"/>
              <c:y val="0.7926127617957423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9846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r>
              <a:rPr lang="en-AU" sz="1100" b="1">
                <a:solidFill>
                  <a:sysClr val="windowText" lastClr="000000"/>
                </a:solidFill>
                <a:latin typeface="+mn-lt"/>
                <a:cs typeface="Arial" panose="020B0604020202020204" pitchFamily="34" charset="0"/>
              </a:rPr>
              <a:t>Highest Level of Educational Attainment</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endParaRPr lang="en-AU"/>
        </a:p>
      </c:txPr>
    </c:title>
    <c:autoTitleDeleted val="0"/>
    <c:plotArea>
      <c:layout/>
      <c:barChart>
        <c:barDir val="col"/>
        <c:grouping val="clustered"/>
        <c:varyColors val="0"/>
        <c:ser>
          <c:idx val="0"/>
          <c:order val="0"/>
          <c:tx>
            <c:strRef>
              <c:f>Merriwa!$B$20</c:f>
              <c:strCache>
                <c:ptCount val="1"/>
                <c:pt idx="0">
                  <c:v>2016</c:v>
                </c:pt>
              </c:strCache>
            </c:strRef>
          </c:tx>
          <c:spPr>
            <a:solidFill>
              <a:srgbClr val="6B3B57"/>
            </a:solidFill>
            <a:ln>
              <a:noFill/>
            </a:ln>
            <a:effectLst/>
          </c:spPr>
          <c:invertIfNegative val="0"/>
          <c:cat>
            <c:strRef>
              <c:f>Merriwa!$A$21:$A$24</c:f>
              <c:strCache>
                <c:ptCount val="4"/>
                <c:pt idx="0">
                  <c:v>Bachelor Degree or above</c:v>
                </c:pt>
                <c:pt idx="1">
                  <c:v>TAFE </c:v>
                </c:pt>
                <c:pt idx="2">
                  <c:v>High School</c:v>
                </c:pt>
                <c:pt idx="3">
                  <c:v>Not Stated</c:v>
                </c:pt>
              </c:strCache>
            </c:strRef>
          </c:cat>
          <c:val>
            <c:numRef>
              <c:f>Merriwa!$B$21:$B$24</c:f>
              <c:numCache>
                <c:formatCode>General</c:formatCode>
                <c:ptCount val="4"/>
                <c:pt idx="0">
                  <c:v>8.5</c:v>
                </c:pt>
                <c:pt idx="1">
                  <c:v>24.5</c:v>
                </c:pt>
                <c:pt idx="2">
                  <c:v>44.8</c:v>
                </c:pt>
                <c:pt idx="3">
                  <c:v>18.8</c:v>
                </c:pt>
              </c:numCache>
            </c:numRef>
          </c:val>
          <c:extLst>
            <c:ext xmlns:c16="http://schemas.microsoft.com/office/drawing/2014/chart" uri="{C3380CC4-5D6E-409C-BE32-E72D297353CC}">
              <c16:uniqueId val="{00000000-3D18-4C99-9747-32F8FB48BA12}"/>
            </c:ext>
          </c:extLst>
        </c:ser>
        <c:ser>
          <c:idx val="1"/>
          <c:order val="1"/>
          <c:tx>
            <c:strRef>
              <c:f>Merriwa!$C$20</c:f>
              <c:strCache>
                <c:ptCount val="1"/>
                <c:pt idx="0">
                  <c:v>2021</c:v>
                </c:pt>
              </c:strCache>
            </c:strRef>
          </c:tx>
          <c:spPr>
            <a:solidFill>
              <a:srgbClr val="78DED9"/>
            </a:solidFill>
            <a:ln>
              <a:noFill/>
            </a:ln>
            <a:effectLst/>
          </c:spPr>
          <c:invertIfNegative val="0"/>
          <c:cat>
            <c:strRef>
              <c:f>Merriwa!$A$21:$A$24</c:f>
              <c:strCache>
                <c:ptCount val="4"/>
                <c:pt idx="0">
                  <c:v>Bachelor Degree or above</c:v>
                </c:pt>
                <c:pt idx="1">
                  <c:v>TAFE </c:v>
                </c:pt>
                <c:pt idx="2">
                  <c:v>High School</c:v>
                </c:pt>
                <c:pt idx="3">
                  <c:v>Not Stated</c:v>
                </c:pt>
              </c:strCache>
            </c:strRef>
          </c:cat>
          <c:val>
            <c:numRef>
              <c:f>Merriwa!$C$21:$C$24</c:f>
              <c:numCache>
                <c:formatCode>General</c:formatCode>
                <c:ptCount val="4"/>
                <c:pt idx="0">
                  <c:v>9.8000000000000007</c:v>
                </c:pt>
                <c:pt idx="1">
                  <c:v>25.5</c:v>
                </c:pt>
                <c:pt idx="2">
                  <c:v>47</c:v>
                </c:pt>
                <c:pt idx="3">
                  <c:v>17.399999999999999</c:v>
                </c:pt>
              </c:numCache>
            </c:numRef>
          </c:val>
          <c:extLst>
            <c:ext xmlns:c16="http://schemas.microsoft.com/office/drawing/2014/chart" uri="{C3380CC4-5D6E-409C-BE32-E72D297353CC}">
              <c16:uniqueId val="{00000001-3D18-4C99-9747-32F8FB48BA12}"/>
            </c:ext>
          </c:extLst>
        </c:ser>
        <c:dLbls>
          <c:showLegendKey val="0"/>
          <c:showVal val="0"/>
          <c:showCatName val="0"/>
          <c:showSerName val="0"/>
          <c:showPercent val="0"/>
          <c:showBubbleSize val="0"/>
        </c:dLbls>
        <c:gapWidth val="219"/>
        <c:overlap val="-27"/>
        <c:axId val="1256880256"/>
        <c:axId val="1256882656"/>
      </c:barChart>
      <c:catAx>
        <c:axId val="125688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256882656"/>
        <c:crosses val="autoZero"/>
        <c:auto val="1"/>
        <c:lblAlgn val="ctr"/>
        <c:lblOffset val="100"/>
        <c:noMultiLvlLbl val="0"/>
      </c:catAx>
      <c:valAx>
        <c:axId val="125688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AU" sz="800">
                    <a:latin typeface="+mn-lt"/>
                    <a:cs typeface="Arial" panose="020B0604020202020204" pitchFamily="34" charset="0"/>
                  </a:rPr>
                  <a:t>Percentage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25688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r>
              <a:rPr lang="en-AU" sz="1100" b="1">
                <a:latin typeface="+mn-lt"/>
                <a:cs typeface="Arial" panose="020B0604020202020204" pitchFamily="34" charset="0"/>
              </a:rPr>
              <a:t>Community Occupations</a:t>
            </a:r>
          </a:p>
        </c:rich>
      </c:tx>
      <c:layout>
        <c:manualLayout>
          <c:xMode val="edge"/>
          <c:yMode val="edge"/>
          <c:x val="0.19502077865266843"/>
          <c:y val="3.7037037037037035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Merriwa!$B$7</c:f>
              <c:strCache>
                <c:ptCount val="1"/>
                <c:pt idx="0">
                  <c:v>2021</c:v>
                </c:pt>
              </c:strCache>
            </c:strRef>
          </c:tx>
          <c:spPr>
            <a:solidFill>
              <a:schemeClr val="accent1"/>
            </a:solidFill>
            <a:ln>
              <a:noFill/>
            </a:ln>
            <a:effectLst/>
          </c:spPr>
          <c:invertIfNegative val="0"/>
          <c:cat>
            <c:strRef>
              <c:f>Merriwa!$A$8:$A$15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Merriwa!$B$8:$B$15</c:f>
              <c:numCache>
                <c:formatCode>General</c:formatCode>
                <c:ptCount val="8"/>
                <c:pt idx="0">
                  <c:v>19.8</c:v>
                </c:pt>
                <c:pt idx="1">
                  <c:v>9.1999999999999993</c:v>
                </c:pt>
                <c:pt idx="2">
                  <c:v>11.1</c:v>
                </c:pt>
                <c:pt idx="3">
                  <c:v>10.5</c:v>
                </c:pt>
                <c:pt idx="4">
                  <c:v>9.4</c:v>
                </c:pt>
                <c:pt idx="5">
                  <c:v>5.7</c:v>
                </c:pt>
                <c:pt idx="6">
                  <c:v>14.9</c:v>
                </c:pt>
                <c:pt idx="7">
                  <c:v>16.2</c:v>
                </c:pt>
              </c:numCache>
            </c:numRef>
          </c:val>
          <c:extLst>
            <c:ext xmlns:c16="http://schemas.microsoft.com/office/drawing/2014/chart" uri="{C3380CC4-5D6E-409C-BE32-E72D297353CC}">
              <c16:uniqueId val="{00000000-EFDD-4EFF-B5C1-506BF34F333E}"/>
            </c:ext>
          </c:extLst>
        </c:ser>
        <c:ser>
          <c:idx val="1"/>
          <c:order val="1"/>
          <c:tx>
            <c:strRef>
              <c:f>Merriwa!$C$7</c:f>
              <c:strCache>
                <c:ptCount val="1"/>
                <c:pt idx="0">
                  <c:v>2016</c:v>
                </c:pt>
              </c:strCache>
            </c:strRef>
          </c:tx>
          <c:spPr>
            <a:solidFill>
              <a:schemeClr val="accent2"/>
            </a:solidFill>
            <a:ln>
              <a:noFill/>
            </a:ln>
            <a:effectLst/>
          </c:spPr>
          <c:invertIfNegative val="0"/>
          <c:cat>
            <c:strRef>
              <c:f>Merriwa!$A$8:$A$15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Merriwa!$C$8:$C$15</c:f>
              <c:numCache>
                <c:formatCode>General</c:formatCode>
                <c:ptCount val="8"/>
                <c:pt idx="0">
                  <c:v>21.5</c:v>
                </c:pt>
                <c:pt idx="1">
                  <c:v>9.4</c:v>
                </c:pt>
                <c:pt idx="2">
                  <c:v>11.2</c:v>
                </c:pt>
                <c:pt idx="3">
                  <c:v>9.8000000000000007</c:v>
                </c:pt>
                <c:pt idx="4">
                  <c:v>9.4</c:v>
                </c:pt>
                <c:pt idx="5">
                  <c:v>7.3</c:v>
                </c:pt>
                <c:pt idx="6">
                  <c:v>13.8</c:v>
                </c:pt>
                <c:pt idx="7">
                  <c:v>16.600000000000001</c:v>
                </c:pt>
              </c:numCache>
            </c:numRef>
          </c:val>
          <c:extLst>
            <c:ext xmlns:c16="http://schemas.microsoft.com/office/drawing/2014/chart" uri="{C3380CC4-5D6E-409C-BE32-E72D297353CC}">
              <c16:uniqueId val="{00000001-EFDD-4EFF-B5C1-506BF34F333E}"/>
            </c:ext>
          </c:extLst>
        </c:ser>
        <c:dLbls>
          <c:showLegendKey val="0"/>
          <c:showVal val="0"/>
          <c:showCatName val="0"/>
          <c:showSerName val="0"/>
          <c:showPercent val="0"/>
          <c:showBubbleSize val="0"/>
        </c:dLbls>
        <c:gapWidth val="182"/>
        <c:axId val="1855854640"/>
        <c:axId val="1855853200"/>
      </c:barChart>
      <c:catAx>
        <c:axId val="185585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855853200"/>
        <c:crosses val="autoZero"/>
        <c:auto val="1"/>
        <c:lblAlgn val="ctr"/>
        <c:lblOffset val="100"/>
        <c:noMultiLvlLbl val="0"/>
      </c:catAx>
      <c:valAx>
        <c:axId val="1855853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AU" sz="800">
                    <a:latin typeface="+mn-lt"/>
                    <a:cs typeface="Arial" panose="020B0604020202020204" pitchFamily="34" charset="0"/>
                  </a:rPr>
                  <a:t>Percentage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185585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AU" sz="1100" b="1">
                <a:solidFill>
                  <a:sysClr val="windowText" lastClr="000000"/>
                </a:solidFill>
                <a:latin typeface="+mn-lt"/>
                <a:cs typeface="Arial" panose="020B0604020202020204" pitchFamily="34" charset="0"/>
              </a:rPr>
              <a:t>Highest Level of Educational</a:t>
            </a:r>
            <a:r>
              <a:rPr lang="en-AU" sz="1100" b="1" baseline="0">
                <a:solidFill>
                  <a:sysClr val="windowText" lastClr="000000"/>
                </a:solidFill>
                <a:latin typeface="+mn-lt"/>
                <a:cs typeface="Arial" panose="020B0604020202020204" pitchFamily="34" charset="0"/>
              </a:rPr>
              <a:t> Attainment</a:t>
            </a:r>
            <a:r>
              <a:rPr lang="en-AU" sz="1100" b="1" baseline="30000">
                <a:solidFill>
                  <a:sysClr val="windowText" lastClr="000000"/>
                </a:solidFill>
                <a:latin typeface="+mn-lt"/>
                <a:cs typeface="Arial" panose="020B0604020202020204" pitchFamily="34" charset="0"/>
              </a:rPr>
              <a:t>1</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AU"/>
        </a:p>
      </c:txPr>
    </c:title>
    <c:autoTitleDeleted val="0"/>
    <c:plotArea>
      <c:layout/>
      <c:barChart>
        <c:barDir val="col"/>
        <c:grouping val="clustered"/>
        <c:varyColors val="0"/>
        <c:ser>
          <c:idx val="0"/>
          <c:order val="0"/>
          <c:tx>
            <c:strRef>
              <c:f>Ryde!$B$18</c:f>
              <c:strCache>
                <c:ptCount val="1"/>
                <c:pt idx="0">
                  <c:v>2016</c:v>
                </c:pt>
              </c:strCache>
            </c:strRef>
          </c:tx>
          <c:spPr>
            <a:solidFill>
              <a:schemeClr val="accent1"/>
            </a:solidFill>
            <a:ln>
              <a:noFill/>
            </a:ln>
            <a:effectLst/>
          </c:spPr>
          <c:invertIfNegative val="0"/>
          <c:cat>
            <c:strRef>
              <c:f>Ryde!$A$19:$A$22</c:f>
              <c:strCache>
                <c:ptCount val="4"/>
                <c:pt idx="0">
                  <c:v>Bachelor Degree and above</c:v>
                </c:pt>
                <c:pt idx="1">
                  <c:v>TAFE</c:v>
                </c:pt>
                <c:pt idx="2">
                  <c:v>High School</c:v>
                </c:pt>
                <c:pt idx="3">
                  <c:v>Not Stated</c:v>
                </c:pt>
              </c:strCache>
            </c:strRef>
          </c:cat>
          <c:val>
            <c:numRef>
              <c:f>Ryde!$B$19:$B$22</c:f>
              <c:numCache>
                <c:formatCode>General</c:formatCode>
                <c:ptCount val="4"/>
                <c:pt idx="0">
                  <c:v>39.4</c:v>
                </c:pt>
                <c:pt idx="1">
                  <c:v>18.2</c:v>
                </c:pt>
                <c:pt idx="2">
                  <c:v>31.5</c:v>
                </c:pt>
                <c:pt idx="3">
                  <c:v>7.8</c:v>
                </c:pt>
              </c:numCache>
            </c:numRef>
          </c:val>
          <c:extLst>
            <c:ext xmlns:c16="http://schemas.microsoft.com/office/drawing/2014/chart" uri="{C3380CC4-5D6E-409C-BE32-E72D297353CC}">
              <c16:uniqueId val="{00000000-2560-4BD6-B516-E0FFADEFD640}"/>
            </c:ext>
          </c:extLst>
        </c:ser>
        <c:ser>
          <c:idx val="1"/>
          <c:order val="1"/>
          <c:tx>
            <c:strRef>
              <c:f>Ryde!$C$18</c:f>
              <c:strCache>
                <c:ptCount val="1"/>
                <c:pt idx="0">
                  <c:v>2021</c:v>
                </c:pt>
              </c:strCache>
            </c:strRef>
          </c:tx>
          <c:spPr>
            <a:solidFill>
              <a:schemeClr val="accent2"/>
            </a:solidFill>
            <a:ln>
              <a:noFill/>
            </a:ln>
            <a:effectLst/>
          </c:spPr>
          <c:invertIfNegative val="0"/>
          <c:cat>
            <c:strRef>
              <c:f>Ryde!$A$19:$A$22</c:f>
              <c:strCache>
                <c:ptCount val="4"/>
                <c:pt idx="0">
                  <c:v>Bachelor Degree and above</c:v>
                </c:pt>
                <c:pt idx="1">
                  <c:v>TAFE</c:v>
                </c:pt>
                <c:pt idx="2">
                  <c:v>High School</c:v>
                </c:pt>
                <c:pt idx="3">
                  <c:v>Not Stated</c:v>
                </c:pt>
              </c:strCache>
            </c:strRef>
          </c:cat>
          <c:val>
            <c:numRef>
              <c:f>Ryde!$C$19:$C$22</c:f>
              <c:numCache>
                <c:formatCode>General</c:formatCode>
                <c:ptCount val="4"/>
                <c:pt idx="0">
                  <c:v>46.4</c:v>
                </c:pt>
                <c:pt idx="1">
                  <c:v>17.7</c:v>
                </c:pt>
                <c:pt idx="2">
                  <c:v>26.3</c:v>
                </c:pt>
                <c:pt idx="3">
                  <c:v>9.6</c:v>
                </c:pt>
              </c:numCache>
            </c:numRef>
          </c:val>
          <c:extLst>
            <c:ext xmlns:c16="http://schemas.microsoft.com/office/drawing/2014/chart" uri="{C3380CC4-5D6E-409C-BE32-E72D297353CC}">
              <c16:uniqueId val="{00000001-2560-4BD6-B516-E0FFADEFD640}"/>
            </c:ext>
          </c:extLst>
        </c:ser>
        <c:dLbls>
          <c:showLegendKey val="0"/>
          <c:showVal val="0"/>
          <c:showCatName val="0"/>
          <c:showSerName val="0"/>
          <c:showPercent val="0"/>
          <c:showBubbleSize val="0"/>
        </c:dLbls>
        <c:gapWidth val="219"/>
        <c:overlap val="-27"/>
        <c:axId val="1833413680"/>
        <c:axId val="1833418480"/>
      </c:barChart>
      <c:catAx>
        <c:axId val="183341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33418480"/>
        <c:crosses val="autoZero"/>
        <c:auto val="1"/>
        <c:lblAlgn val="ctr"/>
        <c:lblOffset val="100"/>
        <c:noMultiLvlLbl val="0"/>
      </c:catAx>
      <c:valAx>
        <c:axId val="1833418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Percentage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3341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r>
              <a:rPr lang="en-AU" sz="1100" b="1">
                <a:solidFill>
                  <a:sysClr val="windowText" lastClr="000000"/>
                </a:solidFill>
                <a:latin typeface="+mn-lt"/>
                <a:cs typeface="Arial" panose="020B0604020202020204" pitchFamily="34" charset="0"/>
              </a:rPr>
              <a:t>Community Occupations</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endParaRPr lang="en-AU"/>
        </a:p>
      </c:txPr>
    </c:title>
    <c:autoTitleDeleted val="0"/>
    <c:plotArea>
      <c:layout>
        <c:manualLayout>
          <c:layoutTarget val="inner"/>
          <c:xMode val="edge"/>
          <c:yMode val="edge"/>
          <c:x val="0.41380573723274006"/>
          <c:y val="0.18348623853211007"/>
          <c:w val="0.52275018198589673"/>
          <c:h val="0.53291731264714004"/>
        </c:manualLayout>
      </c:layout>
      <c:barChart>
        <c:barDir val="bar"/>
        <c:grouping val="clustered"/>
        <c:varyColors val="0"/>
        <c:ser>
          <c:idx val="0"/>
          <c:order val="0"/>
          <c:tx>
            <c:strRef>
              <c:f>Ryde!$B$7</c:f>
              <c:strCache>
                <c:ptCount val="1"/>
                <c:pt idx="0">
                  <c:v>2021</c:v>
                </c:pt>
              </c:strCache>
            </c:strRef>
          </c:tx>
          <c:spPr>
            <a:solidFill>
              <a:schemeClr val="accent1"/>
            </a:solidFill>
            <a:ln>
              <a:noFill/>
            </a:ln>
            <a:effectLst/>
          </c:spPr>
          <c:invertIfNegative val="0"/>
          <c:cat>
            <c:strRef>
              <c:f>Ryde!$A$8:$A$15</c:f>
              <c:strCache>
                <c:ptCount val="8"/>
                <c:pt idx="0">
                  <c:v>Labourers</c:v>
                </c:pt>
                <c:pt idx="1">
                  <c:v>Machinery Operators and Drivers</c:v>
                </c:pt>
                <c:pt idx="2">
                  <c:v>Sales Workers</c:v>
                </c:pt>
                <c:pt idx="3">
                  <c:v>Clerical and Administrative Workers</c:v>
                </c:pt>
                <c:pt idx="4">
                  <c:v>Technicians and Trades Workers</c:v>
                </c:pt>
                <c:pt idx="5">
                  <c:v>Community and Personal Service Workers</c:v>
                </c:pt>
                <c:pt idx="6">
                  <c:v>Professionals</c:v>
                </c:pt>
                <c:pt idx="7">
                  <c:v>Managers</c:v>
                </c:pt>
              </c:strCache>
            </c:strRef>
          </c:cat>
          <c:val>
            <c:numRef>
              <c:f>Ryde!$B$8:$B$15</c:f>
              <c:numCache>
                <c:formatCode>General</c:formatCode>
                <c:ptCount val="8"/>
                <c:pt idx="0">
                  <c:v>4.5999999999999996</c:v>
                </c:pt>
                <c:pt idx="1">
                  <c:v>2.7</c:v>
                </c:pt>
                <c:pt idx="2">
                  <c:v>7.5</c:v>
                </c:pt>
                <c:pt idx="3">
                  <c:v>14.1</c:v>
                </c:pt>
                <c:pt idx="4">
                  <c:v>8.9</c:v>
                </c:pt>
                <c:pt idx="5">
                  <c:v>7.6</c:v>
                </c:pt>
                <c:pt idx="6">
                  <c:v>37.1</c:v>
                </c:pt>
                <c:pt idx="7">
                  <c:v>15.8</c:v>
                </c:pt>
              </c:numCache>
            </c:numRef>
          </c:val>
          <c:extLst>
            <c:ext xmlns:c16="http://schemas.microsoft.com/office/drawing/2014/chart" uri="{C3380CC4-5D6E-409C-BE32-E72D297353CC}">
              <c16:uniqueId val="{00000000-8873-44A7-BEE1-3284DBB30072}"/>
            </c:ext>
          </c:extLst>
        </c:ser>
        <c:ser>
          <c:idx val="1"/>
          <c:order val="1"/>
          <c:tx>
            <c:strRef>
              <c:f>Ryde!$C$7</c:f>
              <c:strCache>
                <c:ptCount val="1"/>
                <c:pt idx="0">
                  <c:v>2011</c:v>
                </c:pt>
              </c:strCache>
            </c:strRef>
          </c:tx>
          <c:spPr>
            <a:solidFill>
              <a:schemeClr val="accent2"/>
            </a:solidFill>
            <a:ln>
              <a:noFill/>
            </a:ln>
            <a:effectLst/>
          </c:spPr>
          <c:invertIfNegative val="0"/>
          <c:cat>
            <c:strRef>
              <c:f>Ryde!$A$8:$A$15</c:f>
              <c:strCache>
                <c:ptCount val="8"/>
                <c:pt idx="0">
                  <c:v>Labourers</c:v>
                </c:pt>
                <c:pt idx="1">
                  <c:v>Machinery Operators and Drivers</c:v>
                </c:pt>
                <c:pt idx="2">
                  <c:v>Sales Workers</c:v>
                </c:pt>
                <c:pt idx="3">
                  <c:v>Clerical and Administrative Workers</c:v>
                </c:pt>
                <c:pt idx="4">
                  <c:v>Technicians and Trades Workers</c:v>
                </c:pt>
                <c:pt idx="5">
                  <c:v>Community and Personal Service Workers</c:v>
                </c:pt>
                <c:pt idx="6">
                  <c:v>Professionals</c:v>
                </c:pt>
                <c:pt idx="7">
                  <c:v>Managers</c:v>
                </c:pt>
              </c:strCache>
            </c:strRef>
          </c:cat>
          <c:val>
            <c:numRef>
              <c:f>Ryde!$C$8:$C$15</c:f>
              <c:numCache>
                <c:formatCode>General</c:formatCode>
                <c:ptCount val="8"/>
                <c:pt idx="0">
                  <c:v>5.5</c:v>
                </c:pt>
                <c:pt idx="1">
                  <c:v>3.1</c:v>
                </c:pt>
                <c:pt idx="2">
                  <c:v>8.5</c:v>
                </c:pt>
                <c:pt idx="3">
                  <c:v>17</c:v>
                </c:pt>
                <c:pt idx="4">
                  <c:v>10.6</c:v>
                </c:pt>
                <c:pt idx="5">
                  <c:v>7.8</c:v>
                </c:pt>
                <c:pt idx="6">
                  <c:v>31.8</c:v>
                </c:pt>
                <c:pt idx="7">
                  <c:v>13.7</c:v>
                </c:pt>
              </c:numCache>
            </c:numRef>
          </c:val>
          <c:extLst>
            <c:ext xmlns:c16="http://schemas.microsoft.com/office/drawing/2014/chart" uri="{C3380CC4-5D6E-409C-BE32-E72D297353CC}">
              <c16:uniqueId val="{00000001-8873-44A7-BEE1-3284DBB30072}"/>
            </c:ext>
          </c:extLst>
        </c:ser>
        <c:dLbls>
          <c:showLegendKey val="0"/>
          <c:showVal val="0"/>
          <c:showCatName val="0"/>
          <c:showSerName val="0"/>
          <c:showPercent val="0"/>
          <c:showBubbleSize val="0"/>
        </c:dLbls>
        <c:gapWidth val="182"/>
        <c:axId val="1833442000"/>
        <c:axId val="1833448720"/>
      </c:barChart>
      <c:catAx>
        <c:axId val="1833442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33448720"/>
        <c:crosses val="autoZero"/>
        <c:auto val="1"/>
        <c:lblAlgn val="ctr"/>
        <c:lblOffset val="100"/>
        <c:noMultiLvlLbl val="0"/>
      </c:catAx>
      <c:valAx>
        <c:axId val="183344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Percentage %</a:t>
                </a:r>
              </a:p>
            </c:rich>
          </c:tx>
          <c:layout>
            <c:manualLayout>
              <c:xMode val="edge"/>
              <c:yMode val="edge"/>
              <c:x val="0.53094390018467175"/>
              <c:y val="0.7926127617957423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3344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r>
              <a:rPr lang="en-AU" sz="1100" b="1">
                <a:solidFill>
                  <a:sysClr val="windowText" lastClr="000000"/>
                </a:solidFill>
                <a:latin typeface="+mn-lt"/>
                <a:cs typeface="Arial" panose="020B0604020202020204" pitchFamily="34" charset="0"/>
              </a:rPr>
              <a:t>Highest</a:t>
            </a:r>
            <a:r>
              <a:rPr lang="en-AU" sz="1100" b="1" baseline="0">
                <a:solidFill>
                  <a:sysClr val="windowText" lastClr="000000"/>
                </a:solidFill>
                <a:latin typeface="+mn-lt"/>
                <a:cs typeface="Arial" panose="020B0604020202020204" pitchFamily="34" charset="0"/>
              </a:rPr>
              <a:t> Level of Educational Attainment</a:t>
            </a:r>
            <a:r>
              <a:rPr lang="en-AU" sz="1100" b="1" baseline="30000">
                <a:solidFill>
                  <a:sysClr val="windowText" lastClr="000000"/>
                </a:solidFill>
                <a:latin typeface="+mn-lt"/>
                <a:cs typeface="Arial" panose="020B0604020202020204" pitchFamily="34" charset="0"/>
              </a:rPr>
              <a:t>1</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'West Wallsend'!$B$21</c:f>
              <c:strCache>
                <c:ptCount val="1"/>
                <c:pt idx="0">
                  <c:v>2016</c:v>
                </c:pt>
              </c:strCache>
            </c:strRef>
          </c:tx>
          <c:spPr>
            <a:solidFill>
              <a:schemeClr val="accent1"/>
            </a:solidFill>
            <a:ln>
              <a:noFill/>
            </a:ln>
            <a:effectLst/>
          </c:spPr>
          <c:invertIfNegative val="0"/>
          <c:cat>
            <c:strRef>
              <c:f>'West Wallsend'!$A$22:$A$25</c:f>
              <c:strCache>
                <c:ptCount val="4"/>
                <c:pt idx="0">
                  <c:v>Bachelor Degree or above</c:v>
                </c:pt>
                <c:pt idx="1">
                  <c:v>TAFE </c:v>
                </c:pt>
                <c:pt idx="2">
                  <c:v>High School</c:v>
                </c:pt>
                <c:pt idx="3">
                  <c:v>Not Stated</c:v>
                </c:pt>
              </c:strCache>
            </c:strRef>
          </c:cat>
          <c:val>
            <c:numRef>
              <c:f>'West Wallsend'!$B$22:$B$25</c:f>
              <c:numCache>
                <c:formatCode>General</c:formatCode>
                <c:ptCount val="4"/>
                <c:pt idx="0">
                  <c:v>9.6999999999999993</c:v>
                </c:pt>
                <c:pt idx="1">
                  <c:v>33.9</c:v>
                </c:pt>
                <c:pt idx="2">
                  <c:v>45.4</c:v>
                </c:pt>
                <c:pt idx="3">
                  <c:v>7.5</c:v>
                </c:pt>
              </c:numCache>
            </c:numRef>
          </c:val>
          <c:extLst>
            <c:ext xmlns:c16="http://schemas.microsoft.com/office/drawing/2014/chart" uri="{C3380CC4-5D6E-409C-BE32-E72D297353CC}">
              <c16:uniqueId val="{00000000-3702-4BD9-B906-16E4F7FDBBB4}"/>
            </c:ext>
          </c:extLst>
        </c:ser>
        <c:ser>
          <c:idx val="1"/>
          <c:order val="1"/>
          <c:tx>
            <c:strRef>
              <c:f>'West Wallsend'!$C$21</c:f>
              <c:strCache>
                <c:ptCount val="1"/>
                <c:pt idx="0">
                  <c:v>2021</c:v>
                </c:pt>
              </c:strCache>
            </c:strRef>
          </c:tx>
          <c:spPr>
            <a:solidFill>
              <a:schemeClr val="accent2"/>
            </a:solidFill>
            <a:ln>
              <a:noFill/>
            </a:ln>
            <a:effectLst/>
          </c:spPr>
          <c:invertIfNegative val="0"/>
          <c:cat>
            <c:strRef>
              <c:f>'West Wallsend'!$A$22:$A$25</c:f>
              <c:strCache>
                <c:ptCount val="4"/>
                <c:pt idx="0">
                  <c:v>Bachelor Degree or above</c:v>
                </c:pt>
                <c:pt idx="1">
                  <c:v>TAFE </c:v>
                </c:pt>
                <c:pt idx="2">
                  <c:v>High School</c:v>
                </c:pt>
                <c:pt idx="3">
                  <c:v>Not Stated</c:v>
                </c:pt>
              </c:strCache>
            </c:strRef>
          </c:cat>
          <c:val>
            <c:numRef>
              <c:f>'West Wallsend'!$C$22:$C$25</c:f>
              <c:numCache>
                <c:formatCode>General</c:formatCode>
                <c:ptCount val="4"/>
                <c:pt idx="0">
                  <c:v>11.5</c:v>
                </c:pt>
                <c:pt idx="1">
                  <c:v>37.299999999999997</c:v>
                </c:pt>
                <c:pt idx="2">
                  <c:v>41</c:v>
                </c:pt>
                <c:pt idx="3">
                  <c:v>10.199999999999999</c:v>
                </c:pt>
              </c:numCache>
            </c:numRef>
          </c:val>
          <c:extLst>
            <c:ext xmlns:c16="http://schemas.microsoft.com/office/drawing/2014/chart" uri="{C3380CC4-5D6E-409C-BE32-E72D297353CC}">
              <c16:uniqueId val="{00000001-3702-4BD9-B906-16E4F7FDBBB4}"/>
            </c:ext>
          </c:extLst>
        </c:ser>
        <c:dLbls>
          <c:showLegendKey val="0"/>
          <c:showVal val="0"/>
          <c:showCatName val="0"/>
          <c:showSerName val="0"/>
          <c:showPercent val="0"/>
          <c:showBubbleSize val="0"/>
        </c:dLbls>
        <c:gapWidth val="182"/>
        <c:axId val="1252161152"/>
        <c:axId val="1252160672"/>
      </c:barChart>
      <c:catAx>
        <c:axId val="125216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52160672"/>
        <c:crosses val="autoZero"/>
        <c:auto val="1"/>
        <c:lblAlgn val="ctr"/>
        <c:lblOffset val="100"/>
        <c:noMultiLvlLbl val="0"/>
      </c:catAx>
      <c:valAx>
        <c:axId val="125216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Percentage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5216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Arial" panose="020B0604020202020204" pitchFamily="34" charset="0"/>
              </a:defRPr>
            </a:pPr>
            <a:r>
              <a:rPr lang="en-AU" sz="1050" b="1">
                <a:solidFill>
                  <a:sysClr val="windowText" lastClr="000000"/>
                </a:solidFill>
                <a:latin typeface="+mn-lt"/>
                <a:cs typeface="Arial" panose="020B0604020202020204" pitchFamily="34" charset="0"/>
              </a:rPr>
              <a:t>Community occupations</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Arial" panose="020B0604020202020204" pitchFamily="34" charset="0"/>
            </a:defRPr>
          </a:pPr>
          <a:endParaRPr lang="en-AU"/>
        </a:p>
      </c:txPr>
    </c:title>
    <c:autoTitleDeleted val="0"/>
    <c:plotArea>
      <c:layout/>
      <c:barChart>
        <c:barDir val="bar"/>
        <c:grouping val="clustered"/>
        <c:varyColors val="0"/>
        <c:ser>
          <c:idx val="0"/>
          <c:order val="0"/>
          <c:tx>
            <c:strRef>
              <c:f>'West Wallsend'!$B$7</c:f>
              <c:strCache>
                <c:ptCount val="1"/>
                <c:pt idx="0">
                  <c:v>2021</c:v>
                </c:pt>
              </c:strCache>
            </c:strRef>
          </c:tx>
          <c:spPr>
            <a:solidFill>
              <a:schemeClr val="accent1"/>
            </a:solidFill>
            <a:ln>
              <a:noFill/>
            </a:ln>
            <a:effectLst/>
          </c:spPr>
          <c:invertIfNegative val="0"/>
          <c:cat>
            <c:strRef>
              <c:f>'West Wallsend'!$A$8:$A$15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'West Wallsend'!$B$8:$B$15</c:f>
              <c:numCache>
                <c:formatCode>General</c:formatCode>
                <c:ptCount val="8"/>
                <c:pt idx="0">
                  <c:v>7.5</c:v>
                </c:pt>
                <c:pt idx="1">
                  <c:v>16.2</c:v>
                </c:pt>
                <c:pt idx="2">
                  <c:v>17.600000000000001</c:v>
                </c:pt>
                <c:pt idx="3">
                  <c:v>16</c:v>
                </c:pt>
                <c:pt idx="4">
                  <c:v>11.7</c:v>
                </c:pt>
                <c:pt idx="5">
                  <c:v>10.4</c:v>
                </c:pt>
                <c:pt idx="6">
                  <c:v>8.6</c:v>
                </c:pt>
                <c:pt idx="7">
                  <c:v>11</c:v>
                </c:pt>
              </c:numCache>
            </c:numRef>
          </c:val>
          <c:extLst>
            <c:ext xmlns:c16="http://schemas.microsoft.com/office/drawing/2014/chart" uri="{C3380CC4-5D6E-409C-BE32-E72D297353CC}">
              <c16:uniqueId val="{00000000-71D8-4695-8DF2-A0C1FCAB5BF0}"/>
            </c:ext>
          </c:extLst>
        </c:ser>
        <c:ser>
          <c:idx val="1"/>
          <c:order val="1"/>
          <c:tx>
            <c:strRef>
              <c:f>'West Wallsend'!$C$7</c:f>
              <c:strCache>
                <c:ptCount val="1"/>
                <c:pt idx="0">
                  <c:v>2011</c:v>
                </c:pt>
              </c:strCache>
            </c:strRef>
          </c:tx>
          <c:spPr>
            <a:solidFill>
              <a:schemeClr val="accent2"/>
            </a:solidFill>
            <a:ln>
              <a:noFill/>
            </a:ln>
            <a:effectLst/>
          </c:spPr>
          <c:invertIfNegative val="0"/>
          <c:cat>
            <c:strRef>
              <c:f>'West Wallsend'!$A$8:$A$15</c:f>
              <c:strCache>
                <c:ptCount val="8"/>
                <c:pt idx="0">
                  <c:v>Managers</c:v>
                </c:pt>
                <c:pt idx="1">
                  <c:v>Professionals</c:v>
                </c:pt>
                <c:pt idx="2">
                  <c:v>Technicians and Trades Workers</c:v>
                </c:pt>
                <c:pt idx="3">
                  <c:v>Community and Personal Service Workers</c:v>
                </c:pt>
                <c:pt idx="4">
                  <c:v>Clerical and Administrative Workers</c:v>
                </c:pt>
                <c:pt idx="5">
                  <c:v>Sales Workers</c:v>
                </c:pt>
                <c:pt idx="6">
                  <c:v>Machinery Operators and Drivers</c:v>
                </c:pt>
                <c:pt idx="7">
                  <c:v>Labourers</c:v>
                </c:pt>
              </c:strCache>
            </c:strRef>
          </c:cat>
          <c:val>
            <c:numRef>
              <c:f>'West Wallsend'!$C$8:$C$15</c:f>
              <c:numCache>
                <c:formatCode>General</c:formatCode>
                <c:ptCount val="8"/>
                <c:pt idx="0">
                  <c:v>6.2</c:v>
                </c:pt>
                <c:pt idx="1">
                  <c:v>12.1</c:v>
                </c:pt>
                <c:pt idx="2">
                  <c:v>20.2</c:v>
                </c:pt>
                <c:pt idx="3">
                  <c:v>10.7</c:v>
                </c:pt>
                <c:pt idx="4">
                  <c:v>12.4</c:v>
                </c:pt>
                <c:pt idx="5">
                  <c:v>10.3</c:v>
                </c:pt>
                <c:pt idx="6">
                  <c:v>11</c:v>
                </c:pt>
                <c:pt idx="7">
                  <c:v>15.4</c:v>
                </c:pt>
              </c:numCache>
            </c:numRef>
          </c:val>
          <c:extLst>
            <c:ext xmlns:c16="http://schemas.microsoft.com/office/drawing/2014/chart" uri="{C3380CC4-5D6E-409C-BE32-E72D297353CC}">
              <c16:uniqueId val="{00000001-71D8-4695-8DF2-A0C1FCAB5BF0}"/>
            </c:ext>
          </c:extLst>
        </c:ser>
        <c:dLbls>
          <c:showLegendKey val="0"/>
          <c:showVal val="0"/>
          <c:showCatName val="0"/>
          <c:showSerName val="0"/>
          <c:showPercent val="0"/>
          <c:showBubbleSize val="0"/>
        </c:dLbls>
        <c:gapWidth val="182"/>
        <c:axId val="1958049488"/>
        <c:axId val="1958049968"/>
      </c:barChart>
      <c:catAx>
        <c:axId val="1958049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58049968"/>
        <c:crosses val="autoZero"/>
        <c:auto val="1"/>
        <c:lblAlgn val="ctr"/>
        <c:lblOffset val="100"/>
        <c:noMultiLvlLbl val="0"/>
      </c:catAx>
      <c:valAx>
        <c:axId val="1958049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Percentage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5804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Highest Level of Educational Attainment</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Wyong!$B$20</c:f>
              <c:strCache>
                <c:ptCount val="1"/>
                <c:pt idx="0">
                  <c:v>2016</c:v>
                </c:pt>
              </c:strCache>
            </c:strRef>
          </c:tx>
          <c:spPr>
            <a:solidFill>
              <a:schemeClr val="accent1"/>
            </a:solidFill>
            <a:ln>
              <a:noFill/>
            </a:ln>
            <a:effectLst/>
          </c:spPr>
          <c:invertIfNegative val="0"/>
          <c:cat>
            <c:strRef>
              <c:f>Wyong!$A$21:$A$24</c:f>
              <c:strCache>
                <c:ptCount val="4"/>
                <c:pt idx="0">
                  <c:v>Bachelor Degree and above</c:v>
                </c:pt>
                <c:pt idx="1">
                  <c:v>TAFE </c:v>
                </c:pt>
                <c:pt idx="2">
                  <c:v>High School</c:v>
                </c:pt>
                <c:pt idx="3">
                  <c:v>Not Stated</c:v>
                </c:pt>
              </c:strCache>
            </c:strRef>
          </c:cat>
          <c:val>
            <c:numRef>
              <c:f>Wyong!$B$21:$B$24</c:f>
              <c:numCache>
                <c:formatCode>General</c:formatCode>
                <c:ptCount val="4"/>
                <c:pt idx="0">
                  <c:v>9.6999999999999993</c:v>
                </c:pt>
                <c:pt idx="1">
                  <c:v>25.9</c:v>
                </c:pt>
                <c:pt idx="2">
                  <c:v>47</c:v>
                </c:pt>
                <c:pt idx="3">
                  <c:v>14.9</c:v>
                </c:pt>
              </c:numCache>
            </c:numRef>
          </c:val>
          <c:extLst>
            <c:ext xmlns:c16="http://schemas.microsoft.com/office/drawing/2014/chart" uri="{C3380CC4-5D6E-409C-BE32-E72D297353CC}">
              <c16:uniqueId val="{00000000-8B62-4964-9C41-FF5302DB0173}"/>
            </c:ext>
          </c:extLst>
        </c:ser>
        <c:ser>
          <c:idx val="1"/>
          <c:order val="1"/>
          <c:tx>
            <c:strRef>
              <c:f>Wyong!$C$20</c:f>
              <c:strCache>
                <c:ptCount val="1"/>
                <c:pt idx="0">
                  <c:v>2021</c:v>
                </c:pt>
              </c:strCache>
            </c:strRef>
          </c:tx>
          <c:spPr>
            <a:solidFill>
              <a:schemeClr val="accent2"/>
            </a:solidFill>
            <a:ln>
              <a:noFill/>
            </a:ln>
            <a:effectLst/>
          </c:spPr>
          <c:invertIfNegative val="0"/>
          <c:cat>
            <c:strRef>
              <c:f>Wyong!$A$21:$A$24</c:f>
              <c:strCache>
                <c:ptCount val="4"/>
                <c:pt idx="0">
                  <c:v>Bachelor Degree and above</c:v>
                </c:pt>
                <c:pt idx="1">
                  <c:v>TAFE </c:v>
                </c:pt>
                <c:pt idx="2">
                  <c:v>High School</c:v>
                </c:pt>
                <c:pt idx="3">
                  <c:v>Not Stated</c:v>
                </c:pt>
              </c:strCache>
            </c:strRef>
          </c:cat>
          <c:val>
            <c:numRef>
              <c:f>Wyong!$C$21:$C$24</c:f>
              <c:numCache>
                <c:formatCode>General</c:formatCode>
                <c:ptCount val="4"/>
                <c:pt idx="0">
                  <c:v>12.7</c:v>
                </c:pt>
                <c:pt idx="1">
                  <c:v>26.5</c:v>
                </c:pt>
                <c:pt idx="2">
                  <c:v>46.1</c:v>
                </c:pt>
                <c:pt idx="3">
                  <c:v>14.6</c:v>
                </c:pt>
              </c:numCache>
            </c:numRef>
          </c:val>
          <c:extLst>
            <c:ext xmlns:c16="http://schemas.microsoft.com/office/drawing/2014/chart" uri="{C3380CC4-5D6E-409C-BE32-E72D297353CC}">
              <c16:uniqueId val="{00000001-8B62-4964-9C41-FF5302DB0173}"/>
            </c:ext>
          </c:extLst>
        </c:ser>
        <c:dLbls>
          <c:showLegendKey val="0"/>
          <c:showVal val="0"/>
          <c:showCatName val="0"/>
          <c:showSerName val="0"/>
          <c:showPercent val="0"/>
          <c:showBubbleSize val="0"/>
        </c:dLbls>
        <c:gapWidth val="219"/>
        <c:overlap val="-27"/>
        <c:axId val="1410372384"/>
        <c:axId val="1410374304"/>
      </c:barChart>
      <c:catAx>
        <c:axId val="141037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10374304"/>
        <c:crosses val="autoZero"/>
        <c:auto val="1"/>
        <c:lblAlgn val="ctr"/>
        <c:lblOffset val="100"/>
        <c:noMultiLvlLbl val="0"/>
      </c:catAx>
      <c:valAx>
        <c:axId val="141037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Percentage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1037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f8ff19-cf40-44c8-8baf-aa54cdd9cc57">
      <Terms xmlns="http://schemas.microsoft.com/office/infopath/2007/PartnerControls"/>
    </lcf76f155ced4ddcb4097134ff3c332f>
    <TaxCatchAll xmlns="640a3e49-97ed-4d34-840b-1eb9a2d9bc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3A15406ED683419E43B966310945AC" ma:contentTypeVersion="14" ma:contentTypeDescription="Create a new document." ma:contentTypeScope="" ma:versionID="767a605e58299a391c510864ff4db5ac">
  <xsd:schema xmlns:xsd="http://www.w3.org/2001/XMLSchema" xmlns:xs="http://www.w3.org/2001/XMLSchema" xmlns:p="http://schemas.microsoft.com/office/2006/metadata/properties" xmlns:ns2="59f8ff19-cf40-44c8-8baf-aa54cdd9cc57" xmlns:ns3="640a3e49-97ed-4d34-840b-1eb9a2d9bc65" targetNamespace="http://schemas.microsoft.com/office/2006/metadata/properties" ma:root="true" ma:fieldsID="24dad5d19187fe2f99c0e46fbc68c64a" ns2:_="" ns3:_="">
    <xsd:import namespace="59f8ff19-cf40-44c8-8baf-aa54cdd9cc57"/>
    <xsd:import namespace="640a3e49-97ed-4d34-840b-1eb9a2d9bc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8ff19-cf40-44c8-8baf-aa54cdd9c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0a3e49-97ed-4d34-840b-1eb9a2d9bc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c094db3-b41b-4b67-ab36-740c4a3f2e4d}" ma:internalName="TaxCatchAll" ma:showField="CatchAllData" ma:web="640a3e49-97ed-4d34-840b-1eb9a2d9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50710-7100-4CED-8D53-ABE07CE05466}">
  <ds:schemaRefs>
    <ds:schemaRef ds:uri="http://schemas.microsoft.com/sharepoint/v3/contenttype/forms"/>
  </ds:schemaRefs>
</ds:datastoreItem>
</file>

<file path=customXml/itemProps2.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3.xml><?xml version="1.0" encoding="utf-8"?>
<ds:datastoreItem xmlns:ds="http://schemas.openxmlformats.org/officeDocument/2006/customXml" ds:itemID="{2E873DCB-01C0-4ED3-8B98-25E1615324D2}">
  <ds:schemaRefs>
    <ds:schemaRef ds:uri="http://schemas.microsoft.com/office/2006/metadata/properties"/>
    <ds:schemaRef ds:uri="http://schemas.microsoft.com/office/infopath/2007/PartnerControls"/>
    <ds:schemaRef ds:uri="59f8ff19-cf40-44c8-8baf-aa54cdd9cc57"/>
    <ds:schemaRef ds:uri="640a3e49-97ed-4d34-840b-1eb9a2d9bc65"/>
  </ds:schemaRefs>
</ds:datastoreItem>
</file>

<file path=customXml/itemProps4.xml><?xml version="1.0" encoding="utf-8"?>
<ds:datastoreItem xmlns:ds="http://schemas.openxmlformats.org/officeDocument/2006/customXml" ds:itemID="{572EFD2E-9B52-4B19-AB23-72B10E65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8ff19-cf40-44c8-8baf-aa54cdd9cc57"/>
    <ds:schemaRef ds:uri="640a3e49-97ed-4d34-840b-1eb9a2d9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ACSES Small Grants Report Template (1)</Template>
  <TotalTime>255</TotalTime>
  <Pages>89</Pages>
  <Words>30528</Words>
  <Characters>231746</Characters>
  <Application>Microsoft Office Word</Application>
  <DocSecurity>0</DocSecurity>
  <Lines>4138</Lines>
  <Paragraphs>1516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260758</CharactersWithSpaces>
  <SharedDoc>false</SharedDoc>
  <HLinks>
    <vt:vector size="1350" baseType="variant">
      <vt:variant>
        <vt:i4>5701632</vt:i4>
      </vt:variant>
      <vt:variant>
        <vt:i4>1064</vt:i4>
      </vt:variant>
      <vt:variant>
        <vt:i4>0</vt:i4>
      </vt:variant>
      <vt:variant>
        <vt:i4>5</vt:i4>
      </vt:variant>
      <vt:variant>
        <vt:lpwstr>https://www.newcastle.edu.au/research/centre/teachers-and-teaching/research-projects</vt:lpwstr>
      </vt:variant>
      <vt:variant>
        <vt:lpwstr/>
      </vt:variant>
      <vt:variant>
        <vt:i4>3080226</vt:i4>
      </vt:variant>
      <vt:variant>
        <vt:i4>1061</vt:i4>
      </vt:variant>
      <vt:variant>
        <vt:i4>0</vt:i4>
      </vt:variant>
      <vt:variant>
        <vt:i4>5</vt:i4>
      </vt:variant>
      <vt:variant>
        <vt:lpwstr>http://doi.org/10.1080/00131857.2013.839376</vt:lpwstr>
      </vt:variant>
      <vt:variant>
        <vt:lpwstr/>
      </vt:variant>
      <vt:variant>
        <vt:i4>5111813</vt:i4>
      </vt:variant>
      <vt:variant>
        <vt:i4>1058</vt:i4>
      </vt:variant>
      <vt:variant>
        <vt:i4>0</vt:i4>
      </vt:variant>
      <vt:variant>
        <vt:i4>5</vt:i4>
      </vt:variant>
      <vt:variant>
        <vt:lpwstr>https://doi.org/10.1016/j.jsp.2021.07.004</vt:lpwstr>
      </vt:variant>
      <vt:variant>
        <vt:lpwstr/>
      </vt:variant>
      <vt:variant>
        <vt:i4>4390922</vt:i4>
      </vt:variant>
      <vt:variant>
        <vt:i4>1055</vt:i4>
      </vt:variant>
      <vt:variant>
        <vt:i4>0</vt:i4>
      </vt:variant>
      <vt:variant>
        <vt:i4>5</vt:i4>
      </vt:variant>
      <vt:variant>
        <vt:lpwstr>https://journals.charlotte.edu/urj/article/view/1072</vt:lpwstr>
      </vt:variant>
      <vt:variant>
        <vt:lpwstr/>
      </vt:variant>
      <vt:variant>
        <vt:i4>2687025</vt:i4>
      </vt:variant>
      <vt:variant>
        <vt:i4>1052</vt:i4>
      </vt:variant>
      <vt:variant>
        <vt:i4>0</vt:i4>
      </vt:variant>
      <vt:variant>
        <vt:i4>5</vt:i4>
      </vt:variant>
      <vt:variant>
        <vt:lpwstr>https://www.theguardian.com/politics/2012/oct/10/david-cameron-leader-aspiration-nation</vt:lpwstr>
      </vt:variant>
      <vt:variant>
        <vt:lpwstr/>
      </vt:variant>
      <vt:variant>
        <vt:i4>1507409</vt:i4>
      </vt:variant>
      <vt:variant>
        <vt:i4>1049</vt:i4>
      </vt:variant>
      <vt:variant>
        <vt:i4>0</vt:i4>
      </vt:variant>
      <vt:variant>
        <vt:i4>5</vt:i4>
      </vt:variant>
      <vt:variant>
        <vt:lpwstr>https://doi.org/10.1080/17508480903009566</vt:lpwstr>
      </vt:variant>
      <vt:variant>
        <vt:lpwstr/>
      </vt:variant>
      <vt:variant>
        <vt:i4>655370</vt:i4>
      </vt:variant>
      <vt:variant>
        <vt:i4>1046</vt:i4>
      </vt:variant>
      <vt:variant>
        <vt:i4>0</vt:i4>
      </vt:variant>
      <vt:variant>
        <vt:i4>5</vt:i4>
      </vt:variant>
      <vt:variant>
        <vt:lpwstr>https://www.emerald.com/insight/content/doi/10.1108/EOR-13-2023-0016/full/pdf</vt:lpwstr>
      </vt:variant>
      <vt:variant>
        <vt:lpwstr/>
      </vt:variant>
      <vt:variant>
        <vt:i4>7340064</vt:i4>
      </vt:variant>
      <vt:variant>
        <vt:i4>1043</vt:i4>
      </vt:variant>
      <vt:variant>
        <vt:i4>0</vt:i4>
      </vt:variant>
      <vt:variant>
        <vt:i4>5</vt:i4>
      </vt:variant>
      <vt:variant>
        <vt:lpwstr>https://www.ncver.edu.au/__data/assets/file/0026/9908/geographical-and-place-dimensions-2776.pdf</vt:lpwstr>
      </vt:variant>
      <vt:variant>
        <vt:lpwstr/>
      </vt:variant>
      <vt:variant>
        <vt:i4>655446</vt:i4>
      </vt:variant>
      <vt:variant>
        <vt:i4>1040</vt:i4>
      </vt:variant>
      <vt:variant>
        <vt:i4>0</vt:i4>
      </vt:variant>
      <vt:variant>
        <vt:i4>5</vt:i4>
      </vt:variant>
      <vt:variant>
        <vt:lpwstr>https://research.monash.edu/en/publications/life-disrupted-young-people-education-and-employment-before-and-a</vt:lpwstr>
      </vt:variant>
      <vt:variant>
        <vt:lpwstr/>
      </vt:variant>
      <vt:variant>
        <vt:i4>5832725</vt:i4>
      </vt:variant>
      <vt:variant>
        <vt:i4>1037</vt:i4>
      </vt:variant>
      <vt:variant>
        <vt:i4>0</vt:i4>
      </vt:variant>
      <vt:variant>
        <vt:i4>5</vt:i4>
      </vt:variant>
      <vt:variant>
        <vt:lpwstr>https://www.voced.edu.au/content/ngv%3A84570</vt:lpwstr>
      </vt:variant>
      <vt:variant>
        <vt:lpwstr/>
      </vt:variant>
      <vt:variant>
        <vt:i4>1048593</vt:i4>
      </vt:variant>
      <vt:variant>
        <vt:i4>1034</vt:i4>
      </vt:variant>
      <vt:variant>
        <vt:i4>0</vt:i4>
      </vt:variant>
      <vt:variant>
        <vt:i4>5</vt:i4>
      </vt:variant>
      <vt:variant>
        <vt:lpwstr>http://doi.org/10.1080/25741292.2020.1863560</vt:lpwstr>
      </vt:variant>
      <vt:variant>
        <vt:lpwstr/>
      </vt:variant>
      <vt:variant>
        <vt:i4>1769582</vt:i4>
      </vt:variant>
      <vt:variant>
        <vt:i4>1031</vt:i4>
      </vt:variant>
      <vt:variant>
        <vt:i4>0</vt:i4>
      </vt:variant>
      <vt:variant>
        <vt:i4>5</vt:i4>
      </vt:variant>
      <vt:variant>
        <vt:lpwstr>https://ltr.edu.au/resources/WIL_in_universities_-_final_report_April_2019.pdf</vt:lpwstr>
      </vt:variant>
      <vt:variant>
        <vt:lpwstr/>
      </vt:variant>
      <vt:variant>
        <vt:i4>7929954</vt:i4>
      </vt:variant>
      <vt:variant>
        <vt:i4>1028</vt:i4>
      </vt:variant>
      <vt:variant>
        <vt:i4>0</vt:i4>
      </vt:variant>
      <vt:variant>
        <vt:i4>5</vt:i4>
      </vt:variant>
      <vt:variant>
        <vt:lpwstr>https://universitiesaustralia.edu.au/policy-submissions/teaching-learning-funding/student-finances-survey/</vt:lpwstr>
      </vt:variant>
      <vt:variant>
        <vt:lpwstr/>
      </vt:variant>
      <vt:variant>
        <vt:i4>3801128</vt:i4>
      </vt:variant>
      <vt:variant>
        <vt:i4>1025</vt:i4>
      </vt:variant>
      <vt:variant>
        <vt:i4>0</vt:i4>
      </vt:variant>
      <vt:variant>
        <vt:i4>5</vt:i4>
      </vt:variant>
      <vt:variant>
        <vt:lpwstr>https://theconversation.com/gen-z-seeks-safety-above-all-else-as-the-generation-grows-up-amid-constant-crisis-and-existential-threat-245455</vt:lpwstr>
      </vt:variant>
      <vt:variant>
        <vt:lpwstr/>
      </vt:variant>
      <vt:variant>
        <vt:i4>4718689</vt:i4>
      </vt:variant>
      <vt:variant>
        <vt:i4>1022</vt:i4>
      </vt:variant>
      <vt:variant>
        <vt:i4>0</vt:i4>
      </vt:variant>
      <vt:variant>
        <vt:i4>5</vt:i4>
      </vt:variant>
      <vt:variant>
        <vt:lpwstr>https://doi.org/10.1007/978-3-031-12224-8_7</vt:lpwstr>
      </vt:variant>
      <vt:variant>
        <vt:lpwstr/>
      </vt:variant>
      <vt:variant>
        <vt:i4>2031646</vt:i4>
      </vt:variant>
      <vt:variant>
        <vt:i4>1019</vt:i4>
      </vt:variant>
      <vt:variant>
        <vt:i4>0</vt:i4>
      </vt:variant>
      <vt:variant>
        <vt:i4>5</vt:i4>
      </vt:variant>
      <vt:variant>
        <vt:lpwstr>https://www.thesmithfamily.com.au/-/media/files/research/reports/2022-pathways-engagement-transitions-report.pdf</vt:lpwstr>
      </vt:variant>
      <vt:variant>
        <vt:lpwstr/>
      </vt:variant>
      <vt:variant>
        <vt:i4>3866729</vt:i4>
      </vt:variant>
      <vt:variant>
        <vt:i4>1016</vt:i4>
      </vt:variant>
      <vt:variant>
        <vt:i4>0</vt:i4>
      </vt:variant>
      <vt:variant>
        <vt:i4>5</vt:i4>
      </vt:variant>
      <vt:variant>
        <vt:lpwstr>https://doi.org/10.53761/1.20.6.16</vt:lpwstr>
      </vt:variant>
      <vt:variant>
        <vt:lpwstr/>
      </vt:variant>
      <vt:variant>
        <vt:i4>524357</vt:i4>
      </vt:variant>
      <vt:variant>
        <vt:i4>1013</vt:i4>
      </vt:variant>
      <vt:variant>
        <vt:i4>0</vt:i4>
      </vt:variant>
      <vt:variant>
        <vt:i4>5</vt:i4>
      </vt:variant>
      <vt:variant>
        <vt:lpwstr>https://doi.org/10.1080/14767724.2021.1904212</vt:lpwstr>
      </vt:variant>
      <vt:variant>
        <vt:lpwstr/>
      </vt:variant>
      <vt:variant>
        <vt:i4>262217</vt:i4>
      </vt:variant>
      <vt:variant>
        <vt:i4>1010</vt:i4>
      </vt:variant>
      <vt:variant>
        <vt:i4>0</vt:i4>
      </vt:variant>
      <vt:variant>
        <vt:i4>5</vt:i4>
      </vt:variant>
      <vt:variant>
        <vt:lpwstr>https://doi.org/10.1080/03054985.2022.2128321</vt:lpwstr>
      </vt:variant>
      <vt:variant>
        <vt:lpwstr/>
      </vt:variant>
      <vt:variant>
        <vt:i4>7340134</vt:i4>
      </vt:variant>
      <vt:variant>
        <vt:i4>1007</vt:i4>
      </vt:variant>
      <vt:variant>
        <vt:i4>0</vt:i4>
      </vt:variant>
      <vt:variant>
        <vt:i4>5</vt:i4>
      </vt:variant>
      <vt:variant>
        <vt:lpwstr>https://theconversation.com/forget-about-a-job-for-life-todays-workers-need-to-prepare-for-many-jobs-across-multiple-industries-222753</vt:lpwstr>
      </vt:variant>
      <vt:variant>
        <vt:lpwstr/>
      </vt:variant>
      <vt:variant>
        <vt:i4>6094928</vt:i4>
      </vt:variant>
      <vt:variant>
        <vt:i4>1004</vt:i4>
      </vt:variant>
      <vt:variant>
        <vt:i4>0</vt:i4>
      </vt:variant>
      <vt:variant>
        <vt:i4>5</vt:i4>
      </vt:variant>
      <vt:variant>
        <vt:lpwstr>https://ebookcentral.proquest.com/lib/newcastle/detail.action?pq-origsite=primo&amp;docID=743724</vt:lpwstr>
      </vt:variant>
      <vt:variant>
        <vt:lpwstr/>
      </vt:variant>
      <vt:variant>
        <vt:i4>2359402</vt:i4>
      </vt:variant>
      <vt:variant>
        <vt:i4>1001</vt:i4>
      </vt:variant>
      <vt:variant>
        <vt:i4>0</vt:i4>
      </vt:variant>
      <vt:variant>
        <vt:i4>5</vt:i4>
      </vt:variant>
      <vt:variant>
        <vt:lpwstr>https://www.servicesaustralia.gov.au/reviewable-independence-for-youth-allowance-for-students-and-australian-apprentices?context=43916</vt:lpwstr>
      </vt:variant>
      <vt:variant>
        <vt:lpwstr/>
      </vt:variant>
      <vt:variant>
        <vt:i4>131076</vt:i4>
      </vt:variant>
      <vt:variant>
        <vt:i4>998</vt:i4>
      </vt:variant>
      <vt:variant>
        <vt:i4>0</vt:i4>
      </vt:variant>
      <vt:variant>
        <vt:i4>5</vt:i4>
      </vt:variant>
      <vt:variant>
        <vt:lpwstr>http://doi.org/10.4324/9781003318255</vt:lpwstr>
      </vt:variant>
      <vt:variant>
        <vt:lpwstr/>
      </vt:variant>
      <vt:variant>
        <vt:i4>2424934</vt:i4>
      </vt:variant>
      <vt:variant>
        <vt:i4>995</vt:i4>
      </vt:variant>
      <vt:variant>
        <vt:i4>0</vt:i4>
      </vt:variant>
      <vt:variant>
        <vt:i4>5</vt:i4>
      </vt:variant>
      <vt:variant>
        <vt:lpwstr>http://doi.org/10.1080/0305764X.2010.549457</vt:lpwstr>
      </vt:variant>
      <vt:variant>
        <vt:lpwstr/>
      </vt:variant>
      <vt:variant>
        <vt:i4>2687010</vt:i4>
      </vt:variant>
      <vt:variant>
        <vt:i4>992</vt:i4>
      </vt:variant>
      <vt:variant>
        <vt:i4>0</vt:i4>
      </vt:variant>
      <vt:variant>
        <vt:i4>5</vt:i4>
      </vt:variant>
      <vt:variant>
        <vt:lpwstr>https://www.theguardian.com/commentisfree/2024/feb/26/urgent-higher-education-reform-is-needed-to-fix-a-broken-system-and-secure-australias-future</vt:lpwstr>
      </vt:variant>
      <vt:variant>
        <vt:lpwstr>comments</vt:lpwstr>
      </vt:variant>
      <vt:variant>
        <vt:i4>6029380</vt:i4>
      </vt:variant>
      <vt:variant>
        <vt:i4>989</vt:i4>
      </vt:variant>
      <vt:variant>
        <vt:i4>0</vt:i4>
      </vt:variant>
      <vt:variant>
        <vt:i4>5</vt:i4>
      </vt:variant>
      <vt:variant>
        <vt:lpwstr>https://doi.org/10.1016/j.copsyc.2023.101657</vt:lpwstr>
      </vt:variant>
      <vt:variant>
        <vt:lpwstr/>
      </vt:variant>
      <vt:variant>
        <vt:i4>4849687</vt:i4>
      </vt:variant>
      <vt:variant>
        <vt:i4>986</vt:i4>
      </vt:variant>
      <vt:variant>
        <vt:i4>0</vt:i4>
      </vt:variant>
      <vt:variant>
        <vt:i4>5</vt:i4>
      </vt:variant>
      <vt:variant>
        <vt:lpwstr>http://doi.org/10.1027/2151-2604/a000530</vt:lpwstr>
      </vt:variant>
      <vt:variant>
        <vt:lpwstr/>
      </vt:variant>
      <vt:variant>
        <vt:i4>720966</vt:i4>
      </vt:variant>
      <vt:variant>
        <vt:i4>983</vt:i4>
      </vt:variant>
      <vt:variant>
        <vt:i4>0</vt:i4>
      </vt:variant>
      <vt:variant>
        <vt:i4>5</vt:i4>
      </vt:variant>
      <vt:variant>
        <vt:lpwstr>https://doi.org/10.1080/23322969.2020.1835529</vt:lpwstr>
      </vt:variant>
      <vt:variant>
        <vt:lpwstr/>
      </vt:variant>
      <vt:variant>
        <vt:i4>2031617</vt:i4>
      </vt:variant>
      <vt:variant>
        <vt:i4>980</vt:i4>
      </vt:variant>
      <vt:variant>
        <vt:i4>0</vt:i4>
      </vt:variant>
      <vt:variant>
        <vt:i4>5</vt:i4>
      </vt:variant>
      <vt:variant>
        <vt:lpwstr>https://www.timeshighereducation.com/news/nine-10-australasian-students-juggling-study-paid-work</vt:lpwstr>
      </vt:variant>
      <vt:variant>
        <vt:lpwstr/>
      </vt:variant>
      <vt:variant>
        <vt:i4>4063354</vt:i4>
      </vt:variant>
      <vt:variant>
        <vt:i4>977</vt:i4>
      </vt:variant>
      <vt:variant>
        <vt:i4>0</vt:i4>
      </vt:variant>
      <vt:variant>
        <vt:i4>5</vt:i4>
      </vt:variant>
      <vt:variant>
        <vt:lpwstr>https://doi.org/10.1111/1471-3802.12066</vt:lpwstr>
      </vt:variant>
      <vt:variant>
        <vt:lpwstr/>
      </vt:variant>
      <vt:variant>
        <vt:i4>2162805</vt:i4>
      </vt:variant>
      <vt:variant>
        <vt:i4>974</vt:i4>
      </vt:variant>
      <vt:variant>
        <vt:i4>0</vt:i4>
      </vt:variant>
      <vt:variant>
        <vt:i4>5</vt:i4>
      </vt:variant>
      <vt:variant>
        <vt:lpwstr>https://doi.org/10.1111/ejed.12438</vt:lpwstr>
      </vt:variant>
      <vt:variant>
        <vt:lpwstr/>
      </vt:variant>
      <vt:variant>
        <vt:i4>786508</vt:i4>
      </vt:variant>
      <vt:variant>
        <vt:i4>971</vt:i4>
      </vt:variant>
      <vt:variant>
        <vt:i4>0</vt:i4>
      </vt:variant>
      <vt:variant>
        <vt:i4>5</vt:i4>
      </vt:variant>
      <vt:variant>
        <vt:lpwstr>https://doi.org/10.1080/23311886.2020.1722307</vt:lpwstr>
      </vt:variant>
      <vt:variant>
        <vt:lpwstr/>
      </vt:variant>
      <vt:variant>
        <vt:i4>1179721</vt:i4>
      </vt:variant>
      <vt:variant>
        <vt:i4>968</vt:i4>
      </vt:variant>
      <vt:variant>
        <vt:i4>0</vt:i4>
      </vt:variant>
      <vt:variant>
        <vt:i4>5</vt:i4>
      </vt:variant>
      <vt:variant>
        <vt:lpwstr>http://doi.org/10.1111/eip.13374</vt:lpwstr>
      </vt:variant>
      <vt:variant>
        <vt:lpwstr/>
      </vt:variant>
      <vt:variant>
        <vt:i4>1572946</vt:i4>
      </vt:variant>
      <vt:variant>
        <vt:i4>965</vt:i4>
      </vt:variant>
      <vt:variant>
        <vt:i4>0</vt:i4>
      </vt:variant>
      <vt:variant>
        <vt:i4>5</vt:i4>
      </vt:variant>
      <vt:variant>
        <vt:lpwstr>https://doi.org/10.1177/13607804211042905</vt:lpwstr>
      </vt:variant>
      <vt:variant>
        <vt:lpwstr/>
      </vt:variant>
      <vt:variant>
        <vt:i4>131139</vt:i4>
      </vt:variant>
      <vt:variant>
        <vt:i4>962</vt:i4>
      </vt:variant>
      <vt:variant>
        <vt:i4>0</vt:i4>
      </vt:variant>
      <vt:variant>
        <vt:i4>5</vt:i4>
      </vt:variant>
      <vt:variant>
        <vt:lpwstr>https://doi.org/10.1080/00131911.2021.1923461</vt:lpwstr>
      </vt:variant>
      <vt:variant>
        <vt:lpwstr/>
      </vt:variant>
      <vt:variant>
        <vt:i4>5111879</vt:i4>
      </vt:variant>
      <vt:variant>
        <vt:i4>959</vt:i4>
      </vt:variant>
      <vt:variant>
        <vt:i4>0</vt:i4>
      </vt:variant>
      <vt:variant>
        <vt:i4>5</vt:i4>
      </vt:variant>
      <vt:variant>
        <vt:lpwstr>https://doi.org/10.1016/j.polgeo.2009.10.009</vt:lpwstr>
      </vt:variant>
      <vt:variant>
        <vt:lpwstr/>
      </vt:variant>
      <vt:variant>
        <vt:i4>7274531</vt:i4>
      </vt:variant>
      <vt:variant>
        <vt:i4>956</vt:i4>
      </vt:variant>
      <vt:variant>
        <vt:i4>0</vt:i4>
      </vt:variant>
      <vt:variant>
        <vt:i4>5</vt:i4>
      </vt:variant>
      <vt:variant>
        <vt:lpwstr>https://www.acses.edu.au/publication/career-construction-future-work-and-the-perceived-risks-of-going-to-university-for-young-people-from-low-ses-backgrounds/</vt:lpwstr>
      </vt:variant>
      <vt:variant>
        <vt:lpwstr/>
      </vt:variant>
      <vt:variant>
        <vt:i4>7012477</vt:i4>
      </vt:variant>
      <vt:variant>
        <vt:i4>953</vt:i4>
      </vt:variant>
      <vt:variant>
        <vt:i4>0</vt:i4>
      </vt:variant>
      <vt:variant>
        <vt:i4>5</vt:i4>
      </vt:variant>
      <vt:variant>
        <vt:lpwstr>https://iier.org.au/iier24/prodonovich.pdf</vt:lpwstr>
      </vt:variant>
      <vt:variant>
        <vt:lpwstr/>
      </vt:variant>
      <vt:variant>
        <vt:i4>786507</vt:i4>
      </vt:variant>
      <vt:variant>
        <vt:i4>950</vt:i4>
      </vt:variant>
      <vt:variant>
        <vt:i4>0</vt:i4>
      </vt:variant>
      <vt:variant>
        <vt:i4>5</vt:i4>
      </vt:variant>
      <vt:variant>
        <vt:lpwstr>https://doi.org/10.1080/01425692.2017.1409101</vt:lpwstr>
      </vt:variant>
      <vt:variant>
        <vt:lpwstr/>
      </vt:variant>
      <vt:variant>
        <vt:i4>4587524</vt:i4>
      </vt:variant>
      <vt:variant>
        <vt:i4>947</vt:i4>
      </vt:variant>
      <vt:variant>
        <vt:i4>0</vt:i4>
      </vt:variant>
      <vt:variant>
        <vt:i4>5</vt:i4>
      </vt:variant>
      <vt:variant>
        <vt:lpwstr>https://doi.org/10.29333/iji.2024.17218a</vt:lpwstr>
      </vt:variant>
      <vt:variant>
        <vt:lpwstr/>
      </vt:variant>
      <vt:variant>
        <vt:i4>3014698</vt:i4>
      </vt:variant>
      <vt:variant>
        <vt:i4>944</vt:i4>
      </vt:variant>
      <vt:variant>
        <vt:i4>0</vt:i4>
      </vt:variant>
      <vt:variant>
        <vt:i4>5</vt:i4>
      </vt:variant>
      <vt:variant>
        <vt:lpwstr>https://www.ceda.com.au/researchandpolicies/research/population/how-unequal-insights-on-inequality</vt:lpwstr>
      </vt:variant>
      <vt:variant>
        <vt:lpwstr/>
      </vt:variant>
      <vt:variant>
        <vt:i4>524304</vt:i4>
      </vt:variant>
      <vt:variant>
        <vt:i4>941</vt:i4>
      </vt:variant>
      <vt:variant>
        <vt:i4>0</vt:i4>
      </vt:variant>
      <vt:variant>
        <vt:i4>5</vt:i4>
      </vt:variant>
      <vt:variant>
        <vt:lpwstr>https://doi.org/10.1108/S2055-364120200000032005</vt:lpwstr>
      </vt:variant>
      <vt:variant>
        <vt:lpwstr/>
      </vt:variant>
      <vt:variant>
        <vt:i4>7209028</vt:i4>
      </vt:variant>
      <vt:variant>
        <vt:i4>938</vt:i4>
      </vt:variant>
      <vt:variant>
        <vt:i4>0</vt:i4>
      </vt:variant>
      <vt:variant>
        <vt:i4>5</vt:i4>
      </vt:variant>
      <vt:variant>
        <vt:lpwstr>https://doi.org/10.1007/978-981-97-2332-4_16</vt:lpwstr>
      </vt:variant>
      <vt:variant>
        <vt:lpwstr/>
      </vt:variant>
      <vt:variant>
        <vt:i4>0</vt:i4>
      </vt:variant>
      <vt:variant>
        <vt:i4>935</vt:i4>
      </vt:variant>
      <vt:variant>
        <vt:i4>0</vt:i4>
      </vt:variant>
      <vt:variant>
        <vt:i4>5</vt:i4>
      </vt:variant>
      <vt:variant>
        <vt:lpwstr>http://doi.org/10.1177/09500170221091679</vt:lpwstr>
      </vt:variant>
      <vt:variant>
        <vt:lpwstr/>
      </vt:variant>
      <vt:variant>
        <vt:i4>7864434</vt:i4>
      </vt:variant>
      <vt:variant>
        <vt:i4>932</vt:i4>
      </vt:variant>
      <vt:variant>
        <vt:i4>0</vt:i4>
      </vt:variant>
      <vt:variant>
        <vt:i4>5</vt:i4>
      </vt:variant>
      <vt:variant>
        <vt:lpwstr>https://doi.org/10.1787/e13bef63-en</vt:lpwstr>
      </vt:variant>
      <vt:variant>
        <vt:lpwstr/>
      </vt:variant>
      <vt:variant>
        <vt:i4>4980803</vt:i4>
      </vt:variant>
      <vt:variant>
        <vt:i4>929</vt:i4>
      </vt:variant>
      <vt:variant>
        <vt:i4>0</vt:i4>
      </vt:variant>
      <vt:variant>
        <vt:i4>5</vt:i4>
      </vt:variant>
      <vt:variant>
        <vt:lpwstr>https://doi.org/10.1080/1360080X.2021.1933305</vt:lpwstr>
      </vt:variant>
      <vt:variant>
        <vt:lpwstr/>
      </vt:variant>
      <vt:variant>
        <vt:i4>1441884</vt:i4>
      </vt:variant>
      <vt:variant>
        <vt:i4>926</vt:i4>
      </vt:variant>
      <vt:variant>
        <vt:i4>0</vt:i4>
      </vt:variant>
      <vt:variant>
        <vt:i4>5</vt:i4>
      </vt:variant>
      <vt:variant>
        <vt:lpwstr>https://doi.org/10.1177/1035304621997891</vt:lpwstr>
      </vt:variant>
      <vt:variant>
        <vt:lpwstr/>
      </vt:variant>
      <vt:variant>
        <vt:i4>4784229</vt:i4>
      </vt:variant>
      <vt:variant>
        <vt:i4>923</vt:i4>
      </vt:variant>
      <vt:variant>
        <vt:i4>0</vt:i4>
      </vt:variant>
      <vt:variant>
        <vt:i4>5</vt:i4>
      </vt:variant>
      <vt:variant>
        <vt:lpwstr>https://andrewnorton.net.au/wp-content/uploads/2023/11/mapping-australian-higher-education-2023_update.pdf</vt:lpwstr>
      </vt:variant>
      <vt:variant>
        <vt:lpwstr/>
      </vt:variant>
      <vt:variant>
        <vt:i4>65561</vt:i4>
      </vt:variant>
      <vt:variant>
        <vt:i4>920</vt:i4>
      </vt:variant>
      <vt:variant>
        <vt:i4>0</vt:i4>
      </vt:variant>
      <vt:variant>
        <vt:i4>5</vt:i4>
      </vt:variant>
      <vt:variant>
        <vt:lpwstr>https://theconversation.com/3-flaws-in-job-ready-graduates-package-will-add-to-the-turmoil-in-australian-higher-education-147740</vt:lpwstr>
      </vt:variant>
      <vt:variant>
        <vt:lpwstr/>
      </vt:variant>
      <vt:variant>
        <vt:i4>1441793</vt:i4>
      </vt:variant>
      <vt:variant>
        <vt:i4>917</vt:i4>
      </vt:variant>
      <vt:variant>
        <vt:i4>0</vt:i4>
      </vt:variant>
      <vt:variant>
        <vt:i4>5</vt:i4>
      </vt:variant>
      <vt:variant>
        <vt:lpwstr>https://www.ncver.edu.au/__data/assets/pdf_file/0050/9689477/Total-VET-students-and-courses-2023_v3.pdf</vt:lpwstr>
      </vt:variant>
      <vt:variant>
        <vt:lpwstr/>
      </vt:variant>
      <vt:variant>
        <vt:i4>2490437</vt:i4>
      </vt:variant>
      <vt:variant>
        <vt:i4>914</vt:i4>
      </vt:variant>
      <vt:variant>
        <vt:i4>0</vt:i4>
      </vt:variant>
      <vt:variant>
        <vt:i4>5</vt:i4>
      </vt:variant>
      <vt:variant>
        <vt:lpwstr>https://assets.nationbuilder.com/nus/pages/936/attachments/original/1706528887/Manifesto_for_our_Future.pdf?1706528887</vt:lpwstr>
      </vt:variant>
      <vt:variant>
        <vt:lpwstr/>
      </vt:variant>
      <vt:variant>
        <vt:i4>2097185</vt:i4>
      </vt:variant>
      <vt:variant>
        <vt:i4>911</vt:i4>
      </vt:variant>
      <vt:variant>
        <vt:i4>0</vt:i4>
      </vt:variant>
      <vt:variant>
        <vt:i4>5</vt:i4>
      </vt:variant>
      <vt:variant>
        <vt:lpwstr>https://changetheage.asn.au/wp-content/uploads/2022/10/Locked-out-of-youth-allowance-student-poverty-and-centrelink-in-Australia-1.pdf</vt:lpwstr>
      </vt:variant>
      <vt:variant>
        <vt:lpwstr/>
      </vt:variant>
      <vt:variant>
        <vt:i4>720963</vt:i4>
      </vt:variant>
      <vt:variant>
        <vt:i4>908</vt:i4>
      </vt:variant>
      <vt:variant>
        <vt:i4>0</vt:i4>
      </vt:variant>
      <vt:variant>
        <vt:i4>5</vt:i4>
      </vt:variant>
      <vt:variant>
        <vt:lpwstr>https://doi.org/10.1080/02615479.2022.2161507</vt:lpwstr>
      </vt:variant>
      <vt:variant>
        <vt:lpwstr/>
      </vt:variant>
      <vt:variant>
        <vt:i4>1769548</vt:i4>
      </vt:variant>
      <vt:variant>
        <vt:i4>905</vt:i4>
      </vt:variant>
      <vt:variant>
        <vt:i4>0</vt:i4>
      </vt:variant>
      <vt:variant>
        <vt:i4>5</vt:i4>
      </vt:variant>
      <vt:variant>
        <vt:lpwstr>https://doi.org/10.1215/00703370-9961471</vt:lpwstr>
      </vt:variant>
      <vt:variant>
        <vt:lpwstr/>
      </vt:variant>
      <vt:variant>
        <vt:i4>6881336</vt:i4>
      </vt:variant>
      <vt:variant>
        <vt:i4>902</vt:i4>
      </vt:variant>
      <vt:variant>
        <vt:i4>0</vt:i4>
      </vt:variant>
      <vt:variant>
        <vt:i4>5</vt:i4>
      </vt:variant>
      <vt:variant>
        <vt:lpwstr>https://doi.org/10.1007/s12525-021-00496-x</vt:lpwstr>
      </vt:variant>
      <vt:variant>
        <vt:lpwstr/>
      </vt:variant>
      <vt:variant>
        <vt:i4>589846</vt:i4>
      </vt:variant>
      <vt:variant>
        <vt:i4>899</vt:i4>
      </vt:variant>
      <vt:variant>
        <vt:i4>0</vt:i4>
      </vt:variant>
      <vt:variant>
        <vt:i4>5</vt:i4>
      </vt:variant>
      <vt:variant>
        <vt:lpwstr>https://www.bloomsbury.com/au/celebrity-aspiration-and-contemporary-youth-9781474294249/</vt:lpwstr>
      </vt:variant>
      <vt:variant>
        <vt:lpwstr/>
      </vt:variant>
      <vt:variant>
        <vt:i4>4390982</vt:i4>
      </vt:variant>
      <vt:variant>
        <vt:i4>896</vt:i4>
      </vt:variant>
      <vt:variant>
        <vt:i4>0</vt:i4>
      </vt:variant>
      <vt:variant>
        <vt:i4>5</vt:i4>
      </vt:variant>
      <vt:variant>
        <vt:lpwstr>https://doi.org/10.1371/journal.pone.0296670</vt:lpwstr>
      </vt:variant>
      <vt:variant>
        <vt:lpwstr/>
      </vt:variant>
      <vt:variant>
        <vt:i4>2031698</vt:i4>
      </vt:variant>
      <vt:variant>
        <vt:i4>893</vt:i4>
      </vt:variant>
      <vt:variant>
        <vt:i4>0</vt:i4>
      </vt:variant>
      <vt:variant>
        <vt:i4>5</vt:i4>
      </vt:variant>
      <vt:variant>
        <vt:lpwstr>https://doi.org/10.1177/14782103241283106</vt:lpwstr>
      </vt:variant>
      <vt:variant>
        <vt:lpwstr/>
      </vt:variant>
      <vt:variant>
        <vt:i4>7798905</vt:i4>
      </vt:variant>
      <vt:variant>
        <vt:i4>890</vt:i4>
      </vt:variant>
      <vt:variant>
        <vt:i4>0</vt:i4>
      </vt:variant>
      <vt:variant>
        <vt:i4>5</vt:i4>
      </vt:variant>
      <vt:variant>
        <vt:lpwstr>https://doi.org/10.5694/mja2.51327</vt:lpwstr>
      </vt:variant>
      <vt:variant>
        <vt:lpwstr/>
      </vt:variant>
      <vt:variant>
        <vt:i4>8126567</vt:i4>
      </vt:variant>
      <vt:variant>
        <vt:i4>887</vt:i4>
      </vt:variant>
      <vt:variant>
        <vt:i4>0</vt:i4>
      </vt:variant>
      <vt:variant>
        <vt:i4>5</vt:i4>
      </vt:variant>
      <vt:variant>
        <vt:lpwstr>https://doi.org/10.3390/educsci14080819</vt:lpwstr>
      </vt:variant>
      <vt:variant>
        <vt:lpwstr/>
      </vt:variant>
      <vt:variant>
        <vt:i4>131099</vt:i4>
      </vt:variant>
      <vt:variant>
        <vt:i4>884</vt:i4>
      </vt:variant>
      <vt:variant>
        <vt:i4>0</vt:i4>
      </vt:variant>
      <vt:variant>
        <vt:i4>5</vt:i4>
      </vt:variant>
      <vt:variant>
        <vt:lpwstr>https://doi.org/10.1007/s11165-007-9072-7</vt:lpwstr>
      </vt:variant>
      <vt:variant>
        <vt:lpwstr/>
      </vt:variant>
      <vt:variant>
        <vt:i4>983071</vt:i4>
      </vt:variant>
      <vt:variant>
        <vt:i4>881</vt:i4>
      </vt:variant>
      <vt:variant>
        <vt:i4>0</vt:i4>
      </vt:variant>
      <vt:variant>
        <vt:i4>5</vt:i4>
      </vt:variant>
      <vt:variant>
        <vt:lpwstr>https://doi.org/10.1007/s13384-016-0219-2</vt:lpwstr>
      </vt:variant>
      <vt:variant>
        <vt:lpwstr/>
      </vt:variant>
      <vt:variant>
        <vt:i4>1572958</vt:i4>
      </vt:variant>
      <vt:variant>
        <vt:i4>878</vt:i4>
      </vt:variant>
      <vt:variant>
        <vt:i4>0</vt:i4>
      </vt:variant>
      <vt:variant>
        <vt:i4>5</vt:i4>
      </vt:variant>
      <vt:variant>
        <vt:lpwstr>https://doi.org/10.1057/978-1-137-43091-5</vt:lpwstr>
      </vt:variant>
      <vt:variant>
        <vt:lpwstr/>
      </vt:variant>
      <vt:variant>
        <vt:i4>7798847</vt:i4>
      </vt:variant>
      <vt:variant>
        <vt:i4>875</vt:i4>
      </vt:variant>
      <vt:variant>
        <vt:i4>0</vt:i4>
      </vt:variant>
      <vt:variant>
        <vt:i4>5</vt:i4>
      </vt:variant>
      <vt:variant>
        <vt:lpwstr>https://doi.org/10.46303/ressat.2023.37</vt:lpwstr>
      </vt:variant>
      <vt:variant>
        <vt:lpwstr/>
      </vt:variant>
      <vt:variant>
        <vt:i4>2490370</vt:i4>
      </vt:variant>
      <vt:variant>
        <vt:i4>872</vt:i4>
      </vt:variant>
      <vt:variant>
        <vt:i4>0</vt:i4>
      </vt:variant>
      <vt:variant>
        <vt:i4>5</vt:i4>
      </vt:variant>
      <vt:variant>
        <vt:lpwstr>https://libres.uncg.edu/ir/uncg/f/B_Levin_Lives_2001.pdf</vt:lpwstr>
      </vt:variant>
      <vt:variant>
        <vt:lpwstr/>
      </vt:variant>
      <vt:variant>
        <vt:i4>2359392</vt:i4>
      </vt:variant>
      <vt:variant>
        <vt:i4>869</vt:i4>
      </vt:variant>
      <vt:variant>
        <vt:i4>0</vt:i4>
      </vt:variant>
      <vt:variant>
        <vt:i4>5</vt:i4>
      </vt:variant>
      <vt:variant>
        <vt:lpwstr>https://www.gsdc.wa.gov.au/app/uploads/2022/07/Understanding-the-Social-Impacts-of-Drought-UWA.pdf</vt:lpwstr>
      </vt:variant>
      <vt:variant>
        <vt:lpwstr/>
      </vt:variant>
      <vt:variant>
        <vt:i4>2424959</vt:i4>
      </vt:variant>
      <vt:variant>
        <vt:i4>866</vt:i4>
      </vt:variant>
      <vt:variant>
        <vt:i4>0</vt:i4>
      </vt:variant>
      <vt:variant>
        <vt:i4>5</vt:i4>
      </vt:variant>
      <vt:variant>
        <vt:lpwstr>https://www.tandfonline.com/doi/full/10.1080/00091383.2018.1507370</vt:lpwstr>
      </vt:variant>
      <vt:variant>
        <vt:lpwstr/>
      </vt:variant>
      <vt:variant>
        <vt:i4>6815788</vt:i4>
      </vt:variant>
      <vt:variant>
        <vt:i4>863</vt:i4>
      </vt:variant>
      <vt:variant>
        <vt:i4>0</vt:i4>
      </vt:variant>
      <vt:variant>
        <vt:i4>5</vt:i4>
      </vt:variant>
      <vt:variant>
        <vt:lpwstr>https://theconversation.com/more-australian-families-are-choosing-private-schools-we-need-to-understand-why-242791</vt:lpwstr>
      </vt:variant>
      <vt:variant>
        <vt:lpwstr/>
      </vt:variant>
      <vt:variant>
        <vt:i4>8323195</vt:i4>
      </vt:variant>
      <vt:variant>
        <vt:i4>860</vt:i4>
      </vt:variant>
      <vt:variant>
        <vt:i4>0</vt:i4>
      </vt:variant>
      <vt:variant>
        <vt:i4>5</vt:i4>
      </vt:variant>
      <vt:variant>
        <vt:lpwstr>http://dx.doi.org/10.1080/03075079.2014.966072</vt:lpwstr>
      </vt:variant>
      <vt:variant>
        <vt:lpwstr/>
      </vt:variant>
      <vt:variant>
        <vt:i4>5373972</vt:i4>
      </vt:variant>
      <vt:variant>
        <vt:i4>857</vt:i4>
      </vt:variant>
      <vt:variant>
        <vt:i4>0</vt:i4>
      </vt:variant>
      <vt:variant>
        <vt:i4>5</vt:i4>
      </vt:variant>
      <vt:variant>
        <vt:lpwstr>https://doi.org/10.1016/j.jvb.2020.103442</vt:lpwstr>
      </vt:variant>
      <vt:variant>
        <vt:lpwstr/>
      </vt:variant>
      <vt:variant>
        <vt:i4>2556017</vt:i4>
      </vt:variant>
      <vt:variant>
        <vt:i4>854</vt:i4>
      </vt:variant>
      <vt:variant>
        <vt:i4>0</vt:i4>
      </vt:variant>
      <vt:variant>
        <vt:i4>5</vt:i4>
      </vt:variant>
      <vt:variant>
        <vt:lpwstr>https://doi.org/10.1016/j.ssmqr.2024.100521</vt:lpwstr>
      </vt:variant>
      <vt:variant>
        <vt:lpwstr/>
      </vt:variant>
      <vt:variant>
        <vt:i4>3604517</vt:i4>
      </vt:variant>
      <vt:variant>
        <vt:i4>851</vt:i4>
      </vt:variant>
      <vt:variant>
        <vt:i4>0</vt:i4>
      </vt:variant>
      <vt:variant>
        <vt:i4>5</vt:i4>
      </vt:variant>
      <vt:variant>
        <vt:lpwstr>https://www.abc.net.au/news/2024-04-10/nsw-public-school-funding-to-be-slashed-by-148-million/103688640</vt:lpwstr>
      </vt:variant>
      <vt:variant>
        <vt:lpwstr/>
      </vt:variant>
      <vt:variant>
        <vt:i4>5898259</vt:i4>
      </vt:variant>
      <vt:variant>
        <vt:i4>848</vt:i4>
      </vt:variant>
      <vt:variant>
        <vt:i4>0</vt:i4>
      </vt:variant>
      <vt:variant>
        <vt:i4>5</vt:i4>
      </vt:variant>
      <vt:variant>
        <vt:lpwstr>https://www.tandfonline.com/doi/abs/10.5437/08956308X5601003</vt:lpwstr>
      </vt:variant>
      <vt:variant>
        <vt:lpwstr/>
      </vt:variant>
      <vt:variant>
        <vt:i4>7209009</vt:i4>
      </vt:variant>
      <vt:variant>
        <vt:i4>845</vt:i4>
      </vt:variant>
      <vt:variant>
        <vt:i4>0</vt:i4>
      </vt:variant>
      <vt:variant>
        <vt:i4>5</vt:i4>
      </vt:variant>
      <vt:variant>
        <vt:lpwstr>https://doi.org/10.1007/s10639-022-11324-w</vt:lpwstr>
      </vt:variant>
      <vt:variant>
        <vt:lpwstr/>
      </vt:variant>
      <vt:variant>
        <vt:i4>4980817</vt:i4>
      </vt:variant>
      <vt:variant>
        <vt:i4>842</vt:i4>
      </vt:variant>
      <vt:variant>
        <vt:i4>0</vt:i4>
      </vt:variant>
      <vt:variant>
        <vt:i4>5</vt:i4>
      </vt:variant>
      <vt:variant>
        <vt:lpwstr>https://doi.org/10.1093/cercor/bhp109</vt:lpwstr>
      </vt:variant>
      <vt:variant>
        <vt:lpwstr/>
      </vt:variant>
      <vt:variant>
        <vt:i4>589889</vt:i4>
      </vt:variant>
      <vt:variant>
        <vt:i4>839</vt:i4>
      </vt:variant>
      <vt:variant>
        <vt:i4>0</vt:i4>
      </vt:variant>
      <vt:variant>
        <vt:i4>5</vt:i4>
      </vt:variant>
      <vt:variant>
        <vt:lpwstr>https://doi.org/10.1080/19325037.2023.2296943</vt:lpwstr>
      </vt:variant>
      <vt:variant>
        <vt:lpwstr/>
      </vt:variant>
      <vt:variant>
        <vt:i4>3211317</vt:i4>
      </vt:variant>
      <vt:variant>
        <vt:i4>836</vt:i4>
      </vt:variant>
      <vt:variant>
        <vt:i4>0</vt:i4>
      </vt:variant>
      <vt:variant>
        <vt:i4>5</vt:i4>
      </vt:variant>
      <vt:variant>
        <vt:lpwstr>https://www.acses.edu.au/app/uploads/2022/04/Jaremus_UON_Final.pdf</vt:lpwstr>
      </vt:variant>
      <vt:variant>
        <vt:lpwstr/>
      </vt:variant>
      <vt:variant>
        <vt:i4>655432</vt:i4>
      </vt:variant>
      <vt:variant>
        <vt:i4>833</vt:i4>
      </vt:variant>
      <vt:variant>
        <vt:i4>0</vt:i4>
      </vt:variant>
      <vt:variant>
        <vt:i4>5</vt:i4>
      </vt:variant>
      <vt:variant>
        <vt:lpwstr>https://doi.org/10.1080/00131911.2023.2287417</vt:lpwstr>
      </vt:variant>
      <vt:variant>
        <vt:lpwstr/>
      </vt:variant>
      <vt:variant>
        <vt:i4>8061033</vt:i4>
      </vt:variant>
      <vt:variant>
        <vt:i4>830</vt:i4>
      </vt:variant>
      <vt:variant>
        <vt:i4>0</vt:i4>
      </vt:variant>
      <vt:variant>
        <vt:i4>5</vt:i4>
      </vt:variant>
      <vt:variant>
        <vt:lpwstr>https://www.ipcc.ch/report/ar6/wg2/</vt:lpwstr>
      </vt:variant>
      <vt:variant>
        <vt:lpwstr/>
      </vt:variant>
      <vt:variant>
        <vt:i4>3014712</vt:i4>
      </vt:variant>
      <vt:variant>
        <vt:i4>827</vt:i4>
      </vt:variant>
      <vt:variant>
        <vt:i4>0</vt:i4>
      </vt:variant>
      <vt:variant>
        <vt:i4>5</vt:i4>
      </vt:variant>
      <vt:variant>
        <vt:lpwstr>https://isa.edu.au/wp-content/uploads/2024/11/2024-Independent-Schooling-2024-FINAL.pdf</vt:lpwstr>
      </vt:variant>
      <vt:variant>
        <vt:lpwstr/>
      </vt:variant>
      <vt:variant>
        <vt:i4>1376273</vt:i4>
      </vt:variant>
      <vt:variant>
        <vt:i4>824</vt:i4>
      </vt:variant>
      <vt:variant>
        <vt:i4>0</vt:i4>
      </vt:variant>
      <vt:variant>
        <vt:i4>5</vt:i4>
      </vt:variant>
      <vt:variant>
        <vt:lpwstr>https://doi.org/10.36487/ACG_repo/2415_22</vt:lpwstr>
      </vt:variant>
      <vt:variant>
        <vt:lpwstr/>
      </vt:variant>
      <vt:variant>
        <vt:i4>3145784</vt:i4>
      </vt:variant>
      <vt:variant>
        <vt:i4>821</vt:i4>
      </vt:variant>
      <vt:variant>
        <vt:i4>0</vt:i4>
      </vt:variant>
      <vt:variant>
        <vt:i4>5</vt:i4>
      </vt:variant>
      <vt:variant>
        <vt:lpwstr>https://www.unipol.org.uk/media/vt1jgqne/ten-cities-rent-survey-2023-final-report-print.pdf</vt:lpwstr>
      </vt:variant>
      <vt:variant>
        <vt:lpwstr/>
      </vt:variant>
      <vt:variant>
        <vt:i4>1048639</vt:i4>
      </vt:variant>
      <vt:variant>
        <vt:i4>818</vt:i4>
      </vt:variant>
      <vt:variant>
        <vt:i4>0</vt:i4>
      </vt:variant>
      <vt:variant>
        <vt:i4>5</vt:i4>
      </vt:variant>
      <vt:variant>
        <vt:lpwstr>https://headspace.org.au/assets/20230322_Headspace-Survey-Report.pdf</vt:lpwstr>
      </vt:variant>
      <vt:variant>
        <vt:lpwstr/>
      </vt:variant>
      <vt:variant>
        <vt:i4>2097267</vt:i4>
      </vt:variant>
      <vt:variant>
        <vt:i4>815</vt:i4>
      </vt:variant>
      <vt:variant>
        <vt:i4>0</vt:i4>
      </vt:variant>
      <vt:variant>
        <vt:i4>5</vt:i4>
      </vt:variant>
      <vt:variant>
        <vt:lpwstr>http://doi.org/10.1002/wcc.255</vt:lpwstr>
      </vt:variant>
      <vt:variant>
        <vt:lpwstr/>
      </vt:variant>
      <vt:variant>
        <vt:i4>1114123</vt:i4>
      </vt:variant>
      <vt:variant>
        <vt:i4>812</vt:i4>
      </vt:variant>
      <vt:variant>
        <vt:i4>0</vt:i4>
      </vt:variant>
      <vt:variant>
        <vt:i4>5</vt:i4>
      </vt:variant>
      <vt:variant>
        <vt:lpwstr>https://www.afr.com/work-and-careers/education/half-of-all-young-people-go-to-uni-but-tradies-are-happier-20230420-p5d201</vt:lpwstr>
      </vt:variant>
      <vt:variant>
        <vt:lpwstr/>
      </vt:variant>
      <vt:variant>
        <vt:i4>2031711</vt:i4>
      </vt:variant>
      <vt:variant>
        <vt:i4>809</vt:i4>
      </vt:variant>
      <vt:variant>
        <vt:i4>0</vt:i4>
      </vt:variant>
      <vt:variant>
        <vt:i4>5</vt:i4>
      </vt:variant>
      <vt:variant>
        <vt:lpwstr>https://doi.org/10.1177/00187267211070770</vt:lpwstr>
      </vt:variant>
      <vt:variant>
        <vt:lpwstr/>
      </vt:variant>
      <vt:variant>
        <vt:i4>1572955</vt:i4>
      </vt:variant>
      <vt:variant>
        <vt:i4>806</vt:i4>
      </vt:variant>
      <vt:variant>
        <vt:i4>0</vt:i4>
      </vt:variant>
      <vt:variant>
        <vt:i4>5</vt:i4>
      </vt:variant>
      <vt:variant>
        <vt:lpwstr>https://doi.org/10.4324/9781003019534</vt:lpwstr>
      </vt:variant>
      <vt:variant>
        <vt:lpwstr/>
      </vt:variant>
      <vt:variant>
        <vt:i4>7209086</vt:i4>
      </vt:variant>
      <vt:variant>
        <vt:i4>803</vt:i4>
      </vt:variant>
      <vt:variant>
        <vt:i4>0</vt:i4>
      </vt:variant>
      <vt:variant>
        <vt:i4>5</vt:i4>
      </vt:variant>
      <vt:variant>
        <vt:lpwstr>https://doi.org/10.1007/S13384-015-0172-5/TABLES/5</vt:lpwstr>
      </vt:variant>
      <vt:variant>
        <vt:lpwstr/>
      </vt:variant>
      <vt:variant>
        <vt:i4>983045</vt:i4>
      </vt:variant>
      <vt:variant>
        <vt:i4>800</vt:i4>
      </vt:variant>
      <vt:variant>
        <vt:i4>0</vt:i4>
      </vt:variant>
      <vt:variant>
        <vt:i4>5</vt:i4>
      </vt:variant>
      <vt:variant>
        <vt:lpwstr>https://www.ncsehe.edu.au/wp-content/uploads/2015/09/Choosing-University-The-Impact-of-Schools-and-Schooling.pdf</vt:lpwstr>
      </vt:variant>
      <vt:variant>
        <vt:lpwstr/>
      </vt:variant>
      <vt:variant>
        <vt:i4>589896</vt:i4>
      </vt:variant>
      <vt:variant>
        <vt:i4>797</vt:i4>
      </vt:variant>
      <vt:variant>
        <vt:i4>0</vt:i4>
      </vt:variant>
      <vt:variant>
        <vt:i4>5</vt:i4>
      </vt:variant>
      <vt:variant>
        <vt:lpwstr>https://doi.org/10.1080/07294360.2017.1325847</vt:lpwstr>
      </vt:variant>
      <vt:variant>
        <vt:lpwstr/>
      </vt:variant>
      <vt:variant>
        <vt:i4>8192123</vt:i4>
      </vt:variant>
      <vt:variant>
        <vt:i4>794</vt:i4>
      </vt:variant>
      <vt:variant>
        <vt:i4>0</vt:i4>
      </vt:variant>
      <vt:variant>
        <vt:i4>5</vt:i4>
      </vt:variant>
      <vt:variant>
        <vt:lpwstr>https://www.ncsehe.edu.au/publications/community-influence-university-aspirations/</vt:lpwstr>
      </vt:variant>
      <vt:variant>
        <vt:lpwstr/>
      </vt:variant>
      <vt:variant>
        <vt:i4>6750331</vt:i4>
      </vt:variant>
      <vt:variant>
        <vt:i4>791</vt:i4>
      </vt:variant>
      <vt:variant>
        <vt:i4>0</vt:i4>
      </vt:variant>
      <vt:variant>
        <vt:i4>5</vt:i4>
      </vt:variant>
      <vt:variant>
        <vt:lpwstr>https://doi.org/10.1002/wcc.794</vt:lpwstr>
      </vt:variant>
      <vt:variant>
        <vt:lpwstr/>
      </vt:variant>
      <vt:variant>
        <vt:i4>393301</vt:i4>
      </vt:variant>
      <vt:variant>
        <vt:i4>788</vt:i4>
      </vt:variant>
      <vt:variant>
        <vt:i4>0</vt:i4>
      </vt:variant>
      <vt:variant>
        <vt:i4>5</vt:i4>
      </vt:variant>
      <vt:variant>
        <vt:lpwstr>http://doi.org/10.1111/jpc.15649</vt:lpwstr>
      </vt:variant>
      <vt:variant>
        <vt:lpwstr/>
      </vt:variant>
      <vt:variant>
        <vt:i4>655387</vt:i4>
      </vt:variant>
      <vt:variant>
        <vt:i4>785</vt:i4>
      </vt:variant>
      <vt:variant>
        <vt:i4>0</vt:i4>
      </vt:variant>
      <vt:variant>
        <vt:i4>5</vt:i4>
      </vt:variant>
      <vt:variant>
        <vt:lpwstr>https://www.monash.edu/education/cypep/research/young-women-choosing-careers-who-decides</vt:lpwstr>
      </vt:variant>
      <vt:variant>
        <vt:lpwstr/>
      </vt:variant>
      <vt:variant>
        <vt:i4>2359356</vt:i4>
      </vt:variant>
      <vt:variant>
        <vt:i4>782</vt:i4>
      </vt:variant>
      <vt:variant>
        <vt:i4>0</vt:i4>
      </vt:variant>
      <vt:variant>
        <vt:i4>5</vt:i4>
      </vt:variant>
      <vt:variant>
        <vt:lpwstr>https://doi.org/10.1007/s13384-021-00463-7</vt:lpwstr>
      </vt:variant>
      <vt:variant>
        <vt:lpwstr/>
      </vt:variant>
      <vt:variant>
        <vt:i4>1572888</vt:i4>
      </vt:variant>
      <vt:variant>
        <vt:i4>779</vt:i4>
      </vt:variant>
      <vt:variant>
        <vt:i4>0</vt:i4>
      </vt:variant>
      <vt:variant>
        <vt:i4>5</vt:i4>
      </vt:variant>
      <vt:variant>
        <vt:lpwstr>https://doi.org/10.1093/cjres/rsae047</vt:lpwstr>
      </vt:variant>
      <vt:variant>
        <vt:lpwstr/>
      </vt:variant>
      <vt:variant>
        <vt:i4>5111826</vt:i4>
      </vt:variant>
      <vt:variant>
        <vt:i4>776</vt:i4>
      </vt:variant>
      <vt:variant>
        <vt:i4>0</vt:i4>
      </vt:variant>
      <vt:variant>
        <vt:i4>5</vt:i4>
      </vt:variant>
      <vt:variant>
        <vt:lpwstr>http://doi.org/10.1007/s13384-014-0167-7</vt:lpwstr>
      </vt:variant>
      <vt:variant>
        <vt:lpwstr/>
      </vt:variant>
      <vt:variant>
        <vt:i4>3473531</vt:i4>
      </vt:variant>
      <vt:variant>
        <vt:i4>773</vt:i4>
      </vt:variant>
      <vt:variant>
        <vt:i4>0</vt:i4>
      </vt:variant>
      <vt:variant>
        <vt:i4>5</vt:i4>
      </vt:variant>
      <vt:variant>
        <vt:lpwstr>http://dx.doi.org/10.1080/0305764X.2014.988685</vt:lpwstr>
      </vt:variant>
      <vt:variant>
        <vt:lpwstr/>
      </vt:variant>
      <vt:variant>
        <vt:i4>3145841</vt:i4>
      </vt:variant>
      <vt:variant>
        <vt:i4>770</vt:i4>
      </vt:variant>
      <vt:variant>
        <vt:i4>0</vt:i4>
      </vt:variant>
      <vt:variant>
        <vt:i4>5</vt:i4>
      </vt:variant>
      <vt:variant>
        <vt:lpwstr>http://doi.org/10.1097/JOM.0000000000002236</vt:lpwstr>
      </vt:variant>
      <vt:variant>
        <vt:lpwstr/>
      </vt:variant>
      <vt:variant>
        <vt:i4>6815805</vt:i4>
      </vt:variant>
      <vt:variant>
        <vt:i4>767</vt:i4>
      </vt:variant>
      <vt:variant>
        <vt:i4>0</vt:i4>
      </vt:variant>
      <vt:variant>
        <vt:i4>5</vt:i4>
      </vt:variant>
      <vt:variant>
        <vt:lpwstr>https://doi.org/10.1007/s13384-022-00572-x</vt:lpwstr>
      </vt:variant>
      <vt:variant>
        <vt:lpwstr/>
      </vt:variant>
      <vt:variant>
        <vt:i4>2687034</vt:i4>
      </vt:variant>
      <vt:variant>
        <vt:i4>764</vt:i4>
      </vt:variant>
      <vt:variant>
        <vt:i4>0</vt:i4>
      </vt:variant>
      <vt:variant>
        <vt:i4>5</vt:i4>
      </vt:variant>
      <vt:variant>
        <vt:lpwstr>https://doi.org/10.1007/s13384-019-00332-4</vt:lpwstr>
      </vt:variant>
      <vt:variant>
        <vt:lpwstr/>
      </vt:variant>
      <vt:variant>
        <vt:i4>786511</vt:i4>
      </vt:variant>
      <vt:variant>
        <vt:i4>761</vt:i4>
      </vt:variant>
      <vt:variant>
        <vt:i4>0</vt:i4>
      </vt:variant>
      <vt:variant>
        <vt:i4>5</vt:i4>
      </vt:variant>
      <vt:variant>
        <vt:lpwstr>https://doi.org/10.1080/13504509.2023.2237933</vt:lpwstr>
      </vt:variant>
      <vt:variant>
        <vt:lpwstr/>
      </vt:variant>
      <vt:variant>
        <vt:i4>6357115</vt:i4>
      </vt:variant>
      <vt:variant>
        <vt:i4>758</vt:i4>
      </vt:variant>
      <vt:variant>
        <vt:i4>0</vt:i4>
      </vt:variant>
      <vt:variant>
        <vt:i4>5</vt:i4>
      </vt:variant>
      <vt:variant>
        <vt:lpwstr>https://www.ncsehe.edu.au/app/uploads/2020/04/NCSEHE_V2_Final_literaturereview-learningathome-covid19-final_30042020.pdf</vt:lpwstr>
      </vt:variant>
      <vt:variant>
        <vt:lpwstr/>
      </vt:variant>
      <vt:variant>
        <vt:i4>2293819</vt:i4>
      </vt:variant>
      <vt:variant>
        <vt:i4>755</vt:i4>
      </vt:variant>
      <vt:variant>
        <vt:i4>0</vt:i4>
      </vt:variant>
      <vt:variant>
        <vt:i4>5</vt:i4>
      </vt:variant>
      <vt:variant>
        <vt:lpwstr>https://doi.org/10.1007/s13384-020-00417-5</vt:lpwstr>
      </vt:variant>
      <vt:variant>
        <vt:lpwstr/>
      </vt:variant>
      <vt:variant>
        <vt:i4>1638415</vt:i4>
      </vt:variant>
      <vt:variant>
        <vt:i4>752</vt:i4>
      </vt:variant>
      <vt:variant>
        <vt:i4>0</vt:i4>
      </vt:variant>
      <vt:variant>
        <vt:i4>5</vt:i4>
      </vt:variant>
      <vt:variant>
        <vt:lpwstr>https://doi.org/10.47381/aijre.v28i1.152</vt:lpwstr>
      </vt:variant>
      <vt:variant>
        <vt:lpwstr/>
      </vt:variant>
      <vt:variant>
        <vt:i4>6881343</vt:i4>
      </vt:variant>
      <vt:variant>
        <vt:i4>749</vt:i4>
      </vt:variant>
      <vt:variant>
        <vt:i4>0</vt:i4>
      </vt:variant>
      <vt:variant>
        <vt:i4>5</vt:i4>
      </vt:variant>
      <vt:variant>
        <vt:lpwstr>https://www.education.gov.au/higher-education/commonwealth-prac-payment</vt:lpwstr>
      </vt:variant>
      <vt:variant>
        <vt:lpwstr/>
      </vt:variant>
      <vt:variant>
        <vt:i4>3473504</vt:i4>
      </vt:variant>
      <vt:variant>
        <vt:i4>746</vt:i4>
      </vt:variant>
      <vt:variant>
        <vt:i4>0</vt:i4>
      </vt:variant>
      <vt:variant>
        <vt:i4>5</vt:i4>
      </vt:variant>
      <vt:variant>
        <vt:lpwstr>https://www.education.gov.au/higher-education-statistics/student-data/selected-higher-education-statistics-2023-student-data/key-findings-2023-student-data</vt:lpwstr>
      </vt:variant>
      <vt:variant>
        <vt:lpwstr/>
      </vt:variant>
      <vt:variant>
        <vt:i4>196614</vt:i4>
      </vt:variant>
      <vt:variant>
        <vt:i4>743</vt:i4>
      </vt:variant>
      <vt:variant>
        <vt:i4>0</vt:i4>
      </vt:variant>
      <vt:variant>
        <vt:i4>5</vt:i4>
      </vt:variant>
      <vt:variant>
        <vt:lpwstr>https://www.education.gov.au/resources/australian-universities-accord</vt:lpwstr>
      </vt:variant>
      <vt:variant>
        <vt:lpwstr/>
      </vt:variant>
      <vt:variant>
        <vt:i4>6291500</vt:i4>
      </vt:variant>
      <vt:variant>
        <vt:i4>740</vt:i4>
      </vt:variant>
      <vt:variant>
        <vt:i4>0</vt:i4>
      </vt:variant>
      <vt:variant>
        <vt:i4>5</vt:i4>
      </vt:variant>
      <vt:variant>
        <vt:lpwstr>https://www.education.gov.au/australian-universities-accord/resources/accord-interim-report</vt:lpwstr>
      </vt:variant>
      <vt:variant>
        <vt:lpwstr/>
      </vt:variant>
      <vt:variant>
        <vt:i4>6422561</vt:i4>
      </vt:variant>
      <vt:variant>
        <vt:i4>737</vt:i4>
      </vt:variant>
      <vt:variant>
        <vt:i4>0</vt:i4>
      </vt:variant>
      <vt:variant>
        <vt:i4>5</vt:i4>
      </vt:variant>
      <vt:variant>
        <vt:lpwstr>https://www.education.gov.au/integrated-data-research/resources/wealth</vt:lpwstr>
      </vt:variant>
      <vt:variant>
        <vt:lpwstr/>
      </vt:variant>
      <vt:variant>
        <vt:i4>1704016</vt:i4>
      </vt:variant>
      <vt:variant>
        <vt:i4>734</vt:i4>
      </vt:variant>
      <vt:variant>
        <vt:i4>0</vt:i4>
      </vt:variant>
      <vt:variant>
        <vt:i4>5</vt:i4>
      </vt:variant>
      <vt:variant>
        <vt:lpwstr>https://doi.org/10.1002/berj.3659</vt:lpwstr>
      </vt:variant>
      <vt:variant>
        <vt:lpwstr/>
      </vt:variant>
      <vt:variant>
        <vt:i4>6684729</vt:i4>
      </vt:variant>
      <vt:variant>
        <vt:i4>731</vt:i4>
      </vt:variant>
      <vt:variant>
        <vt:i4>0</vt:i4>
      </vt:variant>
      <vt:variant>
        <vt:i4>5</vt:i4>
      </vt:variant>
      <vt:variant>
        <vt:lpwstr>https://www.acses.edu.au/publication/the-role-of-higher-education-in-facilitating-social-mobility/</vt:lpwstr>
      </vt:variant>
      <vt:variant>
        <vt:lpwstr/>
      </vt:variant>
      <vt:variant>
        <vt:i4>7078003</vt:i4>
      </vt:variant>
      <vt:variant>
        <vt:i4>728</vt:i4>
      </vt:variant>
      <vt:variant>
        <vt:i4>0</vt:i4>
      </vt:variant>
      <vt:variant>
        <vt:i4>5</vt:i4>
      </vt:variant>
      <vt:variant>
        <vt:lpwstr>https://doi-org.ezproxy.newcastle.edu.au/10.1080/13603116.2020.1791980</vt:lpwstr>
      </vt:variant>
      <vt:variant>
        <vt:lpwstr/>
      </vt:variant>
      <vt:variant>
        <vt:i4>458822</vt:i4>
      </vt:variant>
      <vt:variant>
        <vt:i4>725</vt:i4>
      </vt:variant>
      <vt:variant>
        <vt:i4>0</vt:i4>
      </vt:variant>
      <vt:variant>
        <vt:i4>5</vt:i4>
      </vt:variant>
      <vt:variant>
        <vt:lpwstr>https://doi.org/10.1080/10301763.2019.1696654</vt:lpwstr>
      </vt:variant>
      <vt:variant>
        <vt:lpwstr/>
      </vt:variant>
      <vt:variant>
        <vt:i4>1769560</vt:i4>
      </vt:variant>
      <vt:variant>
        <vt:i4>722</vt:i4>
      </vt:variant>
      <vt:variant>
        <vt:i4>0</vt:i4>
      </vt:variant>
      <vt:variant>
        <vt:i4>5</vt:i4>
      </vt:variant>
      <vt:variant>
        <vt:lpwstr>https://doi.org/10.1080/02671520701755424</vt:lpwstr>
      </vt:variant>
      <vt:variant>
        <vt:lpwstr/>
      </vt:variant>
      <vt:variant>
        <vt:i4>2687090</vt:i4>
      </vt:variant>
      <vt:variant>
        <vt:i4>719</vt:i4>
      </vt:variant>
      <vt:variant>
        <vt:i4>0</vt:i4>
      </vt:variant>
      <vt:variant>
        <vt:i4>5</vt:i4>
      </vt:variant>
      <vt:variant>
        <vt:lpwstr>https://au.sagepub.com/en-gb/oce/qualitative-inquiry-and-research-design/book246896</vt:lpwstr>
      </vt:variant>
      <vt:variant>
        <vt:lpwstr/>
      </vt:variant>
      <vt:variant>
        <vt:i4>4653062</vt:i4>
      </vt:variant>
      <vt:variant>
        <vt:i4>716</vt:i4>
      </vt:variant>
      <vt:variant>
        <vt:i4>0</vt:i4>
      </vt:variant>
      <vt:variant>
        <vt:i4>5</vt:i4>
      </vt:variant>
      <vt:variant>
        <vt:lpwstr>http://doi.org/10.1353/isia.2023.a918358</vt:lpwstr>
      </vt:variant>
      <vt:variant>
        <vt:lpwstr/>
      </vt:variant>
      <vt:variant>
        <vt:i4>6357046</vt:i4>
      </vt:variant>
      <vt:variant>
        <vt:i4>713</vt:i4>
      </vt:variant>
      <vt:variant>
        <vt:i4>0</vt:i4>
      </vt:variant>
      <vt:variant>
        <vt:i4>5</vt:i4>
      </vt:variant>
      <vt:variant>
        <vt:lpwstr>https://worldhappiness.report/ed/2021/</vt:lpwstr>
      </vt:variant>
      <vt:variant>
        <vt:lpwstr/>
      </vt:variant>
      <vt:variant>
        <vt:i4>5898309</vt:i4>
      </vt:variant>
      <vt:variant>
        <vt:i4>710</vt:i4>
      </vt:variant>
      <vt:variant>
        <vt:i4>0</vt:i4>
      </vt:variant>
      <vt:variant>
        <vt:i4>5</vt:i4>
      </vt:variant>
      <vt:variant>
        <vt:lpwstr>https://www.ncsehe.edu.au/publications/access-to-higher-education-does-distance-impact-students-intentions-to-attend-university/</vt:lpwstr>
      </vt:variant>
      <vt:variant>
        <vt:lpwstr/>
      </vt:variant>
      <vt:variant>
        <vt:i4>4980838</vt:i4>
      </vt:variant>
      <vt:variant>
        <vt:i4>707</vt:i4>
      </vt:variant>
      <vt:variant>
        <vt:i4>0</vt:i4>
      </vt:variant>
      <vt:variant>
        <vt:i4>5</vt:i4>
      </vt:variant>
      <vt:variant>
        <vt:lpwstr>https://doi.org/10.1057/9781137350831_1</vt:lpwstr>
      </vt:variant>
      <vt:variant>
        <vt:lpwstr/>
      </vt:variant>
      <vt:variant>
        <vt:i4>4980811</vt:i4>
      </vt:variant>
      <vt:variant>
        <vt:i4>704</vt:i4>
      </vt:variant>
      <vt:variant>
        <vt:i4>0</vt:i4>
      </vt:variant>
      <vt:variant>
        <vt:i4>5</vt:i4>
      </vt:variant>
      <vt:variant>
        <vt:lpwstr>https://doi.org/10.1016/j.inteco.2013.08.001</vt:lpwstr>
      </vt:variant>
      <vt:variant>
        <vt:lpwstr/>
      </vt:variant>
      <vt:variant>
        <vt:i4>2293819</vt:i4>
      </vt:variant>
      <vt:variant>
        <vt:i4>701</vt:i4>
      </vt:variant>
      <vt:variant>
        <vt:i4>0</vt:i4>
      </vt:variant>
      <vt:variant>
        <vt:i4>5</vt:i4>
      </vt:variant>
      <vt:variant>
        <vt:lpwstr>https://doi.org/10.1108/IJILT-06-2020-0111</vt:lpwstr>
      </vt:variant>
      <vt:variant>
        <vt:lpwstr/>
      </vt:variant>
      <vt:variant>
        <vt:i4>5308430</vt:i4>
      </vt:variant>
      <vt:variant>
        <vt:i4>698</vt:i4>
      </vt:variant>
      <vt:variant>
        <vt:i4>0</vt:i4>
      </vt:variant>
      <vt:variant>
        <vt:i4>5</vt:i4>
      </vt:variant>
      <vt:variant>
        <vt:lpwstr>https://www.theguardian.com/australia-news/2023/mar/05/urgent-calls-to-end-compulsory-unpaid-internships-as-students-forced-to-quit-due-to-cost-of-living</vt:lpwstr>
      </vt:variant>
      <vt:variant>
        <vt:lpwstr/>
      </vt:variant>
      <vt:variant>
        <vt:i4>1572871</vt:i4>
      </vt:variant>
      <vt:variant>
        <vt:i4>695</vt:i4>
      </vt:variant>
      <vt:variant>
        <vt:i4>0</vt:i4>
      </vt:variant>
      <vt:variant>
        <vt:i4>5</vt:i4>
      </vt:variant>
      <vt:variant>
        <vt:lpwstr>https://dehanz.net.au/entries/residualised-public-schooling-the-case-of-mount-druitt-high-school/</vt:lpwstr>
      </vt:variant>
      <vt:variant>
        <vt:lpwstr/>
      </vt:variant>
      <vt:variant>
        <vt:i4>524360</vt:i4>
      </vt:variant>
      <vt:variant>
        <vt:i4>692</vt:i4>
      </vt:variant>
      <vt:variant>
        <vt:i4>0</vt:i4>
      </vt:variant>
      <vt:variant>
        <vt:i4>5</vt:i4>
      </vt:variant>
      <vt:variant>
        <vt:lpwstr>https://doi.org/10.1080/13676261.2013.878789</vt:lpwstr>
      </vt:variant>
      <vt:variant>
        <vt:lpwstr/>
      </vt:variant>
      <vt:variant>
        <vt:i4>2293870</vt:i4>
      </vt:variant>
      <vt:variant>
        <vt:i4>689</vt:i4>
      </vt:variant>
      <vt:variant>
        <vt:i4>0</vt:i4>
      </vt:variant>
      <vt:variant>
        <vt:i4>5</vt:i4>
      </vt:variant>
      <vt:variant>
        <vt:lpwstr>http://hdl.voced.edu.au/10707/44384</vt:lpwstr>
      </vt:variant>
      <vt:variant>
        <vt:lpwstr/>
      </vt:variant>
      <vt:variant>
        <vt:i4>6684786</vt:i4>
      </vt:variant>
      <vt:variant>
        <vt:i4>686</vt:i4>
      </vt:variant>
      <vt:variant>
        <vt:i4>0</vt:i4>
      </vt:variant>
      <vt:variant>
        <vt:i4>5</vt:i4>
      </vt:variant>
      <vt:variant>
        <vt:lpwstr>https://doi-org.ezproxy.newcastle.edu.au/10.1080/10447318.2023.2297114</vt:lpwstr>
      </vt:variant>
      <vt:variant>
        <vt:lpwstr/>
      </vt:variant>
      <vt:variant>
        <vt:i4>131140</vt:i4>
      </vt:variant>
      <vt:variant>
        <vt:i4>683</vt:i4>
      </vt:variant>
      <vt:variant>
        <vt:i4>0</vt:i4>
      </vt:variant>
      <vt:variant>
        <vt:i4>5</vt:i4>
      </vt:variant>
      <vt:variant>
        <vt:lpwstr>https://onlinelibrary.wiley.com/doi/pdf/10.1111/eip.12357</vt:lpwstr>
      </vt:variant>
      <vt:variant>
        <vt:lpwstr/>
      </vt:variant>
      <vt:variant>
        <vt:i4>1769566</vt:i4>
      </vt:variant>
      <vt:variant>
        <vt:i4>680</vt:i4>
      </vt:variant>
      <vt:variant>
        <vt:i4>0</vt:i4>
      </vt:variant>
      <vt:variant>
        <vt:i4>5</vt:i4>
      </vt:variant>
      <vt:variant>
        <vt:lpwstr>https://doi.org/10.1080/17508481003731042</vt:lpwstr>
      </vt:variant>
      <vt:variant>
        <vt:lpwstr/>
      </vt:variant>
      <vt:variant>
        <vt:i4>8257585</vt:i4>
      </vt:variant>
      <vt:variant>
        <vt:i4>677</vt:i4>
      </vt:variant>
      <vt:variant>
        <vt:i4>0</vt:i4>
      </vt:variant>
      <vt:variant>
        <vt:i4>5</vt:i4>
      </vt:variant>
      <vt:variant>
        <vt:lpwstr>https://www.acses.edu.au/publication/ameliorating-disadvantage/</vt:lpwstr>
      </vt:variant>
      <vt:variant>
        <vt:lpwstr/>
      </vt:variant>
      <vt:variant>
        <vt:i4>5439516</vt:i4>
      </vt:variant>
      <vt:variant>
        <vt:i4>674</vt:i4>
      </vt:variant>
      <vt:variant>
        <vt:i4>0</vt:i4>
      </vt:variant>
      <vt:variant>
        <vt:i4>5</vt:i4>
      </vt:variant>
      <vt:variant>
        <vt:lpwstr>https://www.voced.edu.au/content/ngv%3A73898</vt:lpwstr>
      </vt:variant>
      <vt:variant>
        <vt:lpwstr/>
      </vt:variant>
      <vt:variant>
        <vt:i4>589893</vt:i4>
      </vt:variant>
      <vt:variant>
        <vt:i4>671</vt:i4>
      </vt:variant>
      <vt:variant>
        <vt:i4>0</vt:i4>
      </vt:variant>
      <vt:variant>
        <vt:i4>5</vt:i4>
      </vt:variant>
      <vt:variant>
        <vt:lpwstr>https://doi.org/10.1080/00131911.2022.2077703</vt:lpwstr>
      </vt:variant>
      <vt:variant>
        <vt:lpwstr/>
      </vt:variant>
      <vt:variant>
        <vt:i4>589875</vt:i4>
      </vt:variant>
      <vt:variant>
        <vt:i4>668</vt:i4>
      </vt:variant>
      <vt:variant>
        <vt:i4>0</vt:i4>
      </vt:variant>
      <vt:variant>
        <vt:i4>5</vt:i4>
      </vt:variant>
      <vt:variant>
        <vt:lpwstr>https://melbourne-cshe.unimelb.edu.au/__data/assets/pdf_file/0016/1513123/FYE-2014-FULL-report-FINAL-web.pdf</vt:lpwstr>
      </vt:variant>
      <vt:variant>
        <vt:lpwstr/>
      </vt:variant>
      <vt:variant>
        <vt:i4>7929905</vt:i4>
      </vt:variant>
      <vt:variant>
        <vt:i4>665</vt:i4>
      </vt:variant>
      <vt:variant>
        <vt:i4>0</vt:i4>
      </vt:variant>
      <vt:variant>
        <vt:i4>5</vt:i4>
      </vt:variant>
      <vt:variant>
        <vt:lpwstr>https://www.aeufederal.org.au/news-media/news/2025/students-and-teachers-need-better-wellbeing-support</vt:lpwstr>
      </vt:variant>
      <vt:variant>
        <vt:lpwstr/>
      </vt:variant>
      <vt:variant>
        <vt:i4>917534</vt:i4>
      </vt:variant>
      <vt:variant>
        <vt:i4>662</vt:i4>
      </vt:variant>
      <vt:variant>
        <vt:i4>0</vt:i4>
      </vt:variant>
      <vt:variant>
        <vt:i4>5</vt:i4>
      </vt:variant>
      <vt:variant>
        <vt:lpwstr>https://www.adogs.info/press/can-public-education-system-survive-residualisation</vt:lpwstr>
      </vt:variant>
      <vt:variant>
        <vt:lpwstr/>
      </vt:variant>
      <vt:variant>
        <vt:i4>2687021</vt:i4>
      </vt:variant>
      <vt:variant>
        <vt:i4>659</vt:i4>
      </vt:variant>
      <vt:variant>
        <vt:i4>0</vt:i4>
      </vt:variant>
      <vt:variant>
        <vt:i4>5</vt:i4>
      </vt:variant>
      <vt:variant>
        <vt:lpwstr>http://doi.org/10.1080/02680939.2013.790079</vt:lpwstr>
      </vt:variant>
      <vt:variant>
        <vt:lpwstr/>
      </vt:variant>
      <vt:variant>
        <vt:i4>1704029</vt:i4>
      </vt:variant>
      <vt:variant>
        <vt:i4>656</vt:i4>
      </vt:variant>
      <vt:variant>
        <vt:i4>0</vt:i4>
      </vt:variant>
      <vt:variant>
        <vt:i4>5</vt:i4>
      </vt:variant>
      <vt:variant>
        <vt:lpwstr>https://doi.org/10.1177/13607804221133116</vt:lpwstr>
      </vt:variant>
      <vt:variant>
        <vt:lpwstr/>
      </vt:variant>
      <vt:variant>
        <vt:i4>4259928</vt:i4>
      </vt:variant>
      <vt:variant>
        <vt:i4>653</vt:i4>
      </vt:variant>
      <vt:variant>
        <vt:i4>0</vt:i4>
      </vt:variant>
      <vt:variant>
        <vt:i4>5</vt:i4>
      </vt:variant>
      <vt:variant>
        <vt:lpwstr>https://doi-org.ezproxy.newcastle.edu.au/10.1177/1440783310376848</vt:lpwstr>
      </vt:variant>
      <vt:variant>
        <vt:lpwstr/>
      </vt:variant>
      <vt:variant>
        <vt:i4>3538993</vt:i4>
      </vt:variant>
      <vt:variant>
        <vt:i4>650</vt:i4>
      </vt:variant>
      <vt:variant>
        <vt:i4>0</vt:i4>
      </vt:variant>
      <vt:variant>
        <vt:i4>5</vt:i4>
      </vt:variant>
      <vt:variant>
        <vt:lpwstr>https://www.education.gov.au/heppp/resources/heppp-evaluation-final-report</vt:lpwstr>
      </vt:variant>
      <vt:variant>
        <vt:lpwstr/>
      </vt:variant>
      <vt:variant>
        <vt:i4>983112</vt:i4>
      </vt:variant>
      <vt:variant>
        <vt:i4>647</vt:i4>
      </vt:variant>
      <vt:variant>
        <vt:i4>0</vt:i4>
      </vt:variant>
      <vt:variant>
        <vt:i4>5</vt:i4>
      </vt:variant>
      <vt:variant>
        <vt:lpwstr>https://www.myschool.edu.au/</vt:lpwstr>
      </vt:variant>
      <vt:variant>
        <vt:lpwstr/>
      </vt:variant>
      <vt:variant>
        <vt:i4>1114199</vt:i4>
      </vt:variant>
      <vt:variant>
        <vt:i4>644</vt:i4>
      </vt:variant>
      <vt:variant>
        <vt:i4>0</vt:i4>
      </vt:variant>
      <vt:variant>
        <vt:i4>5</vt:i4>
      </vt:variant>
      <vt:variant>
        <vt:lpwstr>https://www.acara.edu.au/reporting/national-report-on-schooling-in-australia/student-numbers</vt:lpwstr>
      </vt:variant>
      <vt:variant>
        <vt:lpwstr/>
      </vt:variant>
      <vt:variant>
        <vt:i4>852086</vt:i4>
      </vt:variant>
      <vt:variant>
        <vt:i4>641</vt:i4>
      </vt:variant>
      <vt:variant>
        <vt:i4>0</vt:i4>
      </vt:variant>
      <vt:variant>
        <vt:i4>5</vt:i4>
      </vt:variant>
      <vt:variant>
        <vt:lpwstr>https://docs.acara.edu.au/resources/ICSEA_2013_Generation_Report.pdf</vt:lpwstr>
      </vt:variant>
      <vt:variant>
        <vt:lpwstr/>
      </vt:variant>
      <vt:variant>
        <vt:i4>5701682</vt:i4>
      </vt:variant>
      <vt:variant>
        <vt:i4>638</vt:i4>
      </vt:variant>
      <vt:variant>
        <vt:i4>0</vt:i4>
      </vt:variant>
      <vt:variant>
        <vt:i4>5</vt:i4>
      </vt:variant>
      <vt:variant>
        <vt:lpwstr>https://www.abs.gov.au/AUSSTATS/abs@.nsf/mf/1220.0</vt:lpwstr>
      </vt:variant>
      <vt:variant>
        <vt:lpwstr/>
      </vt:variant>
      <vt:variant>
        <vt:i4>1441838</vt:i4>
      </vt:variant>
      <vt:variant>
        <vt:i4>506</vt:i4>
      </vt:variant>
      <vt:variant>
        <vt:i4>0</vt:i4>
      </vt:variant>
      <vt:variant>
        <vt:i4>5</vt:i4>
      </vt:variant>
      <vt:variant>
        <vt:lpwstr/>
      </vt:variant>
      <vt:variant>
        <vt:lpwstr>_Appendix</vt:lpwstr>
      </vt:variant>
      <vt:variant>
        <vt:i4>1835058</vt:i4>
      </vt:variant>
      <vt:variant>
        <vt:i4>470</vt:i4>
      </vt:variant>
      <vt:variant>
        <vt:i4>0</vt:i4>
      </vt:variant>
      <vt:variant>
        <vt:i4>5</vt:i4>
      </vt:variant>
      <vt:variant>
        <vt:lpwstr/>
      </vt:variant>
      <vt:variant>
        <vt:lpwstr>_Toc216774195</vt:lpwstr>
      </vt:variant>
      <vt:variant>
        <vt:i4>1835058</vt:i4>
      </vt:variant>
      <vt:variant>
        <vt:i4>464</vt:i4>
      </vt:variant>
      <vt:variant>
        <vt:i4>0</vt:i4>
      </vt:variant>
      <vt:variant>
        <vt:i4>5</vt:i4>
      </vt:variant>
      <vt:variant>
        <vt:lpwstr/>
      </vt:variant>
      <vt:variant>
        <vt:lpwstr>_Toc216774194</vt:lpwstr>
      </vt:variant>
      <vt:variant>
        <vt:i4>1835058</vt:i4>
      </vt:variant>
      <vt:variant>
        <vt:i4>458</vt:i4>
      </vt:variant>
      <vt:variant>
        <vt:i4>0</vt:i4>
      </vt:variant>
      <vt:variant>
        <vt:i4>5</vt:i4>
      </vt:variant>
      <vt:variant>
        <vt:lpwstr/>
      </vt:variant>
      <vt:variant>
        <vt:lpwstr>_Toc216774193</vt:lpwstr>
      </vt:variant>
      <vt:variant>
        <vt:i4>1900594</vt:i4>
      </vt:variant>
      <vt:variant>
        <vt:i4>449</vt:i4>
      </vt:variant>
      <vt:variant>
        <vt:i4>0</vt:i4>
      </vt:variant>
      <vt:variant>
        <vt:i4>5</vt:i4>
      </vt:variant>
      <vt:variant>
        <vt:lpwstr/>
      </vt:variant>
      <vt:variant>
        <vt:lpwstr>_Toc216774181</vt:lpwstr>
      </vt:variant>
      <vt:variant>
        <vt:i4>1900594</vt:i4>
      </vt:variant>
      <vt:variant>
        <vt:i4>443</vt:i4>
      </vt:variant>
      <vt:variant>
        <vt:i4>0</vt:i4>
      </vt:variant>
      <vt:variant>
        <vt:i4>5</vt:i4>
      </vt:variant>
      <vt:variant>
        <vt:lpwstr/>
      </vt:variant>
      <vt:variant>
        <vt:lpwstr>_Toc216774180</vt:lpwstr>
      </vt:variant>
      <vt:variant>
        <vt:i4>1310770</vt:i4>
      </vt:variant>
      <vt:variant>
        <vt:i4>434</vt:i4>
      </vt:variant>
      <vt:variant>
        <vt:i4>0</vt:i4>
      </vt:variant>
      <vt:variant>
        <vt:i4>5</vt:i4>
      </vt:variant>
      <vt:variant>
        <vt:lpwstr/>
      </vt:variant>
      <vt:variant>
        <vt:lpwstr>_Toc216775103</vt:lpwstr>
      </vt:variant>
      <vt:variant>
        <vt:i4>1310770</vt:i4>
      </vt:variant>
      <vt:variant>
        <vt:i4>428</vt:i4>
      </vt:variant>
      <vt:variant>
        <vt:i4>0</vt:i4>
      </vt:variant>
      <vt:variant>
        <vt:i4>5</vt:i4>
      </vt:variant>
      <vt:variant>
        <vt:lpwstr/>
      </vt:variant>
      <vt:variant>
        <vt:lpwstr>_Toc216775102</vt:lpwstr>
      </vt:variant>
      <vt:variant>
        <vt:i4>1310770</vt:i4>
      </vt:variant>
      <vt:variant>
        <vt:i4>422</vt:i4>
      </vt:variant>
      <vt:variant>
        <vt:i4>0</vt:i4>
      </vt:variant>
      <vt:variant>
        <vt:i4>5</vt:i4>
      </vt:variant>
      <vt:variant>
        <vt:lpwstr/>
      </vt:variant>
      <vt:variant>
        <vt:lpwstr>_Toc216775101</vt:lpwstr>
      </vt:variant>
      <vt:variant>
        <vt:i4>1310770</vt:i4>
      </vt:variant>
      <vt:variant>
        <vt:i4>416</vt:i4>
      </vt:variant>
      <vt:variant>
        <vt:i4>0</vt:i4>
      </vt:variant>
      <vt:variant>
        <vt:i4>5</vt:i4>
      </vt:variant>
      <vt:variant>
        <vt:lpwstr/>
      </vt:variant>
      <vt:variant>
        <vt:lpwstr>_Toc216775100</vt:lpwstr>
      </vt:variant>
      <vt:variant>
        <vt:i4>1900595</vt:i4>
      </vt:variant>
      <vt:variant>
        <vt:i4>410</vt:i4>
      </vt:variant>
      <vt:variant>
        <vt:i4>0</vt:i4>
      </vt:variant>
      <vt:variant>
        <vt:i4>5</vt:i4>
      </vt:variant>
      <vt:variant>
        <vt:lpwstr/>
      </vt:variant>
      <vt:variant>
        <vt:lpwstr>_Toc216775099</vt:lpwstr>
      </vt:variant>
      <vt:variant>
        <vt:i4>1900595</vt:i4>
      </vt:variant>
      <vt:variant>
        <vt:i4>404</vt:i4>
      </vt:variant>
      <vt:variant>
        <vt:i4>0</vt:i4>
      </vt:variant>
      <vt:variant>
        <vt:i4>5</vt:i4>
      </vt:variant>
      <vt:variant>
        <vt:lpwstr/>
      </vt:variant>
      <vt:variant>
        <vt:lpwstr>_Toc216775098</vt:lpwstr>
      </vt:variant>
      <vt:variant>
        <vt:i4>1900595</vt:i4>
      </vt:variant>
      <vt:variant>
        <vt:i4>398</vt:i4>
      </vt:variant>
      <vt:variant>
        <vt:i4>0</vt:i4>
      </vt:variant>
      <vt:variant>
        <vt:i4>5</vt:i4>
      </vt:variant>
      <vt:variant>
        <vt:lpwstr/>
      </vt:variant>
      <vt:variant>
        <vt:lpwstr>_Toc216775097</vt:lpwstr>
      </vt:variant>
      <vt:variant>
        <vt:i4>1900595</vt:i4>
      </vt:variant>
      <vt:variant>
        <vt:i4>392</vt:i4>
      </vt:variant>
      <vt:variant>
        <vt:i4>0</vt:i4>
      </vt:variant>
      <vt:variant>
        <vt:i4>5</vt:i4>
      </vt:variant>
      <vt:variant>
        <vt:lpwstr/>
      </vt:variant>
      <vt:variant>
        <vt:lpwstr>_Toc216775096</vt:lpwstr>
      </vt:variant>
      <vt:variant>
        <vt:i4>1900595</vt:i4>
      </vt:variant>
      <vt:variant>
        <vt:i4>386</vt:i4>
      </vt:variant>
      <vt:variant>
        <vt:i4>0</vt:i4>
      </vt:variant>
      <vt:variant>
        <vt:i4>5</vt:i4>
      </vt:variant>
      <vt:variant>
        <vt:lpwstr/>
      </vt:variant>
      <vt:variant>
        <vt:lpwstr>_Toc216775095</vt:lpwstr>
      </vt:variant>
      <vt:variant>
        <vt:i4>1900595</vt:i4>
      </vt:variant>
      <vt:variant>
        <vt:i4>380</vt:i4>
      </vt:variant>
      <vt:variant>
        <vt:i4>0</vt:i4>
      </vt:variant>
      <vt:variant>
        <vt:i4>5</vt:i4>
      </vt:variant>
      <vt:variant>
        <vt:lpwstr/>
      </vt:variant>
      <vt:variant>
        <vt:lpwstr>_Toc216775094</vt:lpwstr>
      </vt:variant>
      <vt:variant>
        <vt:i4>1900595</vt:i4>
      </vt:variant>
      <vt:variant>
        <vt:i4>374</vt:i4>
      </vt:variant>
      <vt:variant>
        <vt:i4>0</vt:i4>
      </vt:variant>
      <vt:variant>
        <vt:i4>5</vt:i4>
      </vt:variant>
      <vt:variant>
        <vt:lpwstr/>
      </vt:variant>
      <vt:variant>
        <vt:lpwstr>_Toc216775093</vt:lpwstr>
      </vt:variant>
      <vt:variant>
        <vt:i4>1900595</vt:i4>
      </vt:variant>
      <vt:variant>
        <vt:i4>368</vt:i4>
      </vt:variant>
      <vt:variant>
        <vt:i4>0</vt:i4>
      </vt:variant>
      <vt:variant>
        <vt:i4>5</vt:i4>
      </vt:variant>
      <vt:variant>
        <vt:lpwstr/>
      </vt:variant>
      <vt:variant>
        <vt:lpwstr>_Toc216775092</vt:lpwstr>
      </vt:variant>
      <vt:variant>
        <vt:i4>1900595</vt:i4>
      </vt:variant>
      <vt:variant>
        <vt:i4>362</vt:i4>
      </vt:variant>
      <vt:variant>
        <vt:i4>0</vt:i4>
      </vt:variant>
      <vt:variant>
        <vt:i4>5</vt:i4>
      </vt:variant>
      <vt:variant>
        <vt:lpwstr/>
      </vt:variant>
      <vt:variant>
        <vt:lpwstr>_Toc216775091</vt:lpwstr>
      </vt:variant>
      <vt:variant>
        <vt:i4>1900595</vt:i4>
      </vt:variant>
      <vt:variant>
        <vt:i4>356</vt:i4>
      </vt:variant>
      <vt:variant>
        <vt:i4>0</vt:i4>
      </vt:variant>
      <vt:variant>
        <vt:i4>5</vt:i4>
      </vt:variant>
      <vt:variant>
        <vt:lpwstr/>
      </vt:variant>
      <vt:variant>
        <vt:lpwstr>_Toc216775090</vt:lpwstr>
      </vt:variant>
      <vt:variant>
        <vt:i4>1835059</vt:i4>
      </vt:variant>
      <vt:variant>
        <vt:i4>350</vt:i4>
      </vt:variant>
      <vt:variant>
        <vt:i4>0</vt:i4>
      </vt:variant>
      <vt:variant>
        <vt:i4>5</vt:i4>
      </vt:variant>
      <vt:variant>
        <vt:lpwstr/>
      </vt:variant>
      <vt:variant>
        <vt:lpwstr>_Toc216775089</vt:lpwstr>
      </vt:variant>
      <vt:variant>
        <vt:i4>1835059</vt:i4>
      </vt:variant>
      <vt:variant>
        <vt:i4>344</vt:i4>
      </vt:variant>
      <vt:variant>
        <vt:i4>0</vt:i4>
      </vt:variant>
      <vt:variant>
        <vt:i4>5</vt:i4>
      </vt:variant>
      <vt:variant>
        <vt:lpwstr/>
      </vt:variant>
      <vt:variant>
        <vt:lpwstr>_Toc216775088</vt:lpwstr>
      </vt:variant>
      <vt:variant>
        <vt:i4>1835059</vt:i4>
      </vt:variant>
      <vt:variant>
        <vt:i4>338</vt:i4>
      </vt:variant>
      <vt:variant>
        <vt:i4>0</vt:i4>
      </vt:variant>
      <vt:variant>
        <vt:i4>5</vt:i4>
      </vt:variant>
      <vt:variant>
        <vt:lpwstr/>
      </vt:variant>
      <vt:variant>
        <vt:lpwstr>_Toc216775087</vt:lpwstr>
      </vt:variant>
      <vt:variant>
        <vt:i4>1835059</vt:i4>
      </vt:variant>
      <vt:variant>
        <vt:i4>332</vt:i4>
      </vt:variant>
      <vt:variant>
        <vt:i4>0</vt:i4>
      </vt:variant>
      <vt:variant>
        <vt:i4>5</vt:i4>
      </vt:variant>
      <vt:variant>
        <vt:lpwstr/>
      </vt:variant>
      <vt:variant>
        <vt:lpwstr>_Toc216775086</vt:lpwstr>
      </vt:variant>
      <vt:variant>
        <vt:i4>1835059</vt:i4>
      </vt:variant>
      <vt:variant>
        <vt:i4>326</vt:i4>
      </vt:variant>
      <vt:variant>
        <vt:i4>0</vt:i4>
      </vt:variant>
      <vt:variant>
        <vt:i4>5</vt:i4>
      </vt:variant>
      <vt:variant>
        <vt:lpwstr/>
      </vt:variant>
      <vt:variant>
        <vt:lpwstr>_Toc216775085</vt:lpwstr>
      </vt:variant>
      <vt:variant>
        <vt:i4>1835059</vt:i4>
      </vt:variant>
      <vt:variant>
        <vt:i4>320</vt:i4>
      </vt:variant>
      <vt:variant>
        <vt:i4>0</vt:i4>
      </vt:variant>
      <vt:variant>
        <vt:i4>5</vt:i4>
      </vt:variant>
      <vt:variant>
        <vt:lpwstr/>
      </vt:variant>
      <vt:variant>
        <vt:lpwstr>_Toc216775084</vt:lpwstr>
      </vt:variant>
      <vt:variant>
        <vt:i4>1835059</vt:i4>
      </vt:variant>
      <vt:variant>
        <vt:i4>314</vt:i4>
      </vt:variant>
      <vt:variant>
        <vt:i4>0</vt:i4>
      </vt:variant>
      <vt:variant>
        <vt:i4>5</vt:i4>
      </vt:variant>
      <vt:variant>
        <vt:lpwstr/>
      </vt:variant>
      <vt:variant>
        <vt:lpwstr>_Toc216775083</vt:lpwstr>
      </vt:variant>
      <vt:variant>
        <vt:i4>1835059</vt:i4>
      </vt:variant>
      <vt:variant>
        <vt:i4>308</vt:i4>
      </vt:variant>
      <vt:variant>
        <vt:i4>0</vt:i4>
      </vt:variant>
      <vt:variant>
        <vt:i4>5</vt:i4>
      </vt:variant>
      <vt:variant>
        <vt:lpwstr/>
      </vt:variant>
      <vt:variant>
        <vt:lpwstr>_Toc216775082</vt:lpwstr>
      </vt:variant>
      <vt:variant>
        <vt:i4>1835059</vt:i4>
      </vt:variant>
      <vt:variant>
        <vt:i4>302</vt:i4>
      </vt:variant>
      <vt:variant>
        <vt:i4>0</vt:i4>
      </vt:variant>
      <vt:variant>
        <vt:i4>5</vt:i4>
      </vt:variant>
      <vt:variant>
        <vt:lpwstr/>
      </vt:variant>
      <vt:variant>
        <vt:lpwstr>_Toc216775081</vt:lpwstr>
      </vt:variant>
      <vt:variant>
        <vt:i4>1835059</vt:i4>
      </vt:variant>
      <vt:variant>
        <vt:i4>296</vt:i4>
      </vt:variant>
      <vt:variant>
        <vt:i4>0</vt:i4>
      </vt:variant>
      <vt:variant>
        <vt:i4>5</vt:i4>
      </vt:variant>
      <vt:variant>
        <vt:lpwstr/>
      </vt:variant>
      <vt:variant>
        <vt:lpwstr>_Toc216775080</vt:lpwstr>
      </vt:variant>
      <vt:variant>
        <vt:i4>1245235</vt:i4>
      </vt:variant>
      <vt:variant>
        <vt:i4>290</vt:i4>
      </vt:variant>
      <vt:variant>
        <vt:i4>0</vt:i4>
      </vt:variant>
      <vt:variant>
        <vt:i4>5</vt:i4>
      </vt:variant>
      <vt:variant>
        <vt:lpwstr/>
      </vt:variant>
      <vt:variant>
        <vt:lpwstr>_Toc216775079</vt:lpwstr>
      </vt:variant>
      <vt:variant>
        <vt:i4>1245235</vt:i4>
      </vt:variant>
      <vt:variant>
        <vt:i4>284</vt:i4>
      </vt:variant>
      <vt:variant>
        <vt:i4>0</vt:i4>
      </vt:variant>
      <vt:variant>
        <vt:i4>5</vt:i4>
      </vt:variant>
      <vt:variant>
        <vt:lpwstr/>
      </vt:variant>
      <vt:variant>
        <vt:lpwstr>_Toc216775078</vt:lpwstr>
      </vt:variant>
      <vt:variant>
        <vt:i4>1245235</vt:i4>
      </vt:variant>
      <vt:variant>
        <vt:i4>278</vt:i4>
      </vt:variant>
      <vt:variant>
        <vt:i4>0</vt:i4>
      </vt:variant>
      <vt:variant>
        <vt:i4>5</vt:i4>
      </vt:variant>
      <vt:variant>
        <vt:lpwstr/>
      </vt:variant>
      <vt:variant>
        <vt:lpwstr>_Toc216775077</vt:lpwstr>
      </vt:variant>
      <vt:variant>
        <vt:i4>1245235</vt:i4>
      </vt:variant>
      <vt:variant>
        <vt:i4>272</vt:i4>
      </vt:variant>
      <vt:variant>
        <vt:i4>0</vt:i4>
      </vt:variant>
      <vt:variant>
        <vt:i4>5</vt:i4>
      </vt:variant>
      <vt:variant>
        <vt:lpwstr/>
      </vt:variant>
      <vt:variant>
        <vt:lpwstr>_Toc216775076</vt:lpwstr>
      </vt:variant>
      <vt:variant>
        <vt:i4>1245235</vt:i4>
      </vt:variant>
      <vt:variant>
        <vt:i4>266</vt:i4>
      </vt:variant>
      <vt:variant>
        <vt:i4>0</vt:i4>
      </vt:variant>
      <vt:variant>
        <vt:i4>5</vt:i4>
      </vt:variant>
      <vt:variant>
        <vt:lpwstr/>
      </vt:variant>
      <vt:variant>
        <vt:lpwstr>_Toc216775075</vt:lpwstr>
      </vt:variant>
      <vt:variant>
        <vt:i4>1245235</vt:i4>
      </vt:variant>
      <vt:variant>
        <vt:i4>260</vt:i4>
      </vt:variant>
      <vt:variant>
        <vt:i4>0</vt:i4>
      </vt:variant>
      <vt:variant>
        <vt:i4>5</vt:i4>
      </vt:variant>
      <vt:variant>
        <vt:lpwstr/>
      </vt:variant>
      <vt:variant>
        <vt:lpwstr>_Toc216775074</vt:lpwstr>
      </vt:variant>
      <vt:variant>
        <vt:i4>1245235</vt:i4>
      </vt:variant>
      <vt:variant>
        <vt:i4>254</vt:i4>
      </vt:variant>
      <vt:variant>
        <vt:i4>0</vt:i4>
      </vt:variant>
      <vt:variant>
        <vt:i4>5</vt:i4>
      </vt:variant>
      <vt:variant>
        <vt:lpwstr/>
      </vt:variant>
      <vt:variant>
        <vt:lpwstr>_Toc216775073</vt:lpwstr>
      </vt:variant>
      <vt:variant>
        <vt:i4>1245235</vt:i4>
      </vt:variant>
      <vt:variant>
        <vt:i4>248</vt:i4>
      </vt:variant>
      <vt:variant>
        <vt:i4>0</vt:i4>
      </vt:variant>
      <vt:variant>
        <vt:i4>5</vt:i4>
      </vt:variant>
      <vt:variant>
        <vt:lpwstr/>
      </vt:variant>
      <vt:variant>
        <vt:lpwstr>_Toc216775072</vt:lpwstr>
      </vt:variant>
      <vt:variant>
        <vt:i4>1245235</vt:i4>
      </vt:variant>
      <vt:variant>
        <vt:i4>242</vt:i4>
      </vt:variant>
      <vt:variant>
        <vt:i4>0</vt:i4>
      </vt:variant>
      <vt:variant>
        <vt:i4>5</vt:i4>
      </vt:variant>
      <vt:variant>
        <vt:lpwstr/>
      </vt:variant>
      <vt:variant>
        <vt:lpwstr>_Toc216775071</vt:lpwstr>
      </vt:variant>
      <vt:variant>
        <vt:i4>1245235</vt:i4>
      </vt:variant>
      <vt:variant>
        <vt:i4>236</vt:i4>
      </vt:variant>
      <vt:variant>
        <vt:i4>0</vt:i4>
      </vt:variant>
      <vt:variant>
        <vt:i4>5</vt:i4>
      </vt:variant>
      <vt:variant>
        <vt:lpwstr/>
      </vt:variant>
      <vt:variant>
        <vt:lpwstr>_Toc216775070</vt:lpwstr>
      </vt:variant>
      <vt:variant>
        <vt:i4>1179699</vt:i4>
      </vt:variant>
      <vt:variant>
        <vt:i4>230</vt:i4>
      </vt:variant>
      <vt:variant>
        <vt:i4>0</vt:i4>
      </vt:variant>
      <vt:variant>
        <vt:i4>5</vt:i4>
      </vt:variant>
      <vt:variant>
        <vt:lpwstr/>
      </vt:variant>
      <vt:variant>
        <vt:lpwstr>_Toc216775069</vt:lpwstr>
      </vt:variant>
      <vt:variant>
        <vt:i4>1179699</vt:i4>
      </vt:variant>
      <vt:variant>
        <vt:i4>224</vt:i4>
      </vt:variant>
      <vt:variant>
        <vt:i4>0</vt:i4>
      </vt:variant>
      <vt:variant>
        <vt:i4>5</vt:i4>
      </vt:variant>
      <vt:variant>
        <vt:lpwstr/>
      </vt:variant>
      <vt:variant>
        <vt:lpwstr>_Toc216775068</vt:lpwstr>
      </vt:variant>
      <vt:variant>
        <vt:i4>1179699</vt:i4>
      </vt:variant>
      <vt:variant>
        <vt:i4>218</vt:i4>
      </vt:variant>
      <vt:variant>
        <vt:i4>0</vt:i4>
      </vt:variant>
      <vt:variant>
        <vt:i4>5</vt:i4>
      </vt:variant>
      <vt:variant>
        <vt:lpwstr/>
      </vt:variant>
      <vt:variant>
        <vt:lpwstr>_Toc216775067</vt:lpwstr>
      </vt:variant>
      <vt:variant>
        <vt:i4>1179699</vt:i4>
      </vt:variant>
      <vt:variant>
        <vt:i4>212</vt:i4>
      </vt:variant>
      <vt:variant>
        <vt:i4>0</vt:i4>
      </vt:variant>
      <vt:variant>
        <vt:i4>5</vt:i4>
      </vt:variant>
      <vt:variant>
        <vt:lpwstr/>
      </vt:variant>
      <vt:variant>
        <vt:lpwstr>_Toc216775066</vt:lpwstr>
      </vt:variant>
      <vt:variant>
        <vt:i4>1179699</vt:i4>
      </vt:variant>
      <vt:variant>
        <vt:i4>206</vt:i4>
      </vt:variant>
      <vt:variant>
        <vt:i4>0</vt:i4>
      </vt:variant>
      <vt:variant>
        <vt:i4>5</vt:i4>
      </vt:variant>
      <vt:variant>
        <vt:lpwstr/>
      </vt:variant>
      <vt:variant>
        <vt:lpwstr>_Toc216775065</vt:lpwstr>
      </vt:variant>
      <vt:variant>
        <vt:i4>1179699</vt:i4>
      </vt:variant>
      <vt:variant>
        <vt:i4>200</vt:i4>
      </vt:variant>
      <vt:variant>
        <vt:i4>0</vt:i4>
      </vt:variant>
      <vt:variant>
        <vt:i4>5</vt:i4>
      </vt:variant>
      <vt:variant>
        <vt:lpwstr/>
      </vt:variant>
      <vt:variant>
        <vt:lpwstr>_Toc216775064</vt:lpwstr>
      </vt:variant>
      <vt:variant>
        <vt:i4>1179699</vt:i4>
      </vt:variant>
      <vt:variant>
        <vt:i4>194</vt:i4>
      </vt:variant>
      <vt:variant>
        <vt:i4>0</vt:i4>
      </vt:variant>
      <vt:variant>
        <vt:i4>5</vt:i4>
      </vt:variant>
      <vt:variant>
        <vt:lpwstr/>
      </vt:variant>
      <vt:variant>
        <vt:lpwstr>_Toc216775063</vt:lpwstr>
      </vt:variant>
      <vt:variant>
        <vt:i4>1179699</vt:i4>
      </vt:variant>
      <vt:variant>
        <vt:i4>188</vt:i4>
      </vt:variant>
      <vt:variant>
        <vt:i4>0</vt:i4>
      </vt:variant>
      <vt:variant>
        <vt:i4>5</vt:i4>
      </vt:variant>
      <vt:variant>
        <vt:lpwstr/>
      </vt:variant>
      <vt:variant>
        <vt:lpwstr>_Toc216775062</vt:lpwstr>
      </vt:variant>
      <vt:variant>
        <vt:i4>1179699</vt:i4>
      </vt:variant>
      <vt:variant>
        <vt:i4>182</vt:i4>
      </vt:variant>
      <vt:variant>
        <vt:i4>0</vt:i4>
      </vt:variant>
      <vt:variant>
        <vt:i4>5</vt:i4>
      </vt:variant>
      <vt:variant>
        <vt:lpwstr/>
      </vt:variant>
      <vt:variant>
        <vt:lpwstr>_Toc216775061</vt:lpwstr>
      </vt:variant>
      <vt:variant>
        <vt:i4>1179699</vt:i4>
      </vt:variant>
      <vt:variant>
        <vt:i4>176</vt:i4>
      </vt:variant>
      <vt:variant>
        <vt:i4>0</vt:i4>
      </vt:variant>
      <vt:variant>
        <vt:i4>5</vt:i4>
      </vt:variant>
      <vt:variant>
        <vt:lpwstr/>
      </vt:variant>
      <vt:variant>
        <vt:lpwstr>_Toc216775060</vt:lpwstr>
      </vt:variant>
      <vt:variant>
        <vt:i4>1114163</vt:i4>
      </vt:variant>
      <vt:variant>
        <vt:i4>170</vt:i4>
      </vt:variant>
      <vt:variant>
        <vt:i4>0</vt:i4>
      </vt:variant>
      <vt:variant>
        <vt:i4>5</vt:i4>
      </vt:variant>
      <vt:variant>
        <vt:lpwstr/>
      </vt:variant>
      <vt:variant>
        <vt:lpwstr>_Toc216775059</vt:lpwstr>
      </vt:variant>
      <vt:variant>
        <vt:i4>1114163</vt:i4>
      </vt:variant>
      <vt:variant>
        <vt:i4>164</vt:i4>
      </vt:variant>
      <vt:variant>
        <vt:i4>0</vt:i4>
      </vt:variant>
      <vt:variant>
        <vt:i4>5</vt:i4>
      </vt:variant>
      <vt:variant>
        <vt:lpwstr/>
      </vt:variant>
      <vt:variant>
        <vt:lpwstr>_Toc216775058</vt:lpwstr>
      </vt:variant>
      <vt:variant>
        <vt:i4>1114163</vt:i4>
      </vt:variant>
      <vt:variant>
        <vt:i4>158</vt:i4>
      </vt:variant>
      <vt:variant>
        <vt:i4>0</vt:i4>
      </vt:variant>
      <vt:variant>
        <vt:i4>5</vt:i4>
      </vt:variant>
      <vt:variant>
        <vt:lpwstr/>
      </vt:variant>
      <vt:variant>
        <vt:lpwstr>_Toc216775057</vt:lpwstr>
      </vt:variant>
      <vt:variant>
        <vt:i4>1114163</vt:i4>
      </vt:variant>
      <vt:variant>
        <vt:i4>152</vt:i4>
      </vt:variant>
      <vt:variant>
        <vt:i4>0</vt:i4>
      </vt:variant>
      <vt:variant>
        <vt:i4>5</vt:i4>
      </vt:variant>
      <vt:variant>
        <vt:lpwstr/>
      </vt:variant>
      <vt:variant>
        <vt:lpwstr>_Toc216775056</vt:lpwstr>
      </vt:variant>
      <vt:variant>
        <vt:i4>1114163</vt:i4>
      </vt:variant>
      <vt:variant>
        <vt:i4>146</vt:i4>
      </vt:variant>
      <vt:variant>
        <vt:i4>0</vt:i4>
      </vt:variant>
      <vt:variant>
        <vt:i4>5</vt:i4>
      </vt:variant>
      <vt:variant>
        <vt:lpwstr/>
      </vt:variant>
      <vt:variant>
        <vt:lpwstr>_Toc216775055</vt:lpwstr>
      </vt:variant>
      <vt:variant>
        <vt:i4>1114163</vt:i4>
      </vt:variant>
      <vt:variant>
        <vt:i4>140</vt:i4>
      </vt:variant>
      <vt:variant>
        <vt:i4>0</vt:i4>
      </vt:variant>
      <vt:variant>
        <vt:i4>5</vt:i4>
      </vt:variant>
      <vt:variant>
        <vt:lpwstr/>
      </vt:variant>
      <vt:variant>
        <vt:lpwstr>_Toc216775054</vt:lpwstr>
      </vt:variant>
      <vt:variant>
        <vt:i4>1114163</vt:i4>
      </vt:variant>
      <vt:variant>
        <vt:i4>134</vt:i4>
      </vt:variant>
      <vt:variant>
        <vt:i4>0</vt:i4>
      </vt:variant>
      <vt:variant>
        <vt:i4>5</vt:i4>
      </vt:variant>
      <vt:variant>
        <vt:lpwstr/>
      </vt:variant>
      <vt:variant>
        <vt:lpwstr>_Toc216775053</vt:lpwstr>
      </vt:variant>
      <vt:variant>
        <vt:i4>1114163</vt:i4>
      </vt:variant>
      <vt:variant>
        <vt:i4>128</vt:i4>
      </vt:variant>
      <vt:variant>
        <vt:i4>0</vt:i4>
      </vt:variant>
      <vt:variant>
        <vt:i4>5</vt:i4>
      </vt:variant>
      <vt:variant>
        <vt:lpwstr/>
      </vt:variant>
      <vt:variant>
        <vt:lpwstr>_Toc216775052</vt:lpwstr>
      </vt:variant>
      <vt:variant>
        <vt:i4>1114163</vt:i4>
      </vt:variant>
      <vt:variant>
        <vt:i4>122</vt:i4>
      </vt:variant>
      <vt:variant>
        <vt:i4>0</vt:i4>
      </vt:variant>
      <vt:variant>
        <vt:i4>5</vt:i4>
      </vt:variant>
      <vt:variant>
        <vt:lpwstr/>
      </vt:variant>
      <vt:variant>
        <vt:lpwstr>_Toc216775051</vt:lpwstr>
      </vt:variant>
      <vt:variant>
        <vt:i4>1114163</vt:i4>
      </vt:variant>
      <vt:variant>
        <vt:i4>116</vt:i4>
      </vt:variant>
      <vt:variant>
        <vt:i4>0</vt:i4>
      </vt:variant>
      <vt:variant>
        <vt:i4>5</vt:i4>
      </vt:variant>
      <vt:variant>
        <vt:lpwstr/>
      </vt:variant>
      <vt:variant>
        <vt:lpwstr>_Toc216775050</vt:lpwstr>
      </vt:variant>
      <vt:variant>
        <vt:i4>1048627</vt:i4>
      </vt:variant>
      <vt:variant>
        <vt:i4>110</vt:i4>
      </vt:variant>
      <vt:variant>
        <vt:i4>0</vt:i4>
      </vt:variant>
      <vt:variant>
        <vt:i4>5</vt:i4>
      </vt:variant>
      <vt:variant>
        <vt:lpwstr/>
      </vt:variant>
      <vt:variant>
        <vt:lpwstr>_Toc216775049</vt:lpwstr>
      </vt:variant>
      <vt:variant>
        <vt:i4>1048627</vt:i4>
      </vt:variant>
      <vt:variant>
        <vt:i4>104</vt:i4>
      </vt:variant>
      <vt:variant>
        <vt:i4>0</vt:i4>
      </vt:variant>
      <vt:variant>
        <vt:i4>5</vt:i4>
      </vt:variant>
      <vt:variant>
        <vt:lpwstr/>
      </vt:variant>
      <vt:variant>
        <vt:lpwstr>_Toc216775048</vt:lpwstr>
      </vt:variant>
      <vt:variant>
        <vt:i4>1048627</vt:i4>
      </vt:variant>
      <vt:variant>
        <vt:i4>98</vt:i4>
      </vt:variant>
      <vt:variant>
        <vt:i4>0</vt:i4>
      </vt:variant>
      <vt:variant>
        <vt:i4>5</vt:i4>
      </vt:variant>
      <vt:variant>
        <vt:lpwstr/>
      </vt:variant>
      <vt:variant>
        <vt:lpwstr>_Toc216775047</vt:lpwstr>
      </vt:variant>
      <vt:variant>
        <vt:i4>1048627</vt:i4>
      </vt:variant>
      <vt:variant>
        <vt:i4>92</vt:i4>
      </vt:variant>
      <vt:variant>
        <vt:i4>0</vt:i4>
      </vt:variant>
      <vt:variant>
        <vt:i4>5</vt:i4>
      </vt:variant>
      <vt:variant>
        <vt:lpwstr/>
      </vt:variant>
      <vt:variant>
        <vt:lpwstr>_Toc216775046</vt:lpwstr>
      </vt:variant>
      <vt:variant>
        <vt:i4>1048627</vt:i4>
      </vt:variant>
      <vt:variant>
        <vt:i4>86</vt:i4>
      </vt:variant>
      <vt:variant>
        <vt:i4>0</vt:i4>
      </vt:variant>
      <vt:variant>
        <vt:i4>5</vt:i4>
      </vt:variant>
      <vt:variant>
        <vt:lpwstr/>
      </vt:variant>
      <vt:variant>
        <vt:lpwstr>_Toc216775045</vt:lpwstr>
      </vt:variant>
      <vt:variant>
        <vt:i4>1048627</vt:i4>
      </vt:variant>
      <vt:variant>
        <vt:i4>80</vt:i4>
      </vt:variant>
      <vt:variant>
        <vt:i4>0</vt:i4>
      </vt:variant>
      <vt:variant>
        <vt:i4>5</vt:i4>
      </vt:variant>
      <vt:variant>
        <vt:lpwstr/>
      </vt:variant>
      <vt:variant>
        <vt:lpwstr>_Toc216775044</vt:lpwstr>
      </vt:variant>
      <vt:variant>
        <vt:i4>1048627</vt:i4>
      </vt:variant>
      <vt:variant>
        <vt:i4>74</vt:i4>
      </vt:variant>
      <vt:variant>
        <vt:i4>0</vt:i4>
      </vt:variant>
      <vt:variant>
        <vt:i4>5</vt:i4>
      </vt:variant>
      <vt:variant>
        <vt:lpwstr/>
      </vt:variant>
      <vt:variant>
        <vt:lpwstr>_Toc216775043</vt:lpwstr>
      </vt:variant>
      <vt:variant>
        <vt:i4>1048627</vt:i4>
      </vt:variant>
      <vt:variant>
        <vt:i4>68</vt:i4>
      </vt:variant>
      <vt:variant>
        <vt:i4>0</vt:i4>
      </vt:variant>
      <vt:variant>
        <vt:i4>5</vt:i4>
      </vt:variant>
      <vt:variant>
        <vt:lpwstr/>
      </vt:variant>
      <vt:variant>
        <vt:lpwstr>_Toc216775042</vt:lpwstr>
      </vt:variant>
      <vt:variant>
        <vt:i4>1048627</vt:i4>
      </vt:variant>
      <vt:variant>
        <vt:i4>62</vt:i4>
      </vt:variant>
      <vt:variant>
        <vt:i4>0</vt:i4>
      </vt:variant>
      <vt:variant>
        <vt:i4>5</vt:i4>
      </vt:variant>
      <vt:variant>
        <vt:lpwstr/>
      </vt:variant>
      <vt:variant>
        <vt:lpwstr>_Toc216775041</vt:lpwstr>
      </vt:variant>
      <vt:variant>
        <vt:i4>1048627</vt:i4>
      </vt:variant>
      <vt:variant>
        <vt:i4>56</vt:i4>
      </vt:variant>
      <vt:variant>
        <vt:i4>0</vt:i4>
      </vt:variant>
      <vt:variant>
        <vt:i4>5</vt:i4>
      </vt:variant>
      <vt:variant>
        <vt:lpwstr/>
      </vt:variant>
      <vt:variant>
        <vt:lpwstr>_Toc216775040</vt:lpwstr>
      </vt:variant>
      <vt:variant>
        <vt:i4>1507379</vt:i4>
      </vt:variant>
      <vt:variant>
        <vt:i4>50</vt:i4>
      </vt:variant>
      <vt:variant>
        <vt:i4>0</vt:i4>
      </vt:variant>
      <vt:variant>
        <vt:i4>5</vt:i4>
      </vt:variant>
      <vt:variant>
        <vt:lpwstr/>
      </vt:variant>
      <vt:variant>
        <vt:lpwstr>_Toc216775039</vt:lpwstr>
      </vt:variant>
      <vt:variant>
        <vt:i4>1507379</vt:i4>
      </vt:variant>
      <vt:variant>
        <vt:i4>44</vt:i4>
      </vt:variant>
      <vt:variant>
        <vt:i4>0</vt:i4>
      </vt:variant>
      <vt:variant>
        <vt:i4>5</vt:i4>
      </vt:variant>
      <vt:variant>
        <vt:lpwstr/>
      </vt:variant>
      <vt:variant>
        <vt:lpwstr>_Toc216775038</vt:lpwstr>
      </vt:variant>
      <vt:variant>
        <vt:i4>1507379</vt:i4>
      </vt:variant>
      <vt:variant>
        <vt:i4>38</vt:i4>
      </vt:variant>
      <vt:variant>
        <vt:i4>0</vt:i4>
      </vt:variant>
      <vt:variant>
        <vt:i4>5</vt:i4>
      </vt:variant>
      <vt:variant>
        <vt:lpwstr/>
      </vt:variant>
      <vt:variant>
        <vt:lpwstr>_Toc216775036</vt:lpwstr>
      </vt:variant>
      <vt:variant>
        <vt:i4>1507379</vt:i4>
      </vt:variant>
      <vt:variant>
        <vt:i4>32</vt:i4>
      </vt:variant>
      <vt:variant>
        <vt:i4>0</vt:i4>
      </vt:variant>
      <vt:variant>
        <vt:i4>5</vt:i4>
      </vt:variant>
      <vt:variant>
        <vt:lpwstr/>
      </vt:variant>
      <vt:variant>
        <vt:lpwstr>_Toc216775035</vt:lpwstr>
      </vt:variant>
      <vt:variant>
        <vt:i4>1507379</vt:i4>
      </vt:variant>
      <vt:variant>
        <vt:i4>26</vt:i4>
      </vt:variant>
      <vt:variant>
        <vt:i4>0</vt:i4>
      </vt:variant>
      <vt:variant>
        <vt:i4>5</vt:i4>
      </vt:variant>
      <vt:variant>
        <vt:lpwstr/>
      </vt:variant>
      <vt:variant>
        <vt:lpwstr>_Toc216775034</vt:lpwstr>
      </vt:variant>
      <vt:variant>
        <vt:i4>1507379</vt:i4>
      </vt:variant>
      <vt:variant>
        <vt:i4>20</vt:i4>
      </vt:variant>
      <vt:variant>
        <vt:i4>0</vt:i4>
      </vt:variant>
      <vt:variant>
        <vt:i4>5</vt:i4>
      </vt:variant>
      <vt:variant>
        <vt:lpwstr/>
      </vt:variant>
      <vt:variant>
        <vt:lpwstr>_Toc216775033</vt:lpwstr>
      </vt:variant>
      <vt:variant>
        <vt:i4>1507379</vt:i4>
      </vt:variant>
      <vt:variant>
        <vt:i4>14</vt:i4>
      </vt:variant>
      <vt:variant>
        <vt:i4>0</vt:i4>
      </vt:variant>
      <vt:variant>
        <vt:i4>5</vt:i4>
      </vt:variant>
      <vt:variant>
        <vt:lpwstr/>
      </vt:variant>
      <vt:variant>
        <vt:lpwstr>_Toc216775032</vt:lpwstr>
      </vt:variant>
      <vt:variant>
        <vt:i4>1507379</vt:i4>
      </vt:variant>
      <vt:variant>
        <vt:i4>8</vt:i4>
      </vt:variant>
      <vt:variant>
        <vt:i4>0</vt:i4>
      </vt:variant>
      <vt:variant>
        <vt:i4>5</vt:i4>
      </vt:variant>
      <vt:variant>
        <vt:lpwstr/>
      </vt:variant>
      <vt:variant>
        <vt:lpwstr>_Toc216775031</vt:lpwstr>
      </vt:variant>
      <vt:variant>
        <vt:i4>1310791</vt:i4>
      </vt:variant>
      <vt:variant>
        <vt:i4>3</vt:i4>
      </vt:variant>
      <vt:variant>
        <vt:i4>0</vt:i4>
      </vt:variant>
      <vt:variant>
        <vt:i4>5</vt:i4>
      </vt:variant>
      <vt:variant>
        <vt:lpwstr>http://www.acses.edu.au/</vt:lpwstr>
      </vt:variant>
      <vt:variant>
        <vt:lpwstr/>
      </vt:variant>
      <vt:variant>
        <vt:i4>6946834</vt:i4>
      </vt:variant>
      <vt:variant>
        <vt:i4>0</vt:i4>
      </vt:variant>
      <vt:variant>
        <vt:i4>0</vt:i4>
      </vt:variant>
      <vt:variant>
        <vt:i4>5</vt:i4>
      </vt:variant>
      <vt:variant>
        <vt:lpwstr>mailto:acses@curtin.edu.au</vt:lpwstr>
      </vt:variant>
      <vt:variant>
        <vt:lpwstr/>
      </vt:variant>
      <vt:variant>
        <vt:i4>7143533</vt:i4>
      </vt:variant>
      <vt:variant>
        <vt:i4>3</vt:i4>
      </vt:variant>
      <vt:variant>
        <vt:i4>0</vt:i4>
      </vt:variant>
      <vt:variant>
        <vt:i4>5</vt:i4>
      </vt:variant>
      <vt:variant>
        <vt:lpwstr>https://www.bravusmining.com.au/what-is-fifo-work-in-australia/</vt:lpwstr>
      </vt:variant>
      <vt:variant>
        <vt:lpwstr/>
      </vt:variant>
      <vt:variant>
        <vt:i4>65596</vt:i4>
      </vt:variant>
      <vt:variant>
        <vt:i4>0</vt:i4>
      </vt:variant>
      <vt:variant>
        <vt:i4>0</vt:i4>
      </vt:variant>
      <vt:variant>
        <vt:i4>5</vt:i4>
      </vt:variant>
      <vt:variant>
        <vt:lpwstr>mailto:kes239@newcastle.edu.au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Fray</dc:creator>
  <cp:keywords/>
  <dc:description/>
  <cp:lastModifiedBy>Anna Will</cp:lastModifiedBy>
  <cp:revision>261</cp:revision>
  <dcterms:created xsi:type="dcterms:W3CDTF">2025-12-18T04:04:00Z</dcterms:created>
  <dcterms:modified xsi:type="dcterms:W3CDTF">2026-01-27T01:39:00Z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a93f9fbf445aec91086ac0e70420023536c72e216bcddb8cd95862fab7ecb880</vt:lpwstr>
  </property>
  <property fmtid="{D5CDD505-2E9C-101B-9397-08002B2CF9AE}" pid="3" name="ContentTypeId">
    <vt:lpwstr>0x010100CC3A15406ED683419E43B966310945AC</vt:lpwstr>
  </property>
  <property fmtid="{D5CDD505-2E9C-101B-9397-08002B2CF9AE}" pid="4" name="MediaServiceImageTags">
    <vt:lpwstr/>
  </property>
</Properties>
</file>