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361" w14:textId="77777777" w:rsidR="003312D1" w:rsidRDefault="003312D1" w:rsidP="003312D1"/>
    <w:p w14:paraId="4A917CEF" w14:textId="4384B07B" w:rsidR="00986096" w:rsidRDefault="00986096" w:rsidP="00DE32DF">
      <w:pPr>
        <w:pStyle w:val="Heading1"/>
      </w:pPr>
      <w:r w:rsidRPr="00986096">
        <w:t>Guidelines for the 202</w:t>
      </w:r>
      <w:r w:rsidR="002A4EBD">
        <w:t>6</w:t>
      </w:r>
      <w:r w:rsidR="001E399A">
        <w:t>–</w:t>
      </w:r>
      <w:r w:rsidRPr="00986096">
        <w:t>2</w:t>
      </w:r>
      <w:r w:rsidR="002A4EBD">
        <w:t>7</w:t>
      </w:r>
      <w:r w:rsidRPr="00986096">
        <w:t xml:space="preserve"> Higher Degree by Research (HDR) Stipend Scheme </w:t>
      </w:r>
    </w:p>
    <w:p w14:paraId="516306F4" w14:textId="02B756DE" w:rsidR="006E62EE" w:rsidRDefault="00986096" w:rsidP="00986096">
      <w:r>
        <w:t>Developing</w:t>
      </w:r>
      <w:r w:rsidR="00886D1A">
        <w:t xml:space="preserve"> </w:t>
      </w:r>
      <w:r w:rsidR="002F34BA">
        <w:t xml:space="preserve">the skills and </w:t>
      </w:r>
      <w:r>
        <w:t xml:space="preserve">capacity </w:t>
      </w:r>
      <w:r w:rsidR="002F34BA">
        <w:t xml:space="preserve">of </w:t>
      </w:r>
      <w:r>
        <w:t xml:space="preserve">the next generation of researchers in </w:t>
      </w:r>
      <w:r w:rsidR="00041BC1">
        <w:t xml:space="preserve">Australian </w:t>
      </w:r>
      <w:r>
        <w:t>higher education equity is a priority of the Australian Centre for Student Equity and Success (ACSES). This includes engaging</w:t>
      </w:r>
      <w:r w:rsidR="006A3450">
        <w:t>,</w:t>
      </w:r>
      <w:r w:rsidR="00041BC1">
        <w:t xml:space="preserve"> </w:t>
      </w:r>
      <w:r>
        <w:t xml:space="preserve">collaborating with, and funding </w:t>
      </w:r>
      <w:r w:rsidR="0074318B">
        <w:t xml:space="preserve">research </w:t>
      </w:r>
      <w:r>
        <w:t xml:space="preserve">students to </w:t>
      </w:r>
      <w:r w:rsidR="0074318B">
        <w:t>undertake projects</w:t>
      </w:r>
      <w:r>
        <w:t xml:space="preserve"> on equity issues</w:t>
      </w:r>
      <w:r w:rsidR="00AE79FE">
        <w:t xml:space="preserve"> in Australian higher education</w:t>
      </w:r>
      <w:r>
        <w:t xml:space="preserve">. </w:t>
      </w:r>
    </w:p>
    <w:p w14:paraId="4C69BC9F" w14:textId="614F753E" w:rsidR="002A4EBD" w:rsidRDefault="00986096" w:rsidP="00986096">
      <w:r>
        <w:t xml:space="preserve">The </w:t>
      </w:r>
      <w:r w:rsidRPr="00986096">
        <w:rPr>
          <w:b/>
          <w:bCs/>
        </w:rPr>
        <w:t>ACSES 202</w:t>
      </w:r>
      <w:r w:rsidR="002A4EBD">
        <w:rPr>
          <w:b/>
          <w:bCs/>
        </w:rPr>
        <w:t>6</w:t>
      </w:r>
      <w:r w:rsidR="001E399A">
        <w:rPr>
          <w:b/>
          <w:bCs/>
        </w:rPr>
        <w:t>–</w:t>
      </w:r>
      <w:r w:rsidRPr="00986096">
        <w:rPr>
          <w:b/>
          <w:bCs/>
        </w:rPr>
        <w:t>2</w:t>
      </w:r>
      <w:r w:rsidR="002A4EBD">
        <w:rPr>
          <w:b/>
          <w:bCs/>
        </w:rPr>
        <w:t>7</w:t>
      </w:r>
      <w:r w:rsidRPr="00986096">
        <w:rPr>
          <w:b/>
          <w:bCs/>
        </w:rPr>
        <w:t xml:space="preserve"> Higher Degree by Research (HDR) Stipend</w:t>
      </w:r>
      <w:r>
        <w:t xml:space="preserve"> </w:t>
      </w:r>
      <w:r w:rsidRPr="00AE46CC">
        <w:rPr>
          <w:b/>
          <w:bCs/>
        </w:rPr>
        <w:t>Scheme</w:t>
      </w:r>
      <w:r>
        <w:t xml:space="preserve"> provides supplementary funding to </w:t>
      </w:r>
      <w:r w:rsidR="0074318B">
        <w:t xml:space="preserve">HDR </w:t>
      </w:r>
      <w:r>
        <w:t>students enrolled in Australian universit</w:t>
      </w:r>
      <w:r w:rsidR="0074318B">
        <w:t>ies</w:t>
      </w:r>
      <w:r>
        <w:t xml:space="preserve"> (</w:t>
      </w:r>
      <w:hyperlink r:id="rId8" w:history="1">
        <w:r w:rsidRPr="00986096">
          <w:rPr>
            <w:rStyle w:val="Hyperlink"/>
          </w:rPr>
          <w:t>Table A</w:t>
        </w:r>
      </w:hyperlink>
      <w:r>
        <w:t xml:space="preserve"> and </w:t>
      </w:r>
      <w:hyperlink r:id="rId9" w:history="1">
        <w:r w:rsidRPr="00986096">
          <w:rPr>
            <w:rStyle w:val="Hyperlink"/>
          </w:rPr>
          <w:t>Table B</w:t>
        </w:r>
      </w:hyperlink>
      <w:r>
        <w:t xml:space="preserve"> providers) to undertake research project</w:t>
      </w:r>
      <w:r w:rsidR="002F34BA">
        <w:t>s</w:t>
      </w:r>
      <w:r>
        <w:t xml:space="preserve"> relating to Australian higher education student equity that </w:t>
      </w:r>
      <w:r w:rsidR="0074318B">
        <w:t>are</w:t>
      </w:r>
      <w:r>
        <w:t xml:space="preserve"> projected to lead to the publication of journal article</w:t>
      </w:r>
      <w:r w:rsidR="0074318B">
        <w:t>s</w:t>
      </w:r>
      <w:r>
        <w:t xml:space="preserve">. </w:t>
      </w:r>
    </w:p>
    <w:p w14:paraId="79A0365F" w14:textId="10CA02B8" w:rsidR="006E62EE" w:rsidRDefault="008D1928" w:rsidP="00986096">
      <w:r>
        <w:t>T</w:t>
      </w:r>
      <w:r w:rsidR="00986096">
        <w:t>he</w:t>
      </w:r>
      <w:r>
        <w:t xml:space="preserve"> </w:t>
      </w:r>
      <w:r w:rsidR="00986096">
        <w:t xml:space="preserve">stipend is intended to encourage </w:t>
      </w:r>
      <w:r>
        <w:t xml:space="preserve">both </w:t>
      </w:r>
      <w:r w:rsidR="00986096">
        <w:t xml:space="preserve">the </w:t>
      </w:r>
      <w:r>
        <w:t xml:space="preserve">creation of new </w:t>
      </w:r>
      <w:r w:rsidR="00986096">
        <w:t>research</w:t>
      </w:r>
      <w:r>
        <w:t xml:space="preserve">, as well as its translation </w:t>
      </w:r>
      <w:r w:rsidR="00986096">
        <w:t>to practice, evaluation</w:t>
      </w:r>
      <w:r w:rsidR="00C62728">
        <w:t>,</w:t>
      </w:r>
      <w:r w:rsidR="00986096">
        <w:t xml:space="preserve"> and policy in </w:t>
      </w:r>
      <w:r>
        <w:t xml:space="preserve">Australian higher education. </w:t>
      </w:r>
    </w:p>
    <w:p w14:paraId="2C4C9B26" w14:textId="5D126A21" w:rsidR="00986096" w:rsidRDefault="009A14F7" w:rsidP="00986096">
      <w:r>
        <w:t>This</w:t>
      </w:r>
      <w:r w:rsidR="006E62EE">
        <w:t xml:space="preserve"> funding round</w:t>
      </w:r>
      <w:r w:rsidR="002F34BA">
        <w:t xml:space="preserve"> of the Scheme</w:t>
      </w:r>
      <w:r w:rsidR="006E62EE">
        <w:t xml:space="preserve"> will provide </w:t>
      </w:r>
      <w:r w:rsidR="002F34BA">
        <w:t xml:space="preserve">funding </w:t>
      </w:r>
      <w:r w:rsidR="006E62EE">
        <w:t xml:space="preserve">support </w:t>
      </w:r>
      <w:r>
        <w:t>for</w:t>
      </w:r>
      <w:r w:rsidR="006E62EE">
        <w:t xml:space="preserve"> up to </w:t>
      </w:r>
      <w:r w:rsidR="006E62EE" w:rsidRPr="00DE32DF">
        <w:rPr>
          <w:b/>
          <w:bCs/>
        </w:rPr>
        <w:t>four (4)</w:t>
      </w:r>
      <w:r w:rsidR="006E62EE">
        <w:t xml:space="preserve"> </w:t>
      </w:r>
      <w:r w:rsidR="002F34BA">
        <w:t xml:space="preserve">projects. </w:t>
      </w:r>
      <w:r w:rsidR="00986096">
        <w:t xml:space="preserve">  </w:t>
      </w:r>
    </w:p>
    <w:p w14:paraId="3778B1E3" w14:textId="77777777" w:rsidR="00986096" w:rsidRDefault="00986096" w:rsidP="00986096">
      <w:pPr>
        <w:pStyle w:val="Heading2"/>
      </w:pPr>
      <w:r w:rsidRPr="00986096">
        <w:t>Funding</w:t>
      </w:r>
      <w:r>
        <w:t xml:space="preserve"> and support</w:t>
      </w:r>
    </w:p>
    <w:p w14:paraId="2C4D1580" w14:textId="29DE9DB8" w:rsidR="00986096" w:rsidRDefault="00986096" w:rsidP="00986096">
      <w:r>
        <w:t>Funding of $10,000 per successful application is available. Each application should scope out a research project</w:t>
      </w:r>
      <w:r w:rsidR="0074318B">
        <w:t xml:space="preserve"> to be undertaken by the student</w:t>
      </w:r>
      <w:r w:rsidR="002F34BA">
        <w:t xml:space="preserve"> </w:t>
      </w:r>
      <w:r w:rsidR="006A3450">
        <w:t xml:space="preserve">that </w:t>
      </w:r>
      <w:r>
        <w:t>will lead to a manuscript suitable for submission to a peer-reviewed journal in the field of higher education</w:t>
      </w:r>
      <w:r w:rsidR="00AE79FE">
        <w:t>.</w:t>
      </w:r>
      <w:r w:rsidR="006A3450">
        <w:t xml:space="preserve"> </w:t>
      </w:r>
      <w:r>
        <w:t xml:space="preserve">  </w:t>
      </w:r>
    </w:p>
    <w:p w14:paraId="6AEFAB08" w14:textId="7CF81E22" w:rsidR="00ED429E" w:rsidRPr="006A3450" w:rsidRDefault="00986096" w:rsidP="00ED429E">
      <w:pPr>
        <w:rPr>
          <w:lang w:eastAsia="en-AU"/>
        </w:rPr>
      </w:pPr>
      <w:r>
        <w:t xml:space="preserve">The stipend can be used at the successful candidates’ discretion, including to fund research costs, journal publication fees, or a living allowance. Funded HDR candidates will have the opportunity to present the outcomes of their research projects at an ACSES event. </w:t>
      </w:r>
    </w:p>
    <w:p w14:paraId="2FAC3B00" w14:textId="77777777" w:rsidR="00986096" w:rsidRDefault="00986096" w:rsidP="00986096">
      <w:pPr>
        <w:pStyle w:val="Heading2"/>
      </w:pPr>
      <w:r>
        <w:t>Key outputs</w:t>
      </w:r>
    </w:p>
    <w:p w14:paraId="12714319" w14:textId="504086C6" w:rsidR="00AE79FE" w:rsidRDefault="00986096" w:rsidP="00986096">
      <w:pPr>
        <w:pStyle w:val="ListParagraph"/>
      </w:pPr>
      <w:r>
        <w:t xml:space="preserve">The research project will culminate in the completion of a manuscript suitable for submission to a peer-reviewed journal in the field of higher education. Published output(s) from the research project should acknowledge funding from ACSES.  </w:t>
      </w:r>
    </w:p>
    <w:p w14:paraId="7D604670" w14:textId="40A6A519" w:rsidR="00986096" w:rsidRDefault="00AE79FE" w:rsidP="00986096">
      <w:pPr>
        <w:pStyle w:val="ListParagraph"/>
      </w:pPr>
      <w:r>
        <w:t xml:space="preserve">Presentation of key research findings at an ACSES event. </w:t>
      </w:r>
    </w:p>
    <w:p w14:paraId="35A75921" w14:textId="34453573" w:rsidR="00986096" w:rsidRDefault="00986096" w:rsidP="00986096">
      <w:pPr>
        <w:pStyle w:val="Heading2"/>
      </w:pPr>
      <w:r>
        <w:t xml:space="preserve">Eligibility </w:t>
      </w:r>
    </w:p>
    <w:p w14:paraId="70130F11" w14:textId="4749316B" w:rsidR="00986096" w:rsidRDefault="00860706" w:rsidP="00986096">
      <w:r>
        <w:t>To be eligible for funding</w:t>
      </w:r>
      <w:r w:rsidR="00986096">
        <w:t xml:space="preserve">, students must be enrolled in </w:t>
      </w:r>
      <w:r w:rsidR="002D04EC">
        <w:t>either</w:t>
      </w:r>
      <w:r w:rsidR="00986096">
        <w:t xml:space="preserve"> of the following degrees at an Australian Table A or B Provider </w:t>
      </w:r>
      <w:r>
        <w:t>institution</w:t>
      </w:r>
      <w:r w:rsidR="00986096">
        <w:t>:</w:t>
      </w:r>
      <w:r>
        <w:t xml:space="preserve"> </w:t>
      </w:r>
    </w:p>
    <w:p w14:paraId="2635F557" w14:textId="5927D299" w:rsidR="00986096" w:rsidRDefault="00986096" w:rsidP="00986096">
      <w:pPr>
        <w:pStyle w:val="ListParagraph"/>
      </w:pPr>
      <w:r>
        <w:t>A Master by research degree, or equivalent (AQF level 9)</w:t>
      </w:r>
    </w:p>
    <w:p w14:paraId="7F11CF50" w14:textId="5AA97144" w:rsidR="00986096" w:rsidRDefault="00986096" w:rsidP="00986096">
      <w:pPr>
        <w:pStyle w:val="ListParagraph"/>
      </w:pPr>
      <w:r>
        <w:lastRenderedPageBreak/>
        <w:t>A Doctor of Philosophy, or equivalent (AQF level 10)</w:t>
      </w:r>
    </w:p>
    <w:p w14:paraId="694B1F8E" w14:textId="2083F50C" w:rsidR="00986096" w:rsidRDefault="00986096" w:rsidP="00986096">
      <w:r>
        <w:t xml:space="preserve">Students from all disciplines are eligible to apply, but the research project must be on a topic relating to Australian higher education equity.   </w:t>
      </w:r>
    </w:p>
    <w:p w14:paraId="4BE568A5" w14:textId="77777777" w:rsidR="00986096" w:rsidRDefault="00986096" w:rsidP="00986096">
      <w:pPr>
        <w:pStyle w:val="Heading2"/>
      </w:pPr>
      <w:r>
        <w:t>Research priorities</w:t>
      </w:r>
    </w:p>
    <w:p w14:paraId="3AEC6FB7" w14:textId="77777777" w:rsidR="00986096" w:rsidRDefault="00986096" w:rsidP="00986096">
      <w:r>
        <w:t xml:space="preserve">Research projects must have an emphasis on </w:t>
      </w:r>
      <w:r w:rsidRPr="00986096">
        <w:rPr>
          <w:b/>
          <w:bCs/>
        </w:rPr>
        <w:t>one or more</w:t>
      </w:r>
      <w:r>
        <w:t xml:space="preserve"> of the following higher education equity groups. </w:t>
      </w:r>
    </w:p>
    <w:p w14:paraId="1B868DEF" w14:textId="77777777" w:rsidR="00986096" w:rsidRDefault="00986096" w:rsidP="00986096">
      <w:pPr>
        <w:pStyle w:val="Heading3"/>
      </w:pPr>
      <w:r>
        <w:t>Equity groups</w:t>
      </w:r>
    </w:p>
    <w:p w14:paraId="13FFC41F" w14:textId="645B9325" w:rsidR="00986096" w:rsidRDefault="00986096" w:rsidP="00986096">
      <w:pPr>
        <w:pStyle w:val="ListParagraph"/>
      </w:pPr>
      <w:r>
        <w:t>Students from low socio</w:t>
      </w:r>
      <w:r w:rsidR="001E399A">
        <w:t>-</w:t>
      </w:r>
      <w:r>
        <w:t>economic status (low SES) backgrounds</w:t>
      </w:r>
    </w:p>
    <w:p w14:paraId="561398E0" w14:textId="2C6E5B3E" w:rsidR="00986096" w:rsidRDefault="00986096" w:rsidP="00986096">
      <w:pPr>
        <w:pStyle w:val="ListParagraph"/>
      </w:pPr>
      <w:r>
        <w:t>First Nations Australian (Aboriginal and Torres Strait Islander) students</w:t>
      </w:r>
    </w:p>
    <w:p w14:paraId="48DCAB62" w14:textId="79332C68" w:rsidR="00986096" w:rsidRDefault="00986096" w:rsidP="00986096">
      <w:pPr>
        <w:pStyle w:val="ListParagraph"/>
      </w:pPr>
      <w:r>
        <w:t>Students from regional or remote Australia</w:t>
      </w:r>
    </w:p>
    <w:p w14:paraId="54A7988E" w14:textId="7681CC1F" w:rsidR="00986096" w:rsidRDefault="00986096" w:rsidP="00986096">
      <w:pPr>
        <w:pStyle w:val="ListParagraph"/>
      </w:pPr>
      <w:r>
        <w:t>Students with disability</w:t>
      </w:r>
    </w:p>
    <w:p w14:paraId="3C946424" w14:textId="1EB69028" w:rsidR="00986096" w:rsidRDefault="00986096" w:rsidP="00986096">
      <w:pPr>
        <w:pStyle w:val="ListParagraph"/>
      </w:pPr>
      <w:r>
        <w:t>People who experience cumulative disadvantage that results in barriers to higher education (please specify in your research plan)</w:t>
      </w:r>
    </w:p>
    <w:p w14:paraId="2834223E" w14:textId="4D92AC31" w:rsidR="002D04EC" w:rsidRDefault="006A3450" w:rsidP="002F34BA">
      <w:r>
        <w:t>P</w:t>
      </w:r>
      <w:r w:rsidR="00986096">
        <w:t xml:space="preserve">rojects can take the form of original research or a systematic review of the literature, addressing </w:t>
      </w:r>
      <w:r w:rsidR="002F34BA">
        <w:t>a relevant topic in higher education equity</w:t>
      </w:r>
      <w:r w:rsidR="004E739E">
        <w:t>,</w:t>
      </w:r>
      <w:r w:rsidR="002F34BA">
        <w:t xml:space="preserve"> </w:t>
      </w:r>
      <w:r w:rsidR="002D04EC">
        <w:t xml:space="preserve">including the priority areas below. </w:t>
      </w:r>
    </w:p>
    <w:p w14:paraId="1367EFBA" w14:textId="77777777" w:rsidR="00986096" w:rsidRDefault="00986096" w:rsidP="00986096">
      <w:pPr>
        <w:pStyle w:val="Heading3"/>
      </w:pPr>
      <w:r>
        <w:t>Priority topics for original research</w:t>
      </w:r>
    </w:p>
    <w:p w14:paraId="3923E0CB" w14:textId="6E74FD20" w:rsidR="002A4EBD" w:rsidRDefault="002A4EBD" w:rsidP="002A4EBD">
      <w:pPr>
        <w:pStyle w:val="ListParagraph"/>
      </w:pPr>
      <w:r>
        <w:t>Cost-of-living and related implications for university students</w:t>
      </w:r>
    </w:p>
    <w:p w14:paraId="30738C1C" w14:textId="77777777" w:rsidR="002A4EBD" w:rsidRDefault="002A4EBD" w:rsidP="002A4EBD">
      <w:pPr>
        <w:pStyle w:val="ListParagraph"/>
      </w:pPr>
      <w:r>
        <w:t>Determinants of academic success at university</w:t>
      </w:r>
    </w:p>
    <w:p w14:paraId="5BD2E922" w14:textId="77777777" w:rsidR="002A4EBD" w:rsidRDefault="002A4EBD" w:rsidP="002A4EBD">
      <w:pPr>
        <w:pStyle w:val="ListParagraph"/>
      </w:pPr>
      <w:r>
        <w:t>Student success beyond graduation</w:t>
      </w:r>
    </w:p>
    <w:p w14:paraId="4546AAD2" w14:textId="6ED2BA85" w:rsidR="002A4EBD" w:rsidRDefault="00B86DBF" w:rsidP="002A4EBD">
      <w:pPr>
        <w:pStyle w:val="ListParagraph"/>
      </w:pPr>
      <w:r>
        <w:t>H</w:t>
      </w:r>
      <w:r w:rsidR="002A4EBD">
        <w:t xml:space="preserve">armonisation </w:t>
      </w:r>
      <w:r>
        <w:t>of</w:t>
      </w:r>
      <w:r w:rsidR="002A4EBD">
        <w:t xml:space="preserve"> the vocational education and training (VET) and university sectors</w:t>
      </w:r>
    </w:p>
    <w:p w14:paraId="43142297" w14:textId="77777777" w:rsidR="002A4EBD" w:rsidRDefault="002A4EBD" w:rsidP="002A4EBD">
      <w:pPr>
        <w:pStyle w:val="ListParagraph"/>
      </w:pPr>
      <w:r>
        <w:t>Pathways into university, such as enabling programs</w:t>
      </w:r>
    </w:p>
    <w:p w14:paraId="03C5069C" w14:textId="77777777" w:rsidR="002A4EBD" w:rsidRDefault="002A4EBD" w:rsidP="002A4EBD">
      <w:pPr>
        <w:pStyle w:val="ListParagraph"/>
      </w:pPr>
      <w:r>
        <w:t>Definition and measurement of student engagement</w:t>
      </w:r>
    </w:p>
    <w:p w14:paraId="0FC86569" w14:textId="2E9ACD5C" w:rsidR="002A4EBD" w:rsidRDefault="002A4EBD" w:rsidP="002A4EBD">
      <w:pPr>
        <w:pStyle w:val="ListParagraph"/>
      </w:pPr>
      <w:r>
        <w:t>Generative AI and implications for equity in higher education</w:t>
      </w:r>
    </w:p>
    <w:p w14:paraId="320AE01D" w14:textId="4F4E24D3" w:rsidR="00986096" w:rsidRDefault="00986096" w:rsidP="00986096">
      <w:pPr>
        <w:pStyle w:val="Heading2"/>
      </w:pPr>
      <w:r>
        <w:t>Selection criteria</w:t>
      </w:r>
    </w:p>
    <w:p w14:paraId="661B1B73" w14:textId="5F5DCD97" w:rsidR="004E739E" w:rsidRDefault="004E739E" w:rsidP="004E739E">
      <w:r>
        <w:t xml:space="preserve">Applications will be funded based on: </w:t>
      </w:r>
    </w:p>
    <w:p w14:paraId="66447659" w14:textId="50AFF4AC" w:rsidR="00986096" w:rsidRDefault="00986096" w:rsidP="00986096">
      <w:pPr>
        <w:pStyle w:val="ListParagraph"/>
      </w:pPr>
      <w:r>
        <w:t>The quality of the research plan, including but not limited to the following:</w:t>
      </w:r>
    </w:p>
    <w:p w14:paraId="6B7D2EEA" w14:textId="322E6675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Importance of the research topic for Australian higher education equity</w:t>
      </w:r>
    </w:p>
    <w:p w14:paraId="3C7DA724" w14:textId="74990A91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Demonstrated incorporation of extant literature at a preliminary stage</w:t>
      </w:r>
    </w:p>
    <w:p w14:paraId="3B81EBB7" w14:textId="1C0FDFA1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Clear and measurable implications for student or graduate outcomes</w:t>
      </w:r>
    </w:p>
    <w:p w14:paraId="023CAAF1" w14:textId="12B813FB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Potential for policy impact</w:t>
      </w:r>
    </w:p>
    <w:p w14:paraId="6C76A2C2" w14:textId="7873040C" w:rsidR="00986096" w:rsidRDefault="00986096" w:rsidP="00986096">
      <w:pPr>
        <w:pStyle w:val="ListParagraph"/>
      </w:pPr>
      <w:r>
        <w:t>Demonstrated academic achievement, relative to opportunity</w:t>
      </w:r>
    </w:p>
    <w:p w14:paraId="1E4EEA10" w14:textId="190FB171" w:rsidR="00986096" w:rsidRDefault="00986096" w:rsidP="00986096">
      <w:pPr>
        <w:pStyle w:val="ListParagraph"/>
      </w:pPr>
      <w:r>
        <w:t>Feasibility of the research timeline</w:t>
      </w:r>
    </w:p>
    <w:p w14:paraId="54761C7C" w14:textId="3087B655" w:rsidR="00986096" w:rsidRDefault="00986096" w:rsidP="00986096">
      <w:pPr>
        <w:pStyle w:val="ListParagraph"/>
      </w:pPr>
      <w:r>
        <w:t>Applicants from an equity background are particularly encouraged to apply</w:t>
      </w:r>
    </w:p>
    <w:p w14:paraId="09B3C8C3" w14:textId="77777777" w:rsidR="00465DD5" w:rsidRDefault="00465DD5">
      <w:pPr>
        <w:spacing w:line="259" w:lineRule="auto"/>
        <w:rPr>
          <w:rFonts w:eastAsia="Times New Roman" w:cstheme="majorBidi"/>
          <w:color w:val="6B3B57"/>
          <w:sz w:val="40"/>
          <w:szCs w:val="40"/>
          <w:lang w:eastAsia="en-AU"/>
        </w:rPr>
      </w:pPr>
      <w:r>
        <w:br w:type="page"/>
      </w:r>
    </w:p>
    <w:p w14:paraId="2F64E7ED" w14:textId="11D09368" w:rsidR="0074318B" w:rsidRDefault="0074318B" w:rsidP="0074318B">
      <w:pPr>
        <w:pStyle w:val="Heading2"/>
      </w:pPr>
      <w:r>
        <w:lastRenderedPageBreak/>
        <w:t>ACSES contracts</w:t>
      </w:r>
    </w:p>
    <w:p w14:paraId="69642902" w14:textId="2A91F9C8" w:rsidR="0074318B" w:rsidRDefault="00AE79FE" w:rsidP="00A6735F">
      <w:r>
        <w:t>The a</w:t>
      </w:r>
      <w:r w:rsidR="0074318B" w:rsidRPr="002A4EBD">
        <w:t>cceptance</w:t>
      </w:r>
      <w:r w:rsidR="00EF76A8">
        <w:t xml:space="preserve"> and funding</w:t>
      </w:r>
      <w:r w:rsidR="0074318B" w:rsidRPr="002A4EBD">
        <w:t xml:space="preserve"> of a pro</w:t>
      </w:r>
      <w:r w:rsidR="00EF76A8">
        <w:t>ject</w:t>
      </w:r>
      <w:r w:rsidR="0074318B" w:rsidRPr="002A4EBD">
        <w:t xml:space="preserve"> will be subject to </w:t>
      </w:r>
      <w:r w:rsidR="00EF76A8">
        <w:t xml:space="preserve">the timely and successful </w:t>
      </w:r>
      <w:r w:rsidR="0074318B" w:rsidRPr="002A4EBD">
        <w:t xml:space="preserve">negotiation and execution of the funding agreement </w:t>
      </w:r>
      <w:r w:rsidR="00EF76A8">
        <w:t>with the student’s institution</w:t>
      </w:r>
      <w:r w:rsidR="0074318B" w:rsidRPr="002A4EBD">
        <w:t xml:space="preserve">. ACSES may accept the whole or part of </w:t>
      </w:r>
      <w:r w:rsidR="00EF76A8">
        <w:t xml:space="preserve">a </w:t>
      </w:r>
      <w:r w:rsidR="0074318B" w:rsidRPr="002A4EBD">
        <w:t>proposal offered</w:t>
      </w:r>
      <w:r w:rsidR="00EF76A8">
        <w:t>, with</w:t>
      </w:r>
      <w:r w:rsidR="0074318B" w:rsidRPr="002A4EBD">
        <w:t xml:space="preserve"> </w:t>
      </w:r>
      <w:r w:rsidR="00EF76A8">
        <w:t>t</w:t>
      </w:r>
      <w:r w:rsidR="0074318B" w:rsidRPr="002A4EBD">
        <w:t xml:space="preserve">he final project </w:t>
      </w:r>
      <w:r w:rsidR="00EF76A8">
        <w:t>to</w:t>
      </w:r>
      <w:r w:rsidR="0074318B" w:rsidRPr="002A4EBD">
        <w:t xml:space="preserve"> be defined in negotiation with the successful applicant.</w:t>
      </w:r>
    </w:p>
    <w:p w14:paraId="0B523A3B" w14:textId="5022FD81" w:rsidR="00986096" w:rsidRDefault="00986096" w:rsidP="00986096">
      <w:pPr>
        <w:pStyle w:val="Heading2"/>
      </w:pPr>
      <w:r>
        <w:t>Application</w:t>
      </w:r>
    </w:p>
    <w:p w14:paraId="6C90974A" w14:textId="13B0D324" w:rsidR="00986096" w:rsidRDefault="00986096" w:rsidP="00986096">
      <w:r>
        <w:t xml:space="preserve">All applications should be completed using the </w:t>
      </w:r>
      <w:r w:rsidRPr="00986096">
        <w:rPr>
          <w:i/>
          <w:iCs/>
        </w:rPr>
        <w:t>202</w:t>
      </w:r>
      <w:r w:rsidR="002A4EBD">
        <w:rPr>
          <w:i/>
          <w:iCs/>
        </w:rPr>
        <w:t>6</w:t>
      </w:r>
      <w:r w:rsidR="001E399A">
        <w:rPr>
          <w:i/>
          <w:iCs/>
        </w:rPr>
        <w:t>–</w:t>
      </w:r>
      <w:r w:rsidRPr="00986096">
        <w:rPr>
          <w:i/>
          <w:iCs/>
        </w:rPr>
        <w:t>2</w:t>
      </w:r>
      <w:r w:rsidR="002A4EBD">
        <w:rPr>
          <w:i/>
          <w:iCs/>
        </w:rPr>
        <w:t>7</w:t>
      </w:r>
      <w:r w:rsidRPr="00986096">
        <w:rPr>
          <w:i/>
          <w:iCs/>
        </w:rPr>
        <w:t xml:space="preserve"> Higher Degree by Research (HDR) Stipend Scheme Application Pack</w:t>
      </w:r>
      <w:r>
        <w:t xml:space="preserve"> (</w:t>
      </w:r>
      <w:r w:rsidR="00C62728">
        <w:t xml:space="preserve">which is available on the </w:t>
      </w:r>
      <w:hyperlink r:id="rId10" w:history="1">
        <w:r w:rsidR="00C62728" w:rsidRPr="001E399A">
          <w:rPr>
            <w:rStyle w:val="Hyperlink"/>
          </w:rPr>
          <w:t>ACSES website</w:t>
        </w:r>
      </w:hyperlink>
      <w:r>
        <w:t xml:space="preserve">). Applicants are required to include the following information and attachments </w:t>
      </w:r>
      <w:r w:rsidR="004E739E">
        <w:t>from the</w:t>
      </w:r>
      <w:r>
        <w:t xml:space="preserve"> Application Pack:</w:t>
      </w:r>
    </w:p>
    <w:p w14:paraId="0208D205" w14:textId="7D497CD7" w:rsidR="00986096" w:rsidRDefault="00986096" w:rsidP="00986096">
      <w:pPr>
        <w:pStyle w:val="ListParagraph"/>
      </w:pPr>
      <w:r>
        <w:t xml:space="preserve">Application details via the </w:t>
      </w:r>
      <w:r w:rsidRPr="00986096">
        <w:rPr>
          <w:b/>
          <w:bCs/>
        </w:rPr>
        <w:t>Application Form</w:t>
      </w:r>
    </w:p>
    <w:p w14:paraId="276DBF18" w14:textId="54CF33F7" w:rsidR="00986096" w:rsidRDefault="00986096" w:rsidP="00986096">
      <w:pPr>
        <w:pStyle w:val="ListParagraph"/>
      </w:pPr>
      <w:r>
        <w:t xml:space="preserve">A </w:t>
      </w:r>
      <w:r w:rsidRPr="00986096">
        <w:rPr>
          <w:b/>
          <w:bCs/>
        </w:rPr>
        <w:t>Research Plan</w:t>
      </w:r>
      <w:r>
        <w:t>, including:</w:t>
      </w:r>
    </w:p>
    <w:p w14:paraId="3848B4D1" w14:textId="7F6CA652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 xml:space="preserve">Topic and research </w:t>
      </w:r>
      <w:proofErr w:type="gramStart"/>
      <w:r>
        <w:t>aims</w:t>
      </w:r>
      <w:proofErr w:type="gramEnd"/>
      <w:r>
        <w:t xml:space="preserve"> (one A4 page limit)</w:t>
      </w:r>
    </w:p>
    <w:p w14:paraId="584D9023" w14:textId="3E76FBB0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Data (one A4 page limit)</w:t>
      </w:r>
    </w:p>
    <w:p w14:paraId="329F833B" w14:textId="71FF32F2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Methodological approach, including outcome measures (one A4 page limit)</w:t>
      </w:r>
    </w:p>
    <w:p w14:paraId="2C7A3338" w14:textId="0220D49E" w:rsidR="00986096" w:rsidRDefault="00986096" w:rsidP="00986096">
      <w:pPr>
        <w:pStyle w:val="ListParagraph"/>
        <w:numPr>
          <w:ilvl w:val="1"/>
          <w:numId w:val="17"/>
        </w:numPr>
        <w:ind w:left="1418"/>
      </w:pPr>
      <w:r>
        <w:t>Timeline, including proposed start and end dates</w:t>
      </w:r>
    </w:p>
    <w:p w14:paraId="670BBB71" w14:textId="67A85472" w:rsidR="00986096" w:rsidRDefault="00986096" w:rsidP="00986096">
      <w:pPr>
        <w:pStyle w:val="ListParagraph"/>
      </w:pPr>
      <w:r w:rsidRPr="00986096">
        <w:rPr>
          <w:b/>
          <w:bCs/>
        </w:rPr>
        <w:t>Signatures</w:t>
      </w:r>
      <w:r>
        <w:t xml:space="preserve"> from the applicant’s principal/primary HDR supervisor and the head of the organisational unit (department, school, or faculty) that constitutes their enrolling area</w:t>
      </w:r>
    </w:p>
    <w:p w14:paraId="4822BE8F" w14:textId="15DD04A0" w:rsidR="00986096" w:rsidRDefault="00986096" w:rsidP="00986096">
      <w:pPr>
        <w:pStyle w:val="ListParagraph"/>
      </w:pPr>
      <w:r w:rsidRPr="00986096">
        <w:rPr>
          <w:b/>
          <w:bCs/>
        </w:rPr>
        <w:t>Supporting Documentation</w:t>
      </w:r>
      <w:r>
        <w:t>, including a current one-page CV, a letter of support from the applicant’s principal/primary HDR supervisor, and proof of HDR enrolment</w:t>
      </w:r>
    </w:p>
    <w:p w14:paraId="77F54BFD" w14:textId="74EFAE3B" w:rsidR="00986096" w:rsidRDefault="00986096" w:rsidP="00986096">
      <w:r w:rsidRPr="00986096">
        <w:rPr>
          <w:b/>
          <w:bCs/>
        </w:rPr>
        <w:t>Application Pack</w:t>
      </w:r>
      <w:r>
        <w:t xml:space="preserve">: The </w:t>
      </w:r>
      <w:r w:rsidRPr="00986096">
        <w:rPr>
          <w:i/>
          <w:iCs/>
        </w:rPr>
        <w:t>Application Pack</w:t>
      </w:r>
      <w:r>
        <w:t xml:space="preserve"> and this document (</w:t>
      </w:r>
      <w:r w:rsidRPr="00986096">
        <w:rPr>
          <w:i/>
          <w:iCs/>
        </w:rPr>
        <w:t>Guidelines</w:t>
      </w:r>
      <w:r>
        <w:t xml:space="preserve">) are </w:t>
      </w:r>
      <w:r w:rsidR="00C62728">
        <w:t xml:space="preserve">on the </w:t>
      </w:r>
      <w:hyperlink r:id="rId11" w:history="1">
        <w:r w:rsidR="00C62728" w:rsidRPr="001E399A">
          <w:rPr>
            <w:rStyle w:val="Hyperlink"/>
          </w:rPr>
          <w:t>ACSES website</w:t>
        </w:r>
      </w:hyperlink>
      <w:r w:rsidR="00C62728">
        <w:t>.</w:t>
      </w:r>
      <w:r>
        <w:t xml:space="preserve"> </w:t>
      </w:r>
    </w:p>
    <w:p w14:paraId="07C63495" w14:textId="4511C5FC" w:rsidR="005758D7" w:rsidRDefault="005758D7" w:rsidP="005758D7">
      <w:pPr>
        <w:pStyle w:val="Heading2"/>
      </w:pPr>
      <w:r>
        <w:t>Submission</w:t>
      </w:r>
    </w:p>
    <w:p w14:paraId="67BFF4D7" w14:textId="67AFF02D" w:rsidR="005758D7" w:rsidRPr="00F04657" w:rsidRDefault="00AB0A1F" w:rsidP="005758D7">
      <w:r>
        <w:t>Applications</w:t>
      </w:r>
      <w:r w:rsidR="005758D7" w:rsidRPr="00F04657">
        <w:t xml:space="preserve"> are due </w:t>
      </w:r>
      <w:r w:rsidR="005758D7">
        <w:t>before 4pm (AWST) on</w:t>
      </w:r>
      <w:r w:rsidR="005758D7" w:rsidRPr="00F04657">
        <w:t xml:space="preserve"> </w:t>
      </w:r>
      <w:r w:rsidR="005758D7">
        <w:rPr>
          <w:b/>
          <w:bCs/>
        </w:rPr>
        <w:t>Wednesday</w:t>
      </w:r>
      <w:r w:rsidR="005758D7" w:rsidRPr="00B564F7">
        <w:rPr>
          <w:b/>
          <w:bCs/>
        </w:rPr>
        <w:t>,</w:t>
      </w:r>
      <w:r w:rsidR="005758D7">
        <w:rPr>
          <w:b/>
          <w:bCs/>
        </w:rPr>
        <w:t xml:space="preserve"> 15 April </w:t>
      </w:r>
      <w:r w:rsidR="005758D7" w:rsidRPr="00B564F7">
        <w:rPr>
          <w:b/>
          <w:bCs/>
        </w:rPr>
        <w:t>202</w:t>
      </w:r>
      <w:r w:rsidR="005758D7">
        <w:rPr>
          <w:b/>
          <w:bCs/>
        </w:rPr>
        <w:t>6</w:t>
      </w:r>
      <w:r w:rsidR="005758D7">
        <w:t>.</w:t>
      </w:r>
      <w:r w:rsidR="005758D7" w:rsidRPr="00F04657">
        <w:t xml:space="preserve"> </w:t>
      </w:r>
    </w:p>
    <w:p w14:paraId="368D0352" w14:textId="50868473" w:rsidR="00986096" w:rsidRDefault="005758D7" w:rsidP="005758D7">
      <w:r w:rsidRPr="00F04657">
        <w:t xml:space="preserve">Please submit this application to: </w:t>
      </w:r>
      <w:hyperlink r:id="rId12" w:history="1">
        <w:r w:rsidRPr="00AC7F03">
          <w:rPr>
            <w:rStyle w:val="Hyperlink"/>
          </w:rPr>
          <w:t>acses@curtin.edu.au</w:t>
        </w:r>
      </w:hyperlink>
      <w:r w:rsidRPr="00F04657">
        <w:t xml:space="preserve"> (</w:t>
      </w:r>
      <w:r w:rsidRPr="00F04657">
        <w:rPr>
          <w:b/>
          <w:bCs/>
        </w:rPr>
        <w:t>Subject</w:t>
      </w:r>
      <w:r w:rsidRPr="00F04657">
        <w:t xml:space="preserve">: </w:t>
      </w:r>
      <w:r>
        <w:t xml:space="preserve">ACSES </w:t>
      </w:r>
      <w:r>
        <w:rPr>
          <w:spacing w:val="-1"/>
        </w:rPr>
        <w:t>HDR Stipend Application – Applicant Name</w:t>
      </w:r>
      <w:r w:rsidRPr="00F04657">
        <w:t xml:space="preserve">).   </w:t>
      </w:r>
    </w:p>
    <w:sectPr w:rsidR="00986096" w:rsidSect="003312D1">
      <w:footerReference w:type="default" r:id="rId13"/>
      <w:headerReference w:type="first" r:id="rId14"/>
      <w:pgSz w:w="11906" w:h="16838"/>
      <w:pgMar w:top="1276" w:right="1440" w:bottom="1134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12E4" w14:textId="77777777" w:rsidR="002D785F" w:rsidRDefault="002D785F" w:rsidP="003312D1">
      <w:r>
        <w:separator/>
      </w:r>
    </w:p>
  </w:endnote>
  <w:endnote w:type="continuationSeparator" w:id="0">
    <w:p w14:paraId="52CDEFFF" w14:textId="77777777" w:rsidR="002D785F" w:rsidRDefault="002D785F" w:rsidP="0033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31B4" w14:textId="5719A305" w:rsidR="005313B7" w:rsidRPr="00986096" w:rsidRDefault="00986096" w:rsidP="00986096">
    <w:pPr>
      <w:pStyle w:val="Footer"/>
      <w:jc w:val="right"/>
    </w:pPr>
    <w:r>
      <w:rPr>
        <w:color w:val="5F5F5F"/>
        <w:sz w:val="18"/>
        <w:szCs w:val="18"/>
      </w:rPr>
      <w:br/>
    </w:r>
    <w:r w:rsidRPr="00986096">
      <w:rPr>
        <w:color w:val="5F5F5F"/>
        <w:sz w:val="18"/>
        <w:szCs w:val="18"/>
      </w:rPr>
      <w:t>ACSES 202</w:t>
    </w:r>
    <w:r w:rsidR="0040298E">
      <w:rPr>
        <w:color w:val="5F5F5F"/>
        <w:sz w:val="18"/>
        <w:szCs w:val="18"/>
      </w:rPr>
      <w:t>6</w:t>
    </w:r>
    <w:r w:rsidR="001E399A">
      <w:rPr>
        <w:color w:val="5F5F5F"/>
        <w:sz w:val="18"/>
        <w:szCs w:val="18"/>
      </w:rPr>
      <w:t>–</w:t>
    </w:r>
    <w:r w:rsidRPr="00986096">
      <w:rPr>
        <w:color w:val="5F5F5F"/>
        <w:sz w:val="18"/>
        <w:szCs w:val="18"/>
      </w:rPr>
      <w:t>2</w:t>
    </w:r>
    <w:r w:rsidR="0040298E">
      <w:rPr>
        <w:color w:val="5F5F5F"/>
        <w:sz w:val="18"/>
        <w:szCs w:val="18"/>
      </w:rPr>
      <w:t>7</w:t>
    </w:r>
    <w:r w:rsidRPr="00986096">
      <w:rPr>
        <w:color w:val="5F5F5F"/>
        <w:sz w:val="18"/>
        <w:szCs w:val="18"/>
      </w:rPr>
      <w:t xml:space="preserve"> Higher Degree by Research (HDR) Stipend</w:t>
    </w:r>
    <w:r>
      <w:rPr>
        <w:color w:val="5F5F5F"/>
        <w:sz w:val="18"/>
        <w:szCs w:val="18"/>
      </w:rPr>
      <w:t xml:space="preserve"> Scheme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265" w14:textId="77777777" w:rsidR="002D785F" w:rsidRDefault="002D785F" w:rsidP="003312D1">
      <w:r>
        <w:separator/>
      </w:r>
    </w:p>
  </w:footnote>
  <w:footnote w:type="continuationSeparator" w:id="0">
    <w:p w14:paraId="0F4C5B77" w14:textId="77777777" w:rsidR="002D785F" w:rsidRDefault="002D785F" w:rsidP="0033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107D" w14:textId="0454124F" w:rsidR="003312D1" w:rsidRDefault="003312D1" w:rsidP="005313B7">
    <w:pPr>
      <w:pStyle w:val="Header"/>
      <w:jc w:val="right"/>
    </w:pPr>
    <w:r>
      <w:rPr>
        <w:noProof/>
      </w:rPr>
      <w:drawing>
        <wp:inline distT="0" distB="0" distL="0" distR="0" wp14:anchorId="284F062A" wp14:editId="3DBD3C32">
          <wp:extent cx="4664155" cy="432000"/>
          <wp:effectExtent l="0" t="0" r="3175" b="6350"/>
          <wp:docPr id="714836650" name="Picture 1" descr="Co-branded logo for ACSES (Australian Centre for Student Equity and Success) and Curti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836650" name="Picture 1" descr="Co-branded logo for ACSES (Australian Centre for Student Equity and Success) and Curtin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415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575"/>
    <w:multiLevelType w:val="hybridMultilevel"/>
    <w:tmpl w:val="04E41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4CF"/>
    <w:multiLevelType w:val="hybridMultilevel"/>
    <w:tmpl w:val="0658A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31BF"/>
    <w:multiLevelType w:val="hybridMultilevel"/>
    <w:tmpl w:val="33A83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6571"/>
    <w:multiLevelType w:val="hybridMultilevel"/>
    <w:tmpl w:val="BB506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23AB"/>
    <w:multiLevelType w:val="multilevel"/>
    <w:tmpl w:val="E1B478F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93A08DA"/>
    <w:multiLevelType w:val="hybridMultilevel"/>
    <w:tmpl w:val="7840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2F74"/>
    <w:multiLevelType w:val="hybridMultilevel"/>
    <w:tmpl w:val="84F2A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F70E8"/>
    <w:multiLevelType w:val="hybridMultilevel"/>
    <w:tmpl w:val="8E5C0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045F9"/>
    <w:multiLevelType w:val="hybridMultilevel"/>
    <w:tmpl w:val="626AD5C8"/>
    <w:lvl w:ilvl="0" w:tplc="F60E3D7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384119">
    <w:abstractNumId w:val="1"/>
  </w:num>
  <w:num w:numId="2" w16cid:durableId="1379621507">
    <w:abstractNumId w:val="3"/>
  </w:num>
  <w:num w:numId="3" w16cid:durableId="1777480703">
    <w:abstractNumId w:val="7"/>
  </w:num>
  <w:num w:numId="4" w16cid:durableId="1582986691">
    <w:abstractNumId w:val="0"/>
  </w:num>
  <w:num w:numId="5" w16cid:durableId="1956138210">
    <w:abstractNumId w:val="5"/>
  </w:num>
  <w:num w:numId="6" w16cid:durableId="1694914039">
    <w:abstractNumId w:val="2"/>
  </w:num>
  <w:num w:numId="7" w16cid:durableId="159850073">
    <w:abstractNumId w:val="6"/>
  </w:num>
  <w:num w:numId="8" w16cid:durableId="1811508483">
    <w:abstractNumId w:val="4"/>
  </w:num>
  <w:num w:numId="9" w16cid:durableId="1356230023">
    <w:abstractNumId w:val="4"/>
  </w:num>
  <w:num w:numId="10" w16cid:durableId="293295449">
    <w:abstractNumId w:val="4"/>
  </w:num>
  <w:num w:numId="11" w16cid:durableId="2137412190">
    <w:abstractNumId w:val="4"/>
  </w:num>
  <w:num w:numId="12" w16cid:durableId="872962662">
    <w:abstractNumId w:val="4"/>
  </w:num>
  <w:num w:numId="13" w16cid:durableId="1360207494">
    <w:abstractNumId w:val="4"/>
  </w:num>
  <w:num w:numId="14" w16cid:durableId="1148013301">
    <w:abstractNumId w:val="4"/>
  </w:num>
  <w:num w:numId="15" w16cid:durableId="1575583578">
    <w:abstractNumId w:val="4"/>
  </w:num>
  <w:num w:numId="16" w16cid:durableId="50467209">
    <w:abstractNumId w:val="4"/>
  </w:num>
  <w:num w:numId="17" w16cid:durableId="1874421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0D"/>
    <w:rsid w:val="00012EBD"/>
    <w:rsid w:val="00032374"/>
    <w:rsid w:val="000375AA"/>
    <w:rsid w:val="00041BC1"/>
    <w:rsid w:val="0005501D"/>
    <w:rsid w:val="00056AA2"/>
    <w:rsid w:val="00067731"/>
    <w:rsid w:val="00072E6B"/>
    <w:rsid w:val="00083875"/>
    <w:rsid w:val="000A586E"/>
    <w:rsid w:val="000D32A4"/>
    <w:rsid w:val="000D59D4"/>
    <w:rsid w:val="000D6AE8"/>
    <w:rsid w:val="001048D4"/>
    <w:rsid w:val="00132779"/>
    <w:rsid w:val="00152EFC"/>
    <w:rsid w:val="00174B18"/>
    <w:rsid w:val="00176EEC"/>
    <w:rsid w:val="00191700"/>
    <w:rsid w:val="001925CB"/>
    <w:rsid w:val="00192C02"/>
    <w:rsid w:val="00194F6A"/>
    <w:rsid w:val="001A302B"/>
    <w:rsid w:val="001C63F1"/>
    <w:rsid w:val="001D7CAC"/>
    <w:rsid w:val="001E399A"/>
    <w:rsid w:val="001E7723"/>
    <w:rsid w:val="00204604"/>
    <w:rsid w:val="0020677C"/>
    <w:rsid w:val="002137CF"/>
    <w:rsid w:val="00220449"/>
    <w:rsid w:val="002258EE"/>
    <w:rsid w:val="00240F6F"/>
    <w:rsid w:val="00244125"/>
    <w:rsid w:val="002521D0"/>
    <w:rsid w:val="0025266A"/>
    <w:rsid w:val="00265D78"/>
    <w:rsid w:val="00265E50"/>
    <w:rsid w:val="002725CE"/>
    <w:rsid w:val="0028150C"/>
    <w:rsid w:val="002A4EBD"/>
    <w:rsid w:val="002B235C"/>
    <w:rsid w:val="002D04EC"/>
    <w:rsid w:val="002D42EB"/>
    <w:rsid w:val="002D785F"/>
    <w:rsid w:val="002E09BC"/>
    <w:rsid w:val="002E0E3F"/>
    <w:rsid w:val="002F34BA"/>
    <w:rsid w:val="002F7499"/>
    <w:rsid w:val="003312D1"/>
    <w:rsid w:val="00341E23"/>
    <w:rsid w:val="00356BCF"/>
    <w:rsid w:val="0035722D"/>
    <w:rsid w:val="003574BC"/>
    <w:rsid w:val="003709D5"/>
    <w:rsid w:val="0037710D"/>
    <w:rsid w:val="003804A1"/>
    <w:rsid w:val="00381F03"/>
    <w:rsid w:val="00384668"/>
    <w:rsid w:val="003A0245"/>
    <w:rsid w:val="003C569E"/>
    <w:rsid w:val="003D37A7"/>
    <w:rsid w:val="003E301A"/>
    <w:rsid w:val="003F0BDC"/>
    <w:rsid w:val="0040298E"/>
    <w:rsid w:val="00465DD5"/>
    <w:rsid w:val="00471473"/>
    <w:rsid w:val="00471E1D"/>
    <w:rsid w:val="00482EE1"/>
    <w:rsid w:val="00483A00"/>
    <w:rsid w:val="004C72A1"/>
    <w:rsid w:val="004E739E"/>
    <w:rsid w:val="005152CC"/>
    <w:rsid w:val="00516955"/>
    <w:rsid w:val="00520C4B"/>
    <w:rsid w:val="005249A6"/>
    <w:rsid w:val="005313B7"/>
    <w:rsid w:val="0053709E"/>
    <w:rsid w:val="00565A09"/>
    <w:rsid w:val="00571121"/>
    <w:rsid w:val="005724D6"/>
    <w:rsid w:val="005758D7"/>
    <w:rsid w:val="005817E9"/>
    <w:rsid w:val="005B1F93"/>
    <w:rsid w:val="005D5396"/>
    <w:rsid w:val="005E4B30"/>
    <w:rsid w:val="00605AE6"/>
    <w:rsid w:val="00664AB4"/>
    <w:rsid w:val="00676F80"/>
    <w:rsid w:val="006A3450"/>
    <w:rsid w:val="006A4ECF"/>
    <w:rsid w:val="006D2FF8"/>
    <w:rsid w:val="006E62EE"/>
    <w:rsid w:val="00710CDB"/>
    <w:rsid w:val="007365B8"/>
    <w:rsid w:val="0074318B"/>
    <w:rsid w:val="0074648B"/>
    <w:rsid w:val="007541B5"/>
    <w:rsid w:val="0077499E"/>
    <w:rsid w:val="007B0A39"/>
    <w:rsid w:val="007B10CA"/>
    <w:rsid w:val="007C35AA"/>
    <w:rsid w:val="007D4262"/>
    <w:rsid w:val="007D5805"/>
    <w:rsid w:val="007D7EAE"/>
    <w:rsid w:val="007E47E5"/>
    <w:rsid w:val="008574A4"/>
    <w:rsid w:val="00860706"/>
    <w:rsid w:val="008631A1"/>
    <w:rsid w:val="00870C73"/>
    <w:rsid w:val="00877E0A"/>
    <w:rsid w:val="00886D1A"/>
    <w:rsid w:val="00897209"/>
    <w:rsid w:val="00897D93"/>
    <w:rsid w:val="008A3D8B"/>
    <w:rsid w:val="008B2276"/>
    <w:rsid w:val="008B746C"/>
    <w:rsid w:val="008C25EA"/>
    <w:rsid w:val="008D1928"/>
    <w:rsid w:val="0090591D"/>
    <w:rsid w:val="0091109F"/>
    <w:rsid w:val="009111FE"/>
    <w:rsid w:val="00922920"/>
    <w:rsid w:val="00943E79"/>
    <w:rsid w:val="00946F3B"/>
    <w:rsid w:val="00947033"/>
    <w:rsid w:val="00955EF8"/>
    <w:rsid w:val="009647DA"/>
    <w:rsid w:val="00985DB2"/>
    <w:rsid w:val="00986096"/>
    <w:rsid w:val="00990A09"/>
    <w:rsid w:val="0099266A"/>
    <w:rsid w:val="009A14F7"/>
    <w:rsid w:val="009A4558"/>
    <w:rsid w:val="009A4967"/>
    <w:rsid w:val="009C226B"/>
    <w:rsid w:val="009C5FAB"/>
    <w:rsid w:val="009D4241"/>
    <w:rsid w:val="009E2F26"/>
    <w:rsid w:val="009E76D7"/>
    <w:rsid w:val="009F1873"/>
    <w:rsid w:val="00A27DEC"/>
    <w:rsid w:val="00A354DA"/>
    <w:rsid w:val="00A60E59"/>
    <w:rsid w:val="00A60ED2"/>
    <w:rsid w:val="00A6735F"/>
    <w:rsid w:val="00A73A80"/>
    <w:rsid w:val="00A802D2"/>
    <w:rsid w:val="00A80B7D"/>
    <w:rsid w:val="00A8358C"/>
    <w:rsid w:val="00A85A18"/>
    <w:rsid w:val="00A96685"/>
    <w:rsid w:val="00AA0E32"/>
    <w:rsid w:val="00AA1F5F"/>
    <w:rsid w:val="00AB0A1F"/>
    <w:rsid w:val="00AB769B"/>
    <w:rsid w:val="00AC2B83"/>
    <w:rsid w:val="00AC32E2"/>
    <w:rsid w:val="00AD296D"/>
    <w:rsid w:val="00AE46CC"/>
    <w:rsid w:val="00AE79FE"/>
    <w:rsid w:val="00AF0F90"/>
    <w:rsid w:val="00B1441E"/>
    <w:rsid w:val="00B44A99"/>
    <w:rsid w:val="00B86DBF"/>
    <w:rsid w:val="00BB08DE"/>
    <w:rsid w:val="00BC34EB"/>
    <w:rsid w:val="00BC4781"/>
    <w:rsid w:val="00C03845"/>
    <w:rsid w:val="00C06829"/>
    <w:rsid w:val="00C13661"/>
    <w:rsid w:val="00C167BE"/>
    <w:rsid w:val="00C21E41"/>
    <w:rsid w:val="00C2204C"/>
    <w:rsid w:val="00C246CB"/>
    <w:rsid w:val="00C331DA"/>
    <w:rsid w:val="00C53BF8"/>
    <w:rsid w:val="00C62728"/>
    <w:rsid w:val="00C725F4"/>
    <w:rsid w:val="00C75277"/>
    <w:rsid w:val="00C93CB6"/>
    <w:rsid w:val="00CB7AB5"/>
    <w:rsid w:val="00CC5DDB"/>
    <w:rsid w:val="00CE1655"/>
    <w:rsid w:val="00CF68AA"/>
    <w:rsid w:val="00D14B8B"/>
    <w:rsid w:val="00D552E4"/>
    <w:rsid w:val="00D57AC1"/>
    <w:rsid w:val="00D80BAD"/>
    <w:rsid w:val="00D841B9"/>
    <w:rsid w:val="00D84621"/>
    <w:rsid w:val="00D86515"/>
    <w:rsid w:val="00D94B0E"/>
    <w:rsid w:val="00D97007"/>
    <w:rsid w:val="00DA03FE"/>
    <w:rsid w:val="00DC66CE"/>
    <w:rsid w:val="00DE32DF"/>
    <w:rsid w:val="00DE6FBB"/>
    <w:rsid w:val="00E12D5A"/>
    <w:rsid w:val="00E138FB"/>
    <w:rsid w:val="00E155FC"/>
    <w:rsid w:val="00E1769B"/>
    <w:rsid w:val="00E34BFD"/>
    <w:rsid w:val="00E3745F"/>
    <w:rsid w:val="00E51E44"/>
    <w:rsid w:val="00E53115"/>
    <w:rsid w:val="00E60806"/>
    <w:rsid w:val="00E727DA"/>
    <w:rsid w:val="00EC407F"/>
    <w:rsid w:val="00EC58AB"/>
    <w:rsid w:val="00EC7FB4"/>
    <w:rsid w:val="00ED429E"/>
    <w:rsid w:val="00EF1E5C"/>
    <w:rsid w:val="00EF76A8"/>
    <w:rsid w:val="00F42800"/>
    <w:rsid w:val="00F74543"/>
    <w:rsid w:val="00F848AE"/>
    <w:rsid w:val="00FB4610"/>
    <w:rsid w:val="00FD1421"/>
    <w:rsid w:val="00FD65B3"/>
    <w:rsid w:val="00FE43BA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327C"/>
  <w15:chartTrackingRefBased/>
  <w15:docId w15:val="{67D84D78-2ADE-44A9-AF86-B8A13439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D1"/>
    <w:pPr>
      <w:spacing w:line="274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D1"/>
    <w:pPr>
      <w:keepNext/>
      <w:keepLines/>
      <w:spacing w:before="360" w:after="360"/>
      <w:outlineLvl w:val="0"/>
    </w:pPr>
    <w:rPr>
      <w:rFonts w:ascii="Inter Medium" w:eastAsiaTheme="majorEastAsia" w:hAnsi="Inter Medium" w:cstheme="majorBidi"/>
      <w:color w:val="6B3B57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096"/>
    <w:pPr>
      <w:keepNext/>
      <w:keepLines/>
      <w:spacing w:before="360" w:after="240"/>
      <w:outlineLvl w:val="1"/>
    </w:pPr>
    <w:rPr>
      <w:rFonts w:eastAsia="Times New Roman" w:cstheme="majorBidi"/>
      <w:color w:val="6B3B57"/>
      <w:sz w:val="40"/>
      <w:szCs w:val="4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D1"/>
    <w:pPr>
      <w:keepNext/>
      <w:keepLines/>
      <w:spacing w:before="240" w:after="240"/>
      <w:outlineLvl w:val="2"/>
    </w:pPr>
    <w:rPr>
      <w:rFonts w:ascii="Inter Medium" w:eastAsia="Times New Roman" w:hAnsi="Inter Medium" w:cstheme="majorBidi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D1"/>
    <w:pPr>
      <w:keepNext/>
      <w:keepLines/>
      <w:numPr>
        <w:ilvl w:val="3"/>
        <w:numId w:val="16"/>
      </w:numPr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D1"/>
    <w:pPr>
      <w:keepNext/>
      <w:keepLines/>
      <w:numPr>
        <w:ilvl w:val="4"/>
        <w:numId w:val="16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D1"/>
    <w:pPr>
      <w:keepNext/>
      <w:keepLines/>
      <w:numPr>
        <w:ilvl w:val="5"/>
        <w:numId w:val="1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D1"/>
    <w:pPr>
      <w:keepNext/>
      <w:keepLines/>
      <w:numPr>
        <w:ilvl w:val="6"/>
        <w:numId w:val="1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D1"/>
    <w:pPr>
      <w:keepNext/>
      <w:keepLines/>
      <w:numPr>
        <w:ilvl w:val="7"/>
        <w:numId w:val="1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D1"/>
    <w:pPr>
      <w:keepNext/>
      <w:keepLines/>
      <w:numPr>
        <w:ilvl w:val="8"/>
        <w:numId w:val="1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096"/>
    <w:pPr>
      <w:numPr>
        <w:numId w:val="17"/>
      </w:numPr>
      <w:ind w:left="851"/>
      <w:contextualSpacing/>
    </w:pPr>
  </w:style>
  <w:style w:type="character" w:styleId="Hyperlink">
    <w:name w:val="Hyperlink"/>
    <w:basedOn w:val="DefaultParagraphFont"/>
    <w:uiPriority w:val="99"/>
    <w:unhideWhenUsed/>
    <w:rsid w:val="00897D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0C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6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0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45"/>
  </w:style>
  <w:style w:type="paragraph" w:styleId="Footer">
    <w:name w:val="footer"/>
    <w:basedOn w:val="Normal"/>
    <w:link w:val="FooterChar"/>
    <w:uiPriority w:val="99"/>
    <w:unhideWhenUsed/>
    <w:rsid w:val="003A0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45"/>
  </w:style>
  <w:style w:type="paragraph" w:customStyle="1" w:styleId="AOCtext">
    <w:name w:val="AOC text"/>
    <w:basedOn w:val="Normal"/>
    <w:qFormat/>
    <w:rsid w:val="003312D1"/>
    <w:rPr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312D1"/>
    <w:pPr>
      <w:spacing w:after="120"/>
    </w:pPr>
    <w:rPr>
      <w:rFonts w:eastAsiaTheme="minorEastAs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312D1"/>
    <w:rPr>
      <w:rFonts w:ascii="Inter Medium" w:eastAsiaTheme="majorEastAsia" w:hAnsi="Inter Medium" w:cstheme="majorBidi"/>
      <w:color w:val="6B3B57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6096"/>
    <w:rPr>
      <w:rFonts w:ascii="Arial" w:eastAsia="Times New Roman" w:hAnsi="Arial" w:cstheme="majorBidi"/>
      <w:color w:val="6B3B57"/>
      <w:sz w:val="40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312D1"/>
    <w:rPr>
      <w:rFonts w:ascii="Inter Medium" w:eastAsia="Times New Roman" w:hAnsi="Inter Medium" w:cstheme="majorBidi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D1"/>
    <w:rPr>
      <w:rFonts w:ascii="Inter" w:eastAsiaTheme="majorEastAsia" w:hAnsi="Inter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D1"/>
    <w:rPr>
      <w:rFonts w:ascii="Inter" w:eastAsiaTheme="majorEastAsia" w:hAnsi="Inter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D1"/>
    <w:rPr>
      <w:rFonts w:ascii="Inter" w:eastAsiaTheme="majorEastAsia" w:hAnsi="Inter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D1"/>
    <w:rPr>
      <w:rFonts w:ascii="Inter" w:eastAsiaTheme="majorEastAsia" w:hAnsi="Inter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D1"/>
    <w:rPr>
      <w:rFonts w:ascii="Inter" w:eastAsiaTheme="majorEastAsia" w:hAnsi="Inter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D1"/>
    <w:rPr>
      <w:rFonts w:ascii="Inter" w:eastAsiaTheme="majorEastAsia" w:hAnsi="Inter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2D1"/>
    <w:pPr>
      <w:spacing w:after="480" w:line="216" w:lineRule="auto"/>
    </w:pPr>
    <w:rPr>
      <w:color w:val="FCAB63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3312D1"/>
    <w:rPr>
      <w:rFonts w:ascii="Inter" w:hAnsi="Inter"/>
      <w:color w:val="FCAB63"/>
      <w:sz w:val="104"/>
      <w:szCs w:val="10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2D1"/>
    <w:pPr>
      <w:numPr>
        <w:ilvl w:val="1"/>
      </w:numPr>
      <w:spacing w:line="240" w:lineRule="auto"/>
    </w:pPr>
    <w:rPr>
      <w:rFonts w:eastAsiaTheme="majorEastAsia" w:cstheme="majorBidi"/>
      <w:color w:val="EDE8E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2D1"/>
    <w:rPr>
      <w:rFonts w:ascii="Inter" w:eastAsiaTheme="majorEastAsia" w:hAnsi="Inter" w:cstheme="majorBidi"/>
      <w:color w:val="EDE8E0"/>
      <w:spacing w:val="15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312D1"/>
    <w:pPr>
      <w:spacing w:before="280" w:after="28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2D1"/>
    <w:rPr>
      <w:rFonts w:ascii="Inter" w:hAnsi="Inter"/>
      <w:i/>
      <w:iCs/>
      <w:color w:val="404040" w:themeColor="text1" w:themeTint="BF"/>
    </w:rPr>
  </w:style>
  <w:style w:type="paragraph" w:styleId="TOCHeading">
    <w:name w:val="TOC Heading"/>
    <w:basedOn w:val="TableParagraph"/>
    <w:next w:val="Normal"/>
    <w:uiPriority w:val="39"/>
    <w:semiHidden/>
    <w:unhideWhenUsed/>
    <w:qFormat/>
    <w:rsid w:val="003312D1"/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4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lii.edu.au/cgi-bin/viewdoc/au/legis/cth/consol_act/hesa2003271/s16.15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ses@curtin.edu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ses.edu.au/grants-fellowship/hdr-stipends-2026-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ses.edu.au/grants-fellowship/hdr-stipends-2026-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stlii.edu.au/cgi-bin/viewdoc/au/legis/cth/consol_act/hesa2003271/s16.20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D1F6-B545-47A3-8E16-D6F373EB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</dc:creator>
  <cp:keywords/>
  <dc:description/>
  <cp:lastModifiedBy>Anna Will</cp:lastModifiedBy>
  <cp:revision>2</cp:revision>
  <cp:lastPrinted>2024-03-14T01:25:00Z</cp:lastPrinted>
  <dcterms:created xsi:type="dcterms:W3CDTF">2026-02-10T01:21:00Z</dcterms:created>
  <dcterms:modified xsi:type="dcterms:W3CDTF">2026-02-10T01:21:00Z</dcterms:modified>
</cp:coreProperties>
</file>