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A16A" w14:textId="03B08794" w:rsidR="00A03593" w:rsidRDefault="00A03593" w:rsidP="00A03593">
      <w:pPr>
        <w:pStyle w:val="Title"/>
        <w:ind w:right="-2269"/>
        <w:rPr>
          <w:noProof/>
          <w:sz w:val="92"/>
          <w:szCs w:val="92"/>
        </w:rPr>
      </w:pPr>
      <w:r w:rsidRPr="00BF48E1">
        <w:rPr>
          <w:noProof/>
          <w:sz w:val="92"/>
          <w:szCs w:val="92"/>
        </w:rPr>
        <w:drawing>
          <wp:anchor distT="0" distB="0" distL="114300" distR="114300" simplePos="0" relativeHeight="251660288" behindDoc="1" locked="0" layoutInCell="1" allowOverlap="1" wp14:anchorId="2F00432A" wp14:editId="50901AE6">
            <wp:simplePos x="0" y="0"/>
            <wp:positionH relativeFrom="page">
              <wp:align>left</wp:align>
            </wp:positionH>
            <wp:positionV relativeFrom="paragraph">
              <wp:posOffset>-503064</wp:posOffset>
            </wp:positionV>
            <wp:extent cx="7552120" cy="10682597"/>
            <wp:effectExtent l="0" t="0" r="0" b="5080"/>
            <wp:wrapNone/>
            <wp:docPr id="1599020349" name="Picture 2" descr="A co-branded report cover page creating an orange background and showing the ACSES, Curtin University, and Edith Cowan University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0349" name="Picture 2" descr="A co-branded report cover page creating an orange background and showing the ACSES, Curtin University, and Edith Cowan University logos.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2120" cy="10682597"/>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6B3B57"/>
          <w:sz w:val="32"/>
          <w:szCs w:val="32"/>
        </w:rPr>
        <w:t>LARGE</w:t>
      </w:r>
      <w:r w:rsidRPr="00701CEA">
        <w:rPr>
          <w:color w:val="6B3B57"/>
          <w:sz w:val="32"/>
          <w:szCs w:val="32"/>
        </w:rPr>
        <w:t xml:space="preserve"> GRANTS RESEARCH PROGRAM REPORT</w:t>
      </w:r>
    </w:p>
    <w:p w14:paraId="3AFFE65C" w14:textId="01A63409" w:rsidR="008C7722" w:rsidRPr="00A03593" w:rsidRDefault="00DA6126" w:rsidP="00383CEA">
      <w:pPr>
        <w:pStyle w:val="Title"/>
        <w:ind w:right="-1702"/>
        <w:rPr>
          <w:sz w:val="92"/>
          <w:szCs w:val="92"/>
        </w:rPr>
      </w:pPr>
      <w:r w:rsidRPr="00A03593">
        <w:rPr>
          <w:noProof/>
          <w:sz w:val="92"/>
          <w:szCs w:val="92"/>
          <w:lang w:val="en-GB"/>
        </w:rPr>
        <w:t xml:space="preserve">Increasing </w:t>
      </w:r>
      <w:r w:rsidR="00A03593" w:rsidRPr="00A03593">
        <w:rPr>
          <w:noProof/>
          <w:sz w:val="92"/>
          <w:szCs w:val="92"/>
          <w:lang w:val="en-GB"/>
        </w:rPr>
        <w:t>a</w:t>
      </w:r>
      <w:r w:rsidRPr="00A03593">
        <w:rPr>
          <w:noProof/>
          <w:sz w:val="92"/>
          <w:szCs w:val="92"/>
          <w:lang w:val="en-GB"/>
        </w:rPr>
        <w:t xml:space="preserve">ccess and </w:t>
      </w:r>
      <w:r w:rsidR="00A03593" w:rsidRPr="00A03593">
        <w:rPr>
          <w:noProof/>
          <w:sz w:val="92"/>
          <w:szCs w:val="92"/>
          <w:lang w:val="en-GB"/>
        </w:rPr>
        <w:t>o</w:t>
      </w:r>
      <w:r w:rsidRPr="00A03593">
        <w:rPr>
          <w:noProof/>
          <w:sz w:val="92"/>
          <w:szCs w:val="92"/>
          <w:lang w:val="en-GB"/>
        </w:rPr>
        <w:t>pportunity</w:t>
      </w:r>
      <w:r w:rsidR="00A03593" w:rsidRPr="00A03593">
        <w:rPr>
          <w:noProof/>
          <w:sz w:val="92"/>
          <w:szCs w:val="92"/>
          <w:lang w:val="en-GB"/>
        </w:rPr>
        <w:t>:</w:t>
      </w:r>
    </w:p>
    <w:p w14:paraId="7BDB1B49" w14:textId="0D8E0486" w:rsidR="008C7722" w:rsidRDefault="45283463" w:rsidP="00383CEA">
      <w:pPr>
        <w:pStyle w:val="Heading2-Front"/>
        <w:ind w:right="-1702"/>
        <w:rPr>
          <w:color w:val="351C26" w:themeColor="text2"/>
        </w:rPr>
      </w:pPr>
      <w:r w:rsidRPr="00E23CBC">
        <w:rPr>
          <w:color w:val="351C26" w:themeColor="text1"/>
        </w:rPr>
        <w:t xml:space="preserve">Nesting </w:t>
      </w:r>
      <w:r w:rsidR="00A03593">
        <w:rPr>
          <w:color w:val="351C26" w:themeColor="text1"/>
          <w:spacing w:val="15"/>
        </w:rPr>
        <w:t>e</w:t>
      </w:r>
      <w:r w:rsidR="3E3BD6AD" w:rsidRPr="07AD5326">
        <w:rPr>
          <w:color w:val="351C26" w:themeColor="text1"/>
          <w:spacing w:val="15"/>
        </w:rPr>
        <w:t>nabling</w:t>
      </w:r>
      <w:r w:rsidR="489C61D2" w:rsidRPr="07AD5326">
        <w:rPr>
          <w:color w:val="351C26" w:themeColor="text1"/>
          <w:spacing w:val="15"/>
        </w:rPr>
        <w:t xml:space="preserve"> </w:t>
      </w:r>
      <w:r w:rsidR="00A03593">
        <w:rPr>
          <w:color w:val="351C26" w:themeColor="text2"/>
        </w:rPr>
        <w:t>p</w:t>
      </w:r>
      <w:r w:rsidRPr="07AD5326">
        <w:rPr>
          <w:color w:val="351C26" w:themeColor="text2"/>
        </w:rPr>
        <w:t>rograms</w:t>
      </w:r>
      <w:r w:rsidRPr="00E23CBC">
        <w:rPr>
          <w:color w:val="351C26" w:themeColor="text1"/>
        </w:rPr>
        <w:t xml:space="preserve"> </w:t>
      </w:r>
      <w:r w:rsidR="489C61D2" w:rsidRPr="7778F56F">
        <w:rPr>
          <w:color w:val="351C26" w:themeColor="text2"/>
        </w:rPr>
        <w:t>i</w:t>
      </w:r>
      <w:r w:rsidRPr="7778F56F">
        <w:rPr>
          <w:color w:val="351C26" w:themeColor="text2"/>
        </w:rPr>
        <w:t xml:space="preserve">n </w:t>
      </w:r>
      <w:r w:rsidR="00A03593">
        <w:rPr>
          <w:color w:val="351C26" w:themeColor="text2"/>
        </w:rPr>
        <w:t>s</w:t>
      </w:r>
      <w:r w:rsidRPr="7778F56F">
        <w:rPr>
          <w:color w:val="351C26" w:themeColor="text2"/>
        </w:rPr>
        <w:t xml:space="preserve">enior </w:t>
      </w:r>
      <w:r w:rsidR="00A03593">
        <w:rPr>
          <w:color w:val="351C26" w:themeColor="text2"/>
        </w:rPr>
        <w:t>s</w:t>
      </w:r>
      <w:r w:rsidRPr="7778F56F">
        <w:rPr>
          <w:color w:val="351C26" w:themeColor="text2"/>
        </w:rPr>
        <w:t>chooling</w:t>
      </w:r>
    </w:p>
    <w:p w14:paraId="133EA0D0" w14:textId="77777777" w:rsidR="00A03593" w:rsidRDefault="00A03593" w:rsidP="00DA10D7">
      <w:pPr>
        <w:pStyle w:val="Heading2-Front"/>
        <w:ind w:right="1595"/>
        <w:rPr>
          <w:color w:val="351C26" w:themeColor="text2"/>
        </w:rPr>
      </w:pPr>
    </w:p>
    <w:p w14:paraId="4C5B27B3" w14:textId="77777777" w:rsidR="00A03593" w:rsidRDefault="00A03593" w:rsidP="00DA10D7">
      <w:pPr>
        <w:pStyle w:val="Heading2-Front"/>
        <w:ind w:right="1595"/>
        <w:rPr>
          <w:color w:val="351C26" w:themeColor="text2"/>
        </w:rPr>
      </w:pPr>
    </w:p>
    <w:p w14:paraId="2AC57DDA" w14:textId="77777777" w:rsidR="00A03593" w:rsidRDefault="00A03593" w:rsidP="00DA10D7">
      <w:pPr>
        <w:pStyle w:val="Heading2-Front"/>
        <w:ind w:right="1595"/>
        <w:rPr>
          <w:color w:val="351C26" w:themeColor="text2"/>
        </w:rPr>
      </w:pPr>
    </w:p>
    <w:p w14:paraId="59808EF8" w14:textId="77777777" w:rsidR="00A03593" w:rsidRDefault="00A03593" w:rsidP="00DA10D7">
      <w:pPr>
        <w:pStyle w:val="Heading2-Front"/>
        <w:ind w:right="1595"/>
        <w:rPr>
          <w:color w:val="351C26" w:themeColor="text2"/>
        </w:rPr>
      </w:pPr>
    </w:p>
    <w:p w14:paraId="3780BE61" w14:textId="77777777" w:rsidR="00A03593" w:rsidRDefault="00A03593" w:rsidP="00DA10D7">
      <w:pPr>
        <w:pStyle w:val="Heading2-Front"/>
        <w:ind w:right="1595"/>
        <w:rPr>
          <w:color w:val="351C26" w:themeColor="text2"/>
        </w:rPr>
      </w:pPr>
    </w:p>
    <w:p w14:paraId="35CA52F2" w14:textId="77777777" w:rsidR="00A03593" w:rsidRDefault="00A03593" w:rsidP="00DA10D7">
      <w:pPr>
        <w:pStyle w:val="Heading2-Front"/>
        <w:ind w:right="1595"/>
        <w:rPr>
          <w:color w:val="351C26" w:themeColor="text2"/>
        </w:rPr>
      </w:pPr>
    </w:p>
    <w:p w14:paraId="740CA349" w14:textId="77777777" w:rsidR="007B56A0" w:rsidRDefault="007B56A0" w:rsidP="00A03593">
      <w:pPr>
        <w:spacing w:after="0"/>
        <w:rPr>
          <w:color w:val="351C26" w:themeColor="text1"/>
          <w:sz w:val="32"/>
          <w:szCs w:val="32"/>
        </w:rPr>
      </w:pPr>
    </w:p>
    <w:p w14:paraId="72B4F814" w14:textId="77777777" w:rsidR="00383CEA" w:rsidRDefault="00383CEA" w:rsidP="00A03593">
      <w:pPr>
        <w:spacing w:after="0"/>
        <w:rPr>
          <w:color w:val="351C26" w:themeColor="text1"/>
          <w:sz w:val="32"/>
          <w:szCs w:val="32"/>
        </w:rPr>
      </w:pPr>
    </w:p>
    <w:p w14:paraId="3A678805" w14:textId="77777777" w:rsidR="00383CEA" w:rsidRDefault="00383CEA" w:rsidP="00A03593">
      <w:pPr>
        <w:spacing w:after="0"/>
        <w:rPr>
          <w:color w:val="351C26" w:themeColor="text1"/>
          <w:sz w:val="32"/>
          <w:szCs w:val="32"/>
        </w:rPr>
      </w:pPr>
    </w:p>
    <w:p w14:paraId="098206A8" w14:textId="77777777" w:rsidR="00383CEA" w:rsidRDefault="00383CEA" w:rsidP="00A03593">
      <w:pPr>
        <w:spacing w:after="0"/>
        <w:rPr>
          <w:color w:val="351C26" w:themeColor="text1"/>
          <w:sz w:val="32"/>
          <w:szCs w:val="32"/>
        </w:rPr>
      </w:pPr>
    </w:p>
    <w:p w14:paraId="55E01BDA" w14:textId="77777777" w:rsidR="00383CEA" w:rsidRDefault="00383CEA" w:rsidP="00A03593">
      <w:pPr>
        <w:spacing w:after="0"/>
        <w:rPr>
          <w:color w:val="351C26" w:themeColor="text1"/>
          <w:sz w:val="32"/>
          <w:szCs w:val="32"/>
        </w:rPr>
      </w:pPr>
    </w:p>
    <w:p w14:paraId="45935B54" w14:textId="77777777" w:rsidR="00383CEA" w:rsidRDefault="00383CEA" w:rsidP="00A03593">
      <w:pPr>
        <w:spacing w:after="0"/>
        <w:rPr>
          <w:color w:val="351C26" w:themeColor="text1"/>
          <w:sz w:val="32"/>
          <w:szCs w:val="32"/>
        </w:rPr>
      </w:pPr>
    </w:p>
    <w:p w14:paraId="638612CF" w14:textId="73635A7D" w:rsidR="007B56A0" w:rsidRDefault="00A03593" w:rsidP="00A03593">
      <w:pPr>
        <w:spacing w:after="0"/>
        <w:rPr>
          <w:color w:val="351C26" w:themeColor="text1"/>
          <w:sz w:val="32"/>
          <w:szCs w:val="32"/>
        </w:rPr>
      </w:pPr>
      <w:r w:rsidRPr="00A03593">
        <w:rPr>
          <w:color w:val="351C26" w:themeColor="text1"/>
          <w:sz w:val="32"/>
          <w:szCs w:val="32"/>
        </w:rPr>
        <w:t xml:space="preserve">Angela Jones, Fiona Navin, </w:t>
      </w:r>
    </w:p>
    <w:p w14:paraId="42F1C941" w14:textId="420407D1" w:rsidR="00A03593" w:rsidRPr="00A03593" w:rsidRDefault="00A03593" w:rsidP="00A03593">
      <w:pPr>
        <w:spacing w:after="0"/>
        <w:rPr>
          <w:color w:val="351C26" w:themeColor="text1"/>
          <w:sz w:val="32"/>
          <w:szCs w:val="32"/>
        </w:rPr>
      </w:pPr>
      <w:r w:rsidRPr="00A03593">
        <w:rPr>
          <w:color w:val="351C26" w:themeColor="text1"/>
          <w:sz w:val="32"/>
          <w:szCs w:val="32"/>
        </w:rPr>
        <w:t xml:space="preserve">Selena Dhondea-Tenakov, Joanne Lisciandro, Johanna Nieuwoudt, Anita Maclaurin, </w:t>
      </w:r>
      <w:r w:rsidR="007B56A0">
        <w:rPr>
          <w:color w:val="351C26" w:themeColor="text1"/>
          <w:sz w:val="32"/>
          <w:szCs w:val="32"/>
        </w:rPr>
        <w:br/>
      </w:r>
      <w:r w:rsidRPr="00A03593">
        <w:rPr>
          <w:color w:val="351C26" w:themeColor="text1"/>
          <w:sz w:val="32"/>
          <w:szCs w:val="32"/>
        </w:rPr>
        <w:t xml:space="preserve">Fabiane Ramos, Shaz Attree, and </w:t>
      </w:r>
      <w:r w:rsidR="007B56A0">
        <w:rPr>
          <w:color w:val="351C26" w:themeColor="text1"/>
          <w:sz w:val="32"/>
          <w:szCs w:val="32"/>
        </w:rPr>
        <w:br/>
      </w:r>
      <w:r w:rsidRPr="00A03593">
        <w:rPr>
          <w:color w:val="351C26" w:themeColor="text1"/>
          <w:sz w:val="32"/>
          <w:szCs w:val="32"/>
        </w:rPr>
        <w:t>Michael Howie</w:t>
      </w:r>
    </w:p>
    <w:p w14:paraId="5FC59AAD" w14:textId="77777777" w:rsidR="00A03593" w:rsidRPr="008C77B0" w:rsidRDefault="00A03593" w:rsidP="00A03593">
      <w:pPr>
        <w:spacing w:after="0"/>
        <w:rPr>
          <w:color w:val="351C26" w:themeColor="text1"/>
          <w:sz w:val="32"/>
          <w:szCs w:val="32"/>
        </w:rPr>
      </w:pPr>
    </w:p>
    <w:p w14:paraId="3ACBD982" w14:textId="77777777" w:rsidR="00A03593" w:rsidRPr="00BF48E1" w:rsidRDefault="00A03593" w:rsidP="00A03593">
      <w:r w:rsidRPr="008C77B0">
        <w:rPr>
          <w:b/>
          <w:bCs/>
          <w:color w:val="351C26" w:themeColor="text1"/>
          <w:sz w:val="28"/>
          <w:szCs w:val="28"/>
        </w:rPr>
        <w:t>202</w:t>
      </w:r>
      <w:r>
        <w:rPr>
          <w:b/>
          <w:bCs/>
          <w:color w:val="351C26" w:themeColor="text1"/>
          <w:sz w:val="28"/>
          <w:szCs w:val="28"/>
        </w:rPr>
        <w:t>6</w:t>
      </w:r>
    </w:p>
    <w:p w14:paraId="38BB760A" w14:textId="77777777" w:rsidR="00A03593" w:rsidRDefault="00A03593" w:rsidP="00DA10D7">
      <w:pPr>
        <w:pStyle w:val="Heading2-Front"/>
        <w:ind w:right="1595"/>
        <w:rPr>
          <w:color w:val="351C26" w:themeColor="text1"/>
        </w:rPr>
      </w:pPr>
    </w:p>
    <w:p w14:paraId="4195CA2D" w14:textId="310A57F9" w:rsidR="008C7722" w:rsidRPr="00E23CBC" w:rsidRDefault="008C7722" w:rsidP="00A32591">
      <w:pPr>
        <w:pStyle w:val="Heading2-Front"/>
        <w:rPr>
          <w:color w:val="351C26" w:themeColor="text1"/>
        </w:rPr>
        <w:sectPr w:rsidR="008C7722" w:rsidRPr="00E23CBC" w:rsidSect="008C7722">
          <w:footerReference w:type="default" r:id="rId12"/>
          <w:pgSz w:w="11906" w:h="16838"/>
          <w:pgMar w:top="794" w:right="4309" w:bottom="1440" w:left="794" w:header="709" w:footer="709" w:gutter="0"/>
          <w:cols w:space="708"/>
          <w:docGrid w:linePitch="360"/>
        </w:sectPr>
      </w:pPr>
    </w:p>
    <w:p w14:paraId="02200FB9" w14:textId="623B430B" w:rsidR="00A03593" w:rsidRPr="0016620E" w:rsidRDefault="00A03593" w:rsidP="00A03593">
      <w:pPr>
        <w:jc w:val="center"/>
        <w:rPr>
          <w:b/>
          <w:bCs/>
          <w:sz w:val="36"/>
          <w:szCs w:val="36"/>
        </w:rPr>
      </w:pPr>
      <w:bookmarkStart w:id="0" w:name="_Toc170822380"/>
      <w:r>
        <w:rPr>
          <w:b/>
          <w:bCs/>
          <w:sz w:val="36"/>
          <w:szCs w:val="36"/>
        </w:rPr>
        <w:lastRenderedPageBreak/>
        <w:t xml:space="preserve">Increasing access and opportunity: </w:t>
      </w:r>
      <w:r w:rsidR="007B56A0">
        <w:rPr>
          <w:b/>
          <w:bCs/>
          <w:sz w:val="36"/>
          <w:szCs w:val="36"/>
        </w:rPr>
        <w:t>N</w:t>
      </w:r>
      <w:r>
        <w:rPr>
          <w:b/>
          <w:bCs/>
          <w:sz w:val="36"/>
          <w:szCs w:val="36"/>
        </w:rPr>
        <w:t>esting enabling programs in senior schooling</w:t>
      </w:r>
    </w:p>
    <w:p w14:paraId="6ECBE913" w14:textId="77777777" w:rsidR="00F871A0" w:rsidRDefault="00F871A0" w:rsidP="00A32591"/>
    <w:p w14:paraId="1FB969E0" w14:textId="00ED9F6C" w:rsidR="00F871A0" w:rsidRPr="003113BD" w:rsidRDefault="00BA0437" w:rsidP="003113BD">
      <w:pPr>
        <w:jc w:val="center"/>
        <w:rPr>
          <w:b/>
          <w:bCs/>
        </w:rPr>
      </w:pPr>
      <w:r>
        <w:rPr>
          <w:b/>
          <w:bCs/>
        </w:rPr>
        <w:t xml:space="preserve">22 </w:t>
      </w:r>
      <w:r w:rsidR="008475EB">
        <w:rPr>
          <w:b/>
          <w:bCs/>
        </w:rPr>
        <w:t>June</w:t>
      </w:r>
      <w:r w:rsidR="007B56A0">
        <w:rPr>
          <w:b/>
          <w:bCs/>
        </w:rPr>
        <w:t xml:space="preserve"> 2026</w:t>
      </w:r>
    </w:p>
    <w:p w14:paraId="271F867A" w14:textId="77777777" w:rsidR="00F871A0" w:rsidRPr="0079608F" w:rsidRDefault="00F871A0" w:rsidP="007B56A0">
      <w:pPr>
        <w:spacing w:after="80"/>
      </w:pPr>
    </w:p>
    <w:p w14:paraId="7F76B076" w14:textId="1534F419" w:rsidR="00F871A0" w:rsidRPr="00DC7450" w:rsidRDefault="00061DA2" w:rsidP="007B56A0">
      <w:pPr>
        <w:spacing w:after="80"/>
        <w:jc w:val="center"/>
      </w:pPr>
      <w:r w:rsidRPr="00DC7450">
        <w:t>Dr Angela Jones</w:t>
      </w:r>
      <w:r w:rsidR="00617CE2" w:rsidRPr="00DC7450">
        <w:t xml:space="preserve"> </w:t>
      </w:r>
      <w:r w:rsidR="00DC7450">
        <w:t>(</w:t>
      </w:r>
      <w:r w:rsidR="003113BD">
        <w:t>l</w:t>
      </w:r>
      <w:r w:rsidR="00DC7450">
        <w:t xml:space="preserve">ead </w:t>
      </w:r>
      <w:r w:rsidR="003113BD">
        <w:t>i</w:t>
      </w:r>
      <w:r w:rsidR="00DC7450">
        <w:t>nvestigator)</w:t>
      </w:r>
      <w:r w:rsidR="003113BD">
        <w:t>,</w:t>
      </w:r>
      <w:r w:rsidR="00DC7450">
        <w:t xml:space="preserve"> Edith Cowan University</w:t>
      </w:r>
    </w:p>
    <w:p w14:paraId="3AF57F2F" w14:textId="08E0D902" w:rsidR="00617CE2" w:rsidRPr="00DC7450" w:rsidRDefault="00617CE2" w:rsidP="007B56A0">
      <w:pPr>
        <w:spacing w:after="80"/>
        <w:jc w:val="center"/>
      </w:pPr>
      <w:r w:rsidRPr="00DC7450">
        <w:t>Dr Fiona Navin</w:t>
      </w:r>
      <w:r w:rsidR="003113BD">
        <w:t>,</w:t>
      </w:r>
      <w:r w:rsidRPr="00DC7450">
        <w:t xml:space="preserve"> </w:t>
      </w:r>
      <w:r w:rsidR="00DC7450">
        <w:t>Edith Cowan University</w:t>
      </w:r>
    </w:p>
    <w:p w14:paraId="2907E414" w14:textId="26246288" w:rsidR="000E6E0C" w:rsidRDefault="000E6E0C" w:rsidP="007B56A0">
      <w:pPr>
        <w:spacing w:after="80"/>
        <w:jc w:val="center"/>
      </w:pPr>
      <w:r w:rsidRPr="00DC7450">
        <w:t>Selena Dhondea-Tenakov</w:t>
      </w:r>
      <w:r w:rsidR="003113BD">
        <w:t>,</w:t>
      </w:r>
      <w:r w:rsidRPr="00DC7450">
        <w:t> </w:t>
      </w:r>
      <w:r w:rsidR="00DC7450">
        <w:t>Edith Cowan University</w:t>
      </w:r>
    </w:p>
    <w:p w14:paraId="25893975" w14:textId="2FA13490" w:rsidR="006E1BBF" w:rsidRPr="00DC7450" w:rsidRDefault="006E1BBF" w:rsidP="007B56A0">
      <w:pPr>
        <w:spacing w:after="80"/>
        <w:jc w:val="center"/>
        <w:rPr>
          <w:lang w:val="en-US"/>
        </w:rPr>
      </w:pPr>
      <w:r>
        <w:t>Dr Joanne Lisciandro</w:t>
      </w:r>
      <w:r w:rsidR="003113BD">
        <w:t>,</w:t>
      </w:r>
      <w:r>
        <w:t xml:space="preserve"> Murdoch University</w:t>
      </w:r>
    </w:p>
    <w:p w14:paraId="343EF29A" w14:textId="0AAF9770" w:rsidR="000E6E0C" w:rsidRPr="00DC7450" w:rsidRDefault="000E6E0C" w:rsidP="007B56A0">
      <w:pPr>
        <w:spacing w:after="80"/>
        <w:jc w:val="center"/>
      </w:pPr>
      <w:r w:rsidRPr="00DC7450">
        <w:t>Dr Johanna Nieuwoudt</w:t>
      </w:r>
      <w:r w:rsidR="003113BD">
        <w:t>,</w:t>
      </w:r>
      <w:r w:rsidRPr="00DC7450">
        <w:t> </w:t>
      </w:r>
      <w:r w:rsidR="00DC7450">
        <w:t>Southern Cross University</w:t>
      </w:r>
    </w:p>
    <w:p w14:paraId="377C2D9C" w14:textId="5BE59EF0" w:rsidR="000E6E0C" w:rsidRPr="00DC7450" w:rsidRDefault="000E6E0C" w:rsidP="007B56A0">
      <w:pPr>
        <w:spacing w:after="80"/>
        <w:jc w:val="center"/>
      </w:pPr>
      <w:r w:rsidRPr="00DC7450">
        <w:t>Anita Maclaurin</w:t>
      </w:r>
      <w:r w:rsidR="003113BD">
        <w:t>,</w:t>
      </w:r>
      <w:r w:rsidRPr="00DC7450">
        <w:t> </w:t>
      </w:r>
      <w:r w:rsidR="00DC7450">
        <w:t>Murdoch University</w:t>
      </w:r>
    </w:p>
    <w:p w14:paraId="3089CEAF" w14:textId="750D9346" w:rsidR="00DC7450" w:rsidRPr="00DC7450" w:rsidRDefault="00DC7450" w:rsidP="007B56A0">
      <w:pPr>
        <w:spacing w:after="80"/>
        <w:jc w:val="center"/>
      </w:pPr>
      <w:r w:rsidRPr="00DC7450">
        <w:t>Dr Fabiane Ramos</w:t>
      </w:r>
      <w:r w:rsidR="003113BD">
        <w:t>,</w:t>
      </w:r>
      <w:r w:rsidRPr="00DC7450">
        <w:t> </w:t>
      </w:r>
      <w:r>
        <w:t xml:space="preserve">University </w:t>
      </w:r>
      <w:r w:rsidR="003113BD">
        <w:t xml:space="preserve">of </w:t>
      </w:r>
      <w:r>
        <w:t>Southern Queensland</w:t>
      </w:r>
    </w:p>
    <w:p w14:paraId="0F13A0F3" w14:textId="4A0F9964" w:rsidR="000E6E0C" w:rsidRPr="00DC7450" w:rsidRDefault="000E6E0C" w:rsidP="007B56A0">
      <w:pPr>
        <w:spacing w:after="80"/>
        <w:jc w:val="center"/>
        <w:rPr>
          <w:lang w:val="en-US"/>
        </w:rPr>
      </w:pPr>
      <w:r w:rsidRPr="00DC7450">
        <w:t>Shaz Attree</w:t>
      </w:r>
      <w:r w:rsidR="003113BD">
        <w:t>,</w:t>
      </w:r>
      <w:r w:rsidRPr="00DC7450">
        <w:t> </w:t>
      </w:r>
      <w:r w:rsidR="00DC7450">
        <w:t>Edith Cowan University</w:t>
      </w:r>
    </w:p>
    <w:p w14:paraId="2A2EFD48" w14:textId="21E3FF78" w:rsidR="000E6E0C" w:rsidRPr="00DC7450" w:rsidRDefault="000E6E0C" w:rsidP="007B56A0">
      <w:pPr>
        <w:spacing w:after="80"/>
        <w:jc w:val="center"/>
      </w:pPr>
      <w:r w:rsidRPr="00DC7450">
        <w:t>Michael Howie</w:t>
      </w:r>
      <w:r w:rsidR="003113BD">
        <w:t>,</w:t>
      </w:r>
      <w:r w:rsidRPr="00DC7450">
        <w:t> </w:t>
      </w:r>
      <w:r w:rsidR="00DC7450">
        <w:t>Edith Cowan University</w:t>
      </w:r>
    </w:p>
    <w:p w14:paraId="287206C6" w14:textId="77777777" w:rsidR="000E6E0C" w:rsidRPr="000E6E0C" w:rsidRDefault="000E6E0C" w:rsidP="000E6E0C">
      <w:pPr>
        <w:spacing w:after="0" w:line="240" w:lineRule="auto"/>
        <w:textAlignment w:val="baseline"/>
        <w:rPr>
          <w:rFonts w:ascii="Segoe UI" w:hAnsi="Segoe UI" w:cs="Segoe UI"/>
          <w:sz w:val="18"/>
          <w:szCs w:val="18"/>
          <w:lang w:val="en-US"/>
        </w:rPr>
      </w:pPr>
    </w:p>
    <w:p w14:paraId="59B555B9" w14:textId="77777777" w:rsidR="007B56A0" w:rsidRDefault="007B56A0" w:rsidP="003113BD">
      <w:pPr>
        <w:spacing w:after="0"/>
        <w:rPr>
          <w:bCs/>
          <w:sz w:val="18"/>
          <w:szCs w:val="18"/>
        </w:rPr>
      </w:pPr>
    </w:p>
    <w:p w14:paraId="69804565" w14:textId="66B192DA" w:rsidR="003113BD" w:rsidRPr="0016620E" w:rsidRDefault="003113BD" w:rsidP="003113BD">
      <w:pPr>
        <w:spacing w:after="0"/>
        <w:rPr>
          <w:bCs/>
          <w:sz w:val="18"/>
          <w:szCs w:val="18"/>
        </w:rPr>
      </w:pPr>
      <w:r w:rsidRPr="00BF48E1">
        <w:rPr>
          <w:bCs/>
          <w:sz w:val="18"/>
          <w:szCs w:val="18"/>
        </w:rPr>
        <w:t xml:space="preserve">Suggested citation: </w:t>
      </w:r>
      <w:r w:rsidRPr="003113BD">
        <w:rPr>
          <w:bCs/>
          <w:sz w:val="18"/>
          <w:szCs w:val="18"/>
        </w:rPr>
        <w:t xml:space="preserve">Jones, A., Navin, F., </w:t>
      </w:r>
      <w:r w:rsidRPr="008314E1">
        <w:rPr>
          <w:sz w:val="18"/>
          <w:szCs w:val="18"/>
        </w:rPr>
        <w:t>Dhondea-Tenakov, S</w:t>
      </w:r>
      <w:r>
        <w:rPr>
          <w:sz w:val="18"/>
          <w:szCs w:val="18"/>
        </w:rPr>
        <w:t>.</w:t>
      </w:r>
      <w:r w:rsidRPr="008314E1">
        <w:rPr>
          <w:sz w:val="18"/>
          <w:szCs w:val="18"/>
        </w:rPr>
        <w:t>, Lisciandro, J., Nieuwoudt, J., Maclaurin, A., Ramos, F., Attree</w:t>
      </w:r>
      <w:r w:rsidRPr="003113BD">
        <w:rPr>
          <w:bCs/>
          <w:sz w:val="18"/>
          <w:szCs w:val="18"/>
        </w:rPr>
        <w:t xml:space="preserve">, S. &amp; Howie, M. (2026). </w:t>
      </w:r>
      <w:r w:rsidRPr="003113BD">
        <w:rPr>
          <w:bCs/>
          <w:i/>
          <w:iCs/>
          <w:sz w:val="18"/>
          <w:szCs w:val="18"/>
        </w:rPr>
        <w:t xml:space="preserve">Increasing access and opportunity: </w:t>
      </w:r>
      <w:r w:rsidR="00D42B48">
        <w:rPr>
          <w:bCs/>
          <w:i/>
          <w:iCs/>
          <w:sz w:val="18"/>
          <w:szCs w:val="18"/>
        </w:rPr>
        <w:t>N</w:t>
      </w:r>
      <w:r w:rsidRPr="003113BD">
        <w:rPr>
          <w:bCs/>
          <w:i/>
          <w:iCs/>
          <w:sz w:val="18"/>
          <w:szCs w:val="18"/>
        </w:rPr>
        <w:t>esting enabling programs in senior schooling</w:t>
      </w:r>
      <w:r w:rsidRPr="003113BD">
        <w:rPr>
          <w:bCs/>
          <w:sz w:val="18"/>
          <w:szCs w:val="18"/>
        </w:rPr>
        <w:t xml:space="preserve"> (Large Grants Research Program final report). Australian Centre for Student Equity and Success, Curtin</w:t>
      </w:r>
      <w:r>
        <w:rPr>
          <w:bCs/>
          <w:sz w:val="18"/>
          <w:szCs w:val="18"/>
        </w:rPr>
        <w:t xml:space="preserve"> University.</w:t>
      </w:r>
    </w:p>
    <w:p w14:paraId="78F3226F" w14:textId="77777777" w:rsidR="003113BD" w:rsidRDefault="003113BD" w:rsidP="003113BD">
      <w:pPr>
        <w:spacing w:after="0"/>
        <w:rPr>
          <w:bCs/>
          <w:sz w:val="18"/>
          <w:szCs w:val="18"/>
        </w:rPr>
      </w:pPr>
    </w:p>
    <w:p w14:paraId="227CE800" w14:textId="77777777" w:rsidR="003113BD" w:rsidRPr="0016620E" w:rsidRDefault="003113BD" w:rsidP="003113BD">
      <w:pPr>
        <w:spacing w:after="0"/>
        <w:rPr>
          <w:bCs/>
          <w:sz w:val="18"/>
          <w:szCs w:val="18"/>
        </w:rPr>
      </w:pPr>
      <w:r w:rsidRPr="0016620E">
        <w:rPr>
          <w:bCs/>
          <w:sz w:val="18"/>
          <w:szCs w:val="18"/>
        </w:rPr>
        <w:t>Australian Centre for Student Equity and Success</w:t>
      </w:r>
    </w:p>
    <w:p w14:paraId="10AB0ED7" w14:textId="77777777" w:rsidR="00F871A0" w:rsidRPr="00FC382E" w:rsidRDefault="00F871A0" w:rsidP="00FA572B">
      <w:pPr>
        <w:pStyle w:val="Normal-9"/>
        <w:spacing w:after="0"/>
      </w:pPr>
      <w:r w:rsidRPr="00FC382E">
        <w:t>Tel: +61 8 9266 1573</w:t>
      </w:r>
    </w:p>
    <w:p w14:paraId="0D651644" w14:textId="77777777" w:rsidR="00F871A0" w:rsidRPr="00FC382E" w:rsidRDefault="4D7458FB" w:rsidP="00FA572B">
      <w:pPr>
        <w:pStyle w:val="Normal-9"/>
        <w:spacing w:after="0"/>
      </w:pPr>
      <w:r>
        <w:t xml:space="preserve">Email: </w:t>
      </w:r>
      <w:hyperlink r:id="rId13">
        <w:r w:rsidRPr="00EB775B">
          <w:rPr>
            <w:rStyle w:val="Hyperlink"/>
          </w:rPr>
          <w:t>acses@curtin.edu.au</w:t>
        </w:r>
      </w:hyperlink>
    </w:p>
    <w:p w14:paraId="7A13DF1B" w14:textId="77777777" w:rsidR="00F871A0" w:rsidRPr="00FC382E" w:rsidRDefault="4D7458FB" w:rsidP="00FA572B">
      <w:pPr>
        <w:pStyle w:val="Normal-9"/>
        <w:spacing w:after="0"/>
      </w:pPr>
      <w:r>
        <w:t xml:space="preserve">Web: </w:t>
      </w:r>
      <w:hyperlink r:id="rId14">
        <w:r w:rsidRPr="00EB775B">
          <w:rPr>
            <w:rStyle w:val="Hyperlink"/>
          </w:rPr>
          <w:t>www.acses.edu.au</w:t>
        </w:r>
      </w:hyperlink>
      <w:r>
        <w:t xml:space="preserve"> </w:t>
      </w:r>
    </w:p>
    <w:p w14:paraId="6762F5AF" w14:textId="77777777" w:rsidR="00F871A0" w:rsidRPr="00FC382E" w:rsidRDefault="00F871A0" w:rsidP="00FA572B">
      <w:pPr>
        <w:pStyle w:val="Normal-9"/>
        <w:spacing w:after="0"/>
      </w:pPr>
      <w:r w:rsidRPr="00FC382E">
        <w:t>Building 100</w:t>
      </w:r>
    </w:p>
    <w:p w14:paraId="5A78238C" w14:textId="77777777" w:rsidR="00F871A0" w:rsidRPr="00FC382E" w:rsidRDefault="00F871A0" w:rsidP="00FA572B">
      <w:pPr>
        <w:pStyle w:val="Normal-9"/>
        <w:spacing w:after="0"/>
      </w:pPr>
      <w:r w:rsidRPr="00FC382E">
        <w:t>Curtin University</w:t>
      </w:r>
    </w:p>
    <w:p w14:paraId="4DF89E0E" w14:textId="77777777" w:rsidR="00F871A0" w:rsidRPr="0079608F" w:rsidRDefault="00F871A0" w:rsidP="00FA572B">
      <w:pPr>
        <w:pStyle w:val="Normal-9"/>
        <w:spacing w:after="0"/>
      </w:pPr>
      <w:r w:rsidRPr="00FC382E">
        <w:t>Kent St, Bentley WA 6102GPO Box U1987, Perth WA 6845</w:t>
      </w:r>
      <w:bookmarkStart w:id="1" w:name="_Toc57894677"/>
    </w:p>
    <w:p w14:paraId="55D46403" w14:textId="77777777" w:rsidR="00F871A0" w:rsidRPr="0079608F" w:rsidRDefault="00F871A0" w:rsidP="00FB0C6B">
      <w:pPr>
        <w:pStyle w:val="Normal-9"/>
        <w:spacing w:after="0"/>
      </w:pPr>
    </w:p>
    <w:p w14:paraId="500DBAA1" w14:textId="77777777" w:rsidR="00F871A0" w:rsidRPr="0079608F" w:rsidRDefault="00F871A0" w:rsidP="00A32591">
      <w:pPr>
        <w:rPr>
          <w:rFonts w:eastAsiaTheme="majorEastAsia"/>
          <w:color w:val="6B3B57"/>
          <w:sz w:val="52"/>
          <w:szCs w:val="52"/>
        </w:rPr>
      </w:pPr>
      <w:r w:rsidRPr="0079608F">
        <w:rPr>
          <w:noProof/>
          <w:lang w:eastAsia="en-AU"/>
        </w:rPr>
        <mc:AlternateContent>
          <mc:Choice Requires="wps">
            <w:drawing>
              <wp:inline distT="0" distB="0" distL="0" distR="0" wp14:anchorId="7DB5D3F9" wp14:editId="354E9A99">
                <wp:extent cx="5821680" cy="2946400"/>
                <wp:effectExtent l="0" t="0" r="26670" b="25400"/>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2946400"/>
                        </a:xfrm>
                        <a:prstGeom prst="rect">
                          <a:avLst/>
                        </a:prstGeom>
                        <a:solidFill>
                          <a:srgbClr val="FFFFFF"/>
                        </a:solidFill>
                        <a:ln w="9525">
                          <a:solidFill>
                            <a:schemeClr val="accent3"/>
                          </a:solidFill>
                          <a:miter lim="800000"/>
                          <a:headEnd/>
                          <a:tailEnd/>
                        </a:ln>
                      </wps:spPr>
                      <wps:txbx>
                        <w:txbxContent>
                          <w:p w14:paraId="559610D9" w14:textId="77777777" w:rsidR="00F871A0" w:rsidRPr="007B56A0" w:rsidRDefault="00F871A0" w:rsidP="00CA555B">
                            <w:pPr>
                              <w:pStyle w:val="Normal-9"/>
                              <w:rPr>
                                <w:sz w:val="16"/>
                                <w:szCs w:val="16"/>
                              </w:rPr>
                            </w:pPr>
                            <w:r w:rsidRPr="007B56A0">
                              <w:rPr>
                                <w:sz w:val="16"/>
                                <w:szCs w:val="16"/>
                              </w:rPr>
                              <w:t>DISCLAIMER</w:t>
                            </w:r>
                          </w:p>
                          <w:p w14:paraId="79112B5F" w14:textId="77777777" w:rsidR="00F871A0" w:rsidRPr="007B56A0" w:rsidRDefault="00F871A0" w:rsidP="00CA555B">
                            <w:pPr>
                              <w:pStyle w:val="Normal-9"/>
                              <w:rPr>
                                <w:sz w:val="16"/>
                                <w:szCs w:val="16"/>
                              </w:rPr>
                            </w:pPr>
                            <w:r w:rsidRPr="007B56A0">
                              <w:rPr>
                                <w:sz w:val="16"/>
                                <w:szCs w:val="16"/>
                              </w:rPr>
                              <w:t>Information in this publication is correct at the time of release but may be subject to change. This material does not purport to constitute legal or professional advice.</w:t>
                            </w:r>
                          </w:p>
                          <w:p w14:paraId="22B9D3D9" w14:textId="77777777" w:rsidR="00F871A0" w:rsidRPr="007B56A0" w:rsidRDefault="00F871A0" w:rsidP="00CA555B">
                            <w:pPr>
                              <w:pStyle w:val="Normal-9"/>
                              <w:rPr>
                                <w:sz w:val="16"/>
                                <w:szCs w:val="16"/>
                              </w:rPr>
                            </w:pPr>
                            <w:r w:rsidRPr="007B56A0">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69FBC0A" w14:textId="77777777" w:rsidR="00F871A0" w:rsidRPr="007B56A0" w:rsidRDefault="00F871A0" w:rsidP="00CA555B">
                            <w:pPr>
                              <w:pStyle w:val="Normal-9"/>
                              <w:rPr>
                                <w:sz w:val="16"/>
                                <w:szCs w:val="16"/>
                              </w:rPr>
                            </w:pPr>
                            <w:r w:rsidRPr="007B56A0">
                              <w:rPr>
                                <w:sz w:val="16"/>
                                <w:szCs w:val="16"/>
                              </w:rPr>
                              <w:t>COPYRIGHT</w:t>
                            </w:r>
                          </w:p>
                          <w:p w14:paraId="08FD98E3" w14:textId="37AE2E27" w:rsidR="00F871A0" w:rsidRPr="007B56A0" w:rsidRDefault="00F871A0" w:rsidP="00CA555B">
                            <w:pPr>
                              <w:pStyle w:val="Normal-9"/>
                              <w:rPr>
                                <w:sz w:val="16"/>
                                <w:szCs w:val="16"/>
                              </w:rPr>
                            </w:pPr>
                            <w:r w:rsidRPr="007B56A0">
                              <w:rPr>
                                <w:sz w:val="16"/>
                                <w:szCs w:val="16"/>
                              </w:rPr>
                              <w:t xml:space="preserve">© Curtin University </w:t>
                            </w:r>
                            <w:r w:rsidRPr="007B56A0">
                              <w:rPr>
                                <w:color w:val="351C26" w:themeColor="text2"/>
                                <w:sz w:val="16"/>
                                <w:szCs w:val="16"/>
                              </w:rPr>
                              <w:t>202</w:t>
                            </w:r>
                            <w:r w:rsidR="002F502E">
                              <w:rPr>
                                <w:color w:val="351C26" w:themeColor="text2"/>
                                <w:sz w:val="16"/>
                                <w:szCs w:val="16"/>
                              </w:rPr>
                              <w:t>6</w:t>
                            </w:r>
                          </w:p>
                          <w:p w14:paraId="03DEFA5C" w14:textId="77777777" w:rsidR="00F871A0" w:rsidRPr="007B56A0" w:rsidRDefault="00F871A0" w:rsidP="00CA555B">
                            <w:pPr>
                              <w:pStyle w:val="Normal-9"/>
                              <w:rPr>
                                <w:sz w:val="16"/>
                                <w:szCs w:val="16"/>
                              </w:rPr>
                            </w:pPr>
                            <w:r w:rsidRPr="007B56A0">
                              <w:rPr>
                                <w:sz w:val="16"/>
                                <w:szCs w:val="16"/>
                              </w:rPr>
                              <w:t>Except as permitted by the Copyright Act 1968, and unless otherwise stated, this material may not be reproduced, stored or transmitted without the permission of the copyright owner. All enquiries must be directed to Curtin University.</w:t>
                            </w:r>
                          </w:p>
                          <w:p w14:paraId="1C375040" w14:textId="77777777" w:rsidR="00F871A0" w:rsidRPr="007B56A0" w:rsidRDefault="00F871A0" w:rsidP="00CA555B">
                            <w:pPr>
                              <w:pStyle w:val="Normal-9"/>
                              <w:rPr>
                                <w:sz w:val="16"/>
                                <w:szCs w:val="16"/>
                              </w:rPr>
                            </w:pPr>
                            <w:r w:rsidRPr="007B56A0">
                              <w:rPr>
                                <w:sz w:val="16"/>
                                <w:szCs w:val="16"/>
                              </w:rPr>
                              <w:t>CRICOS Provider Code 00301J</w:t>
                            </w:r>
                          </w:p>
                          <w:p w14:paraId="66D03E60" w14:textId="0C914496" w:rsidR="00FB0C6B" w:rsidRPr="007B56A0" w:rsidRDefault="00FB0C6B" w:rsidP="00CA555B">
                            <w:pPr>
                              <w:pStyle w:val="Normal-9"/>
                              <w:rPr>
                                <w:sz w:val="16"/>
                                <w:szCs w:val="16"/>
                              </w:rPr>
                            </w:pPr>
                            <w:r w:rsidRPr="0052198C">
                              <w:rPr>
                                <w:sz w:val="16"/>
                                <w:szCs w:val="16"/>
                              </w:rPr>
                              <w:t xml:space="preserve">ISBN </w:t>
                            </w:r>
                            <w:r w:rsidR="0052198C" w:rsidRPr="0052198C">
                              <w:rPr>
                                <w:sz w:val="16"/>
                                <w:szCs w:val="16"/>
                              </w:rPr>
                              <w:t>978-1-7645328-9-1</w:t>
                            </w:r>
                          </w:p>
                          <w:p w14:paraId="110E5CE7" w14:textId="77777777" w:rsidR="00F871A0" w:rsidRPr="008E31EC" w:rsidRDefault="00F871A0" w:rsidP="00A32591"/>
                          <w:p w14:paraId="6F0EBF7D" w14:textId="77777777" w:rsidR="00F871A0" w:rsidRDefault="00F871A0" w:rsidP="00A32591"/>
                        </w:txbxContent>
                      </wps:txbx>
                      <wps:bodyPr rot="0" vert="horz" wrap="square" lIns="91440" tIns="72000" rIns="91440" bIns="72000" anchor="t" anchorCtr="0">
                        <a:noAutofit/>
                      </wps:bodyPr>
                    </wps:wsp>
                  </a:graphicData>
                </a:graphic>
              </wp:inline>
            </w:drawing>
          </mc:Choice>
          <mc:Fallback>
            <w:pict>
              <v:shapetype w14:anchorId="7DB5D3F9"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" strokecolor="#fcab63 [3206]">
                <v:textbox inset=",2mm,,2mm">
                  <w:txbxContent>
                    <w:p w14:paraId="559610D9" w14:textId="77777777" w:rsidR="00F871A0" w:rsidRPr="007B56A0" w:rsidRDefault="00F871A0" w:rsidP="00CA555B">
                      <w:pPr>
                        <w:pStyle w:val="Normal-9"/>
                        <w:rPr>
                          <w:sz w:val="16"/>
                          <w:szCs w:val="16"/>
                        </w:rPr>
                      </w:pPr>
                      <w:r w:rsidRPr="007B56A0">
                        <w:rPr>
                          <w:sz w:val="16"/>
                          <w:szCs w:val="16"/>
                        </w:rPr>
                        <w:t>DISCLAIMER</w:t>
                      </w:r>
                    </w:p>
                    <w:p w14:paraId="79112B5F" w14:textId="77777777" w:rsidR="00F871A0" w:rsidRPr="007B56A0" w:rsidRDefault="00F871A0" w:rsidP="00CA555B">
                      <w:pPr>
                        <w:pStyle w:val="Normal-9"/>
                        <w:rPr>
                          <w:sz w:val="16"/>
                          <w:szCs w:val="16"/>
                        </w:rPr>
                      </w:pPr>
                      <w:r w:rsidRPr="007B56A0">
                        <w:rPr>
                          <w:sz w:val="16"/>
                          <w:szCs w:val="16"/>
                        </w:rPr>
                        <w:t>Information in this publication is correct at the time of release but may be subject to change. This material does not purport to constitute legal or professional advice.</w:t>
                      </w:r>
                    </w:p>
                    <w:p w14:paraId="22B9D3D9" w14:textId="77777777" w:rsidR="00F871A0" w:rsidRPr="007B56A0" w:rsidRDefault="00F871A0" w:rsidP="00CA555B">
                      <w:pPr>
                        <w:pStyle w:val="Normal-9"/>
                        <w:rPr>
                          <w:sz w:val="16"/>
                          <w:szCs w:val="16"/>
                        </w:rPr>
                      </w:pPr>
                      <w:r w:rsidRPr="007B56A0">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69FBC0A" w14:textId="77777777" w:rsidR="00F871A0" w:rsidRPr="007B56A0" w:rsidRDefault="00F871A0" w:rsidP="00CA555B">
                      <w:pPr>
                        <w:pStyle w:val="Normal-9"/>
                        <w:rPr>
                          <w:sz w:val="16"/>
                          <w:szCs w:val="16"/>
                        </w:rPr>
                      </w:pPr>
                      <w:r w:rsidRPr="007B56A0">
                        <w:rPr>
                          <w:sz w:val="16"/>
                          <w:szCs w:val="16"/>
                        </w:rPr>
                        <w:t>COPYRIGHT</w:t>
                      </w:r>
                    </w:p>
                    <w:p w14:paraId="08FD98E3" w14:textId="37AE2E27" w:rsidR="00F871A0" w:rsidRPr="007B56A0" w:rsidRDefault="00F871A0" w:rsidP="00CA555B">
                      <w:pPr>
                        <w:pStyle w:val="Normal-9"/>
                        <w:rPr>
                          <w:sz w:val="16"/>
                          <w:szCs w:val="16"/>
                        </w:rPr>
                      </w:pPr>
                      <w:r w:rsidRPr="007B56A0">
                        <w:rPr>
                          <w:sz w:val="16"/>
                          <w:szCs w:val="16"/>
                        </w:rPr>
                        <w:t xml:space="preserve">© Curtin University </w:t>
                      </w:r>
                      <w:r w:rsidRPr="007B56A0">
                        <w:rPr>
                          <w:color w:val="351C26" w:themeColor="text2"/>
                          <w:sz w:val="16"/>
                          <w:szCs w:val="16"/>
                        </w:rPr>
                        <w:t>202</w:t>
                      </w:r>
                      <w:r w:rsidR="002F502E">
                        <w:rPr>
                          <w:color w:val="351C26" w:themeColor="text2"/>
                          <w:sz w:val="16"/>
                          <w:szCs w:val="16"/>
                        </w:rPr>
                        <w:t>6</w:t>
                      </w:r>
                    </w:p>
                    <w:p w14:paraId="03DEFA5C" w14:textId="77777777" w:rsidR="00F871A0" w:rsidRPr="007B56A0" w:rsidRDefault="00F871A0" w:rsidP="00CA555B">
                      <w:pPr>
                        <w:pStyle w:val="Normal-9"/>
                        <w:rPr>
                          <w:sz w:val="16"/>
                          <w:szCs w:val="16"/>
                        </w:rPr>
                      </w:pPr>
                      <w:r w:rsidRPr="007B56A0">
                        <w:rPr>
                          <w:sz w:val="16"/>
                          <w:szCs w:val="16"/>
                        </w:rPr>
                        <w:t>Except as permitted by the Copyright Act 1968, and unless otherwise stated, this material may not be reproduced, stored or transmitted without the permission of the copyright owner. All enquiries must be directed to Curtin University.</w:t>
                      </w:r>
                    </w:p>
                    <w:p w14:paraId="1C375040" w14:textId="77777777" w:rsidR="00F871A0" w:rsidRPr="007B56A0" w:rsidRDefault="00F871A0" w:rsidP="00CA555B">
                      <w:pPr>
                        <w:pStyle w:val="Normal-9"/>
                        <w:rPr>
                          <w:sz w:val="16"/>
                          <w:szCs w:val="16"/>
                        </w:rPr>
                      </w:pPr>
                      <w:r w:rsidRPr="007B56A0">
                        <w:rPr>
                          <w:sz w:val="16"/>
                          <w:szCs w:val="16"/>
                        </w:rPr>
                        <w:t>CRICOS Provider Code 00301J</w:t>
                      </w:r>
                    </w:p>
                    <w:p w14:paraId="66D03E60" w14:textId="0C914496" w:rsidR="00FB0C6B" w:rsidRPr="007B56A0" w:rsidRDefault="00FB0C6B" w:rsidP="00CA555B">
                      <w:pPr>
                        <w:pStyle w:val="Normal-9"/>
                        <w:rPr>
                          <w:sz w:val="16"/>
                          <w:szCs w:val="16"/>
                        </w:rPr>
                      </w:pPr>
                      <w:r w:rsidRPr="0052198C">
                        <w:rPr>
                          <w:sz w:val="16"/>
                          <w:szCs w:val="16"/>
                        </w:rPr>
                        <w:t xml:space="preserve">ISBN </w:t>
                      </w:r>
                      <w:r w:rsidR="0052198C" w:rsidRPr="0052198C">
                        <w:rPr>
                          <w:sz w:val="16"/>
                          <w:szCs w:val="16"/>
                        </w:rPr>
                        <w:t>978-1-7645328-9-1</w:t>
                      </w:r>
                    </w:p>
                    <w:p w14:paraId="110E5CE7" w14:textId="77777777" w:rsidR="00F871A0" w:rsidRPr="008E31EC" w:rsidRDefault="00F871A0" w:rsidP="00A32591"/>
                    <w:p w14:paraId="6F0EBF7D" w14:textId="77777777" w:rsidR="00F871A0" w:rsidRDefault="00F871A0" w:rsidP="00A32591"/>
                  </w:txbxContent>
                </v:textbox>
                <w10:anchorlock/>
              </v:shape>
            </w:pict>
          </mc:Fallback>
        </mc:AlternateContent>
      </w:r>
      <w:bookmarkEnd w:id="1"/>
      <w:r w:rsidRPr="0079608F">
        <w:br w:type="page"/>
      </w:r>
    </w:p>
    <w:p w14:paraId="39BD8FC6" w14:textId="409A18B2" w:rsidR="008C7722" w:rsidRPr="00F95346" w:rsidRDefault="008C7722" w:rsidP="00A32591">
      <w:pPr>
        <w:pStyle w:val="Heading1-No"/>
      </w:pPr>
      <w:bookmarkStart w:id="2" w:name="_Toc217162465"/>
      <w:bookmarkStart w:id="3" w:name="_Toc232766162"/>
      <w:r w:rsidRPr="00F95346">
        <w:lastRenderedPageBreak/>
        <w:t>Acknowledgement of Country</w:t>
      </w:r>
      <w:bookmarkEnd w:id="0"/>
      <w:bookmarkEnd w:id="2"/>
      <w:bookmarkEnd w:id="3"/>
    </w:p>
    <w:p w14:paraId="28A728B0" w14:textId="54FE1426" w:rsidR="45BC7C1C" w:rsidRPr="00FB0C6B" w:rsidRDefault="00FB6831" w:rsidP="00A32591">
      <w:pPr>
        <w:rPr>
          <w:sz w:val="28"/>
          <w:szCs w:val="28"/>
        </w:rPr>
      </w:pPr>
      <w:r w:rsidRPr="00FB0C6B">
        <w:rPr>
          <w:sz w:val="28"/>
          <w:szCs w:val="28"/>
        </w:rPr>
        <w:t>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1F02B9FD" w14:textId="3655A9C4" w:rsidR="00891638" w:rsidRPr="00FB0C6B" w:rsidRDefault="00891638" w:rsidP="00A32591">
      <w:pPr>
        <w:rPr>
          <w:sz w:val="28"/>
          <w:szCs w:val="28"/>
        </w:rPr>
      </w:pPr>
      <w:r w:rsidRPr="00FB0C6B">
        <w:rPr>
          <w:sz w:val="28"/>
          <w:szCs w:val="28"/>
        </w:rPr>
        <w:t>Edith Cowan University, Murdoch University, University of Southern Queensland and Southern Cross University are committed to reconciliation and recognise and respect the significance of Aboriginal and Torres Strait Islander peoples’ communities, cultures and histories. Further, we acknowledge the cultural diversity of Aboriginal and Torres Strait Islander peoples and pay respect to Elders past, present</w:t>
      </w:r>
      <w:r w:rsidR="00FB0C6B">
        <w:rPr>
          <w:sz w:val="28"/>
          <w:szCs w:val="28"/>
        </w:rPr>
        <w:t>,</w:t>
      </w:r>
      <w:r w:rsidRPr="00FB0C6B">
        <w:rPr>
          <w:sz w:val="28"/>
          <w:szCs w:val="28"/>
        </w:rPr>
        <w:t xml:space="preserve"> and future. We celebrate the continuous living cultures of First Australians and acknowledge the important contributions Aboriginal and Torres Strait Islander people have and continue to make in Australian society.</w:t>
      </w:r>
    </w:p>
    <w:p w14:paraId="46A5EBC9" w14:textId="1C504573" w:rsidR="00891638" w:rsidRPr="00FB0C6B" w:rsidRDefault="00891638" w:rsidP="00A32591">
      <w:pPr>
        <w:rPr>
          <w:sz w:val="28"/>
          <w:szCs w:val="28"/>
        </w:rPr>
      </w:pPr>
      <w:r w:rsidRPr="00FB0C6B">
        <w:rPr>
          <w:sz w:val="28"/>
          <w:szCs w:val="28"/>
        </w:rPr>
        <w:t xml:space="preserve">The authors that contributed to this </w:t>
      </w:r>
      <w:r w:rsidR="002813F0" w:rsidRPr="00FB0C6B">
        <w:rPr>
          <w:sz w:val="28"/>
          <w:szCs w:val="28"/>
        </w:rPr>
        <w:t>project</w:t>
      </w:r>
      <w:r w:rsidRPr="00FB0C6B">
        <w:rPr>
          <w:sz w:val="28"/>
          <w:szCs w:val="28"/>
        </w:rPr>
        <w:t xml:space="preserve"> did so from the following lands: </w:t>
      </w:r>
    </w:p>
    <w:p w14:paraId="665365CB" w14:textId="0BDCCDC1" w:rsidR="00891638" w:rsidRPr="005140DD" w:rsidRDefault="00891638" w:rsidP="005140DD">
      <w:pPr>
        <w:pStyle w:val="ListParagraph"/>
        <w:numPr>
          <w:ilvl w:val="0"/>
          <w:numId w:val="33"/>
        </w:numPr>
        <w:tabs>
          <w:tab w:val="right" w:pos="8931"/>
        </w:tabs>
        <w:rPr>
          <w:rFonts w:eastAsia="Aptos"/>
          <w:sz w:val="28"/>
          <w:szCs w:val="28"/>
        </w:rPr>
      </w:pPr>
      <w:r w:rsidRPr="005140DD">
        <w:rPr>
          <w:rFonts w:eastAsia="Aptos"/>
          <w:sz w:val="28"/>
          <w:szCs w:val="28"/>
        </w:rPr>
        <w:t xml:space="preserve">Whadjuk Noongar </w:t>
      </w:r>
      <w:proofErr w:type="spellStart"/>
      <w:r w:rsidRPr="005140DD">
        <w:rPr>
          <w:rFonts w:eastAsia="Aptos"/>
          <w:sz w:val="28"/>
          <w:szCs w:val="28"/>
        </w:rPr>
        <w:t>Boodjar</w:t>
      </w:r>
      <w:proofErr w:type="spellEnd"/>
      <w:r w:rsidR="005140DD" w:rsidRPr="005140DD">
        <w:rPr>
          <w:rFonts w:eastAsia="Aptos"/>
          <w:sz w:val="28"/>
          <w:szCs w:val="28"/>
        </w:rPr>
        <w:t>—</w:t>
      </w:r>
      <w:r w:rsidRPr="005140DD">
        <w:rPr>
          <w:rFonts w:eastAsia="Aptos"/>
          <w:sz w:val="28"/>
          <w:szCs w:val="28"/>
        </w:rPr>
        <w:t>Edith Cowan University (Mount Lawley and Joondalup)</w:t>
      </w:r>
      <w:r w:rsidR="005140DD">
        <w:rPr>
          <w:rFonts w:eastAsia="Aptos"/>
          <w:sz w:val="28"/>
          <w:szCs w:val="28"/>
        </w:rPr>
        <w:t xml:space="preserve">, </w:t>
      </w:r>
      <w:r w:rsidR="005140DD" w:rsidRPr="008314E1">
        <w:rPr>
          <w:rFonts w:eastAsia="Aptos"/>
          <w:sz w:val="28"/>
          <w:szCs w:val="28"/>
        </w:rPr>
        <w:t>Murdoch University (Murdoch Campus)</w:t>
      </w:r>
    </w:p>
    <w:p w14:paraId="2D6EE446" w14:textId="657FB96D" w:rsidR="00891638" w:rsidRPr="005140DD" w:rsidRDefault="00891638" w:rsidP="005140DD">
      <w:pPr>
        <w:pStyle w:val="ListParagraph"/>
        <w:numPr>
          <w:ilvl w:val="0"/>
          <w:numId w:val="33"/>
        </w:numPr>
        <w:tabs>
          <w:tab w:val="right" w:pos="8931"/>
        </w:tabs>
        <w:rPr>
          <w:rFonts w:eastAsia="Aptos"/>
          <w:sz w:val="28"/>
          <w:szCs w:val="28"/>
        </w:rPr>
      </w:pPr>
      <w:proofErr w:type="spellStart"/>
      <w:r w:rsidRPr="005140DD">
        <w:rPr>
          <w:rFonts w:eastAsia="Aptos"/>
          <w:sz w:val="28"/>
          <w:szCs w:val="28"/>
        </w:rPr>
        <w:t>Wardandi</w:t>
      </w:r>
      <w:proofErr w:type="spellEnd"/>
      <w:r w:rsidRPr="005140DD">
        <w:rPr>
          <w:rFonts w:eastAsia="Aptos"/>
          <w:sz w:val="28"/>
          <w:szCs w:val="28"/>
        </w:rPr>
        <w:t xml:space="preserve"> Noongar </w:t>
      </w:r>
      <w:proofErr w:type="spellStart"/>
      <w:r w:rsidRPr="005140DD">
        <w:rPr>
          <w:rFonts w:eastAsia="Aptos"/>
          <w:sz w:val="28"/>
          <w:szCs w:val="28"/>
        </w:rPr>
        <w:t>Boodjar</w:t>
      </w:r>
      <w:proofErr w:type="spellEnd"/>
      <w:r w:rsidR="005140DD" w:rsidRPr="005140DD">
        <w:rPr>
          <w:rFonts w:eastAsia="Aptos"/>
          <w:sz w:val="28"/>
          <w:szCs w:val="28"/>
        </w:rPr>
        <w:t>—</w:t>
      </w:r>
      <w:r w:rsidRPr="005140DD">
        <w:rPr>
          <w:rFonts w:eastAsia="Aptos"/>
          <w:sz w:val="28"/>
          <w:szCs w:val="28"/>
        </w:rPr>
        <w:t>Edith Cowan University (</w:t>
      </w:r>
      <w:proofErr w:type="gramStart"/>
      <w:r w:rsidRPr="005140DD">
        <w:rPr>
          <w:rFonts w:eastAsia="Aptos"/>
          <w:sz w:val="28"/>
          <w:szCs w:val="28"/>
        </w:rPr>
        <w:t>South West</w:t>
      </w:r>
      <w:proofErr w:type="gramEnd"/>
      <w:r w:rsidRPr="005140DD">
        <w:rPr>
          <w:rFonts w:eastAsia="Aptos"/>
          <w:sz w:val="28"/>
          <w:szCs w:val="28"/>
        </w:rPr>
        <w:t xml:space="preserve"> Campus)</w:t>
      </w:r>
    </w:p>
    <w:p w14:paraId="1238189D" w14:textId="3D8112F3" w:rsidR="00891638" w:rsidRPr="005140DD" w:rsidRDefault="00891638" w:rsidP="005140DD">
      <w:pPr>
        <w:pStyle w:val="ListParagraph"/>
        <w:numPr>
          <w:ilvl w:val="0"/>
          <w:numId w:val="33"/>
        </w:numPr>
        <w:tabs>
          <w:tab w:val="right" w:pos="8931"/>
        </w:tabs>
        <w:rPr>
          <w:rFonts w:eastAsia="Aptos"/>
          <w:sz w:val="28"/>
          <w:szCs w:val="28"/>
        </w:rPr>
      </w:pPr>
      <w:proofErr w:type="spellStart"/>
      <w:r w:rsidRPr="005140DD">
        <w:rPr>
          <w:rFonts w:eastAsia="Aptos"/>
          <w:sz w:val="28"/>
          <w:szCs w:val="28"/>
        </w:rPr>
        <w:t>Binjareb</w:t>
      </w:r>
      <w:proofErr w:type="spellEnd"/>
      <w:r w:rsidRPr="005140DD">
        <w:rPr>
          <w:rFonts w:eastAsia="Aptos"/>
          <w:sz w:val="28"/>
          <w:szCs w:val="28"/>
        </w:rPr>
        <w:t xml:space="preserve"> Noongar </w:t>
      </w:r>
      <w:proofErr w:type="spellStart"/>
      <w:r w:rsidRPr="005140DD">
        <w:rPr>
          <w:rFonts w:eastAsia="Aptos"/>
          <w:sz w:val="28"/>
          <w:szCs w:val="28"/>
        </w:rPr>
        <w:t>Boodjar</w:t>
      </w:r>
      <w:proofErr w:type="spellEnd"/>
      <w:r w:rsidR="005140DD" w:rsidRPr="008314E1">
        <w:rPr>
          <w:rFonts w:eastAsia="Aptos"/>
          <w:sz w:val="28"/>
          <w:szCs w:val="28"/>
        </w:rPr>
        <w:t>—</w:t>
      </w:r>
      <w:r w:rsidRPr="005140DD">
        <w:rPr>
          <w:rFonts w:eastAsia="Aptos"/>
          <w:sz w:val="28"/>
          <w:szCs w:val="28"/>
        </w:rPr>
        <w:t>Murdoch University (Mandurah Campus)</w:t>
      </w:r>
    </w:p>
    <w:p w14:paraId="0D1507F2" w14:textId="505DF6D2" w:rsidR="00891638" w:rsidRPr="005140DD" w:rsidRDefault="00891638" w:rsidP="005140DD">
      <w:pPr>
        <w:pStyle w:val="ListParagraph"/>
        <w:numPr>
          <w:ilvl w:val="0"/>
          <w:numId w:val="33"/>
        </w:numPr>
        <w:tabs>
          <w:tab w:val="right" w:pos="8931"/>
        </w:tabs>
        <w:rPr>
          <w:rFonts w:eastAsia="Aptos"/>
          <w:sz w:val="28"/>
          <w:szCs w:val="28"/>
        </w:rPr>
      </w:pPr>
      <w:proofErr w:type="spellStart"/>
      <w:r w:rsidRPr="005140DD">
        <w:rPr>
          <w:rFonts w:eastAsia="Aptos"/>
          <w:sz w:val="28"/>
          <w:szCs w:val="28"/>
        </w:rPr>
        <w:t>Jagera</w:t>
      </w:r>
      <w:proofErr w:type="spellEnd"/>
      <w:r w:rsidRPr="005140DD">
        <w:rPr>
          <w:rFonts w:eastAsia="Aptos"/>
          <w:sz w:val="28"/>
          <w:szCs w:val="28"/>
        </w:rPr>
        <w:t xml:space="preserve">, </w:t>
      </w:r>
      <w:proofErr w:type="spellStart"/>
      <w:r w:rsidRPr="005140DD">
        <w:rPr>
          <w:rFonts w:eastAsia="Aptos"/>
          <w:sz w:val="28"/>
          <w:szCs w:val="28"/>
        </w:rPr>
        <w:t>Giabal</w:t>
      </w:r>
      <w:proofErr w:type="spellEnd"/>
      <w:r w:rsidRPr="005140DD">
        <w:rPr>
          <w:rFonts w:eastAsia="Aptos"/>
          <w:sz w:val="28"/>
          <w:szCs w:val="28"/>
        </w:rPr>
        <w:t xml:space="preserve"> and </w:t>
      </w:r>
      <w:proofErr w:type="spellStart"/>
      <w:r w:rsidRPr="005140DD">
        <w:rPr>
          <w:rFonts w:eastAsia="Aptos"/>
          <w:sz w:val="28"/>
          <w:szCs w:val="28"/>
        </w:rPr>
        <w:t>Jarowair</w:t>
      </w:r>
      <w:proofErr w:type="spellEnd"/>
      <w:r w:rsidRPr="005140DD">
        <w:rPr>
          <w:rFonts w:eastAsia="Aptos"/>
          <w:sz w:val="28"/>
          <w:szCs w:val="28"/>
        </w:rPr>
        <w:t xml:space="preserve"> lands</w:t>
      </w:r>
      <w:r w:rsidR="005140DD" w:rsidRPr="008314E1">
        <w:rPr>
          <w:rFonts w:eastAsia="Aptos"/>
          <w:sz w:val="28"/>
          <w:szCs w:val="28"/>
        </w:rPr>
        <w:t>—</w:t>
      </w:r>
      <w:r w:rsidRPr="005140DD">
        <w:rPr>
          <w:rFonts w:eastAsia="Aptos"/>
          <w:sz w:val="28"/>
          <w:szCs w:val="28"/>
        </w:rPr>
        <w:t>University of Southern Queensland (Toowoomba)</w:t>
      </w:r>
    </w:p>
    <w:p w14:paraId="15BA16A0" w14:textId="6846B543" w:rsidR="00891638" w:rsidRPr="005140DD" w:rsidRDefault="00891638" w:rsidP="005140DD">
      <w:pPr>
        <w:pStyle w:val="ListParagraph"/>
        <w:numPr>
          <w:ilvl w:val="0"/>
          <w:numId w:val="33"/>
        </w:numPr>
        <w:tabs>
          <w:tab w:val="right" w:pos="8931"/>
        </w:tabs>
        <w:rPr>
          <w:sz w:val="28"/>
          <w:szCs w:val="28"/>
        </w:rPr>
      </w:pPr>
      <w:proofErr w:type="spellStart"/>
      <w:r w:rsidRPr="005140DD">
        <w:rPr>
          <w:rFonts w:eastAsia="Aptos"/>
          <w:sz w:val="28"/>
          <w:szCs w:val="28"/>
        </w:rPr>
        <w:t>Yugambeh</w:t>
      </w:r>
      <w:proofErr w:type="spellEnd"/>
      <w:r w:rsidRPr="005140DD">
        <w:rPr>
          <w:rFonts w:eastAsia="Aptos"/>
          <w:sz w:val="28"/>
          <w:szCs w:val="28"/>
        </w:rPr>
        <w:t xml:space="preserve"> </w:t>
      </w:r>
      <w:proofErr w:type="spellStart"/>
      <w:r w:rsidRPr="005140DD">
        <w:rPr>
          <w:rFonts w:eastAsia="Aptos"/>
          <w:sz w:val="28"/>
          <w:szCs w:val="28"/>
        </w:rPr>
        <w:t>Chagun</w:t>
      </w:r>
      <w:proofErr w:type="spellEnd"/>
      <w:r w:rsidR="005140DD" w:rsidRPr="008314E1">
        <w:rPr>
          <w:rFonts w:eastAsia="Aptos"/>
          <w:sz w:val="28"/>
          <w:szCs w:val="28"/>
        </w:rPr>
        <w:t>—</w:t>
      </w:r>
      <w:r w:rsidRPr="005140DD">
        <w:rPr>
          <w:rFonts w:eastAsia="Aptos"/>
          <w:sz w:val="28"/>
          <w:szCs w:val="28"/>
        </w:rPr>
        <w:t>Southern Cross University (Gold Coast)</w:t>
      </w:r>
      <w:r w:rsidR="009D339F">
        <w:rPr>
          <w:rFonts w:eastAsia="Aptos"/>
          <w:sz w:val="28"/>
          <w:szCs w:val="28"/>
        </w:rPr>
        <w:t>.</w:t>
      </w:r>
    </w:p>
    <w:p w14:paraId="4394C5CC" w14:textId="77777777" w:rsidR="0073342F" w:rsidRPr="0079608F" w:rsidRDefault="0073342F" w:rsidP="00A32591">
      <w:r w:rsidRPr="0079608F">
        <w:br w:type="page"/>
      </w:r>
    </w:p>
    <w:p w14:paraId="6471A76F" w14:textId="3E152EF2" w:rsidR="004C7116" w:rsidRPr="0079608F" w:rsidRDefault="54C08261" w:rsidP="00A32591">
      <w:pPr>
        <w:pStyle w:val="Heading1-No"/>
      </w:pPr>
      <w:bookmarkStart w:id="4" w:name="_Toc217162466"/>
      <w:bookmarkStart w:id="5" w:name="_Toc232766163"/>
      <w:r w:rsidRPr="0079608F">
        <w:lastRenderedPageBreak/>
        <w:t>Acknowledgements</w:t>
      </w:r>
      <w:bookmarkEnd w:id="4"/>
      <w:bookmarkEnd w:id="5"/>
      <w:r w:rsidR="0E181DB5" w:rsidRPr="0079608F">
        <w:t xml:space="preserve"> </w:t>
      </w:r>
    </w:p>
    <w:p w14:paraId="63B36F29" w14:textId="18FB7DF1" w:rsidR="03646A3E" w:rsidRPr="00891926" w:rsidRDefault="03646A3E" w:rsidP="00A32591">
      <w:pPr>
        <w:pStyle w:val="Normal-Bold"/>
        <w:rPr>
          <w:rFonts w:eastAsiaTheme="majorEastAsia"/>
        </w:rPr>
      </w:pPr>
      <w:r w:rsidRPr="00891926">
        <w:rPr>
          <w:rFonts w:eastAsiaTheme="majorEastAsia"/>
        </w:rPr>
        <w:t>Students</w:t>
      </w:r>
      <w:r w:rsidR="63C73CE7" w:rsidRPr="00891926">
        <w:t xml:space="preserve">, </w:t>
      </w:r>
      <w:r w:rsidR="009D339F" w:rsidRPr="00891926">
        <w:t>e</w:t>
      </w:r>
      <w:r w:rsidR="63C73CE7" w:rsidRPr="00891926">
        <w:t>ducators</w:t>
      </w:r>
      <w:r w:rsidRPr="00891926">
        <w:rPr>
          <w:rFonts w:eastAsiaTheme="majorEastAsia"/>
        </w:rPr>
        <w:t xml:space="preserve"> and school communities</w:t>
      </w:r>
    </w:p>
    <w:p w14:paraId="714D5FB2" w14:textId="14F1D51D" w:rsidR="00485CD0" w:rsidRDefault="6E3ACC85" w:rsidP="00A32591">
      <w:r>
        <w:t xml:space="preserve">Edith Cowan University, Murdoch University, Southern Cross University, </w:t>
      </w:r>
      <w:r w:rsidR="009D339F">
        <w:t xml:space="preserve">and </w:t>
      </w:r>
      <w:r>
        <w:t>University of Southern Queensland acknowledge the partnership with high schools across Western Australia</w:t>
      </w:r>
      <w:r w:rsidR="7F0319AA">
        <w:t xml:space="preserve">, </w:t>
      </w:r>
      <w:r w:rsidR="3088DC4A">
        <w:t>New South Wales</w:t>
      </w:r>
      <w:r w:rsidR="009D339F">
        <w:t>,</w:t>
      </w:r>
      <w:r>
        <w:t xml:space="preserve"> and Queensland</w:t>
      </w:r>
      <w:r w:rsidR="51DF0B45">
        <w:t xml:space="preserve">. </w:t>
      </w:r>
      <w:r w:rsidR="212157E7">
        <w:t xml:space="preserve">The project would not have been possible without the generous contributions of </w:t>
      </w:r>
      <w:r w:rsidR="07916E5F">
        <w:t>students and educators</w:t>
      </w:r>
      <w:r>
        <w:t xml:space="preserve"> in sharing their experiences and the support provided by school communities</w:t>
      </w:r>
      <w:r w:rsidR="032A1CED">
        <w:t xml:space="preserve">. The partnership with high schools is integral to the development and delivery of </w:t>
      </w:r>
      <w:r w:rsidR="00AE4694">
        <w:t>i</w:t>
      </w:r>
      <w:r w:rsidR="032A1CED">
        <w:t>n-</w:t>
      </w:r>
      <w:r w:rsidR="00AE4694">
        <w:t>s</w:t>
      </w:r>
      <w:r w:rsidR="032A1CED">
        <w:t xml:space="preserve">chool </w:t>
      </w:r>
      <w:r w:rsidR="00AE4694">
        <w:t>e</w:t>
      </w:r>
      <w:r w:rsidR="032A1CED">
        <w:t xml:space="preserve">nabling </w:t>
      </w:r>
      <w:r w:rsidR="00AE4694">
        <w:t>p</w:t>
      </w:r>
      <w:r w:rsidR="032A1CED">
        <w:t>rograms</w:t>
      </w:r>
      <w:r w:rsidR="00AF5D91">
        <w:t xml:space="preserve"> (ISEPs)</w:t>
      </w:r>
      <w:r w:rsidR="032A1CED">
        <w:t>.</w:t>
      </w:r>
    </w:p>
    <w:p w14:paraId="0291A227" w14:textId="3935EA7E" w:rsidR="008C7722" w:rsidRPr="00891926" w:rsidRDefault="063CC87F" w:rsidP="00A32591">
      <w:pPr>
        <w:pStyle w:val="Normal-Bold"/>
        <w:rPr>
          <w:rFonts w:eastAsia="Aptos"/>
          <w:b w:val="0"/>
          <w:sz w:val="32"/>
          <w:szCs w:val="32"/>
        </w:rPr>
      </w:pPr>
      <w:r w:rsidRPr="00891926">
        <w:rPr>
          <w:rFonts w:eastAsiaTheme="majorEastAsia"/>
        </w:rPr>
        <w:t>NAEEA </w:t>
      </w:r>
    </w:p>
    <w:p w14:paraId="6B430272" w14:textId="163672E7" w:rsidR="008C7722" w:rsidRPr="0079608F" w:rsidRDefault="063CC87F" w:rsidP="00A32591">
      <w:pPr>
        <w:rPr>
          <w:rFonts w:eastAsia="Aptos"/>
          <w:color w:val="000000"/>
        </w:rPr>
      </w:pPr>
      <w:r w:rsidRPr="293A0BA7">
        <w:t xml:space="preserve">We wish to acknowledge the significant role of the National Association of </w:t>
      </w:r>
      <w:r w:rsidR="00237D88" w:rsidRPr="293A0BA7">
        <w:t>Enabling</w:t>
      </w:r>
      <w:r w:rsidRPr="293A0BA7">
        <w:t xml:space="preserve"> Educators of Australia (NAEEA) in building a rigorous and supportive network of </w:t>
      </w:r>
      <w:r w:rsidR="009D339F">
        <w:t>e</w:t>
      </w:r>
      <w:r w:rsidR="00237D88" w:rsidRPr="293A0BA7">
        <w:t>nabling</w:t>
      </w:r>
      <w:r w:rsidRPr="293A0BA7">
        <w:t xml:space="preserve"> practitioners in Australia.</w:t>
      </w:r>
    </w:p>
    <w:p w14:paraId="0F30C576" w14:textId="5F727705" w:rsidR="008C7722" w:rsidRPr="0079608F" w:rsidRDefault="22D2D3A5" w:rsidP="00A32591">
      <w:r>
        <w:t xml:space="preserve">NAEEA’s previous benchmarking projects in 2016 and 2023 established a robust framework for benchmarking </w:t>
      </w:r>
      <w:r w:rsidR="009D339F">
        <w:t>e</w:t>
      </w:r>
      <w:r w:rsidR="3E3BD6AD">
        <w:t>nabling</w:t>
      </w:r>
      <w:r>
        <w:t xml:space="preserve"> </w:t>
      </w:r>
      <w:r w:rsidR="6BE33C80">
        <w:t>program</w:t>
      </w:r>
      <w:r>
        <w:t>s in Australia</w:t>
      </w:r>
      <w:r w:rsidR="1322DE1C">
        <w:t>, and t</w:t>
      </w:r>
      <w:r>
        <w:t>h</w:t>
      </w:r>
      <w:r w:rsidR="731206A5">
        <w:t>e</w:t>
      </w:r>
      <w:r>
        <w:t xml:space="preserve"> framework forms the foundation for this project.</w:t>
      </w:r>
    </w:p>
    <w:p w14:paraId="1291594E" w14:textId="1C896E70" w:rsidR="008C7722" w:rsidRPr="0079608F" w:rsidRDefault="22D2D3A5" w:rsidP="00A32591">
      <w:pPr>
        <w:rPr>
          <w:rFonts w:eastAsia="Aptos"/>
          <w:color w:val="000000"/>
        </w:rPr>
      </w:pPr>
      <w:r>
        <w:t>All participants in this project are NAEEA</w:t>
      </w:r>
      <w:r w:rsidR="009D339F">
        <w:t xml:space="preserve"> members</w:t>
      </w:r>
      <w:r w:rsidR="3C68B833">
        <w:t>,</w:t>
      </w:r>
      <w:r>
        <w:t xml:space="preserve"> and the goal of this project is to extend benchmarking to unique offerings within the </w:t>
      </w:r>
      <w:r w:rsidR="009D339F">
        <w:t>e</w:t>
      </w:r>
      <w:r w:rsidR="3E3BD6AD">
        <w:t>nabling</w:t>
      </w:r>
      <w:r>
        <w:t xml:space="preserve"> sector, specifically </w:t>
      </w:r>
      <w:r w:rsidR="009D339F">
        <w:t>ISEPs</w:t>
      </w:r>
      <w:r>
        <w:t xml:space="preserve">. This is the first national, cross-institutional and cross-sector benchmarking study of </w:t>
      </w:r>
      <w:r w:rsidR="009D339F">
        <w:t>ISEPs</w:t>
      </w:r>
      <w:r w:rsidR="69F2240B">
        <w:t xml:space="preserve"> </w:t>
      </w:r>
      <w:r>
        <w:t>that will contribute to standardising courses, quality assurance, transparency, and portability of qualifications, while also guiding best practices for</w:t>
      </w:r>
      <w:r w:rsidR="00AF5D91">
        <w:t xml:space="preserve"> </w:t>
      </w:r>
      <w:r w:rsidR="009D339F">
        <w:t>ISEPs</w:t>
      </w:r>
      <w:r>
        <w:t>.</w:t>
      </w:r>
    </w:p>
    <w:p w14:paraId="5DB0C51C" w14:textId="58266F9C" w:rsidR="008C7722" w:rsidRPr="00891926" w:rsidRDefault="063CC87F" w:rsidP="00A32591">
      <w:pPr>
        <w:pStyle w:val="Normal-Bold"/>
      </w:pPr>
      <w:r w:rsidRPr="00891926">
        <w:t>Inclusivity </w:t>
      </w:r>
    </w:p>
    <w:p w14:paraId="2D90E91E" w14:textId="5F5E7B4E" w:rsidR="008C7722" w:rsidRPr="0079608F" w:rsidRDefault="063CC87F" w:rsidP="00A32591">
      <w:r w:rsidRPr="293A0BA7">
        <w:t xml:space="preserve">At </w:t>
      </w:r>
      <w:r w:rsidR="009D339F">
        <w:t>Edith Cowan University,</w:t>
      </w:r>
      <w:r w:rsidR="009D339F" w:rsidRPr="293A0BA7">
        <w:t xml:space="preserve"> </w:t>
      </w:r>
      <w:r w:rsidRPr="293A0BA7">
        <w:t>we have a strong and maturing commitment to equity, diversity and inclusion and we acknowledge the benefits that diversity brings to our institution, allowing all of us to thrive. Everyone is entitled to see themselves positively reflected and acknowledged in our community, especially in the language we speak and write. Using inclusive practice fosters an inclusive culture and delivers a curriculum that reflects the natural diversity of human experiences.</w:t>
      </w:r>
    </w:p>
    <w:p w14:paraId="68BC11E4" w14:textId="5493AE24" w:rsidR="741D9CF6" w:rsidRPr="00891926" w:rsidRDefault="741D9CF6" w:rsidP="00A32591">
      <w:pPr>
        <w:pStyle w:val="Normal-Bold"/>
      </w:pPr>
      <w:r w:rsidRPr="00891926">
        <w:t>ACSES</w:t>
      </w:r>
    </w:p>
    <w:p w14:paraId="55E91A47" w14:textId="4E06336A" w:rsidR="741D9CF6" w:rsidRDefault="00FD0CAD" w:rsidP="00A32591">
      <w:pPr>
        <w:rPr>
          <w:rFonts w:eastAsia="Aptos"/>
          <w:color w:val="000000"/>
        </w:rPr>
      </w:pPr>
      <w:r>
        <w:t>T</w:t>
      </w:r>
      <w:r w:rsidR="741D9CF6" w:rsidRPr="5F05BADD">
        <w:t>his project was funded in part by a grant from the Australian Centre for Student Equity and Success (ACSES). </w:t>
      </w:r>
    </w:p>
    <w:p w14:paraId="7D6A10F5" w14:textId="2585C374" w:rsidR="5F05BADD" w:rsidRDefault="5F05BADD" w:rsidP="00A32591"/>
    <w:p w14:paraId="3D750292" w14:textId="1E6B92B1" w:rsidR="008C7722" w:rsidRDefault="008C7722" w:rsidP="00A32591"/>
    <w:p w14:paraId="1B3091E3" w14:textId="77777777" w:rsidR="00FA1D78" w:rsidRDefault="00FA1D78" w:rsidP="00A32591"/>
    <w:p w14:paraId="58231DD8" w14:textId="77777777" w:rsidR="00FA1D78" w:rsidRPr="0079608F" w:rsidRDefault="00FA1D78" w:rsidP="00A32591"/>
    <w:p w14:paraId="688856BC" w14:textId="2F7ADE71" w:rsidR="008C7722" w:rsidRPr="0079608F" w:rsidRDefault="008C7722" w:rsidP="00A32591"/>
    <w:p w14:paraId="3025DBF4" w14:textId="77777777" w:rsidR="00FA1D78" w:rsidRDefault="00FA1D78" w:rsidP="00A32591"/>
    <w:p w14:paraId="334DAF0A" w14:textId="77777777" w:rsidR="00FA1D78" w:rsidRPr="00265191" w:rsidRDefault="00FA1D78" w:rsidP="00FA1D78">
      <w:pPr>
        <w:keepNext/>
        <w:keepLines/>
        <w:spacing w:before="360" w:after="360"/>
        <w:outlineLvl w:val="0"/>
        <w:rPr>
          <w:color w:val="6B3B57"/>
          <w:kern w:val="2"/>
          <w:sz w:val="52"/>
          <w:szCs w:val="40"/>
          <w:lang w:eastAsia="en-AU"/>
          <w14:ligatures w14:val="standardContextual"/>
        </w:rPr>
      </w:pPr>
      <w:bookmarkStart w:id="6" w:name="_Toc223523280"/>
      <w:bookmarkStart w:id="7" w:name="_Toc232766164"/>
      <w:proofErr w:type="gramStart"/>
      <w:r w:rsidRPr="00265191">
        <w:rPr>
          <w:color w:val="6B3B57"/>
          <w:kern w:val="2"/>
          <w:sz w:val="52"/>
          <w:szCs w:val="40"/>
          <w:lang w:eastAsia="en-AU"/>
          <w14:ligatures w14:val="standardContextual"/>
        </w:rPr>
        <w:lastRenderedPageBreak/>
        <w:t>At a glance</w:t>
      </w:r>
      <w:bookmarkEnd w:id="6"/>
      <w:bookmarkEnd w:id="7"/>
      <w:proofErr w:type="gramEnd"/>
    </w:p>
    <w:p w14:paraId="4640D3BF" w14:textId="77777777" w:rsidR="00FA1D78" w:rsidRPr="0041567D" w:rsidRDefault="00FA1D78" w:rsidP="00FA1D78">
      <w:pPr>
        <w:spacing w:after="60"/>
        <w:rPr>
          <w:rFonts w:eastAsia="Inter Light" w:cs="Times New Roman"/>
          <w:b/>
          <w:bCs/>
          <w:kern w:val="2"/>
          <w:szCs w:val="22"/>
          <w:lang w:eastAsia="en-US"/>
          <w14:ligatures w14:val="standardContextual"/>
        </w:rPr>
      </w:pPr>
      <w:r w:rsidRPr="0041567D">
        <w:rPr>
          <w:rFonts w:eastAsia="Inter Light" w:cs="Times New Roman"/>
          <w:b/>
          <w:bCs/>
          <w:kern w:val="2"/>
          <w:szCs w:val="22"/>
          <w:lang w:eastAsia="en-US"/>
          <w14:ligatures w14:val="standardContextual"/>
        </w:rPr>
        <w:t>Background</w:t>
      </w:r>
    </w:p>
    <w:p w14:paraId="40081A4F" w14:textId="77777777" w:rsidR="00FA1D78" w:rsidRDefault="00FA1D78" w:rsidP="00FA1D78">
      <w:r>
        <w:t xml:space="preserve">In-school enabling programs (ISEPs) provide a direct pathway to higher education for Year 11 and 12 students who aspire to university but lack access to, or do not thrive in, </w:t>
      </w:r>
      <w:r w:rsidRPr="5AF546B2">
        <w:rPr>
          <w:rFonts w:eastAsia="Arial"/>
        </w:rPr>
        <w:t xml:space="preserve">Australian Tertiary Admission Rank </w:t>
      </w:r>
      <w:r>
        <w:rPr>
          <w:rFonts w:eastAsia="Arial"/>
        </w:rPr>
        <w:t>(</w:t>
      </w:r>
      <w:r>
        <w:t>ATAR)-based systems.</w:t>
      </w:r>
    </w:p>
    <w:p w14:paraId="418BFF0D" w14:textId="77777777" w:rsidR="00FA1D78" w:rsidRDefault="00FA1D78" w:rsidP="00FA1D78">
      <w:r>
        <w:t>This research project was designed to understand the efficacy of ISEPs as a pathway into success in higher education, and to provide guidance to Australian universities and high schools in establishing effective and scalable program models.</w:t>
      </w:r>
    </w:p>
    <w:p w14:paraId="32C46CB7" w14:textId="77777777" w:rsidR="00FA1D78" w:rsidRPr="0041567D" w:rsidRDefault="00FA1D78" w:rsidP="00FA1D78">
      <w:pPr>
        <w:spacing w:after="60"/>
        <w:rPr>
          <w:rFonts w:eastAsia="Inter Light" w:cs="Times New Roman"/>
          <w:b/>
          <w:bCs/>
          <w:kern w:val="2"/>
          <w:szCs w:val="22"/>
          <w:lang w:eastAsia="en-US"/>
          <w14:ligatures w14:val="standardContextual"/>
        </w:rPr>
      </w:pPr>
      <w:r w:rsidRPr="0041567D">
        <w:rPr>
          <w:rFonts w:eastAsia="Inter Light" w:cs="Times New Roman"/>
          <w:b/>
          <w:bCs/>
          <w:kern w:val="2"/>
          <w:szCs w:val="22"/>
          <w:lang w:eastAsia="en-US"/>
          <w14:ligatures w14:val="standardContextual"/>
        </w:rPr>
        <w:t>What we did</w:t>
      </w:r>
    </w:p>
    <w:p w14:paraId="348B7DE6" w14:textId="77777777" w:rsidR="00FA1D78" w:rsidRDefault="00FA1D78" w:rsidP="00FA1D78">
      <w:pPr>
        <w:tabs>
          <w:tab w:val="left" w:pos="1335"/>
        </w:tabs>
        <w:spacing w:line="276" w:lineRule="auto"/>
      </w:pPr>
      <w:r>
        <w:t xml:space="preserve">This project is the first national, cross-institutional benchmarking and impact study of ISEPs in Australia, </w:t>
      </w:r>
      <w:r w:rsidRPr="00C97C1F">
        <w:t>examin</w:t>
      </w:r>
      <w:r>
        <w:t>ing</w:t>
      </w:r>
      <w:r w:rsidRPr="00C97C1F">
        <w:t xml:space="preserve"> models and outcomes with a focus on impact for equity groups.</w:t>
      </w:r>
    </w:p>
    <w:p w14:paraId="6669BD17" w14:textId="77777777" w:rsidR="00FA1D78" w:rsidRDefault="00FA1D78" w:rsidP="00FA1D78">
      <w:pPr>
        <w:rPr>
          <w:rFonts w:eastAsia="Arial"/>
        </w:rPr>
      </w:pPr>
      <w:r>
        <w:rPr>
          <w:rFonts w:eastAsia="Arial"/>
        </w:rPr>
        <w:t>A</w:t>
      </w:r>
      <w:r w:rsidRPr="6FDF53A5">
        <w:rPr>
          <w:rFonts w:eastAsia="Arial"/>
        </w:rPr>
        <w:t xml:space="preserve"> </w:t>
      </w:r>
      <w:r>
        <w:rPr>
          <w:rFonts w:eastAsia="Arial"/>
        </w:rPr>
        <w:t>multi</w:t>
      </w:r>
      <w:r w:rsidRPr="6FDF53A5">
        <w:rPr>
          <w:rFonts w:eastAsia="Arial"/>
        </w:rPr>
        <w:t xml:space="preserve">-phase mixed methodological approach </w:t>
      </w:r>
      <w:r>
        <w:rPr>
          <w:rFonts w:eastAsia="Arial"/>
        </w:rPr>
        <w:t xml:space="preserve">was adopted, comparing ISEP models at </w:t>
      </w:r>
      <w:r w:rsidRPr="06A5CC8B">
        <w:rPr>
          <w:rFonts w:eastAsia="Arial"/>
        </w:rPr>
        <w:t xml:space="preserve">four universities and </w:t>
      </w:r>
      <w:r>
        <w:rPr>
          <w:rFonts w:eastAsia="Arial"/>
        </w:rPr>
        <w:t>94</w:t>
      </w:r>
      <w:r w:rsidRPr="06A5CC8B">
        <w:rPr>
          <w:rFonts w:eastAsia="Arial"/>
        </w:rPr>
        <w:t xml:space="preserve"> high schools</w:t>
      </w:r>
      <w:r w:rsidRPr="4B5A95AF">
        <w:rPr>
          <w:rFonts w:eastAsia="Arial"/>
        </w:rPr>
        <w:t>.</w:t>
      </w:r>
      <w:r>
        <w:rPr>
          <w:rFonts w:eastAsia="Arial"/>
        </w:rPr>
        <w:t xml:space="preserve"> </w:t>
      </w:r>
      <w:r>
        <w:rPr>
          <w:lang w:eastAsia="en-AU"/>
        </w:rPr>
        <w:t>M</w:t>
      </w:r>
      <w:r w:rsidRPr="00C97C1F">
        <w:rPr>
          <w:lang w:eastAsia="en-AU"/>
        </w:rPr>
        <w:t xml:space="preserve">ultiple quantitative and qualitative datasets </w:t>
      </w:r>
      <w:r>
        <w:rPr>
          <w:lang w:eastAsia="en-AU"/>
        </w:rPr>
        <w:t>were gathered to</w:t>
      </w:r>
      <w:r w:rsidRPr="00C97C1F">
        <w:rPr>
          <w:lang w:eastAsia="en-AU"/>
        </w:rPr>
        <w:t xml:space="preserve"> </w:t>
      </w:r>
      <w:r>
        <w:rPr>
          <w:lang w:eastAsia="en-AU"/>
        </w:rPr>
        <w:t xml:space="preserve">evaluate </w:t>
      </w:r>
      <w:r w:rsidRPr="00C97C1F">
        <w:rPr>
          <w:lang w:eastAsia="en-AU"/>
        </w:rPr>
        <w:t>efficacy</w:t>
      </w:r>
      <w:r>
        <w:rPr>
          <w:lang w:eastAsia="en-AU"/>
        </w:rPr>
        <w:t>,</w:t>
      </w:r>
      <w:r w:rsidRPr="00C97C1F">
        <w:rPr>
          <w:lang w:eastAsia="en-AU"/>
        </w:rPr>
        <w:t xml:space="preserve"> from </w:t>
      </w:r>
      <w:r>
        <w:rPr>
          <w:lang w:eastAsia="en-AU"/>
        </w:rPr>
        <w:t>program</w:t>
      </w:r>
      <w:r w:rsidRPr="00C97C1F">
        <w:rPr>
          <w:lang w:eastAsia="en-AU"/>
        </w:rPr>
        <w:t xml:space="preserve"> structure </w:t>
      </w:r>
      <w:r>
        <w:rPr>
          <w:lang w:eastAsia="en-AU"/>
        </w:rPr>
        <w:t xml:space="preserve">through </w:t>
      </w:r>
      <w:r w:rsidRPr="00C97C1F">
        <w:rPr>
          <w:lang w:eastAsia="en-AU"/>
        </w:rPr>
        <w:t>to transition into undergraduate study.</w:t>
      </w:r>
    </w:p>
    <w:p w14:paraId="64B28B8F" w14:textId="48A8CEC7" w:rsidR="006800CE" w:rsidRPr="0041567D" w:rsidRDefault="00FA1D78" w:rsidP="00AA039D">
      <w:pPr>
        <w:spacing w:before="240" w:after="60"/>
        <w:rPr>
          <w:szCs w:val="22"/>
        </w:rPr>
      </w:pPr>
      <w:r w:rsidRPr="0041567D">
        <w:rPr>
          <w:rFonts w:eastAsia="Inter Light" w:cs="Times New Roman"/>
          <w:b/>
          <w:bCs/>
          <w:kern w:val="2"/>
          <w:szCs w:val="22"/>
          <w:lang w:eastAsia="en-US"/>
          <w14:ligatures w14:val="standardContextual"/>
        </w:rPr>
        <w:t>What we found</w:t>
      </w:r>
    </w:p>
    <w:p w14:paraId="55A61002" w14:textId="74DB3131" w:rsidR="006800CE" w:rsidRPr="00AA039D" w:rsidRDefault="006800CE" w:rsidP="00AA039D">
      <w:r>
        <w:t xml:space="preserve">ISEPs are academically rigorous, quality pathways that </w:t>
      </w:r>
      <w:r w:rsidRPr="00F33E7F">
        <w:t>effectively prepare students for the transition to higher education, mitigating some of the disadvantages students from equity groups typically face in first-year university</w:t>
      </w:r>
      <w:r>
        <w:t xml:space="preserve">. Students and </w:t>
      </w:r>
      <w:r w:rsidR="00AA039D">
        <w:t>e</w:t>
      </w:r>
      <w:r>
        <w:t xml:space="preserve">ducators highlighted the </w:t>
      </w:r>
      <w:r w:rsidRPr="00B67975">
        <w:t>transformative socio-emotional benefits</w:t>
      </w:r>
      <w:r>
        <w:t xml:space="preserve"> of ISEPs</w:t>
      </w:r>
      <w:r w:rsidRPr="00B67975">
        <w:t xml:space="preserve"> for students</w:t>
      </w:r>
      <w:r>
        <w:t xml:space="preserve"> </w:t>
      </w:r>
      <w:r w:rsidR="00AA039D">
        <w:t>who</w:t>
      </w:r>
      <w:r>
        <w:t xml:space="preserve"> had struggled in, or not had access to, ATAR</w:t>
      </w:r>
      <w:r w:rsidR="00AA039D">
        <w:t>:</w:t>
      </w:r>
      <w:r w:rsidRPr="00B67975">
        <w:t xml:space="preserve"> </w:t>
      </w:r>
      <w:r w:rsidR="00AA039D">
        <w:t>these</w:t>
      </w:r>
      <w:r>
        <w:t xml:space="preserve"> </w:t>
      </w:r>
      <w:r w:rsidRPr="00F33E7F">
        <w:t>included increased confidence, resilience, and a sense of belonging, alongside the development of essential academic literacies</w:t>
      </w:r>
      <w:r w:rsidRPr="00B67975">
        <w:t>.</w:t>
      </w:r>
    </w:p>
    <w:p w14:paraId="59B65B3D" w14:textId="77777777" w:rsidR="00FA1D78" w:rsidRDefault="00FA1D78" w:rsidP="00FA1D78">
      <w:pPr>
        <w:spacing w:before="240" w:after="60"/>
      </w:pPr>
      <w:r>
        <w:t>ISEPs reach and enrol high proportions of students from equity cohorts, addressing systemic barriers to higher education</w:t>
      </w:r>
      <w:r>
        <w:rPr>
          <w:lang w:eastAsia="en-AU"/>
        </w:rPr>
        <w:t>.</w:t>
      </w:r>
      <w:r w:rsidRPr="005366F7">
        <w:rPr>
          <w:lang w:eastAsia="en-AU"/>
        </w:rPr>
        <w:t xml:space="preserve"> </w:t>
      </w:r>
      <w:r>
        <w:rPr>
          <w:lang w:eastAsia="en-AU"/>
        </w:rPr>
        <w:t xml:space="preserve">Within the programs, </w:t>
      </w:r>
      <w:r>
        <w:t>students achieve high levels of academic success and completion.</w:t>
      </w:r>
    </w:p>
    <w:p w14:paraId="57DEE55A" w14:textId="77777777" w:rsidR="00FA1D78" w:rsidRPr="0041567D" w:rsidRDefault="00FA1D78" w:rsidP="00FA1D78">
      <w:pPr>
        <w:spacing w:before="240" w:after="60"/>
        <w:rPr>
          <w:rFonts w:eastAsia="Inter Light" w:cs="Times New Roman"/>
          <w:b/>
          <w:bCs/>
          <w:kern w:val="2"/>
          <w:szCs w:val="22"/>
          <w:lang w:eastAsia="en-US"/>
          <w14:ligatures w14:val="standardContextual"/>
        </w:rPr>
      </w:pPr>
      <w:r w:rsidRPr="0041567D">
        <w:rPr>
          <w:rFonts w:eastAsia="Inter Light" w:cs="Times New Roman"/>
          <w:b/>
          <w:bCs/>
          <w:kern w:val="2"/>
          <w:szCs w:val="22"/>
          <w:lang w:eastAsia="en-US"/>
          <w14:ligatures w14:val="standardContextual"/>
        </w:rPr>
        <w:t>What we recommend</w:t>
      </w:r>
    </w:p>
    <w:p w14:paraId="1D119AF1" w14:textId="77777777" w:rsidR="00FA1D78" w:rsidRDefault="00FA1D78" w:rsidP="00FA1D78">
      <w:r>
        <w:t>The National Association of Enabling Educators of Australia (NAEEA) should establish a nationally endorsed enabling education framework, with common learning outcomes, portfolio standards, and external moderation, ensuring quality, transparency, and portability. </w:t>
      </w:r>
    </w:p>
    <w:p w14:paraId="4771E2F2" w14:textId="77777777" w:rsidR="00FA1D78" w:rsidRPr="00706B33" w:rsidRDefault="00FA1D78" w:rsidP="00FA1D78">
      <w:pPr>
        <w:rPr>
          <w:lang w:eastAsia="en-AU"/>
        </w:rPr>
      </w:pPr>
      <w:r>
        <w:t xml:space="preserve">Universities should implement targeted strategies to address systemic barriers impacting equity cohorts and provide sustained support for their transition and success throughout later years of study. </w:t>
      </w:r>
    </w:p>
    <w:p w14:paraId="1A0548BC" w14:textId="771C3E1E" w:rsidR="008C7722" w:rsidRPr="0079608F" w:rsidRDefault="00FA1D78" w:rsidP="00FA1D78">
      <w:r w:rsidRPr="00A824A4">
        <w:t xml:space="preserve">Federal and State </w:t>
      </w:r>
      <w:r>
        <w:t>g</w:t>
      </w:r>
      <w:r w:rsidRPr="00A824A4">
        <w:t xml:space="preserve">overnments and </w:t>
      </w:r>
      <w:r w:rsidRPr="00EB3C78">
        <w:rPr>
          <w:lang w:eastAsia="en-AU"/>
        </w:rPr>
        <w:t>the Australian Tertiary Education Commission</w:t>
      </w:r>
      <w:r>
        <w:rPr>
          <w:b/>
          <w:bCs/>
          <w:lang w:eastAsia="en-AU"/>
        </w:rPr>
        <w:t xml:space="preserve"> </w:t>
      </w:r>
      <w:r>
        <w:rPr>
          <w:lang w:eastAsia="en-AU"/>
        </w:rPr>
        <w:t>(</w:t>
      </w:r>
      <w:r>
        <w:t>ATEC) should s</w:t>
      </w:r>
      <w:r w:rsidRPr="00A824A4">
        <w:t>ecure sustainable funding for ISEPs through national recognition or by formal integration into educational policy and funding</w:t>
      </w:r>
      <w:r>
        <w:t xml:space="preserve"> models.</w:t>
      </w:r>
      <w:r w:rsidR="008C7722">
        <w:br w:type="page"/>
      </w:r>
    </w:p>
    <w:p w14:paraId="4CF05E40" w14:textId="23D4AC7A" w:rsidR="008C7722" w:rsidRPr="0079608F" w:rsidRDefault="008C7722" w:rsidP="00A329C7">
      <w:pPr>
        <w:pStyle w:val="Heading1-No"/>
        <w:tabs>
          <w:tab w:val="left" w:pos="7820"/>
        </w:tabs>
        <w:spacing w:after="0"/>
      </w:pPr>
      <w:bookmarkStart w:id="8" w:name="_Toc170822381"/>
      <w:bookmarkStart w:id="9" w:name="_Toc217162467"/>
      <w:bookmarkStart w:id="10" w:name="_Toc232766165"/>
      <w:r w:rsidRPr="0079608F">
        <w:lastRenderedPageBreak/>
        <w:t xml:space="preserve">Table of </w:t>
      </w:r>
      <w:r w:rsidR="009D339F">
        <w:t>c</w:t>
      </w:r>
      <w:r w:rsidRPr="0079608F">
        <w:t>ontents</w:t>
      </w:r>
      <w:bookmarkEnd w:id="8"/>
      <w:bookmarkEnd w:id="9"/>
      <w:bookmarkEnd w:id="10"/>
    </w:p>
    <w:sdt>
      <w:sdtPr>
        <w:rPr>
          <w:rFonts w:eastAsia="Times New Roman"/>
          <w:bCs w:val="0"/>
          <w:i w:val="0"/>
          <w:iCs w:val="0"/>
          <w:szCs w:val="24"/>
        </w:rPr>
        <w:id w:val="1481082841"/>
        <w:docPartObj>
          <w:docPartGallery w:val="Table of Contents"/>
          <w:docPartUnique/>
        </w:docPartObj>
      </w:sdtPr>
      <w:sdtEndPr>
        <w:rPr>
          <w:color w:val="351C26" w:themeColor="text1"/>
        </w:rPr>
      </w:sdtEndPr>
      <w:sdtContent>
        <w:p w14:paraId="3C5C9478" w14:textId="77777777" w:rsidR="008C7722" w:rsidRPr="004F3D64" w:rsidRDefault="008C7722" w:rsidP="004D4F57">
          <w:pPr>
            <w:pStyle w:val="TOCHeading"/>
            <w:rPr>
              <w:color w:val="351C26" w:themeColor="text1"/>
            </w:rPr>
          </w:pPr>
        </w:p>
        <w:p w14:paraId="7D690600" w14:textId="561C6300" w:rsidR="00AB6338" w:rsidRDefault="00676493">
          <w:pPr>
            <w:pStyle w:val="TOC1"/>
            <w:tabs>
              <w:tab w:val="right" w:leader="dot" w:pos="9016"/>
            </w:tabs>
            <w:rPr>
              <w:rFonts w:asciiTheme="minorHAnsi" w:eastAsiaTheme="minorEastAsia" w:hAnsiTheme="minorHAnsi" w:cstheme="minorBidi"/>
              <w:noProof/>
              <w:kern w:val="2"/>
              <w:sz w:val="24"/>
              <w:lang w:eastAsia="en-AU"/>
              <w14:ligatures w14:val="standardContextual"/>
            </w:rPr>
          </w:pPr>
          <w:r w:rsidRPr="004F3D64">
            <w:rPr>
              <w:color w:val="351C26" w:themeColor="text1"/>
            </w:rPr>
            <w:fldChar w:fldCharType="begin"/>
          </w:r>
          <w:r w:rsidRPr="004F3D64">
            <w:rPr>
              <w:color w:val="351C26" w:themeColor="text1"/>
            </w:rPr>
            <w:instrText>TOC \o "1-3" \z \u \h</w:instrText>
          </w:r>
          <w:r w:rsidRPr="004F3D64">
            <w:rPr>
              <w:color w:val="351C26" w:themeColor="text1"/>
            </w:rPr>
            <w:fldChar w:fldCharType="separate"/>
          </w:r>
          <w:hyperlink w:anchor="_Toc232766162" w:history="1">
            <w:r w:rsidR="00AB6338" w:rsidRPr="00FA0E9D">
              <w:rPr>
                <w:rStyle w:val="Hyperlink"/>
                <w:noProof/>
              </w:rPr>
              <w:t>Acknowledgement of Country</w:t>
            </w:r>
            <w:r w:rsidR="00AB6338">
              <w:rPr>
                <w:noProof/>
                <w:webHidden/>
              </w:rPr>
              <w:tab/>
            </w:r>
            <w:r w:rsidR="00AB6338">
              <w:rPr>
                <w:noProof/>
                <w:webHidden/>
              </w:rPr>
              <w:fldChar w:fldCharType="begin"/>
            </w:r>
            <w:r w:rsidR="00AB6338">
              <w:rPr>
                <w:noProof/>
                <w:webHidden/>
              </w:rPr>
              <w:instrText xml:space="preserve"> PAGEREF _Toc232766162 \h </w:instrText>
            </w:r>
            <w:r w:rsidR="00AB6338">
              <w:rPr>
                <w:noProof/>
                <w:webHidden/>
              </w:rPr>
            </w:r>
            <w:r w:rsidR="00AB6338">
              <w:rPr>
                <w:noProof/>
                <w:webHidden/>
              </w:rPr>
              <w:fldChar w:fldCharType="separate"/>
            </w:r>
            <w:r w:rsidR="00AB6338">
              <w:rPr>
                <w:noProof/>
                <w:webHidden/>
              </w:rPr>
              <w:t>ii</w:t>
            </w:r>
            <w:r w:rsidR="00AB6338">
              <w:rPr>
                <w:noProof/>
                <w:webHidden/>
              </w:rPr>
              <w:fldChar w:fldCharType="end"/>
            </w:r>
          </w:hyperlink>
        </w:p>
        <w:p w14:paraId="41182E0D" w14:textId="44A842B3" w:rsidR="00AB6338" w:rsidRDefault="00AB6338">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766163" w:history="1">
            <w:r w:rsidRPr="00FA0E9D">
              <w:rPr>
                <w:rStyle w:val="Hyperlink"/>
                <w:noProof/>
              </w:rPr>
              <w:t>Acknowledgements</w:t>
            </w:r>
            <w:r>
              <w:rPr>
                <w:noProof/>
                <w:webHidden/>
              </w:rPr>
              <w:tab/>
            </w:r>
            <w:r>
              <w:rPr>
                <w:noProof/>
                <w:webHidden/>
              </w:rPr>
              <w:fldChar w:fldCharType="begin"/>
            </w:r>
            <w:r>
              <w:rPr>
                <w:noProof/>
                <w:webHidden/>
              </w:rPr>
              <w:instrText xml:space="preserve"> PAGEREF _Toc232766163 \h </w:instrText>
            </w:r>
            <w:r>
              <w:rPr>
                <w:noProof/>
                <w:webHidden/>
              </w:rPr>
            </w:r>
            <w:r>
              <w:rPr>
                <w:noProof/>
                <w:webHidden/>
              </w:rPr>
              <w:fldChar w:fldCharType="separate"/>
            </w:r>
            <w:r>
              <w:rPr>
                <w:noProof/>
                <w:webHidden/>
              </w:rPr>
              <w:t>iii</w:t>
            </w:r>
            <w:r>
              <w:rPr>
                <w:noProof/>
                <w:webHidden/>
              </w:rPr>
              <w:fldChar w:fldCharType="end"/>
            </w:r>
          </w:hyperlink>
        </w:p>
        <w:p w14:paraId="57AB92E5" w14:textId="3D42A9CF" w:rsidR="00AB6338" w:rsidRDefault="00AB6338">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766164" w:history="1">
            <w:r w:rsidRPr="00FA0E9D">
              <w:rPr>
                <w:rStyle w:val="Hyperlink"/>
                <w:noProof/>
                <w:lang w:eastAsia="en-AU"/>
              </w:rPr>
              <w:t>At a glance</w:t>
            </w:r>
            <w:r>
              <w:rPr>
                <w:noProof/>
                <w:webHidden/>
              </w:rPr>
              <w:tab/>
            </w:r>
            <w:r>
              <w:rPr>
                <w:noProof/>
                <w:webHidden/>
              </w:rPr>
              <w:fldChar w:fldCharType="begin"/>
            </w:r>
            <w:r>
              <w:rPr>
                <w:noProof/>
                <w:webHidden/>
              </w:rPr>
              <w:instrText xml:space="preserve"> PAGEREF _Toc232766164 \h </w:instrText>
            </w:r>
            <w:r>
              <w:rPr>
                <w:noProof/>
                <w:webHidden/>
              </w:rPr>
            </w:r>
            <w:r>
              <w:rPr>
                <w:noProof/>
                <w:webHidden/>
              </w:rPr>
              <w:fldChar w:fldCharType="separate"/>
            </w:r>
            <w:r>
              <w:rPr>
                <w:noProof/>
                <w:webHidden/>
              </w:rPr>
              <w:t>iv</w:t>
            </w:r>
            <w:r>
              <w:rPr>
                <w:noProof/>
                <w:webHidden/>
              </w:rPr>
              <w:fldChar w:fldCharType="end"/>
            </w:r>
          </w:hyperlink>
        </w:p>
        <w:p w14:paraId="6C2F43CA" w14:textId="64032780" w:rsidR="00AB6338" w:rsidRDefault="00AB6338">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766165" w:history="1">
            <w:r w:rsidRPr="00FA0E9D">
              <w:rPr>
                <w:rStyle w:val="Hyperlink"/>
                <w:noProof/>
              </w:rPr>
              <w:t>Table of contents</w:t>
            </w:r>
            <w:r>
              <w:rPr>
                <w:noProof/>
                <w:webHidden/>
              </w:rPr>
              <w:tab/>
            </w:r>
            <w:r>
              <w:rPr>
                <w:noProof/>
                <w:webHidden/>
              </w:rPr>
              <w:fldChar w:fldCharType="begin"/>
            </w:r>
            <w:r>
              <w:rPr>
                <w:noProof/>
                <w:webHidden/>
              </w:rPr>
              <w:instrText xml:space="preserve"> PAGEREF _Toc232766165 \h </w:instrText>
            </w:r>
            <w:r>
              <w:rPr>
                <w:noProof/>
                <w:webHidden/>
              </w:rPr>
            </w:r>
            <w:r>
              <w:rPr>
                <w:noProof/>
                <w:webHidden/>
              </w:rPr>
              <w:fldChar w:fldCharType="separate"/>
            </w:r>
            <w:r>
              <w:rPr>
                <w:noProof/>
                <w:webHidden/>
              </w:rPr>
              <w:t>v</w:t>
            </w:r>
            <w:r>
              <w:rPr>
                <w:noProof/>
                <w:webHidden/>
              </w:rPr>
              <w:fldChar w:fldCharType="end"/>
            </w:r>
          </w:hyperlink>
        </w:p>
        <w:p w14:paraId="6C488C19" w14:textId="2EE00C5A" w:rsidR="00AB6338" w:rsidRDefault="00AB6338">
          <w:pPr>
            <w:pStyle w:val="TOC2"/>
            <w:tabs>
              <w:tab w:val="right" w:leader="dot" w:pos="9016"/>
            </w:tabs>
            <w:rPr>
              <w:rFonts w:asciiTheme="minorHAnsi" w:eastAsiaTheme="minorEastAsia" w:hAnsiTheme="minorHAnsi" w:cstheme="minorBidi"/>
              <w:noProof/>
              <w:kern w:val="2"/>
              <w:sz w:val="24"/>
              <w:lang w:eastAsia="en-AU"/>
              <w14:ligatures w14:val="standardContextual"/>
            </w:rPr>
          </w:pPr>
          <w:hyperlink w:anchor="_Toc232766166" w:history="1">
            <w:r w:rsidRPr="00FA0E9D">
              <w:rPr>
                <w:rStyle w:val="Hyperlink"/>
                <w:noProof/>
              </w:rPr>
              <w:t>List of tables</w:t>
            </w:r>
            <w:r>
              <w:rPr>
                <w:noProof/>
                <w:webHidden/>
              </w:rPr>
              <w:tab/>
            </w:r>
            <w:r>
              <w:rPr>
                <w:noProof/>
                <w:webHidden/>
              </w:rPr>
              <w:fldChar w:fldCharType="begin"/>
            </w:r>
            <w:r>
              <w:rPr>
                <w:noProof/>
                <w:webHidden/>
              </w:rPr>
              <w:instrText xml:space="preserve"> PAGEREF _Toc232766166 \h </w:instrText>
            </w:r>
            <w:r>
              <w:rPr>
                <w:noProof/>
                <w:webHidden/>
              </w:rPr>
            </w:r>
            <w:r>
              <w:rPr>
                <w:noProof/>
                <w:webHidden/>
              </w:rPr>
              <w:fldChar w:fldCharType="separate"/>
            </w:r>
            <w:r>
              <w:rPr>
                <w:noProof/>
                <w:webHidden/>
              </w:rPr>
              <w:t>vi</w:t>
            </w:r>
            <w:r>
              <w:rPr>
                <w:noProof/>
                <w:webHidden/>
              </w:rPr>
              <w:fldChar w:fldCharType="end"/>
            </w:r>
          </w:hyperlink>
        </w:p>
        <w:p w14:paraId="363394B1" w14:textId="0298D8DB" w:rsidR="00AB6338" w:rsidRDefault="00AB6338">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766167" w:history="1">
            <w:r w:rsidRPr="00FA0E9D">
              <w:rPr>
                <w:rStyle w:val="Hyperlink"/>
                <w:noProof/>
              </w:rPr>
              <w:t>Executive summary</w:t>
            </w:r>
            <w:r>
              <w:rPr>
                <w:noProof/>
                <w:webHidden/>
              </w:rPr>
              <w:tab/>
            </w:r>
            <w:r>
              <w:rPr>
                <w:noProof/>
                <w:webHidden/>
              </w:rPr>
              <w:fldChar w:fldCharType="begin"/>
            </w:r>
            <w:r>
              <w:rPr>
                <w:noProof/>
                <w:webHidden/>
              </w:rPr>
              <w:instrText xml:space="preserve"> PAGEREF _Toc232766167 \h </w:instrText>
            </w:r>
            <w:r>
              <w:rPr>
                <w:noProof/>
                <w:webHidden/>
              </w:rPr>
            </w:r>
            <w:r>
              <w:rPr>
                <w:noProof/>
                <w:webHidden/>
              </w:rPr>
              <w:fldChar w:fldCharType="separate"/>
            </w:r>
            <w:r>
              <w:rPr>
                <w:noProof/>
                <w:webHidden/>
              </w:rPr>
              <w:t>1</w:t>
            </w:r>
            <w:r>
              <w:rPr>
                <w:noProof/>
                <w:webHidden/>
              </w:rPr>
              <w:fldChar w:fldCharType="end"/>
            </w:r>
          </w:hyperlink>
        </w:p>
        <w:p w14:paraId="73DC1CA5" w14:textId="47D75C89" w:rsidR="00AB6338" w:rsidRDefault="00AB6338">
          <w:pPr>
            <w:pStyle w:val="TOC2"/>
            <w:tabs>
              <w:tab w:val="right" w:leader="dot" w:pos="9016"/>
            </w:tabs>
            <w:rPr>
              <w:rFonts w:asciiTheme="minorHAnsi" w:eastAsiaTheme="minorEastAsia" w:hAnsiTheme="minorHAnsi" w:cstheme="minorBidi"/>
              <w:noProof/>
              <w:kern w:val="2"/>
              <w:sz w:val="24"/>
              <w:lang w:eastAsia="en-AU"/>
              <w14:ligatures w14:val="standardContextual"/>
            </w:rPr>
          </w:pPr>
          <w:hyperlink w:anchor="_Toc232766168" w:history="1">
            <w:r w:rsidRPr="00FA0E9D">
              <w:rPr>
                <w:rStyle w:val="Hyperlink"/>
                <w:noProof/>
              </w:rPr>
              <w:t>Findings</w:t>
            </w:r>
            <w:r>
              <w:rPr>
                <w:noProof/>
                <w:webHidden/>
              </w:rPr>
              <w:tab/>
            </w:r>
            <w:r>
              <w:rPr>
                <w:noProof/>
                <w:webHidden/>
              </w:rPr>
              <w:fldChar w:fldCharType="begin"/>
            </w:r>
            <w:r>
              <w:rPr>
                <w:noProof/>
                <w:webHidden/>
              </w:rPr>
              <w:instrText xml:space="preserve"> PAGEREF _Toc232766168 \h </w:instrText>
            </w:r>
            <w:r>
              <w:rPr>
                <w:noProof/>
                <w:webHidden/>
              </w:rPr>
            </w:r>
            <w:r>
              <w:rPr>
                <w:noProof/>
                <w:webHidden/>
              </w:rPr>
              <w:fldChar w:fldCharType="separate"/>
            </w:r>
            <w:r>
              <w:rPr>
                <w:noProof/>
                <w:webHidden/>
              </w:rPr>
              <w:t>2</w:t>
            </w:r>
            <w:r>
              <w:rPr>
                <w:noProof/>
                <w:webHidden/>
              </w:rPr>
              <w:fldChar w:fldCharType="end"/>
            </w:r>
          </w:hyperlink>
        </w:p>
        <w:p w14:paraId="5E43D7AE" w14:textId="768261C5" w:rsidR="00AB6338" w:rsidRDefault="00AB6338">
          <w:pPr>
            <w:pStyle w:val="TOC1"/>
            <w:tabs>
              <w:tab w:val="left" w:pos="440"/>
              <w:tab w:val="right" w:leader="dot" w:pos="9016"/>
            </w:tabs>
            <w:rPr>
              <w:rFonts w:asciiTheme="minorHAnsi" w:eastAsiaTheme="minorEastAsia" w:hAnsiTheme="minorHAnsi" w:cstheme="minorBidi"/>
              <w:noProof/>
              <w:kern w:val="2"/>
              <w:sz w:val="24"/>
              <w:lang w:eastAsia="en-AU"/>
              <w14:ligatures w14:val="standardContextual"/>
            </w:rPr>
          </w:pPr>
          <w:hyperlink w:anchor="_Toc232766169" w:history="1">
            <w:r w:rsidRPr="00FA0E9D">
              <w:rPr>
                <w:rStyle w:val="Hyperlink"/>
                <w:noProof/>
              </w:rPr>
              <w:t>1.</w:t>
            </w:r>
            <w:r>
              <w:rPr>
                <w:rFonts w:asciiTheme="minorHAnsi" w:eastAsiaTheme="minorEastAsia" w:hAnsiTheme="minorHAnsi" w:cstheme="minorBidi"/>
                <w:noProof/>
                <w:kern w:val="2"/>
                <w:sz w:val="24"/>
                <w:lang w:eastAsia="en-AU"/>
                <w14:ligatures w14:val="standardContextual"/>
              </w:rPr>
              <w:tab/>
            </w:r>
            <w:r w:rsidRPr="00FA0E9D">
              <w:rPr>
                <w:rStyle w:val="Hyperlink"/>
                <w:noProof/>
              </w:rPr>
              <w:t>Introduction</w:t>
            </w:r>
            <w:r>
              <w:rPr>
                <w:noProof/>
                <w:webHidden/>
              </w:rPr>
              <w:tab/>
            </w:r>
            <w:r>
              <w:rPr>
                <w:noProof/>
                <w:webHidden/>
              </w:rPr>
              <w:fldChar w:fldCharType="begin"/>
            </w:r>
            <w:r>
              <w:rPr>
                <w:noProof/>
                <w:webHidden/>
              </w:rPr>
              <w:instrText xml:space="preserve"> PAGEREF _Toc232766169 \h </w:instrText>
            </w:r>
            <w:r>
              <w:rPr>
                <w:noProof/>
                <w:webHidden/>
              </w:rPr>
            </w:r>
            <w:r>
              <w:rPr>
                <w:noProof/>
                <w:webHidden/>
              </w:rPr>
              <w:fldChar w:fldCharType="separate"/>
            </w:r>
            <w:r>
              <w:rPr>
                <w:noProof/>
                <w:webHidden/>
              </w:rPr>
              <w:t>5</w:t>
            </w:r>
            <w:r>
              <w:rPr>
                <w:noProof/>
                <w:webHidden/>
              </w:rPr>
              <w:fldChar w:fldCharType="end"/>
            </w:r>
          </w:hyperlink>
        </w:p>
        <w:p w14:paraId="6BB62438" w14:textId="768F4EB9" w:rsidR="00AB6338" w:rsidRDefault="00AB6338">
          <w:pPr>
            <w:pStyle w:val="TOC1"/>
            <w:tabs>
              <w:tab w:val="left" w:pos="440"/>
              <w:tab w:val="right" w:leader="dot" w:pos="9016"/>
            </w:tabs>
            <w:rPr>
              <w:rFonts w:asciiTheme="minorHAnsi" w:eastAsiaTheme="minorEastAsia" w:hAnsiTheme="minorHAnsi" w:cstheme="minorBidi"/>
              <w:noProof/>
              <w:kern w:val="2"/>
              <w:sz w:val="24"/>
              <w:lang w:eastAsia="en-AU"/>
              <w14:ligatures w14:val="standardContextual"/>
            </w:rPr>
          </w:pPr>
          <w:hyperlink w:anchor="_Toc232766170" w:history="1">
            <w:r w:rsidRPr="00FA0E9D">
              <w:rPr>
                <w:rStyle w:val="Hyperlink"/>
                <w:noProof/>
              </w:rPr>
              <w:t>2.</w:t>
            </w:r>
            <w:r>
              <w:rPr>
                <w:rFonts w:asciiTheme="minorHAnsi" w:eastAsiaTheme="minorEastAsia" w:hAnsiTheme="minorHAnsi" w:cstheme="minorBidi"/>
                <w:noProof/>
                <w:kern w:val="2"/>
                <w:sz w:val="24"/>
                <w:lang w:eastAsia="en-AU"/>
                <w14:ligatures w14:val="standardContextual"/>
              </w:rPr>
              <w:tab/>
            </w:r>
            <w:r w:rsidRPr="00FA0E9D">
              <w:rPr>
                <w:rStyle w:val="Hyperlink"/>
                <w:noProof/>
              </w:rPr>
              <w:t>Background</w:t>
            </w:r>
            <w:r>
              <w:rPr>
                <w:noProof/>
                <w:webHidden/>
              </w:rPr>
              <w:tab/>
            </w:r>
            <w:r>
              <w:rPr>
                <w:noProof/>
                <w:webHidden/>
              </w:rPr>
              <w:fldChar w:fldCharType="begin"/>
            </w:r>
            <w:r>
              <w:rPr>
                <w:noProof/>
                <w:webHidden/>
              </w:rPr>
              <w:instrText xml:space="preserve"> PAGEREF _Toc232766170 \h </w:instrText>
            </w:r>
            <w:r>
              <w:rPr>
                <w:noProof/>
                <w:webHidden/>
              </w:rPr>
            </w:r>
            <w:r>
              <w:rPr>
                <w:noProof/>
                <w:webHidden/>
              </w:rPr>
              <w:fldChar w:fldCharType="separate"/>
            </w:r>
            <w:r>
              <w:rPr>
                <w:noProof/>
                <w:webHidden/>
              </w:rPr>
              <w:t>7</w:t>
            </w:r>
            <w:r>
              <w:rPr>
                <w:noProof/>
                <w:webHidden/>
              </w:rPr>
              <w:fldChar w:fldCharType="end"/>
            </w:r>
          </w:hyperlink>
        </w:p>
        <w:p w14:paraId="45987BC5" w14:textId="1997B679"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71" w:history="1">
            <w:r w:rsidRPr="00FA0E9D">
              <w:rPr>
                <w:rStyle w:val="Hyperlink"/>
                <w:noProof/>
              </w:rPr>
              <w:t>2.1</w:t>
            </w:r>
            <w:r>
              <w:rPr>
                <w:rFonts w:asciiTheme="minorHAnsi" w:eastAsiaTheme="minorEastAsia" w:hAnsiTheme="minorHAnsi" w:cstheme="minorBidi"/>
                <w:noProof/>
                <w:kern w:val="2"/>
                <w:sz w:val="24"/>
                <w:lang w:eastAsia="en-AU"/>
                <w14:ligatures w14:val="standardContextual"/>
              </w:rPr>
              <w:tab/>
            </w:r>
            <w:r w:rsidRPr="00FA0E9D">
              <w:rPr>
                <w:rStyle w:val="Hyperlink"/>
                <w:noProof/>
              </w:rPr>
              <w:t>An evolution of enabling education</w:t>
            </w:r>
            <w:r>
              <w:rPr>
                <w:noProof/>
                <w:webHidden/>
              </w:rPr>
              <w:tab/>
            </w:r>
            <w:r>
              <w:rPr>
                <w:noProof/>
                <w:webHidden/>
              </w:rPr>
              <w:fldChar w:fldCharType="begin"/>
            </w:r>
            <w:r>
              <w:rPr>
                <w:noProof/>
                <w:webHidden/>
              </w:rPr>
              <w:instrText xml:space="preserve"> PAGEREF _Toc232766171 \h </w:instrText>
            </w:r>
            <w:r>
              <w:rPr>
                <w:noProof/>
                <w:webHidden/>
              </w:rPr>
            </w:r>
            <w:r>
              <w:rPr>
                <w:noProof/>
                <w:webHidden/>
              </w:rPr>
              <w:fldChar w:fldCharType="separate"/>
            </w:r>
            <w:r>
              <w:rPr>
                <w:noProof/>
                <w:webHidden/>
              </w:rPr>
              <w:t>7</w:t>
            </w:r>
            <w:r>
              <w:rPr>
                <w:noProof/>
                <w:webHidden/>
              </w:rPr>
              <w:fldChar w:fldCharType="end"/>
            </w:r>
          </w:hyperlink>
        </w:p>
        <w:p w14:paraId="05D0FF20" w14:textId="70C04913"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72" w:history="1">
            <w:r w:rsidRPr="00FA0E9D">
              <w:rPr>
                <w:rStyle w:val="Hyperlink"/>
              </w:rPr>
              <w:t>2.1.1</w:t>
            </w:r>
            <w:r>
              <w:rPr>
                <w:rFonts w:asciiTheme="minorHAnsi" w:eastAsiaTheme="minorEastAsia" w:hAnsiTheme="minorHAnsi" w:cstheme="minorBidi"/>
                <w:color w:val="auto"/>
                <w:kern w:val="2"/>
                <w:sz w:val="24"/>
                <w:lang w:eastAsia="en-AU"/>
                <w14:ligatures w14:val="standardContextual"/>
              </w:rPr>
              <w:tab/>
            </w:r>
            <w:r w:rsidRPr="00FA0E9D">
              <w:rPr>
                <w:rStyle w:val="Hyperlink"/>
              </w:rPr>
              <w:t>Enabling education as a (sub) discipline</w:t>
            </w:r>
            <w:r>
              <w:rPr>
                <w:webHidden/>
              </w:rPr>
              <w:tab/>
            </w:r>
            <w:r>
              <w:rPr>
                <w:webHidden/>
              </w:rPr>
              <w:fldChar w:fldCharType="begin"/>
            </w:r>
            <w:r>
              <w:rPr>
                <w:webHidden/>
              </w:rPr>
              <w:instrText xml:space="preserve"> PAGEREF _Toc232766172 \h </w:instrText>
            </w:r>
            <w:r>
              <w:rPr>
                <w:webHidden/>
              </w:rPr>
            </w:r>
            <w:r>
              <w:rPr>
                <w:webHidden/>
              </w:rPr>
              <w:fldChar w:fldCharType="separate"/>
            </w:r>
            <w:r>
              <w:rPr>
                <w:webHidden/>
              </w:rPr>
              <w:t>9</w:t>
            </w:r>
            <w:r>
              <w:rPr>
                <w:webHidden/>
              </w:rPr>
              <w:fldChar w:fldCharType="end"/>
            </w:r>
          </w:hyperlink>
        </w:p>
        <w:p w14:paraId="3DD817D6" w14:textId="3B29A31D"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73" w:history="1">
            <w:r w:rsidRPr="00FA0E9D">
              <w:rPr>
                <w:rStyle w:val="Hyperlink"/>
                <w:noProof/>
              </w:rPr>
              <w:t>2.2</w:t>
            </w:r>
            <w:r>
              <w:rPr>
                <w:rFonts w:asciiTheme="minorHAnsi" w:eastAsiaTheme="minorEastAsia" w:hAnsiTheme="minorHAnsi" w:cstheme="minorBidi"/>
                <w:noProof/>
                <w:kern w:val="2"/>
                <w:sz w:val="24"/>
                <w:lang w:eastAsia="en-AU"/>
                <w14:ligatures w14:val="standardContextual"/>
              </w:rPr>
              <w:tab/>
            </w:r>
            <w:r w:rsidRPr="00FA0E9D">
              <w:rPr>
                <w:rStyle w:val="Hyperlink"/>
                <w:noProof/>
              </w:rPr>
              <w:t>Pathways to higher education</w:t>
            </w:r>
            <w:r>
              <w:rPr>
                <w:noProof/>
                <w:webHidden/>
              </w:rPr>
              <w:tab/>
            </w:r>
            <w:r>
              <w:rPr>
                <w:noProof/>
                <w:webHidden/>
              </w:rPr>
              <w:fldChar w:fldCharType="begin"/>
            </w:r>
            <w:r>
              <w:rPr>
                <w:noProof/>
                <w:webHidden/>
              </w:rPr>
              <w:instrText xml:space="preserve"> PAGEREF _Toc232766173 \h </w:instrText>
            </w:r>
            <w:r>
              <w:rPr>
                <w:noProof/>
                <w:webHidden/>
              </w:rPr>
            </w:r>
            <w:r>
              <w:rPr>
                <w:noProof/>
                <w:webHidden/>
              </w:rPr>
              <w:fldChar w:fldCharType="separate"/>
            </w:r>
            <w:r>
              <w:rPr>
                <w:noProof/>
                <w:webHidden/>
              </w:rPr>
              <w:t>10</w:t>
            </w:r>
            <w:r>
              <w:rPr>
                <w:noProof/>
                <w:webHidden/>
              </w:rPr>
              <w:fldChar w:fldCharType="end"/>
            </w:r>
          </w:hyperlink>
        </w:p>
        <w:p w14:paraId="261742D6" w14:textId="483F228B"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74" w:history="1">
            <w:r w:rsidRPr="00FA0E9D">
              <w:rPr>
                <w:rStyle w:val="Hyperlink"/>
              </w:rPr>
              <w:t>2.2.1</w:t>
            </w:r>
            <w:r>
              <w:rPr>
                <w:rFonts w:asciiTheme="minorHAnsi" w:eastAsiaTheme="minorEastAsia" w:hAnsiTheme="minorHAnsi" w:cstheme="minorBidi"/>
                <w:color w:val="auto"/>
                <w:kern w:val="2"/>
                <w:sz w:val="24"/>
                <w:lang w:eastAsia="en-AU"/>
                <w14:ligatures w14:val="standardContextual"/>
              </w:rPr>
              <w:tab/>
            </w:r>
            <w:r w:rsidRPr="00FA0E9D">
              <w:rPr>
                <w:rStyle w:val="Hyperlink"/>
              </w:rPr>
              <w:t>Pathways in senior schooling</w:t>
            </w:r>
            <w:r>
              <w:rPr>
                <w:webHidden/>
              </w:rPr>
              <w:tab/>
            </w:r>
            <w:r>
              <w:rPr>
                <w:webHidden/>
              </w:rPr>
              <w:fldChar w:fldCharType="begin"/>
            </w:r>
            <w:r>
              <w:rPr>
                <w:webHidden/>
              </w:rPr>
              <w:instrText xml:space="preserve"> PAGEREF _Toc232766174 \h </w:instrText>
            </w:r>
            <w:r>
              <w:rPr>
                <w:webHidden/>
              </w:rPr>
            </w:r>
            <w:r>
              <w:rPr>
                <w:webHidden/>
              </w:rPr>
              <w:fldChar w:fldCharType="separate"/>
            </w:r>
            <w:r>
              <w:rPr>
                <w:webHidden/>
              </w:rPr>
              <w:t>10</w:t>
            </w:r>
            <w:r>
              <w:rPr>
                <w:webHidden/>
              </w:rPr>
              <w:fldChar w:fldCharType="end"/>
            </w:r>
          </w:hyperlink>
        </w:p>
        <w:p w14:paraId="656BDA44" w14:textId="2A11FA33"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75" w:history="1">
            <w:r w:rsidRPr="00FA0E9D">
              <w:rPr>
                <w:rStyle w:val="Hyperlink"/>
              </w:rPr>
              <w:t>2.2.2</w:t>
            </w:r>
            <w:r>
              <w:rPr>
                <w:rFonts w:asciiTheme="minorHAnsi" w:eastAsiaTheme="minorEastAsia" w:hAnsiTheme="minorHAnsi" w:cstheme="minorBidi"/>
                <w:color w:val="auto"/>
                <w:kern w:val="2"/>
                <w:sz w:val="24"/>
                <w:lang w:eastAsia="en-AU"/>
                <w14:ligatures w14:val="standardContextual"/>
              </w:rPr>
              <w:tab/>
            </w:r>
            <w:r w:rsidRPr="00FA0E9D">
              <w:rPr>
                <w:rStyle w:val="Hyperlink"/>
              </w:rPr>
              <w:t>Senior schooling and mental health</w:t>
            </w:r>
            <w:r>
              <w:rPr>
                <w:webHidden/>
              </w:rPr>
              <w:tab/>
            </w:r>
            <w:r>
              <w:rPr>
                <w:webHidden/>
              </w:rPr>
              <w:fldChar w:fldCharType="begin"/>
            </w:r>
            <w:r>
              <w:rPr>
                <w:webHidden/>
              </w:rPr>
              <w:instrText xml:space="preserve"> PAGEREF _Toc232766175 \h </w:instrText>
            </w:r>
            <w:r>
              <w:rPr>
                <w:webHidden/>
              </w:rPr>
            </w:r>
            <w:r>
              <w:rPr>
                <w:webHidden/>
              </w:rPr>
              <w:fldChar w:fldCharType="separate"/>
            </w:r>
            <w:r>
              <w:rPr>
                <w:webHidden/>
              </w:rPr>
              <w:t>12</w:t>
            </w:r>
            <w:r>
              <w:rPr>
                <w:webHidden/>
              </w:rPr>
              <w:fldChar w:fldCharType="end"/>
            </w:r>
          </w:hyperlink>
        </w:p>
        <w:p w14:paraId="75A14A53" w14:textId="4E66298A"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76" w:history="1">
            <w:r w:rsidRPr="00FA0E9D">
              <w:rPr>
                <w:rStyle w:val="Hyperlink"/>
              </w:rPr>
              <w:t>2.2.3</w:t>
            </w:r>
            <w:r>
              <w:rPr>
                <w:rFonts w:asciiTheme="minorHAnsi" w:eastAsiaTheme="minorEastAsia" w:hAnsiTheme="minorHAnsi" w:cstheme="minorBidi"/>
                <w:color w:val="auto"/>
                <w:kern w:val="2"/>
                <w:sz w:val="24"/>
                <w:lang w:eastAsia="en-AU"/>
                <w14:ligatures w14:val="standardContextual"/>
              </w:rPr>
              <w:tab/>
            </w:r>
            <w:r w:rsidRPr="00FA0E9D">
              <w:rPr>
                <w:rStyle w:val="Hyperlink"/>
              </w:rPr>
              <w:t>Academic outcomes by pathway</w:t>
            </w:r>
            <w:r>
              <w:rPr>
                <w:webHidden/>
              </w:rPr>
              <w:tab/>
            </w:r>
            <w:r>
              <w:rPr>
                <w:webHidden/>
              </w:rPr>
              <w:fldChar w:fldCharType="begin"/>
            </w:r>
            <w:r>
              <w:rPr>
                <w:webHidden/>
              </w:rPr>
              <w:instrText xml:space="preserve"> PAGEREF _Toc232766176 \h </w:instrText>
            </w:r>
            <w:r>
              <w:rPr>
                <w:webHidden/>
              </w:rPr>
            </w:r>
            <w:r>
              <w:rPr>
                <w:webHidden/>
              </w:rPr>
              <w:fldChar w:fldCharType="separate"/>
            </w:r>
            <w:r>
              <w:rPr>
                <w:webHidden/>
              </w:rPr>
              <w:t>13</w:t>
            </w:r>
            <w:r>
              <w:rPr>
                <w:webHidden/>
              </w:rPr>
              <w:fldChar w:fldCharType="end"/>
            </w:r>
          </w:hyperlink>
        </w:p>
        <w:p w14:paraId="47AD5A5F" w14:textId="003351A9"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77" w:history="1">
            <w:r w:rsidRPr="00FA0E9D">
              <w:rPr>
                <w:rStyle w:val="Hyperlink"/>
              </w:rPr>
              <w:t>2.2.4</w:t>
            </w:r>
            <w:r>
              <w:rPr>
                <w:rFonts w:asciiTheme="minorHAnsi" w:eastAsiaTheme="minorEastAsia" w:hAnsiTheme="minorHAnsi" w:cstheme="minorBidi"/>
                <w:color w:val="auto"/>
                <w:kern w:val="2"/>
                <w:sz w:val="24"/>
                <w:lang w:eastAsia="en-AU"/>
                <w14:ligatures w14:val="standardContextual"/>
              </w:rPr>
              <w:tab/>
            </w:r>
            <w:r w:rsidRPr="00FA0E9D">
              <w:rPr>
                <w:rStyle w:val="Hyperlink"/>
              </w:rPr>
              <w:t>Conceptualisations of success</w:t>
            </w:r>
            <w:r>
              <w:rPr>
                <w:webHidden/>
              </w:rPr>
              <w:tab/>
            </w:r>
            <w:r>
              <w:rPr>
                <w:webHidden/>
              </w:rPr>
              <w:fldChar w:fldCharType="begin"/>
            </w:r>
            <w:r>
              <w:rPr>
                <w:webHidden/>
              </w:rPr>
              <w:instrText xml:space="preserve"> PAGEREF _Toc232766177 \h </w:instrText>
            </w:r>
            <w:r>
              <w:rPr>
                <w:webHidden/>
              </w:rPr>
            </w:r>
            <w:r>
              <w:rPr>
                <w:webHidden/>
              </w:rPr>
              <w:fldChar w:fldCharType="separate"/>
            </w:r>
            <w:r>
              <w:rPr>
                <w:webHidden/>
              </w:rPr>
              <w:t>14</w:t>
            </w:r>
            <w:r>
              <w:rPr>
                <w:webHidden/>
              </w:rPr>
              <w:fldChar w:fldCharType="end"/>
            </w:r>
          </w:hyperlink>
        </w:p>
        <w:p w14:paraId="6070D10A" w14:textId="182D95DA"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78" w:history="1">
            <w:r w:rsidRPr="00FA0E9D">
              <w:rPr>
                <w:rStyle w:val="Hyperlink"/>
                <w:noProof/>
              </w:rPr>
              <w:t>2.3</w:t>
            </w:r>
            <w:r>
              <w:rPr>
                <w:rFonts w:asciiTheme="minorHAnsi" w:eastAsiaTheme="minorEastAsia" w:hAnsiTheme="minorHAnsi" w:cstheme="minorBidi"/>
                <w:noProof/>
                <w:kern w:val="2"/>
                <w:sz w:val="24"/>
                <w:lang w:eastAsia="en-AU"/>
                <w14:ligatures w14:val="standardContextual"/>
              </w:rPr>
              <w:tab/>
            </w:r>
            <w:r w:rsidRPr="00FA0E9D">
              <w:rPr>
                <w:rStyle w:val="Hyperlink"/>
                <w:noProof/>
              </w:rPr>
              <w:t>Emerging ways forward</w:t>
            </w:r>
            <w:r>
              <w:rPr>
                <w:noProof/>
                <w:webHidden/>
              </w:rPr>
              <w:tab/>
            </w:r>
            <w:r>
              <w:rPr>
                <w:noProof/>
                <w:webHidden/>
              </w:rPr>
              <w:fldChar w:fldCharType="begin"/>
            </w:r>
            <w:r>
              <w:rPr>
                <w:noProof/>
                <w:webHidden/>
              </w:rPr>
              <w:instrText xml:space="preserve"> PAGEREF _Toc232766178 \h </w:instrText>
            </w:r>
            <w:r>
              <w:rPr>
                <w:noProof/>
                <w:webHidden/>
              </w:rPr>
            </w:r>
            <w:r>
              <w:rPr>
                <w:noProof/>
                <w:webHidden/>
              </w:rPr>
              <w:fldChar w:fldCharType="separate"/>
            </w:r>
            <w:r>
              <w:rPr>
                <w:noProof/>
                <w:webHidden/>
              </w:rPr>
              <w:t>14</w:t>
            </w:r>
            <w:r>
              <w:rPr>
                <w:noProof/>
                <w:webHidden/>
              </w:rPr>
              <w:fldChar w:fldCharType="end"/>
            </w:r>
          </w:hyperlink>
        </w:p>
        <w:p w14:paraId="6310675D" w14:textId="03A023D3" w:rsidR="00AB6338" w:rsidRDefault="00AB6338">
          <w:pPr>
            <w:pStyle w:val="TOC1"/>
            <w:tabs>
              <w:tab w:val="left" w:pos="440"/>
              <w:tab w:val="right" w:leader="dot" w:pos="9016"/>
            </w:tabs>
            <w:rPr>
              <w:rFonts w:asciiTheme="minorHAnsi" w:eastAsiaTheme="minorEastAsia" w:hAnsiTheme="minorHAnsi" w:cstheme="minorBidi"/>
              <w:noProof/>
              <w:kern w:val="2"/>
              <w:sz w:val="24"/>
              <w:lang w:eastAsia="en-AU"/>
              <w14:ligatures w14:val="standardContextual"/>
            </w:rPr>
          </w:pPr>
          <w:hyperlink w:anchor="_Toc232766179" w:history="1">
            <w:r w:rsidRPr="00FA0E9D">
              <w:rPr>
                <w:rStyle w:val="Hyperlink"/>
                <w:noProof/>
              </w:rPr>
              <w:t>3.</w:t>
            </w:r>
            <w:r>
              <w:rPr>
                <w:rFonts w:asciiTheme="minorHAnsi" w:eastAsiaTheme="minorEastAsia" w:hAnsiTheme="minorHAnsi" w:cstheme="minorBidi"/>
                <w:noProof/>
                <w:kern w:val="2"/>
                <w:sz w:val="24"/>
                <w:lang w:eastAsia="en-AU"/>
                <w14:ligatures w14:val="standardContextual"/>
              </w:rPr>
              <w:tab/>
            </w:r>
            <w:r w:rsidRPr="00FA0E9D">
              <w:rPr>
                <w:rStyle w:val="Hyperlink"/>
                <w:noProof/>
              </w:rPr>
              <w:t>Methods</w:t>
            </w:r>
            <w:r>
              <w:rPr>
                <w:noProof/>
                <w:webHidden/>
              </w:rPr>
              <w:tab/>
            </w:r>
            <w:r>
              <w:rPr>
                <w:noProof/>
                <w:webHidden/>
              </w:rPr>
              <w:fldChar w:fldCharType="begin"/>
            </w:r>
            <w:r>
              <w:rPr>
                <w:noProof/>
                <w:webHidden/>
              </w:rPr>
              <w:instrText xml:space="preserve"> PAGEREF _Toc232766179 \h </w:instrText>
            </w:r>
            <w:r>
              <w:rPr>
                <w:noProof/>
                <w:webHidden/>
              </w:rPr>
            </w:r>
            <w:r>
              <w:rPr>
                <w:noProof/>
                <w:webHidden/>
              </w:rPr>
              <w:fldChar w:fldCharType="separate"/>
            </w:r>
            <w:r>
              <w:rPr>
                <w:noProof/>
                <w:webHidden/>
              </w:rPr>
              <w:t>16</w:t>
            </w:r>
            <w:r>
              <w:rPr>
                <w:noProof/>
                <w:webHidden/>
              </w:rPr>
              <w:fldChar w:fldCharType="end"/>
            </w:r>
          </w:hyperlink>
        </w:p>
        <w:p w14:paraId="075A48DC" w14:textId="3EFB1C60"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80" w:history="1">
            <w:r w:rsidRPr="00FA0E9D">
              <w:rPr>
                <w:rStyle w:val="Hyperlink"/>
                <w:noProof/>
              </w:rPr>
              <w:t>3.1</w:t>
            </w:r>
            <w:r>
              <w:rPr>
                <w:rFonts w:asciiTheme="minorHAnsi" w:eastAsiaTheme="minorEastAsia" w:hAnsiTheme="minorHAnsi" w:cstheme="minorBidi"/>
                <w:noProof/>
                <w:kern w:val="2"/>
                <w:sz w:val="24"/>
                <w:lang w:eastAsia="en-AU"/>
                <w14:ligatures w14:val="standardContextual"/>
              </w:rPr>
              <w:tab/>
            </w:r>
            <w:r w:rsidRPr="00FA0E9D">
              <w:rPr>
                <w:rStyle w:val="Hyperlink"/>
                <w:noProof/>
              </w:rPr>
              <w:t>Phase one: Benchmarking of in-school enabling programs</w:t>
            </w:r>
            <w:r>
              <w:rPr>
                <w:noProof/>
                <w:webHidden/>
              </w:rPr>
              <w:tab/>
            </w:r>
            <w:r>
              <w:rPr>
                <w:noProof/>
                <w:webHidden/>
              </w:rPr>
              <w:fldChar w:fldCharType="begin"/>
            </w:r>
            <w:r>
              <w:rPr>
                <w:noProof/>
                <w:webHidden/>
              </w:rPr>
              <w:instrText xml:space="preserve"> PAGEREF _Toc232766180 \h </w:instrText>
            </w:r>
            <w:r>
              <w:rPr>
                <w:noProof/>
                <w:webHidden/>
              </w:rPr>
            </w:r>
            <w:r>
              <w:rPr>
                <w:noProof/>
                <w:webHidden/>
              </w:rPr>
              <w:fldChar w:fldCharType="separate"/>
            </w:r>
            <w:r>
              <w:rPr>
                <w:noProof/>
                <w:webHidden/>
              </w:rPr>
              <w:t>16</w:t>
            </w:r>
            <w:r>
              <w:rPr>
                <w:noProof/>
                <w:webHidden/>
              </w:rPr>
              <w:fldChar w:fldCharType="end"/>
            </w:r>
          </w:hyperlink>
        </w:p>
        <w:p w14:paraId="2DA9CCE1" w14:textId="388AF482"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81" w:history="1">
            <w:r w:rsidRPr="00FA0E9D">
              <w:rPr>
                <w:rStyle w:val="Hyperlink"/>
                <w:noProof/>
              </w:rPr>
              <w:t>3.2</w:t>
            </w:r>
            <w:r>
              <w:rPr>
                <w:rFonts w:asciiTheme="minorHAnsi" w:eastAsiaTheme="minorEastAsia" w:hAnsiTheme="minorHAnsi" w:cstheme="minorBidi"/>
                <w:noProof/>
                <w:kern w:val="2"/>
                <w:sz w:val="24"/>
                <w:lang w:eastAsia="en-AU"/>
                <w14:ligatures w14:val="standardContextual"/>
              </w:rPr>
              <w:tab/>
            </w:r>
            <w:r w:rsidRPr="00FA0E9D">
              <w:rPr>
                <w:rStyle w:val="Hyperlink"/>
                <w:noProof/>
              </w:rPr>
              <w:t>Phase two: Understanding academic outcomes</w:t>
            </w:r>
            <w:r>
              <w:rPr>
                <w:noProof/>
                <w:webHidden/>
              </w:rPr>
              <w:tab/>
            </w:r>
            <w:r>
              <w:rPr>
                <w:noProof/>
                <w:webHidden/>
              </w:rPr>
              <w:fldChar w:fldCharType="begin"/>
            </w:r>
            <w:r>
              <w:rPr>
                <w:noProof/>
                <w:webHidden/>
              </w:rPr>
              <w:instrText xml:space="preserve"> PAGEREF _Toc232766181 \h </w:instrText>
            </w:r>
            <w:r>
              <w:rPr>
                <w:noProof/>
                <w:webHidden/>
              </w:rPr>
            </w:r>
            <w:r>
              <w:rPr>
                <w:noProof/>
                <w:webHidden/>
              </w:rPr>
              <w:fldChar w:fldCharType="separate"/>
            </w:r>
            <w:r>
              <w:rPr>
                <w:noProof/>
                <w:webHidden/>
              </w:rPr>
              <w:t>16</w:t>
            </w:r>
            <w:r>
              <w:rPr>
                <w:noProof/>
                <w:webHidden/>
              </w:rPr>
              <w:fldChar w:fldCharType="end"/>
            </w:r>
          </w:hyperlink>
        </w:p>
        <w:p w14:paraId="6625ACFA" w14:textId="492878AB"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82" w:history="1">
            <w:r w:rsidRPr="00FA0E9D">
              <w:rPr>
                <w:rStyle w:val="Hyperlink"/>
              </w:rPr>
              <w:t>3.2.1</w:t>
            </w:r>
            <w:r>
              <w:rPr>
                <w:rFonts w:asciiTheme="minorHAnsi" w:eastAsiaTheme="minorEastAsia" w:hAnsiTheme="minorHAnsi" w:cstheme="minorBidi"/>
                <w:color w:val="auto"/>
                <w:kern w:val="2"/>
                <w:sz w:val="24"/>
                <w:lang w:eastAsia="en-AU"/>
                <w14:ligatures w14:val="standardContextual"/>
              </w:rPr>
              <w:tab/>
            </w:r>
            <w:r w:rsidRPr="00FA0E9D">
              <w:rPr>
                <w:rStyle w:val="Hyperlink"/>
              </w:rPr>
              <w:t>Part I: Outcomes within in-school enabling programs</w:t>
            </w:r>
            <w:r>
              <w:rPr>
                <w:webHidden/>
              </w:rPr>
              <w:tab/>
            </w:r>
            <w:r>
              <w:rPr>
                <w:webHidden/>
              </w:rPr>
              <w:fldChar w:fldCharType="begin"/>
            </w:r>
            <w:r>
              <w:rPr>
                <w:webHidden/>
              </w:rPr>
              <w:instrText xml:space="preserve"> PAGEREF _Toc232766182 \h </w:instrText>
            </w:r>
            <w:r>
              <w:rPr>
                <w:webHidden/>
              </w:rPr>
            </w:r>
            <w:r>
              <w:rPr>
                <w:webHidden/>
              </w:rPr>
              <w:fldChar w:fldCharType="separate"/>
            </w:r>
            <w:r>
              <w:rPr>
                <w:webHidden/>
              </w:rPr>
              <w:t>17</w:t>
            </w:r>
            <w:r>
              <w:rPr>
                <w:webHidden/>
              </w:rPr>
              <w:fldChar w:fldCharType="end"/>
            </w:r>
          </w:hyperlink>
        </w:p>
        <w:p w14:paraId="4E69D979" w14:textId="067A47D0"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83" w:history="1">
            <w:r w:rsidRPr="00FA0E9D">
              <w:rPr>
                <w:rStyle w:val="Hyperlink"/>
              </w:rPr>
              <w:t>3.2.2</w:t>
            </w:r>
            <w:r>
              <w:rPr>
                <w:rFonts w:asciiTheme="minorHAnsi" w:eastAsiaTheme="minorEastAsia" w:hAnsiTheme="minorHAnsi" w:cstheme="minorBidi"/>
                <w:color w:val="auto"/>
                <w:kern w:val="2"/>
                <w:sz w:val="24"/>
                <w:lang w:eastAsia="en-AU"/>
                <w14:ligatures w14:val="standardContextual"/>
              </w:rPr>
              <w:tab/>
            </w:r>
            <w:r w:rsidRPr="00FA0E9D">
              <w:rPr>
                <w:rStyle w:val="Hyperlink"/>
              </w:rPr>
              <w:t>Part II: Outcomes at undergraduate study by admission pathway</w:t>
            </w:r>
            <w:r>
              <w:rPr>
                <w:webHidden/>
              </w:rPr>
              <w:tab/>
            </w:r>
            <w:r>
              <w:rPr>
                <w:webHidden/>
              </w:rPr>
              <w:fldChar w:fldCharType="begin"/>
            </w:r>
            <w:r>
              <w:rPr>
                <w:webHidden/>
              </w:rPr>
              <w:instrText xml:space="preserve"> PAGEREF _Toc232766183 \h </w:instrText>
            </w:r>
            <w:r>
              <w:rPr>
                <w:webHidden/>
              </w:rPr>
            </w:r>
            <w:r>
              <w:rPr>
                <w:webHidden/>
              </w:rPr>
              <w:fldChar w:fldCharType="separate"/>
            </w:r>
            <w:r>
              <w:rPr>
                <w:webHidden/>
              </w:rPr>
              <w:t>18</w:t>
            </w:r>
            <w:r>
              <w:rPr>
                <w:webHidden/>
              </w:rPr>
              <w:fldChar w:fldCharType="end"/>
            </w:r>
          </w:hyperlink>
        </w:p>
        <w:p w14:paraId="4DC8CAF3" w14:textId="512942F4"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84" w:history="1">
            <w:r w:rsidRPr="00FA0E9D">
              <w:rPr>
                <w:rStyle w:val="Hyperlink"/>
                <w:noProof/>
              </w:rPr>
              <w:t>3.3</w:t>
            </w:r>
            <w:r>
              <w:rPr>
                <w:rFonts w:asciiTheme="minorHAnsi" w:eastAsiaTheme="minorEastAsia" w:hAnsiTheme="minorHAnsi" w:cstheme="minorBidi"/>
                <w:noProof/>
                <w:kern w:val="2"/>
                <w:sz w:val="24"/>
                <w:lang w:eastAsia="en-AU"/>
                <w14:ligatures w14:val="standardContextual"/>
              </w:rPr>
              <w:tab/>
            </w:r>
            <w:r w:rsidRPr="00FA0E9D">
              <w:rPr>
                <w:rStyle w:val="Hyperlink"/>
                <w:noProof/>
              </w:rPr>
              <w:t>Phase three: Student and educator perspectives</w:t>
            </w:r>
            <w:r>
              <w:rPr>
                <w:noProof/>
                <w:webHidden/>
              </w:rPr>
              <w:tab/>
            </w:r>
            <w:r>
              <w:rPr>
                <w:noProof/>
                <w:webHidden/>
              </w:rPr>
              <w:fldChar w:fldCharType="begin"/>
            </w:r>
            <w:r>
              <w:rPr>
                <w:noProof/>
                <w:webHidden/>
              </w:rPr>
              <w:instrText xml:space="preserve"> PAGEREF _Toc232766184 \h </w:instrText>
            </w:r>
            <w:r>
              <w:rPr>
                <w:noProof/>
                <w:webHidden/>
              </w:rPr>
            </w:r>
            <w:r>
              <w:rPr>
                <w:noProof/>
                <w:webHidden/>
              </w:rPr>
              <w:fldChar w:fldCharType="separate"/>
            </w:r>
            <w:r>
              <w:rPr>
                <w:noProof/>
                <w:webHidden/>
              </w:rPr>
              <w:t>20</w:t>
            </w:r>
            <w:r>
              <w:rPr>
                <w:noProof/>
                <w:webHidden/>
              </w:rPr>
              <w:fldChar w:fldCharType="end"/>
            </w:r>
          </w:hyperlink>
        </w:p>
        <w:p w14:paraId="2B1EBDDF" w14:textId="3ED97543"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85" w:history="1">
            <w:r w:rsidRPr="00FA0E9D">
              <w:rPr>
                <w:rStyle w:val="Hyperlink"/>
              </w:rPr>
              <w:t>3.3.1</w:t>
            </w:r>
            <w:r>
              <w:rPr>
                <w:rFonts w:asciiTheme="minorHAnsi" w:eastAsiaTheme="minorEastAsia" w:hAnsiTheme="minorHAnsi" w:cstheme="minorBidi"/>
                <w:color w:val="auto"/>
                <w:kern w:val="2"/>
                <w:sz w:val="24"/>
                <w:lang w:eastAsia="en-AU"/>
                <w14:ligatures w14:val="standardContextual"/>
              </w:rPr>
              <w:tab/>
            </w:r>
            <w:r w:rsidRPr="00FA0E9D">
              <w:rPr>
                <w:rStyle w:val="Hyperlink"/>
              </w:rPr>
              <w:t>Student survey</w:t>
            </w:r>
            <w:r>
              <w:rPr>
                <w:webHidden/>
              </w:rPr>
              <w:tab/>
            </w:r>
            <w:r>
              <w:rPr>
                <w:webHidden/>
              </w:rPr>
              <w:fldChar w:fldCharType="begin"/>
            </w:r>
            <w:r>
              <w:rPr>
                <w:webHidden/>
              </w:rPr>
              <w:instrText xml:space="preserve"> PAGEREF _Toc232766185 \h </w:instrText>
            </w:r>
            <w:r>
              <w:rPr>
                <w:webHidden/>
              </w:rPr>
            </w:r>
            <w:r>
              <w:rPr>
                <w:webHidden/>
              </w:rPr>
              <w:fldChar w:fldCharType="separate"/>
            </w:r>
            <w:r>
              <w:rPr>
                <w:webHidden/>
              </w:rPr>
              <w:t>20</w:t>
            </w:r>
            <w:r>
              <w:rPr>
                <w:webHidden/>
              </w:rPr>
              <w:fldChar w:fldCharType="end"/>
            </w:r>
          </w:hyperlink>
        </w:p>
        <w:p w14:paraId="5566D593" w14:textId="05DC1896"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86" w:history="1">
            <w:r w:rsidRPr="00FA0E9D">
              <w:rPr>
                <w:rStyle w:val="Hyperlink"/>
              </w:rPr>
              <w:t>3.3.2</w:t>
            </w:r>
            <w:r>
              <w:rPr>
                <w:rFonts w:asciiTheme="minorHAnsi" w:eastAsiaTheme="minorEastAsia" w:hAnsiTheme="minorHAnsi" w:cstheme="minorBidi"/>
                <w:color w:val="auto"/>
                <w:kern w:val="2"/>
                <w:sz w:val="24"/>
                <w:lang w:eastAsia="en-AU"/>
                <w14:ligatures w14:val="standardContextual"/>
              </w:rPr>
              <w:tab/>
            </w:r>
            <w:r w:rsidRPr="00FA0E9D">
              <w:rPr>
                <w:rStyle w:val="Hyperlink"/>
              </w:rPr>
              <w:t>Student and educator interviews</w:t>
            </w:r>
            <w:r>
              <w:rPr>
                <w:webHidden/>
              </w:rPr>
              <w:tab/>
            </w:r>
            <w:r>
              <w:rPr>
                <w:webHidden/>
              </w:rPr>
              <w:fldChar w:fldCharType="begin"/>
            </w:r>
            <w:r>
              <w:rPr>
                <w:webHidden/>
              </w:rPr>
              <w:instrText xml:space="preserve"> PAGEREF _Toc232766186 \h </w:instrText>
            </w:r>
            <w:r>
              <w:rPr>
                <w:webHidden/>
              </w:rPr>
            </w:r>
            <w:r>
              <w:rPr>
                <w:webHidden/>
              </w:rPr>
              <w:fldChar w:fldCharType="separate"/>
            </w:r>
            <w:r>
              <w:rPr>
                <w:webHidden/>
              </w:rPr>
              <w:t>20</w:t>
            </w:r>
            <w:r>
              <w:rPr>
                <w:webHidden/>
              </w:rPr>
              <w:fldChar w:fldCharType="end"/>
            </w:r>
          </w:hyperlink>
        </w:p>
        <w:p w14:paraId="651C3FC4" w14:textId="30C37A88"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87" w:history="1">
            <w:r w:rsidRPr="00FA0E9D">
              <w:rPr>
                <w:rStyle w:val="Hyperlink"/>
              </w:rPr>
              <w:t>3.3.3</w:t>
            </w:r>
            <w:r>
              <w:rPr>
                <w:rFonts w:asciiTheme="minorHAnsi" w:eastAsiaTheme="minorEastAsia" w:hAnsiTheme="minorHAnsi" w:cstheme="minorBidi"/>
                <w:color w:val="auto"/>
                <w:kern w:val="2"/>
                <w:sz w:val="24"/>
                <w:lang w:eastAsia="en-AU"/>
                <w14:ligatures w14:val="standardContextual"/>
              </w:rPr>
              <w:tab/>
            </w:r>
            <w:r w:rsidRPr="00FA0E9D">
              <w:rPr>
                <w:rStyle w:val="Hyperlink"/>
              </w:rPr>
              <w:t>Data analysis</w:t>
            </w:r>
            <w:r>
              <w:rPr>
                <w:webHidden/>
              </w:rPr>
              <w:tab/>
            </w:r>
            <w:r>
              <w:rPr>
                <w:webHidden/>
              </w:rPr>
              <w:fldChar w:fldCharType="begin"/>
            </w:r>
            <w:r>
              <w:rPr>
                <w:webHidden/>
              </w:rPr>
              <w:instrText xml:space="preserve"> PAGEREF _Toc232766187 \h </w:instrText>
            </w:r>
            <w:r>
              <w:rPr>
                <w:webHidden/>
              </w:rPr>
            </w:r>
            <w:r>
              <w:rPr>
                <w:webHidden/>
              </w:rPr>
              <w:fldChar w:fldCharType="separate"/>
            </w:r>
            <w:r>
              <w:rPr>
                <w:webHidden/>
              </w:rPr>
              <w:t>21</w:t>
            </w:r>
            <w:r>
              <w:rPr>
                <w:webHidden/>
              </w:rPr>
              <w:fldChar w:fldCharType="end"/>
            </w:r>
          </w:hyperlink>
        </w:p>
        <w:p w14:paraId="07C73A77" w14:textId="048EA60A" w:rsidR="00AB6338" w:rsidRDefault="00AB6338">
          <w:pPr>
            <w:pStyle w:val="TOC1"/>
            <w:tabs>
              <w:tab w:val="left" w:pos="440"/>
              <w:tab w:val="right" w:leader="dot" w:pos="9016"/>
            </w:tabs>
            <w:rPr>
              <w:rFonts w:asciiTheme="minorHAnsi" w:eastAsiaTheme="minorEastAsia" w:hAnsiTheme="minorHAnsi" w:cstheme="minorBidi"/>
              <w:noProof/>
              <w:kern w:val="2"/>
              <w:sz w:val="24"/>
              <w:lang w:eastAsia="en-AU"/>
              <w14:ligatures w14:val="standardContextual"/>
            </w:rPr>
          </w:pPr>
          <w:hyperlink w:anchor="_Toc232766188" w:history="1">
            <w:r w:rsidRPr="00FA0E9D">
              <w:rPr>
                <w:rStyle w:val="Hyperlink"/>
                <w:noProof/>
              </w:rPr>
              <w:t>4.</w:t>
            </w:r>
            <w:r>
              <w:rPr>
                <w:rFonts w:asciiTheme="minorHAnsi" w:eastAsiaTheme="minorEastAsia" w:hAnsiTheme="minorHAnsi" w:cstheme="minorBidi"/>
                <w:noProof/>
                <w:kern w:val="2"/>
                <w:sz w:val="24"/>
                <w:lang w:eastAsia="en-AU"/>
                <w14:ligatures w14:val="standardContextual"/>
              </w:rPr>
              <w:tab/>
            </w:r>
            <w:r w:rsidRPr="00FA0E9D">
              <w:rPr>
                <w:rStyle w:val="Hyperlink"/>
                <w:noProof/>
              </w:rPr>
              <w:t>Findings</w:t>
            </w:r>
            <w:r>
              <w:rPr>
                <w:noProof/>
                <w:webHidden/>
              </w:rPr>
              <w:tab/>
            </w:r>
            <w:r>
              <w:rPr>
                <w:noProof/>
                <w:webHidden/>
              </w:rPr>
              <w:fldChar w:fldCharType="begin"/>
            </w:r>
            <w:r>
              <w:rPr>
                <w:noProof/>
                <w:webHidden/>
              </w:rPr>
              <w:instrText xml:space="preserve"> PAGEREF _Toc232766188 \h </w:instrText>
            </w:r>
            <w:r>
              <w:rPr>
                <w:noProof/>
                <w:webHidden/>
              </w:rPr>
            </w:r>
            <w:r>
              <w:rPr>
                <w:noProof/>
                <w:webHidden/>
              </w:rPr>
              <w:fldChar w:fldCharType="separate"/>
            </w:r>
            <w:r>
              <w:rPr>
                <w:noProof/>
                <w:webHidden/>
              </w:rPr>
              <w:t>23</w:t>
            </w:r>
            <w:r>
              <w:rPr>
                <w:noProof/>
                <w:webHidden/>
              </w:rPr>
              <w:fldChar w:fldCharType="end"/>
            </w:r>
          </w:hyperlink>
        </w:p>
        <w:p w14:paraId="011AAF2A" w14:textId="4790D568"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89" w:history="1">
            <w:r w:rsidRPr="00FA0E9D">
              <w:rPr>
                <w:rStyle w:val="Hyperlink"/>
                <w:noProof/>
              </w:rPr>
              <w:t>4.1</w:t>
            </w:r>
            <w:r>
              <w:rPr>
                <w:rFonts w:asciiTheme="minorHAnsi" w:eastAsiaTheme="minorEastAsia" w:hAnsiTheme="minorHAnsi" w:cstheme="minorBidi"/>
                <w:noProof/>
                <w:kern w:val="2"/>
                <w:sz w:val="24"/>
                <w:lang w:eastAsia="en-AU"/>
                <w14:ligatures w14:val="standardContextual"/>
              </w:rPr>
              <w:tab/>
            </w:r>
            <w:r w:rsidRPr="00FA0E9D">
              <w:rPr>
                <w:rStyle w:val="Hyperlink"/>
                <w:noProof/>
              </w:rPr>
              <w:t>Phase one: Benchmarking of in-school enabling programs</w:t>
            </w:r>
            <w:r>
              <w:rPr>
                <w:noProof/>
                <w:webHidden/>
              </w:rPr>
              <w:tab/>
            </w:r>
            <w:r>
              <w:rPr>
                <w:noProof/>
                <w:webHidden/>
              </w:rPr>
              <w:fldChar w:fldCharType="begin"/>
            </w:r>
            <w:r>
              <w:rPr>
                <w:noProof/>
                <w:webHidden/>
              </w:rPr>
              <w:instrText xml:space="preserve"> PAGEREF _Toc232766189 \h </w:instrText>
            </w:r>
            <w:r>
              <w:rPr>
                <w:noProof/>
                <w:webHidden/>
              </w:rPr>
            </w:r>
            <w:r>
              <w:rPr>
                <w:noProof/>
                <w:webHidden/>
              </w:rPr>
              <w:fldChar w:fldCharType="separate"/>
            </w:r>
            <w:r>
              <w:rPr>
                <w:noProof/>
                <w:webHidden/>
              </w:rPr>
              <w:t>23</w:t>
            </w:r>
            <w:r>
              <w:rPr>
                <w:noProof/>
                <w:webHidden/>
              </w:rPr>
              <w:fldChar w:fldCharType="end"/>
            </w:r>
          </w:hyperlink>
        </w:p>
        <w:p w14:paraId="77BEA01E" w14:textId="3652B0C7"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90" w:history="1">
            <w:r w:rsidRPr="00FA0E9D">
              <w:rPr>
                <w:rStyle w:val="Hyperlink"/>
                <w:noProof/>
              </w:rPr>
              <w:t>4.2</w:t>
            </w:r>
            <w:r>
              <w:rPr>
                <w:rFonts w:asciiTheme="minorHAnsi" w:eastAsiaTheme="minorEastAsia" w:hAnsiTheme="minorHAnsi" w:cstheme="minorBidi"/>
                <w:noProof/>
                <w:kern w:val="2"/>
                <w:sz w:val="24"/>
                <w:lang w:eastAsia="en-AU"/>
                <w14:ligatures w14:val="standardContextual"/>
              </w:rPr>
              <w:tab/>
            </w:r>
            <w:r w:rsidRPr="00FA0E9D">
              <w:rPr>
                <w:rStyle w:val="Hyperlink"/>
                <w:noProof/>
              </w:rPr>
              <w:t>Phase two: Understanding academic outcomes</w:t>
            </w:r>
            <w:r>
              <w:rPr>
                <w:noProof/>
                <w:webHidden/>
              </w:rPr>
              <w:tab/>
            </w:r>
            <w:r>
              <w:rPr>
                <w:noProof/>
                <w:webHidden/>
              </w:rPr>
              <w:fldChar w:fldCharType="begin"/>
            </w:r>
            <w:r>
              <w:rPr>
                <w:noProof/>
                <w:webHidden/>
              </w:rPr>
              <w:instrText xml:space="preserve"> PAGEREF _Toc232766190 \h </w:instrText>
            </w:r>
            <w:r>
              <w:rPr>
                <w:noProof/>
                <w:webHidden/>
              </w:rPr>
            </w:r>
            <w:r>
              <w:rPr>
                <w:noProof/>
                <w:webHidden/>
              </w:rPr>
              <w:fldChar w:fldCharType="separate"/>
            </w:r>
            <w:r>
              <w:rPr>
                <w:noProof/>
                <w:webHidden/>
              </w:rPr>
              <w:t>26</w:t>
            </w:r>
            <w:r>
              <w:rPr>
                <w:noProof/>
                <w:webHidden/>
              </w:rPr>
              <w:fldChar w:fldCharType="end"/>
            </w:r>
          </w:hyperlink>
        </w:p>
        <w:p w14:paraId="67119223" w14:textId="52A8CE01"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91" w:history="1">
            <w:r w:rsidRPr="00FA0E9D">
              <w:rPr>
                <w:rStyle w:val="Hyperlink"/>
              </w:rPr>
              <w:t>4.2.1</w:t>
            </w:r>
            <w:r>
              <w:rPr>
                <w:rFonts w:asciiTheme="minorHAnsi" w:eastAsiaTheme="minorEastAsia" w:hAnsiTheme="minorHAnsi" w:cstheme="minorBidi"/>
                <w:color w:val="auto"/>
                <w:kern w:val="2"/>
                <w:sz w:val="24"/>
                <w:lang w:eastAsia="en-AU"/>
                <w14:ligatures w14:val="standardContextual"/>
              </w:rPr>
              <w:tab/>
            </w:r>
            <w:r w:rsidRPr="00FA0E9D">
              <w:rPr>
                <w:rStyle w:val="Hyperlink"/>
              </w:rPr>
              <w:t>Part I: Outcomes within in-school enabling programs</w:t>
            </w:r>
            <w:r>
              <w:rPr>
                <w:webHidden/>
              </w:rPr>
              <w:tab/>
            </w:r>
            <w:r>
              <w:rPr>
                <w:webHidden/>
              </w:rPr>
              <w:fldChar w:fldCharType="begin"/>
            </w:r>
            <w:r>
              <w:rPr>
                <w:webHidden/>
              </w:rPr>
              <w:instrText xml:space="preserve"> PAGEREF _Toc232766191 \h </w:instrText>
            </w:r>
            <w:r>
              <w:rPr>
                <w:webHidden/>
              </w:rPr>
            </w:r>
            <w:r>
              <w:rPr>
                <w:webHidden/>
              </w:rPr>
              <w:fldChar w:fldCharType="separate"/>
            </w:r>
            <w:r>
              <w:rPr>
                <w:webHidden/>
              </w:rPr>
              <w:t>26</w:t>
            </w:r>
            <w:r>
              <w:rPr>
                <w:webHidden/>
              </w:rPr>
              <w:fldChar w:fldCharType="end"/>
            </w:r>
          </w:hyperlink>
        </w:p>
        <w:p w14:paraId="28203C08" w14:textId="175044D7"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92" w:history="1">
            <w:r w:rsidRPr="00FA0E9D">
              <w:rPr>
                <w:rStyle w:val="Hyperlink"/>
              </w:rPr>
              <w:t>4.2.2</w:t>
            </w:r>
            <w:r>
              <w:rPr>
                <w:rFonts w:asciiTheme="minorHAnsi" w:eastAsiaTheme="minorEastAsia" w:hAnsiTheme="minorHAnsi" w:cstheme="minorBidi"/>
                <w:color w:val="auto"/>
                <w:kern w:val="2"/>
                <w:sz w:val="24"/>
                <w:lang w:eastAsia="en-AU"/>
                <w14:ligatures w14:val="standardContextual"/>
              </w:rPr>
              <w:tab/>
            </w:r>
            <w:r w:rsidRPr="00FA0E9D">
              <w:rPr>
                <w:rStyle w:val="Hyperlink"/>
              </w:rPr>
              <w:t>Part II: Outcomes in undergraduate study by admission pathway</w:t>
            </w:r>
            <w:r>
              <w:rPr>
                <w:webHidden/>
              </w:rPr>
              <w:tab/>
            </w:r>
            <w:r>
              <w:rPr>
                <w:webHidden/>
              </w:rPr>
              <w:fldChar w:fldCharType="begin"/>
            </w:r>
            <w:r>
              <w:rPr>
                <w:webHidden/>
              </w:rPr>
              <w:instrText xml:space="preserve"> PAGEREF _Toc232766192 \h </w:instrText>
            </w:r>
            <w:r>
              <w:rPr>
                <w:webHidden/>
              </w:rPr>
            </w:r>
            <w:r>
              <w:rPr>
                <w:webHidden/>
              </w:rPr>
              <w:fldChar w:fldCharType="separate"/>
            </w:r>
            <w:r>
              <w:rPr>
                <w:webHidden/>
              </w:rPr>
              <w:t>28</w:t>
            </w:r>
            <w:r>
              <w:rPr>
                <w:webHidden/>
              </w:rPr>
              <w:fldChar w:fldCharType="end"/>
            </w:r>
          </w:hyperlink>
        </w:p>
        <w:p w14:paraId="77ABC749" w14:textId="7139ACAE"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93" w:history="1">
            <w:r w:rsidRPr="00FA0E9D">
              <w:rPr>
                <w:rStyle w:val="Hyperlink"/>
                <w:noProof/>
              </w:rPr>
              <w:t>4.3</w:t>
            </w:r>
            <w:r>
              <w:rPr>
                <w:rFonts w:asciiTheme="minorHAnsi" w:eastAsiaTheme="minorEastAsia" w:hAnsiTheme="minorHAnsi" w:cstheme="minorBidi"/>
                <w:noProof/>
                <w:kern w:val="2"/>
                <w:sz w:val="24"/>
                <w:lang w:eastAsia="en-AU"/>
                <w14:ligatures w14:val="standardContextual"/>
              </w:rPr>
              <w:tab/>
            </w:r>
            <w:r w:rsidRPr="00FA0E9D">
              <w:rPr>
                <w:rStyle w:val="Hyperlink"/>
                <w:noProof/>
              </w:rPr>
              <w:t>Phase three: Student and educator perspectives</w:t>
            </w:r>
            <w:r>
              <w:rPr>
                <w:noProof/>
                <w:webHidden/>
              </w:rPr>
              <w:tab/>
            </w:r>
            <w:r>
              <w:rPr>
                <w:noProof/>
                <w:webHidden/>
              </w:rPr>
              <w:fldChar w:fldCharType="begin"/>
            </w:r>
            <w:r>
              <w:rPr>
                <w:noProof/>
                <w:webHidden/>
              </w:rPr>
              <w:instrText xml:space="preserve"> PAGEREF _Toc232766193 \h </w:instrText>
            </w:r>
            <w:r>
              <w:rPr>
                <w:noProof/>
                <w:webHidden/>
              </w:rPr>
            </w:r>
            <w:r>
              <w:rPr>
                <w:noProof/>
                <w:webHidden/>
              </w:rPr>
              <w:fldChar w:fldCharType="separate"/>
            </w:r>
            <w:r>
              <w:rPr>
                <w:noProof/>
                <w:webHidden/>
              </w:rPr>
              <w:t>34</w:t>
            </w:r>
            <w:r>
              <w:rPr>
                <w:noProof/>
                <w:webHidden/>
              </w:rPr>
              <w:fldChar w:fldCharType="end"/>
            </w:r>
          </w:hyperlink>
        </w:p>
        <w:p w14:paraId="14092732" w14:textId="0EDB5B81"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94" w:history="1">
            <w:r w:rsidRPr="00FA0E9D">
              <w:rPr>
                <w:rStyle w:val="Hyperlink"/>
              </w:rPr>
              <w:t>4.3.1</w:t>
            </w:r>
            <w:r>
              <w:rPr>
                <w:rFonts w:asciiTheme="minorHAnsi" w:eastAsiaTheme="minorEastAsia" w:hAnsiTheme="minorHAnsi" w:cstheme="minorBidi"/>
                <w:color w:val="auto"/>
                <w:kern w:val="2"/>
                <w:sz w:val="24"/>
                <w:lang w:eastAsia="en-AU"/>
                <w14:ligatures w14:val="standardContextual"/>
              </w:rPr>
              <w:tab/>
            </w:r>
            <w:r w:rsidRPr="00FA0E9D">
              <w:rPr>
                <w:rStyle w:val="Hyperlink"/>
              </w:rPr>
              <w:t>Student perspective: Quantitative survey response findings</w:t>
            </w:r>
            <w:r>
              <w:rPr>
                <w:webHidden/>
              </w:rPr>
              <w:tab/>
            </w:r>
            <w:r>
              <w:rPr>
                <w:webHidden/>
              </w:rPr>
              <w:fldChar w:fldCharType="begin"/>
            </w:r>
            <w:r>
              <w:rPr>
                <w:webHidden/>
              </w:rPr>
              <w:instrText xml:space="preserve"> PAGEREF _Toc232766194 \h </w:instrText>
            </w:r>
            <w:r>
              <w:rPr>
                <w:webHidden/>
              </w:rPr>
            </w:r>
            <w:r>
              <w:rPr>
                <w:webHidden/>
              </w:rPr>
              <w:fldChar w:fldCharType="separate"/>
            </w:r>
            <w:r>
              <w:rPr>
                <w:webHidden/>
              </w:rPr>
              <w:t>34</w:t>
            </w:r>
            <w:r>
              <w:rPr>
                <w:webHidden/>
              </w:rPr>
              <w:fldChar w:fldCharType="end"/>
            </w:r>
          </w:hyperlink>
        </w:p>
        <w:p w14:paraId="3E315D64" w14:textId="3B9AB0A5" w:rsidR="00AB6338" w:rsidRDefault="00AB6338">
          <w:pPr>
            <w:pStyle w:val="TOC3"/>
            <w:rPr>
              <w:rFonts w:asciiTheme="minorHAnsi" w:eastAsiaTheme="minorEastAsia" w:hAnsiTheme="minorHAnsi" w:cstheme="minorBidi"/>
              <w:color w:val="auto"/>
              <w:kern w:val="2"/>
              <w:sz w:val="24"/>
              <w:lang w:eastAsia="en-AU"/>
              <w14:ligatures w14:val="standardContextual"/>
            </w:rPr>
          </w:pPr>
          <w:hyperlink w:anchor="_Toc232766195" w:history="1">
            <w:r w:rsidRPr="00FA0E9D">
              <w:rPr>
                <w:rStyle w:val="Hyperlink"/>
              </w:rPr>
              <w:t>4.3.2</w:t>
            </w:r>
            <w:r>
              <w:rPr>
                <w:rFonts w:asciiTheme="minorHAnsi" w:eastAsiaTheme="minorEastAsia" w:hAnsiTheme="minorHAnsi" w:cstheme="minorBidi"/>
                <w:color w:val="auto"/>
                <w:kern w:val="2"/>
                <w:sz w:val="24"/>
                <w:lang w:eastAsia="en-AU"/>
                <w14:ligatures w14:val="standardContextual"/>
              </w:rPr>
              <w:tab/>
            </w:r>
            <w:r w:rsidRPr="00FA0E9D">
              <w:rPr>
                <w:rStyle w:val="Hyperlink"/>
              </w:rPr>
              <w:t>Student and educator perspectives: Qualitative survey and interview findings</w:t>
            </w:r>
            <w:r>
              <w:rPr>
                <w:webHidden/>
              </w:rPr>
              <w:tab/>
            </w:r>
            <w:r>
              <w:rPr>
                <w:webHidden/>
              </w:rPr>
              <w:fldChar w:fldCharType="begin"/>
            </w:r>
            <w:r>
              <w:rPr>
                <w:webHidden/>
              </w:rPr>
              <w:instrText xml:space="preserve"> PAGEREF _Toc232766195 \h </w:instrText>
            </w:r>
            <w:r>
              <w:rPr>
                <w:webHidden/>
              </w:rPr>
            </w:r>
            <w:r>
              <w:rPr>
                <w:webHidden/>
              </w:rPr>
              <w:fldChar w:fldCharType="separate"/>
            </w:r>
            <w:r>
              <w:rPr>
                <w:webHidden/>
              </w:rPr>
              <w:t>41</w:t>
            </w:r>
            <w:r>
              <w:rPr>
                <w:webHidden/>
              </w:rPr>
              <w:fldChar w:fldCharType="end"/>
            </w:r>
          </w:hyperlink>
        </w:p>
        <w:p w14:paraId="06D88FF6" w14:textId="5A77D34E" w:rsidR="00AB6338" w:rsidRDefault="00AB6338">
          <w:pPr>
            <w:pStyle w:val="TOC1"/>
            <w:tabs>
              <w:tab w:val="left" w:pos="440"/>
              <w:tab w:val="right" w:leader="dot" w:pos="9016"/>
            </w:tabs>
            <w:rPr>
              <w:rFonts w:asciiTheme="minorHAnsi" w:eastAsiaTheme="minorEastAsia" w:hAnsiTheme="minorHAnsi" w:cstheme="minorBidi"/>
              <w:noProof/>
              <w:kern w:val="2"/>
              <w:sz w:val="24"/>
              <w:lang w:eastAsia="en-AU"/>
              <w14:ligatures w14:val="standardContextual"/>
            </w:rPr>
          </w:pPr>
          <w:hyperlink w:anchor="_Toc232766196" w:history="1">
            <w:r w:rsidRPr="00FA0E9D">
              <w:rPr>
                <w:rStyle w:val="Hyperlink"/>
                <w:noProof/>
              </w:rPr>
              <w:t>5.</w:t>
            </w:r>
            <w:r>
              <w:rPr>
                <w:rFonts w:asciiTheme="minorHAnsi" w:eastAsiaTheme="minorEastAsia" w:hAnsiTheme="minorHAnsi" w:cstheme="minorBidi"/>
                <w:noProof/>
                <w:kern w:val="2"/>
                <w:sz w:val="24"/>
                <w:lang w:eastAsia="en-AU"/>
                <w14:ligatures w14:val="standardContextual"/>
              </w:rPr>
              <w:tab/>
            </w:r>
            <w:r w:rsidRPr="00FA0E9D">
              <w:rPr>
                <w:rStyle w:val="Hyperlink"/>
                <w:noProof/>
              </w:rPr>
              <w:t>Discussion</w:t>
            </w:r>
            <w:r>
              <w:rPr>
                <w:noProof/>
                <w:webHidden/>
              </w:rPr>
              <w:tab/>
            </w:r>
            <w:r>
              <w:rPr>
                <w:noProof/>
                <w:webHidden/>
              </w:rPr>
              <w:fldChar w:fldCharType="begin"/>
            </w:r>
            <w:r>
              <w:rPr>
                <w:noProof/>
                <w:webHidden/>
              </w:rPr>
              <w:instrText xml:space="preserve"> PAGEREF _Toc232766196 \h </w:instrText>
            </w:r>
            <w:r>
              <w:rPr>
                <w:noProof/>
                <w:webHidden/>
              </w:rPr>
            </w:r>
            <w:r>
              <w:rPr>
                <w:noProof/>
                <w:webHidden/>
              </w:rPr>
              <w:fldChar w:fldCharType="separate"/>
            </w:r>
            <w:r>
              <w:rPr>
                <w:noProof/>
                <w:webHidden/>
              </w:rPr>
              <w:t>46</w:t>
            </w:r>
            <w:r>
              <w:rPr>
                <w:noProof/>
                <w:webHidden/>
              </w:rPr>
              <w:fldChar w:fldCharType="end"/>
            </w:r>
          </w:hyperlink>
        </w:p>
        <w:p w14:paraId="3D17808C" w14:textId="02DF8253"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97" w:history="1">
            <w:r w:rsidRPr="00FA0E9D">
              <w:rPr>
                <w:rStyle w:val="Hyperlink"/>
                <w:noProof/>
              </w:rPr>
              <w:t>5.1</w:t>
            </w:r>
            <w:r>
              <w:rPr>
                <w:rFonts w:asciiTheme="minorHAnsi" w:eastAsiaTheme="minorEastAsia" w:hAnsiTheme="minorHAnsi" w:cstheme="minorBidi"/>
                <w:noProof/>
                <w:kern w:val="2"/>
                <w:sz w:val="24"/>
                <w:lang w:eastAsia="en-AU"/>
                <w14:ligatures w14:val="standardContextual"/>
              </w:rPr>
              <w:tab/>
            </w:r>
            <w:r w:rsidRPr="00FA0E9D">
              <w:rPr>
                <w:rStyle w:val="Hyperlink"/>
                <w:noProof/>
              </w:rPr>
              <w:t>Access to university for the underserved</w:t>
            </w:r>
            <w:r>
              <w:rPr>
                <w:noProof/>
                <w:webHidden/>
              </w:rPr>
              <w:tab/>
            </w:r>
            <w:r>
              <w:rPr>
                <w:noProof/>
                <w:webHidden/>
              </w:rPr>
              <w:fldChar w:fldCharType="begin"/>
            </w:r>
            <w:r>
              <w:rPr>
                <w:noProof/>
                <w:webHidden/>
              </w:rPr>
              <w:instrText xml:space="preserve"> PAGEREF _Toc232766197 \h </w:instrText>
            </w:r>
            <w:r>
              <w:rPr>
                <w:noProof/>
                <w:webHidden/>
              </w:rPr>
            </w:r>
            <w:r>
              <w:rPr>
                <w:noProof/>
                <w:webHidden/>
              </w:rPr>
              <w:fldChar w:fldCharType="separate"/>
            </w:r>
            <w:r>
              <w:rPr>
                <w:noProof/>
                <w:webHidden/>
              </w:rPr>
              <w:t>46</w:t>
            </w:r>
            <w:r>
              <w:rPr>
                <w:noProof/>
                <w:webHidden/>
              </w:rPr>
              <w:fldChar w:fldCharType="end"/>
            </w:r>
          </w:hyperlink>
        </w:p>
        <w:p w14:paraId="49AB4CD5" w14:textId="7331812A"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98" w:history="1">
            <w:r w:rsidRPr="00FA0E9D">
              <w:rPr>
                <w:rStyle w:val="Hyperlink"/>
                <w:noProof/>
                <w:lang w:val="en-US"/>
              </w:rPr>
              <w:t>5.2</w:t>
            </w:r>
            <w:r>
              <w:rPr>
                <w:rFonts w:asciiTheme="minorHAnsi" w:eastAsiaTheme="minorEastAsia" w:hAnsiTheme="minorHAnsi" w:cstheme="minorBidi"/>
                <w:noProof/>
                <w:kern w:val="2"/>
                <w:sz w:val="24"/>
                <w:lang w:eastAsia="en-AU"/>
                <w14:ligatures w14:val="standardContextual"/>
              </w:rPr>
              <w:tab/>
            </w:r>
            <w:r w:rsidRPr="00FA0E9D">
              <w:rPr>
                <w:rStyle w:val="Hyperlink"/>
                <w:noProof/>
              </w:rPr>
              <w:t>A quality pathway to university</w:t>
            </w:r>
            <w:r>
              <w:rPr>
                <w:noProof/>
                <w:webHidden/>
              </w:rPr>
              <w:tab/>
            </w:r>
            <w:r>
              <w:rPr>
                <w:noProof/>
                <w:webHidden/>
              </w:rPr>
              <w:fldChar w:fldCharType="begin"/>
            </w:r>
            <w:r>
              <w:rPr>
                <w:noProof/>
                <w:webHidden/>
              </w:rPr>
              <w:instrText xml:space="preserve"> PAGEREF _Toc232766198 \h </w:instrText>
            </w:r>
            <w:r>
              <w:rPr>
                <w:noProof/>
                <w:webHidden/>
              </w:rPr>
            </w:r>
            <w:r>
              <w:rPr>
                <w:noProof/>
                <w:webHidden/>
              </w:rPr>
              <w:fldChar w:fldCharType="separate"/>
            </w:r>
            <w:r>
              <w:rPr>
                <w:noProof/>
                <w:webHidden/>
              </w:rPr>
              <w:t>47</w:t>
            </w:r>
            <w:r>
              <w:rPr>
                <w:noProof/>
                <w:webHidden/>
              </w:rPr>
              <w:fldChar w:fldCharType="end"/>
            </w:r>
          </w:hyperlink>
        </w:p>
        <w:p w14:paraId="4BAF5647" w14:textId="0B5848E0"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199" w:history="1">
            <w:r w:rsidRPr="00FA0E9D">
              <w:rPr>
                <w:rStyle w:val="Hyperlink"/>
                <w:noProof/>
                <w:lang w:val="en-US"/>
              </w:rPr>
              <w:t>5.3</w:t>
            </w:r>
            <w:r>
              <w:rPr>
                <w:rFonts w:asciiTheme="minorHAnsi" w:eastAsiaTheme="minorEastAsia" w:hAnsiTheme="minorHAnsi" w:cstheme="minorBidi"/>
                <w:noProof/>
                <w:kern w:val="2"/>
                <w:sz w:val="24"/>
                <w:lang w:eastAsia="en-AU"/>
                <w14:ligatures w14:val="standardContextual"/>
              </w:rPr>
              <w:tab/>
            </w:r>
            <w:r w:rsidRPr="00FA0E9D">
              <w:rPr>
                <w:rStyle w:val="Hyperlink"/>
                <w:noProof/>
              </w:rPr>
              <w:t>A confident pathway to university</w:t>
            </w:r>
            <w:r>
              <w:rPr>
                <w:noProof/>
                <w:webHidden/>
              </w:rPr>
              <w:tab/>
            </w:r>
            <w:r>
              <w:rPr>
                <w:noProof/>
                <w:webHidden/>
              </w:rPr>
              <w:fldChar w:fldCharType="begin"/>
            </w:r>
            <w:r>
              <w:rPr>
                <w:noProof/>
                <w:webHidden/>
              </w:rPr>
              <w:instrText xml:space="preserve"> PAGEREF _Toc232766199 \h </w:instrText>
            </w:r>
            <w:r>
              <w:rPr>
                <w:noProof/>
                <w:webHidden/>
              </w:rPr>
            </w:r>
            <w:r>
              <w:rPr>
                <w:noProof/>
                <w:webHidden/>
              </w:rPr>
              <w:fldChar w:fldCharType="separate"/>
            </w:r>
            <w:r>
              <w:rPr>
                <w:noProof/>
                <w:webHidden/>
              </w:rPr>
              <w:t>48</w:t>
            </w:r>
            <w:r>
              <w:rPr>
                <w:noProof/>
                <w:webHidden/>
              </w:rPr>
              <w:fldChar w:fldCharType="end"/>
            </w:r>
          </w:hyperlink>
        </w:p>
        <w:p w14:paraId="208DC5E6" w14:textId="28C2FF64" w:rsidR="00AB6338" w:rsidRDefault="00AB6338">
          <w:pPr>
            <w:pStyle w:val="TOC1"/>
            <w:tabs>
              <w:tab w:val="left" w:pos="440"/>
              <w:tab w:val="right" w:leader="dot" w:pos="9016"/>
            </w:tabs>
            <w:rPr>
              <w:rFonts w:asciiTheme="minorHAnsi" w:eastAsiaTheme="minorEastAsia" w:hAnsiTheme="minorHAnsi" w:cstheme="minorBidi"/>
              <w:noProof/>
              <w:kern w:val="2"/>
              <w:sz w:val="24"/>
              <w:lang w:eastAsia="en-AU"/>
              <w14:ligatures w14:val="standardContextual"/>
            </w:rPr>
          </w:pPr>
          <w:hyperlink w:anchor="_Toc232766200" w:history="1">
            <w:r w:rsidRPr="00FA0E9D">
              <w:rPr>
                <w:rStyle w:val="Hyperlink"/>
                <w:noProof/>
              </w:rPr>
              <w:t>6.</w:t>
            </w:r>
            <w:r>
              <w:rPr>
                <w:rFonts w:asciiTheme="minorHAnsi" w:eastAsiaTheme="minorEastAsia" w:hAnsiTheme="minorHAnsi" w:cstheme="minorBidi"/>
                <w:noProof/>
                <w:kern w:val="2"/>
                <w:sz w:val="24"/>
                <w:lang w:eastAsia="en-AU"/>
                <w14:ligatures w14:val="standardContextual"/>
              </w:rPr>
              <w:tab/>
            </w:r>
            <w:r w:rsidRPr="00FA0E9D">
              <w:rPr>
                <w:rStyle w:val="Hyperlink"/>
                <w:noProof/>
              </w:rPr>
              <w:t>Conclusion</w:t>
            </w:r>
            <w:r>
              <w:rPr>
                <w:noProof/>
                <w:webHidden/>
              </w:rPr>
              <w:tab/>
            </w:r>
            <w:r>
              <w:rPr>
                <w:noProof/>
                <w:webHidden/>
              </w:rPr>
              <w:fldChar w:fldCharType="begin"/>
            </w:r>
            <w:r>
              <w:rPr>
                <w:noProof/>
                <w:webHidden/>
              </w:rPr>
              <w:instrText xml:space="preserve"> PAGEREF _Toc232766200 \h </w:instrText>
            </w:r>
            <w:r>
              <w:rPr>
                <w:noProof/>
                <w:webHidden/>
              </w:rPr>
            </w:r>
            <w:r>
              <w:rPr>
                <w:noProof/>
                <w:webHidden/>
              </w:rPr>
              <w:fldChar w:fldCharType="separate"/>
            </w:r>
            <w:r>
              <w:rPr>
                <w:noProof/>
                <w:webHidden/>
              </w:rPr>
              <w:t>51</w:t>
            </w:r>
            <w:r>
              <w:rPr>
                <w:noProof/>
                <w:webHidden/>
              </w:rPr>
              <w:fldChar w:fldCharType="end"/>
            </w:r>
          </w:hyperlink>
        </w:p>
        <w:p w14:paraId="79EDD5CD" w14:textId="4D5163CD" w:rsidR="00AB6338" w:rsidRDefault="00AB6338">
          <w:pPr>
            <w:pStyle w:val="TOC1"/>
            <w:tabs>
              <w:tab w:val="left" w:pos="440"/>
              <w:tab w:val="right" w:leader="dot" w:pos="9016"/>
            </w:tabs>
            <w:rPr>
              <w:rFonts w:asciiTheme="minorHAnsi" w:eastAsiaTheme="minorEastAsia" w:hAnsiTheme="minorHAnsi" w:cstheme="minorBidi"/>
              <w:noProof/>
              <w:kern w:val="2"/>
              <w:sz w:val="24"/>
              <w:lang w:eastAsia="en-AU"/>
              <w14:ligatures w14:val="standardContextual"/>
            </w:rPr>
          </w:pPr>
          <w:hyperlink w:anchor="_Toc232766201" w:history="1">
            <w:r w:rsidRPr="00FA0E9D">
              <w:rPr>
                <w:rStyle w:val="Hyperlink"/>
                <w:noProof/>
              </w:rPr>
              <w:t>7.</w:t>
            </w:r>
            <w:r>
              <w:rPr>
                <w:rFonts w:asciiTheme="minorHAnsi" w:eastAsiaTheme="minorEastAsia" w:hAnsiTheme="minorHAnsi" w:cstheme="minorBidi"/>
                <w:noProof/>
                <w:kern w:val="2"/>
                <w:sz w:val="24"/>
                <w:lang w:eastAsia="en-AU"/>
                <w14:ligatures w14:val="standardContextual"/>
              </w:rPr>
              <w:tab/>
            </w:r>
            <w:r w:rsidRPr="00FA0E9D">
              <w:rPr>
                <w:rStyle w:val="Hyperlink"/>
                <w:noProof/>
              </w:rPr>
              <w:t>References</w:t>
            </w:r>
            <w:r>
              <w:rPr>
                <w:noProof/>
                <w:webHidden/>
              </w:rPr>
              <w:tab/>
            </w:r>
            <w:r>
              <w:rPr>
                <w:noProof/>
                <w:webHidden/>
              </w:rPr>
              <w:fldChar w:fldCharType="begin"/>
            </w:r>
            <w:r>
              <w:rPr>
                <w:noProof/>
                <w:webHidden/>
              </w:rPr>
              <w:instrText xml:space="preserve"> PAGEREF _Toc232766201 \h </w:instrText>
            </w:r>
            <w:r>
              <w:rPr>
                <w:noProof/>
                <w:webHidden/>
              </w:rPr>
            </w:r>
            <w:r>
              <w:rPr>
                <w:noProof/>
                <w:webHidden/>
              </w:rPr>
              <w:fldChar w:fldCharType="separate"/>
            </w:r>
            <w:r>
              <w:rPr>
                <w:noProof/>
                <w:webHidden/>
              </w:rPr>
              <w:t>52</w:t>
            </w:r>
            <w:r>
              <w:rPr>
                <w:noProof/>
                <w:webHidden/>
              </w:rPr>
              <w:fldChar w:fldCharType="end"/>
            </w:r>
          </w:hyperlink>
        </w:p>
        <w:p w14:paraId="34302417" w14:textId="1CBE4F65" w:rsidR="00AB6338" w:rsidRDefault="00AB6338">
          <w:pPr>
            <w:pStyle w:val="TOC1"/>
            <w:tabs>
              <w:tab w:val="left" w:pos="440"/>
              <w:tab w:val="right" w:leader="dot" w:pos="9016"/>
            </w:tabs>
            <w:rPr>
              <w:rFonts w:asciiTheme="minorHAnsi" w:eastAsiaTheme="minorEastAsia" w:hAnsiTheme="minorHAnsi" w:cstheme="minorBidi"/>
              <w:noProof/>
              <w:kern w:val="2"/>
              <w:sz w:val="24"/>
              <w:lang w:eastAsia="en-AU"/>
              <w14:ligatures w14:val="standardContextual"/>
            </w:rPr>
          </w:pPr>
          <w:hyperlink w:anchor="_Toc232766202" w:history="1">
            <w:r w:rsidRPr="00FA0E9D">
              <w:rPr>
                <w:rStyle w:val="Hyperlink"/>
                <w:noProof/>
              </w:rPr>
              <w:t>8.</w:t>
            </w:r>
            <w:r>
              <w:rPr>
                <w:rFonts w:asciiTheme="minorHAnsi" w:eastAsiaTheme="minorEastAsia" w:hAnsiTheme="minorHAnsi" w:cstheme="minorBidi"/>
                <w:noProof/>
                <w:kern w:val="2"/>
                <w:sz w:val="24"/>
                <w:lang w:eastAsia="en-AU"/>
                <w14:ligatures w14:val="standardContextual"/>
              </w:rPr>
              <w:tab/>
            </w:r>
            <w:r w:rsidRPr="00FA0E9D">
              <w:rPr>
                <w:rStyle w:val="Hyperlink"/>
                <w:noProof/>
              </w:rPr>
              <w:t>Appendices</w:t>
            </w:r>
            <w:r>
              <w:rPr>
                <w:noProof/>
                <w:webHidden/>
              </w:rPr>
              <w:tab/>
            </w:r>
            <w:r>
              <w:rPr>
                <w:noProof/>
                <w:webHidden/>
              </w:rPr>
              <w:fldChar w:fldCharType="begin"/>
            </w:r>
            <w:r>
              <w:rPr>
                <w:noProof/>
                <w:webHidden/>
              </w:rPr>
              <w:instrText xml:space="preserve"> PAGEREF _Toc232766202 \h </w:instrText>
            </w:r>
            <w:r>
              <w:rPr>
                <w:noProof/>
                <w:webHidden/>
              </w:rPr>
            </w:r>
            <w:r>
              <w:rPr>
                <w:noProof/>
                <w:webHidden/>
              </w:rPr>
              <w:fldChar w:fldCharType="separate"/>
            </w:r>
            <w:r>
              <w:rPr>
                <w:noProof/>
                <w:webHidden/>
              </w:rPr>
              <w:t>59</w:t>
            </w:r>
            <w:r>
              <w:rPr>
                <w:noProof/>
                <w:webHidden/>
              </w:rPr>
              <w:fldChar w:fldCharType="end"/>
            </w:r>
          </w:hyperlink>
        </w:p>
        <w:p w14:paraId="35E561B2" w14:textId="1D507324" w:rsidR="00AB6338" w:rsidRDefault="00AB6338">
          <w:pPr>
            <w:pStyle w:val="TOC2"/>
            <w:tabs>
              <w:tab w:val="left" w:pos="960"/>
              <w:tab w:val="right" w:leader="dot" w:pos="9016"/>
            </w:tabs>
            <w:rPr>
              <w:rFonts w:asciiTheme="minorHAnsi" w:eastAsiaTheme="minorEastAsia" w:hAnsiTheme="minorHAnsi" w:cstheme="minorBidi"/>
              <w:noProof/>
              <w:kern w:val="2"/>
              <w:sz w:val="24"/>
              <w:lang w:eastAsia="en-AU"/>
              <w14:ligatures w14:val="standardContextual"/>
            </w:rPr>
          </w:pPr>
          <w:hyperlink w:anchor="_Toc232766203" w:history="1">
            <w:r w:rsidRPr="00FA0E9D">
              <w:rPr>
                <w:rStyle w:val="Hyperlink"/>
                <w:noProof/>
              </w:rPr>
              <w:t>8.1</w:t>
            </w:r>
            <w:r>
              <w:rPr>
                <w:rFonts w:asciiTheme="minorHAnsi" w:eastAsiaTheme="minorEastAsia" w:hAnsiTheme="minorHAnsi" w:cstheme="minorBidi"/>
                <w:noProof/>
                <w:kern w:val="2"/>
                <w:sz w:val="24"/>
                <w:lang w:eastAsia="en-AU"/>
                <w14:ligatures w14:val="standardContextual"/>
              </w:rPr>
              <w:tab/>
            </w:r>
            <w:r w:rsidRPr="00FA0E9D">
              <w:rPr>
                <w:rStyle w:val="Hyperlink"/>
                <w:noProof/>
              </w:rPr>
              <w:t>Appendix A</w:t>
            </w:r>
            <w:r>
              <w:rPr>
                <w:noProof/>
                <w:webHidden/>
              </w:rPr>
              <w:tab/>
            </w:r>
            <w:r>
              <w:rPr>
                <w:noProof/>
                <w:webHidden/>
              </w:rPr>
              <w:fldChar w:fldCharType="begin"/>
            </w:r>
            <w:r>
              <w:rPr>
                <w:noProof/>
                <w:webHidden/>
              </w:rPr>
              <w:instrText xml:space="preserve"> PAGEREF _Toc232766203 \h </w:instrText>
            </w:r>
            <w:r>
              <w:rPr>
                <w:noProof/>
                <w:webHidden/>
              </w:rPr>
            </w:r>
            <w:r>
              <w:rPr>
                <w:noProof/>
                <w:webHidden/>
              </w:rPr>
              <w:fldChar w:fldCharType="separate"/>
            </w:r>
            <w:r>
              <w:rPr>
                <w:noProof/>
                <w:webHidden/>
              </w:rPr>
              <w:t>59</w:t>
            </w:r>
            <w:r>
              <w:rPr>
                <w:noProof/>
                <w:webHidden/>
              </w:rPr>
              <w:fldChar w:fldCharType="end"/>
            </w:r>
          </w:hyperlink>
        </w:p>
        <w:p w14:paraId="60AF9393" w14:textId="3BE1AD40" w:rsidR="00985F7E" w:rsidRPr="002A72DA" w:rsidRDefault="00676493" w:rsidP="002A72DA">
          <w:pPr>
            <w:pStyle w:val="TOC2"/>
            <w:tabs>
              <w:tab w:val="left" w:pos="660"/>
              <w:tab w:val="right" w:leader="dot" w:pos="9015"/>
            </w:tabs>
            <w:rPr>
              <w:noProof/>
              <w:color w:val="351C26" w:themeColor="text1"/>
              <w:kern w:val="2"/>
              <w:u w:val="single"/>
              <w:lang w:eastAsia="en-AU"/>
              <w14:ligatures w14:val="standardContextual"/>
            </w:rPr>
          </w:pPr>
          <w:r w:rsidRPr="004F3D64">
            <w:rPr>
              <w:color w:val="351C26" w:themeColor="text1"/>
            </w:rPr>
            <w:fldChar w:fldCharType="end"/>
          </w:r>
        </w:p>
      </w:sdtContent>
    </w:sdt>
    <w:p w14:paraId="56B7685F" w14:textId="62A261AB" w:rsidR="658F4599" w:rsidRPr="004F3D64" w:rsidRDefault="00E61CC7" w:rsidP="009E60E7">
      <w:pPr>
        <w:pStyle w:val="Heading2-No"/>
        <w:spacing w:before="0"/>
        <w:rPr>
          <w:color w:val="7B4158" w:themeColor="text2" w:themeTint="BF"/>
        </w:rPr>
      </w:pPr>
      <w:bookmarkStart w:id="11" w:name="_Toc232766166"/>
      <w:r w:rsidRPr="004F3D64">
        <w:rPr>
          <w:color w:val="7B4158" w:themeColor="text2" w:themeTint="BF"/>
        </w:rPr>
        <w:t xml:space="preserve">List of </w:t>
      </w:r>
      <w:r w:rsidR="00963012">
        <w:rPr>
          <w:color w:val="7B4158" w:themeColor="text2" w:themeTint="BF"/>
        </w:rPr>
        <w:t>t</w:t>
      </w:r>
      <w:r w:rsidRPr="004F3D64">
        <w:rPr>
          <w:color w:val="7B4158" w:themeColor="text2" w:themeTint="BF"/>
        </w:rPr>
        <w:t>ables</w:t>
      </w:r>
      <w:bookmarkEnd w:id="11"/>
    </w:p>
    <w:p w14:paraId="2E180D09" w14:textId="1CFE68E7" w:rsidR="00B144D6" w:rsidRDefault="00E61CC7">
      <w:pPr>
        <w:pStyle w:val="TOC1"/>
        <w:tabs>
          <w:tab w:val="right" w:leader="dot" w:pos="9016"/>
        </w:tabs>
        <w:rPr>
          <w:rFonts w:asciiTheme="minorHAnsi" w:eastAsiaTheme="minorEastAsia" w:hAnsiTheme="minorHAnsi" w:cstheme="minorBidi"/>
          <w:noProof/>
          <w:kern w:val="2"/>
          <w:sz w:val="24"/>
          <w:lang w:eastAsia="en-AU"/>
          <w14:ligatures w14:val="standardContextual"/>
        </w:rPr>
      </w:pPr>
      <w:r w:rsidRPr="004F3D64">
        <w:rPr>
          <w:color w:val="351C26" w:themeColor="text1"/>
        </w:rPr>
        <w:fldChar w:fldCharType="begin"/>
      </w:r>
      <w:r w:rsidRPr="004F3D64">
        <w:rPr>
          <w:color w:val="351C26" w:themeColor="text1"/>
        </w:rPr>
        <w:instrText xml:space="preserve"> TOC \h \z \t "TOC Heading,1" </w:instrText>
      </w:r>
      <w:r w:rsidRPr="004F3D64">
        <w:rPr>
          <w:color w:val="351C26" w:themeColor="text1"/>
        </w:rPr>
        <w:fldChar w:fldCharType="separate"/>
      </w:r>
      <w:hyperlink w:anchor="_Toc232575170" w:history="1">
        <w:r w:rsidR="00B144D6" w:rsidRPr="007A7930">
          <w:rPr>
            <w:rStyle w:val="Hyperlink"/>
            <w:noProof/>
          </w:rPr>
          <w:t>Table 1: Project design</w:t>
        </w:r>
        <w:r w:rsidR="00B144D6">
          <w:rPr>
            <w:noProof/>
            <w:webHidden/>
          </w:rPr>
          <w:tab/>
        </w:r>
        <w:r w:rsidR="00B144D6">
          <w:rPr>
            <w:noProof/>
            <w:webHidden/>
          </w:rPr>
          <w:fldChar w:fldCharType="begin"/>
        </w:r>
        <w:r w:rsidR="00B144D6">
          <w:rPr>
            <w:noProof/>
            <w:webHidden/>
          </w:rPr>
          <w:instrText xml:space="preserve"> PAGEREF _Toc232575170 \h </w:instrText>
        </w:r>
        <w:r w:rsidR="00B144D6">
          <w:rPr>
            <w:noProof/>
            <w:webHidden/>
          </w:rPr>
        </w:r>
        <w:r w:rsidR="00B144D6">
          <w:rPr>
            <w:noProof/>
            <w:webHidden/>
          </w:rPr>
          <w:fldChar w:fldCharType="separate"/>
        </w:r>
        <w:r w:rsidR="00B144D6">
          <w:rPr>
            <w:noProof/>
            <w:webHidden/>
          </w:rPr>
          <w:t>1</w:t>
        </w:r>
        <w:r w:rsidR="00B144D6">
          <w:rPr>
            <w:noProof/>
            <w:webHidden/>
          </w:rPr>
          <w:fldChar w:fldCharType="end"/>
        </w:r>
      </w:hyperlink>
    </w:p>
    <w:p w14:paraId="6BB8DF71" w14:textId="3194B573"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71" w:history="1">
        <w:r w:rsidRPr="007A7930">
          <w:rPr>
            <w:rStyle w:val="Hyperlink"/>
            <w:noProof/>
          </w:rPr>
          <w:t>Table 2: Total unique students enrolled in an in-school enabling program in 2021–2023 and included in analysis of quantitative student outcomes</w:t>
        </w:r>
        <w:r>
          <w:rPr>
            <w:noProof/>
            <w:webHidden/>
          </w:rPr>
          <w:tab/>
        </w:r>
        <w:r>
          <w:rPr>
            <w:noProof/>
            <w:webHidden/>
          </w:rPr>
          <w:fldChar w:fldCharType="begin"/>
        </w:r>
        <w:r>
          <w:rPr>
            <w:noProof/>
            <w:webHidden/>
          </w:rPr>
          <w:instrText xml:space="preserve"> PAGEREF _Toc232575171 \h </w:instrText>
        </w:r>
        <w:r>
          <w:rPr>
            <w:noProof/>
            <w:webHidden/>
          </w:rPr>
        </w:r>
        <w:r>
          <w:rPr>
            <w:noProof/>
            <w:webHidden/>
          </w:rPr>
          <w:fldChar w:fldCharType="separate"/>
        </w:r>
        <w:r>
          <w:rPr>
            <w:noProof/>
            <w:webHidden/>
          </w:rPr>
          <w:t>17</w:t>
        </w:r>
        <w:r>
          <w:rPr>
            <w:noProof/>
            <w:webHidden/>
          </w:rPr>
          <w:fldChar w:fldCharType="end"/>
        </w:r>
      </w:hyperlink>
    </w:p>
    <w:p w14:paraId="2E60F5B4" w14:textId="2B62E1CD"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72" w:history="1">
        <w:r w:rsidRPr="007A7930">
          <w:rPr>
            <w:rStyle w:val="Hyperlink"/>
            <w:noProof/>
          </w:rPr>
          <w:t>Table 3: Equity status indicators used in this study</w:t>
        </w:r>
        <w:r>
          <w:rPr>
            <w:noProof/>
            <w:webHidden/>
          </w:rPr>
          <w:tab/>
        </w:r>
        <w:r>
          <w:rPr>
            <w:noProof/>
            <w:webHidden/>
          </w:rPr>
          <w:fldChar w:fldCharType="begin"/>
        </w:r>
        <w:r>
          <w:rPr>
            <w:noProof/>
            <w:webHidden/>
          </w:rPr>
          <w:instrText xml:space="preserve"> PAGEREF _Toc232575172 \h </w:instrText>
        </w:r>
        <w:r>
          <w:rPr>
            <w:noProof/>
            <w:webHidden/>
          </w:rPr>
        </w:r>
        <w:r>
          <w:rPr>
            <w:noProof/>
            <w:webHidden/>
          </w:rPr>
          <w:fldChar w:fldCharType="separate"/>
        </w:r>
        <w:r>
          <w:rPr>
            <w:noProof/>
            <w:webHidden/>
          </w:rPr>
          <w:t>18</w:t>
        </w:r>
        <w:r>
          <w:rPr>
            <w:noProof/>
            <w:webHidden/>
          </w:rPr>
          <w:fldChar w:fldCharType="end"/>
        </w:r>
      </w:hyperlink>
    </w:p>
    <w:p w14:paraId="58BEB369" w14:textId="5E72E319"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73" w:history="1">
        <w:r w:rsidRPr="007A7930">
          <w:rPr>
            <w:rStyle w:val="Hyperlink"/>
            <w:noProof/>
          </w:rPr>
          <w:t>Table 4: Pathway description and cohort sizes identified for analysis*</w:t>
        </w:r>
        <w:r>
          <w:rPr>
            <w:noProof/>
            <w:webHidden/>
          </w:rPr>
          <w:tab/>
        </w:r>
        <w:r>
          <w:rPr>
            <w:noProof/>
            <w:webHidden/>
          </w:rPr>
          <w:fldChar w:fldCharType="begin"/>
        </w:r>
        <w:r>
          <w:rPr>
            <w:noProof/>
            <w:webHidden/>
          </w:rPr>
          <w:instrText xml:space="preserve"> PAGEREF _Toc232575173 \h </w:instrText>
        </w:r>
        <w:r>
          <w:rPr>
            <w:noProof/>
            <w:webHidden/>
          </w:rPr>
        </w:r>
        <w:r>
          <w:rPr>
            <w:noProof/>
            <w:webHidden/>
          </w:rPr>
          <w:fldChar w:fldCharType="separate"/>
        </w:r>
        <w:r>
          <w:rPr>
            <w:noProof/>
            <w:webHidden/>
          </w:rPr>
          <w:t>19</w:t>
        </w:r>
        <w:r>
          <w:rPr>
            <w:noProof/>
            <w:webHidden/>
          </w:rPr>
          <w:fldChar w:fldCharType="end"/>
        </w:r>
      </w:hyperlink>
    </w:p>
    <w:p w14:paraId="26F5A5C1" w14:textId="419D73D9"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74" w:history="1">
        <w:r w:rsidRPr="007A7930">
          <w:rPr>
            <w:rStyle w:val="Hyperlink"/>
            <w:noProof/>
          </w:rPr>
          <w:t>Table 5: In-school enabling program student success, completion, and conversion to undergraduate rates</w:t>
        </w:r>
        <w:r>
          <w:rPr>
            <w:noProof/>
            <w:webHidden/>
          </w:rPr>
          <w:tab/>
        </w:r>
        <w:r>
          <w:rPr>
            <w:noProof/>
            <w:webHidden/>
          </w:rPr>
          <w:fldChar w:fldCharType="begin"/>
        </w:r>
        <w:r>
          <w:rPr>
            <w:noProof/>
            <w:webHidden/>
          </w:rPr>
          <w:instrText xml:space="preserve"> PAGEREF _Toc232575174 \h </w:instrText>
        </w:r>
        <w:r>
          <w:rPr>
            <w:noProof/>
            <w:webHidden/>
          </w:rPr>
        </w:r>
        <w:r>
          <w:rPr>
            <w:noProof/>
            <w:webHidden/>
          </w:rPr>
          <w:fldChar w:fldCharType="separate"/>
        </w:r>
        <w:r>
          <w:rPr>
            <w:noProof/>
            <w:webHidden/>
          </w:rPr>
          <w:t>27</w:t>
        </w:r>
        <w:r>
          <w:rPr>
            <w:noProof/>
            <w:webHidden/>
          </w:rPr>
          <w:fldChar w:fldCharType="end"/>
        </w:r>
      </w:hyperlink>
    </w:p>
    <w:p w14:paraId="38E49217" w14:textId="47F373F2"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75" w:history="1">
        <w:r w:rsidRPr="007A7930">
          <w:rPr>
            <w:rStyle w:val="Hyperlink"/>
            <w:noProof/>
          </w:rPr>
          <w:t>Table 6: Total number of domestic school leaver-aged students retained into the second year of undergraduate study during 2023–2025, for those that commenced their degree between 2022–2024.</w:t>
        </w:r>
        <w:r>
          <w:rPr>
            <w:noProof/>
            <w:webHidden/>
          </w:rPr>
          <w:tab/>
        </w:r>
        <w:r>
          <w:rPr>
            <w:noProof/>
            <w:webHidden/>
          </w:rPr>
          <w:fldChar w:fldCharType="begin"/>
        </w:r>
        <w:r>
          <w:rPr>
            <w:noProof/>
            <w:webHidden/>
          </w:rPr>
          <w:instrText xml:space="preserve"> PAGEREF _Toc232575175 \h </w:instrText>
        </w:r>
        <w:r>
          <w:rPr>
            <w:noProof/>
            <w:webHidden/>
          </w:rPr>
        </w:r>
        <w:r>
          <w:rPr>
            <w:noProof/>
            <w:webHidden/>
          </w:rPr>
          <w:fldChar w:fldCharType="separate"/>
        </w:r>
        <w:r>
          <w:rPr>
            <w:noProof/>
            <w:webHidden/>
          </w:rPr>
          <w:t>30</w:t>
        </w:r>
        <w:r>
          <w:rPr>
            <w:noProof/>
            <w:webHidden/>
          </w:rPr>
          <w:fldChar w:fldCharType="end"/>
        </w:r>
      </w:hyperlink>
    </w:p>
    <w:p w14:paraId="33C53FF1" w14:textId="4F7DB936"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76" w:history="1">
        <w:r w:rsidRPr="007A7930">
          <w:rPr>
            <w:rStyle w:val="Hyperlink"/>
            <w:noProof/>
          </w:rPr>
          <w:t>Table 7: Undergraduate success rates for all domestic school leaver-aged students who commenced their undergraduate studies between 2022–2024 via various university admission pathways.</w:t>
        </w:r>
        <w:r>
          <w:rPr>
            <w:noProof/>
            <w:webHidden/>
          </w:rPr>
          <w:tab/>
        </w:r>
        <w:r>
          <w:rPr>
            <w:noProof/>
            <w:webHidden/>
          </w:rPr>
          <w:fldChar w:fldCharType="begin"/>
        </w:r>
        <w:r>
          <w:rPr>
            <w:noProof/>
            <w:webHidden/>
          </w:rPr>
          <w:instrText xml:space="preserve"> PAGEREF _Toc232575176 \h </w:instrText>
        </w:r>
        <w:r>
          <w:rPr>
            <w:noProof/>
            <w:webHidden/>
          </w:rPr>
        </w:r>
        <w:r>
          <w:rPr>
            <w:noProof/>
            <w:webHidden/>
          </w:rPr>
          <w:fldChar w:fldCharType="separate"/>
        </w:r>
        <w:r>
          <w:rPr>
            <w:noProof/>
            <w:webHidden/>
          </w:rPr>
          <w:t>31</w:t>
        </w:r>
        <w:r>
          <w:rPr>
            <w:noProof/>
            <w:webHidden/>
          </w:rPr>
          <w:fldChar w:fldCharType="end"/>
        </w:r>
      </w:hyperlink>
    </w:p>
    <w:p w14:paraId="3132D43F" w14:textId="531E01E5"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77" w:history="1">
        <w:r w:rsidRPr="007A7930">
          <w:rPr>
            <w:rStyle w:val="Hyperlink"/>
            <w:noProof/>
          </w:rPr>
          <w:t>Table 8: Undergraduate retention and success rates of in-school enabling pathway students, stratified by equity status.</w:t>
        </w:r>
        <w:r>
          <w:rPr>
            <w:noProof/>
            <w:webHidden/>
          </w:rPr>
          <w:tab/>
        </w:r>
        <w:r>
          <w:rPr>
            <w:noProof/>
            <w:webHidden/>
          </w:rPr>
          <w:fldChar w:fldCharType="begin"/>
        </w:r>
        <w:r>
          <w:rPr>
            <w:noProof/>
            <w:webHidden/>
          </w:rPr>
          <w:instrText xml:space="preserve"> PAGEREF _Toc232575177 \h </w:instrText>
        </w:r>
        <w:r>
          <w:rPr>
            <w:noProof/>
            <w:webHidden/>
          </w:rPr>
        </w:r>
        <w:r>
          <w:rPr>
            <w:noProof/>
            <w:webHidden/>
          </w:rPr>
          <w:fldChar w:fldCharType="separate"/>
        </w:r>
        <w:r>
          <w:rPr>
            <w:noProof/>
            <w:webHidden/>
          </w:rPr>
          <w:t>32</w:t>
        </w:r>
        <w:r>
          <w:rPr>
            <w:noProof/>
            <w:webHidden/>
          </w:rPr>
          <w:fldChar w:fldCharType="end"/>
        </w:r>
      </w:hyperlink>
    </w:p>
    <w:p w14:paraId="06054A9C" w14:textId="24F81FE8"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78" w:history="1">
        <w:r w:rsidRPr="007A7930">
          <w:rPr>
            <w:rStyle w:val="Hyperlink"/>
            <w:noProof/>
          </w:rPr>
          <w:t>Table 9: Success and retention rates of all school leaver-aged students from equity and non-equity groups who commenced their undergraduate studies between 2022-2024 at one of the four universities (ECU, MU, UniSQ and SCU).</w:t>
        </w:r>
        <w:r>
          <w:rPr>
            <w:noProof/>
            <w:webHidden/>
          </w:rPr>
          <w:tab/>
        </w:r>
        <w:r>
          <w:rPr>
            <w:noProof/>
            <w:webHidden/>
          </w:rPr>
          <w:fldChar w:fldCharType="begin"/>
        </w:r>
        <w:r>
          <w:rPr>
            <w:noProof/>
            <w:webHidden/>
          </w:rPr>
          <w:instrText xml:space="preserve"> PAGEREF _Toc232575178 \h </w:instrText>
        </w:r>
        <w:r>
          <w:rPr>
            <w:noProof/>
            <w:webHidden/>
          </w:rPr>
        </w:r>
        <w:r>
          <w:rPr>
            <w:noProof/>
            <w:webHidden/>
          </w:rPr>
          <w:fldChar w:fldCharType="separate"/>
        </w:r>
        <w:r>
          <w:rPr>
            <w:noProof/>
            <w:webHidden/>
          </w:rPr>
          <w:t>33</w:t>
        </w:r>
        <w:r>
          <w:rPr>
            <w:noProof/>
            <w:webHidden/>
          </w:rPr>
          <w:fldChar w:fldCharType="end"/>
        </w:r>
      </w:hyperlink>
    </w:p>
    <w:p w14:paraId="140BEE5C" w14:textId="606BD7A0"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79" w:history="1">
        <w:r w:rsidRPr="007A7930">
          <w:rPr>
            <w:rStyle w:val="Hyperlink"/>
            <w:noProof/>
          </w:rPr>
          <w:t>Table 10: Demographics of survey sample</w:t>
        </w:r>
        <w:r>
          <w:rPr>
            <w:noProof/>
            <w:webHidden/>
          </w:rPr>
          <w:tab/>
        </w:r>
        <w:r>
          <w:rPr>
            <w:noProof/>
            <w:webHidden/>
          </w:rPr>
          <w:fldChar w:fldCharType="begin"/>
        </w:r>
        <w:r>
          <w:rPr>
            <w:noProof/>
            <w:webHidden/>
          </w:rPr>
          <w:instrText xml:space="preserve"> PAGEREF _Toc232575179 \h </w:instrText>
        </w:r>
        <w:r>
          <w:rPr>
            <w:noProof/>
            <w:webHidden/>
          </w:rPr>
        </w:r>
        <w:r>
          <w:rPr>
            <w:noProof/>
            <w:webHidden/>
          </w:rPr>
          <w:fldChar w:fldCharType="separate"/>
        </w:r>
        <w:r>
          <w:rPr>
            <w:noProof/>
            <w:webHidden/>
          </w:rPr>
          <w:t>35</w:t>
        </w:r>
        <w:r>
          <w:rPr>
            <w:noProof/>
            <w:webHidden/>
          </w:rPr>
          <w:fldChar w:fldCharType="end"/>
        </w:r>
      </w:hyperlink>
    </w:p>
    <w:p w14:paraId="28C3EEEE" w14:textId="2DF4613E"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80" w:history="1">
        <w:r w:rsidRPr="007A7930">
          <w:rPr>
            <w:rStyle w:val="Hyperlink"/>
            <w:noProof/>
          </w:rPr>
          <w:t>Table 11: Student mean ratings (+/- SD) of enjoyment, confidence, familiarity and preparation for university, as well as satisfaction with the in-school enabling programs on a 11-point Likert scale.</w:t>
        </w:r>
        <w:r>
          <w:rPr>
            <w:noProof/>
            <w:webHidden/>
          </w:rPr>
          <w:tab/>
        </w:r>
        <w:r>
          <w:rPr>
            <w:noProof/>
            <w:webHidden/>
          </w:rPr>
          <w:fldChar w:fldCharType="begin"/>
        </w:r>
        <w:r>
          <w:rPr>
            <w:noProof/>
            <w:webHidden/>
          </w:rPr>
          <w:instrText xml:space="preserve"> PAGEREF _Toc232575180 \h </w:instrText>
        </w:r>
        <w:r>
          <w:rPr>
            <w:noProof/>
            <w:webHidden/>
          </w:rPr>
        </w:r>
        <w:r>
          <w:rPr>
            <w:noProof/>
            <w:webHidden/>
          </w:rPr>
          <w:fldChar w:fldCharType="separate"/>
        </w:r>
        <w:r>
          <w:rPr>
            <w:noProof/>
            <w:webHidden/>
          </w:rPr>
          <w:t>37</w:t>
        </w:r>
        <w:r>
          <w:rPr>
            <w:noProof/>
            <w:webHidden/>
          </w:rPr>
          <w:fldChar w:fldCharType="end"/>
        </w:r>
      </w:hyperlink>
    </w:p>
    <w:p w14:paraId="7FB1DA14" w14:textId="1ACD0087"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81" w:history="1">
        <w:r w:rsidRPr="007A7930">
          <w:rPr>
            <w:rStyle w:val="Hyperlink"/>
            <w:noProof/>
          </w:rPr>
          <w:t>Table 12: Student mean ratings (+/- SD) of how well the in-school enabling programs developed their skills^.</w:t>
        </w:r>
        <w:r>
          <w:rPr>
            <w:noProof/>
            <w:webHidden/>
          </w:rPr>
          <w:tab/>
        </w:r>
        <w:r>
          <w:rPr>
            <w:noProof/>
            <w:webHidden/>
          </w:rPr>
          <w:fldChar w:fldCharType="begin"/>
        </w:r>
        <w:r>
          <w:rPr>
            <w:noProof/>
            <w:webHidden/>
          </w:rPr>
          <w:instrText xml:space="preserve"> PAGEREF _Toc232575181 \h </w:instrText>
        </w:r>
        <w:r>
          <w:rPr>
            <w:noProof/>
            <w:webHidden/>
          </w:rPr>
        </w:r>
        <w:r>
          <w:rPr>
            <w:noProof/>
            <w:webHidden/>
          </w:rPr>
          <w:fldChar w:fldCharType="separate"/>
        </w:r>
        <w:r>
          <w:rPr>
            <w:noProof/>
            <w:webHidden/>
          </w:rPr>
          <w:t>38</w:t>
        </w:r>
        <w:r>
          <w:rPr>
            <w:noProof/>
            <w:webHidden/>
          </w:rPr>
          <w:fldChar w:fldCharType="end"/>
        </w:r>
      </w:hyperlink>
    </w:p>
    <w:p w14:paraId="65082541" w14:textId="4170C72C"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82" w:history="1">
        <w:r w:rsidRPr="007A7930">
          <w:rPr>
            <w:rStyle w:val="Hyperlink"/>
            <w:noProof/>
          </w:rPr>
          <w:t>Table 13: Mean student satisfaction with the in-school enabling programs^.</w:t>
        </w:r>
        <w:r>
          <w:rPr>
            <w:noProof/>
            <w:webHidden/>
          </w:rPr>
          <w:tab/>
        </w:r>
        <w:r>
          <w:rPr>
            <w:noProof/>
            <w:webHidden/>
          </w:rPr>
          <w:fldChar w:fldCharType="begin"/>
        </w:r>
        <w:r>
          <w:rPr>
            <w:noProof/>
            <w:webHidden/>
          </w:rPr>
          <w:instrText xml:space="preserve"> PAGEREF _Toc232575182 \h </w:instrText>
        </w:r>
        <w:r>
          <w:rPr>
            <w:noProof/>
            <w:webHidden/>
          </w:rPr>
        </w:r>
        <w:r>
          <w:rPr>
            <w:noProof/>
            <w:webHidden/>
          </w:rPr>
          <w:fldChar w:fldCharType="separate"/>
        </w:r>
        <w:r>
          <w:rPr>
            <w:noProof/>
            <w:webHidden/>
          </w:rPr>
          <w:t>39</w:t>
        </w:r>
        <w:r>
          <w:rPr>
            <w:noProof/>
            <w:webHidden/>
          </w:rPr>
          <w:fldChar w:fldCharType="end"/>
        </w:r>
      </w:hyperlink>
    </w:p>
    <w:p w14:paraId="048A0F5A" w14:textId="720F3599"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83" w:history="1">
        <w:r w:rsidRPr="007A7930">
          <w:rPr>
            <w:rStyle w:val="Hyperlink"/>
            <w:noProof/>
          </w:rPr>
          <w:t>Table 14: Respondents’ mean total scores of resilience, mental wellbeing, and belonging*.</w:t>
        </w:r>
        <w:r>
          <w:rPr>
            <w:noProof/>
            <w:webHidden/>
          </w:rPr>
          <w:tab/>
        </w:r>
        <w:r>
          <w:rPr>
            <w:noProof/>
            <w:webHidden/>
          </w:rPr>
          <w:fldChar w:fldCharType="begin"/>
        </w:r>
        <w:r>
          <w:rPr>
            <w:noProof/>
            <w:webHidden/>
          </w:rPr>
          <w:instrText xml:space="preserve"> PAGEREF _Toc232575183 \h </w:instrText>
        </w:r>
        <w:r>
          <w:rPr>
            <w:noProof/>
            <w:webHidden/>
          </w:rPr>
        </w:r>
        <w:r>
          <w:rPr>
            <w:noProof/>
            <w:webHidden/>
          </w:rPr>
          <w:fldChar w:fldCharType="separate"/>
        </w:r>
        <w:r>
          <w:rPr>
            <w:noProof/>
            <w:webHidden/>
          </w:rPr>
          <w:t>40</w:t>
        </w:r>
        <w:r>
          <w:rPr>
            <w:noProof/>
            <w:webHidden/>
          </w:rPr>
          <w:fldChar w:fldCharType="end"/>
        </w:r>
      </w:hyperlink>
    </w:p>
    <w:p w14:paraId="583CD476" w14:textId="77777777" w:rsidR="002A72DA" w:rsidRDefault="00E61CC7" w:rsidP="000B465F">
      <w:pPr>
        <w:rPr>
          <w:color w:val="351C26" w:themeColor="text1"/>
        </w:rPr>
      </w:pPr>
      <w:r w:rsidRPr="004F3D64">
        <w:rPr>
          <w:color w:val="351C26" w:themeColor="text1"/>
        </w:rPr>
        <w:fldChar w:fldCharType="end"/>
      </w:r>
      <w:bookmarkStart w:id="12" w:name="_Toc217162469"/>
    </w:p>
    <w:p w14:paraId="58851B22" w14:textId="77777777" w:rsidR="002A72DA" w:rsidRDefault="002A72DA" w:rsidP="000B465F">
      <w:pPr>
        <w:rPr>
          <w:color w:val="351C26" w:themeColor="text1"/>
        </w:rPr>
      </w:pPr>
    </w:p>
    <w:p w14:paraId="3F8D3356" w14:textId="30AF84C4" w:rsidR="009D6D47" w:rsidRPr="000B465F" w:rsidRDefault="009D6D47" w:rsidP="000B465F">
      <w:pPr>
        <w:rPr>
          <w:color w:val="7B4158" w:themeColor="text2" w:themeTint="BF"/>
          <w:sz w:val="40"/>
          <w:szCs w:val="40"/>
        </w:rPr>
      </w:pPr>
      <w:r w:rsidRPr="000B465F">
        <w:rPr>
          <w:color w:val="7B4158" w:themeColor="text2" w:themeTint="BF"/>
          <w:sz w:val="40"/>
          <w:szCs w:val="40"/>
        </w:rPr>
        <w:lastRenderedPageBreak/>
        <w:t xml:space="preserve">List of </w:t>
      </w:r>
      <w:r w:rsidR="001F7DA6" w:rsidRPr="000B465F">
        <w:rPr>
          <w:color w:val="7B4158" w:themeColor="text2" w:themeTint="BF"/>
          <w:sz w:val="40"/>
          <w:szCs w:val="40"/>
        </w:rPr>
        <w:t>f</w:t>
      </w:r>
      <w:r w:rsidRPr="000B465F">
        <w:rPr>
          <w:color w:val="7B4158" w:themeColor="text2" w:themeTint="BF"/>
          <w:sz w:val="40"/>
          <w:szCs w:val="40"/>
        </w:rPr>
        <w:t>igures</w:t>
      </w:r>
      <w:bookmarkEnd w:id="12"/>
    </w:p>
    <w:p w14:paraId="647451C9" w14:textId="2D0125FF" w:rsidR="00B144D6" w:rsidRDefault="003E354D" w:rsidP="000B465F">
      <w:pPr>
        <w:pStyle w:val="TOC1"/>
        <w:tabs>
          <w:tab w:val="right" w:leader="dot" w:pos="9016"/>
        </w:tabs>
        <w:spacing w:before="240"/>
        <w:rPr>
          <w:rFonts w:asciiTheme="minorHAnsi" w:eastAsiaTheme="minorEastAsia" w:hAnsiTheme="minorHAnsi" w:cstheme="minorBidi"/>
          <w:noProof/>
          <w:kern w:val="2"/>
          <w:sz w:val="24"/>
          <w:lang w:eastAsia="en-AU"/>
          <w14:ligatures w14:val="standardContextual"/>
        </w:rPr>
      </w:pPr>
      <w:r w:rsidRPr="004F3D64">
        <w:rPr>
          <w:rFonts w:eastAsia="Arial"/>
          <w:color w:val="351C26" w:themeColor="text1"/>
        </w:rPr>
        <w:fldChar w:fldCharType="begin"/>
      </w:r>
      <w:r w:rsidRPr="004F3D64">
        <w:rPr>
          <w:rFonts w:eastAsia="Arial"/>
          <w:color w:val="351C26" w:themeColor="text1"/>
        </w:rPr>
        <w:instrText xml:space="preserve"> TOC \h \z \t "Figure heading,1" </w:instrText>
      </w:r>
      <w:r w:rsidRPr="004F3D64">
        <w:rPr>
          <w:rFonts w:eastAsia="Arial"/>
          <w:color w:val="351C26" w:themeColor="text1"/>
        </w:rPr>
        <w:fldChar w:fldCharType="separate"/>
      </w:r>
      <w:hyperlink w:anchor="_Toc232575184" w:history="1">
        <w:r w:rsidR="00B144D6" w:rsidRPr="006E02B0">
          <w:rPr>
            <w:rStyle w:val="Hyperlink"/>
            <w:noProof/>
          </w:rPr>
          <w:t>Figure 1: Typology of in-school enabling program models</w:t>
        </w:r>
        <w:r w:rsidR="00B144D6">
          <w:rPr>
            <w:noProof/>
            <w:webHidden/>
          </w:rPr>
          <w:tab/>
        </w:r>
        <w:r w:rsidR="00B144D6">
          <w:rPr>
            <w:noProof/>
            <w:webHidden/>
          </w:rPr>
          <w:fldChar w:fldCharType="begin"/>
        </w:r>
        <w:r w:rsidR="00B144D6">
          <w:rPr>
            <w:noProof/>
            <w:webHidden/>
          </w:rPr>
          <w:instrText xml:space="preserve"> PAGEREF _Toc232575184 \h </w:instrText>
        </w:r>
        <w:r w:rsidR="00B144D6">
          <w:rPr>
            <w:noProof/>
            <w:webHidden/>
          </w:rPr>
        </w:r>
        <w:r w:rsidR="00B144D6">
          <w:rPr>
            <w:noProof/>
            <w:webHidden/>
          </w:rPr>
          <w:fldChar w:fldCharType="separate"/>
        </w:r>
        <w:r w:rsidR="00B144D6">
          <w:rPr>
            <w:noProof/>
            <w:webHidden/>
          </w:rPr>
          <w:t>25</w:t>
        </w:r>
        <w:r w:rsidR="00B144D6">
          <w:rPr>
            <w:noProof/>
            <w:webHidden/>
          </w:rPr>
          <w:fldChar w:fldCharType="end"/>
        </w:r>
      </w:hyperlink>
    </w:p>
    <w:p w14:paraId="5D727119" w14:textId="598AFF45"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85" w:history="1">
        <w:r w:rsidRPr="006E02B0">
          <w:rPr>
            <w:rStyle w:val="Hyperlink"/>
            <w:rFonts w:eastAsia="Inter Light"/>
            <w:noProof/>
          </w:rPr>
          <w:t>Figure 2: The proportion of students enrolled in the in-school enabling program between 2021–2023 that belonged to (A) none, one, or two or more equity groups and (B) who were identified as residing in low SES or regional/remote postcodes.</w:t>
        </w:r>
        <w:r>
          <w:rPr>
            <w:noProof/>
            <w:webHidden/>
          </w:rPr>
          <w:tab/>
        </w:r>
        <w:r>
          <w:rPr>
            <w:noProof/>
            <w:webHidden/>
          </w:rPr>
          <w:fldChar w:fldCharType="begin"/>
        </w:r>
        <w:r>
          <w:rPr>
            <w:noProof/>
            <w:webHidden/>
          </w:rPr>
          <w:instrText xml:space="preserve"> PAGEREF _Toc232575185 \h </w:instrText>
        </w:r>
        <w:r>
          <w:rPr>
            <w:noProof/>
            <w:webHidden/>
          </w:rPr>
        </w:r>
        <w:r>
          <w:rPr>
            <w:noProof/>
            <w:webHidden/>
          </w:rPr>
          <w:fldChar w:fldCharType="separate"/>
        </w:r>
        <w:r>
          <w:rPr>
            <w:noProof/>
            <w:webHidden/>
          </w:rPr>
          <w:t>26</w:t>
        </w:r>
        <w:r>
          <w:rPr>
            <w:noProof/>
            <w:webHidden/>
          </w:rPr>
          <w:fldChar w:fldCharType="end"/>
        </w:r>
      </w:hyperlink>
    </w:p>
    <w:p w14:paraId="0A69A733" w14:textId="10580602"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86" w:history="1">
        <w:r w:rsidRPr="006E02B0">
          <w:rPr>
            <w:rStyle w:val="Hyperlink"/>
            <w:rFonts w:eastAsia="Inter Light"/>
            <w:noProof/>
          </w:rPr>
          <w:t>Figure 3: Undergraduate student equity status by basis of admission/pathway at (A) ECU, (B) UniSQ, (C) MU, and (D) SCU.</w:t>
        </w:r>
        <w:r>
          <w:rPr>
            <w:noProof/>
            <w:webHidden/>
          </w:rPr>
          <w:tab/>
        </w:r>
        <w:r>
          <w:rPr>
            <w:noProof/>
            <w:webHidden/>
          </w:rPr>
          <w:fldChar w:fldCharType="begin"/>
        </w:r>
        <w:r>
          <w:rPr>
            <w:noProof/>
            <w:webHidden/>
          </w:rPr>
          <w:instrText xml:space="preserve"> PAGEREF _Toc232575186 \h </w:instrText>
        </w:r>
        <w:r>
          <w:rPr>
            <w:noProof/>
            <w:webHidden/>
          </w:rPr>
        </w:r>
        <w:r>
          <w:rPr>
            <w:noProof/>
            <w:webHidden/>
          </w:rPr>
          <w:fldChar w:fldCharType="separate"/>
        </w:r>
        <w:r>
          <w:rPr>
            <w:noProof/>
            <w:webHidden/>
          </w:rPr>
          <w:t>29</w:t>
        </w:r>
        <w:r>
          <w:rPr>
            <w:noProof/>
            <w:webHidden/>
          </w:rPr>
          <w:fldChar w:fldCharType="end"/>
        </w:r>
      </w:hyperlink>
    </w:p>
    <w:p w14:paraId="123FFE36" w14:textId="2B43B0F0" w:rsidR="00B144D6" w:rsidRDefault="00B144D6">
      <w:pPr>
        <w:pStyle w:val="TOC1"/>
        <w:tabs>
          <w:tab w:val="right" w:leader="dot" w:pos="9016"/>
        </w:tabs>
        <w:rPr>
          <w:rFonts w:asciiTheme="minorHAnsi" w:eastAsiaTheme="minorEastAsia" w:hAnsiTheme="minorHAnsi" w:cstheme="minorBidi"/>
          <w:noProof/>
          <w:kern w:val="2"/>
          <w:sz w:val="24"/>
          <w:lang w:eastAsia="en-AU"/>
          <w14:ligatures w14:val="standardContextual"/>
        </w:rPr>
      </w:pPr>
      <w:hyperlink w:anchor="_Toc232575187" w:history="1">
        <w:r w:rsidRPr="006E02B0">
          <w:rPr>
            <w:rStyle w:val="Hyperlink"/>
            <w:rFonts w:eastAsia="Inter Light"/>
            <w:noProof/>
          </w:rPr>
          <w:t>Figure 4: Number of equity subgroups that students identified as belonging to (n = 54)</w:t>
        </w:r>
        <w:r>
          <w:rPr>
            <w:noProof/>
            <w:webHidden/>
          </w:rPr>
          <w:tab/>
        </w:r>
        <w:r>
          <w:rPr>
            <w:noProof/>
            <w:webHidden/>
          </w:rPr>
          <w:fldChar w:fldCharType="begin"/>
        </w:r>
        <w:r>
          <w:rPr>
            <w:noProof/>
            <w:webHidden/>
          </w:rPr>
          <w:instrText xml:space="preserve"> PAGEREF _Toc232575187 \h </w:instrText>
        </w:r>
        <w:r>
          <w:rPr>
            <w:noProof/>
            <w:webHidden/>
          </w:rPr>
        </w:r>
        <w:r>
          <w:rPr>
            <w:noProof/>
            <w:webHidden/>
          </w:rPr>
          <w:fldChar w:fldCharType="separate"/>
        </w:r>
        <w:r>
          <w:rPr>
            <w:noProof/>
            <w:webHidden/>
          </w:rPr>
          <w:t>36</w:t>
        </w:r>
        <w:r>
          <w:rPr>
            <w:noProof/>
            <w:webHidden/>
          </w:rPr>
          <w:fldChar w:fldCharType="end"/>
        </w:r>
      </w:hyperlink>
    </w:p>
    <w:p w14:paraId="784BFC2B" w14:textId="3C081750" w:rsidR="009D6D47" w:rsidRPr="004F3D64" w:rsidRDefault="003E354D" w:rsidP="008B7F4F">
      <w:pPr>
        <w:spacing w:after="0"/>
        <w:rPr>
          <w:color w:val="351C26" w:themeColor="text1"/>
        </w:rPr>
      </w:pPr>
      <w:r w:rsidRPr="004F3D64">
        <w:rPr>
          <w:rFonts w:eastAsia="Arial"/>
          <w:color w:val="351C26" w:themeColor="text1"/>
        </w:rPr>
        <w:fldChar w:fldCharType="end"/>
      </w:r>
    </w:p>
    <w:p w14:paraId="1615E793" w14:textId="77777777" w:rsidR="009D6D47" w:rsidRPr="0079608F" w:rsidRDefault="009D6D47" w:rsidP="00A32591">
      <w:pPr>
        <w:sectPr w:rsidR="009D6D47" w:rsidRPr="0079608F" w:rsidSect="00C31AAB">
          <w:pgSz w:w="11906" w:h="16838"/>
          <w:pgMar w:top="1440" w:right="1440" w:bottom="1440" w:left="1440" w:header="708" w:footer="397" w:gutter="0"/>
          <w:pgNumType w:fmt="lowerRoman" w:start="1"/>
          <w:cols w:space="708"/>
          <w:docGrid w:linePitch="360"/>
        </w:sectPr>
      </w:pPr>
    </w:p>
    <w:p w14:paraId="0EA2B3FE" w14:textId="5B4A94F9" w:rsidR="00BE24D3" w:rsidRPr="00BE24D3" w:rsidRDefault="00BE24D3" w:rsidP="00B87BF1">
      <w:pPr>
        <w:pStyle w:val="Heading1-No"/>
      </w:pPr>
      <w:bookmarkStart w:id="13" w:name="_Toc217162470"/>
      <w:bookmarkStart w:id="14" w:name="_Toc232766167"/>
      <w:r w:rsidRPr="00BE24D3">
        <w:lastRenderedPageBreak/>
        <w:t xml:space="preserve">Executive </w:t>
      </w:r>
      <w:r w:rsidR="001F7DA6">
        <w:t>s</w:t>
      </w:r>
      <w:r w:rsidRPr="00BE24D3">
        <w:t>ummary</w:t>
      </w:r>
      <w:bookmarkEnd w:id="13"/>
      <w:bookmarkEnd w:id="14"/>
    </w:p>
    <w:p w14:paraId="6E93091C" w14:textId="46EA6079" w:rsidR="00C97C1F" w:rsidRDefault="2F99BB1F" w:rsidP="00706B33">
      <w:r>
        <w:t xml:space="preserve">This project represents the first national, cross-institutional benchmarking and impact study of </w:t>
      </w:r>
      <w:r w:rsidR="00330203">
        <w:t>i</w:t>
      </w:r>
      <w:r>
        <w:t>n-</w:t>
      </w:r>
      <w:r w:rsidR="00330203">
        <w:t>s</w:t>
      </w:r>
      <w:r>
        <w:t xml:space="preserve">chool </w:t>
      </w:r>
      <w:r w:rsidR="00330203">
        <w:t>e</w:t>
      </w:r>
      <w:r>
        <w:t xml:space="preserve">nabling </w:t>
      </w:r>
      <w:r w:rsidR="00330203">
        <w:t>p</w:t>
      </w:r>
      <w:r>
        <w:t>rograms (ISEPs) in Australia. Designed in response to requests from the secondary schooling sector, these programs are delivered through university</w:t>
      </w:r>
      <w:r w:rsidR="00C11761">
        <w:t>-</w:t>
      </w:r>
      <w:r>
        <w:t xml:space="preserve">school partnerships and provide senior secondary students with a rigorous pathway to higher education. ISEPs are intended for students who aspire to university but lack access to, or do not thrive in, </w:t>
      </w:r>
      <w:r w:rsidR="00B36592" w:rsidRPr="5AF546B2">
        <w:rPr>
          <w:rFonts w:eastAsia="Arial"/>
        </w:rPr>
        <w:t xml:space="preserve">Australian Tertiary Admission Rank </w:t>
      </w:r>
      <w:r w:rsidR="00B36592">
        <w:rPr>
          <w:rFonts w:eastAsia="Arial"/>
        </w:rPr>
        <w:t>(</w:t>
      </w:r>
      <w:r>
        <w:t>ATAR</w:t>
      </w:r>
      <w:r w:rsidR="00B36592">
        <w:t>)</w:t>
      </w:r>
      <w:r>
        <w:t>-based systems. The study was undertaken in alignment to the Australian Universities Accord’s call for expanded, equitable pathways to meet the ambitious target of 55</w:t>
      </w:r>
      <w:r w:rsidR="00EB775B">
        <w:t>%</w:t>
      </w:r>
      <w:r>
        <w:t xml:space="preserve"> bachelor attainment by 2050, and the need for a greater understanding of the efficacy of ISEPs as a pathway into higher education, particularly for students from equity groups.</w:t>
      </w:r>
    </w:p>
    <w:p w14:paraId="4F63E38B" w14:textId="4F1C8FCC" w:rsidR="00C97C1F" w:rsidRDefault="00C97C1F" w:rsidP="00706B33">
      <w:r w:rsidRPr="00C97C1F">
        <w:t>Through collaboration across four universities and their partner high schools, this project examined the models and outcomes of ISEPs across Australia with a focus on impact for equity groups. The universities participating in this project deliver ISEPs in partnership with high schools across three states and various education systems (public</w:t>
      </w:r>
      <w:r w:rsidR="002B13AA">
        <w:t xml:space="preserve"> and</w:t>
      </w:r>
      <w:r w:rsidRPr="00C97C1F">
        <w:t xml:space="preserve"> private)</w:t>
      </w:r>
      <w:r w:rsidR="00120920" w:rsidRPr="00120920">
        <w:t>—</w:t>
      </w:r>
      <w:r w:rsidRPr="00C97C1F">
        <w:t xml:space="preserve">Edith Cowan University </w:t>
      </w:r>
      <w:r w:rsidR="00BE1C59">
        <w:t>with</w:t>
      </w:r>
      <w:r w:rsidRPr="00C97C1F">
        <w:t xml:space="preserve"> </w:t>
      </w:r>
      <w:proofErr w:type="spellStart"/>
      <w:r w:rsidRPr="00C97C1F">
        <w:t>UniPrep</w:t>
      </w:r>
      <w:proofErr w:type="spellEnd"/>
      <w:r w:rsidRPr="00C97C1F">
        <w:t xml:space="preserve"> Schools, Murdoch University with Flexi Track High, Southern Cross University </w:t>
      </w:r>
      <w:r w:rsidR="00BE1C59">
        <w:t>with</w:t>
      </w:r>
      <w:r w:rsidRPr="00C97C1F">
        <w:t xml:space="preserve"> </w:t>
      </w:r>
      <w:proofErr w:type="spellStart"/>
      <w:r w:rsidRPr="00C97C1F">
        <w:t>UniStart</w:t>
      </w:r>
      <w:proofErr w:type="spellEnd"/>
      <w:r w:rsidRPr="00C97C1F">
        <w:t xml:space="preserve"> for Schools</w:t>
      </w:r>
      <w:r w:rsidR="00120920">
        <w:t>,</w:t>
      </w:r>
      <w:r w:rsidRPr="00C97C1F">
        <w:t xml:space="preserve"> and University of Southern Queensland with </w:t>
      </w:r>
      <w:proofErr w:type="spellStart"/>
      <w:r w:rsidRPr="00C97C1F">
        <w:t>UniPrep</w:t>
      </w:r>
      <w:proofErr w:type="spellEnd"/>
      <w:r w:rsidRPr="00C97C1F">
        <w:t xml:space="preserve">. The comparative research project spanned </w:t>
      </w:r>
      <w:r w:rsidR="00826A2E">
        <w:t>94</w:t>
      </w:r>
      <w:r w:rsidRPr="00C97C1F">
        <w:t xml:space="preserve"> high schools across Australia,</w:t>
      </w:r>
      <w:r w:rsidR="00465E4F">
        <w:t xml:space="preserve"> </w:t>
      </w:r>
      <w:r w:rsidR="00120920">
        <w:t xml:space="preserve">with </w:t>
      </w:r>
      <w:r w:rsidR="00465E4F">
        <w:t>stakeholder voice</w:t>
      </w:r>
      <w:r w:rsidR="00120920">
        <w:t>s</w:t>
      </w:r>
      <w:r w:rsidR="00465E4F">
        <w:t xml:space="preserve"> and a</w:t>
      </w:r>
      <w:r w:rsidRPr="00C97C1F">
        <w:t xml:space="preserve"> principal consultation group to provide guidance on </w:t>
      </w:r>
      <w:r w:rsidR="007832A5">
        <w:t>a</w:t>
      </w:r>
      <w:r w:rsidRPr="00C97C1F">
        <w:t xml:space="preserve"> final </w:t>
      </w:r>
      <w:r w:rsidR="001004C7">
        <w:t>output</w:t>
      </w:r>
      <w:r w:rsidR="00CA4F04">
        <w:t xml:space="preserve">: </w:t>
      </w:r>
      <w:r w:rsidR="003A0725" w:rsidRPr="003A0725">
        <w:rPr>
          <w:i/>
          <w:iCs/>
        </w:rPr>
        <w:t>A Practical Guide for Implementation</w:t>
      </w:r>
      <w:r w:rsidR="0067494C">
        <w:t xml:space="preserve"> </w:t>
      </w:r>
      <w:r w:rsidR="0025519D">
        <w:t>(Jones et al., 2026</w:t>
      </w:r>
      <w:r w:rsidR="000841ED">
        <w:t>a</w:t>
      </w:r>
      <w:r w:rsidR="0025519D">
        <w:t xml:space="preserve">) </w:t>
      </w:r>
      <w:r w:rsidR="0067494C">
        <w:t xml:space="preserve">for </w:t>
      </w:r>
      <w:r w:rsidR="00C46FA2">
        <w:t>h</w:t>
      </w:r>
      <w:r w:rsidR="0067494C">
        <w:t xml:space="preserve">igh </w:t>
      </w:r>
      <w:r w:rsidR="00C46FA2">
        <w:t>s</w:t>
      </w:r>
      <w:r w:rsidR="0067494C">
        <w:t xml:space="preserve">chools and </w:t>
      </w:r>
      <w:r w:rsidR="00C46FA2">
        <w:t>u</w:t>
      </w:r>
      <w:r w:rsidR="0067494C">
        <w:t>niversities</w:t>
      </w:r>
      <w:r w:rsidRPr="00C97C1F">
        <w:t>. The project examined curriculum, assessment, and delivery models across four universities, analysed academic outcomes and transition rates to university for ISEP graduates, and explored student and educator perspectives on program efficacy and socio-emotional impact. It also aimed to provide sector-wide guidance for quality assurance and scalability.</w:t>
      </w:r>
    </w:p>
    <w:p w14:paraId="3D850EF2" w14:textId="2C9ACC07" w:rsidR="00706B33" w:rsidRPr="00706B33" w:rsidRDefault="00706B33" w:rsidP="00706B33">
      <w:pPr>
        <w:rPr>
          <w:lang w:eastAsia="en-AU"/>
        </w:rPr>
      </w:pPr>
      <w:r w:rsidRPr="00C97C1F">
        <w:rPr>
          <w:lang w:eastAsia="en-AU"/>
        </w:rPr>
        <w:t>This project was designed using</w:t>
      </w:r>
      <w:r w:rsidR="00C97C1F" w:rsidRPr="00C97C1F">
        <w:rPr>
          <w:lang w:eastAsia="en-AU"/>
        </w:rPr>
        <w:t xml:space="preserve"> </w:t>
      </w:r>
      <w:r w:rsidR="00120920">
        <w:rPr>
          <w:lang w:eastAsia="en-AU"/>
        </w:rPr>
        <w:t xml:space="preserve">a </w:t>
      </w:r>
      <w:r w:rsidRPr="00C97C1F">
        <w:rPr>
          <w:lang w:eastAsia="en-AU"/>
        </w:rPr>
        <w:t>multi-phase approach to gather multiple quantitative and qualitative data sets</w:t>
      </w:r>
      <w:r w:rsidR="00C97C1F" w:rsidRPr="00C97C1F">
        <w:rPr>
          <w:lang w:eastAsia="en-AU"/>
        </w:rPr>
        <w:t xml:space="preserve"> </w:t>
      </w:r>
      <w:r w:rsidRPr="00C97C1F">
        <w:rPr>
          <w:lang w:eastAsia="en-AU"/>
        </w:rPr>
        <w:t>and</w:t>
      </w:r>
      <w:r w:rsidR="00C97C1F" w:rsidRPr="00C97C1F">
        <w:rPr>
          <w:lang w:eastAsia="en-AU"/>
        </w:rPr>
        <w:t xml:space="preserve"> </w:t>
      </w:r>
      <w:r w:rsidRPr="00C97C1F">
        <w:rPr>
          <w:lang w:eastAsia="en-AU"/>
        </w:rPr>
        <w:t>develop</w:t>
      </w:r>
      <w:r w:rsidR="00C97C1F" w:rsidRPr="00C97C1F">
        <w:rPr>
          <w:lang w:eastAsia="en-AU"/>
        </w:rPr>
        <w:t xml:space="preserve"> </w:t>
      </w:r>
      <w:r w:rsidRPr="00C97C1F">
        <w:rPr>
          <w:lang w:eastAsia="en-AU"/>
        </w:rPr>
        <w:t xml:space="preserve">a 360-degree understanding of program efficacy, from </w:t>
      </w:r>
      <w:r w:rsidR="0002497F">
        <w:rPr>
          <w:lang w:eastAsia="en-AU"/>
        </w:rPr>
        <w:t>program</w:t>
      </w:r>
      <w:r w:rsidRPr="00C97C1F">
        <w:rPr>
          <w:lang w:eastAsia="en-AU"/>
        </w:rPr>
        <w:t xml:space="preserve"> structure through to transition into undergraduate study.</w:t>
      </w:r>
      <w:r w:rsidR="00C97C1F" w:rsidRPr="00C97C1F">
        <w:rPr>
          <w:lang w:eastAsia="en-AU"/>
        </w:rPr>
        <w:t xml:space="preserve"> </w:t>
      </w:r>
      <w:r w:rsidR="000F493B" w:rsidRPr="00C97C1F">
        <w:rPr>
          <w:lang w:eastAsia="en-AU"/>
        </w:rPr>
        <w:t>T</w:t>
      </w:r>
      <w:r w:rsidRPr="00C97C1F">
        <w:rPr>
          <w:lang w:eastAsia="en-AU"/>
        </w:rPr>
        <w:t>he</w:t>
      </w:r>
      <w:r w:rsidR="00C97C1F" w:rsidRPr="00C97C1F">
        <w:rPr>
          <w:lang w:eastAsia="en-AU"/>
        </w:rPr>
        <w:t xml:space="preserve"> </w:t>
      </w:r>
      <w:r w:rsidRPr="00C97C1F">
        <w:rPr>
          <w:lang w:eastAsia="en-AU"/>
        </w:rPr>
        <w:t>four phases</w:t>
      </w:r>
      <w:r w:rsidR="00C97C1F" w:rsidRPr="00C97C1F">
        <w:rPr>
          <w:lang w:eastAsia="en-AU"/>
        </w:rPr>
        <w:t xml:space="preserve"> </w:t>
      </w:r>
      <w:r w:rsidRPr="00C97C1F">
        <w:rPr>
          <w:lang w:eastAsia="en-AU"/>
        </w:rPr>
        <w:t>of the project</w:t>
      </w:r>
      <w:r w:rsidR="00C97C1F" w:rsidRPr="00C97C1F">
        <w:rPr>
          <w:lang w:eastAsia="en-AU"/>
        </w:rPr>
        <w:t xml:space="preserve"> </w:t>
      </w:r>
      <w:r w:rsidRPr="00C97C1F">
        <w:rPr>
          <w:lang w:eastAsia="en-AU"/>
        </w:rPr>
        <w:t>are</w:t>
      </w:r>
      <w:r w:rsidR="00C97C1F" w:rsidRPr="00C97C1F">
        <w:rPr>
          <w:lang w:eastAsia="en-AU"/>
        </w:rPr>
        <w:t xml:space="preserve"> </w:t>
      </w:r>
      <w:r w:rsidRPr="00C97C1F">
        <w:rPr>
          <w:lang w:eastAsia="en-AU"/>
        </w:rPr>
        <w:t>outlined in</w:t>
      </w:r>
      <w:r w:rsidR="00C97C1F" w:rsidRPr="00C97C1F">
        <w:rPr>
          <w:lang w:eastAsia="en-AU"/>
        </w:rPr>
        <w:t xml:space="preserve"> </w:t>
      </w:r>
      <w:r w:rsidRPr="00C97C1F">
        <w:rPr>
          <w:lang w:eastAsia="en-AU"/>
        </w:rPr>
        <w:t>Table</w:t>
      </w:r>
      <w:r w:rsidR="00C97C1F" w:rsidRPr="00C97C1F">
        <w:rPr>
          <w:lang w:eastAsia="en-AU"/>
        </w:rPr>
        <w:t xml:space="preserve"> </w:t>
      </w:r>
      <w:r w:rsidRPr="00C97C1F">
        <w:rPr>
          <w:lang w:eastAsia="en-AU"/>
        </w:rPr>
        <w:t>1 below.</w:t>
      </w:r>
      <w:r w:rsidR="00F22B1F">
        <w:rPr>
          <w:lang w:eastAsia="en-AU"/>
        </w:rPr>
        <w:t xml:space="preserve"> </w:t>
      </w:r>
    </w:p>
    <w:p w14:paraId="349B3900" w14:textId="44625757" w:rsidR="00706B33" w:rsidRPr="00D96F7A" w:rsidRDefault="00706B33" w:rsidP="00383CEA">
      <w:pPr>
        <w:pStyle w:val="TOCHeading"/>
        <w:rPr>
          <w:lang w:eastAsia="en-AU"/>
        </w:rPr>
      </w:pPr>
      <w:bookmarkStart w:id="15" w:name="_Toc232575170"/>
      <w:r w:rsidRPr="00D96F7A">
        <w:t>Table</w:t>
      </w:r>
      <w:r w:rsidR="001D6FF2" w:rsidRPr="00D96F7A">
        <w:t xml:space="preserve"> </w:t>
      </w:r>
      <w:r w:rsidRPr="00D96F7A">
        <w:t>1</w:t>
      </w:r>
      <w:r w:rsidR="005B355C">
        <w:t>:</w:t>
      </w:r>
      <w:r w:rsidR="001D6FF2" w:rsidRPr="00D96F7A">
        <w:t xml:space="preserve"> </w:t>
      </w:r>
      <w:r w:rsidRPr="00383CEA">
        <w:t>Project</w:t>
      </w:r>
      <w:r w:rsidRPr="00D96F7A">
        <w:t xml:space="preserve"> </w:t>
      </w:r>
      <w:r w:rsidR="00F10E6E" w:rsidRPr="00D96F7A">
        <w:t>d</w:t>
      </w:r>
      <w:r w:rsidRPr="00D96F7A">
        <w:t>esign</w:t>
      </w:r>
      <w:bookmarkEnd w:id="15"/>
    </w:p>
    <w:tbl>
      <w:tblPr>
        <w:tblW w:w="0" w:type="dxa"/>
        <w:tblBorders>
          <w:top w:val="outset" w:sz="6" w:space="0" w:color="auto"/>
          <w:left w:val="outset" w:sz="6" w:space="0" w:color="auto"/>
          <w:bottom w:val="outset" w:sz="6" w:space="0" w:color="auto"/>
          <w:right w:val="outset" w:sz="6" w:space="0" w:color="auto"/>
        </w:tblBorders>
        <w:tblCellMar>
          <w:top w:w="68" w:type="dxa"/>
          <w:left w:w="68" w:type="dxa"/>
          <w:bottom w:w="68" w:type="dxa"/>
          <w:right w:w="68" w:type="dxa"/>
        </w:tblCellMar>
        <w:tblLook w:val="04A0" w:firstRow="1" w:lastRow="0" w:firstColumn="1" w:lastColumn="0" w:noHBand="0" w:noVBand="1"/>
      </w:tblPr>
      <w:tblGrid>
        <w:gridCol w:w="1575"/>
        <w:gridCol w:w="7425"/>
      </w:tblGrid>
      <w:tr w:rsidR="00706B33" w:rsidRPr="00706B33" w14:paraId="3894F490" w14:textId="77777777" w:rsidTr="00EB775B">
        <w:trPr>
          <w:trHeight w:val="327"/>
          <w:tblHeader/>
        </w:trPr>
        <w:tc>
          <w:tcPr>
            <w:tcW w:w="1575" w:type="dxa"/>
            <w:tcBorders>
              <w:top w:val="single" w:sz="6" w:space="0" w:color="auto"/>
              <w:left w:val="single" w:sz="6" w:space="0" w:color="auto"/>
              <w:bottom w:val="single" w:sz="6" w:space="0" w:color="auto"/>
              <w:right w:val="single" w:sz="6" w:space="0" w:color="auto"/>
            </w:tcBorders>
            <w:shd w:val="clear" w:color="auto" w:fill="78DED9" w:themeFill="accent1"/>
            <w:hideMark/>
          </w:tcPr>
          <w:p w14:paraId="41E67BBC" w14:textId="20F20255" w:rsidR="00706B33" w:rsidRPr="00706B33" w:rsidRDefault="00706B33" w:rsidP="00EB775B">
            <w:pPr>
              <w:spacing w:after="0"/>
              <w:rPr>
                <w:b/>
                <w:bCs/>
                <w:lang w:eastAsia="en-AU"/>
              </w:rPr>
            </w:pPr>
            <w:r w:rsidRPr="658F4599">
              <w:rPr>
                <w:b/>
              </w:rPr>
              <w:t>Phases</w:t>
            </w:r>
          </w:p>
        </w:tc>
        <w:tc>
          <w:tcPr>
            <w:tcW w:w="7425" w:type="dxa"/>
            <w:tcBorders>
              <w:top w:val="single" w:sz="6" w:space="0" w:color="auto"/>
              <w:left w:val="single" w:sz="6" w:space="0" w:color="auto"/>
              <w:bottom w:val="single" w:sz="6" w:space="0" w:color="auto"/>
              <w:right w:val="single" w:sz="6" w:space="0" w:color="auto"/>
            </w:tcBorders>
            <w:shd w:val="clear" w:color="auto" w:fill="78DED9" w:themeFill="accent1"/>
            <w:hideMark/>
          </w:tcPr>
          <w:p w14:paraId="4225A0C1" w14:textId="7F50452D" w:rsidR="00706B33" w:rsidRPr="00706B33" w:rsidRDefault="00706B33" w:rsidP="00EB775B">
            <w:pPr>
              <w:spacing w:after="0"/>
              <w:rPr>
                <w:b/>
                <w:bCs/>
                <w:lang w:eastAsia="en-AU"/>
              </w:rPr>
            </w:pPr>
            <w:r w:rsidRPr="658F4599">
              <w:rPr>
                <w:b/>
              </w:rPr>
              <w:t>Focus</w:t>
            </w:r>
          </w:p>
        </w:tc>
      </w:tr>
      <w:tr w:rsidR="00706B33" w:rsidRPr="00706B33" w14:paraId="3FF970E8" w14:textId="77777777" w:rsidTr="00D73C35">
        <w:trPr>
          <w:trHeight w:val="300"/>
        </w:trPr>
        <w:tc>
          <w:tcPr>
            <w:tcW w:w="1575" w:type="dxa"/>
            <w:tcBorders>
              <w:top w:val="single" w:sz="6" w:space="0" w:color="auto"/>
              <w:left w:val="single" w:sz="6" w:space="0" w:color="auto"/>
              <w:bottom w:val="single" w:sz="6" w:space="0" w:color="auto"/>
              <w:right w:val="single" w:sz="6" w:space="0" w:color="auto"/>
            </w:tcBorders>
            <w:hideMark/>
          </w:tcPr>
          <w:p w14:paraId="45771A18" w14:textId="6AF9FCD6" w:rsidR="00706B33" w:rsidRPr="00706B33" w:rsidRDefault="00706B33" w:rsidP="00EB775B">
            <w:pPr>
              <w:pStyle w:val="TableParagraph"/>
              <w:spacing w:after="0"/>
              <w:rPr>
                <w:lang w:eastAsia="en-AU"/>
              </w:rPr>
            </w:pPr>
            <w:r>
              <w:t xml:space="preserve">Phase </w:t>
            </w:r>
            <w:r w:rsidR="00D352BE">
              <w:t>one</w:t>
            </w:r>
          </w:p>
        </w:tc>
        <w:tc>
          <w:tcPr>
            <w:tcW w:w="7425" w:type="dxa"/>
            <w:tcBorders>
              <w:top w:val="single" w:sz="6" w:space="0" w:color="auto"/>
              <w:left w:val="single" w:sz="6" w:space="0" w:color="auto"/>
              <w:bottom w:val="single" w:sz="6" w:space="0" w:color="auto"/>
              <w:right w:val="single" w:sz="6" w:space="0" w:color="auto"/>
            </w:tcBorders>
            <w:hideMark/>
          </w:tcPr>
          <w:p w14:paraId="0530E623" w14:textId="19E6A625" w:rsidR="00706B33" w:rsidRPr="00D73C35" w:rsidRDefault="00706B33" w:rsidP="00EB775B">
            <w:pPr>
              <w:pStyle w:val="TableParagraph"/>
              <w:spacing w:after="0"/>
            </w:pPr>
            <w:r>
              <w:t>Benchmarking</w:t>
            </w:r>
            <w:r w:rsidR="00225A1A" w:rsidRPr="00D73C35">
              <w:t xml:space="preserve"> </w:t>
            </w:r>
            <w:r>
              <w:t>ISEPs</w:t>
            </w:r>
            <w:r w:rsidR="00225A1A" w:rsidRPr="00D73C35">
              <w:t xml:space="preserve"> </w:t>
            </w:r>
            <w:r>
              <w:t>to understand partnership models across the sector, as well as curriculum design,</w:t>
            </w:r>
            <w:r w:rsidR="00225A1A" w:rsidRPr="00D73C35">
              <w:t xml:space="preserve"> </w:t>
            </w:r>
            <w:r>
              <w:t>delivery</w:t>
            </w:r>
            <w:r w:rsidR="00F10E6E">
              <w:t>,</w:t>
            </w:r>
            <w:r w:rsidR="00225A1A" w:rsidRPr="00D73C35">
              <w:t xml:space="preserve"> </w:t>
            </w:r>
            <w:r>
              <w:t>and assessment.</w:t>
            </w:r>
          </w:p>
        </w:tc>
      </w:tr>
      <w:tr w:rsidR="00706B33" w:rsidRPr="00706B33" w14:paraId="55C61B31" w14:textId="77777777" w:rsidTr="00D73C35">
        <w:trPr>
          <w:trHeight w:val="300"/>
        </w:trPr>
        <w:tc>
          <w:tcPr>
            <w:tcW w:w="1575" w:type="dxa"/>
            <w:tcBorders>
              <w:top w:val="single" w:sz="6" w:space="0" w:color="auto"/>
              <w:left w:val="single" w:sz="6" w:space="0" w:color="auto"/>
              <w:bottom w:val="single" w:sz="6" w:space="0" w:color="auto"/>
              <w:right w:val="single" w:sz="6" w:space="0" w:color="auto"/>
            </w:tcBorders>
            <w:hideMark/>
          </w:tcPr>
          <w:p w14:paraId="5F6D43DA" w14:textId="2A00203B" w:rsidR="00706B33" w:rsidRPr="00706B33" w:rsidRDefault="00706B33" w:rsidP="00EB775B">
            <w:pPr>
              <w:pStyle w:val="TableParagraph"/>
              <w:spacing w:after="0"/>
              <w:rPr>
                <w:lang w:eastAsia="en-AU"/>
              </w:rPr>
            </w:pPr>
            <w:r>
              <w:t xml:space="preserve">Phase </w:t>
            </w:r>
            <w:r w:rsidR="00D352BE">
              <w:t>two</w:t>
            </w:r>
          </w:p>
        </w:tc>
        <w:tc>
          <w:tcPr>
            <w:tcW w:w="7425" w:type="dxa"/>
            <w:tcBorders>
              <w:top w:val="single" w:sz="6" w:space="0" w:color="auto"/>
              <w:left w:val="single" w:sz="6" w:space="0" w:color="auto"/>
              <w:bottom w:val="single" w:sz="6" w:space="0" w:color="auto"/>
              <w:right w:val="single" w:sz="6" w:space="0" w:color="auto"/>
            </w:tcBorders>
            <w:hideMark/>
          </w:tcPr>
          <w:p w14:paraId="7DD0FEA6" w14:textId="2E69952D" w:rsidR="00706B33" w:rsidRPr="00706B33" w:rsidRDefault="00706B33" w:rsidP="00EB775B">
            <w:pPr>
              <w:pStyle w:val="TableParagraph"/>
              <w:spacing w:after="0"/>
              <w:rPr>
                <w:lang w:eastAsia="en-AU"/>
              </w:rPr>
            </w:pPr>
            <w:r>
              <w:t>Collection and analysis</w:t>
            </w:r>
            <w:r w:rsidR="00225A1A" w:rsidRPr="00225A1A">
              <w:rPr>
                <w:lang w:eastAsia="en-AU"/>
              </w:rPr>
              <w:t xml:space="preserve"> </w:t>
            </w:r>
            <w:r>
              <w:t>of</w:t>
            </w:r>
            <w:r w:rsidR="00225A1A" w:rsidRPr="00225A1A">
              <w:rPr>
                <w:lang w:eastAsia="en-AU"/>
              </w:rPr>
              <w:t xml:space="preserve"> </w:t>
            </w:r>
            <w:r>
              <w:t>university transition (retention,</w:t>
            </w:r>
            <w:r w:rsidR="00225A1A" w:rsidRPr="00225A1A">
              <w:rPr>
                <w:lang w:eastAsia="en-AU"/>
              </w:rPr>
              <w:t xml:space="preserve"> </w:t>
            </w:r>
            <w:r>
              <w:t>conversion</w:t>
            </w:r>
            <w:r w:rsidR="00F10E6E">
              <w:t>,</w:t>
            </w:r>
            <w:r w:rsidR="00225A1A" w:rsidRPr="00225A1A">
              <w:rPr>
                <w:lang w:eastAsia="en-AU"/>
              </w:rPr>
              <w:t xml:space="preserve"> </w:t>
            </w:r>
            <w:r>
              <w:t>and success)</w:t>
            </w:r>
            <w:r w:rsidR="00225A1A" w:rsidRPr="00225A1A">
              <w:rPr>
                <w:lang w:eastAsia="en-AU"/>
              </w:rPr>
              <w:t xml:space="preserve"> </w:t>
            </w:r>
            <w:r>
              <w:t xml:space="preserve">data from 2021 to 2023, to compare </w:t>
            </w:r>
            <w:r w:rsidRPr="00E450A6">
              <w:t>and understand the efficacy</w:t>
            </w:r>
            <w:r w:rsidR="00225A1A" w:rsidRPr="00225A1A">
              <w:rPr>
                <w:lang w:eastAsia="en-AU"/>
              </w:rPr>
              <w:t xml:space="preserve"> </w:t>
            </w:r>
            <w:r w:rsidRPr="00E450A6">
              <w:t>of different</w:t>
            </w:r>
            <w:r w:rsidR="00225A1A" w:rsidRPr="00225A1A">
              <w:rPr>
                <w:lang w:eastAsia="en-AU"/>
              </w:rPr>
              <w:t xml:space="preserve"> </w:t>
            </w:r>
            <w:r w:rsidRPr="00E450A6">
              <w:t>program</w:t>
            </w:r>
            <w:r w:rsidR="00225A1A" w:rsidRPr="00225A1A">
              <w:rPr>
                <w:lang w:eastAsia="en-AU"/>
              </w:rPr>
              <w:t xml:space="preserve"> </w:t>
            </w:r>
            <w:r w:rsidRPr="00E450A6">
              <w:t>models.</w:t>
            </w:r>
          </w:p>
        </w:tc>
      </w:tr>
      <w:tr w:rsidR="00706B33" w:rsidRPr="00706B33" w14:paraId="34443D86" w14:textId="77777777" w:rsidTr="00D73C35">
        <w:trPr>
          <w:trHeight w:val="300"/>
        </w:trPr>
        <w:tc>
          <w:tcPr>
            <w:tcW w:w="1575" w:type="dxa"/>
            <w:tcBorders>
              <w:top w:val="single" w:sz="6" w:space="0" w:color="auto"/>
              <w:left w:val="single" w:sz="6" w:space="0" w:color="auto"/>
              <w:bottom w:val="single" w:sz="6" w:space="0" w:color="auto"/>
              <w:right w:val="single" w:sz="6" w:space="0" w:color="auto"/>
            </w:tcBorders>
            <w:hideMark/>
          </w:tcPr>
          <w:p w14:paraId="2C0E0E6E" w14:textId="697C1ABF" w:rsidR="00706B33" w:rsidRPr="00706B33" w:rsidRDefault="00706B33" w:rsidP="00EB775B">
            <w:pPr>
              <w:pStyle w:val="TableParagraph"/>
              <w:spacing w:after="0"/>
              <w:rPr>
                <w:lang w:eastAsia="en-AU"/>
              </w:rPr>
            </w:pPr>
            <w:r>
              <w:t>Phase</w:t>
            </w:r>
            <w:r w:rsidR="00D352BE">
              <w:t xml:space="preserve"> three</w:t>
            </w:r>
          </w:p>
        </w:tc>
        <w:tc>
          <w:tcPr>
            <w:tcW w:w="7425" w:type="dxa"/>
            <w:tcBorders>
              <w:top w:val="single" w:sz="6" w:space="0" w:color="auto"/>
              <w:left w:val="single" w:sz="6" w:space="0" w:color="auto"/>
              <w:bottom w:val="single" w:sz="6" w:space="0" w:color="auto"/>
              <w:right w:val="single" w:sz="6" w:space="0" w:color="auto"/>
            </w:tcBorders>
            <w:hideMark/>
          </w:tcPr>
          <w:p w14:paraId="324C4D75" w14:textId="27C4F4C7" w:rsidR="00706B33" w:rsidRPr="00706B33" w:rsidRDefault="00706B33" w:rsidP="00EB775B">
            <w:pPr>
              <w:pStyle w:val="TableParagraph"/>
              <w:spacing w:after="0"/>
              <w:rPr>
                <w:lang w:eastAsia="en-AU"/>
              </w:rPr>
            </w:pPr>
            <w:r>
              <w:t>Collection of stakeholder voices,</w:t>
            </w:r>
            <w:r w:rsidR="00A50CA5" w:rsidRPr="00A50CA5">
              <w:rPr>
                <w:lang w:eastAsia="en-AU"/>
              </w:rPr>
              <w:t xml:space="preserve"> </w:t>
            </w:r>
            <w:r>
              <w:t>including</w:t>
            </w:r>
            <w:r w:rsidR="00A50CA5" w:rsidRPr="00A50CA5">
              <w:rPr>
                <w:lang w:eastAsia="en-AU"/>
              </w:rPr>
              <w:t xml:space="preserve"> </w:t>
            </w:r>
            <w:r>
              <w:t>student survey</w:t>
            </w:r>
            <w:r w:rsidR="00F10E6E">
              <w:t>,</w:t>
            </w:r>
            <w:r w:rsidR="00A50CA5" w:rsidRPr="00A50CA5">
              <w:rPr>
                <w:lang w:eastAsia="en-AU"/>
              </w:rPr>
              <w:t xml:space="preserve"> </w:t>
            </w:r>
            <w:r>
              <w:t>student interviews</w:t>
            </w:r>
            <w:r w:rsidR="00F10E6E">
              <w:t>,</w:t>
            </w:r>
            <w:r w:rsidR="00A50CA5" w:rsidRPr="00A50CA5">
              <w:rPr>
                <w:lang w:eastAsia="en-AU"/>
              </w:rPr>
              <w:t xml:space="preserve"> </w:t>
            </w:r>
            <w:r>
              <w:t>and educator interviews. Correlational and thematic analysis approaches applied to respective data sets</w:t>
            </w:r>
            <w:r w:rsidR="77AA9361">
              <w:t>.</w:t>
            </w:r>
          </w:p>
        </w:tc>
      </w:tr>
      <w:tr w:rsidR="00706B33" w:rsidRPr="00706B33" w14:paraId="0BC3139F" w14:textId="77777777" w:rsidTr="00D73C35">
        <w:trPr>
          <w:trHeight w:val="300"/>
        </w:trPr>
        <w:tc>
          <w:tcPr>
            <w:tcW w:w="1575" w:type="dxa"/>
            <w:tcBorders>
              <w:top w:val="single" w:sz="6" w:space="0" w:color="auto"/>
              <w:left w:val="single" w:sz="6" w:space="0" w:color="auto"/>
              <w:bottom w:val="single" w:sz="6" w:space="0" w:color="auto"/>
              <w:right w:val="single" w:sz="6" w:space="0" w:color="auto"/>
            </w:tcBorders>
            <w:hideMark/>
          </w:tcPr>
          <w:p w14:paraId="38F9041D" w14:textId="2DDB938C" w:rsidR="00706B33" w:rsidRPr="00706B33" w:rsidRDefault="00706B33" w:rsidP="00EB775B">
            <w:pPr>
              <w:pStyle w:val="TableParagraph"/>
              <w:spacing w:after="0"/>
              <w:rPr>
                <w:lang w:eastAsia="en-AU"/>
              </w:rPr>
            </w:pPr>
            <w:r>
              <w:t xml:space="preserve">Phase </w:t>
            </w:r>
            <w:r w:rsidR="00D352BE">
              <w:t>four</w:t>
            </w:r>
          </w:p>
        </w:tc>
        <w:tc>
          <w:tcPr>
            <w:tcW w:w="7425" w:type="dxa"/>
            <w:tcBorders>
              <w:top w:val="single" w:sz="6" w:space="0" w:color="auto"/>
              <w:left w:val="single" w:sz="6" w:space="0" w:color="auto"/>
              <w:bottom w:val="single" w:sz="6" w:space="0" w:color="auto"/>
              <w:right w:val="single" w:sz="6" w:space="0" w:color="auto"/>
            </w:tcBorders>
            <w:hideMark/>
          </w:tcPr>
          <w:p w14:paraId="441F9C7C" w14:textId="06D8B1E1" w:rsidR="00706B33" w:rsidRPr="00706B33" w:rsidRDefault="00706B33" w:rsidP="00EB775B">
            <w:pPr>
              <w:pStyle w:val="TableParagraph"/>
              <w:spacing w:after="0"/>
              <w:rPr>
                <w:lang w:eastAsia="en-AU"/>
              </w:rPr>
            </w:pPr>
            <w:r>
              <w:t>Synthesis of findings from</w:t>
            </w:r>
            <w:r w:rsidR="00A50CA5" w:rsidRPr="00A50CA5">
              <w:rPr>
                <w:lang w:eastAsia="en-AU"/>
              </w:rPr>
              <w:t xml:space="preserve"> </w:t>
            </w:r>
            <w:r w:rsidR="00F10E6E">
              <w:t>p</w:t>
            </w:r>
            <w:r>
              <w:t xml:space="preserve">hases </w:t>
            </w:r>
            <w:r w:rsidR="00D352BE">
              <w:t>one</w:t>
            </w:r>
            <w:r>
              <w:t xml:space="preserve"> to </w:t>
            </w:r>
            <w:r w:rsidR="00D352BE">
              <w:t>three</w:t>
            </w:r>
            <w:r w:rsidR="00A50CA5" w:rsidRPr="00A50CA5">
              <w:rPr>
                <w:lang w:eastAsia="en-AU"/>
              </w:rPr>
              <w:t xml:space="preserve"> </w:t>
            </w:r>
            <w:r>
              <w:t>to develop a</w:t>
            </w:r>
            <w:r w:rsidR="38E086E7">
              <w:t xml:space="preserve"> </w:t>
            </w:r>
            <w:r>
              <w:t>comprehensive</w:t>
            </w:r>
            <w:r w:rsidR="38E086E7">
              <w:t xml:space="preserve"> </w:t>
            </w:r>
            <w:r>
              <w:t>understanding</w:t>
            </w:r>
            <w:r w:rsidR="38E086E7">
              <w:t xml:space="preserve"> </w:t>
            </w:r>
            <w:r>
              <w:t>of ISEPs</w:t>
            </w:r>
            <w:r w:rsidR="38E086E7">
              <w:t>.</w:t>
            </w:r>
          </w:p>
        </w:tc>
      </w:tr>
    </w:tbl>
    <w:p w14:paraId="4E827A60" w14:textId="2045DAAE" w:rsidR="00B34528" w:rsidRDefault="00170622" w:rsidP="00B34528">
      <w:pPr>
        <w:rPr>
          <w:lang w:eastAsia="en-AU"/>
        </w:rPr>
      </w:pPr>
      <w:r>
        <w:rPr>
          <w:lang w:eastAsia="en-AU"/>
        </w:rPr>
        <w:lastRenderedPageBreak/>
        <w:t>Benchmarking of practice across the universities</w:t>
      </w:r>
      <w:r w:rsidR="00B34528">
        <w:rPr>
          <w:lang w:eastAsia="en-AU"/>
        </w:rPr>
        <w:t xml:space="preserve"> showed </w:t>
      </w:r>
      <w:r w:rsidR="0062576E">
        <w:rPr>
          <w:lang w:eastAsia="en-AU"/>
        </w:rPr>
        <w:t>strong alignment and academic rigour across ISEPs, highlighting shared principles in curriculum, assessment</w:t>
      </w:r>
      <w:r w:rsidR="00F10E6E">
        <w:rPr>
          <w:lang w:eastAsia="en-AU"/>
        </w:rPr>
        <w:t>,</w:t>
      </w:r>
      <w:r w:rsidR="0062576E">
        <w:rPr>
          <w:lang w:eastAsia="en-AU"/>
        </w:rPr>
        <w:t xml:space="preserve"> and moderation practices that ensure a high</w:t>
      </w:r>
      <w:r w:rsidR="00676821">
        <w:rPr>
          <w:lang w:eastAsia="en-AU"/>
        </w:rPr>
        <w:t>-</w:t>
      </w:r>
      <w:r w:rsidR="0062576E">
        <w:rPr>
          <w:lang w:eastAsia="en-AU"/>
        </w:rPr>
        <w:t>quality pathway to university for</w:t>
      </w:r>
      <w:r w:rsidR="00680F1C">
        <w:rPr>
          <w:lang w:eastAsia="en-AU"/>
        </w:rPr>
        <w:t xml:space="preserve"> diver</w:t>
      </w:r>
      <w:r w:rsidR="00467D3B">
        <w:rPr>
          <w:lang w:eastAsia="en-AU"/>
        </w:rPr>
        <w:t xml:space="preserve">se </w:t>
      </w:r>
      <w:r w:rsidR="00E901C5">
        <w:rPr>
          <w:lang w:eastAsia="en-AU"/>
        </w:rPr>
        <w:t xml:space="preserve">contexts and school communities. </w:t>
      </w:r>
      <w:r w:rsidR="00B356F5">
        <w:rPr>
          <w:lang w:eastAsia="en-AU"/>
        </w:rPr>
        <w:t xml:space="preserve">ISEPs are designed to </w:t>
      </w:r>
      <w:r w:rsidR="0069076B">
        <w:rPr>
          <w:lang w:eastAsia="en-AU"/>
        </w:rPr>
        <w:t xml:space="preserve">increase access to university, particularly for students from equity groups. </w:t>
      </w:r>
      <w:r>
        <w:rPr>
          <w:lang w:eastAsia="en-AU"/>
        </w:rPr>
        <w:t xml:space="preserve">Project outcomes showed </w:t>
      </w:r>
      <w:r w:rsidR="00B34528">
        <w:rPr>
          <w:lang w:eastAsia="en-AU"/>
        </w:rPr>
        <w:t>that ISEPs enrolled high proportions of students from equity cohorts, including those from low socio-economic</w:t>
      </w:r>
      <w:r w:rsidR="00C05573">
        <w:rPr>
          <w:lang w:eastAsia="en-AU"/>
        </w:rPr>
        <w:t xml:space="preserve"> status (SES)</w:t>
      </w:r>
      <w:r w:rsidR="00B34528">
        <w:rPr>
          <w:lang w:eastAsia="en-AU"/>
        </w:rPr>
        <w:t xml:space="preserve"> backgrounds, regional and remote areas, and Aboriginal and Torres Strait Islander communities. At some universities, equity representation was as high as 80</w:t>
      </w:r>
      <w:r w:rsidR="00C05573">
        <w:rPr>
          <w:lang w:eastAsia="en-AU"/>
        </w:rPr>
        <w:t>%</w:t>
      </w:r>
      <w:r w:rsidR="00B34528">
        <w:rPr>
          <w:lang w:eastAsia="en-AU"/>
        </w:rPr>
        <w:t xml:space="preserve"> of the cohort. Within the program, students achieved an overall success rate of 87</w:t>
      </w:r>
      <w:r w:rsidR="00C05573">
        <w:rPr>
          <w:lang w:eastAsia="en-AU"/>
        </w:rPr>
        <w:t>%</w:t>
      </w:r>
      <w:r w:rsidR="00B34528">
        <w:rPr>
          <w:lang w:eastAsia="en-AU"/>
        </w:rPr>
        <w:t xml:space="preserve"> and completion rate of 79</w:t>
      </w:r>
      <w:r w:rsidR="00C05573">
        <w:rPr>
          <w:lang w:eastAsia="en-AU"/>
        </w:rPr>
        <w:t>%</w:t>
      </w:r>
      <w:r w:rsidR="00B34528">
        <w:rPr>
          <w:lang w:eastAsia="en-AU"/>
        </w:rPr>
        <w:t xml:space="preserve">, exceeding typical post-school </w:t>
      </w:r>
      <w:r w:rsidR="00C05573">
        <w:rPr>
          <w:lang w:eastAsia="en-AU"/>
        </w:rPr>
        <w:t>e</w:t>
      </w:r>
      <w:r w:rsidR="00B34528">
        <w:rPr>
          <w:lang w:eastAsia="en-AU"/>
        </w:rPr>
        <w:t>nabling program benchmarks.</w:t>
      </w:r>
    </w:p>
    <w:p w14:paraId="7E9D98C0" w14:textId="46B474DE" w:rsidR="00B34528" w:rsidRDefault="5387C44B" w:rsidP="00B34528">
      <w:pPr>
        <w:rPr>
          <w:lang w:eastAsia="en-AU"/>
        </w:rPr>
      </w:pPr>
      <w:r w:rsidRPr="07AD5326">
        <w:rPr>
          <w:lang w:eastAsia="en-AU"/>
        </w:rPr>
        <w:t xml:space="preserve">Approximately half of ISEP </w:t>
      </w:r>
      <w:r w:rsidR="33F02BCD" w:rsidRPr="07AD5326">
        <w:rPr>
          <w:lang w:eastAsia="en-AU"/>
        </w:rPr>
        <w:t>graduates</w:t>
      </w:r>
      <w:r w:rsidRPr="07AD5326">
        <w:rPr>
          <w:lang w:eastAsia="en-AU"/>
        </w:rPr>
        <w:t xml:space="preserve"> progressed to undergraduate study at their home university. Once at university, students from equity groups who were admitted via ISEPs had similar first-year retention rates as peers from non-equity groups, demonstrating that these programs effectively prepare students for transition despite the challenges associated with cumulative disadvantage. However, success rates were slightly lower for students belonging to two or more equity groups, highlighting the need for sustained support beyond the </w:t>
      </w:r>
      <w:r w:rsidR="00C05573">
        <w:rPr>
          <w:lang w:eastAsia="en-AU"/>
        </w:rPr>
        <w:t>e</w:t>
      </w:r>
      <w:r w:rsidRPr="07AD5326">
        <w:rPr>
          <w:lang w:eastAsia="en-AU"/>
        </w:rPr>
        <w:t>nabling stage. Qualitative findings revealed that ISEPs deliver transformative socio-emotional benefits for students</w:t>
      </w:r>
      <w:r w:rsidR="0BEFB1DA" w:rsidRPr="07AD5326">
        <w:rPr>
          <w:lang w:eastAsia="en-AU"/>
        </w:rPr>
        <w:t xml:space="preserve"> from equity groups</w:t>
      </w:r>
      <w:r w:rsidRPr="07AD5326">
        <w:rPr>
          <w:lang w:eastAsia="en-AU"/>
        </w:rPr>
        <w:t xml:space="preserve">, reducing ATAR-related stress and fostering confidence, resilience, and belonging. Students described the programs as life-changing, while educators emphasised their role in dismantling systemic barriers and breaking cycles of disadvantage. These programs not only provide academic preparation but also cultural readiness, demystifying university systems and expectations for students who are often first-in-family to attend higher education. </w:t>
      </w:r>
    </w:p>
    <w:p w14:paraId="0345333C" w14:textId="3E59E7EF" w:rsidR="00706B33" w:rsidRPr="00706B33" w:rsidRDefault="065C6AC9" w:rsidP="00706B33">
      <w:pPr>
        <w:rPr>
          <w:lang w:eastAsia="en-AU"/>
        </w:rPr>
      </w:pPr>
      <w:r w:rsidRPr="07AD5326">
        <w:rPr>
          <w:lang w:eastAsia="en-AU"/>
        </w:rPr>
        <w:t>In</w:t>
      </w:r>
      <w:r w:rsidR="5387C44B" w:rsidRPr="07AD5326">
        <w:rPr>
          <w:lang w:eastAsia="en-AU"/>
        </w:rPr>
        <w:t xml:space="preserve"> </w:t>
      </w:r>
      <w:r w:rsidRPr="07AD5326">
        <w:rPr>
          <w:lang w:eastAsia="en-AU"/>
        </w:rPr>
        <w:t>summary,</w:t>
      </w:r>
      <w:r w:rsidR="5387C44B" w:rsidRPr="07AD5326">
        <w:rPr>
          <w:lang w:eastAsia="en-AU"/>
        </w:rPr>
        <w:t xml:space="preserve"> </w:t>
      </w:r>
      <w:r w:rsidR="00C05573">
        <w:rPr>
          <w:lang w:eastAsia="en-AU"/>
        </w:rPr>
        <w:t>ISEPs</w:t>
      </w:r>
      <w:r w:rsidRPr="07AD5326">
        <w:rPr>
          <w:lang w:eastAsia="en-AU"/>
        </w:rPr>
        <w:t xml:space="preserve"> are academically rigorous, socially responsive, and aligned with national equity</w:t>
      </w:r>
      <w:r w:rsidR="5387C44B" w:rsidRPr="07AD5326">
        <w:rPr>
          <w:lang w:eastAsia="en-AU"/>
        </w:rPr>
        <w:t xml:space="preserve"> </w:t>
      </w:r>
      <w:r w:rsidRPr="07AD5326">
        <w:rPr>
          <w:lang w:eastAsia="en-AU"/>
        </w:rPr>
        <w:t>objectives. They provide</w:t>
      </w:r>
      <w:r w:rsidR="5387C44B" w:rsidRPr="07AD5326">
        <w:rPr>
          <w:lang w:eastAsia="en-AU"/>
        </w:rPr>
        <w:t xml:space="preserve"> </w:t>
      </w:r>
      <w:r w:rsidRPr="07AD5326">
        <w:rPr>
          <w:lang w:eastAsia="en-AU"/>
        </w:rPr>
        <w:t>a viable, scalable mechanism for widening participation in higher education, particularly for students from underrepresented groups. Continued investment, policy recognition, and research will be essential to sustain and expand these programs, ensuring all students, regardless of background, have</w:t>
      </w:r>
      <w:r w:rsidR="5387C44B" w:rsidRPr="07AD5326">
        <w:rPr>
          <w:lang w:eastAsia="en-AU"/>
        </w:rPr>
        <w:t xml:space="preserve"> </w:t>
      </w:r>
      <w:r w:rsidRPr="07AD5326">
        <w:rPr>
          <w:lang w:eastAsia="en-AU"/>
        </w:rPr>
        <w:t>equitable</w:t>
      </w:r>
      <w:r w:rsidR="5387C44B" w:rsidRPr="07AD5326">
        <w:rPr>
          <w:lang w:eastAsia="en-AU"/>
        </w:rPr>
        <w:t xml:space="preserve"> </w:t>
      </w:r>
      <w:r w:rsidRPr="07AD5326">
        <w:rPr>
          <w:lang w:eastAsia="en-AU"/>
        </w:rPr>
        <w:t>access to university and the opportunity to flourish.</w:t>
      </w:r>
    </w:p>
    <w:p w14:paraId="10CB496F" w14:textId="77777777" w:rsidR="00706B33" w:rsidRPr="00706B33" w:rsidRDefault="00706B33" w:rsidP="000C1D86">
      <w:pPr>
        <w:pStyle w:val="Heading2-No"/>
      </w:pPr>
      <w:bookmarkStart w:id="16" w:name="_Toc232766168"/>
      <w:r>
        <w:t>Findings</w:t>
      </w:r>
      <w:bookmarkEnd w:id="16"/>
      <w:r>
        <w:t> </w:t>
      </w:r>
    </w:p>
    <w:p w14:paraId="6C94CBB0" w14:textId="4E32A23C" w:rsidR="009710E4" w:rsidRDefault="0068643A" w:rsidP="001E150D">
      <w:r>
        <w:t>The following findings synthesise each of the project</w:t>
      </w:r>
      <w:r w:rsidR="00B87BF1">
        <w:t xml:space="preserve"> phases</w:t>
      </w:r>
      <w:r>
        <w:t xml:space="preserve"> to provide a comprehensive understanding of the</w:t>
      </w:r>
      <w:r w:rsidR="00CB4B22">
        <w:t>ir</w:t>
      </w:r>
      <w:r>
        <w:t xml:space="preserve"> impact and effectiveness</w:t>
      </w:r>
      <w:r w:rsidR="00B87BF1">
        <w:t>.</w:t>
      </w:r>
      <w:r>
        <w:t xml:space="preserve"> </w:t>
      </w:r>
    </w:p>
    <w:p w14:paraId="03F0ACE6" w14:textId="5E216913" w:rsidR="001E150D" w:rsidRPr="00B93DAC" w:rsidRDefault="001E150D" w:rsidP="001E150D">
      <w:pPr>
        <w:rPr>
          <w:b/>
          <w:bCs/>
          <w:lang w:eastAsia="en-AU"/>
        </w:rPr>
      </w:pPr>
      <w:r w:rsidRPr="00B93DAC">
        <w:rPr>
          <w:b/>
          <w:bCs/>
        </w:rPr>
        <w:t>Access to university</w:t>
      </w:r>
      <w:r w:rsidR="00F43500" w:rsidRPr="00B93DAC">
        <w:rPr>
          <w:b/>
          <w:bCs/>
        </w:rPr>
        <w:t xml:space="preserve"> for the underserved</w:t>
      </w:r>
      <w:r w:rsidR="00B87BF1" w:rsidRPr="00B93DAC">
        <w:rPr>
          <w:b/>
          <w:bCs/>
        </w:rPr>
        <w:t>:</w:t>
      </w:r>
    </w:p>
    <w:p w14:paraId="6A47493A" w14:textId="599D1E31" w:rsidR="001E150D" w:rsidRPr="00706B33" w:rsidRDefault="001E150D" w:rsidP="00592047">
      <w:pPr>
        <w:numPr>
          <w:ilvl w:val="0"/>
          <w:numId w:val="4"/>
        </w:numPr>
        <w:rPr>
          <w:lang w:eastAsia="en-AU"/>
        </w:rPr>
      </w:pPr>
      <w:r>
        <w:t>ISEPs</w:t>
      </w:r>
      <w:r w:rsidR="007E711C">
        <w:t xml:space="preserve"> reach</w:t>
      </w:r>
      <w:r w:rsidR="000C1D17">
        <w:t xml:space="preserve"> and </w:t>
      </w:r>
      <w:r>
        <w:t xml:space="preserve">enrol high </w:t>
      </w:r>
      <w:r w:rsidR="0095197F">
        <w:t>proportions</w:t>
      </w:r>
      <w:r>
        <w:t xml:space="preserve"> of students from equity cohorts</w:t>
      </w:r>
      <w:r w:rsidR="000C1D17">
        <w:t>,</w:t>
      </w:r>
      <w:r w:rsidR="0095197F">
        <w:t xml:space="preserve"> </w:t>
      </w:r>
      <w:r w:rsidR="00685149">
        <w:t>addressing systemic barriers to higher education.</w:t>
      </w:r>
      <w:r w:rsidR="006A05D3">
        <w:rPr>
          <w:lang w:eastAsia="en-AU"/>
        </w:rPr>
        <w:t xml:space="preserve"> Within the program</w:t>
      </w:r>
      <w:r w:rsidR="00B87BF1">
        <w:rPr>
          <w:lang w:eastAsia="en-AU"/>
        </w:rPr>
        <w:t>s</w:t>
      </w:r>
      <w:r w:rsidR="006A05D3">
        <w:rPr>
          <w:lang w:eastAsia="en-AU"/>
        </w:rPr>
        <w:t>,</w:t>
      </w:r>
      <w:r>
        <w:rPr>
          <w:lang w:eastAsia="en-AU"/>
        </w:rPr>
        <w:t xml:space="preserve"> </w:t>
      </w:r>
      <w:r>
        <w:t xml:space="preserve">students achieve high levels of academic success </w:t>
      </w:r>
      <w:r w:rsidR="00C27C65">
        <w:t>and completion</w:t>
      </w:r>
      <w:r w:rsidR="00A52364">
        <w:t>,</w:t>
      </w:r>
      <w:r w:rsidR="00392ABD">
        <w:t xml:space="preserve"> reflective of the rigorous </w:t>
      </w:r>
      <w:r w:rsidR="00163C76">
        <w:t>and scaffolded approach to learning</w:t>
      </w:r>
      <w:r w:rsidR="00C27C65">
        <w:t xml:space="preserve"> </w:t>
      </w:r>
      <w:r>
        <w:t xml:space="preserve">within </w:t>
      </w:r>
      <w:r w:rsidR="000377E5">
        <w:t xml:space="preserve">ISEPs </w:t>
      </w:r>
      <w:r w:rsidR="00163C76">
        <w:t>that support</w:t>
      </w:r>
      <w:r w:rsidR="008F7527">
        <w:t>s</w:t>
      </w:r>
      <w:r w:rsidR="00163C76">
        <w:t xml:space="preserve"> </w:t>
      </w:r>
      <w:r w:rsidR="00D433A4">
        <w:t>equity</w:t>
      </w:r>
      <w:r>
        <w:t>. </w:t>
      </w:r>
    </w:p>
    <w:p w14:paraId="65DC6701" w14:textId="125A7EB2" w:rsidR="00B96EDB" w:rsidRDefault="00D63026" w:rsidP="00592047">
      <w:pPr>
        <w:numPr>
          <w:ilvl w:val="0"/>
          <w:numId w:val="4"/>
        </w:numPr>
        <w:rPr>
          <w:lang w:eastAsia="en-AU"/>
        </w:rPr>
      </w:pPr>
      <w:r>
        <w:t>Students </w:t>
      </w:r>
      <w:r w:rsidR="00CC7A91">
        <w:t>f</w:t>
      </w:r>
      <w:r w:rsidR="009F5102">
        <w:t>ound ISEPs to be a confident and credible pathway to university</w:t>
      </w:r>
      <w:r w:rsidR="006C5CFC">
        <w:t>.</w:t>
      </w:r>
      <w:r w:rsidR="00CC7A91">
        <w:t xml:space="preserve"> Students consistently described ATAR as a pressure </w:t>
      </w:r>
      <w:r w:rsidR="00283215">
        <w:t>point and</w:t>
      </w:r>
      <w:r w:rsidR="00864599">
        <w:t xml:space="preserve"> selected an ISEP when ATAR was not accessible or was harming wellbeing.</w:t>
      </w:r>
    </w:p>
    <w:p w14:paraId="6BE27007" w14:textId="6E0B1593" w:rsidR="00A96C6C" w:rsidRPr="0025530C" w:rsidRDefault="00AF5C14" w:rsidP="00485249">
      <w:pPr>
        <w:numPr>
          <w:ilvl w:val="0"/>
          <w:numId w:val="4"/>
        </w:numPr>
        <w:rPr>
          <w:lang w:eastAsia="en-AU"/>
        </w:rPr>
      </w:pPr>
      <w:r>
        <w:rPr>
          <w:lang w:eastAsia="en-AU"/>
        </w:rPr>
        <w:t xml:space="preserve">ISEPs </w:t>
      </w:r>
      <w:r w:rsidR="00C95605">
        <w:rPr>
          <w:lang w:eastAsia="en-AU"/>
        </w:rPr>
        <w:t>convert underserved aspiration into capability</w:t>
      </w:r>
      <w:r w:rsidR="006A13FF">
        <w:rPr>
          <w:lang w:eastAsia="en-AU"/>
        </w:rPr>
        <w:t xml:space="preserve"> and empowerment</w:t>
      </w:r>
      <w:r w:rsidR="00C95605">
        <w:rPr>
          <w:lang w:eastAsia="en-AU"/>
        </w:rPr>
        <w:t xml:space="preserve">. </w:t>
      </w:r>
      <w:r w:rsidR="00736428">
        <w:rPr>
          <w:lang w:eastAsia="en-AU"/>
        </w:rPr>
        <w:t xml:space="preserve">Through the ISEP, students gain confidence, academic literacies, and self-belief in university </w:t>
      </w:r>
      <w:r w:rsidR="00736428">
        <w:rPr>
          <w:lang w:eastAsia="en-AU"/>
        </w:rPr>
        <w:lastRenderedPageBreak/>
        <w:t>attainment.</w:t>
      </w:r>
      <w:r w:rsidR="0025530C">
        <w:rPr>
          <w:lang w:eastAsia="en-AU"/>
        </w:rPr>
        <w:t xml:space="preserve"> </w:t>
      </w:r>
      <w:r w:rsidR="0025530C">
        <w:t xml:space="preserve">90% of students surveyed </w:t>
      </w:r>
      <w:r w:rsidR="0025530C" w:rsidRPr="0025530C">
        <w:rPr>
          <w:rFonts w:eastAsiaTheme="minorEastAsia"/>
          <w:color w:val="351C26" w:themeColor="text2"/>
        </w:rPr>
        <w:t>indicated that the ISEP helped them to believe they could achieve success at university.</w:t>
      </w:r>
    </w:p>
    <w:p w14:paraId="175E8897" w14:textId="2CF16AD1" w:rsidR="00246D05" w:rsidRPr="00B93DAC" w:rsidRDefault="00F43500" w:rsidP="00246D05">
      <w:pPr>
        <w:rPr>
          <w:b/>
          <w:bCs/>
          <w:lang w:eastAsia="en-AU"/>
        </w:rPr>
      </w:pPr>
      <w:r w:rsidRPr="00B93DAC">
        <w:rPr>
          <w:b/>
          <w:bCs/>
        </w:rPr>
        <w:t>A q</w:t>
      </w:r>
      <w:r w:rsidR="00246D05" w:rsidRPr="00B93DAC">
        <w:rPr>
          <w:b/>
          <w:bCs/>
        </w:rPr>
        <w:t xml:space="preserve">uality </w:t>
      </w:r>
      <w:r w:rsidRPr="00B93DAC">
        <w:rPr>
          <w:b/>
          <w:bCs/>
        </w:rPr>
        <w:t>pathway</w:t>
      </w:r>
      <w:r w:rsidR="00B87BF1" w:rsidRPr="00B93DAC">
        <w:rPr>
          <w:b/>
          <w:bCs/>
        </w:rPr>
        <w:t>:</w:t>
      </w:r>
    </w:p>
    <w:p w14:paraId="46F59514" w14:textId="32E3122A" w:rsidR="00F67FF1" w:rsidRDefault="00332C93" w:rsidP="00F67FF1">
      <w:pPr>
        <w:numPr>
          <w:ilvl w:val="0"/>
          <w:numId w:val="4"/>
        </w:numPr>
        <w:rPr>
          <w:lang w:eastAsia="en-AU"/>
        </w:rPr>
      </w:pPr>
      <w:r>
        <w:rPr>
          <w:lang w:eastAsia="en-AU"/>
        </w:rPr>
        <w:t xml:space="preserve">ISEPs </w:t>
      </w:r>
      <w:r w:rsidR="00885ACA">
        <w:rPr>
          <w:lang w:eastAsia="en-AU"/>
        </w:rPr>
        <w:t xml:space="preserve">share </w:t>
      </w:r>
      <w:r w:rsidR="00D52F8B">
        <w:rPr>
          <w:lang w:eastAsia="en-AU"/>
        </w:rPr>
        <w:t xml:space="preserve">strong alignment </w:t>
      </w:r>
      <w:r w:rsidR="00706B33">
        <w:t>in program purpose, curriculum design</w:t>
      </w:r>
      <w:r w:rsidR="00225BC2">
        <w:t>, assessment standards</w:t>
      </w:r>
      <w:r w:rsidR="00706B33">
        <w:t>, </w:t>
      </w:r>
      <w:r w:rsidR="00F2069C">
        <w:t xml:space="preserve">and </w:t>
      </w:r>
      <w:r w:rsidR="00706B33">
        <w:t>quality assurance processes, </w:t>
      </w:r>
      <w:r w:rsidR="00F05E17">
        <w:t>ensuring academic rigour</w:t>
      </w:r>
      <w:r w:rsidR="00A22EB1">
        <w:t xml:space="preserve"> and comparability with </w:t>
      </w:r>
      <w:r w:rsidR="00172A06">
        <w:t>post-</w:t>
      </w:r>
      <w:r w:rsidR="00F1261C">
        <w:t xml:space="preserve">school </w:t>
      </w:r>
      <w:r w:rsidR="00F2069C">
        <w:t>e</w:t>
      </w:r>
      <w:r w:rsidR="00F1261C">
        <w:t xml:space="preserve">nabling programs. </w:t>
      </w:r>
      <w:r w:rsidR="00D2175E">
        <w:t xml:space="preserve">ISEPs are </w:t>
      </w:r>
      <w:r w:rsidR="00F67FF1">
        <w:t xml:space="preserve">distinct in </w:t>
      </w:r>
      <w:r w:rsidR="00F2069C">
        <w:t>their</w:t>
      </w:r>
      <w:r w:rsidR="00F67FF1">
        <w:t xml:space="preserve"> </w:t>
      </w:r>
      <w:r w:rsidR="00706B33">
        <w:t>emphasis on partnership</w:t>
      </w:r>
      <w:r w:rsidR="00F67FF1">
        <w:t xml:space="preserve"> and </w:t>
      </w:r>
      <w:r w:rsidR="00706B33">
        <w:t>context-specific delivery differences </w:t>
      </w:r>
      <w:r w:rsidR="002F2787">
        <w:t xml:space="preserve">tailored </w:t>
      </w:r>
      <w:r w:rsidR="0042555C">
        <w:t xml:space="preserve">to </w:t>
      </w:r>
      <w:r w:rsidR="00F67FF1">
        <w:t>the senior schooling cohort and community.</w:t>
      </w:r>
    </w:p>
    <w:p w14:paraId="10E8B9EC" w14:textId="63256EA7" w:rsidR="00094790" w:rsidRDefault="005260F7" w:rsidP="00592047">
      <w:pPr>
        <w:numPr>
          <w:ilvl w:val="0"/>
          <w:numId w:val="6"/>
        </w:numPr>
        <w:rPr>
          <w:lang w:eastAsia="en-AU"/>
        </w:rPr>
      </w:pPr>
      <w:r>
        <w:t xml:space="preserve">ISEPs </w:t>
      </w:r>
      <w:r w:rsidR="00B3326F">
        <w:t xml:space="preserve">expand </w:t>
      </w:r>
      <w:r>
        <w:t>access</w:t>
      </w:r>
      <w:r w:rsidR="00B3326F">
        <w:t xml:space="preserve"> to university</w:t>
      </w:r>
      <w:r w:rsidR="005B1723">
        <w:t>, particularly for students experiencing intersecting forms of disadvantage</w:t>
      </w:r>
      <w:r w:rsidR="002B37D0">
        <w:t xml:space="preserve">. </w:t>
      </w:r>
      <w:r w:rsidR="008E13D5" w:rsidRPr="008E13D5">
        <w:t>At several institutions, the ISEP pathway had higher proportions of students from multiple equity groups commence university than other pathways.</w:t>
      </w:r>
    </w:p>
    <w:p w14:paraId="362ED56E" w14:textId="41BE70F7" w:rsidR="000D5CF8" w:rsidRDefault="00094790" w:rsidP="00592047">
      <w:pPr>
        <w:numPr>
          <w:ilvl w:val="0"/>
          <w:numId w:val="6"/>
        </w:numPr>
        <w:rPr>
          <w:lang w:eastAsia="en-AU"/>
        </w:rPr>
      </w:pPr>
      <w:r>
        <w:t>O</w:t>
      </w:r>
      <w:r w:rsidR="005260F7">
        <w:t>nce at uni</w:t>
      </w:r>
      <w:r>
        <w:t>versity</w:t>
      </w:r>
      <w:r w:rsidR="005260F7">
        <w:t xml:space="preserve">, </w:t>
      </w:r>
      <w:r>
        <w:t xml:space="preserve">students from equity cohorts entering via ISEPs </w:t>
      </w:r>
      <w:r w:rsidR="00B105C8">
        <w:t xml:space="preserve">are </w:t>
      </w:r>
      <w:r w:rsidR="005260F7">
        <w:t>retain</w:t>
      </w:r>
      <w:r w:rsidR="00B105C8">
        <w:t>ed</w:t>
      </w:r>
      <w:r w:rsidR="005260F7">
        <w:t xml:space="preserve"> at near</w:t>
      </w:r>
      <w:r w:rsidR="00F2069C">
        <w:rPr>
          <w:rFonts w:ascii="Cambria Math" w:hAnsi="Cambria Math" w:cs="Cambria Math"/>
        </w:rPr>
        <w:t xml:space="preserve"> </w:t>
      </w:r>
      <w:r w:rsidR="005260F7">
        <w:t>parity with their peer</w:t>
      </w:r>
      <w:r w:rsidR="00676B52">
        <w:t>s</w:t>
      </w:r>
      <w:r w:rsidR="001E60FB">
        <w:t>, i</w:t>
      </w:r>
      <w:r w:rsidR="00E00543">
        <w:t xml:space="preserve">ndicating ISEPs help narrow retention gaps </w:t>
      </w:r>
      <w:r w:rsidR="00EF1EF0">
        <w:t xml:space="preserve">that remain pronounced </w:t>
      </w:r>
      <w:r w:rsidR="00872974">
        <w:t>in ATAR pathways</w:t>
      </w:r>
      <w:r w:rsidR="00D4034B">
        <w:t>.</w:t>
      </w:r>
      <w:r w:rsidR="0050454F">
        <w:t xml:space="preserve"> While success rates are slightly lower, students from equity groups demonstrate resilience and persistence, underscoring the effectiveness of ISEPs in supporting </w:t>
      </w:r>
      <w:r w:rsidR="001E60FB">
        <w:t>transition</w:t>
      </w:r>
      <w:r w:rsidR="003108D0">
        <w:t xml:space="preserve"> and mitigating some of the disadvantages students from equity groups typically face in first-year university.</w:t>
      </w:r>
    </w:p>
    <w:p w14:paraId="1329B5FE" w14:textId="63231DE5" w:rsidR="000B05D9" w:rsidRDefault="007C6AD5" w:rsidP="00592047">
      <w:pPr>
        <w:numPr>
          <w:ilvl w:val="0"/>
          <w:numId w:val="6"/>
        </w:numPr>
        <w:rPr>
          <w:lang w:eastAsia="en-AU"/>
        </w:rPr>
      </w:pPr>
      <w:r w:rsidRPr="00607009">
        <w:rPr>
          <w:lang w:eastAsia="en-AU"/>
        </w:rPr>
        <w:t xml:space="preserve">All ISEPs </w:t>
      </w:r>
      <w:r w:rsidR="00817B09" w:rsidRPr="00607009">
        <w:rPr>
          <w:lang w:eastAsia="en-AU"/>
        </w:rPr>
        <w:t xml:space="preserve">supported </w:t>
      </w:r>
      <w:r w:rsidR="00E071E4" w:rsidRPr="00607009">
        <w:rPr>
          <w:lang w:eastAsia="en-AU"/>
        </w:rPr>
        <w:t xml:space="preserve">positive </w:t>
      </w:r>
      <w:r w:rsidR="00817B09" w:rsidRPr="00607009">
        <w:rPr>
          <w:lang w:eastAsia="en-AU"/>
        </w:rPr>
        <w:t>outcomes for students</w:t>
      </w:r>
      <w:r w:rsidR="00E071E4" w:rsidRPr="00607009">
        <w:rPr>
          <w:lang w:eastAsia="en-AU"/>
        </w:rPr>
        <w:t xml:space="preserve">. </w:t>
      </w:r>
      <w:r w:rsidR="00AB669C" w:rsidRPr="00607009">
        <w:rPr>
          <w:lang w:eastAsia="en-AU"/>
        </w:rPr>
        <w:t>Based on quantitative outcomes data</w:t>
      </w:r>
      <w:r w:rsidR="00F2069C">
        <w:rPr>
          <w:lang w:eastAsia="en-AU"/>
        </w:rPr>
        <w:t>,</w:t>
      </w:r>
      <w:r w:rsidR="00AB669C" w:rsidRPr="00607009">
        <w:rPr>
          <w:lang w:eastAsia="en-AU"/>
        </w:rPr>
        <w:t xml:space="preserve"> and after accounting for differences in size, program</w:t>
      </w:r>
      <w:r w:rsidR="00750C10">
        <w:rPr>
          <w:lang w:eastAsia="en-AU"/>
        </w:rPr>
        <w:t>s</w:t>
      </w:r>
      <w:r w:rsidR="00AB669C" w:rsidRPr="00607009">
        <w:rPr>
          <w:lang w:eastAsia="en-AU"/>
        </w:rPr>
        <w:t xml:space="preserve"> that are </w:t>
      </w:r>
      <w:r w:rsidR="000D4345" w:rsidRPr="00607009">
        <w:rPr>
          <w:lang w:eastAsia="en-AU"/>
        </w:rPr>
        <w:t xml:space="preserve">well established and incorporate classes within the school </w:t>
      </w:r>
      <w:r w:rsidR="000D4345" w:rsidRPr="000D4345">
        <w:rPr>
          <w:lang w:eastAsia="en-AU"/>
        </w:rPr>
        <w:t>timetable</w:t>
      </w:r>
      <w:r w:rsidR="00AB669C">
        <w:rPr>
          <w:lang w:eastAsia="en-AU"/>
        </w:rPr>
        <w:t xml:space="preserve"> </w:t>
      </w:r>
      <w:r w:rsidR="00607009">
        <w:rPr>
          <w:lang w:eastAsia="en-AU"/>
        </w:rPr>
        <w:t>had the highest success and retention rates at undergraduate study</w:t>
      </w:r>
      <w:r w:rsidR="000D4345" w:rsidRPr="000D4345">
        <w:rPr>
          <w:lang w:eastAsia="en-AU"/>
        </w:rPr>
        <w:t>.</w:t>
      </w:r>
    </w:p>
    <w:p w14:paraId="68A457A2" w14:textId="7F66F7F1" w:rsidR="000B05D9" w:rsidRPr="00B93DAC" w:rsidRDefault="00CC7C75" w:rsidP="00246D05">
      <w:pPr>
        <w:rPr>
          <w:b/>
          <w:bCs/>
          <w:lang w:eastAsia="en-AU"/>
        </w:rPr>
      </w:pPr>
      <w:r w:rsidRPr="00B93DAC">
        <w:rPr>
          <w:b/>
          <w:bCs/>
        </w:rPr>
        <w:t>A confident pathway to university</w:t>
      </w:r>
      <w:r w:rsidR="00F2069C">
        <w:rPr>
          <w:b/>
          <w:bCs/>
        </w:rPr>
        <w:t>:</w:t>
      </w:r>
    </w:p>
    <w:p w14:paraId="02418528" w14:textId="394E2FD8" w:rsidR="000E3BA3" w:rsidRDefault="00A915F7" w:rsidP="00A72D76">
      <w:pPr>
        <w:numPr>
          <w:ilvl w:val="0"/>
          <w:numId w:val="6"/>
        </w:numPr>
        <w:rPr>
          <w:lang w:eastAsia="en-AU"/>
        </w:rPr>
      </w:pPr>
      <w:r>
        <w:rPr>
          <w:lang w:eastAsia="en-AU"/>
        </w:rPr>
        <w:t>The intentional, inclusive</w:t>
      </w:r>
      <w:r w:rsidR="00F2069C">
        <w:rPr>
          <w:lang w:eastAsia="en-AU"/>
        </w:rPr>
        <w:t>,</w:t>
      </w:r>
      <w:r>
        <w:rPr>
          <w:lang w:eastAsia="en-AU"/>
        </w:rPr>
        <w:t xml:space="preserve"> and scaffolded curriculum design within ISEPs contributed strongly to </w:t>
      </w:r>
      <w:r w:rsidR="00D6542F">
        <w:rPr>
          <w:lang w:eastAsia="en-AU"/>
        </w:rPr>
        <w:t xml:space="preserve">preparedness for </w:t>
      </w:r>
      <w:r w:rsidR="00863F9A">
        <w:rPr>
          <w:lang w:eastAsia="en-AU"/>
        </w:rPr>
        <w:t>success at university</w:t>
      </w:r>
      <w:r w:rsidR="002A7B48">
        <w:rPr>
          <w:lang w:eastAsia="en-AU"/>
        </w:rPr>
        <w:t xml:space="preserve">. </w:t>
      </w:r>
      <w:r w:rsidR="00D4750E">
        <w:rPr>
          <w:lang w:eastAsia="en-AU"/>
        </w:rPr>
        <w:t xml:space="preserve">Students and </w:t>
      </w:r>
      <w:r w:rsidR="00F2069C">
        <w:rPr>
          <w:lang w:eastAsia="en-AU"/>
        </w:rPr>
        <w:t>e</w:t>
      </w:r>
      <w:r w:rsidR="00D4750E">
        <w:rPr>
          <w:lang w:eastAsia="en-AU"/>
        </w:rPr>
        <w:t xml:space="preserve">ducators recognised profound shifts </w:t>
      </w:r>
      <w:r w:rsidR="000E3BA3">
        <w:t>in students’</w:t>
      </w:r>
      <w:r w:rsidR="002A7B48">
        <w:t xml:space="preserve"> </w:t>
      </w:r>
      <w:r w:rsidR="000E3BA3">
        <w:t>perception of their own capacity and</w:t>
      </w:r>
      <w:r w:rsidR="002A7B48">
        <w:t xml:space="preserve"> </w:t>
      </w:r>
      <w:r w:rsidR="000E3BA3">
        <w:t>possible futures,</w:t>
      </w:r>
      <w:r w:rsidR="002A7B48">
        <w:t xml:space="preserve"> </w:t>
      </w:r>
      <w:r w:rsidR="000E3BA3">
        <w:t>with the programs</w:t>
      </w:r>
      <w:r w:rsidR="002A7B48">
        <w:t xml:space="preserve"> </w:t>
      </w:r>
      <w:r w:rsidR="000E3BA3">
        <w:t>equipping</w:t>
      </w:r>
      <w:r w:rsidR="002A7B48">
        <w:t xml:space="preserve"> </w:t>
      </w:r>
      <w:r w:rsidR="000E3BA3">
        <w:t>students with academic skills</w:t>
      </w:r>
      <w:r w:rsidR="00F2069C">
        <w:t>,</w:t>
      </w:r>
      <w:r w:rsidR="000E3BA3">
        <w:t xml:space="preserve"> </w:t>
      </w:r>
      <w:r w:rsidR="00F2069C">
        <w:t>instilling</w:t>
      </w:r>
      <w:r w:rsidR="002A7B48">
        <w:t xml:space="preserve"> </w:t>
      </w:r>
      <w:r w:rsidR="000E3BA3">
        <w:t>confidence</w:t>
      </w:r>
      <w:r w:rsidR="002A7B48">
        <w:t xml:space="preserve"> </w:t>
      </w:r>
      <w:r w:rsidR="000E3BA3">
        <w:t>and</w:t>
      </w:r>
      <w:r w:rsidR="002A7B48">
        <w:t xml:space="preserve"> </w:t>
      </w:r>
      <w:r w:rsidR="000E3BA3">
        <w:t>motivation and</w:t>
      </w:r>
      <w:r w:rsidR="002A7B48">
        <w:t xml:space="preserve"> </w:t>
      </w:r>
      <w:r w:rsidR="000E3BA3">
        <w:t>creating accessible</w:t>
      </w:r>
      <w:r w:rsidR="002A7B48">
        <w:t xml:space="preserve"> </w:t>
      </w:r>
      <w:r w:rsidR="000E3BA3">
        <w:t>pathways</w:t>
      </w:r>
      <w:r w:rsidR="002A7B48">
        <w:t xml:space="preserve"> </w:t>
      </w:r>
      <w:r w:rsidR="000E3BA3">
        <w:t>to university. </w:t>
      </w:r>
    </w:p>
    <w:p w14:paraId="5B7816EC" w14:textId="066704CE" w:rsidR="00AF5D91" w:rsidRDefault="00C267D6" w:rsidP="00EB775B">
      <w:pPr>
        <w:numPr>
          <w:ilvl w:val="0"/>
          <w:numId w:val="6"/>
        </w:numPr>
        <w:rPr>
          <w:lang w:eastAsia="en-AU"/>
        </w:rPr>
      </w:pPr>
      <w:r w:rsidRPr="00C267D6">
        <w:rPr>
          <w:lang w:eastAsia="en-AU"/>
        </w:rPr>
        <w:t>ISEPs build confidence and self-efficacy, supporting students to succeed and flourish at university. Students who entered university via an ISEP reported strong wellbeing and flourishing, with results on measures of resilience, wellbeing</w:t>
      </w:r>
      <w:r w:rsidR="00F2069C">
        <w:rPr>
          <w:lang w:eastAsia="en-AU"/>
        </w:rPr>
        <w:t>,</w:t>
      </w:r>
      <w:r w:rsidRPr="00C267D6">
        <w:rPr>
          <w:lang w:eastAsia="en-AU"/>
        </w:rPr>
        <w:t xml:space="preserve"> and belonging comparable across students from equity and non-equity groups. This holistic view of student success and flourishing is encouraging given the association between </w:t>
      </w:r>
      <w:r w:rsidR="0086049C">
        <w:rPr>
          <w:lang w:eastAsia="en-AU"/>
        </w:rPr>
        <w:t xml:space="preserve">student progression and factors such as </w:t>
      </w:r>
      <w:r w:rsidRPr="00C267D6">
        <w:rPr>
          <w:lang w:eastAsia="en-AU"/>
        </w:rPr>
        <w:t>mental health and equity group membership, and sense of belonging, resilience</w:t>
      </w:r>
      <w:r w:rsidR="00287937">
        <w:rPr>
          <w:lang w:eastAsia="en-AU"/>
        </w:rPr>
        <w:t>,</w:t>
      </w:r>
      <w:r w:rsidRPr="00C267D6">
        <w:rPr>
          <w:lang w:eastAsia="en-AU"/>
        </w:rPr>
        <w:t xml:space="preserve"> and wellbeing</w:t>
      </w:r>
      <w:r w:rsidR="0086049C">
        <w:rPr>
          <w:lang w:eastAsia="en-AU"/>
        </w:rPr>
        <w:t>.</w:t>
      </w:r>
    </w:p>
    <w:p w14:paraId="6CEDE826" w14:textId="485C6552" w:rsidR="00706B33" w:rsidRPr="00AF5D91" w:rsidRDefault="00706B33" w:rsidP="00AF5D91">
      <w:pPr>
        <w:rPr>
          <w:sz w:val="40"/>
          <w:szCs w:val="40"/>
        </w:rPr>
      </w:pPr>
      <w:bookmarkStart w:id="17" w:name="_Toc217162471"/>
      <w:r w:rsidRPr="00AF5D91">
        <w:rPr>
          <w:color w:val="6B3B57"/>
          <w:sz w:val="40"/>
          <w:szCs w:val="40"/>
        </w:rPr>
        <w:t>Recommendations</w:t>
      </w:r>
      <w:bookmarkEnd w:id="17"/>
    </w:p>
    <w:p w14:paraId="0F9C0740" w14:textId="63D7D4A8" w:rsidR="00706B33" w:rsidRDefault="00706B33" w:rsidP="00706B33">
      <w:r>
        <w:t>The findings of this project inform recommendations for the National Association of Enabling Educators Australia</w:t>
      </w:r>
      <w:r w:rsidR="00B93DAC">
        <w:t xml:space="preserve"> (NAEEA)</w:t>
      </w:r>
      <w:r>
        <w:t xml:space="preserve">, </w:t>
      </w:r>
      <w:r w:rsidR="00B93DAC">
        <w:t xml:space="preserve">Federal </w:t>
      </w:r>
      <w:r>
        <w:t xml:space="preserve">and State </w:t>
      </w:r>
      <w:r w:rsidR="00B93DAC">
        <w:t>d</w:t>
      </w:r>
      <w:r>
        <w:t xml:space="preserve">epartments of </w:t>
      </w:r>
      <w:r w:rsidR="00B93DAC">
        <w:t>e</w:t>
      </w:r>
      <w:r>
        <w:t xml:space="preserve">ducation, </w:t>
      </w:r>
      <w:r w:rsidR="00B93DAC">
        <w:t>u</w:t>
      </w:r>
      <w:r>
        <w:t>niversities</w:t>
      </w:r>
      <w:r w:rsidR="00B93DAC">
        <w:t>,</w:t>
      </w:r>
      <w:r>
        <w:t xml:space="preserve"> and </w:t>
      </w:r>
      <w:r w:rsidR="00B93DAC">
        <w:t>e</w:t>
      </w:r>
      <w:r>
        <w:t>nabling educators. The recommendations stem from the context of the research project b</w:t>
      </w:r>
      <w:r w:rsidRPr="001273A5">
        <w:t>eing located across Queensland</w:t>
      </w:r>
      <w:r w:rsidR="001273A5" w:rsidRPr="001273A5">
        <w:t>, New South Wales</w:t>
      </w:r>
      <w:r w:rsidRPr="001273A5">
        <w:t xml:space="preserve"> and Western Australia,</w:t>
      </w:r>
      <w:r>
        <w:t xml:space="preserve"> however recommendations may be relevant to other </w:t>
      </w:r>
      <w:r w:rsidR="00B93DAC">
        <w:t>s</w:t>
      </w:r>
      <w:r>
        <w:t xml:space="preserve">tates and </w:t>
      </w:r>
      <w:r w:rsidR="00B93DAC">
        <w:t>t</w:t>
      </w:r>
      <w:r>
        <w:t>erritories across Australia.</w:t>
      </w:r>
    </w:p>
    <w:p w14:paraId="6D9583AD" w14:textId="6C8EEC01" w:rsidR="00F5430A" w:rsidRPr="00294B99" w:rsidRDefault="00F5430A" w:rsidP="00706B33">
      <w:pPr>
        <w:rPr>
          <w:b/>
          <w:bCs/>
          <w:lang w:eastAsia="en-AU"/>
        </w:rPr>
      </w:pPr>
      <w:r w:rsidRPr="00294B99">
        <w:rPr>
          <w:b/>
          <w:bCs/>
        </w:rPr>
        <w:lastRenderedPageBreak/>
        <w:t xml:space="preserve">The following recommendations are provided for the </w:t>
      </w:r>
      <w:r w:rsidR="00B93DAC" w:rsidRPr="00294B99">
        <w:rPr>
          <w:b/>
          <w:bCs/>
        </w:rPr>
        <w:t>NAEEA</w:t>
      </w:r>
      <w:r w:rsidRPr="00294B99">
        <w:rPr>
          <w:b/>
          <w:bCs/>
        </w:rPr>
        <w:t>:</w:t>
      </w:r>
    </w:p>
    <w:p w14:paraId="640354D9" w14:textId="2B7FB313" w:rsidR="00706B33" w:rsidRPr="00706B33" w:rsidRDefault="065C6AC9" w:rsidP="004B531D">
      <w:pPr>
        <w:numPr>
          <w:ilvl w:val="0"/>
          <w:numId w:val="29"/>
        </w:numPr>
        <w:ind w:left="709" w:hanging="425"/>
        <w:rPr>
          <w:lang w:eastAsia="en-AU"/>
        </w:rPr>
      </w:pPr>
      <w:r>
        <w:t>Create a modified version of the Common Learning Outcomes tailored for </w:t>
      </w:r>
      <w:r w:rsidR="00B93DAC">
        <w:t>ISEPs</w:t>
      </w:r>
      <w:r>
        <w:t> to ensure relevance and applicability to the senior schooling context</w:t>
      </w:r>
      <w:r w:rsidR="334697E0">
        <w:t>.</w:t>
      </w:r>
    </w:p>
    <w:p w14:paraId="6FCEE47C" w14:textId="3D0F8C3B" w:rsidR="00706B33" w:rsidRPr="00706B33" w:rsidRDefault="10BA7C5B" w:rsidP="004B531D">
      <w:pPr>
        <w:numPr>
          <w:ilvl w:val="0"/>
          <w:numId w:val="29"/>
        </w:numPr>
        <w:ind w:left="709" w:hanging="425"/>
        <w:rPr>
          <w:lang w:eastAsia="en-AU"/>
        </w:rPr>
      </w:pPr>
      <w:r>
        <w:t>Establish</w:t>
      </w:r>
      <w:r w:rsidR="00706B33">
        <w:t xml:space="preserve"> a </w:t>
      </w:r>
      <w:r>
        <w:t>nationally endorsed enabling education</w:t>
      </w:r>
      <w:r w:rsidR="00706B33">
        <w:t xml:space="preserve"> framework</w:t>
      </w:r>
      <w:r>
        <w:t>, with common learning outcomes, portfolio standards, and external moderation</w:t>
      </w:r>
      <w:r w:rsidR="00B93DAC">
        <w:t>,</w:t>
      </w:r>
      <w:r>
        <w:t xml:space="preserve"> ensuring quality, transparency, and portability</w:t>
      </w:r>
      <w:r w:rsidR="00706B33">
        <w:t>. </w:t>
      </w:r>
    </w:p>
    <w:p w14:paraId="2DF4EEF4" w14:textId="7D3AFADD" w:rsidR="00746C33" w:rsidRPr="00294B99" w:rsidRDefault="00746C33" w:rsidP="00746C33">
      <w:pPr>
        <w:rPr>
          <w:b/>
          <w:bCs/>
          <w:lang w:eastAsia="en-AU"/>
        </w:rPr>
      </w:pPr>
      <w:r w:rsidRPr="00294B99">
        <w:rPr>
          <w:b/>
          <w:bCs/>
          <w:lang w:eastAsia="en-AU"/>
        </w:rPr>
        <w:t>The following recommendations are provided for universities, Federal and State governments</w:t>
      </w:r>
      <w:r w:rsidR="00747C1B">
        <w:rPr>
          <w:b/>
          <w:bCs/>
          <w:lang w:eastAsia="en-AU"/>
        </w:rPr>
        <w:t>,</w:t>
      </w:r>
      <w:r w:rsidRPr="00747C1B">
        <w:rPr>
          <w:b/>
          <w:bCs/>
          <w:lang w:eastAsia="en-AU"/>
        </w:rPr>
        <w:t xml:space="preserve"> and the Australian Tertiary Education Commission</w:t>
      </w:r>
      <w:r w:rsidR="00747C1B">
        <w:rPr>
          <w:b/>
          <w:bCs/>
          <w:lang w:eastAsia="en-AU"/>
        </w:rPr>
        <w:t xml:space="preserve"> (ATEC)</w:t>
      </w:r>
      <w:r w:rsidRPr="00294B99">
        <w:rPr>
          <w:b/>
          <w:bCs/>
          <w:lang w:eastAsia="en-AU"/>
        </w:rPr>
        <w:t>:</w:t>
      </w:r>
    </w:p>
    <w:p w14:paraId="7835E3CF" w14:textId="61E802D9" w:rsidR="63945C39" w:rsidRDefault="63945C39" w:rsidP="004B531D">
      <w:pPr>
        <w:numPr>
          <w:ilvl w:val="0"/>
          <w:numId w:val="29"/>
        </w:numPr>
        <w:ind w:left="709" w:hanging="425"/>
        <w:rPr>
          <w:lang w:eastAsia="en-AU"/>
        </w:rPr>
      </w:pPr>
      <w:r>
        <w:t xml:space="preserve">Universities and </w:t>
      </w:r>
      <w:r w:rsidR="005759DD">
        <w:t>Federal and State g</w:t>
      </w:r>
      <w:r>
        <w:t>overnment</w:t>
      </w:r>
      <w:r w:rsidR="005759DD">
        <w:t>s</w:t>
      </w:r>
      <w:r w:rsidR="00747C1B" w:rsidRPr="00747C1B">
        <w:t>—</w:t>
      </w:r>
      <w:r w:rsidR="4187E373">
        <w:t xml:space="preserve">Develop </w:t>
      </w:r>
      <w:r w:rsidR="1A02E4E8">
        <w:t>an integrated</w:t>
      </w:r>
      <w:r w:rsidR="7E684F9C">
        <w:t xml:space="preserve"> student outcomes framework that improves data quality</w:t>
      </w:r>
      <w:r w:rsidR="00EB02A4">
        <w:t xml:space="preserve"> and</w:t>
      </w:r>
      <w:r w:rsidR="7E684F9C">
        <w:t xml:space="preserve"> incorporates holistic evaluation</w:t>
      </w:r>
      <w:r w:rsidR="00EB02A4">
        <w:t>,</w:t>
      </w:r>
      <w:r w:rsidR="7E684F9C">
        <w:t xml:space="preserve"> </w:t>
      </w:r>
      <w:r w:rsidR="56CC1A7D">
        <w:t>capturing measures of academic readiness, transitions, confidence</w:t>
      </w:r>
      <w:r w:rsidR="00D36F5F">
        <w:t>,</w:t>
      </w:r>
      <w:r w:rsidR="56CC1A7D">
        <w:t xml:space="preserve"> and wellbeing, and enables granular review of equity </w:t>
      </w:r>
      <w:r w:rsidR="3858E609">
        <w:t xml:space="preserve">and pathway </w:t>
      </w:r>
      <w:r w:rsidR="56CC1A7D">
        <w:t>outcomes</w:t>
      </w:r>
      <w:r w:rsidR="3BD1ADA5">
        <w:t>.</w:t>
      </w:r>
    </w:p>
    <w:p w14:paraId="484E8763" w14:textId="2F96EDE8" w:rsidR="00E43D17" w:rsidRPr="004B531D" w:rsidRDefault="00AD0729" w:rsidP="00810102">
      <w:pPr>
        <w:numPr>
          <w:ilvl w:val="0"/>
          <w:numId w:val="29"/>
        </w:numPr>
        <w:ind w:left="709" w:hanging="425"/>
      </w:pPr>
      <w:r>
        <w:t>Universities</w:t>
      </w:r>
      <w:r w:rsidR="00747C1B" w:rsidRPr="00747C1B">
        <w:t>—</w:t>
      </w:r>
      <w:r w:rsidR="00DE1C2F">
        <w:t xml:space="preserve">Prioritise university engagement toward schools </w:t>
      </w:r>
      <w:r w:rsidR="00835081">
        <w:t>and students experiencing</w:t>
      </w:r>
      <w:r w:rsidR="00DE1C2F">
        <w:t xml:space="preserve"> genuine disadvantage</w:t>
      </w:r>
      <w:r w:rsidR="00984CA2">
        <w:t xml:space="preserve"> to ensure resources are allocated to maximise impact for students facing the greatest barriers to university.</w:t>
      </w:r>
    </w:p>
    <w:p w14:paraId="52ACB6DC" w14:textId="01A3ED78" w:rsidR="63945C39" w:rsidRDefault="63945C39" w:rsidP="004B531D">
      <w:pPr>
        <w:numPr>
          <w:ilvl w:val="0"/>
          <w:numId w:val="29"/>
        </w:numPr>
        <w:ind w:left="709" w:hanging="425"/>
      </w:pPr>
      <w:r>
        <w:t>Universities</w:t>
      </w:r>
      <w:r w:rsidR="00747C1B" w:rsidRPr="00747C1B">
        <w:t>—</w:t>
      </w:r>
      <w:r w:rsidR="2C5AF697">
        <w:t>Implement targeted strategies to address systemic barriers impacting equity cohorts and provide sustained support for their transition and success throughout later years of study</w:t>
      </w:r>
      <w:r w:rsidR="32AB549C">
        <w:t>, ensuring actions address enduring challenges and promote long-term equity outcomes.</w:t>
      </w:r>
    </w:p>
    <w:p w14:paraId="2C381887" w14:textId="007881F7" w:rsidR="00A824A4" w:rsidRPr="00A824A4" w:rsidRDefault="00A824A4" w:rsidP="00A824A4">
      <w:pPr>
        <w:numPr>
          <w:ilvl w:val="0"/>
          <w:numId w:val="29"/>
        </w:numPr>
        <w:ind w:left="709" w:hanging="425"/>
      </w:pPr>
      <w:r w:rsidRPr="00A824A4">
        <w:t xml:space="preserve">Federal and State </w:t>
      </w:r>
      <w:r w:rsidR="005759DD">
        <w:t>g</w:t>
      </w:r>
      <w:r w:rsidRPr="00A824A4">
        <w:t xml:space="preserve">overnments and </w:t>
      </w:r>
      <w:r w:rsidR="00747C1B">
        <w:t>ATEC</w:t>
      </w:r>
      <w:r w:rsidR="00747C1B" w:rsidRPr="00747C1B">
        <w:t>—</w:t>
      </w:r>
      <w:r w:rsidRPr="00A824A4">
        <w:t>Secure sustainable funding for ISEPs through national recognition or by formal integration into educational policy and funding models.</w:t>
      </w:r>
    </w:p>
    <w:p w14:paraId="2C7DA701" w14:textId="387963A6" w:rsidR="00706B33" w:rsidRPr="00706B33" w:rsidRDefault="00BE4F2D" w:rsidP="004B531D">
      <w:pPr>
        <w:numPr>
          <w:ilvl w:val="0"/>
          <w:numId w:val="29"/>
        </w:numPr>
        <w:ind w:left="709" w:hanging="425"/>
        <w:rPr>
          <w:lang w:eastAsia="en-AU"/>
        </w:rPr>
      </w:pPr>
      <w:r>
        <w:t xml:space="preserve">Federal and State </w:t>
      </w:r>
      <w:r w:rsidR="005759DD">
        <w:t>g</w:t>
      </w:r>
      <w:r w:rsidR="00706B33">
        <w:t>overnment</w:t>
      </w:r>
      <w:r>
        <w:t>s</w:t>
      </w:r>
      <w:r w:rsidR="00747C1B" w:rsidRPr="00747C1B">
        <w:t>—</w:t>
      </w:r>
      <w:r w:rsidR="00706B33">
        <w:t>In collaboration with curriculum</w:t>
      </w:r>
      <w:r w:rsidR="00C818B4">
        <w:t xml:space="preserve"> </w:t>
      </w:r>
      <w:r w:rsidR="00706B33">
        <w:t>authorities,</w:t>
      </w:r>
      <w:r w:rsidR="008C3A05">
        <w:t xml:space="preserve"> </w:t>
      </w:r>
      <w:r w:rsidR="00706B33">
        <w:t>schools,</w:t>
      </w:r>
      <w:r w:rsidR="008C3A05">
        <w:t xml:space="preserve"> </w:t>
      </w:r>
      <w:r w:rsidR="00706B33">
        <w:t>school</w:t>
      </w:r>
      <w:r w:rsidR="008C3A05">
        <w:t xml:space="preserve"> </w:t>
      </w:r>
      <w:r w:rsidR="00706B33">
        <w:t>communities</w:t>
      </w:r>
      <w:r w:rsidR="00D36F5F">
        <w:t>,</w:t>
      </w:r>
      <w:r w:rsidR="008C3A05">
        <w:t xml:space="preserve"> </w:t>
      </w:r>
      <w:r w:rsidR="00706B33">
        <w:t>and universities, expand</w:t>
      </w:r>
      <w:r w:rsidR="008C3A05">
        <w:t xml:space="preserve"> </w:t>
      </w:r>
      <w:r w:rsidR="00706B33">
        <w:t>and strengthen senior schooling</w:t>
      </w:r>
      <w:r w:rsidR="008C3A05">
        <w:t xml:space="preserve"> </w:t>
      </w:r>
      <w:r w:rsidR="00706B33">
        <w:t>to provide</w:t>
      </w:r>
      <w:r w:rsidR="008C3A05">
        <w:t xml:space="preserve"> </w:t>
      </w:r>
      <w:r w:rsidR="00706B33">
        <w:t>pathways to university</w:t>
      </w:r>
      <w:r w:rsidR="008C3A05">
        <w:t xml:space="preserve"> </w:t>
      </w:r>
      <w:r w:rsidR="00706B33">
        <w:t>that are</w:t>
      </w:r>
      <w:r w:rsidR="008C3A05">
        <w:t xml:space="preserve"> </w:t>
      </w:r>
      <w:r w:rsidR="00706B33">
        <w:t>accessible,</w:t>
      </w:r>
      <w:r w:rsidR="008C3A05">
        <w:t xml:space="preserve"> </w:t>
      </w:r>
      <w:r w:rsidR="00706B33">
        <w:t>inclusive</w:t>
      </w:r>
      <w:r w:rsidR="00D36F5F">
        <w:t>,</w:t>
      </w:r>
      <w:r w:rsidR="008C3A05">
        <w:t xml:space="preserve"> </w:t>
      </w:r>
      <w:r w:rsidR="00706B33">
        <w:t>and</w:t>
      </w:r>
      <w:r w:rsidR="008C3A05">
        <w:t xml:space="preserve"> </w:t>
      </w:r>
      <w:r w:rsidR="00706B33">
        <w:t>rigorous</w:t>
      </w:r>
      <w:r w:rsidR="008C3A05">
        <w:t xml:space="preserve"> </w:t>
      </w:r>
      <w:r w:rsidR="00706B33">
        <w:t>and provide students with</w:t>
      </w:r>
      <w:r w:rsidR="008C3A05">
        <w:t xml:space="preserve"> </w:t>
      </w:r>
      <w:r w:rsidR="00706B33">
        <w:t>confidence in their chosen pathway.</w:t>
      </w:r>
      <w:r w:rsidR="008C3A05">
        <w:t xml:space="preserve"> </w:t>
      </w:r>
      <w:r w:rsidR="00706B33">
        <w:t>The expansion</w:t>
      </w:r>
      <w:r w:rsidR="008C3A05">
        <w:t xml:space="preserve"> </w:t>
      </w:r>
      <w:r w:rsidR="00706B33">
        <w:t>should</w:t>
      </w:r>
      <w:r w:rsidR="008C3A05">
        <w:t xml:space="preserve"> </w:t>
      </w:r>
      <w:r w:rsidR="00706B33">
        <w:t>address</w:t>
      </w:r>
      <w:r w:rsidR="008C3A05">
        <w:t xml:space="preserve"> </w:t>
      </w:r>
      <w:r w:rsidR="00706B33">
        <w:t>systemic issues within</w:t>
      </w:r>
      <w:r w:rsidR="008C3A05">
        <w:t xml:space="preserve"> </w:t>
      </w:r>
      <w:r w:rsidR="00706B33">
        <w:t>senior schooling, including</w:t>
      </w:r>
      <w:r w:rsidR="008C3A05">
        <w:t xml:space="preserve"> </w:t>
      </w:r>
      <w:r w:rsidR="00706B33">
        <w:t>availability of</w:t>
      </w:r>
      <w:r w:rsidR="008C3A05">
        <w:t xml:space="preserve"> </w:t>
      </w:r>
      <w:r w:rsidR="00706B33">
        <w:t>options</w:t>
      </w:r>
      <w:r w:rsidR="008C3A05">
        <w:t xml:space="preserve"> </w:t>
      </w:r>
      <w:r w:rsidR="00706B33">
        <w:t>for all students</w:t>
      </w:r>
      <w:r w:rsidR="008C3A05">
        <w:t xml:space="preserve"> </w:t>
      </w:r>
      <w:r w:rsidR="00706B33">
        <w:t>and</w:t>
      </w:r>
      <w:r w:rsidR="008C3A05">
        <w:t xml:space="preserve"> </w:t>
      </w:r>
      <w:r w:rsidR="00706B33">
        <w:t>reducing ATAR-related stress.</w:t>
      </w:r>
    </w:p>
    <w:p w14:paraId="6B7CA0DC" w14:textId="2F4850C2" w:rsidR="00706B33" w:rsidRPr="00706B33" w:rsidRDefault="00BE4F2D" w:rsidP="004B531D">
      <w:pPr>
        <w:numPr>
          <w:ilvl w:val="0"/>
          <w:numId w:val="29"/>
        </w:numPr>
        <w:ind w:left="709" w:hanging="425"/>
        <w:rPr>
          <w:lang w:eastAsia="en-AU"/>
        </w:rPr>
      </w:pPr>
      <w:r>
        <w:t xml:space="preserve">Federal and State </w:t>
      </w:r>
      <w:r w:rsidR="005759DD">
        <w:t>g</w:t>
      </w:r>
      <w:r w:rsidR="00706B33">
        <w:t>overnment</w:t>
      </w:r>
      <w:r>
        <w:t>s</w:t>
      </w:r>
      <w:r w:rsidR="00747C1B" w:rsidRPr="00747C1B">
        <w:t>—</w:t>
      </w:r>
      <w:r w:rsidR="00706B33">
        <w:t xml:space="preserve">To meet the ambition of the </w:t>
      </w:r>
      <w:r w:rsidR="00294B99">
        <w:t xml:space="preserve">Australian Universities </w:t>
      </w:r>
      <w:r w:rsidR="00706B33">
        <w:t>Accord,</w:t>
      </w:r>
      <w:r w:rsidR="008A1970">
        <w:t xml:space="preserve"> </w:t>
      </w:r>
      <w:r w:rsidR="00706B33">
        <w:t>maintain</w:t>
      </w:r>
      <w:r w:rsidR="008A1970">
        <w:t xml:space="preserve"> </w:t>
      </w:r>
      <w:r w:rsidR="00706B33">
        <w:t>sustained action to address educational inequity</w:t>
      </w:r>
      <w:r w:rsidR="008A1970">
        <w:t xml:space="preserve"> </w:t>
      </w:r>
      <w:r w:rsidR="00706B33">
        <w:t>commencing</w:t>
      </w:r>
      <w:r w:rsidR="008A1970">
        <w:t xml:space="preserve"> </w:t>
      </w:r>
      <w:r w:rsidR="00706B33">
        <w:t>in the early years and continuing through schooling, particularly for cohorts underrepresented in higher education.</w:t>
      </w:r>
    </w:p>
    <w:p w14:paraId="789D9404" w14:textId="6E8BD479" w:rsidR="00746C33" w:rsidRPr="00747C1B" w:rsidRDefault="00746C33" w:rsidP="00746C33">
      <w:pPr>
        <w:rPr>
          <w:b/>
          <w:bCs/>
          <w:lang w:eastAsia="en-AU"/>
        </w:rPr>
      </w:pPr>
      <w:r w:rsidRPr="00747C1B">
        <w:rPr>
          <w:b/>
          <w:bCs/>
          <w:lang w:eastAsia="en-AU"/>
        </w:rPr>
        <w:t xml:space="preserve">The following recommendations are provided </w:t>
      </w:r>
      <w:r w:rsidR="00047961" w:rsidRPr="00747C1B">
        <w:rPr>
          <w:b/>
          <w:bCs/>
          <w:lang w:eastAsia="en-AU"/>
        </w:rPr>
        <w:t xml:space="preserve">for </w:t>
      </w:r>
      <w:r w:rsidR="00D36F5F">
        <w:rPr>
          <w:b/>
          <w:bCs/>
          <w:lang w:eastAsia="en-AU"/>
        </w:rPr>
        <w:t>e</w:t>
      </w:r>
      <w:r w:rsidR="00047961" w:rsidRPr="00747C1B">
        <w:rPr>
          <w:b/>
          <w:bCs/>
          <w:lang w:eastAsia="en-AU"/>
        </w:rPr>
        <w:t>nabling educators and high school partners:</w:t>
      </w:r>
    </w:p>
    <w:p w14:paraId="27340D69" w14:textId="0D08A878" w:rsidR="00706B33" w:rsidRDefault="006911EE" w:rsidP="004B531D">
      <w:pPr>
        <w:numPr>
          <w:ilvl w:val="0"/>
          <w:numId w:val="29"/>
        </w:numPr>
        <w:ind w:left="709" w:hanging="425"/>
        <w:rPr>
          <w:lang w:eastAsia="en-AU"/>
        </w:rPr>
      </w:pPr>
      <w:r>
        <w:t>Build deep partnerships with high school</w:t>
      </w:r>
      <w:r w:rsidR="003E1BDD">
        <w:t>s</w:t>
      </w:r>
      <w:r w:rsidR="00650DE8">
        <w:t xml:space="preserve"> and across universities </w:t>
      </w:r>
      <w:r w:rsidR="001C3BBC">
        <w:t xml:space="preserve">through </w:t>
      </w:r>
      <w:r>
        <w:t xml:space="preserve">shared </w:t>
      </w:r>
      <w:r w:rsidR="001C3BBC">
        <w:t xml:space="preserve">program and curriculum </w:t>
      </w:r>
      <w:r w:rsidR="00706B33">
        <w:t>development</w:t>
      </w:r>
      <w:r w:rsidR="008A1970">
        <w:t xml:space="preserve"> </w:t>
      </w:r>
      <w:r w:rsidR="00706B33">
        <w:t>and designs</w:t>
      </w:r>
      <w:r>
        <w:t xml:space="preserve"> </w:t>
      </w:r>
      <w:r w:rsidR="001C3BBC">
        <w:t xml:space="preserve">that </w:t>
      </w:r>
      <w:r w:rsidR="00706B33">
        <w:t>provide</w:t>
      </w:r>
      <w:r w:rsidR="008A1970">
        <w:t xml:space="preserve"> </w:t>
      </w:r>
      <w:r w:rsidR="00706B33">
        <w:t>contextually flexible pedagogical approaches</w:t>
      </w:r>
      <w:r w:rsidR="008A1970">
        <w:t xml:space="preserve"> </w:t>
      </w:r>
      <w:r w:rsidR="001C4A62">
        <w:t>to ensure alignment, efficacy and responsiveness to cohort needs</w:t>
      </w:r>
      <w:r w:rsidR="00706B33">
        <w:t>.</w:t>
      </w:r>
    </w:p>
    <w:p w14:paraId="1A15F7A3" w14:textId="6E67BAA6" w:rsidR="00706B33" w:rsidRPr="00706B33" w:rsidRDefault="00706B33" w:rsidP="004B531D">
      <w:pPr>
        <w:numPr>
          <w:ilvl w:val="0"/>
          <w:numId w:val="29"/>
        </w:numPr>
        <w:ind w:left="709" w:hanging="425"/>
        <w:rPr>
          <w:lang w:eastAsia="en-AU"/>
        </w:rPr>
      </w:pPr>
      <w:r>
        <w:t xml:space="preserve">Undertake </w:t>
      </w:r>
      <w:r w:rsidR="00895288">
        <w:t>collaborative</w:t>
      </w:r>
      <w:r>
        <w:t xml:space="preserve"> longitudinal</w:t>
      </w:r>
      <w:r w:rsidR="004B531D">
        <w:t xml:space="preserve"> </w:t>
      </w:r>
      <w:r>
        <w:t>research</w:t>
      </w:r>
      <w:r w:rsidR="004B531D">
        <w:t xml:space="preserve"> </w:t>
      </w:r>
      <w:r>
        <w:t>to inform policy and practice</w:t>
      </w:r>
      <w:r w:rsidR="004B531D">
        <w:t xml:space="preserve"> </w:t>
      </w:r>
      <w:r>
        <w:t>aimed at</w:t>
      </w:r>
      <w:r w:rsidR="004B531D">
        <w:t xml:space="preserve"> </w:t>
      </w:r>
      <w:r>
        <w:t>enhancing student outcomes, with a focus on</w:t>
      </w:r>
      <w:r w:rsidR="004B531D">
        <w:t xml:space="preserve"> </w:t>
      </w:r>
      <w:r>
        <w:t>pathways</w:t>
      </w:r>
      <w:r w:rsidR="004B531D">
        <w:t xml:space="preserve"> </w:t>
      </w:r>
      <w:r>
        <w:t>and equity</w:t>
      </w:r>
      <w:r w:rsidR="004B531D">
        <w:t xml:space="preserve"> </w:t>
      </w:r>
      <w:r>
        <w:t>groups. </w:t>
      </w:r>
    </w:p>
    <w:p w14:paraId="74C4FBCF" w14:textId="30DBC763" w:rsidR="52935A30" w:rsidRDefault="52935A30" w:rsidP="52935A30">
      <w:pPr>
        <w:rPr>
          <w:lang w:eastAsia="en-AU"/>
        </w:rPr>
      </w:pPr>
    </w:p>
    <w:p w14:paraId="1618269F" w14:textId="391585FD" w:rsidR="00BE24D3" w:rsidRDefault="00530C99" w:rsidP="00264FC7">
      <w:pPr>
        <w:pStyle w:val="Heading1"/>
      </w:pPr>
      <w:bookmarkStart w:id="18" w:name="_Toc217162472"/>
      <w:bookmarkStart w:id="19" w:name="_Toc232766169"/>
      <w:r>
        <w:lastRenderedPageBreak/>
        <w:t>Introduction</w:t>
      </w:r>
      <w:bookmarkEnd w:id="18"/>
      <w:bookmarkEnd w:id="19"/>
    </w:p>
    <w:p w14:paraId="7793D517" w14:textId="482868E1" w:rsidR="00264FC7" w:rsidRPr="00264FC7" w:rsidRDefault="3F77D1EF" w:rsidP="00264FC7">
      <w:r>
        <w:t>The Australian Universities Accord sets the ambitious target of 55% of Australians attaining a bachelor's degree by 2050 (Department of Education, 2024). However, with increasingly diverse cohorts, disparities in schooling outcomes</w:t>
      </w:r>
      <w:r w:rsidR="00D36F5F">
        <w:t>,</w:t>
      </w:r>
      <w:r>
        <w:t xml:space="preserve"> and the challenges of delivering education across regional and remote Australia, meeting the needs of university-aspiring students who are not flourishing within the traditional senior curricula offered at schools requires</w:t>
      </w:r>
      <w:r w:rsidR="0489E3C2">
        <w:t xml:space="preserve"> </w:t>
      </w:r>
      <w:r>
        <w:t>additional</w:t>
      </w:r>
      <w:r w:rsidR="0489E3C2">
        <w:t xml:space="preserve"> </w:t>
      </w:r>
      <w:r>
        <w:t>learning pathways to higher education.</w:t>
      </w:r>
      <w:r w:rsidR="0489E3C2">
        <w:t xml:space="preserve"> </w:t>
      </w:r>
      <w:r>
        <w:t>ISEPs</w:t>
      </w:r>
      <w:r w:rsidR="0489E3C2">
        <w:t xml:space="preserve"> </w:t>
      </w:r>
      <w:r>
        <w:t>respond to this need and provide valuable means for enacting government targets. Through intra- and inter-sectoral collaboration, th</w:t>
      </w:r>
      <w:r w:rsidR="002B5EDE">
        <w:t>is</w:t>
      </w:r>
      <w:r>
        <w:t xml:space="preserve"> research project was designed to understand</w:t>
      </w:r>
      <w:r w:rsidR="0489E3C2">
        <w:t xml:space="preserve"> </w:t>
      </w:r>
      <w:r>
        <w:t>ISEP</w:t>
      </w:r>
      <w:r w:rsidR="0489E3C2">
        <w:t xml:space="preserve"> </w:t>
      </w:r>
      <w:r>
        <w:t>models</w:t>
      </w:r>
      <w:r w:rsidR="002B5EDE">
        <w:t xml:space="preserve"> and</w:t>
      </w:r>
      <w:r>
        <w:t xml:space="preserve"> their efficacy as a pathway into success in higher </w:t>
      </w:r>
      <w:proofErr w:type="gramStart"/>
      <w:r>
        <w:t>education, and</w:t>
      </w:r>
      <w:proofErr w:type="gramEnd"/>
      <w:r>
        <w:t xml:space="preserve"> </w:t>
      </w:r>
      <w:r w:rsidR="002B5EDE">
        <w:t xml:space="preserve">provide </w:t>
      </w:r>
      <w:r>
        <w:t>guidance to Australian universities and high schools in</w:t>
      </w:r>
      <w:r w:rsidR="0489E3C2">
        <w:t xml:space="preserve"> </w:t>
      </w:r>
      <w:r>
        <w:t>establishing</w:t>
      </w:r>
      <w:r w:rsidR="0489E3C2">
        <w:t xml:space="preserve"> </w:t>
      </w:r>
      <w:r>
        <w:t>effective and scalable</w:t>
      </w:r>
      <w:r w:rsidR="0489E3C2">
        <w:t xml:space="preserve"> </w:t>
      </w:r>
      <w:r>
        <w:t>ISEPs</w:t>
      </w:r>
      <w:r w:rsidR="0489E3C2">
        <w:t xml:space="preserve"> </w:t>
      </w:r>
      <w:r w:rsidR="29883292">
        <w:t xml:space="preserve">for effective transition into </w:t>
      </w:r>
      <w:r>
        <w:t>higher education.</w:t>
      </w:r>
    </w:p>
    <w:p w14:paraId="7D62B92E" w14:textId="14875156" w:rsidR="00264FC7" w:rsidRPr="00264FC7" w:rsidRDefault="002B5EDE" w:rsidP="00264FC7">
      <w:pPr>
        <w:rPr>
          <w:lang w:eastAsia="en-AU"/>
        </w:rPr>
      </w:pPr>
      <w:r>
        <w:rPr>
          <w:lang w:eastAsia="en-AU"/>
        </w:rPr>
        <w:t>T</w:t>
      </w:r>
      <w:r w:rsidR="00264FC7" w:rsidRPr="00351822">
        <w:rPr>
          <w:lang w:eastAsia="en-AU"/>
        </w:rPr>
        <w:t>o</w:t>
      </w:r>
      <w:r w:rsidR="00351822" w:rsidRPr="00351822">
        <w:rPr>
          <w:lang w:eastAsia="en-AU"/>
        </w:rPr>
        <w:t xml:space="preserve"> </w:t>
      </w:r>
      <w:r w:rsidR="00264FC7" w:rsidRPr="00351822">
        <w:rPr>
          <w:lang w:eastAsia="en-AU"/>
        </w:rPr>
        <w:t>understand multiple</w:t>
      </w:r>
      <w:r w:rsidR="00351822" w:rsidRPr="00351822">
        <w:rPr>
          <w:lang w:eastAsia="en-AU"/>
        </w:rPr>
        <w:t xml:space="preserve"> </w:t>
      </w:r>
      <w:r w:rsidR="00264FC7" w:rsidRPr="00351822">
        <w:rPr>
          <w:lang w:eastAsia="en-AU"/>
        </w:rPr>
        <w:t>facets</w:t>
      </w:r>
      <w:r w:rsidR="00351822" w:rsidRPr="00351822">
        <w:rPr>
          <w:lang w:eastAsia="en-AU"/>
        </w:rPr>
        <w:t xml:space="preserve"> </w:t>
      </w:r>
      <w:r w:rsidR="00264FC7" w:rsidRPr="00351822">
        <w:rPr>
          <w:lang w:eastAsia="en-AU"/>
        </w:rPr>
        <w:t>of</w:t>
      </w:r>
      <w:r w:rsidR="00351822" w:rsidRPr="00351822">
        <w:rPr>
          <w:lang w:eastAsia="en-AU"/>
        </w:rPr>
        <w:t xml:space="preserve"> </w:t>
      </w:r>
      <w:r w:rsidR="00264FC7" w:rsidRPr="00351822">
        <w:rPr>
          <w:lang w:eastAsia="en-AU"/>
        </w:rPr>
        <w:t>program</w:t>
      </w:r>
      <w:r w:rsidR="00351822" w:rsidRPr="00351822">
        <w:rPr>
          <w:lang w:eastAsia="en-AU"/>
        </w:rPr>
        <w:t xml:space="preserve"> </w:t>
      </w:r>
      <w:r w:rsidR="00264FC7" w:rsidRPr="00351822">
        <w:rPr>
          <w:lang w:eastAsia="en-AU"/>
        </w:rPr>
        <w:t>effectiveness</w:t>
      </w:r>
      <w:r w:rsidRPr="00747C1B">
        <w:t>—</w:t>
      </w:r>
      <w:r w:rsidR="00264FC7" w:rsidRPr="00351822">
        <w:rPr>
          <w:lang w:eastAsia="en-AU"/>
        </w:rPr>
        <w:t>from</w:t>
      </w:r>
      <w:r w:rsidR="00351822" w:rsidRPr="00351822">
        <w:rPr>
          <w:lang w:eastAsia="en-AU"/>
        </w:rPr>
        <w:t xml:space="preserve"> </w:t>
      </w:r>
      <w:r w:rsidR="00264FC7" w:rsidRPr="00351822">
        <w:rPr>
          <w:lang w:eastAsia="en-AU"/>
        </w:rPr>
        <w:t>program model design</w:t>
      </w:r>
      <w:r w:rsidR="00351822" w:rsidRPr="00351822">
        <w:rPr>
          <w:lang w:eastAsia="en-AU"/>
        </w:rPr>
        <w:t xml:space="preserve"> </w:t>
      </w:r>
      <w:r w:rsidR="00264FC7" w:rsidRPr="00351822">
        <w:rPr>
          <w:lang w:eastAsia="en-AU"/>
        </w:rPr>
        <w:t>through to</w:t>
      </w:r>
      <w:r w:rsidR="00351822" w:rsidRPr="00351822">
        <w:rPr>
          <w:lang w:eastAsia="en-AU"/>
        </w:rPr>
        <w:t xml:space="preserve"> </w:t>
      </w:r>
      <w:r w:rsidR="00264FC7" w:rsidRPr="00351822">
        <w:rPr>
          <w:lang w:eastAsia="en-AU"/>
        </w:rPr>
        <w:t>university retention</w:t>
      </w:r>
      <w:r w:rsidRPr="00747C1B">
        <w:t>—</w:t>
      </w:r>
      <w:r w:rsidR="00264FC7" w:rsidRPr="00351822">
        <w:rPr>
          <w:lang w:eastAsia="en-AU"/>
        </w:rPr>
        <w:t>the</w:t>
      </w:r>
      <w:r w:rsidR="00351822" w:rsidRPr="00351822">
        <w:rPr>
          <w:lang w:eastAsia="en-AU"/>
        </w:rPr>
        <w:t xml:space="preserve"> </w:t>
      </w:r>
      <w:r w:rsidR="00264FC7" w:rsidRPr="00351822">
        <w:rPr>
          <w:lang w:eastAsia="en-AU"/>
        </w:rPr>
        <w:t>project was split into four phases</w:t>
      </w:r>
      <w:r>
        <w:rPr>
          <w:lang w:eastAsia="en-AU"/>
        </w:rPr>
        <w:t>,</w:t>
      </w:r>
      <w:r w:rsidR="5AC94D1D" w:rsidRPr="00351822">
        <w:rPr>
          <w:lang w:eastAsia="en-AU"/>
        </w:rPr>
        <w:t xml:space="preserve"> </w:t>
      </w:r>
      <w:r w:rsidR="00264FC7" w:rsidRPr="00351822">
        <w:rPr>
          <w:lang w:eastAsia="en-AU"/>
        </w:rPr>
        <w:t>with</w:t>
      </w:r>
      <w:r w:rsidR="5AC94D1D" w:rsidRPr="00351822">
        <w:rPr>
          <w:lang w:eastAsia="en-AU"/>
        </w:rPr>
        <w:t xml:space="preserve"> four </w:t>
      </w:r>
      <w:r w:rsidR="00264FC7" w:rsidRPr="00351822">
        <w:rPr>
          <w:lang w:eastAsia="en-AU"/>
        </w:rPr>
        <w:t xml:space="preserve">research </w:t>
      </w:r>
      <w:r w:rsidR="2D2A563D" w:rsidRPr="00351822">
        <w:rPr>
          <w:lang w:eastAsia="en-AU"/>
        </w:rPr>
        <w:t>question</w:t>
      </w:r>
      <w:r w:rsidR="6E6FA6DA" w:rsidRPr="00351822">
        <w:rPr>
          <w:lang w:eastAsia="en-AU"/>
        </w:rPr>
        <w:t>s</w:t>
      </w:r>
      <w:r w:rsidR="00264FC7" w:rsidRPr="00351822">
        <w:rPr>
          <w:lang w:eastAsia="en-AU"/>
        </w:rPr>
        <w:t xml:space="preserve"> informing</w:t>
      </w:r>
      <w:r w:rsidR="00351822" w:rsidRPr="00351822">
        <w:rPr>
          <w:lang w:eastAsia="en-AU"/>
        </w:rPr>
        <w:t xml:space="preserve"> </w:t>
      </w:r>
      <w:r w:rsidR="00264FC7" w:rsidRPr="00351822">
        <w:rPr>
          <w:lang w:eastAsia="en-AU"/>
        </w:rPr>
        <w:t>the first three phases</w:t>
      </w:r>
      <w:r>
        <w:rPr>
          <w:lang w:eastAsia="en-AU"/>
        </w:rPr>
        <w:t>:</w:t>
      </w:r>
    </w:p>
    <w:p w14:paraId="4F671438" w14:textId="26480FDC" w:rsidR="00264FC7" w:rsidRPr="00264FC7" w:rsidRDefault="3F77D1EF" w:rsidP="00592047">
      <w:pPr>
        <w:numPr>
          <w:ilvl w:val="0"/>
          <w:numId w:val="25"/>
        </w:numPr>
        <w:rPr>
          <w:lang w:eastAsia="en-AU"/>
        </w:rPr>
      </w:pPr>
      <w:r>
        <w:t>How are</w:t>
      </w:r>
      <w:r w:rsidR="6C4FF625">
        <w:t xml:space="preserve"> </w:t>
      </w:r>
      <w:r w:rsidR="002B5EDE">
        <w:t>ISEPs</w:t>
      </w:r>
      <w:r>
        <w:t> designed and delivered for different contexts across</w:t>
      </w:r>
      <w:r w:rsidR="6C4FF625">
        <w:t xml:space="preserve"> </w:t>
      </w:r>
      <w:r>
        <w:t>Australia? </w:t>
      </w:r>
    </w:p>
    <w:p w14:paraId="407F8195" w14:textId="35952691" w:rsidR="00264FC7" w:rsidRPr="00264FC7" w:rsidRDefault="3F77D1EF" w:rsidP="00592047">
      <w:pPr>
        <w:numPr>
          <w:ilvl w:val="0"/>
          <w:numId w:val="26"/>
        </w:numPr>
        <w:rPr>
          <w:lang w:eastAsia="en-AU"/>
        </w:rPr>
      </w:pPr>
      <w:r>
        <w:t>What are the academic outcomes of students within</w:t>
      </w:r>
      <w:r w:rsidR="6C4FF625">
        <w:t xml:space="preserve"> </w:t>
      </w:r>
      <w:r w:rsidR="002B5EDE">
        <w:t>ISEPs</w:t>
      </w:r>
      <w:r w:rsidR="6C4FF625">
        <w:t xml:space="preserve"> </w:t>
      </w:r>
      <w:r>
        <w:t>and at undergraduate level, particularly for priority student groups?</w:t>
      </w:r>
    </w:p>
    <w:p w14:paraId="769B17C7" w14:textId="0BDA8B89" w:rsidR="00264FC7" w:rsidRPr="00264FC7" w:rsidRDefault="3F77D1EF" w:rsidP="00592047">
      <w:pPr>
        <w:numPr>
          <w:ilvl w:val="0"/>
          <w:numId w:val="27"/>
        </w:numPr>
        <w:rPr>
          <w:lang w:eastAsia="en-AU"/>
        </w:rPr>
      </w:pPr>
      <w:r>
        <w:t>Do these programs adequately prepare students for the transition to undergraduate study?</w:t>
      </w:r>
    </w:p>
    <w:p w14:paraId="36EC27A7" w14:textId="1F6FCF0B" w:rsidR="00264FC7" w:rsidRPr="00264FC7" w:rsidRDefault="3F77D1EF" w:rsidP="00592047">
      <w:pPr>
        <w:numPr>
          <w:ilvl w:val="0"/>
          <w:numId w:val="28"/>
        </w:numPr>
        <w:rPr>
          <w:lang w:eastAsia="en-AU"/>
        </w:rPr>
      </w:pPr>
      <w:r>
        <w:t>How do secondary school educators and post-secondary</w:t>
      </w:r>
      <w:r w:rsidR="6C4FF625">
        <w:t xml:space="preserve"> </w:t>
      </w:r>
      <w:r w:rsidR="002B5EDE">
        <w:t>ISEPs</w:t>
      </w:r>
      <w:r w:rsidR="6C4FF625">
        <w:t xml:space="preserve"> </w:t>
      </w:r>
      <w:r>
        <w:t>students conceptualise the role,</w:t>
      </w:r>
      <w:r w:rsidR="6C4FF625">
        <w:t xml:space="preserve"> </w:t>
      </w:r>
      <w:r>
        <w:t>benefits</w:t>
      </w:r>
      <w:r w:rsidR="002B5EDE">
        <w:t>,</w:t>
      </w:r>
      <w:r w:rsidR="6C4FF625">
        <w:t xml:space="preserve"> </w:t>
      </w:r>
      <w:r>
        <w:t>and challenges of</w:t>
      </w:r>
      <w:r w:rsidR="6C4FF625">
        <w:t xml:space="preserve"> </w:t>
      </w:r>
      <w:r w:rsidR="002B5EDE">
        <w:t>ISEPs</w:t>
      </w:r>
      <w:r>
        <w:t>?</w:t>
      </w:r>
    </w:p>
    <w:p w14:paraId="14A6BEAF" w14:textId="4088DD31" w:rsidR="00802AF5" w:rsidRDefault="00802AF5" w:rsidP="00802AF5">
      <w:pPr>
        <w:rPr>
          <w:lang w:eastAsia="en-AU"/>
        </w:rPr>
      </w:pPr>
      <w:r>
        <w:rPr>
          <w:lang w:eastAsia="en-AU"/>
        </w:rPr>
        <w:t xml:space="preserve">The report begins by situating the project within the broader field of </w:t>
      </w:r>
      <w:r w:rsidR="002B5EDE">
        <w:rPr>
          <w:lang w:eastAsia="en-AU"/>
        </w:rPr>
        <w:t>e</w:t>
      </w:r>
      <w:r>
        <w:rPr>
          <w:lang w:eastAsia="en-AU"/>
        </w:rPr>
        <w:t xml:space="preserve">nabling education, highlighting ISEPs as the latest evolution in a sector that has been developed and refined over five decades. ISEPs initially emerged as a request from the secondary sector wanting pathways to university for university-aspiring and academically capable students, for whom pathways within current senior schooling were not available or not showcasing the abilities of students. The variety of pathways to higher education are explored, along with the effectiveness of each for a diversity of cohorts. Finally, the academic success of students who commence university from different pathways is considered, alongside an exploration of conceptualisations of success in higher education. </w:t>
      </w:r>
    </w:p>
    <w:p w14:paraId="30D18FB2" w14:textId="77777777" w:rsidR="00DE559E" w:rsidRDefault="6C4FF625" w:rsidP="00D23F73">
      <w:pPr>
        <w:rPr>
          <w:lang w:eastAsia="en-AU"/>
        </w:rPr>
      </w:pPr>
      <w:r w:rsidRPr="07AD5326">
        <w:rPr>
          <w:lang w:eastAsia="en-AU"/>
        </w:rPr>
        <w:t xml:space="preserve">From situating ISEPs, the methods section provides an overview of the project. This section foregrounds a bricolage of approaches employed to construct a comprehensive understanding of the design and efficacy of ISEPs. </w:t>
      </w:r>
      <w:r w:rsidR="3F77D1EF" w:rsidRPr="07AD5326">
        <w:rPr>
          <w:lang w:eastAsia="en-AU"/>
        </w:rPr>
        <w:t>The</w:t>
      </w:r>
      <w:r w:rsidRPr="07AD5326">
        <w:rPr>
          <w:lang w:eastAsia="en-AU"/>
        </w:rPr>
        <w:t xml:space="preserve"> </w:t>
      </w:r>
      <w:r w:rsidR="006B1162">
        <w:rPr>
          <w:lang w:eastAsia="en-AU"/>
        </w:rPr>
        <w:t>m</w:t>
      </w:r>
      <w:r w:rsidR="33112127" w:rsidRPr="07AD5326">
        <w:rPr>
          <w:lang w:eastAsia="en-AU"/>
        </w:rPr>
        <w:t xml:space="preserve">ethods and </w:t>
      </w:r>
      <w:r w:rsidR="006B1162">
        <w:rPr>
          <w:lang w:eastAsia="en-AU"/>
        </w:rPr>
        <w:t>f</w:t>
      </w:r>
      <w:r w:rsidR="33112127" w:rsidRPr="07AD5326">
        <w:rPr>
          <w:lang w:eastAsia="en-AU"/>
        </w:rPr>
        <w:t>indings</w:t>
      </w:r>
      <w:r w:rsidRPr="07AD5326">
        <w:rPr>
          <w:lang w:eastAsia="en-AU"/>
        </w:rPr>
        <w:t xml:space="preserve"> </w:t>
      </w:r>
      <w:r w:rsidR="3F77D1EF" w:rsidRPr="07AD5326">
        <w:rPr>
          <w:lang w:eastAsia="en-AU"/>
        </w:rPr>
        <w:t>section</w:t>
      </w:r>
      <w:r w:rsidR="33112127" w:rsidRPr="07AD5326">
        <w:rPr>
          <w:lang w:eastAsia="en-AU"/>
        </w:rPr>
        <w:t>s</w:t>
      </w:r>
      <w:r w:rsidR="3F77D1EF" w:rsidRPr="07AD5326">
        <w:rPr>
          <w:lang w:eastAsia="en-AU"/>
        </w:rPr>
        <w:t xml:space="preserve"> </w:t>
      </w:r>
      <w:r w:rsidR="33112127" w:rsidRPr="07AD5326">
        <w:rPr>
          <w:lang w:eastAsia="en-AU"/>
        </w:rPr>
        <w:t>are</w:t>
      </w:r>
      <w:r w:rsidRPr="07AD5326">
        <w:rPr>
          <w:lang w:eastAsia="en-AU"/>
        </w:rPr>
        <w:t xml:space="preserve"> </w:t>
      </w:r>
      <w:r w:rsidR="3F77D1EF" w:rsidRPr="07AD5326">
        <w:rPr>
          <w:lang w:eastAsia="en-AU"/>
        </w:rPr>
        <w:t>structured</w:t>
      </w:r>
      <w:r w:rsidRPr="07AD5326">
        <w:rPr>
          <w:lang w:eastAsia="en-AU"/>
        </w:rPr>
        <w:t xml:space="preserve"> </w:t>
      </w:r>
      <w:r w:rsidR="3F77D1EF" w:rsidRPr="07AD5326">
        <w:rPr>
          <w:lang w:eastAsia="en-AU"/>
        </w:rPr>
        <w:t>around the</w:t>
      </w:r>
      <w:r w:rsidRPr="07AD5326">
        <w:rPr>
          <w:lang w:eastAsia="en-AU"/>
        </w:rPr>
        <w:t xml:space="preserve"> </w:t>
      </w:r>
      <w:r w:rsidR="3F77D1EF" w:rsidRPr="07AD5326">
        <w:rPr>
          <w:lang w:eastAsia="en-AU"/>
        </w:rPr>
        <w:t>three</w:t>
      </w:r>
      <w:r w:rsidRPr="07AD5326">
        <w:rPr>
          <w:lang w:eastAsia="en-AU"/>
        </w:rPr>
        <w:t xml:space="preserve"> </w:t>
      </w:r>
      <w:r w:rsidR="3F77D1EF" w:rsidRPr="07AD5326">
        <w:rPr>
          <w:lang w:eastAsia="en-AU"/>
        </w:rPr>
        <w:t>research</w:t>
      </w:r>
      <w:r w:rsidRPr="07AD5326">
        <w:rPr>
          <w:lang w:eastAsia="en-AU"/>
        </w:rPr>
        <w:t xml:space="preserve"> </w:t>
      </w:r>
      <w:r w:rsidR="3F77D1EF" w:rsidRPr="07AD5326">
        <w:rPr>
          <w:lang w:eastAsia="en-AU"/>
        </w:rPr>
        <w:t>phases</w:t>
      </w:r>
      <w:r w:rsidRPr="07AD5326">
        <w:rPr>
          <w:lang w:eastAsia="en-AU"/>
        </w:rPr>
        <w:t xml:space="preserve"> </w:t>
      </w:r>
      <w:r w:rsidR="3F77D1EF" w:rsidRPr="07AD5326">
        <w:rPr>
          <w:lang w:eastAsia="en-AU"/>
        </w:rPr>
        <w:t>of the project, enabling a coherent presentation of results corresponding to each stage of the research and</w:t>
      </w:r>
      <w:r w:rsidRPr="07AD5326">
        <w:rPr>
          <w:lang w:eastAsia="en-AU"/>
        </w:rPr>
        <w:t xml:space="preserve"> </w:t>
      </w:r>
      <w:r w:rsidR="3F77D1EF" w:rsidRPr="07AD5326">
        <w:rPr>
          <w:lang w:eastAsia="en-AU"/>
        </w:rPr>
        <w:t>aligned to</w:t>
      </w:r>
      <w:r w:rsidRPr="07AD5326">
        <w:rPr>
          <w:lang w:eastAsia="en-AU"/>
        </w:rPr>
        <w:t xml:space="preserve"> </w:t>
      </w:r>
      <w:r w:rsidR="3F77D1EF" w:rsidRPr="07AD5326">
        <w:rPr>
          <w:lang w:eastAsia="en-AU"/>
        </w:rPr>
        <w:t>research questions.</w:t>
      </w:r>
      <w:r w:rsidR="70AB2085" w:rsidRPr="07AD5326">
        <w:rPr>
          <w:lang w:eastAsia="en-AU"/>
        </w:rPr>
        <w:t xml:space="preserve"> </w:t>
      </w:r>
    </w:p>
    <w:p w14:paraId="51EB84A1" w14:textId="77777777" w:rsidR="00DE559E" w:rsidRDefault="5A1AAAB8" w:rsidP="00BE24D3">
      <w:pPr>
        <w:rPr>
          <w:lang w:eastAsia="en-AU"/>
        </w:rPr>
      </w:pPr>
      <w:r w:rsidRPr="07AD5326">
        <w:rPr>
          <w:lang w:eastAsia="en-AU"/>
        </w:rPr>
        <w:t>The first phase examines ISEP design through exploration of program structures and cross-institutional comparison of curriculum intent, learning outcomes, assessment design, and moderation practices using an adapted six-phase benchmarking process (Davis et al., 2023a).</w:t>
      </w:r>
      <w:r w:rsidR="33112127" w:rsidRPr="07AD5326">
        <w:rPr>
          <w:lang w:eastAsia="en-AU"/>
        </w:rPr>
        <w:t xml:space="preserve"> </w:t>
      </w:r>
      <w:r w:rsidRPr="07AD5326">
        <w:rPr>
          <w:lang w:eastAsia="en-AU"/>
        </w:rPr>
        <w:t xml:space="preserve">Phase </w:t>
      </w:r>
      <w:r w:rsidR="006B1162">
        <w:rPr>
          <w:lang w:eastAsia="en-AU"/>
        </w:rPr>
        <w:t>t</w:t>
      </w:r>
      <w:r w:rsidRPr="07AD5326">
        <w:rPr>
          <w:lang w:eastAsia="en-AU"/>
        </w:rPr>
        <w:t xml:space="preserve">wo examines the academic outcomes of students both within the ISEP and on transition to undergraduate study. This section </w:t>
      </w:r>
      <w:proofErr w:type="gramStart"/>
      <w:r w:rsidRPr="07AD5326">
        <w:rPr>
          <w:lang w:eastAsia="en-AU"/>
        </w:rPr>
        <w:t>gives consideration to</w:t>
      </w:r>
      <w:proofErr w:type="gramEnd"/>
      <w:r w:rsidRPr="07AD5326">
        <w:rPr>
          <w:lang w:eastAsia="en-AU"/>
        </w:rPr>
        <w:t xml:space="preserve"> the academic </w:t>
      </w:r>
      <w:r w:rsidRPr="07AD5326">
        <w:rPr>
          <w:lang w:eastAsia="en-AU"/>
        </w:rPr>
        <w:lastRenderedPageBreak/>
        <w:t>outcomes of ISEP graduates and their school</w:t>
      </w:r>
      <w:r w:rsidR="0080514D">
        <w:rPr>
          <w:lang w:eastAsia="en-AU"/>
        </w:rPr>
        <w:t xml:space="preserve"> </w:t>
      </w:r>
      <w:r w:rsidRPr="07AD5326">
        <w:rPr>
          <w:lang w:eastAsia="en-AU"/>
        </w:rPr>
        <w:t>leaver peers who enter university via different pathways.</w:t>
      </w:r>
      <w:r w:rsidR="18EDDD67" w:rsidRPr="07AD5326">
        <w:rPr>
          <w:lang w:eastAsia="en-AU"/>
        </w:rPr>
        <w:t xml:space="preserve"> </w:t>
      </w:r>
      <w:r w:rsidRPr="07AD5326">
        <w:rPr>
          <w:lang w:eastAsia="en-AU"/>
        </w:rPr>
        <w:t>The third phase explores the academic and socio-emotional efficacy of ISEPs from the perspectives of students who completed a program and are now at undergraduate study</w:t>
      </w:r>
      <w:r w:rsidR="006B1162">
        <w:rPr>
          <w:lang w:eastAsia="en-AU"/>
        </w:rPr>
        <w:t>,</w:t>
      </w:r>
      <w:r w:rsidRPr="07AD5326">
        <w:rPr>
          <w:lang w:eastAsia="en-AU"/>
        </w:rPr>
        <w:t xml:space="preserve"> and </w:t>
      </w:r>
      <w:r w:rsidR="006B1162">
        <w:rPr>
          <w:lang w:eastAsia="en-AU"/>
        </w:rPr>
        <w:t>e</w:t>
      </w:r>
      <w:r w:rsidRPr="07AD5326">
        <w:rPr>
          <w:lang w:eastAsia="en-AU"/>
        </w:rPr>
        <w:t xml:space="preserve">ducators associated with the programs in high schools. Surveys and interviews with students and interviews with </w:t>
      </w:r>
      <w:r w:rsidR="006B1162">
        <w:rPr>
          <w:lang w:eastAsia="en-AU"/>
        </w:rPr>
        <w:t>e</w:t>
      </w:r>
      <w:r w:rsidRPr="07AD5326">
        <w:rPr>
          <w:lang w:eastAsia="en-AU"/>
        </w:rPr>
        <w:t xml:space="preserve">ducators gave space to understand their perceptions on the role and utility of ISEPs, as well </w:t>
      </w:r>
      <w:r w:rsidR="006B1162">
        <w:rPr>
          <w:lang w:eastAsia="en-AU"/>
        </w:rPr>
        <w:t xml:space="preserve">as </w:t>
      </w:r>
      <w:r w:rsidRPr="07AD5326">
        <w:rPr>
          <w:lang w:eastAsia="en-AU"/>
        </w:rPr>
        <w:t>an exploration of the socio-emotional impact on wellbeing for students.</w:t>
      </w:r>
      <w:r w:rsidR="00DE559E">
        <w:rPr>
          <w:lang w:eastAsia="en-AU"/>
        </w:rPr>
        <w:t xml:space="preserve"> </w:t>
      </w:r>
      <w:r w:rsidR="003061A3">
        <w:rPr>
          <w:lang w:eastAsia="en-AU"/>
        </w:rPr>
        <w:t xml:space="preserve">The </w:t>
      </w:r>
      <w:r w:rsidR="006B1162">
        <w:rPr>
          <w:lang w:eastAsia="en-AU"/>
        </w:rPr>
        <w:t>d</w:t>
      </w:r>
      <w:r w:rsidR="003061A3">
        <w:rPr>
          <w:lang w:eastAsia="en-AU"/>
        </w:rPr>
        <w:t xml:space="preserve">iscussion contextualises the project results within broader public discourse and sector discussion of widening participation and senior schooling. </w:t>
      </w:r>
      <w:r w:rsidR="003225B1">
        <w:rPr>
          <w:lang w:eastAsia="en-AU"/>
        </w:rPr>
        <w:t>This final</w:t>
      </w:r>
      <w:r w:rsidR="00D23F73">
        <w:rPr>
          <w:lang w:eastAsia="en-AU"/>
        </w:rPr>
        <w:t xml:space="preserve"> </w:t>
      </w:r>
      <w:r w:rsidR="006B1162">
        <w:rPr>
          <w:lang w:eastAsia="en-AU"/>
        </w:rPr>
        <w:t>p</w:t>
      </w:r>
      <w:r w:rsidR="00D23F73">
        <w:rPr>
          <w:lang w:eastAsia="en-AU"/>
        </w:rPr>
        <w:t>hase</w:t>
      </w:r>
      <w:r w:rsidR="003225B1">
        <w:rPr>
          <w:lang w:eastAsia="en-AU"/>
        </w:rPr>
        <w:t xml:space="preserve"> (</w:t>
      </w:r>
      <w:r w:rsidR="006B1162">
        <w:rPr>
          <w:lang w:eastAsia="en-AU"/>
        </w:rPr>
        <w:t>f</w:t>
      </w:r>
      <w:r w:rsidR="003225B1">
        <w:rPr>
          <w:lang w:eastAsia="en-AU"/>
        </w:rPr>
        <w:t>our)</w:t>
      </w:r>
      <w:r w:rsidR="00D23F73">
        <w:rPr>
          <w:lang w:eastAsia="en-AU"/>
        </w:rPr>
        <w:t xml:space="preserve"> </w:t>
      </w:r>
      <w:r w:rsidR="003225B1">
        <w:rPr>
          <w:lang w:eastAsia="en-AU"/>
        </w:rPr>
        <w:t>is a synthesis</w:t>
      </w:r>
      <w:r w:rsidR="00D23F73">
        <w:rPr>
          <w:lang w:eastAsia="en-AU"/>
        </w:rPr>
        <w:t xml:space="preserve"> of </w:t>
      </w:r>
      <w:r w:rsidR="006B1162">
        <w:rPr>
          <w:lang w:eastAsia="en-AU"/>
        </w:rPr>
        <w:t>p</w:t>
      </w:r>
      <w:r w:rsidR="00D23F73">
        <w:rPr>
          <w:lang w:eastAsia="en-AU"/>
        </w:rPr>
        <w:t xml:space="preserve">hases </w:t>
      </w:r>
      <w:r w:rsidR="006B1162">
        <w:rPr>
          <w:lang w:eastAsia="en-AU"/>
        </w:rPr>
        <w:t>o</w:t>
      </w:r>
      <w:r w:rsidR="00D23F73">
        <w:rPr>
          <w:lang w:eastAsia="en-AU"/>
        </w:rPr>
        <w:t xml:space="preserve">ne to </w:t>
      </w:r>
      <w:r w:rsidR="006B1162">
        <w:rPr>
          <w:lang w:eastAsia="en-AU"/>
        </w:rPr>
        <w:t>t</w:t>
      </w:r>
      <w:r w:rsidR="00D23F73">
        <w:rPr>
          <w:lang w:eastAsia="en-AU"/>
        </w:rPr>
        <w:t>hree</w:t>
      </w:r>
      <w:r w:rsidR="00195257">
        <w:rPr>
          <w:lang w:eastAsia="en-AU"/>
        </w:rPr>
        <w:t xml:space="preserve">. </w:t>
      </w:r>
      <w:r w:rsidR="00D413FE">
        <w:rPr>
          <w:lang w:eastAsia="en-AU"/>
        </w:rPr>
        <w:t>Th</w:t>
      </w:r>
      <w:r w:rsidR="00CE365D">
        <w:rPr>
          <w:lang w:eastAsia="en-AU"/>
        </w:rPr>
        <w:t xml:space="preserve">is discussion provides a rounded </w:t>
      </w:r>
      <w:r w:rsidR="00D23F73">
        <w:rPr>
          <w:lang w:eastAsia="en-AU"/>
        </w:rPr>
        <w:t xml:space="preserve">understanding of </w:t>
      </w:r>
      <w:r w:rsidR="00814FCB">
        <w:rPr>
          <w:lang w:eastAsia="en-AU"/>
        </w:rPr>
        <w:t xml:space="preserve">how </w:t>
      </w:r>
      <w:r w:rsidR="00D23F73">
        <w:rPr>
          <w:lang w:eastAsia="en-AU"/>
        </w:rPr>
        <w:t>ISEPs</w:t>
      </w:r>
      <w:r w:rsidR="002336D0">
        <w:rPr>
          <w:lang w:eastAsia="en-AU"/>
        </w:rPr>
        <w:t xml:space="preserve"> </w:t>
      </w:r>
      <w:r w:rsidR="00814FCB">
        <w:rPr>
          <w:lang w:eastAsia="en-AU"/>
        </w:rPr>
        <w:t>provide an accessible,</w:t>
      </w:r>
      <w:r w:rsidR="002336D0">
        <w:rPr>
          <w:rFonts w:eastAsia="Arial"/>
        </w:rPr>
        <w:t xml:space="preserve"> confident, quality</w:t>
      </w:r>
      <w:r w:rsidR="002336D0" w:rsidRPr="52935A30">
        <w:rPr>
          <w:rFonts w:eastAsia="Arial"/>
        </w:rPr>
        <w:t xml:space="preserve"> pathway to university for students who do not have access to, or are not thriving in, the ATAR system, particularly those from equity and disadvantaged backgrounds</w:t>
      </w:r>
      <w:r w:rsidR="00D335BA">
        <w:rPr>
          <w:lang w:eastAsia="en-AU"/>
        </w:rPr>
        <w:t>.</w:t>
      </w:r>
      <w:r w:rsidR="00F05838">
        <w:rPr>
          <w:lang w:eastAsia="en-AU"/>
        </w:rPr>
        <w:t xml:space="preserve"> </w:t>
      </w:r>
    </w:p>
    <w:p w14:paraId="37B4175C" w14:textId="38272CB9" w:rsidR="00530C99" w:rsidRDefault="00264FC7" w:rsidP="00BE24D3">
      <w:pPr>
        <w:rPr>
          <w:lang w:eastAsia="en-AU"/>
        </w:rPr>
      </w:pPr>
      <w:r>
        <w:rPr>
          <w:lang w:eastAsia="en-AU"/>
        </w:rPr>
        <w:t xml:space="preserve">The </w:t>
      </w:r>
      <w:r w:rsidR="00DE70E7">
        <w:rPr>
          <w:lang w:eastAsia="en-AU"/>
        </w:rPr>
        <w:t>c</w:t>
      </w:r>
      <w:r>
        <w:rPr>
          <w:lang w:eastAsia="en-AU"/>
        </w:rPr>
        <w:t>onclusion summarises the project and puts forward several recommendations for</w:t>
      </w:r>
      <w:r w:rsidR="00D23F73">
        <w:rPr>
          <w:lang w:eastAsia="en-AU"/>
        </w:rPr>
        <w:t xml:space="preserve"> </w:t>
      </w:r>
      <w:r>
        <w:rPr>
          <w:lang w:eastAsia="en-AU"/>
        </w:rPr>
        <w:t>a range of stakeholders. As an</w:t>
      </w:r>
      <w:r w:rsidR="00D23F73">
        <w:rPr>
          <w:lang w:eastAsia="en-AU"/>
        </w:rPr>
        <w:t xml:space="preserve"> </w:t>
      </w:r>
      <w:r>
        <w:rPr>
          <w:lang w:eastAsia="en-AU"/>
        </w:rPr>
        <w:t>emerging</w:t>
      </w:r>
      <w:r w:rsidR="00D23F73">
        <w:rPr>
          <w:lang w:eastAsia="en-AU"/>
        </w:rPr>
        <w:t xml:space="preserve"> </w:t>
      </w:r>
      <w:r>
        <w:rPr>
          <w:lang w:eastAsia="en-AU"/>
        </w:rPr>
        <w:t>subtype</w:t>
      </w:r>
      <w:r w:rsidR="00D23F73">
        <w:rPr>
          <w:lang w:eastAsia="en-AU"/>
        </w:rPr>
        <w:t xml:space="preserve"> </w:t>
      </w:r>
      <w:r>
        <w:rPr>
          <w:lang w:eastAsia="en-AU"/>
        </w:rPr>
        <w:t xml:space="preserve">of </w:t>
      </w:r>
      <w:r w:rsidR="00DE70E7">
        <w:rPr>
          <w:lang w:eastAsia="en-AU"/>
        </w:rPr>
        <w:t>e</w:t>
      </w:r>
      <w:r>
        <w:rPr>
          <w:lang w:eastAsia="en-AU"/>
        </w:rPr>
        <w:t>nabling</w:t>
      </w:r>
      <w:r w:rsidR="0D11869F">
        <w:rPr>
          <w:lang w:eastAsia="en-AU"/>
        </w:rPr>
        <w:t xml:space="preserve"> program</w:t>
      </w:r>
      <w:r>
        <w:rPr>
          <w:lang w:eastAsia="en-AU"/>
        </w:rPr>
        <w:t>,</w:t>
      </w:r>
      <w:r w:rsidR="00D23F73">
        <w:rPr>
          <w:lang w:eastAsia="en-AU"/>
        </w:rPr>
        <w:t xml:space="preserve"> </w:t>
      </w:r>
      <w:r>
        <w:rPr>
          <w:lang w:eastAsia="en-AU"/>
        </w:rPr>
        <w:t>and</w:t>
      </w:r>
      <w:r w:rsidR="00D23F73">
        <w:rPr>
          <w:lang w:eastAsia="en-AU"/>
        </w:rPr>
        <w:t xml:space="preserve"> </w:t>
      </w:r>
      <w:r>
        <w:rPr>
          <w:lang w:eastAsia="en-AU"/>
        </w:rPr>
        <w:t xml:space="preserve">with this project as the first comprehensive exploration of </w:t>
      </w:r>
      <w:r w:rsidR="00C07358">
        <w:rPr>
          <w:lang w:eastAsia="en-AU"/>
        </w:rPr>
        <w:t>ISEP</w:t>
      </w:r>
      <w:r w:rsidR="2D2A563D">
        <w:rPr>
          <w:lang w:eastAsia="en-AU"/>
        </w:rPr>
        <w:t>s</w:t>
      </w:r>
      <w:r>
        <w:rPr>
          <w:lang w:eastAsia="en-AU"/>
        </w:rPr>
        <w:t>,</w:t>
      </w:r>
      <w:r w:rsidR="00D23F73">
        <w:rPr>
          <w:lang w:eastAsia="en-AU"/>
        </w:rPr>
        <w:t xml:space="preserve"> </w:t>
      </w:r>
      <w:r>
        <w:rPr>
          <w:lang w:eastAsia="en-AU"/>
        </w:rPr>
        <w:t>there is scope for further research, with suggested research focus provided.</w:t>
      </w:r>
    </w:p>
    <w:p w14:paraId="6AA0E44F" w14:textId="77777777" w:rsidR="00530C99" w:rsidRDefault="00530C99" w:rsidP="00BE24D3">
      <w:pPr>
        <w:rPr>
          <w:lang w:eastAsia="en-AU"/>
        </w:rPr>
      </w:pPr>
    </w:p>
    <w:p w14:paraId="3C2239D0" w14:textId="77777777" w:rsidR="00530C99" w:rsidRDefault="00530C99" w:rsidP="00BE24D3">
      <w:pPr>
        <w:rPr>
          <w:lang w:eastAsia="en-AU"/>
        </w:rPr>
      </w:pPr>
    </w:p>
    <w:p w14:paraId="0F1EF45B" w14:textId="77777777" w:rsidR="00BE24D3" w:rsidRDefault="00BE24D3" w:rsidP="00BE24D3">
      <w:pPr>
        <w:rPr>
          <w:lang w:eastAsia="en-AU"/>
        </w:rPr>
      </w:pPr>
    </w:p>
    <w:p w14:paraId="523D7CA6" w14:textId="0DA53A90" w:rsidR="00BE24D3" w:rsidRDefault="00BE24D3" w:rsidP="00BE24D3">
      <w:pPr>
        <w:rPr>
          <w:lang w:eastAsia="en-AU"/>
        </w:rPr>
      </w:pPr>
      <w:r>
        <w:br w:type="page"/>
      </w:r>
    </w:p>
    <w:p w14:paraId="4A3D8B24" w14:textId="353D808F" w:rsidR="00432CAB" w:rsidRPr="0091142E" w:rsidRDefault="009D6D47" w:rsidP="00A32591">
      <w:pPr>
        <w:pStyle w:val="Heading1"/>
      </w:pPr>
      <w:bookmarkStart w:id="20" w:name="_Toc217162473"/>
      <w:bookmarkStart w:id="21" w:name="_Toc232766170"/>
      <w:r w:rsidRPr="0079608F">
        <w:lastRenderedPageBreak/>
        <w:t>Background</w:t>
      </w:r>
      <w:bookmarkEnd w:id="20"/>
      <w:bookmarkEnd w:id="21"/>
      <w:r w:rsidR="00BA2B7C">
        <w:t xml:space="preserve"> </w:t>
      </w:r>
    </w:p>
    <w:p w14:paraId="503070D2" w14:textId="77777777" w:rsidR="00497E88" w:rsidRDefault="59140D7F" w:rsidP="655EF06A">
      <w:pPr>
        <w:rPr>
          <w:rFonts w:eastAsia="Arial"/>
        </w:rPr>
      </w:pPr>
      <w:r w:rsidRPr="07AD5326">
        <w:rPr>
          <w:rFonts w:eastAsia="Arial"/>
        </w:rPr>
        <w:t xml:space="preserve">Educational </w:t>
      </w:r>
      <w:r w:rsidR="00DE70E7">
        <w:rPr>
          <w:rFonts w:eastAsia="Arial"/>
        </w:rPr>
        <w:t>e</w:t>
      </w:r>
      <w:r w:rsidRPr="07AD5326">
        <w:rPr>
          <w:rFonts w:eastAsia="Arial"/>
        </w:rPr>
        <w:t xml:space="preserve">nabling programs in Australia, developed independently to meet the diverse needs of universities and their students, facilitate the transition to undergraduate study for those otherwise excluded from higher education. Despite existing for five decades, </w:t>
      </w:r>
      <w:r w:rsidR="00DE70E7">
        <w:rPr>
          <w:rFonts w:eastAsia="Arial"/>
        </w:rPr>
        <w:t>e</w:t>
      </w:r>
      <w:r w:rsidRPr="07AD5326">
        <w:rPr>
          <w:rFonts w:eastAsia="Arial"/>
        </w:rPr>
        <w:t>nabling programs remain unregulated through exclusion from the Australian Qualifications Framework (AQF), yet there is evidence of a high level of consistency with shared learning outcomes, curriculum</w:t>
      </w:r>
      <w:r w:rsidR="00DE70E7">
        <w:rPr>
          <w:rFonts w:eastAsia="Arial"/>
        </w:rPr>
        <w:t>,</w:t>
      </w:r>
      <w:r w:rsidRPr="07AD5326">
        <w:rPr>
          <w:rFonts w:eastAsia="Arial"/>
        </w:rPr>
        <w:t xml:space="preserve"> and outcome standards in programs across Australia (Davis et al., 2023a; Davis et al., 2023b). </w:t>
      </w:r>
    </w:p>
    <w:p w14:paraId="077FC420" w14:textId="724EB2DB" w:rsidR="001019D1" w:rsidRDefault="59140D7F" w:rsidP="655EF06A">
      <w:pPr>
        <w:rPr>
          <w:rFonts w:eastAsia="Arial"/>
        </w:rPr>
      </w:pPr>
      <w:r w:rsidRPr="07AD5326">
        <w:rPr>
          <w:rFonts w:eastAsia="Arial"/>
        </w:rPr>
        <w:t xml:space="preserve">Enabling programs occupy a critical space in Australia’s higher education landscape, serving as a bridge for students who might otherwise be excluded from university study. Enabling programs are designed to provide essential academic skills and confidence, enabling learners to transition successfully into undergraduate degrees. Unlike traditional degree programs, </w:t>
      </w:r>
      <w:r w:rsidR="00DE70E7">
        <w:rPr>
          <w:rFonts w:eastAsia="Arial"/>
        </w:rPr>
        <w:t>e</w:t>
      </w:r>
      <w:r w:rsidRPr="07AD5326">
        <w:rPr>
          <w:rFonts w:eastAsia="Arial"/>
        </w:rPr>
        <w:t>nabling programs are preparatory in nature, often fee-free</w:t>
      </w:r>
      <w:r w:rsidR="00DE70E7">
        <w:rPr>
          <w:rFonts w:eastAsia="Arial"/>
        </w:rPr>
        <w:t>,</w:t>
      </w:r>
      <w:r w:rsidRPr="07AD5326">
        <w:rPr>
          <w:rFonts w:eastAsia="Arial"/>
        </w:rPr>
        <w:t xml:space="preserve"> and accessible to students from diverse backgrounds, including those facing educational disadvantage or disruption. Enabling programs </w:t>
      </w:r>
      <w:proofErr w:type="gramStart"/>
      <w:r w:rsidRPr="07AD5326">
        <w:rPr>
          <w:rFonts w:eastAsia="Arial"/>
        </w:rPr>
        <w:t>have</w:t>
      </w:r>
      <w:proofErr w:type="gramEnd"/>
      <w:r w:rsidRPr="07AD5326">
        <w:rPr>
          <w:rFonts w:eastAsia="Arial"/>
        </w:rPr>
        <w:t xml:space="preserve"> evolved over time to meet the needs of varied cohorts and contexts, reflecting a commitment to widening participation and equity in higher education. More recently, integrating </w:t>
      </w:r>
      <w:r w:rsidR="00DE70E7">
        <w:rPr>
          <w:rFonts w:eastAsia="Arial"/>
        </w:rPr>
        <w:t>e</w:t>
      </w:r>
      <w:r w:rsidRPr="07AD5326">
        <w:rPr>
          <w:rFonts w:eastAsia="Arial"/>
        </w:rPr>
        <w:t xml:space="preserve">nabling programs within senior school has emerged in response to requests by the secondary schooling sector. These programs extend innovative post-school </w:t>
      </w:r>
      <w:r w:rsidR="00DE70E7">
        <w:rPr>
          <w:rFonts w:eastAsia="Arial"/>
        </w:rPr>
        <w:t>e</w:t>
      </w:r>
      <w:r w:rsidRPr="07AD5326">
        <w:rPr>
          <w:rFonts w:eastAsia="Arial"/>
        </w:rPr>
        <w:t xml:space="preserve">nabling education models, offering senior secondary students a direct pathway to university through collaborative partnerships between schools and universities. </w:t>
      </w:r>
    </w:p>
    <w:p w14:paraId="17C0135E" w14:textId="35B5B55B" w:rsidR="002C3FE9" w:rsidRDefault="1855E533" w:rsidP="3C2F4452">
      <w:r w:rsidRPr="5AF546B2">
        <w:rPr>
          <w:rFonts w:eastAsia="Arial"/>
        </w:rPr>
        <w:t xml:space="preserve">Australian secondary education has traditionally been structured as a binary of pathways. Since the establishment of the </w:t>
      </w:r>
      <w:r w:rsidR="3DB88345" w:rsidRPr="5AF546B2">
        <w:rPr>
          <w:rFonts w:eastAsia="Arial"/>
        </w:rPr>
        <w:t xml:space="preserve">ATAR </w:t>
      </w:r>
      <w:r w:rsidRPr="5AF546B2">
        <w:rPr>
          <w:rFonts w:eastAsia="Arial"/>
        </w:rPr>
        <w:t xml:space="preserve">in 2009, </w:t>
      </w:r>
      <w:r w:rsidR="00F73FA1">
        <w:rPr>
          <w:rFonts w:eastAsia="Arial"/>
        </w:rPr>
        <w:t>the ATAR</w:t>
      </w:r>
      <w:r w:rsidR="554A18A2" w:rsidRPr="5AF546B2">
        <w:rPr>
          <w:rFonts w:eastAsia="Arial"/>
        </w:rPr>
        <w:t xml:space="preserve"> has </w:t>
      </w:r>
      <w:r w:rsidRPr="5AF546B2">
        <w:rPr>
          <w:rFonts w:eastAsia="Arial"/>
        </w:rPr>
        <w:t>evolved</w:t>
      </w:r>
      <w:r w:rsidR="554A18A2" w:rsidRPr="5AF546B2">
        <w:rPr>
          <w:rFonts w:eastAsia="Arial"/>
        </w:rPr>
        <w:t xml:space="preserve"> beyond </w:t>
      </w:r>
      <w:r w:rsidRPr="5AF546B2">
        <w:rPr>
          <w:rFonts w:eastAsia="Arial"/>
        </w:rPr>
        <w:t xml:space="preserve">its original purpose, functioning </w:t>
      </w:r>
      <w:r w:rsidR="554A18A2" w:rsidRPr="5AF546B2">
        <w:rPr>
          <w:rFonts w:eastAsia="Arial"/>
        </w:rPr>
        <w:t xml:space="preserve">both </w:t>
      </w:r>
      <w:r w:rsidRPr="5AF546B2">
        <w:rPr>
          <w:rFonts w:eastAsia="Arial"/>
        </w:rPr>
        <w:t xml:space="preserve">as an indicator of </w:t>
      </w:r>
      <w:r w:rsidR="554A18A2" w:rsidRPr="5AF546B2">
        <w:rPr>
          <w:rFonts w:eastAsia="Arial"/>
        </w:rPr>
        <w:t xml:space="preserve">secondary school achievement </w:t>
      </w:r>
      <w:r w:rsidRPr="5AF546B2">
        <w:rPr>
          <w:rFonts w:eastAsia="Arial"/>
        </w:rPr>
        <w:t>and as a mechanism</w:t>
      </w:r>
      <w:r w:rsidR="554A18A2" w:rsidRPr="5AF546B2">
        <w:rPr>
          <w:rFonts w:eastAsia="Arial"/>
        </w:rPr>
        <w:t xml:space="preserve"> for </w:t>
      </w:r>
      <w:r w:rsidRPr="5AF546B2">
        <w:rPr>
          <w:rFonts w:eastAsia="Arial"/>
        </w:rPr>
        <w:t xml:space="preserve">university entry </w:t>
      </w:r>
      <w:r w:rsidR="554A18A2" w:rsidRPr="5AF546B2">
        <w:rPr>
          <w:rFonts w:eastAsia="Arial"/>
        </w:rPr>
        <w:t>(</w:t>
      </w:r>
      <w:r w:rsidR="50659FB5" w:rsidRPr="5AF546B2">
        <w:rPr>
          <w:rFonts w:eastAsia="Arial"/>
        </w:rPr>
        <w:t xml:space="preserve">Learning Creates Australia, 2023; </w:t>
      </w:r>
      <w:r w:rsidR="554A18A2" w:rsidRPr="5AF546B2">
        <w:rPr>
          <w:rFonts w:eastAsia="Arial"/>
        </w:rPr>
        <w:t>Pilcher et al., 2025)</w:t>
      </w:r>
      <w:r w:rsidR="29509755" w:rsidRPr="5AF546B2">
        <w:rPr>
          <w:rFonts w:eastAsia="Arial"/>
        </w:rPr>
        <w:t xml:space="preserve">. </w:t>
      </w:r>
      <w:r w:rsidRPr="5AF546B2">
        <w:rPr>
          <w:rFonts w:eastAsia="Arial"/>
        </w:rPr>
        <w:t>Paradoxically, though</w:t>
      </w:r>
      <w:r w:rsidR="29509755" w:rsidRPr="5AF546B2">
        <w:rPr>
          <w:rFonts w:eastAsia="Arial"/>
        </w:rPr>
        <w:t xml:space="preserve"> the ATAR </w:t>
      </w:r>
      <w:r w:rsidRPr="5AF546B2">
        <w:rPr>
          <w:rFonts w:eastAsia="Arial"/>
        </w:rPr>
        <w:t xml:space="preserve">is regarded as a national measure, its calculation </w:t>
      </w:r>
      <w:r w:rsidR="29509755" w:rsidRPr="5AF546B2">
        <w:rPr>
          <w:rFonts w:eastAsia="Arial"/>
        </w:rPr>
        <w:t xml:space="preserve">remains </w:t>
      </w:r>
      <w:r w:rsidRPr="5AF546B2">
        <w:rPr>
          <w:rFonts w:eastAsia="Arial"/>
        </w:rPr>
        <w:t>deeply embedded</w:t>
      </w:r>
      <w:r w:rsidR="29509755" w:rsidRPr="5AF546B2">
        <w:rPr>
          <w:rFonts w:eastAsia="Arial"/>
        </w:rPr>
        <w:t xml:space="preserve"> in state and territory </w:t>
      </w:r>
      <w:r w:rsidRPr="5AF546B2">
        <w:rPr>
          <w:rFonts w:eastAsia="Arial"/>
        </w:rPr>
        <w:t>systems</w:t>
      </w:r>
      <w:r w:rsidR="29509755" w:rsidRPr="5AF546B2">
        <w:rPr>
          <w:rFonts w:eastAsia="Arial"/>
        </w:rPr>
        <w:t xml:space="preserve"> and </w:t>
      </w:r>
      <w:r w:rsidRPr="5AF546B2">
        <w:rPr>
          <w:rFonts w:eastAsia="Arial"/>
        </w:rPr>
        <w:t xml:space="preserve">procedures, with each jurisdiction applying its own assessment and certification </w:t>
      </w:r>
      <w:r w:rsidR="29509755" w:rsidRPr="5AF546B2">
        <w:rPr>
          <w:rFonts w:eastAsia="Arial"/>
        </w:rPr>
        <w:t>processes</w:t>
      </w:r>
      <w:r w:rsidRPr="5AF546B2">
        <w:rPr>
          <w:rFonts w:eastAsia="Arial"/>
        </w:rPr>
        <w:t xml:space="preserve"> (</w:t>
      </w:r>
      <w:proofErr w:type="spellStart"/>
      <w:r w:rsidRPr="5AF546B2">
        <w:rPr>
          <w:rFonts w:eastAsia="Arial"/>
        </w:rPr>
        <w:t>Shergold</w:t>
      </w:r>
      <w:proofErr w:type="spellEnd"/>
      <w:r w:rsidRPr="5AF546B2">
        <w:rPr>
          <w:rFonts w:eastAsia="Arial"/>
        </w:rPr>
        <w:t xml:space="preserve">, 2020). Building on this context, in framing the discussion on the </w:t>
      </w:r>
      <w:r w:rsidR="00CC0C42">
        <w:rPr>
          <w:rFonts w:eastAsia="Arial"/>
        </w:rPr>
        <w:t>emergence of</w:t>
      </w:r>
      <w:r w:rsidRPr="5AF546B2">
        <w:rPr>
          <w:rFonts w:eastAsia="Arial"/>
        </w:rPr>
        <w:t xml:space="preserve"> ISEPs </w:t>
      </w:r>
      <w:r w:rsidR="60C23586" w:rsidRPr="10B685C0">
        <w:rPr>
          <w:rFonts w:eastAsia="Arial"/>
        </w:rPr>
        <w:t>as a</w:t>
      </w:r>
      <w:r w:rsidRPr="5AF546B2">
        <w:rPr>
          <w:rFonts w:eastAsia="Arial"/>
        </w:rPr>
        <w:t xml:space="preserve"> senior </w:t>
      </w:r>
      <w:r w:rsidR="60C23586" w:rsidRPr="10B685C0">
        <w:rPr>
          <w:rFonts w:eastAsia="Arial"/>
        </w:rPr>
        <w:t>school pathway</w:t>
      </w:r>
      <w:r w:rsidRPr="5AF546B2">
        <w:rPr>
          <w:rFonts w:eastAsia="Arial"/>
        </w:rPr>
        <w:t xml:space="preserve">, consideration must be given to factors </w:t>
      </w:r>
      <w:r w:rsidR="1D3E2900" w:rsidRPr="1E879DA5">
        <w:rPr>
          <w:rFonts w:eastAsia="Arial"/>
        </w:rPr>
        <w:t>impacting</w:t>
      </w:r>
      <w:r w:rsidRPr="1E879DA5">
        <w:rPr>
          <w:rFonts w:eastAsia="Arial"/>
        </w:rPr>
        <w:t xml:space="preserve"> Australian adolescents</w:t>
      </w:r>
      <w:r w:rsidR="6FD2DD66" w:rsidRPr="1E879DA5">
        <w:rPr>
          <w:rFonts w:eastAsia="Arial"/>
        </w:rPr>
        <w:t xml:space="preserve">, </w:t>
      </w:r>
      <w:r w:rsidRPr="5AF546B2">
        <w:rPr>
          <w:rFonts w:eastAsia="Arial"/>
        </w:rPr>
        <w:t>particularly those from equity groups</w:t>
      </w:r>
      <w:r w:rsidR="21BA5439" w:rsidRPr="5AF546B2">
        <w:rPr>
          <w:rFonts w:eastAsia="Arial"/>
        </w:rPr>
        <w:t>.</w:t>
      </w:r>
    </w:p>
    <w:p w14:paraId="4C120EBF" w14:textId="16FB2613" w:rsidR="00BC5841" w:rsidRPr="00093115" w:rsidRDefault="004C3D20" w:rsidP="00A32591">
      <w:pPr>
        <w:pStyle w:val="Heading2"/>
      </w:pPr>
      <w:bookmarkStart w:id="22" w:name="_Toc217162474"/>
      <w:bookmarkStart w:id="23" w:name="_Toc232766171"/>
      <w:r>
        <w:t xml:space="preserve">An evolution of </w:t>
      </w:r>
      <w:r w:rsidR="004A0B8E">
        <w:t>e</w:t>
      </w:r>
      <w:r>
        <w:t>nabling education</w:t>
      </w:r>
      <w:bookmarkEnd w:id="22"/>
      <w:bookmarkEnd w:id="23"/>
    </w:p>
    <w:p w14:paraId="589C2BD0" w14:textId="77777777" w:rsidR="00497E88" w:rsidRDefault="3FC22292" w:rsidP="44ED9A66">
      <w:r>
        <w:t xml:space="preserve">University </w:t>
      </w:r>
      <w:r w:rsidR="004A0B8E">
        <w:t>e</w:t>
      </w:r>
      <w:r>
        <w:t xml:space="preserve">nabling </w:t>
      </w:r>
      <w:r w:rsidR="004A0B8E">
        <w:t>p</w:t>
      </w:r>
      <w:r>
        <w:t>rograms, otherwise known as bridging</w:t>
      </w:r>
      <w:r w:rsidR="5DA5B4A9">
        <w:t>,</w:t>
      </w:r>
      <w:r>
        <w:t xml:space="preserve"> foundation</w:t>
      </w:r>
      <w:r w:rsidR="004A0B8E">
        <w:t>,</w:t>
      </w:r>
      <w:r>
        <w:t xml:space="preserve"> or preparation programs, prepare students with the essential skills for academic success within higher education. </w:t>
      </w:r>
      <w:r w:rsidR="00E64136">
        <w:t>T</w:t>
      </w:r>
      <w:r w:rsidR="042155CF">
        <w:t xml:space="preserve">hough delivered by universities, </w:t>
      </w:r>
      <w:r w:rsidR="004A0B8E">
        <w:t>e</w:t>
      </w:r>
      <w:r w:rsidR="042155CF">
        <w:t xml:space="preserve">nabling programs </w:t>
      </w:r>
      <w:r w:rsidR="5B705D80">
        <w:t xml:space="preserve">are distinct from traditional degree programs. </w:t>
      </w:r>
      <w:r w:rsidR="0F5C8529">
        <w:t xml:space="preserve">Defined within the </w:t>
      </w:r>
      <w:r w:rsidR="0F5C8529" w:rsidRPr="07AD5326">
        <w:rPr>
          <w:i/>
          <w:iCs/>
        </w:rPr>
        <w:t>Higher Education Support Act 2003</w:t>
      </w:r>
      <w:r w:rsidR="0F5C8529">
        <w:t xml:space="preserve"> as:</w:t>
      </w:r>
      <w:r w:rsidR="5B705D80">
        <w:t xml:space="preserve"> </w:t>
      </w:r>
      <w:r w:rsidR="6621BEC2">
        <w:t>“</w:t>
      </w:r>
      <w:r w:rsidR="447F1F64">
        <w:t>a course of instruction provided to a person for the purpose of enabling the person to undertake a course leading to a higher education award</w:t>
      </w:r>
      <w:r w:rsidR="6745318E">
        <w:t>”</w:t>
      </w:r>
      <w:r w:rsidR="5B705D80">
        <w:t xml:space="preserve">, these programs </w:t>
      </w:r>
      <w:r w:rsidR="35CB415D">
        <w:t>are designed to prepare and quali</w:t>
      </w:r>
      <w:r w:rsidR="49D964A8">
        <w:t>f</w:t>
      </w:r>
      <w:r w:rsidR="35CB415D">
        <w:t xml:space="preserve">y students for undergraduate study. </w:t>
      </w:r>
    </w:p>
    <w:p w14:paraId="77264A39" w14:textId="77777777" w:rsidR="00497E88" w:rsidRDefault="5998B335" w:rsidP="44ED9A66">
      <w:r>
        <w:t>With minimal or no entry requirements</w:t>
      </w:r>
      <w:r w:rsidR="004A0B8E">
        <w:t>,</w:t>
      </w:r>
      <w:r w:rsidR="17FF8EB4">
        <w:t xml:space="preserve"> and generally provided at no cost to the student</w:t>
      </w:r>
      <w:r>
        <w:t xml:space="preserve">, </w:t>
      </w:r>
      <w:r w:rsidR="004A0B8E">
        <w:t>e</w:t>
      </w:r>
      <w:r>
        <w:t xml:space="preserve">nabling programs </w:t>
      </w:r>
      <w:r w:rsidR="153174C7">
        <w:t xml:space="preserve">enrol high proportions of students from equity groups and thereby play </w:t>
      </w:r>
      <w:r w:rsidR="004A0B8E">
        <w:t xml:space="preserve">an </w:t>
      </w:r>
      <w:r w:rsidR="4FEFB486">
        <w:t xml:space="preserve">important part </w:t>
      </w:r>
      <w:r w:rsidR="153174C7">
        <w:t xml:space="preserve">in </w:t>
      </w:r>
      <w:r w:rsidR="4FEFB486">
        <w:t>Australia’s widening participation agenda</w:t>
      </w:r>
      <w:r w:rsidR="09798395">
        <w:t>.</w:t>
      </w:r>
      <w:r w:rsidR="0EEF6FE0">
        <w:t xml:space="preserve"> </w:t>
      </w:r>
      <w:r w:rsidR="5152B899">
        <w:t xml:space="preserve">Pre-tertiary pathway students </w:t>
      </w:r>
      <w:r w:rsidR="009D0B2A">
        <w:lastRenderedPageBreak/>
        <w:t>“</w:t>
      </w:r>
      <w:r w:rsidR="5152B899">
        <w:t>are typically from groups underrepresented at university, and/or have experienced disruption during their educational journeys</w:t>
      </w:r>
      <w:r w:rsidR="009D0B2A">
        <w:t>”</w:t>
      </w:r>
      <w:r w:rsidR="5152B899">
        <w:t xml:space="preserve"> (Crawford &amp; Johns, 2018; Hopkins, 2021; Olds et.al, 2018). Many are from low</w:t>
      </w:r>
      <w:r w:rsidR="004A0B8E">
        <w:t xml:space="preserve"> </w:t>
      </w:r>
      <w:r w:rsidR="5152B899">
        <w:t>socio</w:t>
      </w:r>
      <w:r w:rsidR="004A0B8E">
        <w:t>-</w:t>
      </w:r>
      <w:r w:rsidR="5152B899">
        <w:t xml:space="preserve">economic </w:t>
      </w:r>
      <w:r w:rsidR="004A0B8E">
        <w:t xml:space="preserve">status </w:t>
      </w:r>
      <w:r w:rsidR="5152B899">
        <w:t xml:space="preserve">backgrounds, </w:t>
      </w:r>
      <w:r w:rsidR="004A0B8E">
        <w:t xml:space="preserve">are </w:t>
      </w:r>
      <w:r w:rsidR="5152B899">
        <w:t xml:space="preserve">first-in-family to attend university, have had substantial gaps in learning, or encountered </w:t>
      </w:r>
      <w:r w:rsidR="11370780">
        <w:t>challenges associated with disability, neurodivergence</w:t>
      </w:r>
      <w:r w:rsidR="004A0B8E">
        <w:t>,</w:t>
      </w:r>
      <w:r w:rsidR="11370780">
        <w:t xml:space="preserve"> or </w:t>
      </w:r>
      <w:r w:rsidR="5152B899">
        <w:t xml:space="preserve">mental </w:t>
      </w:r>
      <w:r w:rsidR="11370780">
        <w:t>ill-health</w:t>
      </w:r>
      <w:r w:rsidR="5152B899">
        <w:t xml:space="preserve"> within or impacting their education. Literature suggests that these students commence study with diverse needs that require additional pastoral, mental health</w:t>
      </w:r>
      <w:r w:rsidR="004A0B8E">
        <w:t>,</w:t>
      </w:r>
      <w:r w:rsidR="5152B899">
        <w:t xml:space="preserve"> and academic support (Crawford &amp; Johns, 2018; Hopkins, 2021; Jones et al., 2016; Olds et al., 2018). </w:t>
      </w:r>
    </w:p>
    <w:p w14:paraId="7C508D79" w14:textId="7A49AAB1" w:rsidR="00E8009F" w:rsidRDefault="4A5659FF" w:rsidP="44ED9A66">
      <w:r>
        <w:t>Enabling</w:t>
      </w:r>
      <w:r w:rsidR="5D910018">
        <w:t xml:space="preserve"> </w:t>
      </w:r>
      <w:r w:rsidR="5262BAF9">
        <w:t>programs in Australia developed independently to meet the diverse needs of students, communities</w:t>
      </w:r>
      <w:r w:rsidR="004A0B8E">
        <w:t>,</w:t>
      </w:r>
      <w:r w:rsidR="5262BAF9">
        <w:t xml:space="preserve"> and universities and have evolved and been refined over 50 years, such that </w:t>
      </w:r>
      <w:r w:rsidR="610691E2">
        <w:t>programs</w:t>
      </w:r>
      <w:r w:rsidR="0B1696D2">
        <w:t xml:space="preserve"> are highly contextualised to place. </w:t>
      </w:r>
      <w:r w:rsidR="1C9AD5A9">
        <w:t xml:space="preserve">The programs are </w:t>
      </w:r>
      <w:r w:rsidR="7A2B4DE3">
        <w:t>offered with varying structures, funding models</w:t>
      </w:r>
      <w:r w:rsidR="004A0B8E">
        <w:t>,</w:t>
      </w:r>
      <w:r w:rsidR="7A2B4DE3">
        <w:t xml:space="preserve"> and delivery modes</w:t>
      </w:r>
      <w:r w:rsidR="781C695B">
        <w:t>.</w:t>
      </w:r>
      <w:r w:rsidR="7A2B4DE3">
        <w:t xml:space="preserve"> </w:t>
      </w:r>
      <w:r w:rsidR="04F8F2DE">
        <w:t xml:space="preserve">A consistent body of work indicates that the teaching and learning within </w:t>
      </w:r>
      <w:r w:rsidR="004A0B8E">
        <w:t>e</w:t>
      </w:r>
      <w:r w:rsidR="04F8F2DE">
        <w:t>nabling programs typically entails scaffolded curriculum, philosophies of care, social justice</w:t>
      </w:r>
      <w:r w:rsidR="004A0B8E">
        <w:t>,</w:t>
      </w:r>
      <w:r w:rsidR="04F8F2DE">
        <w:t xml:space="preserve"> and student flourishing (</w:t>
      </w:r>
      <w:r w:rsidR="1697F20D">
        <w:t>Stokes</w:t>
      </w:r>
      <w:r w:rsidR="1D2BA67C">
        <w:t xml:space="preserve">, 2024; Hattam et al, 2024; </w:t>
      </w:r>
      <w:r w:rsidR="04F8F2DE">
        <w:t xml:space="preserve">Jones et al., </w:t>
      </w:r>
      <w:r w:rsidR="1697F20D">
        <w:t>2019</w:t>
      </w:r>
      <w:r w:rsidR="04F8F2DE">
        <w:t>;</w:t>
      </w:r>
      <w:r w:rsidR="1D2BA67C">
        <w:t xml:space="preserve"> Crawford et</w:t>
      </w:r>
      <w:r w:rsidR="00770FEB">
        <w:t xml:space="preserve"> al.,</w:t>
      </w:r>
      <w:r w:rsidR="1D2BA67C">
        <w:t xml:space="preserve"> </w:t>
      </w:r>
      <w:r w:rsidR="00770FEB">
        <w:t>2016</w:t>
      </w:r>
      <w:r w:rsidR="04F8F2DE">
        <w:t>), in both face-to-face and online learning environments (Hopkins, 2021).</w:t>
      </w:r>
      <w:r w:rsidR="116896B1">
        <w:t xml:space="preserve"> </w:t>
      </w:r>
      <w:r w:rsidR="77EA19E3">
        <w:t xml:space="preserve">Several universities provide </w:t>
      </w:r>
      <w:r w:rsidR="6654D4D8">
        <w:t>cohort- or discipline-specific programs, such as</w:t>
      </w:r>
      <w:r w:rsidR="666C9083">
        <w:t xml:space="preserve"> targeted programs for Aboriginal and/or Torres Strait Islander students or students in senior schooling. </w:t>
      </w:r>
      <w:r w:rsidR="5D6422B6">
        <w:t>The latter</w:t>
      </w:r>
      <w:r w:rsidR="009D0B2A" w:rsidRPr="00747C1B">
        <w:t>—</w:t>
      </w:r>
      <w:r w:rsidR="5B0E721C">
        <w:t>ISEPS</w:t>
      </w:r>
      <w:r w:rsidR="4D2552F8">
        <w:t>s</w:t>
      </w:r>
      <w:r w:rsidR="009D0B2A" w:rsidRPr="00747C1B">
        <w:t>—</w:t>
      </w:r>
      <w:r w:rsidR="35AB49EA">
        <w:t xml:space="preserve">are a </w:t>
      </w:r>
      <w:r w:rsidR="0249AE01">
        <w:t xml:space="preserve">relatively new subset of </w:t>
      </w:r>
      <w:r w:rsidR="009D0B2A">
        <w:t>e</w:t>
      </w:r>
      <w:r w:rsidR="0249AE01">
        <w:t>nabling programs</w:t>
      </w:r>
      <w:r w:rsidR="35AB49EA">
        <w:t>.</w:t>
      </w:r>
    </w:p>
    <w:p w14:paraId="667D3C90" w14:textId="0B210039" w:rsidR="0023493F" w:rsidRPr="00E92293" w:rsidRDefault="7C90CD5B" w:rsidP="00A32591">
      <w:r>
        <w:t>ISEPs</w:t>
      </w:r>
      <w:r w:rsidR="75DADDCB">
        <w:t xml:space="preserve"> are </w:t>
      </w:r>
      <w:r w:rsidR="489D76AA">
        <w:t xml:space="preserve">like standard </w:t>
      </w:r>
      <w:r w:rsidR="009D0B2A">
        <w:t>e</w:t>
      </w:r>
      <w:r w:rsidR="489D76AA">
        <w:t xml:space="preserve">nabling programs, but students complete the programs while </w:t>
      </w:r>
      <w:r w:rsidR="6716A556">
        <w:t>enrolled</w:t>
      </w:r>
      <w:r w:rsidR="2E263E2C">
        <w:t xml:space="preserve"> </w:t>
      </w:r>
      <w:r w:rsidR="489D76AA">
        <w:t xml:space="preserve">in high school. </w:t>
      </w:r>
      <w:r w:rsidR="6ECF9471" w:rsidRPr="07AD5326">
        <w:rPr>
          <w:rFonts w:eastAsiaTheme="minorEastAsia"/>
        </w:rPr>
        <w:t>The programs provide a</w:t>
      </w:r>
      <w:r w:rsidR="03F82297" w:rsidRPr="07AD5326">
        <w:rPr>
          <w:rFonts w:eastAsiaTheme="minorEastAsia"/>
        </w:rPr>
        <w:t xml:space="preserve"> </w:t>
      </w:r>
      <w:r w:rsidR="38F9C60E" w:rsidRPr="07AD5326">
        <w:rPr>
          <w:rFonts w:eastAsiaTheme="minorEastAsia"/>
        </w:rPr>
        <w:t>direct</w:t>
      </w:r>
      <w:r w:rsidR="6ECF9471" w:rsidRPr="07AD5326">
        <w:rPr>
          <w:rFonts w:eastAsiaTheme="minorEastAsia"/>
        </w:rPr>
        <w:t xml:space="preserve"> pathway to university for students who may not</w:t>
      </w:r>
      <w:r w:rsidR="7C95B84C" w:rsidRPr="07AD5326">
        <w:rPr>
          <w:rFonts w:eastAsiaTheme="minorEastAsia"/>
        </w:rPr>
        <w:t xml:space="preserve"> have access </w:t>
      </w:r>
      <w:r w:rsidR="0244D66C" w:rsidRPr="07AD5326">
        <w:rPr>
          <w:rFonts w:eastAsiaTheme="minorEastAsia"/>
        </w:rPr>
        <w:t>to, or</w:t>
      </w:r>
      <w:r w:rsidR="6ECF9471" w:rsidRPr="07AD5326">
        <w:rPr>
          <w:rFonts w:eastAsiaTheme="minorEastAsia"/>
        </w:rPr>
        <w:t xml:space="preserve"> would not flourish on</w:t>
      </w:r>
      <w:r w:rsidR="0244D66C" w:rsidRPr="07AD5326">
        <w:rPr>
          <w:rFonts w:eastAsiaTheme="minorEastAsia"/>
        </w:rPr>
        <w:t>,</w:t>
      </w:r>
      <w:r w:rsidR="6ECF9471" w:rsidRPr="07AD5326">
        <w:rPr>
          <w:rFonts w:eastAsiaTheme="minorEastAsia"/>
        </w:rPr>
        <w:t xml:space="preserve"> an ATAR pathway (Jeong et al., 2024; Olds et al, 2022). While some high school </w:t>
      </w:r>
      <w:r w:rsidR="009D0B2A">
        <w:rPr>
          <w:rFonts w:eastAsiaTheme="minorEastAsia"/>
        </w:rPr>
        <w:t>e</w:t>
      </w:r>
      <w:r w:rsidR="6ECF9471" w:rsidRPr="07AD5326">
        <w:rPr>
          <w:rFonts w:eastAsiaTheme="minorEastAsia"/>
        </w:rPr>
        <w:t xml:space="preserve">nabling programs are delivered at a university campus after school hours or during school holidays, the majority of </w:t>
      </w:r>
      <w:r w:rsidR="3732EC14" w:rsidRPr="07AD5326">
        <w:rPr>
          <w:rFonts w:eastAsiaTheme="minorEastAsia"/>
        </w:rPr>
        <w:t>ISEPs</w:t>
      </w:r>
      <w:r w:rsidR="6ECF9471" w:rsidRPr="07AD5326">
        <w:rPr>
          <w:rFonts w:eastAsiaTheme="minorEastAsia"/>
        </w:rPr>
        <w:t xml:space="preserve"> are delivered by </w:t>
      </w:r>
      <w:proofErr w:type="gramStart"/>
      <w:r w:rsidR="6ECF9471" w:rsidRPr="07AD5326">
        <w:rPr>
          <w:rFonts w:eastAsiaTheme="minorEastAsia"/>
        </w:rPr>
        <w:t>school teachers</w:t>
      </w:r>
      <w:proofErr w:type="gramEnd"/>
      <w:r w:rsidR="6ECF9471" w:rsidRPr="07AD5326">
        <w:rPr>
          <w:rFonts w:eastAsiaTheme="minorEastAsia"/>
        </w:rPr>
        <w:t xml:space="preserve"> during school time.</w:t>
      </w:r>
      <w:r w:rsidR="06E62BBB" w:rsidRPr="07AD5326">
        <w:rPr>
          <w:rFonts w:eastAsiaTheme="minorEastAsia"/>
        </w:rPr>
        <w:t xml:space="preserve"> </w:t>
      </w:r>
      <w:r w:rsidR="10499B91" w:rsidRPr="07AD5326">
        <w:rPr>
          <w:rFonts w:eastAsiaTheme="minorEastAsia"/>
        </w:rPr>
        <w:t>In this partnership model</w:t>
      </w:r>
      <w:r w:rsidR="009D0B2A">
        <w:rPr>
          <w:rFonts w:eastAsiaTheme="minorEastAsia"/>
        </w:rPr>
        <w:t>,</w:t>
      </w:r>
      <w:r w:rsidR="10499B91" w:rsidRPr="07AD5326">
        <w:rPr>
          <w:rFonts w:eastAsiaTheme="minorEastAsia"/>
        </w:rPr>
        <w:t xml:space="preserve"> the programs are designed by university </w:t>
      </w:r>
      <w:r w:rsidR="009D0B2A">
        <w:rPr>
          <w:rFonts w:eastAsiaTheme="minorEastAsia"/>
        </w:rPr>
        <w:t>e</w:t>
      </w:r>
      <w:r w:rsidR="10499B91" w:rsidRPr="07AD5326">
        <w:rPr>
          <w:rFonts w:eastAsiaTheme="minorEastAsia"/>
        </w:rPr>
        <w:t xml:space="preserve">nabling academics who work closely with partnership schools to coordinate, facilitate, and deliver the </w:t>
      </w:r>
      <w:r w:rsidR="009D0B2A">
        <w:rPr>
          <w:rFonts w:eastAsiaTheme="minorEastAsia"/>
        </w:rPr>
        <w:t>e</w:t>
      </w:r>
      <w:r w:rsidR="10499B91" w:rsidRPr="07AD5326">
        <w:rPr>
          <w:rFonts w:eastAsiaTheme="minorEastAsia"/>
        </w:rPr>
        <w:t xml:space="preserve">nabling programs to current Year 11 and/or Year 12 students. </w:t>
      </w:r>
      <w:r w:rsidR="4EE23A55">
        <w:t xml:space="preserve">In alignment with the broader </w:t>
      </w:r>
      <w:r w:rsidR="009D0B2A">
        <w:t>e</w:t>
      </w:r>
      <w:r w:rsidR="4EE23A55">
        <w:t xml:space="preserve">nabling sector, </w:t>
      </w:r>
      <w:r>
        <w:t>ISEPs</w:t>
      </w:r>
      <w:r w:rsidR="4E4DCD9C">
        <w:t xml:space="preserve"> are designed to</w:t>
      </w:r>
      <w:r w:rsidR="15201035">
        <w:t xml:space="preserve"> equip students with the academic skills</w:t>
      </w:r>
      <w:r w:rsidR="0249AE01">
        <w:t xml:space="preserve"> and </w:t>
      </w:r>
      <w:r w:rsidR="15201035">
        <w:t>confidence for a successful transition</w:t>
      </w:r>
      <w:r w:rsidR="0249AE01">
        <w:t xml:space="preserve"> to university</w:t>
      </w:r>
      <w:r w:rsidR="15201035">
        <w:t xml:space="preserve">. With a focus on </w:t>
      </w:r>
      <w:r w:rsidR="0249AE01">
        <w:t>students who have faced educational disadvantage, disruption</w:t>
      </w:r>
      <w:r w:rsidR="009D0B2A">
        <w:t>,</w:t>
      </w:r>
      <w:r w:rsidR="0249AE01">
        <w:t xml:space="preserve"> or who have not thrived in traditional secondary education systems</w:t>
      </w:r>
      <w:r w:rsidR="0B6D918A">
        <w:t>, the nesting within senior schooling enables the development of skills within a supportive environment, ther</w:t>
      </w:r>
      <w:r w:rsidR="5B04F0D6">
        <w:t>e</w:t>
      </w:r>
      <w:r w:rsidR="0B6D918A">
        <w:t xml:space="preserve">by providing a </w:t>
      </w:r>
      <w:r w:rsidR="741AE8A1" w:rsidRPr="07AD5326">
        <w:rPr>
          <w:rFonts w:eastAsiaTheme="minorEastAsia"/>
        </w:rPr>
        <w:t xml:space="preserve">direct and supportive pathway to </w:t>
      </w:r>
      <w:r w:rsidR="30FBDBFF" w:rsidRPr="07AD5326">
        <w:rPr>
          <w:rFonts w:eastAsiaTheme="minorEastAsia"/>
        </w:rPr>
        <w:t>higher education.</w:t>
      </w:r>
      <w:r w:rsidR="790622B7">
        <w:t xml:space="preserve"> </w:t>
      </w:r>
      <w:r w:rsidR="23859700">
        <w:t xml:space="preserve">A small number of </w:t>
      </w:r>
      <w:r w:rsidR="57AB60E0">
        <w:t xml:space="preserve">universities have offered </w:t>
      </w:r>
      <w:r>
        <w:t>ISEPs</w:t>
      </w:r>
      <w:r w:rsidR="57AB60E0">
        <w:t xml:space="preserve"> for </w:t>
      </w:r>
      <w:r w:rsidR="0C3C6453">
        <w:t>two</w:t>
      </w:r>
      <w:r w:rsidR="004DDA36">
        <w:t xml:space="preserve"> decades</w:t>
      </w:r>
      <w:r w:rsidR="009D0B2A">
        <w:t>;</w:t>
      </w:r>
      <w:r w:rsidR="004DDA36">
        <w:t xml:space="preserve"> however</w:t>
      </w:r>
      <w:r w:rsidR="009D0B2A">
        <w:t>,</w:t>
      </w:r>
      <w:r w:rsidR="004DDA36">
        <w:t xml:space="preserve"> </w:t>
      </w:r>
      <w:r w:rsidR="1BB9DDB2">
        <w:t xml:space="preserve">more recently there </w:t>
      </w:r>
      <w:r w:rsidR="009D0B2A">
        <w:t>has been</w:t>
      </w:r>
      <w:r w:rsidR="1BB9DDB2">
        <w:t xml:space="preserve"> an emergence of programs</w:t>
      </w:r>
      <w:r w:rsidR="23859700">
        <w:t xml:space="preserve">, with </w:t>
      </w:r>
      <w:r w:rsidR="6BFA5E4E">
        <w:t>seven</w:t>
      </w:r>
      <w:r w:rsidR="23859700">
        <w:t xml:space="preserve"> </w:t>
      </w:r>
      <w:r w:rsidR="50850964">
        <w:t xml:space="preserve">universities </w:t>
      </w:r>
      <w:r w:rsidR="23859700">
        <w:t>now offering</w:t>
      </w:r>
      <w:r w:rsidR="49754D2B">
        <w:t xml:space="preserve"> </w:t>
      </w:r>
      <w:r w:rsidR="1C395137">
        <w:t>ISEPs</w:t>
      </w:r>
      <w:r w:rsidR="4099A414">
        <w:t xml:space="preserve">. </w:t>
      </w:r>
    </w:p>
    <w:p w14:paraId="73FF40A4" w14:textId="6EED8BBE" w:rsidR="17AE1E76" w:rsidRDefault="675CD0E4" w:rsidP="00A32591">
      <w:r>
        <w:t xml:space="preserve">The evolution of </w:t>
      </w:r>
      <w:r w:rsidR="009D0B2A">
        <w:t>e</w:t>
      </w:r>
      <w:r>
        <w:t>nabling education continues with this project</w:t>
      </w:r>
      <w:r w:rsidR="009D0B2A">
        <w:t>,</w:t>
      </w:r>
      <w:r>
        <w:t xml:space="preserve"> undertaken in a period of change for the </w:t>
      </w:r>
      <w:r w:rsidR="009D0B2A">
        <w:t>e</w:t>
      </w:r>
      <w:r>
        <w:t xml:space="preserve">nabling sector. </w:t>
      </w:r>
      <w:r w:rsidR="49793856">
        <w:t xml:space="preserve">The Australian Universities Accord </w:t>
      </w:r>
      <w:r w:rsidR="2891F3DF">
        <w:t>emphasise</w:t>
      </w:r>
      <w:r w:rsidR="57A8F51F">
        <w:t>d</w:t>
      </w:r>
      <w:r w:rsidR="2FF46B55">
        <w:t xml:space="preserve"> the need to expand the higher education </w:t>
      </w:r>
      <w:r w:rsidR="009D0B2A">
        <w:t>e</w:t>
      </w:r>
      <w:r w:rsidR="2FF46B55">
        <w:t xml:space="preserve">nabling sector through an increase in </w:t>
      </w:r>
      <w:r w:rsidR="786C40B9">
        <w:t xml:space="preserve">quality preparatory courses </w:t>
      </w:r>
      <w:r w:rsidR="4CDF7030">
        <w:t xml:space="preserve">and funding </w:t>
      </w:r>
      <w:r w:rsidR="786C40B9">
        <w:t>that reflects the full cost of delivery</w:t>
      </w:r>
      <w:r w:rsidR="4CDF7030">
        <w:t xml:space="preserve">. </w:t>
      </w:r>
      <w:r w:rsidR="42356BCD">
        <w:t xml:space="preserve">Legislation has created a new funding category for </w:t>
      </w:r>
      <w:r w:rsidR="009D0B2A">
        <w:t>e</w:t>
      </w:r>
      <w:r w:rsidR="3732EC14">
        <w:t>nabling</w:t>
      </w:r>
      <w:r w:rsidR="42356BCD">
        <w:t xml:space="preserve"> courses</w:t>
      </w:r>
      <w:r w:rsidR="3A187257">
        <w:t>,</w:t>
      </w:r>
      <w:r w:rsidR="42356BCD">
        <w:t xml:space="preserve"> rebadged as </w:t>
      </w:r>
      <w:r w:rsidR="009D0B2A">
        <w:t>“</w:t>
      </w:r>
      <w:r w:rsidR="42356BCD">
        <w:t>Fee-Free Uni Ready</w:t>
      </w:r>
      <w:r w:rsidR="009D0B2A">
        <w:t>”</w:t>
      </w:r>
      <w:r w:rsidR="0A50BA9D">
        <w:t xml:space="preserve"> (FFUR)</w:t>
      </w:r>
      <w:r w:rsidR="42356BCD">
        <w:t xml:space="preserve"> places</w:t>
      </w:r>
      <w:r w:rsidR="5BF5ED5E">
        <w:t xml:space="preserve">, </w:t>
      </w:r>
      <w:r w:rsidR="009D0B2A">
        <w:t>with</w:t>
      </w:r>
      <w:r w:rsidR="5BF5ED5E">
        <w:t xml:space="preserve"> a significant investment </w:t>
      </w:r>
      <w:r w:rsidR="44C888C2">
        <w:t>from the</w:t>
      </w:r>
      <w:r w:rsidR="000F664C">
        <w:t xml:space="preserve"> Australian</w:t>
      </w:r>
      <w:r w:rsidR="44C888C2">
        <w:t xml:space="preserve"> </w:t>
      </w:r>
      <w:r w:rsidR="009D0B2A">
        <w:t>G</w:t>
      </w:r>
      <w:r w:rsidR="44C888C2">
        <w:t xml:space="preserve">overnment </w:t>
      </w:r>
      <w:r w:rsidR="5BF5ED5E">
        <w:t xml:space="preserve">($350 million over four years) to </w:t>
      </w:r>
      <w:r w:rsidR="3B51549A">
        <w:t xml:space="preserve">help </w:t>
      </w:r>
      <w:r w:rsidR="5BF5ED5E">
        <w:t>achieve the Australian Universities Accord’s ambitions</w:t>
      </w:r>
      <w:r w:rsidR="19960168">
        <w:t xml:space="preserve"> (</w:t>
      </w:r>
      <w:r w:rsidR="2A06CBEC">
        <w:t>Department of Education, 2024</w:t>
      </w:r>
      <w:r w:rsidR="306D54D4">
        <w:t>b</w:t>
      </w:r>
      <w:r w:rsidR="19960168">
        <w:t>)</w:t>
      </w:r>
      <w:r w:rsidR="5BF5ED5E">
        <w:t xml:space="preserve">. </w:t>
      </w:r>
      <w:r w:rsidR="6FD43FEA">
        <w:t>As at the end of 2025, the F</w:t>
      </w:r>
      <w:r w:rsidR="4AD4A300">
        <w:t>FUR</w:t>
      </w:r>
      <w:r w:rsidR="6FD43FEA">
        <w:t xml:space="preserve"> initiative ha</w:t>
      </w:r>
      <w:r w:rsidR="009D0B2A">
        <w:t>d</w:t>
      </w:r>
      <w:r w:rsidR="6FD43FEA">
        <w:t xml:space="preserve"> introduced consistency in funding for student places</w:t>
      </w:r>
      <w:r w:rsidR="6CE689AF">
        <w:t xml:space="preserve"> and increased the allocation of places, with current restriction to Table A providers. </w:t>
      </w:r>
      <w:r w:rsidR="6762DEAA">
        <w:t>There is potential</w:t>
      </w:r>
      <w:r w:rsidR="1A073088">
        <w:t xml:space="preserve"> variability in </w:t>
      </w:r>
      <w:r w:rsidR="006A24F2">
        <w:t xml:space="preserve">the </w:t>
      </w:r>
      <w:r w:rsidR="1A073088">
        <w:t>impact</w:t>
      </w:r>
      <w:r w:rsidR="134C6952">
        <w:t xml:space="preserve"> </w:t>
      </w:r>
      <w:r w:rsidR="1C2221AB">
        <w:t xml:space="preserve">of the new funding arrangements </w:t>
      </w:r>
      <w:r w:rsidR="134C6952">
        <w:t>(Norton, 2024)</w:t>
      </w:r>
      <w:r w:rsidR="006A24F2">
        <w:t>,</w:t>
      </w:r>
      <w:r w:rsidR="08DC15E7">
        <w:t xml:space="preserve"> and the sector </w:t>
      </w:r>
      <w:r w:rsidR="5AB75AA9">
        <w:t xml:space="preserve">is </w:t>
      </w:r>
      <w:r w:rsidR="08DC15E7">
        <w:t>in transitional arrangements as the</w:t>
      </w:r>
      <w:r w:rsidR="000F664C">
        <w:t xml:space="preserve"> Australian</w:t>
      </w:r>
      <w:r w:rsidR="08DC15E7">
        <w:t xml:space="preserve"> </w:t>
      </w:r>
      <w:r w:rsidR="006A24F2">
        <w:t>G</w:t>
      </w:r>
      <w:r w:rsidR="08DC15E7">
        <w:t xml:space="preserve">overnment </w:t>
      </w:r>
      <w:r w:rsidR="08DC15E7">
        <w:lastRenderedPageBreak/>
        <w:t>works to define F</w:t>
      </w:r>
      <w:r w:rsidR="5233BAE6">
        <w:t>FUR</w:t>
      </w:r>
      <w:r w:rsidR="08DC15E7">
        <w:t xml:space="preserve"> programs.</w:t>
      </w:r>
      <w:r w:rsidR="04D7F3B9">
        <w:t xml:space="preserve"> As part of th</w:t>
      </w:r>
      <w:r w:rsidR="376EE6E7">
        <w:t>is</w:t>
      </w:r>
      <w:r w:rsidR="04D7F3B9">
        <w:t xml:space="preserve"> initiative, </w:t>
      </w:r>
      <w:r w:rsidR="3554CDE7">
        <w:t>t</w:t>
      </w:r>
      <w:r w:rsidR="08564A12">
        <w:t>he</w:t>
      </w:r>
      <w:r w:rsidR="000F664C">
        <w:t xml:space="preserve"> Australian</w:t>
      </w:r>
      <w:r w:rsidR="08564A12">
        <w:t xml:space="preserve"> </w:t>
      </w:r>
      <w:r w:rsidR="006A24F2">
        <w:t>G</w:t>
      </w:r>
      <w:r w:rsidR="08564A12">
        <w:t>overnment has also indicated it will work with providers to professionalise and increase the quality and consistency of</w:t>
      </w:r>
      <w:r w:rsidR="7D33295F">
        <w:t xml:space="preserve"> F</w:t>
      </w:r>
      <w:r w:rsidR="464A5C80">
        <w:t>FUR</w:t>
      </w:r>
      <w:r w:rsidR="7D33295F">
        <w:t xml:space="preserve"> courses, with a view to increasing portability</w:t>
      </w:r>
      <w:r w:rsidR="3AD1FD7F">
        <w:t xml:space="preserve"> (Department of Education, 2024</w:t>
      </w:r>
      <w:r w:rsidR="107A31C6">
        <w:t>a</w:t>
      </w:r>
      <w:r w:rsidR="3AD1FD7F">
        <w:t>)</w:t>
      </w:r>
      <w:r w:rsidR="7D33295F">
        <w:t>.</w:t>
      </w:r>
      <w:r w:rsidR="5A7893DC">
        <w:t xml:space="preserve"> Where </w:t>
      </w:r>
      <w:r w:rsidR="5B0E721C">
        <w:t>ISEP</w:t>
      </w:r>
      <w:r w:rsidR="5A7893DC">
        <w:t>s sit within legislative and funding arrangements is currently unclear, with universities funding these programs in different ways</w:t>
      </w:r>
      <w:r w:rsidR="6731CF9F">
        <w:t xml:space="preserve"> under previous funding models</w:t>
      </w:r>
      <w:r w:rsidR="5A17C1AD">
        <w:t>.</w:t>
      </w:r>
    </w:p>
    <w:p w14:paraId="7E5990BF" w14:textId="1A0505B6" w:rsidR="00C6216F" w:rsidRDefault="096188DC" w:rsidP="00A32591">
      <w:r>
        <w:t xml:space="preserve">Acknowledgement of the roots of </w:t>
      </w:r>
      <w:r w:rsidR="0035656C">
        <w:t>e</w:t>
      </w:r>
      <w:r>
        <w:t xml:space="preserve">nabling education is important in considering its future. Enabling programs </w:t>
      </w:r>
      <w:proofErr w:type="gramStart"/>
      <w:r>
        <w:t>have</w:t>
      </w:r>
      <w:proofErr w:type="gramEnd"/>
      <w:r>
        <w:t xml:space="preserve"> developed </w:t>
      </w:r>
      <w:r w:rsidR="61B279B8">
        <w:t>over time to be contextually relevant to the</w:t>
      </w:r>
      <w:r w:rsidR="45E5919A">
        <w:t xml:space="preserve"> local</w:t>
      </w:r>
      <w:r w:rsidR="61B279B8">
        <w:t xml:space="preserve"> community in which the program operates</w:t>
      </w:r>
      <w:r w:rsidR="0035656C">
        <w:t>,</w:t>
      </w:r>
      <w:r w:rsidR="49D651AF">
        <w:t xml:space="preserve"> and there are concerns </w:t>
      </w:r>
      <w:r w:rsidR="4DDCD76C">
        <w:t xml:space="preserve">that </w:t>
      </w:r>
      <w:r w:rsidR="49D651AF">
        <w:t>potential over-standardisation</w:t>
      </w:r>
      <w:r w:rsidR="527ADD40">
        <w:t xml:space="preserve"> would </w:t>
      </w:r>
      <w:r w:rsidR="78581F81">
        <w:t>detract from the tailoring of courses to specific student, cohort</w:t>
      </w:r>
      <w:r w:rsidR="0035656C">
        <w:t>,</w:t>
      </w:r>
      <w:r w:rsidR="78581F81">
        <w:t xml:space="preserve"> or community needs (Davis et al., 2023</w:t>
      </w:r>
      <w:r w:rsidR="7DE46529">
        <w:t>a</w:t>
      </w:r>
      <w:r w:rsidR="78581F81">
        <w:t>; Norton, 2024).</w:t>
      </w:r>
      <w:r w:rsidR="109EF858">
        <w:t xml:space="preserve"> In the first comprehensive, cross-institutional benchmarking project </w:t>
      </w:r>
      <w:r w:rsidR="6F6F1298">
        <w:t xml:space="preserve">of </w:t>
      </w:r>
      <w:r w:rsidR="0035656C">
        <w:t>e</w:t>
      </w:r>
      <w:r w:rsidR="6F6F1298">
        <w:t>nabling programs</w:t>
      </w:r>
      <w:r w:rsidR="109EF858">
        <w:t xml:space="preserve"> involving nine Australian universities, Davis et al.</w:t>
      </w:r>
      <w:r w:rsidR="06AA7B7B">
        <w:t xml:space="preserve"> (2023</w:t>
      </w:r>
      <w:r w:rsidR="7DE46529">
        <w:t>a</w:t>
      </w:r>
      <w:r w:rsidR="06AA7B7B">
        <w:t>)</w:t>
      </w:r>
      <w:r w:rsidR="109EF858">
        <w:t xml:space="preserve"> demonstrate</w:t>
      </w:r>
      <w:r w:rsidR="5F1F91F7">
        <w:t>d</w:t>
      </w:r>
      <w:r w:rsidR="109EF858">
        <w:t xml:space="preserve"> that there exists a consensus across the </w:t>
      </w:r>
      <w:r w:rsidR="0035656C">
        <w:t>e</w:t>
      </w:r>
      <w:r w:rsidR="109EF858">
        <w:t xml:space="preserve">nabling sector </w:t>
      </w:r>
      <w:r w:rsidR="205D4AF6">
        <w:t xml:space="preserve">regarding </w:t>
      </w:r>
      <w:r w:rsidR="260769D2">
        <w:t xml:space="preserve">the level and quality of outcomes expected at the completion of an </w:t>
      </w:r>
      <w:r w:rsidR="0035656C">
        <w:t>e</w:t>
      </w:r>
      <w:r w:rsidR="260769D2">
        <w:t>nabling program, and provide</w:t>
      </w:r>
      <w:r w:rsidR="0035656C">
        <w:t>d</w:t>
      </w:r>
      <w:r w:rsidR="260769D2">
        <w:t xml:space="preserve"> a framework for benchmarking in alignment with </w:t>
      </w:r>
      <w:r w:rsidR="0367CA0B">
        <w:t>the Higher Education Standards Framework’s benchmarking requirements for assuring program quality.</w:t>
      </w:r>
    </w:p>
    <w:p w14:paraId="6C3D32C7" w14:textId="092CD141" w:rsidR="5B68AF28" w:rsidRDefault="46A054DC" w:rsidP="00A32591">
      <w:r w:rsidRPr="68E716E5">
        <w:t xml:space="preserve">In alignment with a consensus-driven approach and as part of standard </w:t>
      </w:r>
      <w:r w:rsidR="090F4216">
        <w:t>university</w:t>
      </w:r>
      <w:r w:rsidR="22D609A1">
        <w:t xml:space="preserve"> </w:t>
      </w:r>
      <w:r w:rsidRPr="68E716E5">
        <w:t>quality assurance process, this project initially commenced as a benchmarking of learning outcomes, curriculum and assessment</w:t>
      </w:r>
      <w:r w:rsidR="4B2649C9">
        <w:t>, and academic outcomes</w:t>
      </w:r>
      <w:r w:rsidRPr="68E716E5">
        <w:t xml:space="preserve"> of </w:t>
      </w:r>
      <w:r w:rsidR="00747CA0">
        <w:t>ISEPS</w:t>
      </w:r>
      <w:r w:rsidRPr="68E716E5">
        <w:t xml:space="preserve">s. </w:t>
      </w:r>
      <w:r w:rsidR="7A1F7A88" w:rsidRPr="68E716E5">
        <w:t>Enabled by the provision of funding through the Australian Centre for Student Equity and Success</w:t>
      </w:r>
      <w:r w:rsidR="00C47945">
        <w:t xml:space="preserve"> (ACSES)</w:t>
      </w:r>
      <w:r w:rsidR="7A1F7A88" w:rsidRPr="68E716E5">
        <w:t>, the project was expanded</w:t>
      </w:r>
      <w:r w:rsidR="1B8D005D">
        <w:t xml:space="preserve"> to explore </w:t>
      </w:r>
      <w:r w:rsidR="002E62E6">
        <w:t xml:space="preserve">curriculum and </w:t>
      </w:r>
      <w:r w:rsidR="1B8D005D">
        <w:t xml:space="preserve">outcomes more deeply and seek the perspectives of </w:t>
      </w:r>
      <w:r w:rsidR="00C47945">
        <w:t xml:space="preserve">both </w:t>
      </w:r>
      <w:r w:rsidR="1B8D005D">
        <w:t xml:space="preserve">students who had completed an ISEP and </w:t>
      </w:r>
      <w:r w:rsidR="00C47945">
        <w:t>e</w:t>
      </w:r>
      <w:r w:rsidR="1B8D005D">
        <w:t>ducators in high schools</w:t>
      </w:r>
      <w:r w:rsidR="3651A24F">
        <w:t>.</w:t>
      </w:r>
      <w:r w:rsidR="568CF87C" w:rsidRPr="68E716E5">
        <w:t xml:space="preserve"> Nationally, and for Western Australia in particular, this project is a timely exploration of ISEPs. I</w:t>
      </w:r>
      <w:r w:rsidR="00C6216F" w:rsidRPr="68E716E5">
        <w:t>n Western Australia</w:t>
      </w:r>
      <w:r w:rsidR="00C47945">
        <w:t>,</w:t>
      </w:r>
      <w:r w:rsidR="00C6216F" w:rsidRPr="68E716E5">
        <w:t xml:space="preserve"> concern regarding </w:t>
      </w:r>
      <w:r w:rsidR="00C6216F" w:rsidRPr="007B636B">
        <w:t>continual decline in ATAR participation prompted</w:t>
      </w:r>
      <w:r w:rsidR="00C6216F" w:rsidRPr="68E716E5">
        <w:t xml:space="preserve"> a review of post-school pathways in 2023, which included ISEPs. </w:t>
      </w:r>
      <w:r w:rsidR="00C6216F" w:rsidRPr="539CCDCB">
        <w:t xml:space="preserve">The benchmarking reported </w:t>
      </w:r>
      <w:r w:rsidR="00C6216F">
        <w:t>in this project</w:t>
      </w:r>
      <w:r w:rsidR="00C6216F" w:rsidRPr="539CCDCB">
        <w:t xml:space="preserve"> was undertaken prior to the release of the </w:t>
      </w:r>
      <w:r w:rsidR="00C6216F" w:rsidRPr="539CCDCB">
        <w:rPr>
          <w:i/>
        </w:rPr>
        <w:t xml:space="preserve">Pathways to Post-School Success: Review of Western Australian </w:t>
      </w:r>
      <w:r w:rsidR="00C47945">
        <w:rPr>
          <w:i/>
        </w:rPr>
        <w:t>S</w:t>
      </w:r>
      <w:r w:rsidR="00C6216F" w:rsidRPr="539CCDCB">
        <w:rPr>
          <w:i/>
        </w:rPr>
        <w:t xml:space="preserve">enior </w:t>
      </w:r>
      <w:r w:rsidR="00C47945">
        <w:rPr>
          <w:i/>
        </w:rPr>
        <w:t>S</w:t>
      </w:r>
      <w:r w:rsidR="00C6216F" w:rsidRPr="539CCDCB">
        <w:rPr>
          <w:i/>
        </w:rPr>
        <w:t xml:space="preserve">econdary </w:t>
      </w:r>
      <w:r w:rsidR="00C47945">
        <w:rPr>
          <w:i/>
        </w:rPr>
        <w:t>P</w:t>
      </w:r>
      <w:r w:rsidR="00C6216F" w:rsidRPr="539CCDCB">
        <w:rPr>
          <w:i/>
        </w:rPr>
        <w:t>athways</w:t>
      </w:r>
      <w:r w:rsidR="00C6216F" w:rsidRPr="539CCDCB">
        <w:t xml:space="preserve"> (2024</w:t>
      </w:r>
      <w:r w:rsidR="6C462273">
        <w:t>)</w:t>
      </w:r>
      <w:r w:rsidR="6B697D27">
        <w:t xml:space="preserve"> and is noted within the report</w:t>
      </w:r>
      <w:r w:rsidR="6C462273">
        <w:t>.</w:t>
      </w:r>
      <w:r w:rsidR="00C6216F" w:rsidRPr="539CCDCB">
        <w:t xml:space="preserve"> In relation to </w:t>
      </w:r>
      <w:r w:rsidR="00C6216F">
        <w:t>ISEPs</w:t>
      </w:r>
      <w:r w:rsidR="00C6216F" w:rsidRPr="539CCDCB">
        <w:t xml:space="preserve">, the </w:t>
      </w:r>
      <w:r w:rsidR="00C6216F" w:rsidRPr="0F2086F8">
        <w:rPr>
          <w:i/>
        </w:rPr>
        <w:t xml:space="preserve">Pathways to Post-School Success </w:t>
      </w:r>
      <w:r w:rsidR="00C6216F" w:rsidRPr="539CCDCB">
        <w:t xml:space="preserve">report recommended that universities should improve data collection and analysis on students who enter through </w:t>
      </w:r>
      <w:r w:rsidR="00C47945">
        <w:t>e</w:t>
      </w:r>
      <w:r w:rsidR="00C6216F" w:rsidRPr="539CCDCB">
        <w:t>nabling courses to better understand the effectiveness of courses and how to best support students</w:t>
      </w:r>
      <w:r w:rsidR="00C6216F" w:rsidRPr="0BC744DC">
        <w:t xml:space="preserve"> </w:t>
      </w:r>
      <w:r w:rsidR="00C6216F" w:rsidRPr="677F207D">
        <w:t xml:space="preserve">(Recommendation </w:t>
      </w:r>
      <w:r w:rsidR="00C6216F" w:rsidRPr="53EA7578">
        <w:t>21).</w:t>
      </w:r>
      <w:r w:rsidR="00C6216F" w:rsidRPr="539CCDCB">
        <w:t xml:space="preserve"> Additionally, universities should work with the School Curriculum and Standards Authority (SCSA) to create and maintain consistent standards and parity for </w:t>
      </w:r>
      <w:r w:rsidR="00C47945">
        <w:t>e</w:t>
      </w:r>
      <w:r w:rsidR="00C6216F" w:rsidRPr="539CCDCB">
        <w:t>nabling courses, ensuring transparency and quality, as well as drawing from universities’ current benchmarking activities (</w:t>
      </w:r>
      <w:r w:rsidR="00C6216F" w:rsidRPr="5EA94C84">
        <w:t>Recommendation 22</w:t>
      </w:r>
      <w:r w:rsidR="00C6216F" w:rsidRPr="54B42522">
        <w:t>) (</w:t>
      </w:r>
      <w:r w:rsidR="00C6216F" w:rsidRPr="539CCDCB">
        <w:t>Department of Education Western Australia, 2024).</w:t>
      </w:r>
      <w:r w:rsidR="00C5609E">
        <w:t xml:space="preserve"> </w:t>
      </w:r>
      <w:proofErr w:type="gramStart"/>
      <w:r w:rsidR="00E577F2">
        <w:t>Similar to</w:t>
      </w:r>
      <w:proofErr w:type="gramEnd"/>
      <w:r w:rsidR="00E577F2">
        <w:t xml:space="preserve"> </w:t>
      </w:r>
      <w:r w:rsidR="006C652F">
        <w:t>the work of</w:t>
      </w:r>
      <w:r w:rsidR="00E577F2">
        <w:t xml:space="preserve"> Davis et </w:t>
      </w:r>
      <w:r w:rsidR="00E577F2" w:rsidRPr="5F05BADD">
        <w:t>al</w:t>
      </w:r>
      <w:r w:rsidR="2BABB462">
        <w:t>.</w:t>
      </w:r>
      <w:r w:rsidR="006C652F">
        <w:t xml:space="preserve"> (2023</w:t>
      </w:r>
      <w:r w:rsidR="00D65AA7">
        <w:t>a</w:t>
      </w:r>
      <w:r w:rsidR="26613D80">
        <w:t>)</w:t>
      </w:r>
      <w:r w:rsidR="66BB3125">
        <w:t>,</w:t>
      </w:r>
      <w:r w:rsidR="006D0364">
        <w:t xml:space="preserve"> t</w:t>
      </w:r>
      <w:r w:rsidR="287FED15" w:rsidRPr="3C84F785">
        <w:t xml:space="preserve">his project seeks to contribute </w:t>
      </w:r>
      <w:r w:rsidR="00396912">
        <w:t>rigorous data on</w:t>
      </w:r>
      <w:r w:rsidR="287FED15" w:rsidRPr="3C84F785">
        <w:t xml:space="preserve"> </w:t>
      </w:r>
      <w:r w:rsidR="006D7530">
        <w:t>ISEPs</w:t>
      </w:r>
      <w:r w:rsidR="00E27AB6">
        <w:t xml:space="preserve"> structure and outcomes</w:t>
      </w:r>
      <w:r w:rsidR="287FED15" w:rsidRPr="3C84F785">
        <w:t xml:space="preserve"> </w:t>
      </w:r>
      <w:r w:rsidR="00A352CB">
        <w:t>to the sector</w:t>
      </w:r>
      <w:r w:rsidR="00396912">
        <w:t xml:space="preserve"> and wider </w:t>
      </w:r>
      <w:r w:rsidR="00C47945">
        <w:t>h</w:t>
      </w:r>
      <w:r w:rsidR="00396912">
        <w:t xml:space="preserve">igher </w:t>
      </w:r>
      <w:r w:rsidR="00C47945">
        <w:t>e</w:t>
      </w:r>
      <w:r w:rsidR="00396912">
        <w:t>ducation community</w:t>
      </w:r>
      <w:r w:rsidR="003166F0">
        <w:t>.</w:t>
      </w:r>
    </w:p>
    <w:p w14:paraId="3671E7A5" w14:textId="4CF9BE19" w:rsidR="4089BA6B" w:rsidRPr="00C473BD" w:rsidRDefault="4089BA6B" w:rsidP="00A32591">
      <w:pPr>
        <w:pStyle w:val="Heading3"/>
        <w:rPr>
          <w:rFonts w:cs="Arial"/>
          <w:color w:val="6B3B57"/>
        </w:rPr>
      </w:pPr>
      <w:bookmarkStart w:id="24" w:name="_Toc217162475"/>
      <w:bookmarkStart w:id="25" w:name="_Toc232766172"/>
      <w:r w:rsidRPr="00C473BD">
        <w:rPr>
          <w:color w:val="6B3B57"/>
        </w:rPr>
        <w:t xml:space="preserve">Enabling education as a </w:t>
      </w:r>
      <w:r w:rsidR="004256F7" w:rsidRPr="00C473BD">
        <w:rPr>
          <w:color w:val="6B3B57"/>
        </w:rPr>
        <w:t xml:space="preserve">(sub) </w:t>
      </w:r>
      <w:r w:rsidRPr="00C473BD">
        <w:rPr>
          <w:color w:val="6B3B57"/>
        </w:rPr>
        <w:t>discipline</w:t>
      </w:r>
      <w:bookmarkEnd w:id="24"/>
      <w:bookmarkEnd w:id="25"/>
    </w:p>
    <w:p w14:paraId="50499162" w14:textId="55897C1C" w:rsidR="009A7A07" w:rsidRDefault="63AC8C43" w:rsidP="00A32591">
      <w:r>
        <w:t xml:space="preserve">Historically, the variability of </w:t>
      </w:r>
      <w:r w:rsidR="006271AA">
        <w:t>e</w:t>
      </w:r>
      <w:r>
        <w:t>nabling programs gave rise to a perception of a lack of consistency and quality. However,</w:t>
      </w:r>
      <w:r w:rsidR="0059FCD7">
        <w:t xml:space="preserve"> </w:t>
      </w:r>
      <w:r w:rsidR="6FCF35EA">
        <w:t>increasingly</w:t>
      </w:r>
      <w:r w:rsidR="006271AA">
        <w:t>,</w:t>
      </w:r>
      <w:r>
        <w:t xml:space="preserve"> research indicates ‘</w:t>
      </w:r>
      <w:r w:rsidR="006271AA">
        <w:t>e</w:t>
      </w:r>
      <w:r>
        <w:t xml:space="preserve">nabling education’ as a “coherent and distinct sub-discipline" (Davis, </w:t>
      </w:r>
      <w:r w:rsidR="59E1FD54">
        <w:t>202</w:t>
      </w:r>
      <w:r w:rsidR="33F9508F">
        <w:t>3</w:t>
      </w:r>
      <w:r w:rsidR="29883292">
        <w:t>b</w:t>
      </w:r>
      <w:r w:rsidR="59E1FD54">
        <w:t>).</w:t>
      </w:r>
      <w:r>
        <w:t xml:space="preserve"> Whil</w:t>
      </w:r>
      <w:r w:rsidR="00F52ECC">
        <w:t>e</w:t>
      </w:r>
      <w:r>
        <w:t xml:space="preserve"> not defined within the Australian Qualifications Framework and with </w:t>
      </w:r>
      <w:proofErr w:type="gramStart"/>
      <w:r>
        <w:t>no</w:t>
      </w:r>
      <w:proofErr w:type="gramEnd"/>
      <w:r>
        <w:t xml:space="preserve"> nationally recognised common standard</w:t>
      </w:r>
      <w:r w:rsidR="0059FCD7">
        <w:t>,</w:t>
      </w:r>
      <w:r>
        <w:t xml:space="preserve"> benchmarking of </w:t>
      </w:r>
      <w:r w:rsidR="006271AA">
        <w:t>e</w:t>
      </w:r>
      <w:r>
        <w:t>nabling programs demonstrates remarkable consistency in learning outcomes, standards, curriculum</w:t>
      </w:r>
      <w:r w:rsidR="006271AA">
        <w:t>,</w:t>
      </w:r>
      <w:r>
        <w:t xml:space="preserve"> and teaching philosophies (Davis et al</w:t>
      </w:r>
      <w:r w:rsidR="29883292">
        <w:t xml:space="preserve"> 2023a; Davis et al, 2023b</w:t>
      </w:r>
      <w:r>
        <w:t xml:space="preserve">). Additionally, </w:t>
      </w:r>
      <w:r w:rsidR="006271AA">
        <w:t>e</w:t>
      </w:r>
      <w:r>
        <w:t xml:space="preserve">nabling programs share approaches drawn from </w:t>
      </w:r>
      <w:r w:rsidR="006271AA">
        <w:t>e</w:t>
      </w:r>
      <w:r>
        <w:t>nabling transitional pedagogical models, pedagogies of care and social justice (Stokes, 2025; Hattam et al</w:t>
      </w:r>
      <w:r w:rsidR="0A37DA7C">
        <w:t>.</w:t>
      </w:r>
      <w:r w:rsidR="43F47CFC">
        <w:t>,</w:t>
      </w:r>
      <w:r w:rsidR="41A74215">
        <w:t xml:space="preserve"> </w:t>
      </w:r>
      <w:r w:rsidR="21EECC0F">
        <w:lastRenderedPageBreak/>
        <w:t>202</w:t>
      </w:r>
      <w:r w:rsidR="0C884FAF">
        <w:t>4</w:t>
      </w:r>
      <w:r w:rsidR="21EECC0F">
        <w:t>;</w:t>
      </w:r>
      <w:r w:rsidR="7016DCAE">
        <w:t xml:space="preserve"> </w:t>
      </w:r>
      <w:r>
        <w:t xml:space="preserve">Jones, Lisciandro </w:t>
      </w:r>
      <w:r w:rsidR="45FDF395">
        <w:t>&amp;</w:t>
      </w:r>
      <w:r>
        <w:t xml:space="preserve"> Olds, 2019</w:t>
      </w:r>
      <w:r w:rsidR="116896B1">
        <w:t>; Crawford et al., 2016</w:t>
      </w:r>
      <w:r w:rsidR="6382B506">
        <w:t>)</w:t>
      </w:r>
      <w:r w:rsidR="5F92F180">
        <w:t xml:space="preserve"> </w:t>
      </w:r>
      <w:proofErr w:type="gramStart"/>
      <w:r w:rsidR="5F92F180">
        <w:t>in order to</w:t>
      </w:r>
      <w:proofErr w:type="gramEnd"/>
      <w:r w:rsidR="5F92F180">
        <w:t xml:space="preserve"> acknowledge socio-emotional impact </w:t>
      </w:r>
      <w:r w:rsidR="4144E35C">
        <w:t xml:space="preserve">of </w:t>
      </w:r>
      <w:r w:rsidR="2FF6F530">
        <w:t xml:space="preserve">and on </w:t>
      </w:r>
      <w:r w:rsidR="5F92F180">
        <w:t>learning.</w:t>
      </w:r>
    </w:p>
    <w:p w14:paraId="0183360D" w14:textId="0325D857" w:rsidR="009A7A07" w:rsidRDefault="63AC8C43" w:rsidP="00A32591">
      <w:r>
        <w:t xml:space="preserve">As a more recent development in the history of </w:t>
      </w:r>
      <w:r w:rsidR="006271AA">
        <w:t>e</w:t>
      </w:r>
      <w:r>
        <w:t xml:space="preserve">nabling education, ISEPs have not had the same level of analysis. Stemming from the broader </w:t>
      </w:r>
      <w:r w:rsidR="006271AA">
        <w:t>e</w:t>
      </w:r>
      <w:r>
        <w:t xml:space="preserve">nabling education discipline, these programs are founded on the same principles, though to date there has been no formal benchmarking of </w:t>
      </w:r>
      <w:proofErr w:type="gramStart"/>
      <w:r>
        <w:t>ISEPs</w:t>
      </w:r>
      <w:proofErr w:type="gramEnd"/>
      <w:r>
        <w:t xml:space="preserve"> and </w:t>
      </w:r>
      <w:r w:rsidR="12D4A633">
        <w:t xml:space="preserve">research has consisted of individual institution or </w:t>
      </w:r>
      <w:r>
        <w:t>small-scale comparative analysis (</w:t>
      </w:r>
      <w:r w:rsidR="47D66FA9">
        <w:t>Ramos et al 2025; Maclaurin et al, 2024; Olds et al, 2022)</w:t>
      </w:r>
      <w:r>
        <w:t>.</w:t>
      </w:r>
      <w:r w:rsidR="17AF98C8">
        <w:t xml:space="preserve"> Outcomes from this project will contribute to </w:t>
      </w:r>
      <w:r w:rsidR="71CC5ADB">
        <w:t xml:space="preserve">a better </w:t>
      </w:r>
      <w:r w:rsidR="715A5D9D">
        <w:t>understanding</w:t>
      </w:r>
      <w:r w:rsidR="71CC5ADB">
        <w:t xml:space="preserve"> of the efficacy of ISEPs and contribute to the growing canon of </w:t>
      </w:r>
      <w:r w:rsidR="006C5021">
        <w:t>e</w:t>
      </w:r>
      <w:r w:rsidR="71CC5ADB">
        <w:t>nabling research</w:t>
      </w:r>
      <w:r w:rsidR="715A5D9D">
        <w:t>.</w:t>
      </w:r>
    </w:p>
    <w:p w14:paraId="4F313352" w14:textId="006B4E75" w:rsidR="002C14AE" w:rsidRPr="0079608F" w:rsidRDefault="0086536D" w:rsidP="00A32591">
      <w:pPr>
        <w:pStyle w:val="Heading2"/>
        <w:rPr>
          <w:rFonts w:cs="Arial"/>
        </w:rPr>
      </w:pPr>
      <w:bookmarkStart w:id="26" w:name="_Toc217162476"/>
      <w:bookmarkStart w:id="27" w:name="_Toc232766173"/>
      <w:r>
        <w:t xml:space="preserve">Pathways </w:t>
      </w:r>
      <w:r w:rsidR="002C14AE">
        <w:t>to higher education</w:t>
      </w:r>
      <w:bookmarkEnd w:id="26"/>
      <w:bookmarkEnd w:id="27"/>
    </w:p>
    <w:p w14:paraId="4801361F" w14:textId="4B17B7CD" w:rsidR="60DA3631" w:rsidRDefault="37F115C1" w:rsidP="00A32591">
      <w:r>
        <w:t xml:space="preserve">Widening </w:t>
      </w:r>
      <w:r w:rsidR="0BEC2F96">
        <w:t xml:space="preserve">participation in higher education has been a focus </w:t>
      </w:r>
      <w:r w:rsidR="431975AE">
        <w:t xml:space="preserve">within the Australian tertiary </w:t>
      </w:r>
      <w:r w:rsidR="5C5A3E19">
        <w:t xml:space="preserve">education </w:t>
      </w:r>
      <w:r w:rsidR="431975AE">
        <w:t xml:space="preserve">sector for several decades. </w:t>
      </w:r>
      <w:r w:rsidR="1842A76D">
        <w:t xml:space="preserve">Expansionary policies, </w:t>
      </w:r>
      <w:r w:rsidR="5F43C31F">
        <w:t>government</w:t>
      </w:r>
      <w:r w:rsidR="59A40116">
        <w:t xml:space="preserve"> funding mechanisms</w:t>
      </w:r>
      <w:r w:rsidR="006C5021">
        <w:t>,</w:t>
      </w:r>
      <w:r w:rsidR="59A40116">
        <w:t xml:space="preserve"> </w:t>
      </w:r>
      <w:r w:rsidR="5F43C31F">
        <w:t xml:space="preserve">and </w:t>
      </w:r>
      <w:r w:rsidR="40C886B8">
        <w:t xml:space="preserve">individual institutional </w:t>
      </w:r>
      <w:r w:rsidR="7E27900E">
        <w:t>initiatives</w:t>
      </w:r>
      <w:r w:rsidR="3C559FEA">
        <w:t xml:space="preserve"> ha</w:t>
      </w:r>
      <w:r w:rsidR="631755EB">
        <w:t>ve</w:t>
      </w:r>
      <w:r w:rsidR="3C559FEA">
        <w:t xml:space="preserve"> see</w:t>
      </w:r>
      <w:r w:rsidR="6681AC83">
        <w:t xml:space="preserve">n a variety </w:t>
      </w:r>
      <w:r w:rsidR="12012B47">
        <w:t xml:space="preserve">of pathways </w:t>
      </w:r>
      <w:r w:rsidR="68C67714">
        <w:t xml:space="preserve">emerge, particularly to increase </w:t>
      </w:r>
      <w:r w:rsidR="1217E9F2">
        <w:t xml:space="preserve">participation </w:t>
      </w:r>
      <w:r w:rsidR="6266C17C">
        <w:t xml:space="preserve">from communities historically underrepresented within </w:t>
      </w:r>
      <w:r w:rsidR="59A0921A">
        <w:t>higher education</w:t>
      </w:r>
      <w:r w:rsidR="6266C17C">
        <w:t>.</w:t>
      </w:r>
      <w:r w:rsidR="610B77C1">
        <w:t xml:space="preserve"> Stemming from Australian higher education’s elitist</w:t>
      </w:r>
      <w:r w:rsidR="122BC47D">
        <w:t xml:space="preserve"> beginnings</w:t>
      </w:r>
      <w:r w:rsidR="743686C6">
        <w:t xml:space="preserve"> (Gale </w:t>
      </w:r>
      <w:r w:rsidR="441E9861">
        <w:t xml:space="preserve">&amp; </w:t>
      </w:r>
      <w:r w:rsidR="63709533">
        <w:t>Tranter</w:t>
      </w:r>
      <w:r w:rsidR="743686C6">
        <w:t>, 2011)</w:t>
      </w:r>
      <w:r w:rsidR="122BC47D">
        <w:t xml:space="preserve">, these </w:t>
      </w:r>
      <w:r w:rsidR="54F03A49">
        <w:t>pathways</w:t>
      </w:r>
      <w:r w:rsidR="49B12B3C">
        <w:t xml:space="preserve">, which include </w:t>
      </w:r>
      <w:r w:rsidR="006C5021">
        <w:t>e</w:t>
      </w:r>
      <w:r w:rsidR="49B12B3C">
        <w:t>nabling programs,</w:t>
      </w:r>
      <w:r w:rsidR="54F03A49">
        <w:t xml:space="preserve"> are often problematically referred to as </w:t>
      </w:r>
      <w:r w:rsidR="006C5021">
        <w:t>“</w:t>
      </w:r>
      <w:r w:rsidR="54F03A49">
        <w:t>alternative</w:t>
      </w:r>
      <w:r w:rsidR="006C5021">
        <w:t>”</w:t>
      </w:r>
      <w:r w:rsidR="54F03A49">
        <w:t xml:space="preserve"> pathways</w:t>
      </w:r>
      <w:r w:rsidR="1F2049C2">
        <w:t>, creating a</w:t>
      </w:r>
      <w:r w:rsidR="387639C7">
        <w:t xml:space="preserve"> system which appears</w:t>
      </w:r>
      <w:r w:rsidR="228CED37">
        <w:t xml:space="preserve"> </w:t>
      </w:r>
      <w:r w:rsidR="006C5021">
        <w:t>“</w:t>
      </w:r>
      <w:r w:rsidR="228CED37">
        <w:t>ATAR-centric</w:t>
      </w:r>
      <w:r w:rsidR="006C5021">
        <w:t>”</w:t>
      </w:r>
      <w:r w:rsidR="1F2049C2">
        <w:t xml:space="preserve"> </w:t>
      </w:r>
      <w:r w:rsidR="387639C7">
        <w:t xml:space="preserve">and with </w:t>
      </w:r>
      <w:r w:rsidR="516FBF20">
        <w:t xml:space="preserve">a </w:t>
      </w:r>
      <w:r w:rsidR="1F2049C2">
        <w:t xml:space="preserve">perceived hierarchy </w:t>
      </w:r>
      <w:r w:rsidR="0424E1CF">
        <w:t xml:space="preserve">of </w:t>
      </w:r>
      <w:r w:rsidR="289F779D">
        <w:t>admission path</w:t>
      </w:r>
      <w:r w:rsidR="71AC0F4A">
        <w:t>s</w:t>
      </w:r>
      <w:r w:rsidR="289F779D">
        <w:t xml:space="preserve"> and educational quality</w:t>
      </w:r>
      <w:r w:rsidR="3945A8C5">
        <w:t xml:space="preserve"> (</w:t>
      </w:r>
      <w:r w:rsidR="2F773C5D">
        <w:t xml:space="preserve">Li et al., 2022; </w:t>
      </w:r>
      <w:r w:rsidR="64B90F2A">
        <w:t>Louden</w:t>
      </w:r>
      <w:r w:rsidR="213286DB">
        <w:t>, 2024</w:t>
      </w:r>
      <w:r w:rsidR="44C888BE">
        <w:t>; Pilcher et al., 2023</w:t>
      </w:r>
      <w:r w:rsidR="64B90F2A">
        <w:t>).</w:t>
      </w:r>
      <w:r w:rsidR="58AF01B7">
        <w:t xml:space="preserve"> To meet the ambitions of the </w:t>
      </w:r>
      <w:r w:rsidR="006C5021">
        <w:t xml:space="preserve">Australian </w:t>
      </w:r>
      <w:r w:rsidR="58AF01B7">
        <w:t>Universit</w:t>
      </w:r>
      <w:r w:rsidR="006C5021">
        <w:t>ies</w:t>
      </w:r>
      <w:r w:rsidR="58AF01B7">
        <w:t xml:space="preserve"> Accord, it is increasingly pertinent to consider </w:t>
      </w:r>
      <w:r w:rsidR="22633482">
        <w:t>and recognise</w:t>
      </w:r>
      <w:r w:rsidR="609F9FD5">
        <w:t xml:space="preserve"> </w:t>
      </w:r>
      <w:r w:rsidR="58AF01B7">
        <w:t>the variety of pathways to university and the effectiveness of each for a diversity of cohorts.</w:t>
      </w:r>
    </w:p>
    <w:p w14:paraId="1AB6A553" w14:textId="46A3749E" w:rsidR="49D44189" w:rsidRDefault="49D44189" w:rsidP="148E775A">
      <w:pPr>
        <w:pStyle w:val="Heading3"/>
      </w:pPr>
      <w:bookmarkStart w:id="28" w:name="_Toc217162477"/>
      <w:bookmarkStart w:id="29" w:name="_Toc232766174"/>
      <w:r w:rsidRPr="00C473BD">
        <w:rPr>
          <w:color w:val="6B3B57"/>
        </w:rPr>
        <w:t>Pathways in senior schooling</w:t>
      </w:r>
      <w:bookmarkEnd w:id="28"/>
      <w:bookmarkEnd w:id="29"/>
      <w:r w:rsidR="00B227FE" w:rsidRPr="00C473BD">
        <w:rPr>
          <w:color w:val="6B3B57"/>
        </w:rPr>
        <w:t xml:space="preserve"> </w:t>
      </w:r>
    </w:p>
    <w:p w14:paraId="08821A05" w14:textId="08E5784B" w:rsidR="00F8564C" w:rsidRDefault="00110FFD" w:rsidP="00A656FE">
      <w:r>
        <w:t xml:space="preserve">There exist a range of pathways to </w:t>
      </w:r>
      <w:r w:rsidR="008C6AC4">
        <w:t xml:space="preserve">university and a growing proportion of students, particularly those from equity groups, </w:t>
      </w:r>
      <w:r w:rsidR="00E61183">
        <w:t xml:space="preserve">utilising a broad range of pathways to enter university (Li et al., 2022). </w:t>
      </w:r>
      <w:r w:rsidR="00E6113C">
        <w:t>Whil</w:t>
      </w:r>
      <w:r w:rsidR="00F52ECC">
        <w:t>e</w:t>
      </w:r>
      <w:r w:rsidR="00E6113C">
        <w:t xml:space="preserve"> there is concern about </w:t>
      </w:r>
      <w:r w:rsidR="00F72ABD">
        <w:t>national ATAR participation rates, it remains the most common pathway for domestic school leaver entry to university</w:t>
      </w:r>
      <w:r w:rsidR="00CF0BF0">
        <w:t xml:space="preserve"> in Australia. </w:t>
      </w:r>
      <w:r w:rsidR="00A656FE">
        <w:t xml:space="preserve">In 2023, almost half of domestic students commencing </w:t>
      </w:r>
      <w:r w:rsidR="00A656FE" w:rsidRPr="09068BD4">
        <w:t>bachelor's</w:t>
      </w:r>
      <w:r w:rsidR="00A656FE">
        <w:t xml:space="preserve"> degrees had recently completed secondary education, and of this school</w:t>
      </w:r>
      <w:r w:rsidR="0080514D">
        <w:t xml:space="preserve"> </w:t>
      </w:r>
      <w:r w:rsidR="00A656FE">
        <w:t xml:space="preserve">leaver cohort, 63% were admitted on the </w:t>
      </w:r>
      <w:r w:rsidR="00A656FE" w:rsidRPr="5131AA54">
        <w:t>basis</w:t>
      </w:r>
      <w:r w:rsidR="00A656FE">
        <w:t xml:space="preserve"> of their ATAR alone, 7% were admitted using their ATAR plus additional criteria, and 30% were admitted solely on the basis of other criteria </w:t>
      </w:r>
      <w:r w:rsidR="00A656FE" w:rsidRPr="000513BD">
        <w:t>(such as an overseas assigned ranking score, portfolio, audition</w:t>
      </w:r>
      <w:r w:rsidR="006C5021">
        <w:t>,</w:t>
      </w:r>
      <w:r w:rsidR="00A656FE" w:rsidRPr="000513BD">
        <w:t xml:space="preserve"> or school recommendation scheme)</w:t>
      </w:r>
      <w:r w:rsidR="00A656FE">
        <w:t xml:space="preserve"> (Pilcher et al., 2025).</w:t>
      </w:r>
      <w:r w:rsidR="00A656FE" w:rsidRPr="036A25A5">
        <w:t xml:space="preserve"> </w:t>
      </w:r>
    </w:p>
    <w:p w14:paraId="5CD3B0DE" w14:textId="66448D84" w:rsidR="00A656FE" w:rsidRPr="00C16593" w:rsidRDefault="00A656FE" w:rsidP="00A656FE">
      <w:pPr>
        <w:rPr>
          <w:rFonts w:eastAsia="Inter Light"/>
        </w:rPr>
      </w:pPr>
      <w:r>
        <w:t xml:space="preserve">The ATAR attainment and use for entry to university varies across </w:t>
      </w:r>
      <w:r w:rsidRPr="7B0B3122">
        <w:t>states</w:t>
      </w:r>
      <w:r>
        <w:t xml:space="preserve"> and </w:t>
      </w:r>
      <w:r w:rsidRPr="0BABB33F">
        <w:t>territories</w:t>
      </w:r>
      <w:r>
        <w:t>, and student cohorts.</w:t>
      </w:r>
      <w:r w:rsidRPr="78955AE5">
        <w:t xml:space="preserve"> </w:t>
      </w:r>
      <w:r>
        <w:t xml:space="preserve">The proportion of completing Year 12 students who achieve an </w:t>
      </w:r>
      <w:proofErr w:type="gramStart"/>
      <w:r>
        <w:t xml:space="preserve">ATAR </w:t>
      </w:r>
      <w:r w:rsidR="00635D1C">
        <w:t>range</w:t>
      </w:r>
      <w:r w:rsidR="00B11E66">
        <w:t>s</w:t>
      </w:r>
      <w:proofErr w:type="gramEnd"/>
      <w:r>
        <w:t xml:space="preserve"> from 38% in Western Australia to 79% in New South Wales</w:t>
      </w:r>
      <w:r w:rsidR="00B11E66">
        <w:t>,</w:t>
      </w:r>
      <w:r>
        <w:t xml:space="preserve"> and analysis of ATAR attainment over time shows mostly stable rates across </w:t>
      </w:r>
      <w:r w:rsidRPr="1D09DE16">
        <w:t>states</w:t>
      </w:r>
      <w:r>
        <w:t xml:space="preserve"> and </w:t>
      </w:r>
      <w:r w:rsidRPr="1D09DE16">
        <w:t>territories</w:t>
      </w:r>
      <w:r>
        <w:t xml:space="preserve">, </w:t>
      </w:r>
      <w:r w:rsidRPr="4F014A84">
        <w:t>apart from</w:t>
      </w:r>
      <w:r>
        <w:t xml:space="preserve"> Western Australia and Victoria with declines over time (Pilcher et al., 2025). For the context of this project, the universities and high schools </w:t>
      </w:r>
      <w:proofErr w:type="gramStart"/>
      <w:r>
        <w:t>are located in</w:t>
      </w:r>
      <w:proofErr w:type="gramEnd"/>
      <w:r>
        <w:t xml:space="preserve"> </w:t>
      </w:r>
      <w:r w:rsidRPr="0003268D">
        <w:t>Western Australia</w:t>
      </w:r>
      <w:r w:rsidR="00DF79AB" w:rsidRPr="0003268D">
        <w:t xml:space="preserve">, </w:t>
      </w:r>
      <w:r w:rsidRPr="0003268D">
        <w:t>Queensland</w:t>
      </w:r>
      <w:r w:rsidR="00B11E66">
        <w:t>,</w:t>
      </w:r>
      <w:r w:rsidRPr="0003268D">
        <w:t xml:space="preserve"> </w:t>
      </w:r>
      <w:r w:rsidR="0003268D" w:rsidRPr="0003268D">
        <w:t xml:space="preserve">and </w:t>
      </w:r>
      <w:r w:rsidR="00DF79AB" w:rsidRPr="0003268D">
        <w:t>New South Wales</w:t>
      </w:r>
      <w:r w:rsidR="00B11E66" w:rsidRPr="00B11E66">
        <w:t>—</w:t>
      </w:r>
      <w:r w:rsidRPr="0003268D">
        <w:t>states with the lowest</w:t>
      </w:r>
      <w:r w:rsidR="0003268D" w:rsidRPr="0003268D">
        <w:t>,</w:t>
      </w:r>
      <w:r w:rsidRPr="0003268D">
        <w:t xml:space="preserve"> fourth lowest</w:t>
      </w:r>
      <w:r w:rsidR="00B11E66">
        <w:t>,</w:t>
      </w:r>
      <w:r w:rsidRPr="0003268D">
        <w:t xml:space="preserve"> </w:t>
      </w:r>
      <w:r w:rsidR="0003268D" w:rsidRPr="0003268D">
        <w:t xml:space="preserve">and highest </w:t>
      </w:r>
      <w:r w:rsidRPr="0003268D">
        <w:t>ATAR attainment rates respectively</w:t>
      </w:r>
      <w:r>
        <w:t xml:space="preserve"> (Pilcher et al., 2025).</w:t>
      </w:r>
    </w:p>
    <w:p w14:paraId="1B7E5F1A" w14:textId="6EF5EA99" w:rsidR="00A656FE" w:rsidRPr="00E63D9D" w:rsidRDefault="00A656FE" w:rsidP="00A656FE">
      <w:r w:rsidRPr="77B68EA2">
        <w:t xml:space="preserve">The </w:t>
      </w:r>
      <w:r>
        <w:t xml:space="preserve">determination of senior school pathways for students </w:t>
      </w:r>
      <w:r w:rsidRPr="77B68EA2">
        <w:t>involves a complex interplay of factors</w:t>
      </w:r>
      <w:r w:rsidR="00B11E66">
        <w:t>,</w:t>
      </w:r>
      <w:r w:rsidRPr="77B68EA2">
        <w:t xml:space="preserve"> and there is </w:t>
      </w:r>
      <w:r w:rsidRPr="33C2F18F">
        <w:t>a growing</w:t>
      </w:r>
      <w:r w:rsidRPr="77B68EA2">
        <w:t xml:space="preserve"> critique that this single ranking system disadvantages certain </w:t>
      </w:r>
      <w:r w:rsidRPr="77B68EA2">
        <w:lastRenderedPageBreak/>
        <w:t>equity groups</w:t>
      </w:r>
      <w:r w:rsidR="000E65A7">
        <w:t>.</w:t>
      </w:r>
      <w:r>
        <w:t xml:space="preserve"> </w:t>
      </w:r>
      <w:r w:rsidRPr="77B68EA2">
        <w:t>Research from tertiary institutions suggest</w:t>
      </w:r>
      <w:r w:rsidR="00B11E66">
        <w:t>s</w:t>
      </w:r>
      <w:r w:rsidRPr="77B68EA2">
        <w:t xml:space="preserve"> that the ATAR “is a narrowly conceived instrumentalist sorting process” (</w:t>
      </w:r>
      <w:r w:rsidRPr="77B68EA2">
        <w:rPr>
          <w:rFonts w:eastAsia="Arial"/>
        </w:rPr>
        <w:t>Rovis-Hermann,</w:t>
      </w:r>
      <w:r w:rsidRPr="7758E002">
        <w:rPr>
          <w:rFonts w:eastAsia="Arial"/>
        </w:rPr>
        <w:t xml:space="preserve"> </w:t>
      </w:r>
      <w:r w:rsidRPr="77B68EA2">
        <w:rPr>
          <w:rFonts w:eastAsia="Arial"/>
        </w:rPr>
        <w:t>2024). Russell et al. (2021) demonstrated that</w:t>
      </w:r>
      <w:r>
        <w:rPr>
          <w:rFonts w:eastAsia="Arial"/>
        </w:rPr>
        <w:t xml:space="preserve"> the</w:t>
      </w:r>
      <w:r w:rsidRPr="77B68EA2">
        <w:rPr>
          <w:rFonts w:eastAsia="Arial"/>
        </w:rPr>
        <w:t xml:space="preserve"> ATAR allows effective grade predictions in first year for science-based recall </w:t>
      </w:r>
      <w:proofErr w:type="gramStart"/>
      <w:r w:rsidRPr="77B68EA2">
        <w:rPr>
          <w:rFonts w:eastAsia="Arial"/>
        </w:rPr>
        <w:t>subjects, but</w:t>
      </w:r>
      <w:proofErr w:type="gramEnd"/>
      <w:r w:rsidRPr="77B68EA2">
        <w:rPr>
          <w:rFonts w:eastAsia="Arial"/>
        </w:rPr>
        <w:t xml:space="preserve"> is less predictive for units incorporating work placements requiring interpersonal skills. In more public discourse arenas, such as the media, </w:t>
      </w:r>
      <w:r w:rsidRPr="7A528354">
        <w:rPr>
          <w:rFonts w:eastAsia="Arial"/>
        </w:rPr>
        <w:t>principals</w:t>
      </w:r>
      <w:r w:rsidRPr="77B68EA2">
        <w:rPr>
          <w:rFonts w:eastAsia="Arial"/>
        </w:rPr>
        <w:t xml:space="preserve"> are communicating concern that </w:t>
      </w:r>
      <w:r>
        <w:rPr>
          <w:rFonts w:eastAsia="Arial"/>
        </w:rPr>
        <w:t xml:space="preserve">the </w:t>
      </w:r>
      <w:r w:rsidRPr="77B68EA2">
        <w:rPr>
          <w:rFonts w:eastAsia="Arial"/>
        </w:rPr>
        <w:t xml:space="preserve">ATAR is an inadequate measure of student achievement and capability and creates undue stressors on students (Carey, 2023). </w:t>
      </w:r>
    </w:p>
    <w:p w14:paraId="502BAF8E" w14:textId="6B35F421" w:rsidR="00A656FE" w:rsidRDefault="6035FAC9" w:rsidP="00A656FE">
      <w:pPr>
        <w:rPr>
          <w:rFonts w:eastAsia="Arial"/>
        </w:rPr>
      </w:pPr>
      <w:r w:rsidRPr="07AD5326">
        <w:rPr>
          <w:rFonts w:eastAsia="Arial"/>
        </w:rPr>
        <w:t xml:space="preserve">However, governments and curriculum authorities exert influence in the sector. For example, in the Western Australian context, the previous Minister for Education, Dr Tony Buti, reported to the media his concern that “alternative” pathways did not adequately prepare students (Bridges, 2023) and this perception shaped aspects of the initial </w:t>
      </w:r>
      <w:r w:rsidRPr="07AD5326">
        <w:rPr>
          <w:rFonts w:eastAsia="Arial"/>
          <w:i/>
          <w:iCs/>
        </w:rPr>
        <w:t>Pathways to Post-School Success Review</w:t>
      </w:r>
      <w:r w:rsidRPr="07AD5326">
        <w:rPr>
          <w:rFonts w:eastAsia="Arial"/>
        </w:rPr>
        <w:t>. However, consultations with schools, parents</w:t>
      </w:r>
      <w:r w:rsidR="00B11E66">
        <w:rPr>
          <w:rFonts w:eastAsia="Arial"/>
        </w:rPr>
        <w:t>,</w:t>
      </w:r>
      <w:r w:rsidRPr="07AD5326">
        <w:rPr>
          <w:rFonts w:eastAsia="Arial"/>
        </w:rPr>
        <w:t xml:space="preserve"> and students as part of the review revealed suitable justification for ISEPs, noting that many considered the programs offered rigorous curriculums and quality learning opportunities</w:t>
      </w:r>
      <w:r w:rsidR="00B11E66">
        <w:rPr>
          <w:rFonts w:eastAsia="Arial"/>
        </w:rPr>
        <w:t>,</w:t>
      </w:r>
      <w:r w:rsidRPr="07AD5326">
        <w:rPr>
          <w:rFonts w:eastAsia="Arial"/>
        </w:rPr>
        <w:t xml:space="preserve"> addressing the gaps in more traditional senior curriculums (Department of Education Western Australia, 2024). Despite the recognition of ISEPs </w:t>
      </w:r>
      <w:proofErr w:type="gramStart"/>
      <w:r w:rsidRPr="07AD5326">
        <w:rPr>
          <w:rFonts w:eastAsia="Arial"/>
        </w:rPr>
        <w:t>as a means to</w:t>
      </w:r>
      <w:proofErr w:type="gramEnd"/>
      <w:r w:rsidRPr="07AD5326">
        <w:rPr>
          <w:rFonts w:eastAsia="Arial"/>
        </w:rPr>
        <w:t xml:space="preserve"> enhance curriculum breadth and rigour, evidence suggests that systemic inequities remain, particularly for students from equity groups.</w:t>
      </w:r>
    </w:p>
    <w:p w14:paraId="5145C8EC" w14:textId="1A6C37B4" w:rsidR="00642FFB" w:rsidRDefault="00A656FE" w:rsidP="00A656FE">
      <w:r w:rsidRPr="005E6E1E">
        <w:t xml:space="preserve">Research indicates that students from equity or other historically marginalised groups variously experience structural barriers </w:t>
      </w:r>
      <w:r>
        <w:t>in senior school of</w:t>
      </w:r>
      <w:r w:rsidRPr="005E6E1E">
        <w:t xml:space="preserve"> limited subject access, lower school resourcing, inflexible or inconsistent educational adjustments,</w:t>
      </w:r>
      <w:r>
        <w:t xml:space="preserve"> and</w:t>
      </w:r>
      <w:r w:rsidRPr="005E6E1E">
        <w:t xml:space="preserve"> standardised assessments that are not culturally or contextually relevant and do not account for interrupted schooling or English language development (</w:t>
      </w:r>
      <w:r w:rsidRPr="005E6E1E">
        <w:rPr>
          <w:rFonts w:eastAsiaTheme="minorEastAsia"/>
        </w:rPr>
        <w:t xml:space="preserve">Harvey et al., 2023; Louden, 2024; Pilcher et al., 2025). For </w:t>
      </w:r>
      <w:r w:rsidRPr="005E6E1E">
        <w:t xml:space="preserve">example, Harvey et al. (2023) </w:t>
      </w:r>
      <w:r>
        <w:t xml:space="preserve">examined </w:t>
      </w:r>
      <w:r w:rsidR="00B11E66">
        <w:t xml:space="preserve">the </w:t>
      </w:r>
      <w:r>
        <w:t>extent of non-ATAR streaming across Queensland and found</w:t>
      </w:r>
      <w:r w:rsidRPr="005E6E1E">
        <w:t xml:space="preserve"> that </w:t>
      </w:r>
      <w:r>
        <w:t>streaming decisions made in Year 9 and Year 10 disproportionately limited student choice in senior school subjects for marginalised groups</w:t>
      </w:r>
      <w:r w:rsidRPr="005E6E1E">
        <w:t xml:space="preserve">. Additionally, students who complete a non-ATAR pathway are unlikely to transition to higher education post-school, with only 6.4% of non-ATAR students transitioning to a bachelor’s degree compared to 64% of students on an ATAR pathway, remaining relatively stable over time (Harvey et al., 2023; Queensland Government, 2025). </w:t>
      </w:r>
      <w:r w:rsidRPr="5BE3F472">
        <w:rPr>
          <w:rFonts w:eastAsiaTheme="minorEastAsia"/>
        </w:rPr>
        <w:t>These</w:t>
      </w:r>
      <w:r w:rsidR="00E53352">
        <w:rPr>
          <w:rFonts w:eastAsiaTheme="minorEastAsia"/>
        </w:rPr>
        <w:t xml:space="preserve"> practices and</w:t>
      </w:r>
      <w:r w:rsidRPr="005E6E1E">
        <w:rPr>
          <w:rFonts w:eastAsiaTheme="minorEastAsia"/>
        </w:rPr>
        <w:t xml:space="preserve"> barriers have implications in access to higher education.</w:t>
      </w:r>
      <w:r>
        <w:t xml:space="preserve"> </w:t>
      </w:r>
    </w:p>
    <w:p w14:paraId="1B06DB1B" w14:textId="278813FF" w:rsidR="000418FB" w:rsidRDefault="00A656FE" w:rsidP="00A656FE">
      <w:pPr>
        <w:rPr>
          <w:rFonts w:eastAsia="Arial"/>
        </w:rPr>
      </w:pPr>
      <w:r>
        <w:rPr>
          <w:rFonts w:eastAsiaTheme="minorEastAsia"/>
        </w:rPr>
        <w:t>T</w:t>
      </w:r>
      <w:r w:rsidRPr="005E6E1E">
        <w:rPr>
          <w:rFonts w:eastAsiaTheme="minorEastAsia"/>
        </w:rPr>
        <w:t xml:space="preserve">he availability of </w:t>
      </w:r>
      <w:r>
        <w:rPr>
          <w:rFonts w:eastAsiaTheme="minorEastAsia"/>
        </w:rPr>
        <w:t xml:space="preserve">subjects contributing to an </w:t>
      </w:r>
      <w:r w:rsidRPr="005E6E1E">
        <w:rPr>
          <w:rFonts w:eastAsiaTheme="minorEastAsia"/>
        </w:rPr>
        <w:t xml:space="preserve">ATAR across schools is impacted by the </w:t>
      </w:r>
      <w:r w:rsidRPr="005E6E1E">
        <w:rPr>
          <w:rFonts w:eastAsia="Arial"/>
        </w:rPr>
        <w:t>Index of Community Socio-educational Advantage (ICSEA)</w:t>
      </w:r>
      <w:r>
        <w:t xml:space="preserve">, </w:t>
      </w:r>
      <w:r w:rsidRPr="005E6E1E">
        <w:rPr>
          <w:rFonts w:eastAsia="Arial"/>
        </w:rPr>
        <w:t>geographic location</w:t>
      </w:r>
      <w:r w:rsidR="001D759F">
        <w:rPr>
          <w:rFonts w:eastAsia="Arial"/>
        </w:rPr>
        <w:t>,</w:t>
      </w:r>
      <w:r w:rsidRPr="005E6E1E">
        <w:rPr>
          <w:rFonts w:eastAsia="Arial"/>
        </w:rPr>
        <w:t xml:space="preserve"> and </w:t>
      </w:r>
      <w:r w:rsidRPr="021D03C5">
        <w:rPr>
          <w:rFonts w:eastAsia="Arial"/>
        </w:rPr>
        <w:t>size of student populus</w:t>
      </w:r>
      <w:r w:rsidRPr="60A06B5D">
        <w:rPr>
          <w:rFonts w:eastAsia="Arial"/>
        </w:rPr>
        <w:t>, and thereby further constrains direct pathways to university.</w:t>
      </w:r>
      <w:r w:rsidRPr="021D03C5">
        <w:rPr>
          <w:rFonts w:eastAsia="Arial"/>
        </w:rPr>
        <w:t xml:space="preserve"> For example, higher ICSEA schools, major city schools</w:t>
      </w:r>
      <w:r w:rsidR="001D759F">
        <w:rPr>
          <w:rFonts w:eastAsia="Arial"/>
        </w:rPr>
        <w:t>,</w:t>
      </w:r>
      <w:r w:rsidRPr="021D03C5">
        <w:rPr>
          <w:rFonts w:eastAsia="Arial"/>
        </w:rPr>
        <w:t xml:space="preserve"> and larger schools provide more ATAR subjects than others. As such, students from the highest ICSEA-quartile schools complete a higher proportion of ATAR subjects than students from the other ICSEA-quartile schools (Department of Education Western Australia, 2023). </w:t>
      </w:r>
    </w:p>
    <w:p w14:paraId="2306D901" w14:textId="0FE37C45" w:rsidR="000E65A7" w:rsidRPr="006F7A93" w:rsidRDefault="0046056B" w:rsidP="00B43A6C">
      <w:pPr>
        <w:rPr>
          <w:iCs/>
        </w:rPr>
      </w:pPr>
      <w:r>
        <w:rPr>
          <w:rFonts w:eastAsia="Arial"/>
        </w:rPr>
        <w:t>Expanding equitable pathways to university, as emphasised by the Australian Universities Accord</w:t>
      </w:r>
      <w:r w:rsidR="00EF034F">
        <w:rPr>
          <w:rFonts w:eastAsia="Arial"/>
        </w:rPr>
        <w:t>, is essential given that</w:t>
      </w:r>
      <w:r w:rsidR="00BD1DF3">
        <w:rPr>
          <w:rFonts w:eastAsia="Arial"/>
        </w:rPr>
        <w:t xml:space="preserve"> </w:t>
      </w:r>
      <w:r w:rsidR="000E65A7" w:rsidRPr="006F7A93">
        <w:rPr>
          <w:iCs/>
        </w:rPr>
        <w:t>“the data is clear that ATAR disproportionately rewards students from high-SES backgrounds, while compounding barriers for those from regional, low-income, Indigenous, and disability cohorts” (Pilcher et al., 2025, p. 37).</w:t>
      </w:r>
    </w:p>
    <w:p w14:paraId="700810D8" w14:textId="6812661C" w:rsidR="00D9480D" w:rsidRPr="00C16593" w:rsidRDefault="000418FB" w:rsidP="00A656FE">
      <w:pPr>
        <w:rPr>
          <w:rFonts w:eastAsia="Arial"/>
        </w:rPr>
      </w:pPr>
      <w:r w:rsidRPr="0003268D">
        <w:t xml:space="preserve">Consequently, </w:t>
      </w:r>
      <w:r w:rsidRPr="0003268D">
        <w:rPr>
          <w:rFonts w:eastAsia="Inter Light"/>
        </w:rPr>
        <w:t>ISEPs have emerged in response to secondary</w:t>
      </w:r>
      <w:r w:rsidRPr="00377FB1">
        <w:rPr>
          <w:rFonts w:eastAsia="Inter Light"/>
        </w:rPr>
        <w:t xml:space="preserve"> school sector requests</w:t>
      </w:r>
      <w:r>
        <w:rPr>
          <w:rFonts w:eastAsia="Inter Light"/>
        </w:rPr>
        <w:t xml:space="preserve"> for a pathway to higher education</w:t>
      </w:r>
      <w:r w:rsidRPr="00377FB1">
        <w:rPr>
          <w:rFonts w:eastAsia="Inter Light"/>
        </w:rPr>
        <w:t xml:space="preserve">, amid </w:t>
      </w:r>
      <w:r w:rsidRPr="003F2FF7">
        <w:rPr>
          <w:rFonts w:eastAsia="Inter Light"/>
        </w:rPr>
        <w:t>debates over the suitability for</w:t>
      </w:r>
      <w:r>
        <w:rPr>
          <w:rFonts w:eastAsia="Inter Light"/>
        </w:rPr>
        <w:t xml:space="preserve"> diverse cohorts</w:t>
      </w:r>
      <w:r w:rsidRPr="00377FB1">
        <w:rPr>
          <w:rFonts w:eastAsia="Inter Light"/>
        </w:rPr>
        <w:t xml:space="preserve"> </w:t>
      </w:r>
      <w:r>
        <w:rPr>
          <w:rFonts w:eastAsia="Inter Light"/>
        </w:rPr>
        <w:t>of how the ATAR is determined over two years of senior schooling.</w:t>
      </w:r>
      <w:r w:rsidR="00EF034F">
        <w:rPr>
          <w:rFonts w:eastAsia="Inter Light"/>
        </w:rPr>
        <w:t xml:space="preserve"> </w:t>
      </w:r>
      <w:r w:rsidR="00763EC7">
        <w:rPr>
          <w:rFonts w:eastAsia="Inter Light"/>
        </w:rPr>
        <w:t>I</w:t>
      </w:r>
      <w:r w:rsidR="00CE52F1">
        <w:rPr>
          <w:rFonts w:eastAsia="Arial"/>
        </w:rPr>
        <w:t>n</w:t>
      </w:r>
      <w:r w:rsidR="00CE52F1">
        <w:t xml:space="preserve"> Western Australia, the state with the largest and longest-running initiatives, universities can apply to have an ISEP recognised </w:t>
      </w:r>
      <w:r w:rsidR="00CE52F1">
        <w:lastRenderedPageBreak/>
        <w:t xml:space="preserve">as an </w:t>
      </w:r>
      <w:r w:rsidR="001D759F">
        <w:t>“</w:t>
      </w:r>
      <w:r w:rsidR="00CE52F1">
        <w:t>Endorsed Program</w:t>
      </w:r>
      <w:r w:rsidR="001D759F">
        <w:t>”</w:t>
      </w:r>
      <w:r w:rsidR="00CE52F1">
        <w:t xml:space="preserve"> by the School Curriculum and Standards Authority (SCSA). Endorsed Programs provide learning opportunities not covered by Western Australian Certificate of Education (WACE) courses or Vocational Education and Training (VET) </w:t>
      </w:r>
      <w:proofErr w:type="gramStart"/>
      <w:r w:rsidR="00CE52F1">
        <w:t>programs, and</w:t>
      </w:r>
      <w:proofErr w:type="gramEnd"/>
      <w:r w:rsidR="00CE52F1">
        <w:t xml:space="preserve"> contribute unit equivalents toward the WACE. These programs are delivered in diverse settings including schools, workplaces, universities</w:t>
      </w:r>
      <w:r w:rsidR="001D759F">
        <w:t>,</w:t>
      </w:r>
      <w:r w:rsidR="00CE52F1">
        <w:t xml:space="preserve"> and community organisations, and encompass workplace learning, community service</w:t>
      </w:r>
      <w:r w:rsidR="001D759F">
        <w:t>,</w:t>
      </w:r>
      <w:r w:rsidR="00CE52F1">
        <w:t xml:space="preserve"> and enrichment programs. Endorsed </w:t>
      </w:r>
      <w:r w:rsidR="001D759F">
        <w:t>p</w:t>
      </w:r>
      <w:r w:rsidR="00CE52F1">
        <w:t>rograms represent only a small proportion of senior school unit completions, consistently accounting for around 3</w:t>
      </w:r>
      <w:r w:rsidR="001D759F">
        <w:t>-</w:t>
      </w:r>
      <w:r w:rsidR="00CE52F1">
        <w:t>4% of total units between 2016 and 2022 (Louden, 2024).</w:t>
      </w:r>
    </w:p>
    <w:p w14:paraId="52DC46D3" w14:textId="44E6C6C8" w:rsidR="002F0186" w:rsidRPr="00945280" w:rsidRDefault="0063619B" w:rsidP="00945280">
      <w:pPr>
        <w:pStyle w:val="Heading3"/>
        <w:rPr>
          <w:color w:val="6B3B57" w:themeColor="accent2"/>
        </w:rPr>
      </w:pPr>
      <w:bookmarkStart w:id="30" w:name="_Toc232766175"/>
      <w:r w:rsidRPr="00945280">
        <w:rPr>
          <w:color w:val="6B3B57" w:themeColor="accent2"/>
        </w:rPr>
        <w:t>Senior schooling and mental health</w:t>
      </w:r>
      <w:bookmarkEnd w:id="30"/>
    </w:p>
    <w:p w14:paraId="7D509A96" w14:textId="37FC2E91" w:rsidR="002F0186" w:rsidRDefault="00DC3624" w:rsidP="00B43A6C">
      <w:r>
        <w:t xml:space="preserve">The potential impacts of senior schooling, particularly </w:t>
      </w:r>
      <w:r w:rsidR="001D759F">
        <w:t xml:space="preserve">the </w:t>
      </w:r>
      <w:r w:rsidR="002F0186">
        <w:t>ATAR</w:t>
      </w:r>
      <w:r>
        <w:t xml:space="preserve">, on </w:t>
      </w:r>
      <w:r w:rsidR="002F0186">
        <w:t xml:space="preserve">mental health and wellbeing </w:t>
      </w:r>
      <w:r w:rsidR="00886AC3">
        <w:t>is an important considerati</w:t>
      </w:r>
      <w:r w:rsidR="00D3227B">
        <w:t>on within this discussion</w:t>
      </w:r>
      <w:r w:rsidR="002F0186">
        <w:t>. Crisp et al. (2025)</w:t>
      </w:r>
      <w:r w:rsidR="001D759F">
        <w:t>,</w:t>
      </w:r>
      <w:r w:rsidR="002F0186">
        <w:t xml:space="preserve"> in their longitudinal study of adolescent mental health</w:t>
      </w:r>
      <w:r w:rsidR="001D759F">
        <w:t>,</w:t>
      </w:r>
      <w:r w:rsidR="002F0186">
        <w:t xml:space="preserve"> recognise high rates of psychological distress in youth, but also flourishing until later years of adolescence, when flourishing diminishes to “middling and stumbling”</w:t>
      </w:r>
      <w:r w:rsidR="004E320A">
        <w:t>;</w:t>
      </w:r>
      <w:r w:rsidR="002F0186">
        <w:t xml:space="preserve"> they note that this coincides with stressors of moving into adulthood and finishing school. Similarly, the Mitchell Institute report on declining ATAR levels notes that there are “high</w:t>
      </w:r>
      <w:r w:rsidR="002F0186" w:rsidRPr="00A921D5">
        <w:t xml:space="preserve"> and growing </w:t>
      </w:r>
      <w:r w:rsidR="002F0186">
        <w:t>levels of psychological distress among young people aged 16</w:t>
      </w:r>
      <w:r w:rsidR="004E320A">
        <w:t>-</w:t>
      </w:r>
      <w:r w:rsidR="002F0186">
        <w:t>24” and that the pressures of “academia” impacts this (</w:t>
      </w:r>
      <w:r w:rsidR="006F7A93">
        <w:t xml:space="preserve">Pilcher, </w:t>
      </w:r>
      <w:r w:rsidR="002F0186">
        <w:t>2025, p.</w:t>
      </w:r>
      <w:r w:rsidR="006F7A93">
        <w:t xml:space="preserve"> </w:t>
      </w:r>
      <w:r w:rsidR="002F0186">
        <w:t xml:space="preserve">28). Correspondingly, </w:t>
      </w:r>
      <w:r w:rsidR="004E320A">
        <w:t xml:space="preserve">the </w:t>
      </w:r>
      <w:r w:rsidR="002F0186">
        <w:t>2025 Mission Australia Youth Survey (14-to-19-year-olds) highlights</w:t>
      </w:r>
      <w:r w:rsidR="00BD1DF3">
        <w:t xml:space="preserve"> that </w:t>
      </w:r>
      <w:r w:rsidR="002F0186">
        <w:t>"two in five young people (39%) reported stress related to their mental health and wellbeing. Additionally, one in five (19%) scored in the high psychological distress range of respondents” (</w:t>
      </w:r>
      <w:r w:rsidR="002F0186" w:rsidRPr="00DB5B97">
        <w:t>McHale</w:t>
      </w:r>
      <w:r w:rsidR="002F0186">
        <w:t xml:space="preserve"> et al., 2025, p. 4).</w:t>
      </w:r>
    </w:p>
    <w:p w14:paraId="18477803" w14:textId="29C5642D" w:rsidR="002F0186" w:rsidRDefault="002F0186" w:rsidP="002F0186">
      <w:r>
        <w:t>The report highlights how intersecting identities among students from equity groups, including Aboriginal and Torres Strait Islander students, students with disability, and those living with a mental health condition, compound mental health and educational challenges. Of the 17</w:t>
      </w:r>
      <w:r w:rsidR="0026725E">
        <w:t>,</w:t>
      </w:r>
      <w:r>
        <w:t>000</w:t>
      </w:r>
      <w:r w:rsidR="0026725E">
        <w:t>-</w:t>
      </w:r>
      <w:r>
        <w:t>plus survey respondents</w:t>
      </w:r>
      <w:r w:rsidR="0026725E">
        <w:t>,</w:t>
      </w:r>
      <w:r>
        <w:t xml:space="preserve"> 98.7% were students, 5.6% were Aboriginal and Torres Strait Islander, 10% identified as having a disability (two-thirds psychosocial), and 15% were living with a mental health condition (</w:t>
      </w:r>
      <w:r w:rsidRPr="00DB5B97">
        <w:t>McHale</w:t>
      </w:r>
      <w:r>
        <w:t xml:space="preserve"> et al., 2025, </w:t>
      </w:r>
      <w:r w:rsidR="00BD1DF3">
        <w:t>p</w:t>
      </w:r>
      <w:r>
        <w:t>.</w:t>
      </w:r>
      <w:r w:rsidR="00BD1DF3">
        <w:t xml:space="preserve"> </w:t>
      </w:r>
      <w:r>
        <w:t>10). Anxiety, depressive disorders, and neurodevelopmental conditions such as Autism and ADHD were the most frequently cited mental health concerns (</w:t>
      </w:r>
      <w:r w:rsidRPr="00DB5B97">
        <w:t>McHale</w:t>
      </w:r>
      <w:r>
        <w:t xml:space="preserve"> et al., 2025, p. 10). </w:t>
      </w:r>
    </w:p>
    <w:p w14:paraId="08D3C6D0" w14:textId="77BAD6D9" w:rsidR="002F0186" w:rsidRDefault="002F0186" w:rsidP="002F0186">
      <w:r>
        <w:t>Concerningly, “school or study problems” was the common source of overall stress for participants (58%) (</w:t>
      </w:r>
      <w:r w:rsidRPr="00DB5B97">
        <w:t>McHale</w:t>
      </w:r>
      <w:r>
        <w:t xml:space="preserve"> et al., 2025, p. 69). For Aboriginal and Torres Strait Islander students, school or study issues (46%) and mental health concerns (45%) were also dominant (</w:t>
      </w:r>
      <w:r w:rsidRPr="00DB5B97">
        <w:t>McHale</w:t>
      </w:r>
      <w:r>
        <w:t xml:space="preserve"> et al., 2025, p.32). For non-Indigenous students</w:t>
      </w:r>
      <w:r w:rsidR="0026725E">
        <w:t>,</w:t>
      </w:r>
      <w:r>
        <w:t xml:space="preserve"> 26% noted feeling like the</w:t>
      </w:r>
      <w:r w:rsidR="0026725E">
        <w:t>y</w:t>
      </w:r>
      <w:r>
        <w:t xml:space="preserve"> couldn’t achieve their work or study goals</w:t>
      </w:r>
      <w:r w:rsidRPr="00A921D5">
        <w:t xml:space="preserve">, highlighting </w:t>
      </w:r>
      <w:r>
        <w:t>the biggest barriers to achievement as: lack of motivation (66%), confidence (39%), and mental health issues (34%) (</w:t>
      </w:r>
      <w:r w:rsidRPr="00DB5B97">
        <w:t>McHale</w:t>
      </w:r>
      <w:r>
        <w:t xml:space="preserve"> et al.,2025., p. 4) which are proponents effecting self-efficacy. These findings reflect</w:t>
      </w:r>
      <w:r w:rsidR="0026725E">
        <w:t>ed</w:t>
      </w:r>
      <w:r>
        <w:t xml:space="preserve"> </w:t>
      </w:r>
      <w:proofErr w:type="gramStart"/>
      <w:r>
        <w:t>participants</w:t>
      </w:r>
      <w:r w:rsidR="0026725E">
        <w:t>’</w:t>
      </w:r>
      <w:proofErr w:type="gramEnd"/>
      <w:r>
        <w:t xml:space="preserve"> diminished self-efficacy when it came to study and work goals, and as theorised by Bandura (1997), this can adversely affect educational achievement and retention.</w:t>
      </w:r>
    </w:p>
    <w:p w14:paraId="49927AA9" w14:textId="28AF083F" w:rsidR="00A656FE" w:rsidRPr="005E65FA" w:rsidRDefault="00A656FE" w:rsidP="00A656FE">
      <w:r w:rsidRPr="0093377C">
        <w:t xml:space="preserve">Emerging research highlights a strong link between ATAR-focused pathways and poor student mental health (Olds et al., 2022; </w:t>
      </w:r>
      <w:proofErr w:type="spellStart"/>
      <w:r w:rsidRPr="0093377C">
        <w:t>Shergold</w:t>
      </w:r>
      <w:proofErr w:type="spellEnd"/>
      <w:r w:rsidRPr="0093377C">
        <w:t xml:space="preserve"> et al., 2020). </w:t>
      </w:r>
      <w:proofErr w:type="spellStart"/>
      <w:r w:rsidRPr="0093377C">
        <w:t>Patfield</w:t>
      </w:r>
      <w:proofErr w:type="spellEnd"/>
      <w:r w:rsidRPr="0093377C">
        <w:t xml:space="preserve"> (2024), building on </w:t>
      </w:r>
      <w:proofErr w:type="spellStart"/>
      <w:r w:rsidRPr="0093377C">
        <w:t>Shergold’s</w:t>
      </w:r>
      <w:proofErr w:type="spellEnd"/>
      <w:r w:rsidRPr="0093377C">
        <w:t xml:space="preserve"> </w:t>
      </w:r>
      <w:r w:rsidRPr="0093377C">
        <w:rPr>
          <w:i/>
          <w:iCs/>
        </w:rPr>
        <w:t>Review of Senior Secondary Pathways</w:t>
      </w:r>
      <w:r w:rsidRPr="0093377C">
        <w:t xml:space="preserve"> (2020), found that framing</w:t>
      </w:r>
      <w:r>
        <w:t xml:space="preserve"> the</w:t>
      </w:r>
      <w:r w:rsidRPr="0093377C">
        <w:t xml:space="preserve"> ATAR as the ultimate measure of success creates significant stress and anxiety for students. </w:t>
      </w:r>
      <w:r w:rsidRPr="0093377C">
        <w:lastRenderedPageBreak/>
        <w:t>Interviews revealed that those with complex home lives, physical or mental ill-health, and intersecting disadvantages felt particularly burdened by ATAR pressures</w:t>
      </w:r>
      <w:r>
        <w:t xml:space="preserve"> (p. 5)</w:t>
      </w:r>
      <w:r w:rsidRPr="0093377C">
        <w:t xml:space="preserve">. </w:t>
      </w:r>
      <w:proofErr w:type="spellStart"/>
      <w:r w:rsidRPr="0093377C">
        <w:t>Patfield</w:t>
      </w:r>
      <w:proofErr w:type="spellEnd"/>
      <w:r w:rsidRPr="0093377C">
        <w:t xml:space="preserve"> argued that </w:t>
      </w:r>
      <w:r w:rsidRPr="00182EA0">
        <w:t>“</w:t>
      </w:r>
      <w:r w:rsidR="00BB6B7E">
        <w:t xml:space="preserve">ATAR tended to hide </w:t>
      </w:r>
      <w:r w:rsidRPr="00182EA0">
        <w:t>systemic inequities, neglecting engrained issues within and across schools that ultimately shape the kinds of results achieved in high-stakes test</w:t>
      </w:r>
      <w:r w:rsidR="004118C4">
        <w:t>s</w:t>
      </w:r>
      <w:r w:rsidRPr="00182EA0">
        <w:t xml:space="preserve">” (p. 11). </w:t>
      </w:r>
      <w:r w:rsidRPr="0093377C">
        <w:t xml:space="preserve">Students viewed early entrance schemes as more inclusive, valuing the whole learner and reducing the mental health toll associated with </w:t>
      </w:r>
      <w:r w:rsidR="1D0A57EC">
        <w:t xml:space="preserve">an </w:t>
      </w:r>
      <w:r w:rsidRPr="0093377C">
        <w:t xml:space="preserve">ATAR. Consequently, </w:t>
      </w:r>
      <w:proofErr w:type="spellStart"/>
      <w:r w:rsidRPr="0093377C">
        <w:t>Patfield</w:t>
      </w:r>
      <w:proofErr w:type="spellEnd"/>
      <w:r w:rsidRPr="0093377C">
        <w:t xml:space="preserve"> called for pathways that prioritise wellbeing and equitable access to post-school opportunities. Similarly, Olds et al. (2022) advocate</w:t>
      </w:r>
      <w:r w:rsidR="00DD4F90">
        <w:t>d</w:t>
      </w:r>
      <w:r w:rsidRPr="0093377C">
        <w:t xml:space="preserve"> for senior school structures that foster belonging, reduce alienation</w:t>
      </w:r>
      <w:r w:rsidR="00DD4F90">
        <w:t>,</w:t>
      </w:r>
      <w:r w:rsidRPr="0093377C">
        <w:t xml:space="preserve"> and actively support mental health needs. Together, these findings point to an urgent need for reforms that balance academic rigo</w:t>
      </w:r>
      <w:r>
        <w:t>u</w:t>
      </w:r>
      <w:r w:rsidRPr="0093377C">
        <w:t>r with student wellbeing, particularly for those facing disadvantage.</w:t>
      </w:r>
    </w:p>
    <w:p w14:paraId="1B66E531" w14:textId="03202120" w:rsidR="000B0481" w:rsidRPr="00C473BD" w:rsidRDefault="00465423" w:rsidP="00A32591">
      <w:pPr>
        <w:pStyle w:val="Heading3"/>
        <w:rPr>
          <w:color w:val="6B3B57"/>
        </w:rPr>
      </w:pPr>
      <w:bookmarkStart w:id="31" w:name="_Toc217162478"/>
      <w:bookmarkStart w:id="32" w:name="_Toc232766176"/>
      <w:r w:rsidRPr="00C473BD">
        <w:rPr>
          <w:color w:val="6B3B57"/>
        </w:rPr>
        <w:t xml:space="preserve">Academic </w:t>
      </w:r>
      <w:r w:rsidR="35CFBDF4" w:rsidRPr="00C473BD">
        <w:rPr>
          <w:color w:val="6B3B57"/>
        </w:rPr>
        <w:t>outcomes</w:t>
      </w:r>
      <w:r w:rsidRPr="00C473BD">
        <w:rPr>
          <w:color w:val="6B3B57"/>
        </w:rPr>
        <w:t xml:space="preserve"> by pathway</w:t>
      </w:r>
      <w:bookmarkEnd w:id="31"/>
      <w:bookmarkEnd w:id="32"/>
      <w:r w:rsidR="7D657D45" w:rsidRPr="00C473BD">
        <w:rPr>
          <w:color w:val="6B3B57"/>
        </w:rPr>
        <w:t xml:space="preserve"> </w:t>
      </w:r>
    </w:p>
    <w:p w14:paraId="3716847D" w14:textId="16D0EBC0" w:rsidR="000502A6" w:rsidRPr="00E5428F" w:rsidRDefault="62861B12" w:rsidP="52935A30">
      <w:r w:rsidRPr="07AD5326">
        <w:rPr>
          <w:rFonts w:eastAsiaTheme="majorEastAsia"/>
        </w:rPr>
        <w:t>There exist</w:t>
      </w:r>
      <w:r w:rsidR="00BD1DF3">
        <w:rPr>
          <w:rFonts w:eastAsiaTheme="majorEastAsia"/>
        </w:rPr>
        <w:t>s</w:t>
      </w:r>
      <w:r w:rsidRPr="07AD5326">
        <w:rPr>
          <w:rFonts w:eastAsiaTheme="majorEastAsia"/>
        </w:rPr>
        <w:t xml:space="preserve"> a</w:t>
      </w:r>
      <w:r w:rsidR="00DD4F90">
        <w:rPr>
          <w:rFonts w:eastAsiaTheme="majorEastAsia"/>
        </w:rPr>
        <w:t>n increasing</w:t>
      </w:r>
      <w:r w:rsidRPr="07AD5326">
        <w:rPr>
          <w:rFonts w:eastAsiaTheme="majorEastAsia"/>
        </w:rPr>
        <w:t xml:space="preserve"> variety </w:t>
      </w:r>
      <w:r w:rsidR="00DD4F90">
        <w:rPr>
          <w:rFonts w:eastAsiaTheme="majorEastAsia"/>
        </w:rPr>
        <w:t>of</w:t>
      </w:r>
      <w:r w:rsidRPr="07AD5326">
        <w:rPr>
          <w:rFonts w:eastAsiaTheme="majorEastAsia"/>
        </w:rPr>
        <w:t xml:space="preserve"> pathways to university</w:t>
      </w:r>
      <w:r w:rsidR="00DD4F90">
        <w:rPr>
          <w:rFonts w:eastAsiaTheme="majorEastAsia"/>
        </w:rPr>
        <w:t>,</w:t>
      </w:r>
      <w:r w:rsidRPr="07AD5326">
        <w:rPr>
          <w:rFonts w:eastAsiaTheme="majorEastAsia"/>
        </w:rPr>
        <w:t xml:space="preserve"> and </w:t>
      </w:r>
      <w:r w:rsidR="70EFE43E">
        <w:t>examining outcomes by entry pathway is essential to ensure diverse routes genuinely prepare students for success and inform equity</w:t>
      </w:r>
      <w:r w:rsidR="00DD4F90">
        <w:t>-</w:t>
      </w:r>
      <w:r w:rsidR="70EFE43E">
        <w:t>focused policy and program design. Recent analyses show that equity cohorts navigate multiple pathways into higher education and that outcomes vary across these routes (Li &amp; Jackson, 2023). For example, Vocational Education and Training (</w:t>
      </w:r>
      <w:r w:rsidR="70EFE43E" w:rsidRPr="07AD5326">
        <w:rPr>
          <w:rFonts w:eastAsiaTheme="majorEastAsia"/>
        </w:rPr>
        <w:t>VET</w:t>
      </w:r>
      <w:r w:rsidR="70EFE43E">
        <w:t>)</w:t>
      </w:r>
      <w:r w:rsidR="70EFE43E" w:rsidRPr="07AD5326">
        <w:rPr>
          <w:rFonts w:eastAsiaTheme="majorEastAsia"/>
        </w:rPr>
        <w:t xml:space="preserve"> pathways</w:t>
      </w:r>
      <w:r w:rsidR="70EFE43E">
        <w:t xml:space="preserve"> have grown as an entry option, yet studies report mixed results for academic success and retention, with persistent challenges around preparedness and transition (Olds et al., 2022; Pilcher &amp; Torii, 2018). At the same time, the strongest growth in participation has occurred through </w:t>
      </w:r>
      <w:r w:rsidR="005267BF">
        <w:t>e</w:t>
      </w:r>
      <w:r w:rsidR="70EFE43E" w:rsidRPr="07AD5326">
        <w:rPr>
          <w:rFonts w:eastAsiaTheme="majorEastAsia"/>
        </w:rPr>
        <w:t>nabling programs</w:t>
      </w:r>
      <w:r w:rsidR="70EFE43E">
        <w:t>, though usage patterns differ</w:t>
      </w:r>
      <w:r w:rsidR="502A2F47">
        <w:t>; l</w:t>
      </w:r>
      <w:r w:rsidR="70EFE43E">
        <w:t>ow</w:t>
      </w:r>
      <w:r w:rsidR="53F4DB9B">
        <w:t xml:space="preserve"> </w:t>
      </w:r>
      <w:r w:rsidR="70EFE43E">
        <w:t xml:space="preserve">SES students appear to make relatively limited use of </w:t>
      </w:r>
      <w:r w:rsidR="005267BF">
        <w:t>e</w:t>
      </w:r>
      <w:r w:rsidR="70EFE43E">
        <w:t>nabling pathways, while regional and remote students more often favour VET (Li &amp; Jackson, 2023). Notably, some of these findings draw on data</w:t>
      </w:r>
      <w:r w:rsidR="00666BC9">
        <w:t xml:space="preserve"> </w:t>
      </w:r>
      <w:r w:rsidR="70EFE43E">
        <w:t>sets dominated by mature</w:t>
      </w:r>
      <w:r w:rsidR="7EBA9483">
        <w:t xml:space="preserve"> </w:t>
      </w:r>
      <w:r w:rsidR="70EFE43E">
        <w:t>age enrolments (</w:t>
      </w:r>
      <w:r w:rsidR="00BD1DF3">
        <w:t>for example,</w:t>
      </w:r>
      <w:r w:rsidR="70EFE43E">
        <w:t xml:space="preserve"> 2011</w:t>
      </w:r>
      <w:r w:rsidR="00BD1DF3">
        <w:t>–</w:t>
      </w:r>
      <w:r w:rsidR="70EFE43E">
        <w:t>2019), underscoring the need to disaggregate outcomes by age and pathway to avoid overgeneralising from older cohorts.</w:t>
      </w:r>
    </w:p>
    <w:p w14:paraId="75E585E0" w14:textId="5DD9DE8B" w:rsidR="000502A6" w:rsidRPr="00E5428F" w:rsidRDefault="70EFE43E" w:rsidP="000502A6">
      <w:r w:rsidRPr="07AD5326">
        <w:rPr>
          <w:rFonts w:eastAsiaTheme="majorEastAsia"/>
        </w:rPr>
        <w:t>Post</w:t>
      </w:r>
      <w:r w:rsidR="005267BF">
        <w:rPr>
          <w:rFonts w:eastAsiaTheme="majorEastAsia"/>
        </w:rPr>
        <w:t>-</w:t>
      </w:r>
      <w:r w:rsidRPr="07AD5326">
        <w:rPr>
          <w:rFonts w:eastAsiaTheme="majorEastAsia"/>
        </w:rPr>
        <w:t xml:space="preserve">secondary </w:t>
      </w:r>
      <w:r w:rsidR="005267BF">
        <w:t>e</w:t>
      </w:r>
      <w:r w:rsidRPr="07AD5326">
        <w:rPr>
          <w:rFonts w:eastAsiaTheme="majorEastAsia"/>
        </w:rPr>
        <w:t>nabling programs</w:t>
      </w:r>
      <w:r>
        <w:t xml:space="preserve"> consistently demonstrate effectiveness in supporting students from equity cohorts to access and succeed in higher education, with evidence of strong progression into </w:t>
      </w:r>
      <w:r w:rsidR="4B49D1A9">
        <w:t>first-year</w:t>
      </w:r>
      <w:r>
        <w:t xml:space="preserve"> studies (Lisciandro, 2022; Pitman et al., 2016). Crucially, retention and attrition need to be conceptualised differently in </w:t>
      </w:r>
      <w:r w:rsidR="005267BF">
        <w:t>e</w:t>
      </w:r>
      <w:r>
        <w:t xml:space="preserve">nabling contexts as withdrawal can be a </w:t>
      </w:r>
      <w:r w:rsidRPr="07AD5326">
        <w:rPr>
          <w:rFonts w:eastAsiaTheme="majorEastAsia"/>
        </w:rPr>
        <w:t>positive, agentic decision</w:t>
      </w:r>
      <w:r>
        <w:t xml:space="preserve"> when students recalibrate goals toward alternative qualifications or employment, challenging deficit framings of success (Bennett et al., 2013; Hodges et al., 2013). These insights point to the value of </w:t>
      </w:r>
      <w:r w:rsidR="005267BF">
        <w:t>e</w:t>
      </w:r>
      <w:r>
        <w:t>nabling pedagogy, targeted academic literacies, and wraparound supports as mechanisms that build confidence, belonging</w:t>
      </w:r>
      <w:r w:rsidR="005267BF">
        <w:t>,</w:t>
      </w:r>
      <w:r>
        <w:t xml:space="preserve"> and readiness for the demands of undergraduate study (Lisciandro, 2022; Hodges et al., 2013).</w:t>
      </w:r>
    </w:p>
    <w:p w14:paraId="1B2F7198" w14:textId="376EFFFD" w:rsidR="00951D3A" w:rsidRPr="006E262A" w:rsidRDefault="70EFE43E" w:rsidP="07AD5326">
      <w:pPr>
        <w:rPr>
          <w:rFonts w:eastAsiaTheme="majorEastAsia"/>
        </w:rPr>
      </w:pPr>
      <w:r w:rsidRPr="07AD5326">
        <w:rPr>
          <w:rFonts w:eastAsiaTheme="majorEastAsia"/>
        </w:rPr>
        <w:t xml:space="preserve">In contrast, research on </w:t>
      </w:r>
      <w:r w:rsidR="5B0E721C">
        <w:t>ISEPS</w:t>
      </w:r>
      <w:r w:rsidRPr="07AD5326">
        <w:rPr>
          <w:rFonts w:eastAsiaTheme="majorEastAsia"/>
        </w:rPr>
        <w:t xml:space="preserve">s </w:t>
      </w:r>
      <w:r>
        <w:t xml:space="preserve">remains limited and primarily qualitative, despite promising early indicators. Practice and qualitative studies report </w:t>
      </w:r>
      <w:r w:rsidRPr="07AD5326">
        <w:rPr>
          <w:rFonts w:eastAsiaTheme="majorEastAsia"/>
        </w:rPr>
        <w:t>improved Year 12 completion, heightened tertiary aspirations, and stronger perceptions of preparedness</w:t>
      </w:r>
      <w:r>
        <w:t xml:space="preserve"> among participants in programs such as </w:t>
      </w:r>
      <w:proofErr w:type="spellStart"/>
      <w:r>
        <w:t>FlexiTrack</w:t>
      </w:r>
      <w:proofErr w:type="spellEnd"/>
      <w:r>
        <w:t xml:space="preserve"> High and TLC Learning for Tomorrow (Maclaurin et al., 2025). Emerging cross</w:t>
      </w:r>
      <w:r w:rsidR="005267BF">
        <w:t>-</w:t>
      </w:r>
      <w:r>
        <w:t xml:space="preserve">institutional work also highlights the importance of </w:t>
      </w:r>
      <w:r w:rsidRPr="07AD5326">
        <w:rPr>
          <w:rFonts w:eastAsiaTheme="majorEastAsia"/>
        </w:rPr>
        <w:t>school</w:t>
      </w:r>
      <w:r w:rsidR="005267BF">
        <w:rPr>
          <w:rFonts w:eastAsiaTheme="majorEastAsia"/>
        </w:rPr>
        <w:t>-</w:t>
      </w:r>
      <w:r w:rsidRPr="07AD5326">
        <w:rPr>
          <w:rFonts w:eastAsiaTheme="majorEastAsia"/>
        </w:rPr>
        <w:t>university partnerships, alignment with first</w:t>
      </w:r>
      <w:r w:rsidR="53F4DB9B" w:rsidRPr="07AD5326">
        <w:rPr>
          <w:rFonts w:eastAsiaTheme="majorEastAsia"/>
        </w:rPr>
        <w:t xml:space="preserve"> </w:t>
      </w:r>
      <w:r w:rsidRPr="07AD5326">
        <w:rPr>
          <w:rFonts w:eastAsiaTheme="majorEastAsia"/>
        </w:rPr>
        <w:t xml:space="preserve">year expectations, and </w:t>
      </w:r>
      <w:r w:rsidR="005267BF">
        <w:t>e</w:t>
      </w:r>
      <w:r w:rsidRPr="07AD5326">
        <w:rPr>
          <w:rFonts w:eastAsiaTheme="majorEastAsia"/>
        </w:rPr>
        <w:t>nabling transition pedagogy</w:t>
      </w:r>
      <w:r>
        <w:t xml:space="preserve"> as design principles (Daly et al., 2025; Ramos, Ryan &amp; Forbes, 2025). However, robust </w:t>
      </w:r>
      <w:r w:rsidRPr="07AD5326">
        <w:rPr>
          <w:rFonts w:eastAsiaTheme="majorEastAsia"/>
        </w:rPr>
        <w:t>longitudinal evidence</w:t>
      </w:r>
      <w:r>
        <w:t xml:space="preserve"> linking ISEP participation to undergraduate retention, achievement, and completion is scarce. </w:t>
      </w:r>
      <w:r w:rsidRPr="07AD5326">
        <w:rPr>
          <w:rFonts w:eastAsiaTheme="majorEastAsia"/>
        </w:rPr>
        <w:t xml:space="preserve">Addressing this gap is the central aim of the current </w:t>
      </w:r>
      <w:r w:rsidRPr="07AD5326">
        <w:rPr>
          <w:rFonts w:eastAsiaTheme="majorEastAsia"/>
        </w:rPr>
        <w:lastRenderedPageBreak/>
        <w:t>project</w:t>
      </w:r>
      <w:r>
        <w:t>, which will generate evidence to inform policy, program design</w:t>
      </w:r>
      <w:r w:rsidR="005267BF">
        <w:t>,</w:t>
      </w:r>
      <w:r>
        <w:t xml:space="preserve"> and equity strategies in Australian higher education.</w:t>
      </w:r>
    </w:p>
    <w:p w14:paraId="1C023322" w14:textId="0EE018BA" w:rsidR="7571F239" w:rsidRPr="00C473BD" w:rsidRDefault="113C901A" w:rsidP="00A32591">
      <w:pPr>
        <w:pStyle w:val="Heading3"/>
        <w:rPr>
          <w:color w:val="6B3B57"/>
        </w:rPr>
      </w:pPr>
      <w:bookmarkStart w:id="33" w:name="_Toc217162479"/>
      <w:bookmarkStart w:id="34" w:name="_Toc232766177"/>
      <w:r w:rsidRPr="00C473BD">
        <w:rPr>
          <w:color w:val="6B3B57"/>
        </w:rPr>
        <w:t>C</w:t>
      </w:r>
      <w:r w:rsidR="09C53494" w:rsidRPr="00C473BD">
        <w:rPr>
          <w:color w:val="6B3B57"/>
        </w:rPr>
        <w:t>onceptualisations of success</w:t>
      </w:r>
      <w:bookmarkEnd w:id="33"/>
      <w:bookmarkEnd w:id="34"/>
    </w:p>
    <w:p w14:paraId="600A3BCD" w14:textId="0E5D1897" w:rsidR="002A01D0" w:rsidRDefault="097E3C22" w:rsidP="00A32591">
      <w:r>
        <w:t>Quantitative measures of student success such as grades, conversion, retention</w:t>
      </w:r>
      <w:r w:rsidR="005267BF">
        <w:t>,</w:t>
      </w:r>
      <w:r>
        <w:t xml:space="preserve"> and pass rates are often </w:t>
      </w:r>
      <w:r w:rsidR="48EA460C">
        <w:t xml:space="preserve">shared as the defining markers of student success. </w:t>
      </w:r>
      <w:r w:rsidR="44AFAC44">
        <w:t>These are</w:t>
      </w:r>
      <w:r w:rsidR="5D2E1DDD">
        <w:t xml:space="preserve"> used</w:t>
      </w:r>
      <w:r>
        <w:t> by the Australian </w:t>
      </w:r>
      <w:r w:rsidR="00594165">
        <w:t>G</w:t>
      </w:r>
      <w:r>
        <w:t>overnment and institutions </w:t>
      </w:r>
      <w:r w:rsidR="1826D9F6">
        <w:t>to validate</w:t>
      </w:r>
      <w:r w:rsidR="3E61CDB0">
        <w:t xml:space="preserve"> </w:t>
      </w:r>
      <w:r w:rsidR="2D47878A">
        <w:t xml:space="preserve">program </w:t>
      </w:r>
      <w:r w:rsidR="5C14268B">
        <w:t>viability</w:t>
      </w:r>
      <w:r w:rsidR="3743D399">
        <w:t>. Y</w:t>
      </w:r>
      <w:r w:rsidR="5C14268B">
        <w:t>et</w:t>
      </w:r>
      <w:r w:rsidR="3743D399">
        <w:t xml:space="preserve"> such definitions are</w:t>
      </w:r>
      <w:r>
        <w:t xml:space="preserve"> neoliberal in nature </w:t>
      </w:r>
      <w:r w:rsidR="775DED7B">
        <w:t xml:space="preserve">and </w:t>
      </w:r>
      <w:r w:rsidR="5E59652A">
        <w:t xml:space="preserve">limit </w:t>
      </w:r>
      <w:r w:rsidR="50D64119">
        <w:t xml:space="preserve">discourse </w:t>
      </w:r>
      <w:r w:rsidR="3743D399">
        <w:t xml:space="preserve">or considerations of </w:t>
      </w:r>
      <w:r>
        <w:t>success</w:t>
      </w:r>
      <w:r w:rsidR="3743D399">
        <w:t xml:space="preserve"> as multi-dimensional, and inclusive of </w:t>
      </w:r>
      <w:r w:rsidR="0D3FF31A">
        <w:t xml:space="preserve">other socio-cultural and socio-emotional </w:t>
      </w:r>
      <w:r w:rsidR="72A709D8">
        <w:t xml:space="preserve">elements </w:t>
      </w:r>
      <w:r>
        <w:t>(</w:t>
      </w:r>
      <w:r w:rsidR="50D64119">
        <w:t>Baker et al., 202</w:t>
      </w:r>
      <w:r w:rsidR="3278D8A3">
        <w:t>0</w:t>
      </w:r>
      <w:r w:rsidR="50D64119">
        <w:t xml:space="preserve">; Maclaurin et al., 2024; </w:t>
      </w:r>
      <w:r>
        <w:t>Rubin et al., 2022).</w:t>
      </w:r>
      <w:r w:rsidR="72A709D8">
        <w:t xml:space="preserve"> For example</w:t>
      </w:r>
      <w:r w:rsidR="256386E9">
        <w:t>,</w:t>
      </w:r>
      <w:r w:rsidR="72A709D8">
        <w:t xml:space="preserve"> </w:t>
      </w:r>
      <w:r w:rsidR="65A85E42">
        <w:t xml:space="preserve">Jackson et al. (2023) indicate </w:t>
      </w:r>
      <w:r w:rsidR="00594165">
        <w:t>e</w:t>
      </w:r>
      <w:r w:rsidR="65A85E42">
        <w:t xml:space="preserve">nabling </w:t>
      </w:r>
      <w:r w:rsidR="519AC29C">
        <w:t>p</w:t>
      </w:r>
      <w:r w:rsidR="65A85E42">
        <w:t>rograms can give “confidence, resilience and</w:t>
      </w:r>
      <w:r w:rsidR="6D19FCDB">
        <w:t xml:space="preserve"> </w:t>
      </w:r>
      <w:r w:rsidR="65A85E42">
        <w:t>...</w:t>
      </w:r>
      <w:r w:rsidR="6D19FCDB">
        <w:t xml:space="preserve"> </w:t>
      </w:r>
      <w:r w:rsidR="65A85E42">
        <w:t>purpose” for students who achieved a lower Australian Tertiary Admission Rank” (p</w:t>
      </w:r>
      <w:r w:rsidR="00BD1DF3">
        <w:t>p</w:t>
      </w:r>
      <w:r w:rsidR="65A85E42">
        <w:t>. 598</w:t>
      </w:r>
      <w:r w:rsidR="00BD1DF3">
        <w:t>–</w:t>
      </w:r>
      <w:r w:rsidR="65A85E42">
        <w:t>599).</w:t>
      </w:r>
      <w:r w:rsidR="196DDA21">
        <w:t xml:space="preserve"> </w:t>
      </w:r>
      <w:r w:rsidR="0B89E435">
        <w:t xml:space="preserve">Pedler </w:t>
      </w:r>
      <w:r w:rsidR="17CABB76">
        <w:t xml:space="preserve">recognises a sense of belonging within </w:t>
      </w:r>
      <w:r w:rsidR="3D971C2E">
        <w:t xml:space="preserve">as a </w:t>
      </w:r>
      <w:r w:rsidR="0B89E435">
        <w:t>“student</w:t>
      </w:r>
      <w:r w:rsidR="00594165">
        <w:t>’</w:t>
      </w:r>
      <w:r w:rsidR="0B89E435">
        <w:t>s subjective feelings of connection and integration with their institution and campus community” (Pedler et al., 2022, p. 398)</w:t>
      </w:r>
      <w:r w:rsidR="3D971C2E">
        <w:t xml:space="preserve">. </w:t>
      </w:r>
      <w:r w:rsidR="0B89E435">
        <w:t>Pedler</w:t>
      </w:r>
      <w:r w:rsidR="1DD36C69">
        <w:t xml:space="preserve"> (2022)</w:t>
      </w:r>
      <w:r w:rsidR="7F01D1F3">
        <w:t xml:space="preserve">, as well as others </w:t>
      </w:r>
      <w:r w:rsidR="3F21EA7D">
        <w:t>(</w:t>
      </w:r>
      <w:r w:rsidR="7F01D1F3">
        <w:t xml:space="preserve">Larsen </w:t>
      </w:r>
      <w:r w:rsidR="009B7432">
        <w:t>&amp;</w:t>
      </w:r>
      <w:r w:rsidR="7F01D1F3">
        <w:t xml:space="preserve"> </w:t>
      </w:r>
      <w:r w:rsidR="102F838F">
        <w:t>James</w:t>
      </w:r>
      <w:r w:rsidR="3F21EA7D">
        <w:t xml:space="preserve">, </w:t>
      </w:r>
      <w:r w:rsidR="3F69373F">
        <w:t>2022</w:t>
      </w:r>
      <w:r w:rsidR="3F21EA7D">
        <w:t>;</w:t>
      </w:r>
      <w:r w:rsidR="3F69373F">
        <w:t xml:space="preserve"> Larsen et al</w:t>
      </w:r>
      <w:r w:rsidR="77A0E49D">
        <w:t>.</w:t>
      </w:r>
      <w:r w:rsidR="009B7432">
        <w:t>,</w:t>
      </w:r>
      <w:r w:rsidR="3F69373F">
        <w:t xml:space="preserve"> 2025</w:t>
      </w:r>
      <w:r w:rsidR="3F21EA7D">
        <w:t>; Thomas 2011</w:t>
      </w:r>
      <w:r w:rsidR="3F69373F">
        <w:t>)</w:t>
      </w:r>
      <w:r w:rsidR="00594165">
        <w:t>,</w:t>
      </w:r>
      <w:r w:rsidR="3F69373F">
        <w:t xml:space="preserve"> </w:t>
      </w:r>
      <w:r w:rsidR="3D971C2E">
        <w:t xml:space="preserve">importantly </w:t>
      </w:r>
      <w:r w:rsidR="721EF913">
        <w:t>note the relationship between</w:t>
      </w:r>
      <w:r w:rsidR="3D971C2E">
        <w:t xml:space="preserve"> student </w:t>
      </w:r>
      <w:proofErr w:type="gramStart"/>
      <w:r w:rsidR="721EF913">
        <w:t>not-belonging</w:t>
      </w:r>
      <w:proofErr w:type="gramEnd"/>
      <w:r w:rsidR="721EF913">
        <w:t xml:space="preserve"> and high attrition. Additionally, as no</w:t>
      </w:r>
      <w:r w:rsidR="226EC920">
        <w:t>ted by Larsen and James</w:t>
      </w:r>
      <w:r w:rsidR="416B14BE">
        <w:t xml:space="preserve"> (2022)</w:t>
      </w:r>
      <w:r w:rsidR="226EC920">
        <w:t xml:space="preserve"> and </w:t>
      </w:r>
      <w:r w:rsidR="721EF913">
        <w:t xml:space="preserve">Thomas </w:t>
      </w:r>
      <w:r w:rsidR="226EC920">
        <w:t xml:space="preserve">(2011), </w:t>
      </w:r>
      <w:r w:rsidR="6F5FD13C">
        <w:t>this connection between retention and belonging</w:t>
      </w:r>
      <w:r w:rsidR="295D0789">
        <w:t xml:space="preserve"> </w:t>
      </w:r>
      <w:r w:rsidR="197016EA">
        <w:t>recognises</w:t>
      </w:r>
      <w:r w:rsidR="416B14BE">
        <w:t xml:space="preserve"> belonging as a marker of </w:t>
      </w:r>
      <w:r w:rsidR="197016EA">
        <w:t xml:space="preserve">student </w:t>
      </w:r>
      <w:r w:rsidR="211823E1">
        <w:t>success</w:t>
      </w:r>
      <w:r w:rsidR="197016EA">
        <w:t>.</w:t>
      </w:r>
    </w:p>
    <w:p w14:paraId="4F5C913D" w14:textId="6FBFF04B" w:rsidR="003915E4" w:rsidRDefault="009B047F" w:rsidP="00A32591">
      <w:r>
        <w:t xml:space="preserve">The importance of belonging </w:t>
      </w:r>
      <w:r w:rsidR="00C4712A">
        <w:t xml:space="preserve">as </w:t>
      </w:r>
      <w:r w:rsidR="00594165">
        <w:t xml:space="preserve">a </w:t>
      </w:r>
      <w:r w:rsidR="00C4712A">
        <w:t>central proponent of wellbeing</w:t>
      </w:r>
      <w:r w:rsidR="00833B66">
        <w:t xml:space="preserve"> is recognised </w:t>
      </w:r>
      <w:r>
        <w:t xml:space="preserve">in </w:t>
      </w:r>
      <w:r w:rsidR="00594165">
        <w:t>e</w:t>
      </w:r>
      <w:r>
        <w:t>nabling</w:t>
      </w:r>
      <w:r w:rsidR="00C4712A">
        <w:t xml:space="preserve"> literature, particularly as parts of Enabling Transition Pedagogies</w:t>
      </w:r>
      <w:r w:rsidR="00A2434F">
        <w:t xml:space="preserve"> </w:t>
      </w:r>
      <w:r w:rsidR="00770515">
        <w:t xml:space="preserve">(ETPs) </w:t>
      </w:r>
      <w:r w:rsidR="00A2434F">
        <w:t xml:space="preserve">(see </w:t>
      </w:r>
      <w:r w:rsidR="00912A4F" w:rsidRPr="00912A4F">
        <w:t>Nieuwoudt</w:t>
      </w:r>
      <w:r w:rsidR="00912A4F">
        <w:t xml:space="preserve"> </w:t>
      </w:r>
      <w:r w:rsidR="00473ED9">
        <w:t>&amp;</w:t>
      </w:r>
      <w:r w:rsidR="00895030">
        <w:t xml:space="preserve"> Jones 2025</w:t>
      </w:r>
      <w:r w:rsidR="00770515">
        <w:t>; Olds et al</w:t>
      </w:r>
      <w:r w:rsidR="009D5252">
        <w:t>.,</w:t>
      </w:r>
      <w:r w:rsidR="00770515">
        <w:t xml:space="preserve"> 2022; </w:t>
      </w:r>
      <w:r w:rsidR="00770515" w:rsidRPr="00770515">
        <w:t>Crawford et al., 2016; Nieuwoudt, 2021, 2023</w:t>
      </w:r>
      <w:r w:rsidR="00770515">
        <w:t>). Including w</w:t>
      </w:r>
      <w:r w:rsidR="00770515" w:rsidRPr="00770515">
        <w:t>ellbeing curriculum principle</w:t>
      </w:r>
      <w:r w:rsidR="00D117AB">
        <w:t>s</w:t>
      </w:r>
      <w:r w:rsidR="00770515">
        <w:t xml:space="preserve"> </w:t>
      </w:r>
      <w:r w:rsidR="009C1F89">
        <w:t>recognises</w:t>
      </w:r>
      <w:r w:rsidR="00770515">
        <w:t xml:space="preserve"> </w:t>
      </w:r>
      <w:r w:rsidR="005E33A9">
        <w:t>“</w:t>
      </w:r>
      <w:r w:rsidR="005E33A9" w:rsidRPr="005E33A9">
        <w:t>the social and emotional layers of learning</w:t>
      </w:r>
      <w:r w:rsidR="005E33A9">
        <w:t xml:space="preserve">” as </w:t>
      </w:r>
      <w:r w:rsidR="00E33B22">
        <w:t>a factor impact</w:t>
      </w:r>
      <w:r w:rsidR="00594165">
        <w:t>ing</w:t>
      </w:r>
      <w:r w:rsidR="00E33B22">
        <w:t xml:space="preserve"> student success and transition, </w:t>
      </w:r>
      <w:r w:rsidR="00594165">
        <w:t xml:space="preserve">and </w:t>
      </w:r>
      <w:r w:rsidR="00E33B22">
        <w:t xml:space="preserve">as </w:t>
      </w:r>
      <w:r w:rsidR="00AC7D02">
        <w:t xml:space="preserve">an important consideration when designing an </w:t>
      </w:r>
      <w:r w:rsidR="00594165">
        <w:t>e</w:t>
      </w:r>
      <w:r w:rsidR="00AC7D02">
        <w:t>nabling program</w:t>
      </w:r>
      <w:r w:rsidR="0054720A">
        <w:t xml:space="preserve">, </w:t>
      </w:r>
      <w:r w:rsidR="005B333A">
        <w:t xml:space="preserve">particularly for ISEPs </w:t>
      </w:r>
      <w:r w:rsidR="00F077AD">
        <w:t>where</w:t>
      </w:r>
      <w:r w:rsidR="00E33B22">
        <w:t xml:space="preserve"> students are operating in a liminal space between school, </w:t>
      </w:r>
      <w:r w:rsidR="00594165">
        <w:t>e</w:t>
      </w:r>
      <w:r w:rsidR="00E33B22">
        <w:t>nabling</w:t>
      </w:r>
      <w:r w:rsidR="00594165">
        <w:t>,</w:t>
      </w:r>
      <w:r w:rsidR="00E33B22">
        <w:t xml:space="preserve"> and university </w:t>
      </w:r>
      <w:r w:rsidR="005B333A">
        <w:t>(</w:t>
      </w:r>
      <w:r w:rsidR="005B333A" w:rsidRPr="00912A4F">
        <w:t>Nieuwoudt</w:t>
      </w:r>
      <w:r w:rsidR="005B333A">
        <w:t xml:space="preserve"> </w:t>
      </w:r>
      <w:r w:rsidR="00CD2037">
        <w:t>&amp;</w:t>
      </w:r>
      <w:r w:rsidR="005B333A">
        <w:t xml:space="preserve"> Jones 2025)</w:t>
      </w:r>
      <w:r w:rsidR="000B435B">
        <w:t>.</w:t>
      </w:r>
      <w:r w:rsidR="0059343B">
        <w:t xml:space="preserve"> </w:t>
      </w:r>
      <w:r w:rsidR="001F7728">
        <w:t xml:space="preserve">A sense of belonging is </w:t>
      </w:r>
      <w:r w:rsidR="0071746C">
        <w:t xml:space="preserve">a </w:t>
      </w:r>
      <w:r w:rsidR="001F7728">
        <w:t xml:space="preserve">crucial </w:t>
      </w:r>
      <w:r w:rsidR="0071746C">
        <w:t>aspect of positive wellbeing</w:t>
      </w:r>
      <w:r w:rsidR="00D30A4A">
        <w:t xml:space="preserve">. For </w:t>
      </w:r>
      <w:r w:rsidR="00594165">
        <w:t>e</w:t>
      </w:r>
      <w:r w:rsidR="00D30A4A">
        <w:t>nabling</w:t>
      </w:r>
      <w:r w:rsidR="00FA658F">
        <w:t xml:space="preserve">, </w:t>
      </w:r>
      <w:proofErr w:type="gramStart"/>
      <w:r w:rsidR="00FA658F">
        <w:t>similar to</w:t>
      </w:r>
      <w:proofErr w:type="gramEnd"/>
      <w:r w:rsidR="00FA658F">
        <w:t xml:space="preserve"> university students, </w:t>
      </w:r>
      <w:r w:rsidR="00052E6F">
        <w:t>a sense of belonging is</w:t>
      </w:r>
      <w:r w:rsidR="00D30A4A">
        <w:t xml:space="preserve"> </w:t>
      </w:r>
      <w:r w:rsidR="00317C34">
        <w:t xml:space="preserve">developed </w:t>
      </w:r>
      <w:r w:rsidR="00C836AF">
        <w:t>through learning communities, relationship</w:t>
      </w:r>
      <w:r w:rsidR="00B24FDE">
        <w:t>s</w:t>
      </w:r>
      <w:r w:rsidR="00594165">
        <w:t>,</w:t>
      </w:r>
      <w:r w:rsidR="00B24FDE">
        <w:t xml:space="preserve"> and a </w:t>
      </w:r>
      <w:r w:rsidR="00FA658F">
        <w:t>“</w:t>
      </w:r>
      <w:r w:rsidR="00B24FDE">
        <w:t>deep connection</w:t>
      </w:r>
      <w:r w:rsidR="00FA658F">
        <w:t>”</w:t>
      </w:r>
      <w:r w:rsidR="00B24FDE">
        <w:t xml:space="preserve"> with the university</w:t>
      </w:r>
      <w:r w:rsidR="00E57E7D">
        <w:t xml:space="preserve"> (Larsen </w:t>
      </w:r>
      <w:r w:rsidR="00CD2037">
        <w:t>&amp;</w:t>
      </w:r>
      <w:r w:rsidR="00E57E7D">
        <w:t xml:space="preserve"> James, 2022; Larsen et al</w:t>
      </w:r>
      <w:r w:rsidR="00D9417E">
        <w:t>.,</w:t>
      </w:r>
      <w:r w:rsidR="00E57E7D">
        <w:t xml:space="preserve"> 2025; </w:t>
      </w:r>
      <w:r w:rsidR="008932C0" w:rsidRPr="00F46D11">
        <w:t>Jones</w:t>
      </w:r>
      <w:r w:rsidR="008932C0" w:rsidRPr="001273A5">
        <w:t>, Lisciandro &amp; Olds, 2019</w:t>
      </w:r>
      <w:r w:rsidR="00052E6F">
        <w:t xml:space="preserve">). This </w:t>
      </w:r>
      <w:r w:rsidR="008A488B">
        <w:t>is demonstrated to have a positive effect on self-efficacy</w:t>
      </w:r>
      <w:r w:rsidR="00594165" w:rsidRPr="00594165">
        <w:t>—</w:t>
      </w:r>
      <w:r w:rsidR="00A812AC">
        <w:t>students</w:t>
      </w:r>
      <w:r w:rsidR="00C025BF">
        <w:t>’</w:t>
      </w:r>
      <w:r w:rsidR="00A812AC">
        <w:t xml:space="preserve"> sense of belief in themselves and</w:t>
      </w:r>
      <w:r w:rsidR="00B77CA1">
        <w:t xml:space="preserve"> their</w:t>
      </w:r>
      <w:r w:rsidR="00A812AC">
        <w:t xml:space="preserve"> ability to achieve</w:t>
      </w:r>
      <w:r w:rsidR="00594165" w:rsidRPr="00594165">
        <w:t>—</w:t>
      </w:r>
      <w:r w:rsidR="008A488B">
        <w:t xml:space="preserve">which is </w:t>
      </w:r>
      <w:r w:rsidR="00A812AC">
        <w:t>also recognised in the liter</w:t>
      </w:r>
      <w:r w:rsidR="00B77CA1">
        <w:t>ature as a key marker of success</w:t>
      </w:r>
      <w:r w:rsidR="00235CC1">
        <w:t xml:space="preserve"> as it contributes to </w:t>
      </w:r>
      <w:r w:rsidR="00B02C85">
        <w:t>confidence, resilience</w:t>
      </w:r>
      <w:r w:rsidR="00C025BF">
        <w:t>,</w:t>
      </w:r>
      <w:r w:rsidR="00B02C85">
        <w:t xml:space="preserve"> and stickability</w:t>
      </w:r>
      <w:r w:rsidR="00B77CA1">
        <w:t xml:space="preserve">. </w:t>
      </w:r>
      <w:r w:rsidR="00A21A6E">
        <w:t xml:space="preserve">In contrast to </w:t>
      </w:r>
      <w:r w:rsidR="00203969">
        <w:t>numerical qualifiers of success,</w:t>
      </w:r>
      <w:r w:rsidR="00831766">
        <w:t xml:space="preserve"> these socio-emotional elements </w:t>
      </w:r>
      <w:r w:rsidR="00585B5D">
        <w:t>(</w:t>
      </w:r>
      <w:r w:rsidR="00831766">
        <w:t>sense of wellbeing and self-efficacy</w:t>
      </w:r>
      <w:r w:rsidR="00585B5D">
        <w:t>)</w:t>
      </w:r>
      <w:r w:rsidR="00831766">
        <w:t xml:space="preserve"> </w:t>
      </w:r>
      <w:r w:rsidR="00D33ABD">
        <w:t>are additional</w:t>
      </w:r>
      <w:r w:rsidR="00831766">
        <w:t xml:space="preserve"> </w:t>
      </w:r>
      <w:r w:rsidR="008E3AB4">
        <w:t xml:space="preserve">important </w:t>
      </w:r>
      <w:r w:rsidR="00831766">
        <w:t>markers of success</w:t>
      </w:r>
      <w:r w:rsidR="0001238F">
        <w:t xml:space="preserve"> as they </w:t>
      </w:r>
      <w:proofErr w:type="gramStart"/>
      <w:r w:rsidR="0001238F">
        <w:t>take into account</w:t>
      </w:r>
      <w:proofErr w:type="gramEnd"/>
      <w:r w:rsidR="0001238F">
        <w:t xml:space="preserve"> the whole studen</w:t>
      </w:r>
      <w:r w:rsidR="00C30269">
        <w:t xml:space="preserve">t. </w:t>
      </w:r>
      <w:r w:rsidR="00D93882">
        <w:t>Binarily</w:t>
      </w:r>
      <w:r w:rsidR="00A341E8">
        <w:t>,</w:t>
      </w:r>
      <w:r w:rsidR="00D93882">
        <w:t xml:space="preserve"> they</w:t>
      </w:r>
      <w:r w:rsidR="00A341E8">
        <w:t xml:space="preserve"> </w:t>
      </w:r>
      <w:r w:rsidR="001418FA">
        <w:t xml:space="preserve">demonstrate the </w:t>
      </w:r>
      <w:r w:rsidR="009A54B1">
        <w:t>distance travelled</w:t>
      </w:r>
      <w:r w:rsidR="007A2CDC">
        <w:t xml:space="preserve"> </w:t>
      </w:r>
      <w:r w:rsidR="00025AC6">
        <w:t xml:space="preserve">from cultural outsider to insider, </w:t>
      </w:r>
      <w:r w:rsidR="008D1EDD">
        <w:t>non-aspirational to aspirational</w:t>
      </w:r>
      <w:r w:rsidR="00DE3CD8">
        <w:t xml:space="preserve">, </w:t>
      </w:r>
      <w:r w:rsidR="00B82CB5">
        <w:t>and importantly</w:t>
      </w:r>
      <w:r w:rsidR="00C025BF">
        <w:t>,</w:t>
      </w:r>
      <w:r w:rsidR="00B82CB5">
        <w:t xml:space="preserve"> </w:t>
      </w:r>
      <w:r w:rsidR="00F51D66">
        <w:t xml:space="preserve">non-belief </w:t>
      </w:r>
      <w:r w:rsidR="00A341E8">
        <w:t xml:space="preserve">to belief </w:t>
      </w:r>
      <w:r w:rsidR="00F51D66">
        <w:t xml:space="preserve">in </w:t>
      </w:r>
      <w:r w:rsidR="00B82CB5">
        <w:t>academic ability to go to university.</w:t>
      </w:r>
    </w:p>
    <w:p w14:paraId="5E25F854" w14:textId="1CB86BFC" w:rsidR="030E130D" w:rsidRPr="00E8468D" w:rsidRDefault="57C5BD62" w:rsidP="00A32591">
      <w:pPr>
        <w:pStyle w:val="Heading2"/>
        <w:rPr>
          <w:rFonts w:cs="Arial"/>
        </w:rPr>
      </w:pPr>
      <w:bookmarkStart w:id="35" w:name="_Toc217162480"/>
      <w:bookmarkStart w:id="36" w:name="_Toc232766178"/>
      <w:r>
        <w:t xml:space="preserve">Emerging </w:t>
      </w:r>
      <w:r w:rsidR="00FF3D27">
        <w:t>w</w:t>
      </w:r>
      <w:r>
        <w:t xml:space="preserve">ays </w:t>
      </w:r>
      <w:r w:rsidR="00FF3D27">
        <w:t>f</w:t>
      </w:r>
      <w:r>
        <w:t>orward</w:t>
      </w:r>
      <w:bookmarkEnd w:id="35"/>
      <w:bookmarkEnd w:id="36"/>
    </w:p>
    <w:p w14:paraId="10646EDE" w14:textId="6AB979FF" w:rsidR="00C21DE5" w:rsidRDefault="70302039" w:rsidP="00A32591">
      <w:r>
        <w:t xml:space="preserve">In summary, there is growing concern that the </w:t>
      </w:r>
      <w:r w:rsidR="75BF2AD8">
        <w:t xml:space="preserve">current </w:t>
      </w:r>
      <w:r w:rsidR="7681AEC6">
        <w:t xml:space="preserve">structure of the </w:t>
      </w:r>
      <w:r>
        <w:t xml:space="preserve">ATAR system is failing to meet the needs of students, particularly in regional and remote areas where opportunities to achieve competitive </w:t>
      </w:r>
      <w:r w:rsidR="32D9DD7D">
        <w:t>rankings</w:t>
      </w:r>
      <w:r>
        <w:t xml:space="preserve"> are limited. </w:t>
      </w:r>
      <w:r w:rsidR="0C08B4B4">
        <w:t xml:space="preserve">Nationally, </w:t>
      </w:r>
      <w:r w:rsidR="00C025BF">
        <w:t>e</w:t>
      </w:r>
      <w:r w:rsidR="0C08B4B4">
        <w:t xml:space="preserve">nabling </w:t>
      </w:r>
      <w:r w:rsidR="57B343C1">
        <w:t>programs</w:t>
      </w:r>
      <w:r w:rsidR="0C08B4B4">
        <w:t xml:space="preserve"> are designed to be responsive to the local context and communities, and ISEPs </w:t>
      </w:r>
      <w:r w:rsidR="57B343C1">
        <w:t>were</w:t>
      </w:r>
      <w:r w:rsidR="0C08B4B4">
        <w:t xml:space="preserve"> designed </w:t>
      </w:r>
      <w:r w:rsidR="57B343C1">
        <w:t>in</w:t>
      </w:r>
      <w:r w:rsidR="0C08B4B4">
        <w:t xml:space="preserve"> respons</w:t>
      </w:r>
      <w:r w:rsidR="57B343C1">
        <w:t>e</w:t>
      </w:r>
      <w:r w:rsidR="0C08B4B4">
        <w:t xml:space="preserve"> to </w:t>
      </w:r>
      <w:r w:rsidR="57B343C1">
        <w:t xml:space="preserve">an identified need in </w:t>
      </w:r>
      <w:r w:rsidR="0C08B4B4">
        <w:t>senior secondary sectors</w:t>
      </w:r>
      <w:r w:rsidR="0CAAAE1C">
        <w:t xml:space="preserve"> for a non-ATAR pathway to university</w:t>
      </w:r>
      <w:r w:rsidR="0C08B4B4">
        <w:t>. But g</w:t>
      </w:r>
      <w:r>
        <w:t xml:space="preserve">overnment and education departments often perceive ISEPs as diverting students away from </w:t>
      </w:r>
      <w:r w:rsidR="2B662BDE">
        <w:t>ATAR</w:t>
      </w:r>
      <w:r>
        <w:t xml:space="preserve"> pathways, </w:t>
      </w:r>
      <w:r w:rsidR="2B662BDE">
        <w:t xml:space="preserve">even though ATAR </w:t>
      </w:r>
      <w:r w:rsidR="366B76AD">
        <w:t xml:space="preserve">attainment </w:t>
      </w:r>
      <w:r w:rsidR="2B662BDE">
        <w:t xml:space="preserve">was </w:t>
      </w:r>
      <w:r w:rsidR="0C80AE97">
        <w:t xml:space="preserve">in decline for a decade before </w:t>
      </w:r>
      <w:r w:rsidR="0C80AE97">
        <w:lastRenderedPageBreak/>
        <w:t>their emergence</w:t>
      </w:r>
      <w:r w:rsidR="2C8E9665">
        <w:t xml:space="preserve">. </w:t>
      </w:r>
      <w:r w:rsidR="7B0C2353">
        <w:t xml:space="preserve">These </w:t>
      </w:r>
      <w:r w:rsidR="0C08B4B4">
        <w:t xml:space="preserve">departments also </w:t>
      </w:r>
      <w:r w:rsidR="00C025BF">
        <w:t xml:space="preserve">have </w:t>
      </w:r>
      <w:r>
        <w:t>a lack of understanding of the academic rigo</w:t>
      </w:r>
      <w:r w:rsidR="00C025BF">
        <w:t>u</w:t>
      </w:r>
      <w:r>
        <w:t xml:space="preserve">r </w:t>
      </w:r>
      <w:r w:rsidR="3BADA1B2">
        <w:t>ISEPs</w:t>
      </w:r>
      <w:r>
        <w:t xml:space="preserve"> entail. Furthermore, there is insufficient data to demonstrate the impact of initiatives such as </w:t>
      </w:r>
      <w:r w:rsidR="70811745">
        <w:t>ISEP</w:t>
      </w:r>
      <w:r w:rsidR="5E0A96AF">
        <w:t>s</w:t>
      </w:r>
      <w:r>
        <w:t>, as government agencies do not collect comprehensive school</w:t>
      </w:r>
      <w:r w:rsidR="0080514D">
        <w:t xml:space="preserve"> </w:t>
      </w:r>
      <w:r>
        <w:t>leaver information, and there is no consistent tracking of student progression across universities (</w:t>
      </w:r>
      <w:r w:rsidR="3230CFE2">
        <w:t>for example,</w:t>
      </w:r>
      <w:r>
        <w:t xml:space="preserve"> through USI linkage from schools to higher education following </w:t>
      </w:r>
      <w:r w:rsidR="35EC405C">
        <w:t>completion of an ISEP</w:t>
      </w:r>
      <w:r w:rsidR="70811745">
        <w:t>).</w:t>
      </w:r>
      <w:r>
        <w:t xml:space="preserve"> While a few long-standing programs exist, most have been established relatively recently, contributing to misconceptions and gaps in evidence about their effectiveness.</w:t>
      </w:r>
      <w:r w:rsidR="0C08B4B4">
        <w:t xml:space="preserve"> Thus, this project offers a </w:t>
      </w:r>
      <w:r w:rsidR="41EB7571">
        <w:t>multi</w:t>
      </w:r>
      <w:r w:rsidR="244A9043">
        <w:t>-</w:t>
      </w:r>
      <w:r w:rsidR="41EB7571">
        <w:t>lens</w:t>
      </w:r>
      <w:r w:rsidR="0C08B4B4">
        <w:t xml:space="preserve"> approach to s</w:t>
      </w:r>
      <w:r w:rsidR="412FCAEA">
        <w:t xml:space="preserve">potlight the different ways these programs are efficacious and responsive to their </w:t>
      </w:r>
      <w:proofErr w:type="gramStart"/>
      <w:r w:rsidR="412FCAEA">
        <w:t>context</w:t>
      </w:r>
      <w:r w:rsidR="75BF2AD8">
        <w:t>, and</w:t>
      </w:r>
      <w:proofErr w:type="gramEnd"/>
      <w:r w:rsidR="75BF2AD8">
        <w:t xml:space="preserve"> grow the canon of research in the discipline of </w:t>
      </w:r>
      <w:r w:rsidR="003E1CE0">
        <w:t>e</w:t>
      </w:r>
      <w:r w:rsidR="75BF2AD8">
        <w:t>nabling education</w:t>
      </w:r>
      <w:r w:rsidR="412FCAEA">
        <w:t xml:space="preserve">. </w:t>
      </w:r>
    </w:p>
    <w:p w14:paraId="6F6F579A" w14:textId="1BA819F1" w:rsidR="71CD12C1" w:rsidRDefault="00210AD7" w:rsidP="00A32591">
      <w:r>
        <w:br w:type="page"/>
      </w:r>
    </w:p>
    <w:p w14:paraId="26244C7C" w14:textId="2C57F4B5" w:rsidR="00752C64" w:rsidRPr="0079608F" w:rsidRDefault="009D6D47" w:rsidP="00A32591">
      <w:pPr>
        <w:pStyle w:val="Heading1"/>
      </w:pPr>
      <w:bookmarkStart w:id="37" w:name="_Toc217162481"/>
      <w:bookmarkStart w:id="38" w:name="_Toc232766179"/>
      <w:r w:rsidRPr="0079608F">
        <w:lastRenderedPageBreak/>
        <w:t>Methods</w:t>
      </w:r>
      <w:bookmarkEnd w:id="37"/>
      <w:bookmarkEnd w:id="38"/>
    </w:p>
    <w:p w14:paraId="75E407B9" w14:textId="620BEA9C" w:rsidR="00685265" w:rsidRDefault="009C5883" w:rsidP="00A32591">
      <w:r w:rsidRPr="0079608F">
        <w:rPr>
          <w:rFonts w:eastAsia="Arial"/>
        </w:rPr>
        <w:t>This project</w:t>
      </w:r>
      <w:r w:rsidRPr="08C06575">
        <w:rPr>
          <w:rFonts w:eastAsia="Arial"/>
        </w:rPr>
        <w:t xml:space="preserve"> adopt</w:t>
      </w:r>
      <w:r w:rsidR="1A536115" w:rsidRPr="6FDF53A5">
        <w:rPr>
          <w:rFonts w:eastAsia="Arial"/>
        </w:rPr>
        <w:t>ed</w:t>
      </w:r>
      <w:r w:rsidRPr="6FDF53A5">
        <w:rPr>
          <w:rFonts w:eastAsia="Arial"/>
        </w:rPr>
        <w:t xml:space="preserve"> a </w:t>
      </w:r>
      <w:r w:rsidR="00BF4917" w:rsidRPr="6FDF53A5">
        <w:rPr>
          <w:rFonts w:eastAsia="Arial"/>
        </w:rPr>
        <w:t>four-phase</w:t>
      </w:r>
      <w:r w:rsidR="00787A04" w:rsidRPr="6FDF53A5">
        <w:rPr>
          <w:rFonts w:eastAsia="Arial"/>
        </w:rPr>
        <w:t xml:space="preserve"> </w:t>
      </w:r>
      <w:r w:rsidRPr="6FDF53A5">
        <w:rPr>
          <w:rFonts w:eastAsia="Arial"/>
        </w:rPr>
        <w:t xml:space="preserve">mixed methodological approach </w:t>
      </w:r>
      <w:r w:rsidR="7E5C9FB6" w:rsidRPr="4B5A95AF">
        <w:rPr>
          <w:rFonts w:eastAsia="Arial"/>
        </w:rPr>
        <w:t xml:space="preserve">to develop an understanding of ISEP models and to understand the efficacy of ISEPs. </w:t>
      </w:r>
      <w:r w:rsidR="6C549C3B" w:rsidRPr="06A5CC8B">
        <w:rPr>
          <w:rFonts w:eastAsia="Arial"/>
        </w:rPr>
        <w:t xml:space="preserve">This comparative research project spanned four universities and </w:t>
      </w:r>
      <w:r w:rsidR="005C2502">
        <w:rPr>
          <w:rFonts w:eastAsia="Arial"/>
        </w:rPr>
        <w:t>94</w:t>
      </w:r>
      <w:r w:rsidR="6C549C3B" w:rsidRPr="06A5CC8B">
        <w:rPr>
          <w:rFonts w:eastAsia="Arial"/>
        </w:rPr>
        <w:t xml:space="preserve"> high schools across Australia. </w:t>
      </w:r>
      <w:r w:rsidR="7E5C9FB6" w:rsidRPr="2A2A85BF">
        <w:rPr>
          <w:rFonts w:eastAsia="Arial"/>
        </w:rPr>
        <w:t xml:space="preserve">The project </w:t>
      </w:r>
      <w:r w:rsidR="47A3543F" w:rsidRPr="2A2A85BF">
        <w:rPr>
          <w:rFonts w:eastAsia="Arial"/>
        </w:rPr>
        <w:t>utilised</w:t>
      </w:r>
      <w:r w:rsidR="7E5C9FB6" w:rsidRPr="2A2A85BF">
        <w:rPr>
          <w:rFonts w:eastAsia="Arial"/>
        </w:rPr>
        <w:t xml:space="preserve"> </w:t>
      </w:r>
      <w:r w:rsidR="008C6856">
        <w:rPr>
          <w:rFonts w:eastAsia="Arial"/>
        </w:rPr>
        <w:t>a</w:t>
      </w:r>
      <w:r w:rsidR="7E5C9FB6" w:rsidRPr="2A2A85BF">
        <w:rPr>
          <w:rFonts w:eastAsia="Arial"/>
        </w:rPr>
        <w:t xml:space="preserve"> benchmarking framework to explore curriculum documents</w:t>
      </w:r>
      <w:r w:rsidR="20F7E735" w:rsidRPr="2A2A85BF">
        <w:rPr>
          <w:rFonts w:eastAsia="Arial"/>
        </w:rPr>
        <w:t xml:space="preserve"> to understand commonalities and differences in ISEP design, </w:t>
      </w:r>
      <w:r w:rsidR="5BE6B4F3" w:rsidRPr="2A2A85BF">
        <w:rPr>
          <w:rFonts w:eastAsia="Arial"/>
        </w:rPr>
        <w:t xml:space="preserve">extant university transition data, along with the voices of school-based partners and post-secondary </w:t>
      </w:r>
      <w:r w:rsidR="788C8A62" w:rsidRPr="2A2A85BF">
        <w:rPr>
          <w:rFonts w:eastAsia="Arial"/>
        </w:rPr>
        <w:t xml:space="preserve">ISEP </w:t>
      </w:r>
      <w:r w:rsidR="5BE6B4F3" w:rsidRPr="2A2A85BF">
        <w:rPr>
          <w:rFonts w:eastAsia="Arial"/>
        </w:rPr>
        <w:t xml:space="preserve">students to </w:t>
      </w:r>
      <w:r w:rsidR="3A6391C8" w:rsidRPr="2A2A85BF">
        <w:rPr>
          <w:rFonts w:eastAsia="Arial"/>
        </w:rPr>
        <w:t xml:space="preserve">understand the outcomes from and perspectives of ISEPs. Exemplifying </w:t>
      </w:r>
      <w:r w:rsidR="1D8915DB" w:rsidRPr="2A2A85BF">
        <w:rPr>
          <w:rFonts w:eastAsia="Arial"/>
        </w:rPr>
        <w:t>the</w:t>
      </w:r>
      <w:r w:rsidR="3A6391C8" w:rsidRPr="2A2A85BF">
        <w:rPr>
          <w:rFonts w:eastAsia="Arial"/>
        </w:rPr>
        <w:t xml:space="preserve"> partnership </w:t>
      </w:r>
      <w:r w:rsidR="62802671" w:rsidRPr="2A2A85BF">
        <w:rPr>
          <w:rFonts w:eastAsia="Arial"/>
        </w:rPr>
        <w:t xml:space="preserve">approach within ISEPs, school-based partners informed the design and content of </w:t>
      </w:r>
      <w:r w:rsidRPr="2A2A85BF">
        <w:rPr>
          <w:rFonts w:eastAsia="Arial"/>
        </w:rPr>
        <w:t>final research outputs.</w:t>
      </w:r>
      <w:r w:rsidR="0066262F">
        <w:t xml:space="preserve"> </w:t>
      </w:r>
      <w:r w:rsidR="0066262F">
        <w:rPr>
          <w:rFonts w:eastAsia="Arial"/>
        </w:rPr>
        <w:t>ECU</w:t>
      </w:r>
      <w:r w:rsidR="00DB456A">
        <w:rPr>
          <w:rFonts w:eastAsia="Arial"/>
        </w:rPr>
        <w:t>,</w:t>
      </w:r>
      <w:r w:rsidR="0066262F">
        <w:rPr>
          <w:rFonts w:eastAsia="Arial"/>
        </w:rPr>
        <w:t xml:space="preserve"> as lead institution</w:t>
      </w:r>
      <w:r w:rsidR="00DB456A">
        <w:rPr>
          <w:rFonts w:eastAsia="Arial"/>
        </w:rPr>
        <w:t>,</w:t>
      </w:r>
      <w:r w:rsidR="0066262F">
        <w:rPr>
          <w:rFonts w:eastAsia="Arial"/>
        </w:rPr>
        <w:t xml:space="preserve"> </w:t>
      </w:r>
      <w:r w:rsidR="00827C3D">
        <w:rPr>
          <w:rFonts w:eastAsia="Arial"/>
        </w:rPr>
        <w:t>obtained</w:t>
      </w:r>
      <w:r w:rsidR="0066262F">
        <w:rPr>
          <w:rFonts w:eastAsia="Arial"/>
        </w:rPr>
        <w:t xml:space="preserve"> ethics approval </w:t>
      </w:r>
      <w:r w:rsidR="00827C3D">
        <w:rPr>
          <w:rFonts w:eastAsia="Arial"/>
        </w:rPr>
        <w:t xml:space="preserve">for this project </w:t>
      </w:r>
      <w:r w:rsidR="00827C3D">
        <w:t>(</w:t>
      </w:r>
      <w:r w:rsidR="00827C3D" w:rsidRPr="00136E6C">
        <w:t>2024-05572-JONES</w:t>
      </w:r>
      <w:r w:rsidR="00827C3D">
        <w:rPr>
          <w:rFonts w:eastAsia="Arial"/>
        </w:rPr>
        <w:t xml:space="preserve">) </w:t>
      </w:r>
      <w:r w:rsidR="0066262F">
        <w:rPr>
          <w:rFonts w:eastAsia="Arial"/>
        </w:rPr>
        <w:t>and c</w:t>
      </w:r>
      <w:r w:rsidR="0083117B" w:rsidRPr="6FDF53A5">
        <w:rPr>
          <w:rFonts w:eastAsia="Arial"/>
        </w:rPr>
        <w:t xml:space="preserve">ross-institutional </w:t>
      </w:r>
      <w:r w:rsidR="00377FB1">
        <w:rPr>
          <w:rFonts w:eastAsia="Arial"/>
        </w:rPr>
        <w:t>approval was acquired</w:t>
      </w:r>
      <w:r w:rsidR="0083117B" w:rsidRPr="6FDF53A5">
        <w:rPr>
          <w:rFonts w:eastAsia="Arial"/>
        </w:rPr>
        <w:t xml:space="preserve"> </w:t>
      </w:r>
      <w:r w:rsidR="0066262F">
        <w:rPr>
          <w:rFonts w:eastAsia="Arial"/>
        </w:rPr>
        <w:t>from the partner universities</w:t>
      </w:r>
      <w:r w:rsidR="0083117B" w:rsidRPr="2AC0697C">
        <w:rPr>
          <w:rFonts w:eastAsia="Arial"/>
        </w:rPr>
        <w:t xml:space="preserve">. </w:t>
      </w:r>
    </w:p>
    <w:p w14:paraId="5DDD31C4" w14:textId="7BCD6C5E" w:rsidR="00685265" w:rsidRDefault="7543E75C" w:rsidP="00A32591">
      <w:pPr>
        <w:pStyle w:val="Heading2"/>
      </w:pPr>
      <w:bookmarkStart w:id="39" w:name="_Toc217162482"/>
      <w:bookmarkStart w:id="40" w:name="_Toc232766180"/>
      <w:r>
        <w:t xml:space="preserve">Phase </w:t>
      </w:r>
      <w:r w:rsidR="00DB456A">
        <w:t>o</w:t>
      </w:r>
      <w:r>
        <w:t xml:space="preserve">ne: Benchmarking of </w:t>
      </w:r>
      <w:r w:rsidR="00DB456A">
        <w:t>i</w:t>
      </w:r>
      <w:r>
        <w:t>n-</w:t>
      </w:r>
      <w:r w:rsidR="00DB456A">
        <w:t>s</w:t>
      </w:r>
      <w:r>
        <w:t xml:space="preserve">chool </w:t>
      </w:r>
      <w:r w:rsidR="00DB456A">
        <w:t>e</w:t>
      </w:r>
      <w:r>
        <w:t xml:space="preserve">nabling </w:t>
      </w:r>
      <w:r w:rsidR="00DB456A">
        <w:t>p</w:t>
      </w:r>
      <w:r>
        <w:t>rograms</w:t>
      </w:r>
      <w:bookmarkEnd w:id="39"/>
      <w:bookmarkEnd w:id="40"/>
    </w:p>
    <w:p w14:paraId="2DD856CC" w14:textId="12C355A7" w:rsidR="009C5883" w:rsidRPr="0079608F" w:rsidRDefault="61E581ED" w:rsidP="00A32591">
      <w:r w:rsidRPr="07AD5326">
        <w:rPr>
          <w:rStyle w:val="normaltextrun"/>
        </w:rPr>
        <w:t xml:space="preserve">The first phase focused on benchmarking the design of the four programs to </w:t>
      </w:r>
      <w:r w:rsidR="42589A64" w:rsidRPr="07AD5326">
        <w:rPr>
          <w:rStyle w:val="normaltextrun"/>
        </w:rPr>
        <w:t>establish</w:t>
      </w:r>
      <w:r w:rsidRPr="07AD5326">
        <w:rPr>
          <w:rStyle w:val="normaltextrun"/>
        </w:rPr>
        <w:t xml:space="preserve"> a baseline understanding of program model structures, Course Learning Outcomes (CLOs), curriculum</w:t>
      </w:r>
      <w:r w:rsidR="00DB456A">
        <w:rPr>
          <w:rStyle w:val="normaltextrun"/>
        </w:rPr>
        <w:t>,</w:t>
      </w:r>
      <w:r w:rsidRPr="07AD5326">
        <w:rPr>
          <w:rStyle w:val="normaltextrun"/>
        </w:rPr>
        <w:t xml:space="preserve"> and assessment design and delivery, not only as a way to ascertain if there was a comparability of standards, but to understand what common elements make a program effective. </w:t>
      </w:r>
      <w:r w:rsidR="03C60050" w:rsidRPr="07AD5326">
        <w:rPr>
          <w:rFonts w:eastAsia="Arial"/>
        </w:rPr>
        <w:t xml:space="preserve">Phase one </w:t>
      </w:r>
      <w:r w:rsidRPr="07AD5326">
        <w:rPr>
          <w:rStyle w:val="normaltextrun"/>
        </w:rPr>
        <w:t>engaged</w:t>
      </w:r>
      <w:r w:rsidR="03C60050" w:rsidRPr="07AD5326">
        <w:rPr>
          <w:rStyle w:val="normaltextrun"/>
        </w:rPr>
        <w:t xml:space="preserve"> Morgan and Taylor’s (2013) six-phase benchmarking framework, templates for cross-institutional collaboration and consistency, and method for reporting </w:t>
      </w:r>
      <w:r w:rsidR="4075DFE6" w:rsidRPr="07AD5326">
        <w:rPr>
          <w:rStyle w:val="normaltextrun"/>
        </w:rPr>
        <w:t>outcomes</w:t>
      </w:r>
      <w:r w:rsidR="03C60050" w:rsidRPr="07AD5326">
        <w:rPr>
          <w:rStyle w:val="normaltextrun"/>
        </w:rPr>
        <w:t xml:space="preserve"> as employed in the recent </w:t>
      </w:r>
      <w:r w:rsidR="03C60050" w:rsidRPr="07AD5326">
        <w:rPr>
          <w:rStyle w:val="normaltextrun"/>
          <w:i/>
          <w:iCs/>
        </w:rPr>
        <w:t xml:space="preserve">Report on Benchmarking of Enabling </w:t>
      </w:r>
      <w:r w:rsidR="1BD7A013" w:rsidRPr="07AD5326">
        <w:rPr>
          <w:rStyle w:val="normaltextrun"/>
          <w:i/>
          <w:iCs/>
        </w:rPr>
        <w:t>Programs</w:t>
      </w:r>
      <w:r w:rsidR="03C60050" w:rsidRPr="07AD5326">
        <w:rPr>
          <w:rStyle w:val="normaltextrun"/>
          <w:i/>
          <w:iCs/>
        </w:rPr>
        <w:t xml:space="preserve"> across Australia to the National Association of Enabling Educators of Australia (NAEEA)</w:t>
      </w:r>
      <w:r w:rsidR="03C60050" w:rsidRPr="07AD5326">
        <w:rPr>
          <w:rStyle w:val="normaltextrun"/>
        </w:rPr>
        <w:t xml:space="preserve"> (Davis et al., 2023). </w:t>
      </w:r>
      <w:r w:rsidRPr="07AD5326">
        <w:rPr>
          <w:rFonts w:eastAsia="Arial"/>
        </w:rPr>
        <w:t>Th</w:t>
      </w:r>
      <w:r w:rsidR="0D5A15D8" w:rsidRPr="07AD5326">
        <w:rPr>
          <w:rFonts w:eastAsia="Arial"/>
        </w:rPr>
        <w:t>e</w:t>
      </w:r>
      <w:r w:rsidRPr="07AD5326">
        <w:rPr>
          <w:rFonts w:eastAsia="Arial"/>
        </w:rPr>
        <w:t xml:space="preserve"> benchmarking </w:t>
      </w:r>
      <w:r w:rsidR="68F32D17" w:rsidRPr="07AD5326">
        <w:rPr>
          <w:rFonts w:eastAsia="Arial"/>
        </w:rPr>
        <w:t>of ISEPs</w:t>
      </w:r>
      <w:r w:rsidRPr="07AD5326">
        <w:rPr>
          <w:rFonts w:eastAsia="Arial"/>
        </w:rPr>
        <w:t xml:space="preserve"> included: </w:t>
      </w:r>
      <w:r w:rsidR="40394A7E" w:rsidRPr="07AD5326">
        <w:rPr>
          <w:rFonts w:eastAsia="Arial"/>
        </w:rPr>
        <w:t xml:space="preserve">program objectives, learning outcomes, curriculum content, assessment methods, and delivery across institutions to identify similarities and differences in programs, </w:t>
      </w:r>
      <w:r w:rsidR="15BE50F1" w:rsidRPr="07AD5326">
        <w:rPr>
          <w:rFonts w:eastAsia="Arial"/>
        </w:rPr>
        <w:t>which could</w:t>
      </w:r>
      <w:r w:rsidRPr="07AD5326">
        <w:rPr>
          <w:rFonts w:eastAsia="Arial"/>
        </w:rPr>
        <w:t xml:space="preserve"> </w:t>
      </w:r>
      <w:r w:rsidR="40394A7E" w:rsidRPr="07AD5326">
        <w:rPr>
          <w:rFonts w:eastAsia="Arial"/>
        </w:rPr>
        <w:t>inform sector guidance on program development</w:t>
      </w:r>
      <w:r w:rsidR="15BE50F1" w:rsidRPr="07AD5326">
        <w:rPr>
          <w:rFonts w:eastAsia="Arial"/>
        </w:rPr>
        <w:t xml:space="preserve"> and review</w:t>
      </w:r>
      <w:r w:rsidR="40394A7E" w:rsidRPr="07AD5326">
        <w:rPr>
          <w:rFonts w:eastAsia="Arial"/>
        </w:rPr>
        <w:t xml:space="preserve">. </w:t>
      </w:r>
    </w:p>
    <w:p w14:paraId="1C928C0A" w14:textId="6AB992C0" w:rsidR="00367C13" w:rsidRPr="0079608F" w:rsidRDefault="32A9FF3D" w:rsidP="00A32591">
      <w:pPr>
        <w:pStyle w:val="Heading2"/>
      </w:pPr>
      <w:bookmarkStart w:id="41" w:name="_Toc217162483"/>
      <w:bookmarkStart w:id="42" w:name="_Toc232766181"/>
      <w:r>
        <w:t xml:space="preserve">Phase </w:t>
      </w:r>
      <w:r w:rsidR="00DB456A">
        <w:t>t</w:t>
      </w:r>
      <w:r>
        <w:t xml:space="preserve">wo: </w:t>
      </w:r>
      <w:r w:rsidR="25A467F0">
        <w:t>Understanding academic outcomes</w:t>
      </w:r>
      <w:bookmarkEnd w:id="41"/>
      <w:bookmarkEnd w:id="42"/>
    </w:p>
    <w:p w14:paraId="266EB18F" w14:textId="780C8172" w:rsidR="009C5883" w:rsidRPr="0079608F" w:rsidRDefault="6F0A1CD6" w:rsidP="00A32591">
      <w:pPr>
        <w:rPr>
          <w:rFonts w:eastAsia="Arial"/>
        </w:rPr>
      </w:pPr>
      <w:r w:rsidRPr="07AD5326">
        <w:rPr>
          <w:rFonts w:eastAsia="Arial"/>
        </w:rPr>
        <w:t>Phase two sought to unders</w:t>
      </w:r>
      <w:r w:rsidR="2EAD2DDD" w:rsidRPr="07AD5326">
        <w:rPr>
          <w:rFonts w:eastAsia="Arial"/>
        </w:rPr>
        <w:t>t</w:t>
      </w:r>
      <w:r w:rsidRPr="07AD5326">
        <w:rPr>
          <w:rFonts w:eastAsia="Arial"/>
        </w:rPr>
        <w:t>and</w:t>
      </w:r>
      <w:r w:rsidR="38C34F86" w:rsidRPr="07AD5326">
        <w:rPr>
          <w:rFonts w:eastAsia="Arial"/>
        </w:rPr>
        <w:t xml:space="preserve"> the academic outcomes of students within ISEPs, as well as in the first </w:t>
      </w:r>
      <w:r w:rsidR="6D31D1FB" w:rsidRPr="07AD5326">
        <w:rPr>
          <w:rFonts w:eastAsia="Arial"/>
        </w:rPr>
        <w:t xml:space="preserve">year </w:t>
      </w:r>
      <w:r w:rsidR="38C34F86" w:rsidRPr="07AD5326">
        <w:rPr>
          <w:rFonts w:eastAsia="Arial"/>
        </w:rPr>
        <w:t>of</w:t>
      </w:r>
      <w:r w:rsidR="159FE0D2" w:rsidRPr="07AD5326">
        <w:rPr>
          <w:rFonts w:eastAsia="Arial"/>
        </w:rPr>
        <w:t xml:space="preserve"> undergraduate studies </w:t>
      </w:r>
      <w:proofErr w:type="gramStart"/>
      <w:r w:rsidR="107A31C6" w:rsidRPr="07AD5326">
        <w:rPr>
          <w:rFonts w:eastAsia="Arial"/>
        </w:rPr>
        <w:t xml:space="preserve">and in comparison </w:t>
      </w:r>
      <w:proofErr w:type="gramEnd"/>
      <w:r w:rsidR="159FE0D2" w:rsidRPr="07AD5326">
        <w:rPr>
          <w:rFonts w:eastAsia="Arial"/>
        </w:rPr>
        <w:t>to peers en</w:t>
      </w:r>
      <w:r w:rsidR="70090AC8" w:rsidRPr="07AD5326">
        <w:rPr>
          <w:rFonts w:eastAsia="Arial"/>
        </w:rPr>
        <w:t>te</w:t>
      </w:r>
      <w:r w:rsidR="159FE0D2" w:rsidRPr="07AD5326">
        <w:rPr>
          <w:rFonts w:eastAsia="Arial"/>
        </w:rPr>
        <w:t xml:space="preserve">ring university from high school via other pathways (including post-school </w:t>
      </w:r>
      <w:r w:rsidR="00DB456A">
        <w:rPr>
          <w:rFonts w:eastAsia="Arial"/>
        </w:rPr>
        <w:t>e</w:t>
      </w:r>
      <w:r w:rsidR="159FE0D2" w:rsidRPr="07AD5326">
        <w:rPr>
          <w:rFonts w:eastAsia="Arial"/>
        </w:rPr>
        <w:t>nabling programs and direct entry via ATAR pathways).</w:t>
      </w:r>
      <w:r w:rsidRPr="07AD5326">
        <w:rPr>
          <w:rFonts w:eastAsia="Arial"/>
        </w:rPr>
        <w:t xml:space="preserve"> </w:t>
      </w:r>
      <w:r w:rsidR="7A29FE46" w:rsidRPr="07AD5326">
        <w:rPr>
          <w:rFonts w:eastAsia="Arial"/>
        </w:rPr>
        <w:t>Administrative data (</w:t>
      </w:r>
      <w:r w:rsidR="00DB456A">
        <w:rPr>
          <w:rFonts w:eastAsia="Arial"/>
        </w:rPr>
        <w:t>s</w:t>
      </w:r>
      <w:r w:rsidR="7A29FE46" w:rsidRPr="07AD5326">
        <w:rPr>
          <w:rFonts w:eastAsia="Arial"/>
        </w:rPr>
        <w:t xml:space="preserve">tudent </w:t>
      </w:r>
      <w:r w:rsidR="00DB456A">
        <w:rPr>
          <w:rFonts w:eastAsia="Arial"/>
        </w:rPr>
        <w:t>r</w:t>
      </w:r>
      <w:r w:rsidR="7A29FE46" w:rsidRPr="07AD5326">
        <w:rPr>
          <w:rFonts w:eastAsia="Arial"/>
        </w:rPr>
        <w:t>ecords) routinely captured by the institution during application, enrolment</w:t>
      </w:r>
      <w:r w:rsidR="00DB456A">
        <w:rPr>
          <w:rFonts w:eastAsia="Arial"/>
        </w:rPr>
        <w:t>,</w:t>
      </w:r>
      <w:r w:rsidR="7A29FE46" w:rsidRPr="07AD5326">
        <w:rPr>
          <w:rFonts w:eastAsia="Arial"/>
        </w:rPr>
        <w:t xml:space="preserve"> and reporting of results were drawn on for this part of the research. In the first instance, data specialists from the data management team at the lead institution created a shared data dictionary and data collection template which detailed variable definitions, categories, codes</w:t>
      </w:r>
      <w:r w:rsidR="00DB456A">
        <w:rPr>
          <w:rFonts w:eastAsia="Arial"/>
        </w:rPr>
        <w:t>,</w:t>
      </w:r>
      <w:r w:rsidR="7A29FE46" w:rsidRPr="07AD5326">
        <w:rPr>
          <w:rFonts w:eastAsia="Arial"/>
        </w:rPr>
        <w:t xml:space="preserve"> and data collation procedures. This was then shared with the data management teams/data specialists at each of the other respective universities who liaised to retrieve and collate the required data using a consistent approach. </w:t>
      </w:r>
    </w:p>
    <w:p w14:paraId="42CDDB67" w14:textId="12CEE6A2" w:rsidR="006B472A" w:rsidRPr="00C473BD" w:rsidRDefault="656AF164" w:rsidP="00A32591">
      <w:pPr>
        <w:pStyle w:val="Heading3"/>
        <w:rPr>
          <w:rFonts w:eastAsia="Arial" w:cs="Arial"/>
          <w:i/>
          <w:iCs/>
          <w:color w:val="6B3B57"/>
        </w:rPr>
      </w:pPr>
      <w:bookmarkStart w:id="43" w:name="_Toc217162484"/>
      <w:bookmarkStart w:id="44" w:name="_Toc232766182"/>
      <w:r w:rsidRPr="00C473BD">
        <w:rPr>
          <w:color w:val="6B3B57"/>
        </w:rPr>
        <w:lastRenderedPageBreak/>
        <w:t xml:space="preserve">Part I: </w:t>
      </w:r>
      <w:r w:rsidR="00BE7F19" w:rsidRPr="00C473BD">
        <w:rPr>
          <w:color w:val="6B3B57"/>
        </w:rPr>
        <w:t xml:space="preserve">Outcomes within </w:t>
      </w:r>
      <w:bookmarkEnd w:id="43"/>
      <w:r w:rsidR="006F5F99">
        <w:rPr>
          <w:color w:val="6B3B57"/>
        </w:rPr>
        <w:t>in-school enabling programs</w:t>
      </w:r>
      <w:bookmarkEnd w:id="44"/>
    </w:p>
    <w:p w14:paraId="6FBCA16A" w14:textId="2091B223" w:rsidR="2CF990F3" w:rsidRDefault="656AF164" w:rsidP="00A32591">
      <w:pPr>
        <w:rPr>
          <w:rFonts w:eastAsia="Arial"/>
        </w:rPr>
      </w:pPr>
      <w:r w:rsidRPr="653F4CFA">
        <w:rPr>
          <w:rFonts w:eastAsia="Arial"/>
        </w:rPr>
        <w:t>The first part of this analysis involved looking at rates of completion, success</w:t>
      </w:r>
      <w:r w:rsidR="00B721E7">
        <w:rPr>
          <w:rFonts w:eastAsia="Arial"/>
        </w:rPr>
        <w:t>,</w:t>
      </w:r>
      <w:r w:rsidRPr="653F4CFA">
        <w:rPr>
          <w:rFonts w:eastAsia="Arial"/>
        </w:rPr>
        <w:t xml:space="preserve"> and conversion to undergraduate enrolment for domestic students who attempted an </w:t>
      </w:r>
      <w:r w:rsidRPr="5F843DC8">
        <w:rPr>
          <w:rFonts w:eastAsia="Arial"/>
        </w:rPr>
        <w:t>I</w:t>
      </w:r>
      <w:r w:rsidR="4C6E0C16" w:rsidRPr="5F843DC8">
        <w:rPr>
          <w:rFonts w:eastAsia="Arial"/>
        </w:rPr>
        <w:t>SEP</w:t>
      </w:r>
      <w:r w:rsidRPr="653F4CFA">
        <w:rPr>
          <w:rFonts w:eastAsia="Arial"/>
        </w:rPr>
        <w:t xml:space="preserve"> at one of the four universities between 2021</w:t>
      </w:r>
      <w:r w:rsidR="00F47E65">
        <w:rPr>
          <w:rFonts w:eastAsia="Arial"/>
        </w:rPr>
        <w:t>–</w:t>
      </w:r>
      <w:r w:rsidRPr="653F4CFA">
        <w:rPr>
          <w:rFonts w:eastAsia="Arial"/>
        </w:rPr>
        <w:t xml:space="preserve">2023. Table </w:t>
      </w:r>
      <w:r w:rsidR="5EBAA944" w:rsidRPr="658F4599">
        <w:rPr>
          <w:rFonts w:eastAsia="Arial"/>
        </w:rPr>
        <w:t>2</w:t>
      </w:r>
      <w:r w:rsidRPr="653F4CFA">
        <w:rPr>
          <w:rFonts w:eastAsia="Arial"/>
        </w:rPr>
        <w:t xml:space="preserve"> shows the total number of unique students enrolled past Census in an </w:t>
      </w:r>
      <w:r w:rsidR="004B1A2E">
        <w:rPr>
          <w:rFonts w:eastAsia="Arial"/>
        </w:rPr>
        <w:t>ISEP</w:t>
      </w:r>
      <w:r w:rsidRPr="653F4CFA">
        <w:rPr>
          <w:rFonts w:eastAsia="Arial"/>
        </w:rPr>
        <w:t xml:space="preserve"> at each university between 2021</w:t>
      </w:r>
      <w:r w:rsidR="00F47E65">
        <w:rPr>
          <w:rFonts w:eastAsia="Arial"/>
        </w:rPr>
        <w:t>–</w:t>
      </w:r>
      <w:r w:rsidRPr="653F4CFA">
        <w:rPr>
          <w:rFonts w:eastAsia="Arial"/>
        </w:rPr>
        <w:t>2023 for inclusion in this analysis.</w:t>
      </w:r>
    </w:p>
    <w:p w14:paraId="13C5E786" w14:textId="76AD43DE" w:rsidR="009C5883" w:rsidRPr="00C473BD" w:rsidRDefault="656AF164" w:rsidP="00383CEA">
      <w:pPr>
        <w:pStyle w:val="TOCHeading"/>
      </w:pPr>
      <w:bookmarkStart w:id="45" w:name="_Toc232575171"/>
      <w:r w:rsidRPr="00C473BD">
        <w:t xml:space="preserve">Table </w:t>
      </w:r>
      <w:r w:rsidR="00D00C77" w:rsidRPr="00C473BD">
        <w:t>2</w:t>
      </w:r>
      <w:r w:rsidR="00D90FFC">
        <w:t>:</w:t>
      </w:r>
      <w:r w:rsidRPr="00C473BD">
        <w:t xml:space="preserve"> Total unique </w:t>
      </w:r>
      <w:r w:rsidRPr="00383CEA">
        <w:t>students</w:t>
      </w:r>
      <w:r w:rsidRPr="00C473BD">
        <w:t xml:space="preserve"> enrolled in an </w:t>
      </w:r>
      <w:r w:rsidR="00895CFA">
        <w:t>in-school enabling program</w:t>
      </w:r>
      <w:r w:rsidRPr="00C473BD">
        <w:t xml:space="preserve"> in 2021</w:t>
      </w:r>
      <w:r w:rsidR="00F47E65">
        <w:t>–</w:t>
      </w:r>
      <w:r w:rsidRPr="00C473BD">
        <w:t>2023 and included in analysis of quantitative student outcomes</w:t>
      </w:r>
      <w:bookmarkEnd w:id="45"/>
    </w:p>
    <w:tbl>
      <w:tblPr>
        <w:tblW w:w="0" w:type="auto"/>
        <w:tblCellMar>
          <w:left w:w="10" w:type="dxa"/>
          <w:right w:w="10" w:type="dxa"/>
        </w:tblCellMar>
        <w:tblLook w:val="04A0" w:firstRow="1" w:lastRow="0" w:firstColumn="1" w:lastColumn="0" w:noHBand="0" w:noVBand="1"/>
      </w:tblPr>
      <w:tblGrid>
        <w:gridCol w:w="1571"/>
        <w:gridCol w:w="2710"/>
        <w:gridCol w:w="2710"/>
      </w:tblGrid>
      <w:tr w:rsidR="0F4ABB80" w14:paraId="443F08A2" w14:textId="77777777" w:rsidTr="658F4599">
        <w:trPr>
          <w:trHeight w:val="300"/>
        </w:trPr>
        <w:tc>
          <w:tcPr>
            <w:tcW w:w="1571"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3AE536CB" w14:textId="6E55FD68" w:rsidR="0F4ABB80" w:rsidRDefault="0F4ABB80" w:rsidP="00D00C77">
            <w:pPr>
              <w:pStyle w:val="Normal-Bold"/>
              <w:rPr>
                <w:rFonts w:eastAsia="Arial"/>
                <w:b w:val="0"/>
              </w:rPr>
            </w:pPr>
            <w:r w:rsidRPr="0F4ABB80">
              <w:rPr>
                <w:rFonts w:eastAsia="Arial"/>
              </w:rPr>
              <w:t>Provider</w:t>
            </w:r>
          </w:p>
        </w:tc>
        <w:tc>
          <w:tcPr>
            <w:tcW w:w="2710"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63FE385" w14:textId="635D4012" w:rsidR="0F4ABB80" w:rsidRDefault="0F4ABB80" w:rsidP="00D00C77">
            <w:pPr>
              <w:pStyle w:val="Normal-Bold"/>
              <w:rPr>
                <w:rFonts w:eastAsia="Arial"/>
                <w:b w:val="0"/>
              </w:rPr>
            </w:pPr>
            <w:r w:rsidRPr="0F4ABB80">
              <w:rPr>
                <w:rFonts w:eastAsia="Arial"/>
              </w:rPr>
              <w:t>Course</w:t>
            </w:r>
          </w:p>
        </w:tc>
        <w:tc>
          <w:tcPr>
            <w:tcW w:w="2710"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6D3D3E33" w14:textId="701182D2" w:rsidR="0F4ABB80" w:rsidRDefault="0F4ABB80" w:rsidP="00D00C77">
            <w:pPr>
              <w:pStyle w:val="Normal-Bold"/>
              <w:rPr>
                <w:rFonts w:eastAsia="Arial"/>
                <w:b w:val="0"/>
              </w:rPr>
            </w:pPr>
            <w:r w:rsidRPr="0F4ABB80">
              <w:rPr>
                <w:rFonts w:eastAsia="Arial"/>
              </w:rPr>
              <w:t>Total unique students enrolled in 2021</w:t>
            </w:r>
            <w:r w:rsidR="00F47E65">
              <w:rPr>
                <w:rFonts w:eastAsia="Arial"/>
              </w:rPr>
              <w:t>–</w:t>
            </w:r>
            <w:r w:rsidRPr="0F4ABB80">
              <w:rPr>
                <w:rFonts w:eastAsia="Arial"/>
              </w:rPr>
              <w:t xml:space="preserve">2023 </w:t>
            </w:r>
          </w:p>
        </w:tc>
      </w:tr>
      <w:tr w:rsidR="0F4ABB80" w14:paraId="0C682D7A" w14:textId="77777777" w:rsidTr="658F4599">
        <w:trPr>
          <w:trHeight w:val="300"/>
        </w:trPr>
        <w:tc>
          <w:tcPr>
            <w:tcW w:w="1571" w:type="dxa"/>
            <w:tcBorders>
              <w:top w:val="single" w:sz="8" w:space="0" w:color="auto"/>
              <w:left w:val="single" w:sz="8" w:space="0" w:color="auto"/>
              <w:bottom w:val="single" w:sz="8" w:space="0" w:color="auto"/>
              <w:right w:val="single" w:sz="8" w:space="0" w:color="auto"/>
            </w:tcBorders>
            <w:tcMar>
              <w:left w:w="108" w:type="dxa"/>
              <w:right w:w="108" w:type="dxa"/>
            </w:tcMar>
          </w:tcPr>
          <w:p w14:paraId="578A4D07" w14:textId="17E78188" w:rsidR="0F4ABB80" w:rsidRDefault="0F4ABB80" w:rsidP="00D00C77">
            <w:pPr>
              <w:pStyle w:val="TableParagraph"/>
              <w:rPr>
                <w:rFonts w:eastAsia="Arial"/>
              </w:rPr>
            </w:pPr>
            <w:r w:rsidRPr="0F4ABB80">
              <w:rPr>
                <w:rFonts w:eastAsia="Arial"/>
              </w:rPr>
              <w:t>ECU</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6A0A1CC6" w14:textId="48A6F4BE" w:rsidR="0F4ABB80" w:rsidRDefault="0F4ABB80" w:rsidP="00D00C77">
            <w:pPr>
              <w:pStyle w:val="TableParagraph"/>
              <w:rPr>
                <w:rFonts w:eastAsia="Arial"/>
              </w:rPr>
            </w:pPr>
            <w:proofErr w:type="spellStart"/>
            <w:r w:rsidRPr="0F4ABB80">
              <w:rPr>
                <w:rFonts w:eastAsia="Arial"/>
              </w:rPr>
              <w:t>UniPrep</w:t>
            </w:r>
            <w:proofErr w:type="spellEnd"/>
            <w:r w:rsidRPr="0F4ABB80">
              <w:rPr>
                <w:rFonts w:eastAsia="Arial"/>
              </w:rPr>
              <w:t xml:space="preserve"> Schools</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E9851" w14:textId="1FA0B0DF" w:rsidR="0F4ABB80" w:rsidRDefault="0F4ABB80" w:rsidP="00D00C77">
            <w:pPr>
              <w:pStyle w:val="TableParagraph"/>
              <w:rPr>
                <w:rFonts w:eastAsia="Arial"/>
              </w:rPr>
            </w:pPr>
            <w:r w:rsidRPr="0F4ABB80">
              <w:rPr>
                <w:rFonts w:eastAsia="Arial"/>
              </w:rPr>
              <w:t>891*</w:t>
            </w:r>
          </w:p>
        </w:tc>
      </w:tr>
      <w:tr w:rsidR="0F4ABB80" w14:paraId="768FFC7D" w14:textId="77777777" w:rsidTr="658F4599">
        <w:trPr>
          <w:trHeight w:val="300"/>
        </w:trPr>
        <w:tc>
          <w:tcPr>
            <w:tcW w:w="1571" w:type="dxa"/>
            <w:tcBorders>
              <w:top w:val="single" w:sz="8" w:space="0" w:color="auto"/>
              <w:left w:val="single" w:sz="8" w:space="0" w:color="auto"/>
              <w:bottom w:val="single" w:sz="8" w:space="0" w:color="auto"/>
              <w:right w:val="single" w:sz="8" w:space="0" w:color="auto"/>
            </w:tcBorders>
            <w:tcMar>
              <w:left w:w="108" w:type="dxa"/>
              <w:right w:w="108" w:type="dxa"/>
            </w:tcMar>
          </w:tcPr>
          <w:p w14:paraId="7A1CB3BF" w14:textId="1963B0C5" w:rsidR="0F4ABB80" w:rsidRDefault="0F4ABB80" w:rsidP="00D00C77">
            <w:pPr>
              <w:pStyle w:val="TableParagraph"/>
              <w:rPr>
                <w:rFonts w:eastAsia="Arial"/>
              </w:rPr>
            </w:pPr>
            <w:r w:rsidRPr="0F4ABB80">
              <w:rPr>
                <w:rFonts w:eastAsia="Arial"/>
              </w:rPr>
              <w:t>MU</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61EA3EA5" w14:textId="00DB96D9" w:rsidR="0F4ABB80" w:rsidRDefault="0F4ABB80" w:rsidP="00D00C77">
            <w:pPr>
              <w:pStyle w:val="TableParagraph"/>
              <w:rPr>
                <w:rFonts w:eastAsia="Arial"/>
              </w:rPr>
            </w:pPr>
            <w:proofErr w:type="spellStart"/>
            <w:r w:rsidRPr="0F4ABB80">
              <w:rPr>
                <w:rFonts w:eastAsia="Arial"/>
              </w:rPr>
              <w:t>FlexiTrack</w:t>
            </w:r>
            <w:proofErr w:type="spellEnd"/>
            <w:r w:rsidRPr="0F4ABB80">
              <w:rPr>
                <w:rFonts w:eastAsia="Arial"/>
              </w:rPr>
              <w:t xml:space="preserve"> High</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566EE" w14:textId="4C7497ED" w:rsidR="0F4ABB80" w:rsidRDefault="0F4ABB80" w:rsidP="00D00C77">
            <w:pPr>
              <w:pStyle w:val="TableParagraph"/>
              <w:rPr>
                <w:rFonts w:eastAsia="Arial"/>
              </w:rPr>
            </w:pPr>
            <w:r w:rsidRPr="0F4ABB80">
              <w:rPr>
                <w:rFonts w:eastAsia="Arial"/>
              </w:rPr>
              <w:t>630</w:t>
            </w:r>
          </w:p>
        </w:tc>
      </w:tr>
      <w:tr w:rsidR="0F4ABB80" w14:paraId="077A39FC" w14:textId="77777777" w:rsidTr="658F4599">
        <w:trPr>
          <w:trHeight w:val="300"/>
        </w:trPr>
        <w:tc>
          <w:tcPr>
            <w:tcW w:w="1571" w:type="dxa"/>
            <w:tcBorders>
              <w:top w:val="single" w:sz="8" w:space="0" w:color="auto"/>
              <w:left w:val="single" w:sz="8" w:space="0" w:color="auto"/>
              <w:bottom w:val="single" w:sz="8" w:space="0" w:color="auto"/>
              <w:right w:val="single" w:sz="8" w:space="0" w:color="auto"/>
            </w:tcBorders>
            <w:tcMar>
              <w:left w:w="108" w:type="dxa"/>
              <w:right w:w="108" w:type="dxa"/>
            </w:tcMar>
          </w:tcPr>
          <w:p w14:paraId="6ACD582F" w14:textId="350811E9" w:rsidR="0F4ABB80" w:rsidRDefault="0F4ABB80" w:rsidP="00D00C77">
            <w:pPr>
              <w:pStyle w:val="TableParagraph"/>
              <w:rPr>
                <w:rFonts w:eastAsia="Arial"/>
              </w:rPr>
            </w:pPr>
            <w:proofErr w:type="spellStart"/>
            <w:r w:rsidRPr="0F4ABB80">
              <w:rPr>
                <w:rFonts w:eastAsia="Arial"/>
              </w:rPr>
              <w:t>UniSQ</w:t>
            </w:r>
            <w:proofErr w:type="spellEnd"/>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0F482C55" w14:textId="2A750A48" w:rsidR="0F4ABB80" w:rsidRDefault="0F4ABB80" w:rsidP="00D00C77">
            <w:pPr>
              <w:pStyle w:val="TableParagraph"/>
              <w:rPr>
                <w:rFonts w:eastAsia="Arial"/>
              </w:rPr>
            </w:pPr>
            <w:proofErr w:type="spellStart"/>
            <w:r w:rsidRPr="0F4ABB80">
              <w:rPr>
                <w:rFonts w:eastAsia="Arial"/>
              </w:rPr>
              <w:t>UniPrep</w:t>
            </w:r>
            <w:proofErr w:type="spellEnd"/>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D4DB3" w14:textId="23014E46" w:rsidR="0F4ABB80" w:rsidRDefault="0F4ABB80" w:rsidP="00D00C77">
            <w:pPr>
              <w:pStyle w:val="TableParagraph"/>
              <w:rPr>
                <w:rFonts w:eastAsia="Arial"/>
              </w:rPr>
            </w:pPr>
            <w:r w:rsidRPr="0F4ABB80">
              <w:rPr>
                <w:rFonts w:eastAsia="Arial"/>
              </w:rPr>
              <w:t>264*</w:t>
            </w:r>
          </w:p>
        </w:tc>
      </w:tr>
      <w:tr w:rsidR="0F4ABB80" w14:paraId="6A13AD37" w14:textId="77777777" w:rsidTr="658F4599">
        <w:trPr>
          <w:trHeight w:val="300"/>
        </w:trPr>
        <w:tc>
          <w:tcPr>
            <w:tcW w:w="1571" w:type="dxa"/>
            <w:tcBorders>
              <w:top w:val="single" w:sz="8" w:space="0" w:color="auto"/>
              <w:left w:val="single" w:sz="8" w:space="0" w:color="auto"/>
              <w:bottom w:val="single" w:sz="8" w:space="0" w:color="auto"/>
              <w:right w:val="single" w:sz="8" w:space="0" w:color="auto"/>
            </w:tcBorders>
            <w:tcMar>
              <w:left w:w="108" w:type="dxa"/>
              <w:right w:w="108" w:type="dxa"/>
            </w:tcMar>
          </w:tcPr>
          <w:p w14:paraId="11F524EF" w14:textId="13DDF539" w:rsidR="0F4ABB80" w:rsidRDefault="0F4ABB80" w:rsidP="00D00C77">
            <w:pPr>
              <w:pStyle w:val="TableParagraph"/>
              <w:rPr>
                <w:rFonts w:eastAsia="Arial"/>
              </w:rPr>
            </w:pPr>
            <w:r w:rsidRPr="0F4ABB80">
              <w:rPr>
                <w:rFonts w:eastAsia="Arial"/>
              </w:rPr>
              <w:t>SCU</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775247CD" w14:textId="301C2CB8" w:rsidR="0F4ABB80" w:rsidRDefault="0F4ABB80" w:rsidP="00D00C77">
            <w:pPr>
              <w:pStyle w:val="TableParagraph"/>
              <w:rPr>
                <w:rFonts w:eastAsia="Arial"/>
              </w:rPr>
            </w:pPr>
            <w:proofErr w:type="spellStart"/>
            <w:r w:rsidRPr="0F4ABB80">
              <w:rPr>
                <w:rFonts w:eastAsia="Arial"/>
              </w:rPr>
              <w:t>UniStart</w:t>
            </w:r>
            <w:proofErr w:type="spellEnd"/>
            <w:r w:rsidRPr="0F4ABB80">
              <w:rPr>
                <w:rFonts w:eastAsia="Arial"/>
              </w:rPr>
              <w:t xml:space="preserve"> for Schools</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C7A0866" w14:textId="38E403CF" w:rsidR="0F4ABB80" w:rsidRDefault="0F4ABB80" w:rsidP="00D00C77">
            <w:pPr>
              <w:pStyle w:val="TableParagraph"/>
              <w:rPr>
                <w:rFonts w:eastAsia="Arial"/>
              </w:rPr>
            </w:pPr>
            <w:r w:rsidRPr="0F4ABB80">
              <w:rPr>
                <w:rFonts w:eastAsia="Arial"/>
              </w:rPr>
              <w:t>139</w:t>
            </w:r>
          </w:p>
        </w:tc>
      </w:tr>
    </w:tbl>
    <w:p w14:paraId="06ED3DCF" w14:textId="15AE3CF9" w:rsidR="3DE77572" w:rsidRDefault="656AF164" w:rsidP="00B721E7">
      <w:pPr>
        <w:pStyle w:val="TableNote"/>
      </w:pPr>
      <w:r w:rsidRPr="00D00C77">
        <w:t>*</w:t>
      </w:r>
      <w:r w:rsidR="290A0018" w:rsidRPr="00D00C77">
        <w:t>ISEPs</w:t>
      </w:r>
      <w:r w:rsidRPr="00D00C77">
        <w:t xml:space="preserve"> at ECU and </w:t>
      </w:r>
      <w:proofErr w:type="spellStart"/>
      <w:r w:rsidRPr="00D00C77">
        <w:t>UniSQ</w:t>
      </w:r>
      <w:proofErr w:type="spellEnd"/>
      <w:r w:rsidRPr="00D00C77">
        <w:t xml:space="preserve"> enrol students in both Year 11 and 12, therefore these figures may include some students who were not in Year 12 in 2021-2023 (</w:t>
      </w:r>
      <w:r w:rsidR="00B721E7">
        <w:t>for example,</w:t>
      </w:r>
      <w:r w:rsidRPr="00D00C77">
        <w:t xml:space="preserve"> Year 11s only beginning the </w:t>
      </w:r>
      <w:r w:rsidR="0002497F">
        <w:t>program</w:t>
      </w:r>
      <w:r w:rsidRPr="00D00C77">
        <w:t xml:space="preserve"> in 2023 and </w:t>
      </w:r>
      <w:proofErr w:type="gramStart"/>
      <w:r w:rsidRPr="00D00C77">
        <w:t>still enroll</w:t>
      </w:r>
      <w:r w:rsidR="43C650F3" w:rsidRPr="00D00C77">
        <w:t>ed</w:t>
      </w:r>
      <w:r w:rsidRPr="00D00C77">
        <w:t>/continuing</w:t>
      </w:r>
      <w:proofErr w:type="gramEnd"/>
      <w:r w:rsidRPr="00D00C77">
        <w:t xml:space="preserve"> in 2024).</w:t>
      </w:r>
      <w:r w:rsidR="05665C56" w:rsidRPr="00D00C77">
        <w:t xml:space="preserve"> For ECU, 705 students were enrolled in </w:t>
      </w:r>
      <w:proofErr w:type="spellStart"/>
      <w:r w:rsidR="05665C56" w:rsidRPr="00D00C77">
        <w:t>UniPrep</w:t>
      </w:r>
      <w:proofErr w:type="spellEnd"/>
      <w:r w:rsidR="05665C56" w:rsidRPr="00D00C77">
        <w:t xml:space="preserve"> Schools during Year 12 for the period 2021-2023</w:t>
      </w:r>
      <w:r w:rsidR="00B721E7">
        <w:t>,</w:t>
      </w:r>
      <w:r w:rsidR="05665C56" w:rsidRPr="00D00C77">
        <w:t xml:space="preserve"> but this number is unknown for </w:t>
      </w:r>
      <w:proofErr w:type="spellStart"/>
      <w:r w:rsidR="05665C56" w:rsidRPr="00D00C77">
        <w:t>UniSQ</w:t>
      </w:r>
      <w:proofErr w:type="spellEnd"/>
      <w:r w:rsidR="05665C56" w:rsidRPr="00D00C77">
        <w:t xml:space="preserve"> </w:t>
      </w:r>
      <w:proofErr w:type="spellStart"/>
      <w:r w:rsidR="05665C56" w:rsidRPr="00D00C77">
        <w:t>UniPrep</w:t>
      </w:r>
      <w:proofErr w:type="spellEnd"/>
      <w:r w:rsidR="05665C56" w:rsidRPr="00D00C77">
        <w:t>.</w:t>
      </w:r>
    </w:p>
    <w:p w14:paraId="0B653F8D" w14:textId="5865DE78" w:rsidR="009C5883" w:rsidRPr="0079608F" w:rsidRDefault="656AF164" w:rsidP="00A32591">
      <w:pPr>
        <w:rPr>
          <w:rFonts w:eastAsia="Arial"/>
        </w:rPr>
      </w:pPr>
      <w:r w:rsidRPr="0F4ABB80">
        <w:rPr>
          <w:rFonts w:eastAsia="Arial"/>
        </w:rPr>
        <w:t xml:space="preserve">Additional demographic information pertaining to equity status amongst these cohorts </w:t>
      </w:r>
      <w:r w:rsidR="00D671EF">
        <w:rPr>
          <w:rFonts w:eastAsia="Arial"/>
        </w:rPr>
        <w:t>was</w:t>
      </w:r>
      <w:r w:rsidR="00D671EF" w:rsidRPr="0F4ABB80">
        <w:rPr>
          <w:rFonts w:eastAsia="Arial"/>
        </w:rPr>
        <w:t xml:space="preserve"> </w:t>
      </w:r>
      <w:r w:rsidRPr="0F4ABB80">
        <w:rPr>
          <w:rFonts w:eastAsia="Arial"/>
        </w:rPr>
        <w:t xml:space="preserve">collected. Table </w:t>
      </w:r>
      <w:r w:rsidR="5FC66067" w:rsidRPr="658F4599">
        <w:rPr>
          <w:rFonts w:eastAsia="Arial"/>
        </w:rPr>
        <w:t>3</w:t>
      </w:r>
      <w:r w:rsidRPr="0F4ABB80">
        <w:rPr>
          <w:rFonts w:eastAsia="Arial"/>
        </w:rPr>
        <w:t xml:space="preserve"> details equity group definitions used, mostly guided by the Tertiary Collection of Student Information (TCSI) definitions </w:t>
      </w:r>
      <w:r w:rsidRPr="00C473BD">
        <w:rPr>
          <w:rFonts w:eastAsia="Arial"/>
        </w:rPr>
        <w:t>(Australian Government, 2025a).</w:t>
      </w:r>
      <w:r w:rsidRPr="0F4ABB80">
        <w:rPr>
          <w:rFonts w:eastAsia="Arial"/>
        </w:rPr>
        <w:t xml:space="preserve"> The proportions of each </w:t>
      </w:r>
      <w:r w:rsidRPr="20FDBA1B">
        <w:rPr>
          <w:rFonts w:eastAsia="Arial"/>
        </w:rPr>
        <w:t>I</w:t>
      </w:r>
      <w:r w:rsidR="4792E02D" w:rsidRPr="20FDBA1B">
        <w:rPr>
          <w:rFonts w:eastAsia="Arial"/>
        </w:rPr>
        <w:t>SEP</w:t>
      </w:r>
      <w:r w:rsidRPr="0F4ABB80">
        <w:rPr>
          <w:rFonts w:eastAsia="Arial"/>
        </w:rPr>
        <w:t xml:space="preserve"> cohort belonging to </w:t>
      </w:r>
      <w:r w:rsidRPr="00C473BD">
        <w:rPr>
          <w:rFonts w:eastAsia="Arial"/>
          <w:iCs/>
        </w:rPr>
        <w:t>none</w:t>
      </w:r>
      <w:r w:rsidRPr="00D671EF">
        <w:rPr>
          <w:rFonts w:eastAsia="Arial"/>
          <w:iCs/>
        </w:rPr>
        <w:t xml:space="preserve">, </w:t>
      </w:r>
      <w:r w:rsidRPr="00C473BD">
        <w:rPr>
          <w:rFonts w:eastAsia="Arial"/>
          <w:iCs/>
        </w:rPr>
        <w:t>one</w:t>
      </w:r>
      <w:r w:rsidR="00D671EF">
        <w:rPr>
          <w:rFonts w:eastAsia="Arial"/>
          <w:iCs/>
        </w:rPr>
        <w:t>,</w:t>
      </w:r>
      <w:r w:rsidRPr="00D671EF">
        <w:rPr>
          <w:rFonts w:eastAsia="Arial"/>
          <w:iCs/>
        </w:rPr>
        <w:t xml:space="preserve"> or </w:t>
      </w:r>
      <w:r w:rsidRPr="00C473BD">
        <w:rPr>
          <w:rFonts w:eastAsia="Arial"/>
          <w:iCs/>
        </w:rPr>
        <w:t>two or more</w:t>
      </w:r>
      <w:r w:rsidRPr="0F4ABB80">
        <w:rPr>
          <w:rFonts w:eastAsia="Arial"/>
          <w:i/>
        </w:rPr>
        <w:t xml:space="preserve"> </w:t>
      </w:r>
      <w:r w:rsidRPr="0F4ABB80">
        <w:rPr>
          <w:rFonts w:eastAsia="Arial"/>
        </w:rPr>
        <w:t>of these equity groups was determined. Further, the proportion of each cohort that were classified as low SES or regional/remote were also separately identified.</w:t>
      </w:r>
    </w:p>
    <w:p w14:paraId="0F74C747" w14:textId="77777777" w:rsidR="00D90FFC" w:rsidRDefault="00D90FFC" w:rsidP="004D4F57">
      <w:pPr>
        <w:pStyle w:val="TOCHeading"/>
        <w:rPr>
          <w:sz w:val="20"/>
          <w:szCs w:val="20"/>
        </w:rPr>
      </w:pPr>
    </w:p>
    <w:p w14:paraId="3BD7C596" w14:textId="77777777" w:rsidR="00D90FFC" w:rsidRDefault="00D90FFC" w:rsidP="004D4F57">
      <w:pPr>
        <w:pStyle w:val="TOCHeading"/>
        <w:rPr>
          <w:sz w:val="20"/>
          <w:szCs w:val="20"/>
        </w:rPr>
      </w:pPr>
    </w:p>
    <w:p w14:paraId="75876A7C" w14:textId="77777777" w:rsidR="00D90FFC" w:rsidRDefault="00D90FFC" w:rsidP="004D4F57">
      <w:pPr>
        <w:pStyle w:val="TOCHeading"/>
        <w:rPr>
          <w:sz w:val="20"/>
          <w:szCs w:val="20"/>
        </w:rPr>
      </w:pPr>
    </w:p>
    <w:p w14:paraId="7A421B03" w14:textId="77777777" w:rsidR="00D90FFC" w:rsidRDefault="00D90FFC" w:rsidP="004D4F57">
      <w:pPr>
        <w:pStyle w:val="TOCHeading"/>
        <w:rPr>
          <w:sz w:val="20"/>
          <w:szCs w:val="20"/>
        </w:rPr>
      </w:pPr>
    </w:p>
    <w:p w14:paraId="608F55A6" w14:textId="77777777" w:rsidR="00D90FFC" w:rsidRDefault="00D90FFC" w:rsidP="004D4F57">
      <w:pPr>
        <w:pStyle w:val="TOCHeading"/>
        <w:rPr>
          <w:sz w:val="20"/>
          <w:szCs w:val="20"/>
        </w:rPr>
      </w:pPr>
    </w:p>
    <w:p w14:paraId="1E93CD48" w14:textId="77777777" w:rsidR="00D90FFC" w:rsidRDefault="00D90FFC" w:rsidP="004D4F57">
      <w:pPr>
        <w:pStyle w:val="TOCHeading"/>
        <w:rPr>
          <w:sz w:val="20"/>
          <w:szCs w:val="20"/>
        </w:rPr>
      </w:pPr>
    </w:p>
    <w:p w14:paraId="0261395F" w14:textId="77777777" w:rsidR="00D90FFC" w:rsidRDefault="00D90FFC" w:rsidP="004D4F57">
      <w:pPr>
        <w:pStyle w:val="TOCHeading"/>
        <w:rPr>
          <w:sz w:val="20"/>
          <w:szCs w:val="20"/>
        </w:rPr>
      </w:pPr>
    </w:p>
    <w:p w14:paraId="21E5B84F" w14:textId="77777777" w:rsidR="00D90FFC" w:rsidRDefault="00D90FFC" w:rsidP="004D4F57">
      <w:pPr>
        <w:pStyle w:val="TOCHeading"/>
        <w:rPr>
          <w:sz w:val="20"/>
          <w:szCs w:val="20"/>
        </w:rPr>
      </w:pPr>
    </w:p>
    <w:p w14:paraId="1721F957" w14:textId="77777777" w:rsidR="00D90FFC" w:rsidRDefault="00D90FFC" w:rsidP="004D4F57">
      <w:pPr>
        <w:pStyle w:val="TOCHeading"/>
        <w:rPr>
          <w:sz w:val="20"/>
          <w:szCs w:val="20"/>
        </w:rPr>
      </w:pPr>
    </w:p>
    <w:p w14:paraId="4BB9B8A3" w14:textId="77777777" w:rsidR="00D90FFC" w:rsidRDefault="00D90FFC" w:rsidP="004D4F57">
      <w:pPr>
        <w:pStyle w:val="TOCHeading"/>
        <w:rPr>
          <w:sz w:val="20"/>
          <w:szCs w:val="20"/>
        </w:rPr>
      </w:pPr>
    </w:p>
    <w:p w14:paraId="58999B98" w14:textId="77777777" w:rsidR="00D90FFC" w:rsidRDefault="00D90FFC" w:rsidP="004D4F57">
      <w:pPr>
        <w:pStyle w:val="TOCHeading"/>
        <w:rPr>
          <w:sz w:val="20"/>
          <w:szCs w:val="20"/>
        </w:rPr>
      </w:pPr>
    </w:p>
    <w:p w14:paraId="60B6412D" w14:textId="77777777" w:rsidR="00D90FFC" w:rsidRDefault="00D90FFC" w:rsidP="004D4F57">
      <w:pPr>
        <w:pStyle w:val="TOCHeading"/>
        <w:rPr>
          <w:sz w:val="20"/>
          <w:szCs w:val="20"/>
        </w:rPr>
      </w:pPr>
    </w:p>
    <w:p w14:paraId="456BC4C8" w14:textId="77777777" w:rsidR="00D90FFC" w:rsidRDefault="00D90FFC" w:rsidP="004D4F57">
      <w:pPr>
        <w:pStyle w:val="TOCHeading"/>
        <w:rPr>
          <w:sz w:val="20"/>
          <w:szCs w:val="20"/>
        </w:rPr>
      </w:pPr>
    </w:p>
    <w:p w14:paraId="5AE9D2E0" w14:textId="42D02016" w:rsidR="009C5883" w:rsidRPr="00C473BD" w:rsidRDefault="656AF164" w:rsidP="00383CEA">
      <w:pPr>
        <w:pStyle w:val="TOCHeading"/>
      </w:pPr>
      <w:bookmarkStart w:id="46" w:name="_Toc232575172"/>
      <w:r w:rsidRPr="00C473BD">
        <w:lastRenderedPageBreak/>
        <w:t xml:space="preserve">Table </w:t>
      </w:r>
      <w:r w:rsidR="71D3FC34" w:rsidRPr="00C473BD">
        <w:t>3</w:t>
      </w:r>
      <w:r w:rsidR="00D90FFC">
        <w:t>:</w:t>
      </w:r>
      <w:r w:rsidRPr="00C473BD">
        <w:t xml:space="preserve"> Equity </w:t>
      </w:r>
      <w:r w:rsidRPr="00383CEA">
        <w:t>status</w:t>
      </w:r>
      <w:r w:rsidRPr="00C473BD">
        <w:t xml:space="preserve"> indicators used in this study</w:t>
      </w:r>
      <w:bookmarkEnd w:id="46"/>
    </w:p>
    <w:tbl>
      <w:tblPr>
        <w:tblW w:w="0" w:type="auto"/>
        <w:tblCellMar>
          <w:left w:w="10" w:type="dxa"/>
          <w:right w:w="10" w:type="dxa"/>
        </w:tblCellMar>
        <w:tblLook w:val="04A0" w:firstRow="1" w:lastRow="0" w:firstColumn="1" w:lastColumn="0" w:noHBand="0" w:noVBand="1"/>
      </w:tblPr>
      <w:tblGrid>
        <w:gridCol w:w="1973"/>
        <w:gridCol w:w="5451"/>
        <w:gridCol w:w="1582"/>
      </w:tblGrid>
      <w:tr w:rsidR="0F4ABB80" w14:paraId="7E59C962" w14:textId="77777777" w:rsidTr="658F4599">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346B3E43" w14:textId="710D8E70" w:rsidR="0F4ABB80" w:rsidRDefault="0F4ABB80" w:rsidP="00CD749F">
            <w:pPr>
              <w:pStyle w:val="Normal-Bold"/>
              <w:rPr>
                <w:rFonts w:eastAsia="Arial"/>
                <w:b w:val="0"/>
                <w:sz w:val="24"/>
              </w:rPr>
            </w:pPr>
            <w:r w:rsidRPr="69FBBC0B">
              <w:rPr>
                <w:rFonts w:eastAsia="Arial"/>
              </w:rPr>
              <w:t>Equity group</w:t>
            </w:r>
          </w:p>
        </w:tc>
        <w:tc>
          <w:tcPr>
            <w:tcW w:w="5584"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3A810F18" w14:textId="3F239EA3" w:rsidR="0F4ABB80" w:rsidRDefault="0F4ABB80" w:rsidP="00CD749F">
            <w:pPr>
              <w:pStyle w:val="Normal-Bold"/>
              <w:rPr>
                <w:rFonts w:eastAsia="Arial"/>
                <w:b w:val="0"/>
                <w:sz w:val="24"/>
              </w:rPr>
            </w:pPr>
            <w:r w:rsidRPr="69FBBC0B">
              <w:rPr>
                <w:rFonts w:eastAsia="Arial"/>
              </w:rPr>
              <w:t>Definition</w:t>
            </w:r>
          </w:p>
        </w:tc>
        <w:tc>
          <w:tcPr>
            <w:tcW w:w="1586"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7DA9DE82" w14:textId="3412CB9B" w:rsidR="0F4ABB80" w:rsidRDefault="0F4ABB80" w:rsidP="00CD749F">
            <w:pPr>
              <w:pStyle w:val="Normal-Bold"/>
              <w:rPr>
                <w:rFonts w:eastAsia="Arial"/>
                <w:b w:val="0"/>
                <w:sz w:val="24"/>
              </w:rPr>
            </w:pPr>
            <w:r w:rsidRPr="69FBBC0B">
              <w:rPr>
                <w:rFonts w:eastAsia="Arial"/>
              </w:rPr>
              <w:t>Reference</w:t>
            </w:r>
          </w:p>
        </w:tc>
      </w:tr>
      <w:tr w:rsidR="0F4ABB80" w14:paraId="7CCE0B83" w14:textId="77777777" w:rsidTr="658F4599">
        <w:trPr>
          <w:trHeight w:val="300"/>
        </w:trPr>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1FCDE399" w14:textId="306ECA9B" w:rsidR="0F4ABB80" w:rsidRDefault="0F4ABB80" w:rsidP="00CD749F">
            <w:pPr>
              <w:pStyle w:val="TableParagraph"/>
              <w:rPr>
                <w:rFonts w:eastAsia="Arial"/>
              </w:rPr>
            </w:pPr>
            <w:r w:rsidRPr="0F4ABB80">
              <w:rPr>
                <w:rFonts w:eastAsia="Arial"/>
              </w:rPr>
              <w:t xml:space="preserve">English as an </w:t>
            </w:r>
            <w:r w:rsidR="00D671EF">
              <w:rPr>
                <w:rFonts w:eastAsia="Arial"/>
              </w:rPr>
              <w:t>a</w:t>
            </w:r>
            <w:r w:rsidRPr="0F4ABB80">
              <w:rPr>
                <w:rFonts w:eastAsia="Arial"/>
              </w:rPr>
              <w:t xml:space="preserve">dditional </w:t>
            </w:r>
            <w:r w:rsidR="00D671EF">
              <w:rPr>
                <w:rFonts w:eastAsia="Arial"/>
              </w:rPr>
              <w:t>l</w:t>
            </w:r>
            <w:r w:rsidRPr="0F4ABB80">
              <w:rPr>
                <w:rFonts w:eastAsia="Arial"/>
              </w:rPr>
              <w:t xml:space="preserve">anguage or </w:t>
            </w:r>
            <w:r w:rsidR="00D671EF">
              <w:rPr>
                <w:rFonts w:eastAsia="Arial"/>
              </w:rPr>
              <w:t>d</w:t>
            </w:r>
            <w:r w:rsidRPr="0F4ABB80">
              <w:rPr>
                <w:rFonts w:eastAsia="Arial"/>
              </w:rPr>
              <w:t xml:space="preserve">ialect </w:t>
            </w:r>
          </w:p>
        </w:tc>
        <w:tc>
          <w:tcPr>
            <w:tcW w:w="5584" w:type="dxa"/>
            <w:tcBorders>
              <w:top w:val="single" w:sz="8" w:space="0" w:color="auto"/>
              <w:left w:val="single" w:sz="8" w:space="0" w:color="auto"/>
              <w:bottom w:val="single" w:sz="8" w:space="0" w:color="auto"/>
              <w:right w:val="single" w:sz="8" w:space="0" w:color="auto"/>
            </w:tcBorders>
            <w:tcMar>
              <w:left w:w="108" w:type="dxa"/>
              <w:right w:w="108" w:type="dxa"/>
            </w:tcMar>
          </w:tcPr>
          <w:p w14:paraId="3D119242" w14:textId="08304025" w:rsidR="0F4ABB80" w:rsidRDefault="0F4ABB80" w:rsidP="00CD749F">
            <w:pPr>
              <w:pStyle w:val="TableParagraph"/>
            </w:pPr>
            <w:r w:rsidRPr="0F4ABB80">
              <w:rPr>
                <w:rFonts w:eastAsia="Arial"/>
              </w:rPr>
              <w:t>A domestic student whose language spoken at home is not English (student self-reported during application/</w:t>
            </w:r>
            <w:proofErr w:type="gramStart"/>
            <w:r w:rsidRPr="0F4ABB80">
              <w:rPr>
                <w:rFonts w:eastAsia="Arial"/>
              </w:rPr>
              <w:t>enrolment</w:t>
            </w:r>
            <w:r w:rsidR="4B6C1F0F" w:rsidRPr="4B6C1F0F">
              <w:rPr>
                <w:rFonts w:eastAsia="Arial"/>
              </w:rPr>
              <w:t>)</w:t>
            </w:r>
            <w:r w:rsidR="00C6D9D0" w:rsidRPr="4B6C1F0F">
              <w:rPr>
                <w:rFonts w:eastAsia="Arial"/>
              </w:rPr>
              <w:t>*</w:t>
            </w:r>
            <w:proofErr w:type="gramEnd"/>
            <w:r w:rsidR="00D671EF">
              <w:rPr>
                <w:rFonts w:eastAsia="Arial"/>
              </w:rPr>
              <w:t>.</w:t>
            </w:r>
          </w:p>
        </w:tc>
        <w:tc>
          <w:tcPr>
            <w:tcW w:w="1586" w:type="dxa"/>
            <w:tcBorders>
              <w:top w:val="single" w:sz="8" w:space="0" w:color="auto"/>
              <w:left w:val="single" w:sz="8" w:space="0" w:color="auto"/>
              <w:bottom w:val="single" w:sz="8" w:space="0" w:color="auto"/>
              <w:right w:val="single" w:sz="8" w:space="0" w:color="auto"/>
            </w:tcBorders>
            <w:tcMar>
              <w:left w:w="108" w:type="dxa"/>
              <w:right w:w="108" w:type="dxa"/>
            </w:tcMar>
          </w:tcPr>
          <w:p w14:paraId="06632C5F" w14:textId="0CEDD6B3" w:rsidR="0F4ABB80" w:rsidRDefault="0F4ABB80" w:rsidP="00CD749F">
            <w:pPr>
              <w:pStyle w:val="TableParagraph"/>
              <w:rPr>
                <w:rFonts w:eastAsia="Arial"/>
              </w:rPr>
            </w:pPr>
            <w:r w:rsidRPr="0F4ABB80">
              <w:rPr>
                <w:rFonts w:eastAsia="Arial"/>
              </w:rPr>
              <w:t>(Australian Government</w:t>
            </w:r>
            <w:r w:rsidR="181F33F7" w:rsidRPr="0C76950F">
              <w:rPr>
                <w:rFonts w:eastAsia="Arial"/>
              </w:rPr>
              <w:t>,</w:t>
            </w:r>
            <w:r w:rsidRPr="0F4ABB80">
              <w:rPr>
                <w:rFonts w:eastAsia="Arial"/>
              </w:rPr>
              <w:t xml:space="preserve"> 2025a)</w:t>
            </w:r>
          </w:p>
        </w:tc>
      </w:tr>
      <w:tr w:rsidR="0F4ABB80" w14:paraId="53C97EA3" w14:textId="77777777" w:rsidTr="658F4599">
        <w:trPr>
          <w:trHeight w:val="300"/>
        </w:trPr>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2FF49207" w14:textId="3AFEC500" w:rsidR="0F4ABB80" w:rsidRDefault="0F4ABB80" w:rsidP="00CD749F">
            <w:pPr>
              <w:pStyle w:val="TableParagraph"/>
              <w:rPr>
                <w:rFonts w:eastAsia="Arial"/>
              </w:rPr>
            </w:pPr>
            <w:r w:rsidRPr="0F4ABB80">
              <w:rPr>
                <w:rFonts w:eastAsia="Arial"/>
              </w:rPr>
              <w:t>Low socio-economic status (SES)</w:t>
            </w:r>
          </w:p>
        </w:tc>
        <w:tc>
          <w:tcPr>
            <w:tcW w:w="5584" w:type="dxa"/>
            <w:tcBorders>
              <w:top w:val="single" w:sz="8" w:space="0" w:color="auto"/>
              <w:left w:val="single" w:sz="8" w:space="0" w:color="auto"/>
              <w:bottom w:val="single" w:sz="8" w:space="0" w:color="auto"/>
              <w:right w:val="single" w:sz="8" w:space="0" w:color="auto"/>
            </w:tcBorders>
            <w:tcMar>
              <w:left w:w="108" w:type="dxa"/>
              <w:right w:w="108" w:type="dxa"/>
            </w:tcMar>
          </w:tcPr>
          <w:p w14:paraId="2D06B826" w14:textId="1E9EC462" w:rsidR="0F4ABB80" w:rsidRDefault="0F4ABB80" w:rsidP="00CD749F">
            <w:pPr>
              <w:pStyle w:val="TableParagraph"/>
              <w:rPr>
                <w:rFonts w:eastAsia="Arial"/>
              </w:rPr>
            </w:pPr>
            <w:r w:rsidRPr="0F4ABB80">
              <w:rPr>
                <w:rFonts w:eastAsia="Arial"/>
              </w:rPr>
              <w:t>Student’s first reported address/postcode (or latest if unknown) mapped to lowest quartile (25%) of postcodes nationally based on 2021 Socio-Economic Indexes for Areas (SEIFA), Australia.</w:t>
            </w:r>
          </w:p>
        </w:tc>
        <w:tc>
          <w:tcPr>
            <w:tcW w:w="1586" w:type="dxa"/>
            <w:tcBorders>
              <w:top w:val="single" w:sz="8" w:space="0" w:color="auto"/>
              <w:left w:val="single" w:sz="8" w:space="0" w:color="auto"/>
              <w:bottom w:val="single" w:sz="8" w:space="0" w:color="auto"/>
              <w:right w:val="single" w:sz="8" w:space="0" w:color="auto"/>
            </w:tcBorders>
            <w:tcMar>
              <w:left w:w="108" w:type="dxa"/>
              <w:right w:w="108" w:type="dxa"/>
            </w:tcMar>
          </w:tcPr>
          <w:p w14:paraId="5308BBA3" w14:textId="4E7FED47" w:rsidR="0F4ABB80" w:rsidRDefault="0F4ABB80" w:rsidP="00CD749F">
            <w:pPr>
              <w:pStyle w:val="TableParagraph"/>
              <w:rPr>
                <w:rFonts w:eastAsia="Arial"/>
              </w:rPr>
            </w:pPr>
            <w:r w:rsidRPr="0F4ABB80">
              <w:rPr>
                <w:rFonts w:eastAsia="Arial"/>
              </w:rPr>
              <w:t>(Australian Bureau of Statistics, 2023)</w:t>
            </w:r>
          </w:p>
        </w:tc>
      </w:tr>
      <w:tr w:rsidR="0F4ABB80" w14:paraId="35710135" w14:textId="77777777" w:rsidTr="658F4599">
        <w:trPr>
          <w:trHeight w:val="300"/>
        </w:trPr>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05911767" w14:textId="689BD1C2" w:rsidR="0F4ABB80" w:rsidRDefault="0F4ABB80" w:rsidP="00CD749F">
            <w:pPr>
              <w:pStyle w:val="TableParagraph"/>
              <w:rPr>
                <w:rFonts w:eastAsia="Arial"/>
              </w:rPr>
            </w:pPr>
            <w:r w:rsidRPr="0F4ABB80">
              <w:rPr>
                <w:rFonts w:eastAsia="Arial"/>
              </w:rPr>
              <w:t>Regional/remote</w:t>
            </w:r>
          </w:p>
        </w:tc>
        <w:tc>
          <w:tcPr>
            <w:tcW w:w="5584" w:type="dxa"/>
            <w:tcBorders>
              <w:top w:val="single" w:sz="8" w:space="0" w:color="auto"/>
              <w:left w:val="single" w:sz="8" w:space="0" w:color="auto"/>
              <w:bottom w:val="single" w:sz="8" w:space="0" w:color="auto"/>
              <w:right w:val="single" w:sz="8" w:space="0" w:color="auto"/>
            </w:tcBorders>
            <w:tcMar>
              <w:left w:w="108" w:type="dxa"/>
              <w:right w:w="108" w:type="dxa"/>
            </w:tcMar>
          </w:tcPr>
          <w:p w14:paraId="138537E6" w14:textId="4B2309A1" w:rsidR="0F4ABB80" w:rsidRDefault="0F4ABB80" w:rsidP="00CD749F">
            <w:pPr>
              <w:pStyle w:val="TableParagraph"/>
              <w:rPr>
                <w:rFonts w:eastAsia="Arial"/>
              </w:rPr>
            </w:pPr>
            <w:r w:rsidRPr="0F4ABB80">
              <w:rPr>
                <w:rFonts w:eastAsia="Arial"/>
              </w:rPr>
              <w:t>Student’s first reported address/postcode (or latest if unknown) mapped to regional/remote classification, based on Australian Statistical Geography Standard (ASGS) measure.</w:t>
            </w:r>
          </w:p>
        </w:tc>
        <w:tc>
          <w:tcPr>
            <w:tcW w:w="1586" w:type="dxa"/>
            <w:tcBorders>
              <w:top w:val="single" w:sz="8" w:space="0" w:color="auto"/>
              <w:left w:val="single" w:sz="8" w:space="0" w:color="auto"/>
              <w:bottom w:val="single" w:sz="8" w:space="0" w:color="auto"/>
              <w:right w:val="single" w:sz="8" w:space="0" w:color="auto"/>
            </w:tcBorders>
            <w:tcMar>
              <w:left w:w="108" w:type="dxa"/>
              <w:right w:w="108" w:type="dxa"/>
            </w:tcMar>
          </w:tcPr>
          <w:p w14:paraId="15C0A529" w14:textId="24B5DE1D" w:rsidR="0F4ABB80" w:rsidRDefault="0F4ABB80" w:rsidP="00CD749F">
            <w:pPr>
              <w:pStyle w:val="TableParagraph"/>
              <w:rPr>
                <w:rFonts w:eastAsia="Arial"/>
              </w:rPr>
            </w:pPr>
            <w:r w:rsidRPr="0F4ABB80">
              <w:rPr>
                <w:rFonts w:eastAsia="Arial"/>
              </w:rPr>
              <w:t>(Australian Government, 2025b)</w:t>
            </w:r>
          </w:p>
        </w:tc>
      </w:tr>
      <w:tr w:rsidR="0F4ABB80" w14:paraId="39D683BF" w14:textId="77777777" w:rsidTr="658F4599">
        <w:trPr>
          <w:trHeight w:val="300"/>
        </w:trPr>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542F485F" w14:textId="1C6363B1" w:rsidR="0F4ABB80" w:rsidRDefault="0F4ABB80" w:rsidP="00CD749F">
            <w:pPr>
              <w:pStyle w:val="TableParagraph"/>
              <w:rPr>
                <w:rFonts w:eastAsia="Arial"/>
              </w:rPr>
            </w:pPr>
            <w:r w:rsidRPr="0F4ABB80">
              <w:rPr>
                <w:rFonts w:eastAsia="Arial"/>
              </w:rPr>
              <w:t>Disability</w:t>
            </w:r>
          </w:p>
        </w:tc>
        <w:tc>
          <w:tcPr>
            <w:tcW w:w="5584" w:type="dxa"/>
            <w:tcBorders>
              <w:top w:val="single" w:sz="8" w:space="0" w:color="auto"/>
              <w:left w:val="single" w:sz="8" w:space="0" w:color="auto"/>
              <w:bottom w:val="single" w:sz="8" w:space="0" w:color="auto"/>
              <w:right w:val="single" w:sz="8" w:space="0" w:color="auto"/>
            </w:tcBorders>
            <w:tcMar>
              <w:left w:w="108" w:type="dxa"/>
              <w:right w:w="108" w:type="dxa"/>
            </w:tcMar>
          </w:tcPr>
          <w:p w14:paraId="307002D5" w14:textId="1AC89298" w:rsidR="0F4ABB80" w:rsidRDefault="0F4ABB80" w:rsidP="00CD749F">
            <w:pPr>
              <w:pStyle w:val="TableParagraph"/>
              <w:rPr>
                <w:rFonts w:eastAsia="Arial"/>
              </w:rPr>
            </w:pPr>
            <w:r w:rsidRPr="0F4ABB80">
              <w:rPr>
                <w:rFonts w:eastAsia="Arial"/>
              </w:rPr>
              <w:t>Students who have indicated that they have any disability, impairment</w:t>
            </w:r>
            <w:r w:rsidR="00D671EF">
              <w:rPr>
                <w:rFonts w:eastAsia="Arial"/>
              </w:rPr>
              <w:t>,</w:t>
            </w:r>
            <w:r w:rsidRPr="0F4ABB80">
              <w:rPr>
                <w:rFonts w:eastAsia="Arial"/>
              </w:rPr>
              <w:t xml:space="preserve"> or long</w:t>
            </w:r>
            <w:r w:rsidRPr="0F4ABB80">
              <w:rPr>
                <w:rFonts w:ascii="Cambria Math" w:eastAsia="Arial" w:hAnsi="Cambria Math" w:cs="Cambria Math"/>
              </w:rPr>
              <w:t>‑</w:t>
            </w:r>
            <w:r w:rsidRPr="0F4ABB80">
              <w:rPr>
                <w:rFonts w:eastAsia="Arial"/>
              </w:rPr>
              <w:t>term condition which may affect their studies (using TCSI reporting code E615).</w:t>
            </w:r>
          </w:p>
        </w:tc>
        <w:tc>
          <w:tcPr>
            <w:tcW w:w="1586" w:type="dxa"/>
            <w:tcBorders>
              <w:top w:val="single" w:sz="8" w:space="0" w:color="auto"/>
              <w:left w:val="single" w:sz="8" w:space="0" w:color="auto"/>
              <w:bottom w:val="single" w:sz="8" w:space="0" w:color="auto"/>
              <w:right w:val="single" w:sz="8" w:space="0" w:color="auto"/>
            </w:tcBorders>
            <w:tcMar>
              <w:left w:w="108" w:type="dxa"/>
              <w:right w:w="108" w:type="dxa"/>
            </w:tcMar>
          </w:tcPr>
          <w:p w14:paraId="550D8770" w14:textId="1814D089" w:rsidR="0F4ABB80" w:rsidRDefault="0F4ABB80" w:rsidP="00CD749F">
            <w:pPr>
              <w:pStyle w:val="TableParagraph"/>
              <w:rPr>
                <w:rFonts w:eastAsia="Arial"/>
              </w:rPr>
            </w:pPr>
            <w:r w:rsidRPr="0F4ABB80">
              <w:rPr>
                <w:rFonts w:eastAsia="Arial"/>
              </w:rPr>
              <w:t>(Australian Government, 2025c)</w:t>
            </w:r>
          </w:p>
        </w:tc>
      </w:tr>
      <w:tr w:rsidR="0F4ABB80" w14:paraId="51D30DBB" w14:textId="77777777" w:rsidTr="658F4599">
        <w:trPr>
          <w:trHeight w:val="300"/>
        </w:trPr>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093CB02B" w14:textId="54DD64E2" w:rsidR="0F4ABB80" w:rsidRDefault="0F4ABB80" w:rsidP="00CD749F">
            <w:pPr>
              <w:pStyle w:val="TableParagraph"/>
              <w:rPr>
                <w:rFonts w:eastAsia="Arial"/>
              </w:rPr>
            </w:pPr>
            <w:r w:rsidRPr="0F4ABB80">
              <w:rPr>
                <w:rFonts w:eastAsia="Arial"/>
              </w:rPr>
              <w:t>Aboriginal and/or Torres Strait Islander</w:t>
            </w:r>
          </w:p>
        </w:tc>
        <w:tc>
          <w:tcPr>
            <w:tcW w:w="5584" w:type="dxa"/>
            <w:tcBorders>
              <w:top w:val="single" w:sz="8" w:space="0" w:color="auto"/>
              <w:left w:val="single" w:sz="8" w:space="0" w:color="auto"/>
              <w:bottom w:val="single" w:sz="8" w:space="0" w:color="auto"/>
              <w:right w:val="single" w:sz="8" w:space="0" w:color="auto"/>
            </w:tcBorders>
            <w:tcMar>
              <w:left w:w="108" w:type="dxa"/>
              <w:right w:w="108" w:type="dxa"/>
            </w:tcMar>
          </w:tcPr>
          <w:p w14:paraId="6A460F09" w14:textId="2797C76F" w:rsidR="0F4ABB80" w:rsidRDefault="0F4ABB80" w:rsidP="00CD749F">
            <w:pPr>
              <w:pStyle w:val="TableParagraph"/>
              <w:rPr>
                <w:rFonts w:eastAsia="Arial"/>
              </w:rPr>
            </w:pPr>
            <w:r w:rsidRPr="0F4ABB80">
              <w:rPr>
                <w:rFonts w:eastAsia="Arial"/>
              </w:rPr>
              <w:t>Student identified as being of Aboriginal and/or Torres Strait Islander during application/enrolment (TCSI data element E316 with code 3, 4</w:t>
            </w:r>
            <w:r w:rsidR="00D671EF">
              <w:rPr>
                <w:rFonts w:eastAsia="Arial"/>
              </w:rPr>
              <w:t>,</w:t>
            </w:r>
            <w:r w:rsidRPr="0F4ABB80">
              <w:rPr>
                <w:rFonts w:eastAsia="Arial"/>
              </w:rPr>
              <w:t xml:space="preserve"> or 5).</w:t>
            </w:r>
          </w:p>
        </w:tc>
        <w:tc>
          <w:tcPr>
            <w:tcW w:w="1586" w:type="dxa"/>
            <w:tcBorders>
              <w:top w:val="single" w:sz="8" w:space="0" w:color="auto"/>
              <w:left w:val="single" w:sz="8" w:space="0" w:color="auto"/>
              <w:bottom w:val="single" w:sz="8" w:space="0" w:color="auto"/>
              <w:right w:val="single" w:sz="8" w:space="0" w:color="auto"/>
            </w:tcBorders>
            <w:tcMar>
              <w:left w:w="108" w:type="dxa"/>
              <w:right w:w="108" w:type="dxa"/>
            </w:tcMar>
          </w:tcPr>
          <w:p w14:paraId="3CB7674F" w14:textId="0C3F3D8E" w:rsidR="0F4ABB80" w:rsidRDefault="0F4ABB80" w:rsidP="00CD749F">
            <w:pPr>
              <w:pStyle w:val="TableParagraph"/>
              <w:rPr>
                <w:rFonts w:eastAsia="Arial"/>
              </w:rPr>
            </w:pPr>
            <w:r w:rsidRPr="0F4ABB80">
              <w:rPr>
                <w:rFonts w:eastAsia="Arial"/>
              </w:rPr>
              <w:t>(Australian Government, 2025d)</w:t>
            </w:r>
          </w:p>
        </w:tc>
      </w:tr>
    </w:tbl>
    <w:p w14:paraId="740B1B91" w14:textId="5941AD1D" w:rsidR="009C5883" w:rsidRPr="0079608F" w:rsidRDefault="4EC09910" w:rsidP="00F256F7">
      <w:pPr>
        <w:pStyle w:val="TableNote"/>
      </w:pPr>
      <w:r w:rsidRPr="2C90AB47">
        <w:t xml:space="preserve">*For the purposes of the data dictionary the TCSI </w:t>
      </w:r>
      <w:r w:rsidR="00F47E65">
        <w:t>“</w:t>
      </w:r>
      <w:r w:rsidRPr="2C90AB47">
        <w:t>Non-</w:t>
      </w:r>
      <w:proofErr w:type="gramStart"/>
      <w:r w:rsidRPr="2C90AB47">
        <w:t>English speaking</w:t>
      </w:r>
      <w:proofErr w:type="gramEnd"/>
      <w:r w:rsidRPr="2C90AB47">
        <w:t xml:space="preserve"> background</w:t>
      </w:r>
      <w:r w:rsidR="00F47E65">
        <w:t>”</w:t>
      </w:r>
      <w:r w:rsidRPr="2C90AB47">
        <w:t xml:space="preserve"> (NESB) definition </w:t>
      </w:r>
      <w:r w:rsidR="2674BBC9" w:rsidRPr="28D25609">
        <w:t>was</w:t>
      </w:r>
      <w:r w:rsidRPr="2C90AB47">
        <w:t xml:space="preserve"> used</w:t>
      </w:r>
      <w:r w:rsidRPr="0F7C9050">
        <w:t>.</w:t>
      </w:r>
    </w:p>
    <w:p w14:paraId="2DD54908" w14:textId="25B7CD72" w:rsidR="009C5883" w:rsidRPr="0079608F" w:rsidRDefault="656AF164" w:rsidP="00A32591">
      <w:pPr>
        <w:rPr>
          <w:rFonts w:eastAsia="Arial"/>
        </w:rPr>
      </w:pPr>
      <w:r w:rsidRPr="0F4ABB80">
        <w:rPr>
          <w:rFonts w:eastAsia="Arial"/>
        </w:rPr>
        <w:t xml:space="preserve">To determine the </w:t>
      </w:r>
      <w:r w:rsidRPr="1C6AB0C4">
        <w:rPr>
          <w:rFonts w:eastAsia="Arial"/>
        </w:rPr>
        <w:t>I</w:t>
      </w:r>
      <w:r w:rsidR="406EC492" w:rsidRPr="1C6AB0C4">
        <w:rPr>
          <w:rFonts w:eastAsia="Arial"/>
        </w:rPr>
        <w:t>SEP</w:t>
      </w:r>
      <w:r w:rsidRPr="0F4ABB80">
        <w:rPr>
          <w:rFonts w:eastAsia="Arial"/>
        </w:rPr>
        <w:t xml:space="preserve"> completion rate, the total number of unique students who </w:t>
      </w:r>
      <w:r w:rsidRPr="00C473BD">
        <w:rPr>
          <w:rFonts w:eastAsia="Arial"/>
          <w:iCs/>
        </w:rPr>
        <w:t>completed</w:t>
      </w:r>
      <w:r w:rsidRPr="0F4ABB80">
        <w:rPr>
          <w:rFonts w:eastAsia="Arial"/>
        </w:rPr>
        <w:t xml:space="preserve"> the </w:t>
      </w:r>
      <w:r w:rsidR="0002497F">
        <w:rPr>
          <w:rFonts w:eastAsia="Arial"/>
        </w:rPr>
        <w:t>program</w:t>
      </w:r>
      <w:r w:rsidRPr="0F4ABB80">
        <w:rPr>
          <w:rFonts w:eastAsia="Arial"/>
        </w:rPr>
        <w:t xml:space="preserve"> in 2021</w:t>
      </w:r>
      <w:r w:rsidR="00F47E65">
        <w:rPr>
          <w:rFonts w:eastAsia="Arial"/>
        </w:rPr>
        <w:t>–</w:t>
      </w:r>
      <w:r w:rsidRPr="0F4ABB80">
        <w:rPr>
          <w:rFonts w:eastAsia="Arial"/>
        </w:rPr>
        <w:t>2023 was compared to the number that</w:t>
      </w:r>
      <w:r w:rsidRPr="0F4ABB80">
        <w:rPr>
          <w:rFonts w:eastAsia="Arial"/>
          <w:i/>
        </w:rPr>
        <w:t xml:space="preserve"> </w:t>
      </w:r>
      <w:r w:rsidRPr="00C473BD">
        <w:rPr>
          <w:rFonts w:eastAsia="Arial"/>
          <w:iCs/>
        </w:rPr>
        <w:t>could have completed</w:t>
      </w:r>
      <w:r w:rsidRPr="0F4ABB80">
        <w:rPr>
          <w:rFonts w:eastAsia="Arial"/>
        </w:rPr>
        <w:t xml:space="preserve"> the </w:t>
      </w:r>
      <w:r w:rsidR="0002497F">
        <w:rPr>
          <w:rFonts w:eastAsia="Arial"/>
        </w:rPr>
        <w:t>program</w:t>
      </w:r>
      <w:r w:rsidRPr="0F4ABB80">
        <w:rPr>
          <w:rFonts w:eastAsia="Arial"/>
        </w:rPr>
        <w:t xml:space="preserve"> in 2021</w:t>
      </w:r>
      <w:r w:rsidR="00F47E65">
        <w:rPr>
          <w:rFonts w:eastAsia="Arial"/>
        </w:rPr>
        <w:t>–</w:t>
      </w:r>
      <w:r w:rsidRPr="0F4ABB80">
        <w:rPr>
          <w:rFonts w:eastAsia="Arial"/>
        </w:rPr>
        <w:t>2023 (</w:t>
      </w:r>
      <w:r w:rsidR="00D671EF">
        <w:rPr>
          <w:rFonts w:eastAsia="Arial"/>
        </w:rPr>
        <w:t>that is,</w:t>
      </w:r>
      <w:r w:rsidRPr="0F4ABB80">
        <w:rPr>
          <w:rFonts w:eastAsia="Arial"/>
        </w:rPr>
        <w:t xml:space="preserve"> excluding Year 11s continuing the program into 2024). Of those who completed the </w:t>
      </w:r>
      <w:r w:rsidR="0002497F">
        <w:rPr>
          <w:rFonts w:eastAsia="Arial"/>
        </w:rPr>
        <w:t>program</w:t>
      </w:r>
      <w:r w:rsidRPr="0F4ABB80">
        <w:rPr>
          <w:rFonts w:eastAsia="Arial"/>
        </w:rPr>
        <w:t xml:space="preserve"> in 2021</w:t>
      </w:r>
      <w:r w:rsidR="00F47E65">
        <w:rPr>
          <w:rFonts w:eastAsia="Arial"/>
        </w:rPr>
        <w:t>–</w:t>
      </w:r>
      <w:r w:rsidRPr="0F4ABB80">
        <w:rPr>
          <w:rFonts w:eastAsia="Arial"/>
        </w:rPr>
        <w:t xml:space="preserve">2023, the total number who went on to commence an undergraduate </w:t>
      </w:r>
      <w:r w:rsidR="0002497F">
        <w:rPr>
          <w:rFonts w:eastAsia="Arial"/>
        </w:rPr>
        <w:t>program</w:t>
      </w:r>
      <w:r w:rsidRPr="0F4ABB80">
        <w:rPr>
          <w:rFonts w:eastAsia="Arial"/>
        </w:rPr>
        <w:t xml:space="preserve"> in 2022</w:t>
      </w:r>
      <w:r w:rsidR="00F47E65">
        <w:rPr>
          <w:rFonts w:eastAsia="Arial"/>
        </w:rPr>
        <w:t>–</w:t>
      </w:r>
      <w:r w:rsidRPr="0F4ABB80">
        <w:rPr>
          <w:rFonts w:eastAsia="Arial"/>
        </w:rPr>
        <w:t xml:space="preserve">2024 (inclusive) was then calculated to determine the rate of conversion to undergraduate enrolment. Lastly, success rate was measured to provide an indication of student academic performance during the </w:t>
      </w:r>
      <w:r w:rsidRPr="1A482E7D">
        <w:rPr>
          <w:rFonts w:eastAsia="Arial"/>
        </w:rPr>
        <w:t>I</w:t>
      </w:r>
      <w:r w:rsidR="1937B480" w:rsidRPr="1A482E7D">
        <w:rPr>
          <w:rFonts w:eastAsia="Arial"/>
        </w:rPr>
        <w:t>SEP</w:t>
      </w:r>
      <w:r w:rsidRPr="1A482E7D">
        <w:rPr>
          <w:rFonts w:eastAsia="Arial"/>
        </w:rPr>
        <w:t>.</w:t>
      </w:r>
      <w:r w:rsidRPr="0F4ABB80">
        <w:rPr>
          <w:rFonts w:eastAsia="Arial"/>
        </w:rPr>
        <w:t xml:space="preserve"> This was calculated according to the TCSI definition (Australian Government, 2025e)</w:t>
      </w:r>
      <w:r w:rsidR="00D671EF">
        <w:rPr>
          <w:rFonts w:eastAsia="Arial"/>
        </w:rPr>
        <w:t>, that is,</w:t>
      </w:r>
      <w:r w:rsidRPr="0F4ABB80">
        <w:rPr>
          <w:rFonts w:eastAsia="Arial"/>
        </w:rPr>
        <w:t xml:space="preserve"> the equivalent full</w:t>
      </w:r>
      <w:r w:rsidRPr="0F4ABB80">
        <w:rPr>
          <w:rFonts w:ascii="Cambria Math" w:eastAsia="Arial" w:hAnsi="Cambria Math" w:cs="Cambria Math"/>
        </w:rPr>
        <w:t>‑</w:t>
      </w:r>
      <w:r w:rsidRPr="0F4ABB80">
        <w:rPr>
          <w:rFonts w:eastAsia="Arial"/>
        </w:rPr>
        <w:t xml:space="preserve">time student load (EFTSL) of units passed, divided by the EFTSL of units attempted (enrolled past Census date). </w:t>
      </w:r>
    </w:p>
    <w:p w14:paraId="1DB488B1" w14:textId="6D989018" w:rsidR="009C5883" w:rsidRPr="00C473BD" w:rsidRDefault="656AF164" w:rsidP="00A32591">
      <w:pPr>
        <w:pStyle w:val="Heading3"/>
        <w:rPr>
          <w:color w:val="6B3B57"/>
        </w:rPr>
      </w:pPr>
      <w:bookmarkStart w:id="47" w:name="_Toc217162485"/>
      <w:bookmarkStart w:id="48" w:name="_Toc232766183"/>
      <w:r w:rsidRPr="00C473BD">
        <w:rPr>
          <w:color w:val="6B3B57"/>
        </w:rPr>
        <w:t xml:space="preserve">Part II: </w:t>
      </w:r>
      <w:r w:rsidR="00BE7F19" w:rsidRPr="00C473BD">
        <w:rPr>
          <w:color w:val="6B3B57"/>
        </w:rPr>
        <w:t>O</w:t>
      </w:r>
      <w:r w:rsidRPr="00C473BD">
        <w:rPr>
          <w:color w:val="6B3B57"/>
        </w:rPr>
        <w:t xml:space="preserve">utcomes </w:t>
      </w:r>
      <w:r w:rsidR="00BE7F19" w:rsidRPr="00C473BD">
        <w:rPr>
          <w:color w:val="6B3B57"/>
        </w:rPr>
        <w:t>at</w:t>
      </w:r>
      <w:r w:rsidR="005064CE" w:rsidRPr="00C473BD">
        <w:rPr>
          <w:color w:val="6B3B57"/>
        </w:rPr>
        <w:t xml:space="preserve"> undergraduate study</w:t>
      </w:r>
      <w:r w:rsidRPr="00C473BD">
        <w:rPr>
          <w:color w:val="6B3B57"/>
        </w:rPr>
        <w:t xml:space="preserve"> by admission pathway</w:t>
      </w:r>
      <w:bookmarkEnd w:id="47"/>
      <w:bookmarkEnd w:id="48"/>
      <w:r w:rsidRPr="00C473BD">
        <w:rPr>
          <w:color w:val="6B3B57"/>
        </w:rPr>
        <w:t xml:space="preserve"> </w:t>
      </w:r>
    </w:p>
    <w:p w14:paraId="3BA5D671" w14:textId="596DEFE3" w:rsidR="009C5883" w:rsidRPr="0079608F" w:rsidRDefault="656AF164" w:rsidP="00A32591">
      <w:pPr>
        <w:rPr>
          <w:rFonts w:eastAsia="Arial"/>
        </w:rPr>
      </w:pPr>
      <w:r w:rsidRPr="0F4ABB80">
        <w:rPr>
          <w:rFonts w:eastAsia="Arial"/>
        </w:rPr>
        <w:t>The undergraduate outcomes of school leaver</w:t>
      </w:r>
      <w:r w:rsidR="00617A8A">
        <w:rPr>
          <w:rFonts w:eastAsia="Arial"/>
        </w:rPr>
        <w:t>-</w:t>
      </w:r>
      <w:r w:rsidRPr="0F4ABB80">
        <w:rPr>
          <w:rFonts w:eastAsia="Arial"/>
        </w:rPr>
        <w:t>aged domestic students who commenced an undergraduate course at one of the four universities between 2022</w:t>
      </w:r>
      <w:r w:rsidR="00F47E65">
        <w:rPr>
          <w:rFonts w:eastAsia="Arial"/>
        </w:rPr>
        <w:t>–</w:t>
      </w:r>
      <w:r w:rsidRPr="0F4ABB80">
        <w:rPr>
          <w:rFonts w:eastAsia="Arial"/>
        </w:rPr>
        <w:t xml:space="preserve">2024 were studied. </w:t>
      </w:r>
      <w:r w:rsidR="00617A8A">
        <w:rPr>
          <w:rFonts w:eastAsia="Arial"/>
        </w:rPr>
        <w:t>“</w:t>
      </w:r>
      <w:r w:rsidRPr="0F4ABB80">
        <w:rPr>
          <w:rFonts w:eastAsia="Arial"/>
        </w:rPr>
        <w:t>School leaver</w:t>
      </w:r>
      <w:r w:rsidR="00617A8A">
        <w:rPr>
          <w:rFonts w:eastAsia="Arial"/>
        </w:rPr>
        <w:t>-</w:t>
      </w:r>
      <w:r w:rsidRPr="0F4ABB80">
        <w:rPr>
          <w:rFonts w:eastAsia="Arial"/>
        </w:rPr>
        <w:t>aged</w:t>
      </w:r>
      <w:r w:rsidR="00617A8A">
        <w:rPr>
          <w:rFonts w:eastAsia="Arial"/>
        </w:rPr>
        <w:t>”</w:t>
      </w:r>
      <w:r w:rsidRPr="0F4ABB80">
        <w:rPr>
          <w:rFonts w:eastAsia="Arial"/>
        </w:rPr>
        <w:t xml:space="preserve"> was defined as </w:t>
      </w:r>
      <w:r w:rsidR="00617A8A">
        <w:rPr>
          <w:rFonts w:eastAsia="Arial"/>
        </w:rPr>
        <w:t xml:space="preserve">younger than </w:t>
      </w:r>
      <w:r w:rsidRPr="0F4ABB80">
        <w:rPr>
          <w:rFonts w:eastAsia="Arial"/>
        </w:rPr>
        <w:t>20</w:t>
      </w:r>
      <w:r w:rsidR="00617A8A">
        <w:rPr>
          <w:rFonts w:eastAsia="Arial"/>
        </w:rPr>
        <w:t>-</w:t>
      </w:r>
      <w:r w:rsidRPr="0F4ABB80">
        <w:rPr>
          <w:rFonts w:eastAsia="Arial"/>
        </w:rPr>
        <w:t>years</w:t>
      </w:r>
      <w:r w:rsidR="00617A8A">
        <w:rPr>
          <w:rFonts w:eastAsia="Arial"/>
        </w:rPr>
        <w:t>-</w:t>
      </w:r>
      <w:r w:rsidRPr="0F4ABB80">
        <w:rPr>
          <w:rFonts w:eastAsia="Arial"/>
        </w:rPr>
        <w:t xml:space="preserve">old </w:t>
      </w:r>
      <w:r w:rsidRPr="63B15B09">
        <w:rPr>
          <w:rFonts w:eastAsia="Arial"/>
        </w:rPr>
        <w:t>a</w:t>
      </w:r>
      <w:r w:rsidR="7B8CC12E" w:rsidRPr="63B15B09">
        <w:rPr>
          <w:rFonts w:eastAsia="Arial"/>
        </w:rPr>
        <w:t xml:space="preserve">s </w:t>
      </w:r>
      <w:proofErr w:type="gramStart"/>
      <w:r w:rsidRPr="0F4ABB80">
        <w:rPr>
          <w:rFonts w:eastAsia="Arial"/>
        </w:rPr>
        <w:t>at</w:t>
      </w:r>
      <w:proofErr w:type="gramEnd"/>
      <w:r w:rsidRPr="0F4ABB80">
        <w:rPr>
          <w:rFonts w:eastAsia="Arial"/>
        </w:rPr>
        <w:t xml:space="preserve"> 31 December of the year prior to commencing their undergraduate course. This was used to ensure that the undergraduate outcomes of domestic students who entered university via an </w:t>
      </w:r>
      <w:r w:rsidRPr="75537DEB">
        <w:rPr>
          <w:rFonts w:eastAsia="Arial"/>
        </w:rPr>
        <w:t>I</w:t>
      </w:r>
      <w:r w:rsidR="48B8BC8E" w:rsidRPr="75537DEB">
        <w:rPr>
          <w:rFonts w:eastAsia="Arial"/>
        </w:rPr>
        <w:t>SEP</w:t>
      </w:r>
      <w:r w:rsidRPr="0F4ABB80">
        <w:rPr>
          <w:rFonts w:eastAsia="Arial"/>
        </w:rPr>
        <w:t xml:space="preserve"> were being compared with domestic peers of a similar age group.</w:t>
      </w:r>
    </w:p>
    <w:p w14:paraId="7353FA82" w14:textId="6875BD34" w:rsidR="009C5883" w:rsidRPr="0079608F" w:rsidRDefault="656AF164" w:rsidP="00A32591">
      <w:pPr>
        <w:rPr>
          <w:rFonts w:eastAsia="Arial"/>
        </w:rPr>
      </w:pPr>
      <w:r w:rsidRPr="0F4ABB80">
        <w:rPr>
          <w:rFonts w:eastAsia="Arial"/>
        </w:rPr>
        <w:t xml:space="preserve">Table </w:t>
      </w:r>
      <w:r w:rsidR="6F638209" w:rsidRPr="658F4599">
        <w:rPr>
          <w:rFonts w:eastAsia="Arial"/>
        </w:rPr>
        <w:t>4</w:t>
      </w:r>
      <w:r w:rsidRPr="0F4ABB80">
        <w:rPr>
          <w:rFonts w:eastAsia="Arial"/>
        </w:rPr>
        <w:t xml:space="preserve"> describes the pathways (</w:t>
      </w:r>
      <w:r w:rsidR="00617A8A">
        <w:rPr>
          <w:rFonts w:eastAsia="Arial"/>
        </w:rPr>
        <w:t>b</w:t>
      </w:r>
      <w:r w:rsidRPr="0F4ABB80">
        <w:rPr>
          <w:rFonts w:eastAsia="Arial"/>
        </w:rPr>
        <w:t xml:space="preserve">asis of </w:t>
      </w:r>
      <w:r w:rsidR="00617A8A">
        <w:rPr>
          <w:rFonts w:eastAsia="Arial"/>
        </w:rPr>
        <w:t>a</w:t>
      </w:r>
      <w:r w:rsidRPr="0F4ABB80">
        <w:rPr>
          <w:rFonts w:eastAsia="Arial"/>
        </w:rPr>
        <w:t>dmission) included in this analysis and the relative cohort sizes that entered each institution via these pathways between 2022</w:t>
      </w:r>
      <w:r w:rsidR="00F47E65">
        <w:rPr>
          <w:rFonts w:eastAsia="Arial"/>
        </w:rPr>
        <w:t>–</w:t>
      </w:r>
      <w:r w:rsidRPr="0F4ABB80">
        <w:rPr>
          <w:rFonts w:eastAsia="Arial"/>
        </w:rPr>
        <w:t xml:space="preserve">2024. </w:t>
      </w:r>
      <w:r w:rsidRPr="0F4ABB80">
        <w:rPr>
          <w:rFonts w:eastAsia="Arial"/>
        </w:rPr>
        <w:lastRenderedPageBreak/>
        <w:t>Within each cohort/pathway, equity status was also identified (whether students belonged to none, one, or two or more equity groups).</w:t>
      </w:r>
    </w:p>
    <w:p w14:paraId="5EAA222F" w14:textId="184B4A01" w:rsidR="009C5883" w:rsidRPr="007B36DD" w:rsidRDefault="656AF164" w:rsidP="00383CEA">
      <w:pPr>
        <w:pStyle w:val="TOCHeading"/>
      </w:pPr>
      <w:bookmarkStart w:id="49" w:name="_Toc232575173"/>
      <w:r w:rsidRPr="00C473BD">
        <w:t xml:space="preserve">Table </w:t>
      </w:r>
      <w:r w:rsidR="54E61919" w:rsidRPr="00C473BD">
        <w:t>4</w:t>
      </w:r>
      <w:r w:rsidR="007B36DD">
        <w:t>:</w:t>
      </w:r>
      <w:r w:rsidRPr="00C473BD">
        <w:t xml:space="preserve"> Pathway description and cohort sizes identified for analysis*</w:t>
      </w:r>
      <w:bookmarkEnd w:id="49"/>
    </w:p>
    <w:tbl>
      <w:tblPr>
        <w:tblW w:w="9006" w:type="dxa"/>
        <w:tblCellMar>
          <w:left w:w="10" w:type="dxa"/>
          <w:right w:w="10" w:type="dxa"/>
        </w:tblCellMar>
        <w:tblLook w:val="04A0" w:firstRow="1" w:lastRow="0" w:firstColumn="1" w:lastColumn="0" w:noHBand="0" w:noVBand="1"/>
      </w:tblPr>
      <w:tblGrid>
        <w:gridCol w:w="1506"/>
        <w:gridCol w:w="3804"/>
        <w:gridCol w:w="826"/>
        <w:gridCol w:w="892"/>
        <w:gridCol w:w="1103"/>
        <w:gridCol w:w="875"/>
      </w:tblGrid>
      <w:tr w:rsidR="00A0041E" w14:paraId="5DA13D83" w14:textId="77777777" w:rsidTr="658F4599">
        <w:trPr>
          <w:trHeight w:val="300"/>
        </w:trPr>
        <w:tc>
          <w:tcPr>
            <w:tcW w:w="1506"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6D680A4D" w14:textId="5A5ED065" w:rsidR="0F4ABB80" w:rsidRDefault="0F4ABB80" w:rsidP="00705B23">
            <w:pPr>
              <w:pStyle w:val="Normal-Bold"/>
              <w:rPr>
                <w:rFonts w:eastAsia="Arial"/>
              </w:rPr>
            </w:pPr>
            <w:r w:rsidRPr="011FAAAF">
              <w:rPr>
                <w:rFonts w:eastAsia="Arial"/>
              </w:rPr>
              <w:t>Pathway</w:t>
            </w:r>
          </w:p>
        </w:tc>
        <w:tc>
          <w:tcPr>
            <w:tcW w:w="3804"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42BBD4E" w14:textId="1668EA1C" w:rsidR="0F4ABB80" w:rsidRDefault="0F4ABB80" w:rsidP="00705B23">
            <w:pPr>
              <w:pStyle w:val="Normal-Bold"/>
              <w:rPr>
                <w:rFonts w:eastAsia="Arial"/>
              </w:rPr>
            </w:pPr>
            <w:r w:rsidRPr="011FAAAF">
              <w:rPr>
                <w:rFonts w:eastAsia="Arial"/>
              </w:rPr>
              <w:t>Description</w:t>
            </w:r>
          </w:p>
        </w:tc>
        <w:tc>
          <w:tcPr>
            <w:tcW w:w="826"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15DE64A" w14:textId="2F4F8995" w:rsidR="0F4ABB80" w:rsidRDefault="0F4ABB80" w:rsidP="00705B23">
            <w:pPr>
              <w:pStyle w:val="Normal-Bold"/>
              <w:rPr>
                <w:rFonts w:eastAsia="Arial"/>
              </w:rPr>
            </w:pPr>
            <w:r w:rsidRPr="011FAAAF">
              <w:rPr>
                <w:rFonts w:eastAsia="Arial"/>
              </w:rPr>
              <w:t>ECU</w:t>
            </w:r>
          </w:p>
        </w:tc>
        <w:tc>
          <w:tcPr>
            <w:tcW w:w="892"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7272275B" w14:textId="50CF4B3B" w:rsidR="0F4ABB80" w:rsidRDefault="0F4ABB80" w:rsidP="00705B23">
            <w:pPr>
              <w:pStyle w:val="Normal-Bold"/>
              <w:rPr>
                <w:rFonts w:eastAsia="Arial"/>
              </w:rPr>
            </w:pPr>
            <w:r w:rsidRPr="011FAAAF">
              <w:rPr>
                <w:rFonts w:eastAsia="Arial"/>
              </w:rPr>
              <w:t xml:space="preserve">MU </w:t>
            </w:r>
          </w:p>
        </w:tc>
        <w:tc>
          <w:tcPr>
            <w:tcW w:w="1103"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861FD51" w14:textId="25D7117B" w:rsidR="0F4ABB80" w:rsidRDefault="0F4ABB80" w:rsidP="00705B23">
            <w:pPr>
              <w:pStyle w:val="Normal-Bold"/>
              <w:rPr>
                <w:rFonts w:eastAsia="Arial"/>
              </w:rPr>
            </w:pPr>
            <w:proofErr w:type="spellStart"/>
            <w:r w:rsidRPr="011FAAAF">
              <w:rPr>
                <w:rFonts w:eastAsia="Arial"/>
              </w:rPr>
              <w:t>UniSQ</w:t>
            </w:r>
            <w:proofErr w:type="spellEnd"/>
          </w:p>
        </w:tc>
        <w:tc>
          <w:tcPr>
            <w:tcW w:w="875"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0D8E15AC" w14:textId="422346F3" w:rsidR="0F4ABB80" w:rsidRDefault="0F4ABB80" w:rsidP="00705B23">
            <w:pPr>
              <w:pStyle w:val="Normal-Bold"/>
              <w:rPr>
                <w:rFonts w:eastAsia="Arial"/>
              </w:rPr>
            </w:pPr>
            <w:r w:rsidRPr="011FAAAF">
              <w:rPr>
                <w:rFonts w:eastAsia="Arial"/>
              </w:rPr>
              <w:t>SCU</w:t>
            </w:r>
          </w:p>
        </w:tc>
      </w:tr>
      <w:tr w:rsidR="0F4ABB80" w14:paraId="4CB243FF" w14:textId="77777777" w:rsidTr="658F4599">
        <w:trPr>
          <w:trHeight w:val="300"/>
        </w:trPr>
        <w:tc>
          <w:tcPr>
            <w:tcW w:w="1506" w:type="dxa"/>
            <w:tcBorders>
              <w:top w:val="single" w:sz="8" w:space="0" w:color="auto"/>
              <w:left w:val="single" w:sz="8" w:space="0" w:color="auto"/>
              <w:bottom w:val="single" w:sz="8" w:space="0" w:color="auto"/>
              <w:right w:val="single" w:sz="8" w:space="0" w:color="auto"/>
            </w:tcBorders>
            <w:tcMar>
              <w:left w:w="108" w:type="dxa"/>
              <w:right w:w="108" w:type="dxa"/>
            </w:tcMar>
          </w:tcPr>
          <w:p w14:paraId="4F7853E6" w14:textId="07E8731F" w:rsidR="0F4ABB80" w:rsidRDefault="0F4ABB80" w:rsidP="00705B23">
            <w:pPr>
              <w:pStyle w:val="TableParagraph"/>
              <w:rPr>
                <w:rFonts w:eastAsia="Arial"/>
              </w:rPr>
            </w:pPr>
            <w:r w:rsidRPr="0F4ABB80">
              <w:rPr>
                <w:rFonts w:eastAsia="Arial"/>
              </w:rPr>
              <w:t xml:space="preserve">In-school </w:t>
            </w:r>
            <w:r w:rsidR="00617A8A">
              <w:rPr>
                <w:rFonts w:eastAsia="Arial"/>
              </w:rPr>
              <w:t>e</w:t>
            </w:r>
            <w:r w:rsidRPr="0F4ABB80">
              <w:rPr>
                <w:rFonts w:eastAsia="Arial"/>
              </w:rPr>
              <w:t xml:space="preserve">nabling </w:t>
            </w:r>
            <w:r w:rsidR="00E70752">
              <w:rPr>
                <w:rFonts w:eastAsia="Arial"/>
              </w:rPr>
              <w:t>program</w:t>
            </w:r>
          </w:p>
        </w:tc>
        <w:tc>
          <w:tcPr>
            <w:tcW w:w="3804" w:type="dxa"/>
            <w:tcBorders>
              <w:top w:val="single" w:sz="8" w:space="0" w:color="auto"/>
              <w:left w:val="single" w:sz="8" w:space="0" w:color="auto"/>
              <w:bottom w:val="single" w:sz="8" w:space="0" w:color="auto"/>
              <w:right w:val="single" w:sz="8" w:space="0" w:color="auto"/>
            </w:tcBorders>
            <w:tcMar>
              <w:left w:w="108" w:type="dxa"/>
              <w:right w:w="108" w:type="dxa"/>
            </w:tcMar>
          </w:tcPr>
          <w:p w14:paraId="63D486C5" w14:textId="14A5CE7F" w:rsidR="0F4ABB80" w:rsidRDefault="0F4ABB80" w:rsidP="00705B23">
            <w:pPr>
              <w:pStyle w:val="TableParagraph"/>
              <w:rPr>
                <w:rFonts w:eastAsia="Arial"/>
              </w:rPr>
            </w:pPr>
            <w:r w:rsidRPr="0F4ABB80">
              <w:rPr>
                <w:rFonts w:eastAsia="Arial"/>
              </w:rPr>
              <w:t xml:space="preserve">Students that completed/passed all the requirements of a university’s </w:t>
            </w:r>
            <w:r w:rsidR="00617A8A">
              <w:rPr>
                <w:rFonts w:eastAsia="Arial"/>
              </w:rPr>
              <w:t>i</w:t>
            </w:r>
            <w:r w:rsidRPr="0F4ABB80">
              <w:rPr>
                <w:rFonts w:eastAsia="Arial"/>
              </w:rPr>
              <w:t xml:space="preserve">n-school </w:t>
            </w:r>
            <w:r w:rsidR="00617A8A">
              <w:rPr>
                <w:rFonts w:eastAsia="Arial"/>
              </w:rPr>
              <w:t>e</w:t>
            </w:r>
            <w:r w:rsidRPr="0F4ABB80">
              <w:rPr>
                <w:rFonts w:eastAsia="Arial"/>
              </w:rPr>
              <w:t xml:space="preserve">nabling </w:t>
            </w:r>
            <w:r w:rsidR="00E70752">
              <w:rPr>
                <w:rFonts w:eastAsia="Arial"/>
              </w:rPr>
              <w:t>program</w:t>
            </w:r>
            <w:r w:rsidRPr="0F4ABB80">
              <w:rPr>
                <w:rFonts w:eastAsia="Arial"/>
              </w:rPr>
              <w:t>, as part of their schooling in 2021</w:t>
            </w:r>
            <w:r w:rsidR="00F47E65">
              <w:rPr>
                <w:rFonts w:eastAsia="Arial"/>
              </w:rPr>
              <w:t>–</w:t>
            </w:r>
            <w:r w:rsidRPr="0F4ABB80">
              <w:rPr>
                <w:rFonts w:eastAsia="Arial"/>
              </w:rPr>
              <w:t xml:space="preserve">2023, and commenced an undergraduate </w:t>
            </w:r>
            <w:r w:rsidR="00E70752">
              <w:rPr>
                <w:rFonts w:eastAsia="Arial"/>
              </w:rPr>
              <w:t>program</w:t>
            </w:r>
            <w:r w:rsidRPr="0F4ABB80">
              <w:rPr>
                <w:rFonts w:eastAsia="Arial"/>
              </w:rPr>
              <w:t xml:space="preserve"> in 2022</w:t>
            </w:r>
            <w:r w:rsidR="00F47E65">
              <w:rPr>
                <w:rFonts w:eastAsia="Arial"/>
              </w:rPr>
              <w:t>–</w:t>
            </w:r>
            <w:r w:rsidRPr="0F4ABB80">
              <w:rPr>
                <w:rFonts w:eastAsia="Arial"/>
              </w:rPr>
              <w:t>2024.</w:t>
            </w:r>
          </w:p>
        </w:tc>
        <w:tc>
          <w:tcPr>
            <w:tcW w:w="826" w:type="dxa"/>
            <w:tcBorders>
              <w:top w:val="single" w:sz="8" w:space="0" w:color="auto"/>
              <w:left w:val="single" w:sz="8" w:space="0" w:color="auto"/>
              <w:bottom w:val="single" w:sz="8" w:space="0" w:color="auto"/>
              <w:right w:val="single" w:sz="8" w:space="0" w:color="auto"/>
            </w:tcBorders>
            <w:tcMar>
              <w:left w:w="108" w:type="dxa"/>
              <w:right w:w="108" w:type="dxa"/>
            </w:tcMar>
          </w:tcPr>
          <w:p w14:paraId="66E3BFA4" w14:textId="457B5887" w:rsidR="0F4ABB80" w:rsidRDefault="0F4ABB80" w:rsidP="00705B23">
            <w:pPr>
              <w:pStyle w:val="TableParagraph"/>
              <w:rPr>
                <w:rFonts w:eastAsia="Arial"/>
              </w:rPr>
            </w:pPr>
            <w:r w:rsidRPr="0F4ABB80">
              <w:rPr>
                <w:rFonts w:eastAsia="Arial"/>
              </w:rPr>
              <w:t>261</w:t>
            </w:r>
          </w:p>
        </w:tc>
        <w:tc>
          <w:tcPr>
            <w:tcW w:w="892" w:type="dxa"/>
            <w:tcBorders>
              <w:top w:val="single" w:sz="8" w:space="0" w:color="auto"/>
              <w:left w:val="single" w:sz="8" w:space="0" w:color="auto"/>
              <w:bottom w:val="single" w:sz="8" w:space="0" w:color="auto"/>
              <w:right w:val="single" w:sz="8" w:space="0" w:color="auto"/>
            </w:tcBorders>
            <w:tcMar>
              <w:left w:w="108" w:type="dxa"/>
              <w:right w:w="108" w:type="dxa"/>
            </w:tcMar>
          </w:tcPr>
          <w:p w14:paraId="46111057" w14:textId="31317466" w:rsidR="0F4ABB80" w:rsidRDefault="0F4ABB80" w:rsidP="00705B23">
            <w:pPr>
              <w:pStyle w:val="TableParagraph"/>
              <w:rPr>
                <w:rFonts w:eastAsia="Arial"/>
              </w:rPr>
            </w:pPr>
            <w:r w:rsidRPr="0F4ABB80">
              <w:rPr>
                <w:rFonts w:eastAsia="Arial"/>
              </w:rPr>
              <w:t>306</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tcPr>
          <w:p w14:paraId="4DEA6E68" w14:textId="401CE2B7" w:rsidR="0F4ABB80" w:rsidRDefault="0F4ABB80" w:rsidP="00705B23">
            <w:pPr>
              <w:pStyle w:val="TableParagraph"/>
              <w:rPr>
                <w:rFonts w:eastAsia="Arial"/>
              </w:rPr>
            </w:pPr>
            <w:r w:rsidRPr="0F4ABB80">
              <w:rPr>
                <w:rFonts w:eastAsia="Arial"/>
              </w:rPr>
              <w:t>70</w:t>
            </w:r>
          </w:p>
        </w:tc>
        <w:tc>
          <w:tcPr>
            <w:tcW w:w="875" w:type="dxa"/>
            <w:tcBorders>
              <w:top w:val="single" w:sz="8" w:space="0" w:color="auto"/>
              <w:left w:val="single" w:sz="8" w:space="0" w:color="auto"/>
              <w:bottom w:val="single" w:sz="8" w:space="0" w:color="auto"/>
              <w:right w:val="single" w:sz="8" w:space="0" w:color="auto"/>
            </w:tcBorders>
            <w:tcMar>
              <w:left w:w="108" w:type="dxa"/>
              <w:right w:w="108" w:type="dxa"/>
            </w:tcMar>
          </w:tcPr>
          <w:p w14:paraId="1F1AED00" w14:textId="0835E369" w:rsidR="0F4ABB80" w:rsidRDefault="0F4ABB80" w:rsidP="00705B23">
            <w:pPr>
              <w:pStyle w:val="TableParagraph"/>
              <w:rPr>
                <w:rFonts w:eastAsia="Arial"/>
              </w:rPr>
            </w:pPr>
            <w:r w:rsidRPr="0F4ABB80">
              <w:rPr>
                <w:rFonts w:eastAsia="Arial"/>
              </w:rPr>
              <w:t>24</w:t>
            </w:r>
          </w:p>
        </w:tc>
      </w:tr>
      <w:tr w:rsidR="0F4ABB80" w14:paraId="1FDAF41E" w14:textId="77777777" w:rsidTr="658F4599">
        <w:trPr>
          <w:trHeight w:val="300"/>
        </w:trPr>
        <w:tc>
          <w:tcPr>
            <w:tcW w:w="1506" w:type="dxa"/>
            <w:tcBorders>
              <w:top w:val="single" w:sz="8" w:space="0" w:color="auto"/>
              <w:left w:val="single" w:sz="8" w:space="0" w:color="auto"/>
              <w:bottom w:val="single" w:sz="8" w:space="0" w:color="auto"/>
              <w:right w:val="single" w:sz="8" w:space="0" w:color="auto"/>
            </w:tcBorders>
            <w:tcMar>
              <w:left w:w="108" w:type="dxa"/>
              <w:right w:w="108" w:type="dxa"/>
            </w:tcMar>
          </w:tcPr>
          <w:p w14:paraId="33DE6A3C" w14:textId="37EFA971" w:rsidR="0F4ABB80" w:rsidRDefault="0F4ABB80" w:rsidP="00705B23">
            <w:pPr>
              <w:pStyle w:val="TableParagraph"/>
              <w:rPr>
                <w:rFonts w:eastAsia="Arial"/>
              </w:rPr>
            </w:pPr>
            <w:r w:rsidRPr="0F4ABB80">
              <w:rPr>
                <w:rFonts w:eastAsia="Arial"/>
              </w:rPr>
              <w:t xml:space="preserve">Post-school </w:t>
            </w:r>
            <w:r w:rsidR="00617A8A">
              <w:rPr>
                <w:rFonts w:eastAsia="Arial"/>
              </w:rPr>
              <w:t>e</w:t>
            </w:r>
            <w:r w:rsidRPr="0F4ABB80">
              <w:rPr>
                <w:rFonts w:eastAsia="Arial"/>
              </w:rPr>
              <w:t xml:space="preserve">nabling </w:t>
            </w:r>
            <w:r w:rsidR="00E70752">
              <w:rPr>
                <w:rFonts w:eastAsia="Arial"/>
              </w:rPr>
              <w:t>program</w:t>
            </w:r>
            <w:r w:rsidRPr="0F4ABB80">
              <w:rPr>
                <w:rFonts w:eastAsia="Arial"/>
              </w:rPr>
              <w:t>^</w:t>
            </w:r>
          </w:p>
        </w:tc>
        <w:tc>
          <w:tcPr>
            <w:tcW w:w="3804" w:type="dxa"/>
            <w:tcBorders>
              <w:top w:val="single" w:sz="8" w:space="0" w:color="auto"/>
              <w:left w:val="single" w:sz="8" w:space="0" w:color="auto"/>
              <w:bottom w:val="single" w:sz="8" w:space="0" w:color="auto"/>
              <w:right w:val="single" w:sz="8" w:space="0" w:color="auto"/>
            </w:tcBorders>
            <w:tcMar>
              <w:left w:w="108" w:type="dxa"/>
              <w:right w:w="108" w:type="dxa"/>
            </w:tcMar>
          </w:tcPr>
          <w:p w14:paraId="586C2BAF" w14:textId="07B8C656" w:rsidR="0F4ABB80" w:rsidRDefault="0F4ABB80" w:rsidP="00705B23">
            <w:pPr>
              <w:pStyle w:val="TableParagraph"/>
              <w:rPr>
                <w:rFonts w:eastAsia="Arial"/>
              </w:rPr>
            </w:pPr>
            <w:r w:rsidRPr="0F4ABB80">
              <w:rPr>
                <w:rFonts w:eastAsia="Arial"/>
              </w:rPr>
              <w:t xml:space="preserve">Students who previously completed a post-secondary </w:t>
            </w:r>
            <w:r w:rsidR="00617A8A">
              <w:rPr>
                <w:rFonts w:eastAsia="Arial"/>
              </w:rPr>
              <w:t>e</w:t>
            </w:r>
            <w:r w:rsidRPr="0F4ABB80">
              <w:rPr>
                <w:rFonts w:eastAsia="Arial"/>
              </w:rPr>
              <w:t xml:space="preserve">nabling </w:t>
            </w:r>
            <w:r w:rsidR="00E70752">
              <w:rPr>
                <w:rFonts w:eastAsia="Arial"/>
              </w:rPr>
              <w:t>program</w:t>
            </w:r>
            <w:r w:rsidRPr="0F4ABB80">
              <w:rPr>
                <w:rFonts w:eastAsia="Arial"/>
              </w:rPr>
              <w:t xml:space="preserve"> at the higher education provider, any</w:t>
            </w:r>
            <w:r w:rsidR="00F07B8C">
              <w:rPr>
                <w:rFonts w:eastAsia="Arial"/>
              </w:rPr>
              <w:t xml:space="preserve"> </w:t>
            </w:r>
            <w:r w:rsidRPr="0F4ABB80">
              <w:rPr>
                <w:rFonts w:eastAsia="Arial"/>
              </w:rPr>
              <w:t>time prior to beginning undergraduate study at that provider in 2022</w:t>
            </w:r>
            <w:r w:rsidR="00F47E65">
              <w:rPr>
                <w:rFonts w:eastAsia="Arial"/>
              </w:rPr>
              <w:t>–</w:t>
            </w:r>
            <w:r w:rsidRPr="0F4ABB80">
              <w:rPr>
                <w:rFonts w:eastAsia="Arial"/>
              </w:rPr>
              <w:t>2024.</w:t>
            </w:r>
          </w:p>
        </w:tc>
        <w:tc>
          <w:tcPr>
            <w:tcW w:w="826" w:type="dxa"/>
            <w:tcBorders>
              <w:top w:val="single" w:sz="8" w:space="0" w:color="auto"/>
              <w:left w:val="single" w:sz="8" w:space="0" w:color="auto"/>
              <w:bottom w:val="single" w:sz="8" w:space="0" w:color="auto"/>
              <w:right w:val="single" w:sz="8" w:space="0" w:color="auto"/>
            </w:tcBorders>
            <w:tcMar>
              <w:left w:w="108" w:type="dxa"/>
              <w:right w:w="108" w:type="dxa"/>
            </w:tcMar>
          </w:tcPr>
          <w:p w14:paraId="6B2342A8" w14:textId="785573EC" w:rsidR="0F4ABB80" w:rsidRDefault="0F4ABB80" w:rsidP="00705B23">
            <w:pPr>
              <w:pStyle w:val="TableParagraph"/>
              <w:rPr>
                <w:rFonts w:eastAsia="Arial"/>
              </w:rPr>
            </w:pPr>
            <w:r w:rsidRPr="0F4ABB80">
              <w:rPr>
                <w:rFonts w:eastAsia="Arial"/>
              </w:rPr>
              <w:t>1243</w:t>
            </w:r>
          </w:p>
        </w:tc>
        <w:tc>
          <w:tcPr>
            <w:tcW w:w="892" w:type="dxa"/>
            <w:tcBorders>
              <w:top w:val="single" w:sz="8" w:space="0" w:color="auto"/>
              <w:left w:val="single" w:sz="8" w:space="0" w:color="auto"/>
              <w:bottom w:val="single" w:sz="8" w:space="0" w:color="auto"/>
              <w:right w:val="single" w:sz="8" w:space="0" w:color="auto"/>
            </w:tcBorders>
            <w:tcMar>
              <w:left w:w="108" w:type="dxa"/>
              <w:right w:w="108" w:type="dxa"/>
            </w:tcMar>
          </w:tcPr>
          <w:p w14:paraId="42EC3DB1" w14:textId="43A02FA1" w:rsidR="0F4ABB80" w:rsidRDefault="0F4ABB80" w:rsidP="00705B23">
            <w:pPr>
              <w:pStyle w:val="TableParagraph"/>
              <w:rPr>
                <w:rFonts w:eastAsia="Arial"/>
              </w:rPr>
            </w:pPr>
            <w:r w:rsidRPr="0F4ABB80">
              <w:rPr>
                <w:rFonts w:eastAsia="Arial"/>
              </w:rPr>
              <w:t>331</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tcPr>
          <w:p w14:paraId="3A35E4DA" w14:textId="7B44392E" w:rsidR="0F4ABB80" w:rsidRDefault="0F4ABB80" w:rsidP="00705B23">
            <w:pPr>
              <w:pStyle w:val="TableParagraph"/>
              <w:rPr>
                <w:rFonts w:eastAsia="Arial"/>
              </w:rPr>
            </w:pPr>
            <w:r w:rsidRPr="0F4ABB80">
              <w:rPr>
                <w:rFonts w:eastAsia="Arial"/>
              </w:rPr>
              <w:t>288</w:t>
            </w:r>
          </w:p>
        </w:tc>
        <w:tc>
          <w:tcPr>
            <w:tcW w:w="875" w:type="dxa"/>
            <w:tcBorders>
              <w:top w:val="single" w:sz="8" w:space="0" w:color="auto"/>
              <w:left w:val="single" w:sz="8" w:space="0" w:color="auto"/>
              <w:bottom w:val="single" w:sz="8" w:space="0" w:color="auto"/>
              <w:right w:val="single" w:sz="8" w:space="0" w:color="auto"/>
            </w:tcBorders>
            <w:tcMar>
              <w:left w:w="108" w:type="dxa"/>
              <w:right w:w="108" w:type="dxa"/>
            </w:tcMar>
          </w:tcPr>
          <w:p w14:paraId="6CD2DF41" w14:textId="4FACD58C" w:rsidR="0F4ABB80" w:rsidRDefault="0F4ABB80" w:rsidP="00705B23">
            <w:pPr>
              <w:pStyle w:val="TableParagraph"/>
              <w:rPr>
                <w:rFonts w:eastAsia="Arial"/>
              </w:rPr>
            </w:pPr>
            <w:r w:rsidRPr="0F4ABB80">
              <w:rPr>
                <w:rFonts w:eastAsia="Arial"/>
              </w:rPr>
              <w:t>429</w:t>
            </w:r>
          </w:p>
        </w:tc>
      </w:tr>
      <w:tr w:rsidR="0F4ABB80" w14:paraId="287EA2F6" w14:textId="77777777" w:rsidTr="658F4599">
        <w:trPr>
          <w:trHeight w:val="300"/>
        </w:trPr>
        <w:tc>
          <w:tcPr>
            <w:tcW w:w="1506" w:type="dxa"/>
            <w:tcBorders>
              <w:top w:val="single" w:sz="8" w:space="0" w:color="auto"/>
              <w:left w:val="single" w:sz="8" w:space="0" w:color="auto"/>
              <w:bottom w:val="single" w:sz="8" w:space="0" w:color="auto"/>
              <w:right w:val="single" w:sz="8" w:space="0" w:color="auto"/>
            </w:tcBorders>
            <w:tcMar>
              <w:left w:w="108" w:type="dxa"/>
              <w:right w:w="108" w:type="dxa"/>
            </w:tcMar>
          </w:tcPr>
          <w:p w14:paraId="59CCFC8C" w14:textId="02B3D2AB" w:rsidR="0F4ABB80" w:rsidRDefault="0F4ABB80" w:rsidP="00705B23">
            <w:pPr>
              <w:pStyle w:val="TableParagraph"/>
              <w:rPr>
                <w:rFonts w:eastAsia="Arial"/>
              </w:rPr>
            </w:pPr>
            <w:r w:rsidRPr="0F4ABB80">
              <w:rPr>
                <w:rFonts w:eastAsia="Arial"/>
              </w:rPr>
              <w:t>Recent school leaver (ATAR)</w:t>
            </w:r>
          </w:p>
        </w:tc>
        <w:tc>
          <w:tcPr>
            <w:tcW w:w="3804" w:type="dxa"/>
            <w:tcBorders>
              <w:top w:val="single" w:sz="8" w:space="0" w:color="auto"/>
              <w:left w:val="single" w:sz="8" w:space="0" w:color="auto"/>
              <w:bottom w:val="single" w:sz="8" w:space="0" w:color="auto"/>
              <w:right w:val="single" w:sz="8" w:space="0" w:color="auto"/>
            </w:tcBorders>
            <w:tcMar>
              <w:left w:w="108" w:type="dxa"/>
              <w:right w:w="108" w:type="dxa"/>
            </w:tcMar>
          </w:tcPr>
          <w:p w14:paraId="3D3668F4" w14:textId="1D2DCAB9" w:rsidR="0F4ABB80" w:rsidRDefault="0F4ABB80" w:rsidP="00705B23">
            <w:pPr>
              <w:pStyle w:val="TableParagraph"/>
              <w:rPr>
                <w:rFonts w:eastAsia="Arial"/>
              </w:rPr>
            </w:pPr>
            <w:r w:rsidRPr="0F4ABB80">
              <w:rPr>
                <w:rFonts w:eastAsia="Arial"/>
              </w:rPr>
              <w:t xml:space="preserve">Students whose </w:t>
            </w:r>
            <w:r w:rsidR="00DD7F3C">
              <w:rPr>
                <w:rFonts w:eastAsia="Arial"/>
              </w:rPr>
              <w:t>b</w:t>
            </w:r>
            <w:r w:rsidRPr="0F4ABB80">
              <w:rPr>
                <w:rFonts w:eastAsia="Arial"/>
              </w:rPr>
              <w:t xml:space="preserve">asis for </w:t>
            </w:r>
            <w:r w:rsidR="00DD7F3C">
              <w:rPr>
                <w:rFonts w:eastAsia="Arial"/>
              </w:rPr>
              <w:t>a</w:t>
            </w:r>
            <w:r w:rsidRPr="0F4ABB80">
              <w:rPr>
                <w:rFonts w:eastAsia="Arial"/>
              </w:rPr>
              <w:t>dmission was recent secondary education</w:t>
            </w:r>
            <w:r w:rsidR="00DD7F3C" w:rsidRPr="00DD7F3C">
              <w:rPr>
                <w:rFonts w:eastAsia="Arial"/>
              </w:rPr>
              <w:t>—</w:t>
            </w:r>
            <w:r w:rsidRPr="0F4ABB80">
              <w:rPr>
                <w:rFonts w:eastAsia="Arial"/>
              </w:rPr>
              <w:t>ATAR only</w:t>
            </w:r>
            <w:r w:rsidR="00DD7F3C">
              <w:rPr>
                <w:rFonts w:eastAsia="Arial"/>
              </w:rPr>
              <w:t>,</w:t>
            </w:r>
            <w:r w:rsidRPr="0F4ABB80">
              <w:rPr>
                <w:rFonts w:eastAsia="Arial"/>
              </w:rPr>
              <w:t xml:space="preserve"> </w:t>
            </w:r>
            <w:r w:rsidR="00DD7F3C">
              <w:rPr>
                <w:rFonts w:eastAsia="Arial"/>
              </w:rPr>
              <w:t>o</w:t>
            </w:r>
            <w:r w:rsidR="4D43AFF5" w:rsidRPr="5FA2B21E">
              <w:rPr>
                <w:rFonts w:eastAsia="Arial"/>
              </w:rPr>
              <w:t>r</w:t>
            </w:r>
            <w:r w:rsidRPr="0F4ABB80">
              <w:rPr>
                <w:rFonts w:eastAsia="Arial"/>
              </w:rPr>
              <w:t xml:space="preserve"> ATAR plus other criteria.</w:t>
            </w:r>
          </w:p>
        </w:tc>
        <w:tc>
          <w:tcPr>
            <w:tcW w:w="826" w:type="dxa"/>
            <w:tcBorders>
              <w:top w:val="single" w:sz="8" w:space="0" w:color="auto"/>
              <w:left w:val="single" w:sz="8" w:space="0" w:color="auto"/>
              <w:bottom w:val="single" w:sz="8" w:space="0" w:color="auto"/>
              <w:right w:val="single" w:sz="8" w:space="0" w:color="auto"/>
            </w:tcBorders>
            <w:tcMar>
              <w:left w:w="108" w:type="dxa"/>
              <w:right w:w="108" w:type="dxa"/>
            </w:tcMar>
          </w:tcPr>
          <w:p w14:paraId="308A82EA" w14:textId="2A1A8EE4" w:rsidR="0F4ABB80" w:rsidRDefault="0F4ABB80" w:rsidP="00705B23">
            <w:pPr>
              <w:pStyle w:val="TableParagraph"/>
              <w:rPr>
                <w:rFonts w:eastAsia="Arial"/>
              </w:rPr>
            </w:pPr>
            <w:r w:rsidRPr="0F4ABB80">
              <w:rPr>
                <w:rFonts w:eastAsia="Arial"/>
              </w:rPr>
              <w:t>2401</w:t>
            </w:r>
          </w:p>
        </w:tc>
        <w:tc>
          <w:tcPr>
            <w:tcW w:w="892" w:type="dxa"/>
            <w:tcBorders>
              <w:top w:val="single" w:sz="8" w:space="0" w:color="auto"/>
              <w:left w:val="single" w:sz="8" w:space="0" w:color="auto"/>
              <w:bottom w:val="single" w:sz="8" w:space="0" w:color="auto"/>
              <w:right w:val="single" w:sz="8" w:space="0" w:color="auto"/>
            </w:tcBorders>
            <w:tcMar>
              <w:left w:w="108" w:type="dxa"/>
              <w:right w:w="108" w:type="dxa"/>
            </w:tcMar>
          </w:tcPr>
          <w:p w14:paraId="324AF4FF" w14:textId="75042DDD" w:rsidR="0F4ABB80" w:rsidRDefault="0F4ABB80" w:rsidP="00705B23">
            <w:pPr>
              <w:pStyle w:val="TableParagraph"/>
              <w:rPr>
                <w:rFonts w:eastAsia="Arial"/>
              </w:rPr>
            </w:pPr>
            <w:r w:rsidRPr="0F4ABB80">
              <w:rPr>
                <w:rFonts w:eastAsia="Arial"/>
              </w:rPr>
              <w:t>557</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tcPr>
          <w:p w14:paraId="1A2B65D9" w14:textId="0BE0F790" w:rsidR="0F4ABB80" w:rsidRDefault="0F4ABB80" w:rsidP="00705B23">
            <w:pPr>
              <w:pStyle w:val="TableParagraph"/>
              <w:rPr>
                <w:rFonts w:eastAsia="Arial"/>
              </w:rPr>
            </w:pPr>
            <w:r w:rsidRPr="0F4ABB80">
              <w:rPr>
                <w:rFonts w:eastAsia="Arial"/>
              </w:rPr>
              <w:t>1470</w:t>
            </w:r>
          </w:p>
        </w:tc>
        <w:tc>
          <w:tcPr>
            <w:tcW w:w="875" w:type="dxa"/>
            <w:tcBorders>
              <w:top w:val="single" w:sz="8" w:space="0" w:color="auto"/>
              <w:left w:val="single" w:sz="8" w:space="0" w:color="auto"/>
              <w:bottom w:val="single" w:sz="8" w:space="0" w:color="auto"/>
              <w:right w:val="single" w:sz="8" w:space="0" w:color="auto"/>
            </w:tcBorders>
            <w:tcMar>
              <w:left w:w="108" w:type="dxa"/>
              <w:right w:w="108" w:type="dxa"/>
            </w:tcMar>
          </w:tcPr>
          <w:p w14:paraId="5C112DD8" w14:textId="0EDCA225" w:rsidR="0F4ABB80" w:rsidRDefault="0F4ABB80" w:rsidP="00705B23">
            <w:pPr>
              <w:pStyle w:val="TableParagraph"/>
              <w:rPr>
                <w:rFonts w:eastAsia="Arial"/>
              </w:rPr>
            </w:pPr>
            <w:r w:rsidRPr="0F4ABB80">
              <w:rPr>
                <w:rFonts w:eastAsia="Arial"/>
              </w:rPr>
              <w:t>559</w:t>
            </w:r>
          </w:p>
        </w:tc>
      </w:tr>
      <w:tr w:rsidR="0F4ABB80" w14:paraId="5FE48BD0" w14:textId="77777777" w:rsidTr="658F4599">
        <w:trPr>
          <w:trHeight w:val="300"/>
        </w:trPr>
        <w:tc>
          <w:tcPr>
            <w:tcW w:w="1506" w:type="dxa"/>
            <w:tcBorders>
              <w:top w:val="single" w:sz="8" w:space="0" w:color="auto"/>
              <w:left w:val="single" w:sz="8" w:space="0" w:color="auto"/>
              <w:bottom w:val="single" w:sz="8" w:space="0" w:color="auto"/>
              <w:right w:val="single" w:sz="8" w:space="0" w:color="auto"/>
            </w:tcBorders>
            <w:tcMar>
              <w:left w:w="108" w:type="dxa"/>
              <w:right w:w="108" w:type="dxa"/>
            </w:tcMar>
          </w:tcPr>
          <w:p w14:paraId="3FA8C016" w14:textId="0F892A45" w:rsidR="0F4ABB80" w:rsidRDefault="0F4ABB80" w:rsidP="00705B23">
            <w:pPr>
              <w:pStyle w:val="TableParagraph"/>
              <w:rPr>
                <w:rFonts w:eastAsia="Arial"/>
              </w:rPr>
            </w:pPr>
            <w:r w:rsidRPr="0F4ABB80">
              <w:rPr>
                <w:rFonts w:eastAsia="Arial"/>
              </w:rPr>
              <w:t>Recent school leaver (non-ATAR)</w:t>
            </w:r>
          </w:p>
        </w:tc>
        <w:tc>
          <w:tcPr>
            <w:tcW w:w="3804" w:type="dxa"/>
            <w:tcBorders>
              <w:top w:val="single" w:sz="8" w:space="0" w:color="auto"/>
              <w:left w:val="single" w:sz="8" w:space="0" w:color="auto"/>
              <w:bottom w:val="single" w:sz="8" w:space="0" w:color="auto"/>
              <w:right w:val="single" w:sz="8" w:space="0" w:color="auto"/>
            </w:tcBorders>
            <w:tcMar>
              <w:left w:w="108" w:type="dxa"/>
              <w:right w:w="108" w:type="dxa"/>
            </w:tcMar>
          </w:tcPr>
          <w:p w14:paraId="48EEEE07" w14:textId="57F5EA2B" w:rsidR="0F4ABB80" w:rsidRDefault="0F4ABB80" w:rsidP="00705B23">
            <w:pPr>
              <w:pStyle w:val="TableParagraph"/>
              <w:rPr>
                <w:rFonts w:eastAsia="Arial"/>
              </w:rPr>
            </w:pPr>
            <w:r w:rsidRPr="0F4ABB80">
              <w:rPr>
                <w:rFonts w:eastAsia="Arial"/>
              </w:rPr>
              <w:t xml:space="preserve">Students whose </w:t>
            </w:r>
            <w:r w:rsidR="00DD7F3C">
              <w:rPr>
                <w:rFonts w:eastAsia="Arial"/>
              </w:rPr>
              <w:t>b</w:t>
            </w:r>
            <w:r w:rsidRPr="0F4ABB80">
              <w:rPr>
                <w:rFonts w:eastAsia="Arial"/>
              </w:rPr>
              <w:t xml:space="preserve">asis for </w:t>
            </w:r>
            <w:r w:rsidR="00DD7F3C">
              <w:rPr>
                <w:rFonts w:eastAsia="Arial"/>
              </w:rPr>
              <w:t>a</w:t>
            </w:r>
            <w:r w:rsidRPr="0F4ABB80">
              <w:rPr>
                <w:rFonts w:eastAsia="Arial"/>
              </w:rPr>
              <w:t>dmission was recent secondary education</w:t>
            </w:r>
            <w:r w:rsidR="00DD7F3C" w:rsidRPr="00DD7F3C">
              <w:rPr>
                <w:rFonts w:eastAsia="Arial"/>
              </w:rPr>
              <w:t>—</w:t>
            </w:r>
            <w:r w:rsidRPr="0F4ABB80">
              <w:rPr>
                <w:rFonts w:eastAsia="Arial"/>
              </w:rPr>
              <w:t>only other criteria, ATAR not considered.</w:t>
            </w:r>
          </w:p>
        </w:tc>
        <w:tc>
          <w:tcPr>
            <w:tcW w:w="826" w:type="dxa"/>
            <w:tcBorders>
              <w:top w:val="single" w:sz="8" w:space="0" w:color="auto"/>
              <w:left w:val="single" w:sz="8" w:space="0" w:color="auto"/>
              <w:bottom w:val="single" w:sz="8" w:space="0" w:color="auto"/>
              <w:right w:val="single" w:sz="8" w:space="0" w:color="auto"/>
            </w:tcBorders>
            <w:tcMar>
              <w:left w:w="108" w:type="dxa"/>
              <w:right w:w="108" w:type="dxa"/>
            </w:tcMar>
          </w:tcPr>
          <w:p w14:paraId="4E180845" w14:textId="3CBAC979" w:rsidR="0F4ABB80" w:rsidRDefault="0F4ABB80" w:rsidP="00705B23">
            <w:pPr>
              <w:pStyle w:val="TableParagraph"/>
              <w:rPr>
                <w:rFonts w:eastAsia="Arial"/>
              </w:rPr>
            </w:pPr>
            <w:r w:rsidRPr="0F4ABB80">
              <w:rPr>
                <w:rFonts w:eastAsia="Arial"/>
              </w:rPr>
              <w:t>399</w:t>
            </w:r>
          </w:p>
        </w:tc>
        <w:tc>
          <w:tcPr>
            <w:tcW w:w="892" w:type="dxa"/>
            <w:tcBorders>
              <w:top w:val="single" w:sz="8" w:space="0" w:color="auto"/>
              <w:left w:val="single" w:sz="8" w:space="0" w:color="auto"/>
              <w:bottom w:val="single" w:sz="8" w:space="0" w:color="auto"/>
              <w:right w:val="single" w:sz="8" w:space="0" w:color="auto"/>
            </w:tcBorders>
            <w:tcMar>
              <w:left w:w="108" w:type="dxa"/>
              <w:right w:w="108" w:type="dxa"/>
            </w:tcMar>
          </w:tcPr>
          <w:p w14:paraId="5BD15B14" w14:textId="0F427EB6" w:rsidR="0F4ABB80" w:rsidRDefault="0F4ABB80" w:rsidP="00705B23">
            <w:pPr>
              <w:pStyle w:val="TableParagraph"/>
              <w:rPr>
                <w:rFonts w:eastAsia="Arial"/>
              </w:rPr>
            </w:pPr>
            <w:r w:rsidRPr="0F4ABB80">
              <w:rPr>
                <w:rFonts w:eastAsia="Arial"/>
              </w:rPr>
              <w:t>1077</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tcPr>
          <w:p w14:paraId="32AFF5F4" w14:textId="5A0F7B8B" w:rsidR="0F4ABB80" w:rsidRDefault="0F4ABB80" w:rsidP="00705B23">
            <w:pPr>
              <w:pStyle w:val="TableParagraph"/>
              <w:rPr>
                <w:rFonts w:eastAsia="Arial"/>
              </w:rPr>
            </w:pPr>
            <w:r w:rsidRPr="0F4ABB80">
              <w:rPr>
                <w:rFonts w:eastAsia="Arial"/>
              </w:rPr>
              <w:t>1167</w:t>
            </w:r>
          </w:p>
        </w:tc>
        <w:tc>
          <w:tcPr>
            <w:tcW w:w="875" w:type="dxa"/>
            <w:tcBorders>
              <w:top w:val="single" w:sz="8" w:space="0" w:color="auto"/>
              <w:left w:val="single" w:sz="8" w:space="0" w:color="auto"/>
              <w:bottom w:val="single" w:sz="8" w:space="0" w:color="auto"/>
              <w:right w:val="single" w:sz="8" w:space="0" w:color="auto"/>
            </w:tcBorders>
            <w:tcMar>
              <w:left w:w="108" w:type="dxa"/>
              <w:right w:w="108" w:type="dxa"/>
            </w:tcMar>
          </w:tcPr>
          <w:p w14:paraId="6F44194E" w14:textId="0DC89341" w:rsidR="0F4ABB80" w:rsidRDefault="0F4ABB80" w:rsidP="00705B23">
            <w:pPr>
              <w:pStyle w:val="TableParagraph"/>
              <w:rPr>
                <w:rFonts w:eastAsia="Arial"/>
              </w:rPr>
            </w:pPr>
            <w:r w:rsidRPr="0F4ABB80">
              <w:rPr>
                <w:rFonts w:eastAsia="Arial"/>
              </w:rPr>
              <w:t>1982</w:t>
            </w:r>
          </w:p>
        </w:tc>
      </w:tr>
      <w:tr w:rsidR="0F4ABB80" w14:paraId="1DE0A6D5" w14:textId="77777777" w:rsidTr="658F4599">
        <w:trPr>
          <w:trHeight w:val="300"/>
        </w:trPr>
        <w:tc>
          <w:tcPr>
            <w:tcW w:w="1506" w:type="dxa"/>
            <w:tcBorders>
              <w:top w:val="single" w:sz="8" w:space="0" w:color="auto"/>
              <w:left w:val="single" w:sz="8" w:space="0" w:color="auto"/>
              <w:bottom w:val="single" w:sz="8" w:space="0" w:color="auto"/>
              <w:right w:val="single" w:sz="8" w:space="0" w:color="auto"/>
            </w:tcBorders>
            <w:tcMar>
              <w:left w:w="108" w:type="dxa"/>
              <w:right w:w="108" w:type="dxa"/>
            </w:tcMar>
          </w:tcPr>
          <w:p w14:paraId="156BF450" w14:textId="102565AA" w:rsidR="0F4ABB80" w:rsidRDefault="0F4ABB80" w:rsidP="00705B23">
            <w:pPr>
              <w:pStyle w:val="TableParagraph"/>
              <w:rPr>
                <w:rFonts w:eastAsia="Arial"/>
              </w:rPr>
            </w:pPr>
            <w:proofErr w:type="gramStart"/>
            <w:r w:rsidRPr="0F4ABB80">
              <w:rPr>
                <w:rFonts w:eastAsia="Arial"/>
              </w:rPr>
              <w:t>Other</w:t>
            </w:r>
            <w:proofErr w:type="gramEnd"/>
            <w:r w:rsidRPr="0F4ABB80">
              <w:rPr>
                <w:rFonts w:eastAsia="Arial"/>
              </w:rPr>
              <w:t xml:space="preserve"> provider </w:t>
            </w:r>
            <w:r w:rsidR="00DD7F3C">
              <w:rPr>
                <w:rFonts w:eastAsia="Arial"/>
              </w:rPr>
              <w:t>e</w:t>
            </w:r>
            <w:r w:rsidRPr="0F4ABB80">
              <w:rPr>
                <w:rFonts w:eastAsia="Arial"/>
              </w:rPr>
              <w:t xml:space="preserve">nabling </w:t>
            </w:r>
            <w:r w:rsidR="00E70752">
              <w:rPr>
                <w:rFonts w:eastAsia="Arial"/>
              </w:rPr>
              <w:t>program</w:t>
            </w:r>
          </w:p>
        </w:tc>
        <w:tc>
          <w:tcPr>
            <w:tcW w:w="3804" w:type="dxa"/>
            <w:tcBorders>
              <w:top w:val="single" w:sz="8" w:space="0" w:color="auto"/>
              <w:left w:val="single" w:sz="8" w:space="0" w:color="auto"/>
              <w:bottom w:val="single" w:sz="8" w:space="0" w:color="auto"/>
              <w:right w:val="single" w:sz="8" w:space="0" w:color="auto"/>
            </w:tcBorders>
            <w:tcMar>
              <w:left w:w="108" w:type="dxa"/>
              <w:right w:w="108" w:type="dxa"/>
            </w:tcMar>
          </w:tcPr>
          <w:p w14:paraId="3F353CA8" w14:textId="0E93D786" w:rsidR="0F4ABB80" w:rsidRDefault="0F4ABB80" w:rsidP="00705B23">
            <w:pPr>
              <w:pStyle w:val="TableParagraph"/>
              <w:rPr>
                <w:rFonts w:eastAsia="Arial"/>
              </w:rPr>
            </w:pPr>
            <w:r w:rsidRPr="0F4ABB80">
              <w:rPr>
                <w:rFonts w:eastAsia="Arial"/>
              </w:rPr>
              <w:t xml:space="preserve">Students whose </w:t>
            </w:r>
            <w:r w:rsidR="00DD7F3C">
              <w:rPr>
                <w:rFonts w:eastAsia="Arial"/>
              </w:rPr>
              <w:t>b</w:t>
            </w:r>
            <w:r w:rsidRPr="0F4ABB80">
              <w:rPr>
                <w:rFonts w:eastAsia="Arial"/>
              </w:rPr>
              <w:t xml:space="preserve">asis for </w:t>
            </w:r>
            <w:r w:rsidR="00DD7F3C">
              <w:rPr>
                <w:rFonts w:eastAsia="Arial"/>
              </w:rPr>
              <w:t>a</w:t>
            </w:r>
            <w:r w:rsidRPr="0F4ABB80">
              <w:rPr>
                <w:rFonts w:eastAsia="Arial"/>
              </w:rPr>
              <w:t xml:space="preserve">dmission was an </w:t>
            </w:r>
            <w:r w:rsidR="00DD7F3C">
              <w:rPr>
                <w:rFonts w:eastAsia="Arial"/>
              </w:rPr>
              <w:t>e</w:t>
            </w:r>
            <w:r w:rsidRPr="0F4ABB80">
              <w:rPr>
                <w:rFonts w:eastAsia="Arial"/>
              </w:rPr>
              <w:t xml:space="preserve">nabling </w:t>
            </w:r>
            <w:r w:rsidR="00E70752">
              <w:rPr>
                <w:rFonts w:eastAsia="Arial"/>
              </w:rPr>
              <w:t>program</w:t>
            </w:r>
            <w:r w:rsidRPr="0F4ABB80">
              <w:rPr>
                <w:rFonts w:eastAsia="Arial"/>
              </w:rPr>
              <w:t xml:space="preserve"> delivered by another provider.</w:t>
            </w:r>
          </w:p>
        </w:tc>
        <w:tc>
          <w:tcPr>
            <w:tcW w:w="826" w:type="dxa"/>
            <w:tcBorders>
              <w:top w:val="single" w:sz="8" w:space="0" w:color="auto"/>
              <w:left w:val="single" w:sz="8" w:space="0" w:color="auto"/>
              <w:bottom w:val="single" w:sz="8" w:space="0" w:color="auto"/>
              <w:right w:val="single" w:sz="8" w:space="0" w:color="auto"/>
            </w:tcBorders>
            <w:tcMar>
              <w:left w:w="108" w:type="dxa"/>
              <w:right w:w="108" w:type="dxa"/>
            </w:tcMar>
          </w:tcPr>
          <w:p w14:paraId="5A444770" w14:textId="62910BE8" w:rsidR="0F4ABB80" w:rsidRDefault="0F4ABB80" w:rsidP="00705B23">
            <w:pPr>
              <w:pStyle w:val="TableParagraph"/>
              <w:rPr>
                <w:rFonts w:eastAsia="Arial"/>
              </w:rPr>
            </w:pPr>
            <w:r w:rsidRPr="0F4ABB80">
              <w:rPr>
                <w:rFonts w:eastAsia="Arial"/>
              </w:rPr>
              <w:t>371</w:t>
            </w:r>
          </w:p>
        </w:tc>
        <w:tc>
          <w:tcPr>
            <w:tcW w:w="892" w:type="dxa"/>
            <w:tcBorders>
              <w:top w:val="single" w:sz="8" w:space="0" w:color="auto"/>
              <w:left w:val="single" w:sz="8" w:space="0" w:color="auto"/>
              <w:bottom w:val="single" w:sz="8" w:space="0" w:color="auto"/>
              <w:right w:val="single" w:sz="8" w:space="0" w:color="auto"/>
            </w:tcBorders>
            <w:tcMar>
              <w:left w:w="108" w:type="dxa"/>
              <w:right w:w="108" w:type="dxa"/>
            </w:tcMar>
          </w:tcPr>
          <w:p w14:paraId="4285B050" w14:textId="353147EF" w:rsidR="0F4ABB80" w:rsidRDefault="0F4ABB80" w:rsidP="00705B23">
            <w:pPr>
              <w:pStyle w:val="TableParagraph"/>
              <w:rPr>
                <w:rFonts w:eastAsia="Arial"/>
              </w:rPr>
            </w:pPr>
            <w:r w:rsidRPr="0F4ABB80">
              <w:rPr>
                <w:rFonts w:eastAsia="Arial"/>
              </w:rPr>
              <w:t>185</w:t>
            </w:r>
          </w:p>
        </w:tc>
        <w:tc>
          <w:tcPr>
            <w:tcW w:w="1103" w:type="dxa"/>
            <w:tcBorders>
              <w:top w:val="single" w:sz="8" w:space="0" w:color="auto"/>
              <w:left w:val="single" w:sz="8" w:space="0" w:color="auto"/>
              <w:bottom w:val="single" w:sz="8" w:space="0" w:color="auto"/>
              <w:right w:val="single" w:sz="8" w:space="0" w:color="auto"/>
            </w:tcBorders>
            <w:tcMar>
              <w:left w:w="108" w:type="dxa"/>
              <w:right w:w="108" w:type="dxa"/>
            </w:tcMar>
          </w:tcPr>
          <w:p w14:paraId="2F697724" w14:textId="0058AFAE" w:rsidR="0F4ABB80" w:rsidRDefault="0F4ABB80" w:rsidP="00705B23">
            <w:pPr>
              <w:pStyle w:val="TableParagraph"/>
              <w:rPr>
                <w:rFonts w:eastAsia="Arial"/>
              </w:rPr>
            </w:pPr>
            <w:r w:rsidRPr="0F4ABB80">
              <w:rPr>
                <w:rFonts w:eastAsia="Arial"/>
              </w:rPr>
              <w:t>275</w:t>
            </w:r>
          </w:p>
        </w:tc>
        <w:tc>
          <w:tcPr>
            <w:tcW w:w="875" w:type="dxa"/>
            <w:tcBorders>
              <w:top w:val="single" w:sz="8" w:space="0" w:color="auto"/>
              <w:left w:val="single" w:sz="8" w:space="0" w:color="auto"/>
              <w:bottom w:val="single" w:sz="8" w:space="0" w:color="auto"/>
              <w:right w:val="single" w:sz="8" w:space="0" w:color="auto"/>
            </w:tcBorders>
            <w:tcMar>
              <w:left w:w="108" w:type="dxa"/>
              <w:right w:w="108" w:type="dxa"/>
            </w:tcMar>
          </w:tcPr>
          <w:p w14:paraId="656DA280" w14:textId="2F33E8CF" w:rsidR="0F4ABB80" w:rsidRDefault="0F4ABB80" w:rsidP="00705B23">
            <w:pPr>
              <w:pStyle w:val="TableParagraph"/>
              <w:rPr>
                <w:rFonts w:eastAsia="Arial"/>
              </w:rPr>
            </w:pPr>
            <w:r w:rsidRPr="0F4ABB80">
              <w:rPr>
                <w:rFonts w:eastAsia="Arial"/>
              </w:rPr>
              <w:t>0</w:t>
            </w:r>
          </w:p>
        </w:tc>
      </w:tr>
    </w:tbl>
    <w:p w14:paraId="438F216B" w14:textId="4E58B381" w:rsidR="009C5883" w:rsidRPr="0079608F" w:rsidRDefault="656AF164" w:rsidP="00705B23">
      <w:pPr>
        <w:pStyle w:val="TableNote"/>
      </w:pPr>
      <w:r w:rsidRPr="2BADDD62">
        <w:t xml:space="preserve">* Note that students who entered their undergraduate </w:t>
      </w:r>
      <w:r w:rsidR="00E70752">
        <w:t>program</w:t>
      </w:r>
      <w:r w:rsidRPr="2BADDD62">
        <w:t xml:space="preserve"> based on work/life experience, other higher education study</w:t>
      </w:r>
      <w:r w:rsidR="00DD7F3C">
        <w:t>,</w:t>
      </w:r>
      <w:r w:rsidRPr="2BADDD62">
        <w:t xml:space="preserve"> or VET qualifications were not included in this analysis. </w:t>
      </w:r>
    </w:p>
    <w:p w14:paraId="70AA6C7A" w14:textId="27A2C239" w:rsidR="009C5883" w:rsidRPr="0079608F" w:rsidRDefault="656AF164" w:rsidP="00705B23">
      <w:pPr>
        <w:pStyle w:val="TableNote"/>
      </w:pPr>
      <w:r w:rsidRPr="2BADDD62">
        <w:t xml:space="preserve">^At </w:t>
      </w:r>
      <w:proofErr w:type="spellStart"/>
      <w:r w:rsidRPr="2BADDD62">
        <w:t>UniSQ</w:t>
      </w:r>
      <w:proofErr w:type="spellEnd"/>
      <w:r w:rsidRPr="2BADDD62">
        <w:t xml:space="preserve">, there were some discrepancies in how post-secondary </w:t>
      </w:r>
      <w:r w:rsidR="00DD7F3C">
        <w:t>e</w:t>
      </w:r>
      <w:r w:rsidRPr="2BADDD62">
        <w:t>nabling students were registered at admission, with a different basis of admission (non-ATAR, or other provider) occasionally recorded. Therefore, caution is to be exercised in interpretation of these results.</w:t>
      </w:r>
    </w:p>
    <w:p w14:paraId="21D69466" w14:textId="5061C0E2" w:rsidR="009C5883" w:rsidRPr="0079608F" w:rsidRDefault="656AF164" w:rsidP="00A32591">
      <w:pPr>
        <w:rPr>
          <w:rFonts w:eastAsia="Arial"/>
        </w:rPr>
      </w:pPr>
      <w:r w:rsidRPr="0F4ABB80">
        <w:rPr>
          <w:rFonts w:eastAsia="Arial"/>
        </w:rPr>
        <w:t xml:space="preserve">Notably, due to the timing of data retrieval from university databases, this data provides a snapshot of student outcomes mid-2025. Once the cohorts for analysis were identified (stratified by pathway and then by equity status), retention and success rates were calculated according to the TCSI definitions (Australian Government, 2025e; Australian Government, 2025f). More specifically, retention from first year to second year undergraduate study was ascertained using the </w:t>
      </w:r>
      <w:r w:rsidR="00DD7F3C">
        <w:rPr>
          <w:rFonts w:eastAsia="Arial"/>
        </w:rPr>
        <w:t>n</w:t>
      </w:r>
      <w:r w:rsidRPr="0F4ABB80">
        <w:rPr>
          <w:rFonts w:eastAsia="Arial"/>
        </w:rPr>
        <w:t xml:space="preserve">ew </w:t>
      </w:r>
      <w:r w:rsidR="00DD7F3C">
        <w:rPr>
          <w:rFonts w:eastAsia="Arial"/>
        </w:rPr>
        <w:t>n</w:t>
      </w:r>
      <w:r w:rsidRPr="0F4ABB80">
        <w:rPr>
          <w:rFonts w:eastAsia="Arial"/>
        </w:rPr>
        <w:t xml:space="preserve">ormal </w:t>
      </w:r>
      <w:r w:rsidR="00DD7F3C">
        <w:rPr>
          <w:rFonts w:eastAsia="Arial"/>
        </w:rPr>
        <w:t>r</w:t>
      </w:r>
      <w:r w:rsidRPr="0F4ABB80">
        <w:rPr>
          <w:rFonts w:eastAsia="Arial"/>
        </w:rPr>
        <w:t>etention rate calculation, defined as</w:t>
      </w:r>
      <w:r w:rsidRPr="0F4ABB80">
        <w:rPr>
          <w:rFonts w:eastAsia="Arial"/>
          <w:i/>
        </w:rPr>
        <w:t xml:space="preserve"> </w:t>
      </w:r>
      <w:r w:rsidRPr="00C473BD">
        <w:rPr>
          <w:rFonts w:eastAsia="Arial"/>
          <w:iCs/>
        </w:rPr>
        <w:t>“the number of students who commenced a course in year (x) and did not complete in year (x) or year (x + 1), and continued in year (x + 1) (retained students), as a proportion of all students who commenced a course in year (x) and did not complete in year (x) or year (x + 1)”</w:t>
      </w:r>
      <w:r w:rsidRPr="0F4ABB80">
        <w:rPr>
          <w:rFonts w:eastAsia="Arial"/>
        </w:rPr>
        <w:t xml:space="preserve"> (Australian Government, 2025f). Notably, where the sample size was very low (</w:t>
      </w:r>
      <w:r w:rsidR="00360D6B">
        <w:rPr>
          <w:rFonts w:eastAsia="Arial"/>
        </w:rPr>
        <w:t xml:space="preserve">fewer than </w:t>
      </w:r>
      <w:r w:rsidRPr="0F4ABB80">
        <w:rPr>
          <w:rFonts w:eastAsia="Arial"/>
        </w:rPr>
        <w:t xml:space="preserve">10 students or </w:t>
      </w:r>
      <w:r w:rsidR="00360D6B">
        <w:rPr>
          <w:rFonts w:eastAsia="Arial"/>
        </w:rPr>
        <w:t>less than five</w:t>
      </w:r>
      <w:r w:rsidRPr="0F4ABB80">
        <w:rPr>
          <w:rFonts w:eastAsia="Arial"/>
        </w:rPr>
        <w:t xml:space="preserve"> EFTSL) data were suppressed/not reported.</w:t>
      </w:r>
      <w:r w:rsidR="00360D6B">
        <w:rPr>
          <w:rFonts w:eastAsia="Arial"/>
        </w:rPr>
        <w:t xml:space="preserve"> </w:t>
      </w:r>
    </w:p>
    <w:p w14:paraId="73530161" w14:textId="278E78B5" w:rsidR="00360D6B" w:rsidRPr="000333A2" w:rsidRDefault="67E8B917" w:rsidP="000333A2">
      <w:pPr>
        <w:pStyle w:val="Normal-Bold"/>
        <w:rPr>
          <w:rFonts w:eastAsia="Arial"/>
        </w:rPr>
      </w:pPr>
      <w:r w:rsidRPr="000333A2">
        <w:rPr>
          <w:rFonts w:eastAsia="Arial"/>
        </w:rPr>
        <w:lastRenderedPageBreak/>
        <w:t xml:space="preserve">Data </w:t>
      </w:r>
      <w:r w:rsidR="00360D6B" w:rsidRPr="000333A2">
        <w:rPr>
          <w:rFonts w:eastAsia="Arial"/>
        </w:rPr>
        <w:t>a</w:t>
      </w:r>
      <w:r w:rsidRPr="000333A2">
        <w:rPr>
          <w:rFonts w:eastAsia="Arial"/>
        </w:rPr>
        <w:t>nalysis</w:t>
      </w:r>
    </w:p>
    <w:p w14:paraId="1BD6751F" w14:textId="1FB99198" w:rsidR="09CA93A4" w:rsidRPr="0079608F" w:rsidRDefault="67E8B917" w:rsidP="00A32591">
      <w:r w:rsidRPr="29DF8B73">
        <w:rPr>
          <w:rFonts w:eastAsia="Arial"/>
        </w:rPr>
        <w:t>Descriptive</w:t>
      </w:r>
      <w:r w:rsidRPr="64E61BC6">
        <w:rPr>
          <w:rFonts w:eastAsia="Arial"/>
        </w:rPr>
        <w:t xml:space="preserve"> statistics (</w:t>
      </w:r>
      <w:r w:rsidR="00360D6B">
        <w:rPr>
          <w:rFonts w:eastAsia="Arial"/>
        </w:rPr>
        <w:t>for example,</w:t>
      </w:r>
      <w:r w:rsidRPr="64E61BC6">
        <w:rPr>
          <w:rFonts w:eastAsia="Arial"/>
        </w:rPr>
        <w:t xml:space="preserve"> counts and percentages) are reported. As data were supplied to researchers in aggregate only</w:t>
      </w:r>
      <w:r w:rsidR="00360D6B">
        <w:rPr>
          <w:rFonts w:eastAsia="Arial"/>
        </w:rPr>
        <w:t>,</w:t>
      </w:r>
      <w:r w:rsidRPr="64E61BC6">
        <w:rPr>
          <w:rFonts w:eastAsia="Arial"/>
        </w:rPr>
        <w:t xml:space="preserve"> rather than as individual data points, no statistical differences were tested between comparison groups.</w:t>
      </w:r>
    </w:p>
    <w:p w14:paraId="0DB47274" w14:textId="576D1537" w:rsidR="64E61BC6" w:rsidRPr="0079608F" w:rsidRDefault="67E8B917" w:rsidP="00A32591">
      <w:pPr>
        <w:pStyle w:val="Heading2"/>
      </w:pPr>
      <w:bookmarkStart w:id="50" w:name="_Toc217162486"/>
      <w:bookmarkStart w:id="51" w:name="_Toc232766184"/>
      <w:r>
        <w:t xml:space="preserve">Phase </w:t>
      </w:r>
      <w:r w:rsidR="00360D6B">
        <w:t>t</w:t>
      </w:r>
      <w:r>
        <w:t xml:space="preserve">hree: </w:t>
      </w:r>
      <w:r w:rsidR="2B0F9CDB">
        <w:t>S</w:t>
      </w:r>
      <w:r>
        <w:t xml:space="preserve">tudent </w:t>
      </w:r>
      <w:r w:rsidR="2B0F9CDB">
        <w:t xml:space="preserve">and </w:t>
      </w:r>
      <w:r w:rsidR="00360D6B">
        <w:t>e</w:t>
      </w:r>
      <w:r>
        <w:t>ducator perspectives</w:t>
      </w:r>
      <w:bookmarkEnd w:id="50"/>
      <w:bookmarkEnd w:id="51"/>
    </w:p>
    <w:p w14:paraId="06EFE37C" w14:textId="6F348E29" w:rsidR="009C5883" w:rsidRPr="00AD3376" w:rsidRDefault="65D57482" w:rsidP="00A32591">
      <w:r w:rsidRPr="44DD6584">
        <w:rPr>
          <w:rFonts w:eastAsia="Arial"/>
          <w:spacing w:val="-1"/>
          <w:position w:val="-1"/>
        </w:rPr>
        <w:t>P</w:t>
      </w:r>
      <w:r w:rsidRPr="44DD6584">
        <w:rPr>
          <w:rFonts w:eastAsia="Arial"/>
          <w:position w:val="-1"/>
        </w:rPr>
        <w:t>h</w:t>
      </w:r>
      <w:r w:rsidRPr="44DD6584">
        <w:rPr>
          <w:rFonts w:eastAsia="Arial"/>
          <w:spacing w:val="-1"/>
          <w:position w:val="-1"/>
        </w:rPr>
        <w:t>a</w:t>
      </w:r>
      <w:r w:rsidRPr="44DD6584">
        <w:rPr>
          <w:rFonts w:eastAsia="Arial"/>
          <w:spacing w:val="1"/>
          <w:position w:val="-1"/>
        </w:rPr>
        <w:t>s</w:t>
      </w:r>
      <w:r w:rsidRPr="44DD6584">
        <w:rPr>
          <w:rFonts w:eastAsia="Arial"/>
          <w:position w:val="-1"/>
        </w:rPr>
        <w:t>e</w:t>
      </w:r>
      <w:r w:rsidRPr="44DD6584">
        <w:rPr>
          <w:rFonts w:eastAsia="Arial"/>
          <w:spacing w:val="-6"/>
          <w:position w:val="-1"/>
        </w:rPr>
        <w:t xml:space="preserve"> </w:t>
      </w:r>
      <w:r w:rsidR="002D6F08">
        <w:rPr>
          <w:rFonts w:eastAsia="Arial"/>
          <w:spacing w:val="2"/>
          <w:position w:val="-1"/>
        </w:rPr>
        <w:t>three</w:t>
      </w:r>
      <w:r w:rsidR="73CC32BE" w:rsidRPr="44DD6584">
        <w:rPr>
          <w:rFonts w:eastAsia="Arial"/>
          <w:spacing w:val="2"/>
          <w:position w:val="-1"/>
        </w:rPr>
        <w:t xml:space="preserve"> e</w:t>
      </w:r>
      <w:r w:rsidRPr="44DD6584">
        <w:rPr>
          <w:rFonts w:eastAsia="Arial"/>
          <w:spacing w:val="1"/>
          <w:position w:val="-1"/>
        </w:rPr>
        <w:t>x</w:t>
      </w:r>
      <w:r w:rsidRPr="44DD6584">
        <w:rPr>
          <w:rFonts w:eastAsia="Arial"/>
          <w:spacing w:val="2"/>
          <w:position w:val="-1"/>
        </w:rPr>
        <w:t>p</w:t>
      </w:r>
      <w:r w:rsidRPr="44DD6584">
        <w:rPr>
          <w:rFonts w:eastAsia="Arial"/>
          <w:spacing w:val="-1"/>
          <w:position w:val="-1"/>
        </w:rPr>
        <w:t>l</w:t>
      </w:r>
      <w:r w:rsidRPr="44DD6584">
        <w:rPr>
          <w:rFonts w:eastAsia="Arial"/>
          <w:position w:val="-1"/>
        </w:rPr>
        <w:t>or</w:t>
      </w:r>
      <w:r w:rsidR="09AD40AC" w:rsidRPr="44DD6584">
        <w:rPr>
          <w:rFonts w:eastAsia="Arial"/>
          <w:position w:val="-1"/>
        </w:rPr>
        <w:t>ed</w:t>
      </w:r>
      <w:r w:rsidRPr="44DD6584">
        <w:rPr>
          <w:rFonts w:eastAsia="Arial"/>
          <w:spacing w:val="-10"/>
          <w:position w:val="-1"/>
        </w:rPr>
        <w:t xml:space="preserve"> </w:t>
      </w:r>
      <w:r w:rsidRPr="44DD6584">
        <w:rPr>
          <w:rFonts w:eastAsia="Arial"/>
          <w:position w:val="-1"/>
        </w:rPr>
        <w:t>st</w:t>
      </w:r>
      <w:r w:rsidRPr="44DD6584">
        <w:rPr>
          <w:rFonts w:eastAsia="Arial"/>
          <w:spacing w:val="2"/>
          <w:position w:val="-1"/>
        </w:rPr>
        <w:t>u</w:t>
      </w:r>
      <w:r w:rsidRPr="44DD6584">
        <w:rPr>
          <w:rFonts w:eastAsia="Arial"/>
          <w:position w:val="-1"/>
        </w:rPr>
        <w:t>d</w:t>
      </w:r>
      <w:r w:rsidRPr="44DD6584">
        <w:rPr>
          <w:rFonts w:eastAsia="Arial"/>
          <w:spacing w:val="-1"/>
          <w:position w:val="-1"/>
        </w:rPr>
        <w:t>e</w:t>
      </w:r>
      <w:r w:rsidRPr="44DD6584">
        <w:rPr>
          <w:rFonts w:eastAsia="Arial"/>
          <w:position w:val="-1"/>
        </w:rPr>
        <w:t>nt</w:t>
      </w:r>
      <w:r w:rsidR="00360D6B">
        <w:rPr>
          <w:rFonts w:eastAsia="Arial"/>
          <w:position w:val="-1"/>
        </w:rPr>
        <w:t xml:space="preserve"> and educator</w:t>
      </w:r>
      <w:r w:rsidRPr="44DD6584">
        <w:rPr>
          <w:rFonts w:eastAsia="Arial"/>
          <w:spacing w:val="-5"/>
          <w:position w:val="-1"/>
        </w:rPr>
        <w:t xml:space="preserve"> </w:t>
      </w:r>
      <w:r w:rsidRPr="44DD6584">
        <w:rPr>
          <w:rFonts w:eastAsia="Arial"/>
          <w:position w:val="-1"/>
        </w:rPr>
        <w:t>p</w:t>
      </w:r>
      <w:r w:rsidRPr="44DD6584">
        <w:rPr>
          <w:rFonts w:eastAsia="Arial"/>
          <w:spacing w:val="-1"/>
          <w:position w:val="-1"/>
        </w:rPr>
        <w:t>e</w:t>
      </w:r>
      <w:r w:rsidRPr="44DD6584">
        <w:rPr>
          <w:rFonts w:eastAsia="Arial"/>
          <w:spacing w:val="1"/>
          <w:position w:val="-1"/>
        </w:rPr>
        <w:t>rs</w:t>
      </w:r>
      <w:r w:rsidRPr="44DD6584">
        <w:rPr>
          <w:rFonts w:eastAsia="Arial"/>
          <w:position w:val="-1"/>
        </w:rPr>
        <w:t>p</w:t>
      </w:r>
      <w:r w:rsidRPr="44DD6584">
        <w:rPr>
          <w:rFonts w:eastAsia="Arial"/>
          <w:spacing w:val="-1"/>
          <w:position w:val="-1"/>
        </w:rPr>
        <w:t>e</w:t>
      </w:r>
      <w:r w:rsidRPr="44DD6584">
        <w:rPr>
          <w:rFonts w:eastAsia="Arial"/>
          <w:spacing w:val="3"/>
          <w:position w:val="-1"/>
        </w:rPr>
        <w:t>c</w:t>
      </w:r>
      <w:r w:rsidRPr="44DD6584">
        <w:rPr>
          <w:rFonts w:eastAsia="Arial"/>
          <w:position w:val="-1"/>
        </w:rPr>
        <w:t>t</w:t>
      </w:r>
      <w:r w:rsidRPr="44DD6584">
        <w:rPr>
          <w:rFonts w:eastAsia="Arial"/>
          <w:spacing w:val="-1"/>
          <w:position w:val="-1"/>
        </w:rPr>
        <w:t>i</w:t>
      </w:r>
      <w:r w:rsidRPr="44DD6584">
        <w:rPr>
          <w:rFonts w:eastAsia="Arial"/>
          <w:spacing w:val="1"/>
          <w:position w:val="-1"/>
        </w:rPr>
        <w:t>v</w:t>
      </w:r>
      <w:r w:rsidRPr="44DD6584">
        <w:rPr>
          <w:rFonts w:eastAsia="Arial"/>
          <w:position w:val="-1"/>
        </w:rPr>
        <w:t>es</w:t>
      </w:r>
      <w:r w:rsidR="0C1C2EF8" w:rsidRPr="44DD6584">
        <w:rPr>
          <w:rFonts w:eastAsia="Arial"/>
          <w:position w:val="-1"/>
        </w:rPr>
        <w:t xml:space="preserve">. </w:t>
      </w:r>
      <w:r w:rsidR="2EFE968D" w:rsidRPr="44DD6584">
        <w:rPr>
          <w:rFonts w:eastAsia="Arial"/>
          <w:position w:val="-1"/>
        </w:rPr>
        <w:t>The project aimed to collect</w:t>
      </w:r>
      <w:r w:rsidR="40E39D05" w:rsidRPr="44DD6584">
        <w:rPr>
          <w:rFonts w:eastAsia="Arial"/>
          <w:position w:val="-1"/>
        </w:rPr>
        <w:t xml:space="preserve"> interview responses from</w:t>
      </w:r>
      <w:r w:rsidR="2EFE968D" w:rsidRPr="44DD6584">
        <w:rPr>
          <w:rFonts w:eastAsia="Arial"/>
          <w:position w:val="-1"/>
        </w:rPr>
        <w:t xml:space="preserve"> a </w:t>
      </w:r>
      <w:r w:rsidRPr="0079608F">
        <w:rPr>
          <w:rFonts w:eastAsia="Arial"/>
          <w:spacing w:val="1"/>
        </w:rPr>
        <w:t>s</w:t>
      </w:r>
      <w:r w:rsidRPr="0079608F">
        <w:rPr>
          <w:rFonts w:eastAsia="Arial"/>
        </w:rPr>
        <w:t>a</w:t>
      </w:r>
      <w:r w:rsidRPr="0079608F">
        <w:rPr>
          <w:rFonts w:eastAsia="Arial"/>
          <w:spacing w:val="2"/>
        </w:rPr>
        <w:t>m</w:t>
      </w:r>
      <w:r w:rsidRPr="0079608F">
        <w:rPr>
          <w:rFonts w:eastAsia="Arial"/>
        </w:rPr>
        <w:t>p</w:t>
      </w:r>
      <w:r w:rsidRPr="0079608F">
        <w:rPr>
          <w:rFonts w:eastAsia="Arial"/>
          <w:spacing w:val="-1"/>
        </w:rPr>
        <w:t>l</w:t>
      </w:r>
      <w:r w:rsidRPr="0079608F">
        <w:rPr>
          <w:rFonts w:eastAsia="Arial"/>
        </w:rPr>
        <w:t>e</w:t>
      </w:r>
      <w:r w:rsidRPr="0079608F">
        <w:rPr>
          <w:rFonts w:eastAsia="Arial"/>
          <w:spacing w:val="-4"/>
        </w:rPr>
        <w:t xml:space="preserve"> </w:t>
      </w:r>
      <w:r w:rsidRPr="0079608F">
        <w:rPr>
          <w:rFonts w:eastAsia="Arial"/>
          <w:spacing w:val="1"/>
        </w:rPr>
        <w:t>s</w:t>
      </w:r>
      <w:r w:rsidRPr="0079608F">
        <w:rPr>
          <w:rFonts w:eastAsia="Arial"/>
          <w:spacing w:val="-1"/>
        </w:rPr>
        <w:t>i</w:t>
      </w:r>
      <w:r w:rsidRPr="0079608F">
        <w:rPr>
          <w:rFonts w:eastAsia="Arial"/>
          <w:spacing w:val="1"/>
        </w:rPr>
        <w:t>z</w:t>
      </w:r>
      <w:r w:rsidRPr="0079608F">
        <w:rPr>
          <w:rFonts w:eastAsia="Arial"/>
        </w:rPr>
        <w:t>e</w:t>
      </w:r>
      <w:r w:rsidRPr="0079608F">
        <w:rPr>
          <w:rFonts w:eastAsia="Arial"/>
          <w:spacing w:val="-4"/>
        </w:rPr>
        <w:t xml:space="preserve"> </w:t>
      </w:r>
      <w:r w:rsidRPr="0079608F">
        <w:rPr>
          <w:rFonts w:eastAsia="Arial"/>
          <w:spacing w:val="-1"/>
        </w:rPr>
        <w:t>o</w:t>
      </w:r>
      <w:r w:rsidRPr="0079608F">
        <w:rPr>
          <w:rFonts w:eastAsia="Arial"/>
        </w:rPr>
        <w:t>f 34</w:t>
      </w:r>
      <w:r w:rsidRPr="0079608F">
        <w:rPr>
          <w:rFonts w:eastAsia="Arial"/>
          <w:spacing w:val="-1"/>
        </w:rPr>
        <w:t xml:space="preserve"> </w:t>
      </w:r>
      <w:r w:rsidRPr="0079608F">
        <w:rPr>
          <w:rFonts w:eastAsia="Arial"/>
        </w:rPr>
        <w:t>e</w:t>
      </w:r>
      <w:r w:rsidRPr="0079608F">
        <w:rPr>
          <w:rFonts w:eastAsia="Arial"/>
          <w:spacing w:val="-1"/>
        </w:rPr>
        <w:t>d</w:t>
      </w:r>
      <w:r w:rsidRPr="0079608F">
        <w:rPr>
          <w:rFonts w:eastAsia="Arial"/>
        </w:rPr>
        <w:t>u</w:t>
      </w:r>
      <w:r w:rsidRPr="0079608F">
        <w:rPr>
          <w:rFonts w:eastAsia="Arial"/>
          <w:spacing w:val="1"/>
        </w:rPr>
        <w:t>c</w:t>
      </w:r>
      <w:r w:rsidRPr="0079608F">
        <w:rPr>
          <w:rFonts w:eastAsia="Arial"/>
          <w:spacing w:val="2"/>
        </w:rPr>
        <w:t>at</w:t>
      </w:r>
      <w:r w:rsidRPr="0079608F">
        <w:rPr>
          <w:rFonts w:eastAsia="Arial"/>
        </w:rPr>
        <w:t>ors</w:t>
      </w:r>
      <w:r w:rsidRPr="0079608F">
        <w:rPr>
          <w:rFonts w:eastAsia="Arial"/>
          <w:spacing w:val="-7"/>
        </w:rPr>
        <w:t xml:space="preserve"> </w:t>
      </w:r>
      <w:r w:rsidRPr="0079608F">
        <w:rPr>
          <w:rFonts w:eastAsia="Arial"/>
        </w:rPr>
        <w:t>a</w:t>
      </w:r>
      <w:r w:rsidRPr="0079608F">
        <w:rPr>
          <w:rFonts w:eastAsia="Arial"/>
          <w:spacing w:val="-1"/>
        </w:rPr>
        <w:t>n</w:t>
      </w:r>
      <w:r w:rsidRPr="0079608F">
        <w:rPr>
          <w:rFonts w:eastAsia="Arial"/>
        </w:rPr>
        <w:t>d</w:t>
      </w:r>
      <w:r w:rsidRPr="0079608F">
        <w:rPr>
          <w:rFonts w:eastAsia="Arial"/>
          <w:spacing w:val="-3"/>
        </w:rPr>
        <w:t xml:space="preserve"> </w:t>
      </w:r>
      <w:r w:rsidR="59C73A92" w:rsidRPr="0079608F">
        <w:rPr>
          <w:rFonts w:eastAsia="Arial"/>
          <w:spacing w:val="-3"/>
        </w:rPr>
        <w:t xml:space="preserve">survey </w:t>
      </w:r>
      <w:r w:rsidRPr="0079608F">
        <w:rPr>
          <w:rFonts w:eastAsia="Arial"/>
          <w:spacing w:val="1"/>
        </w:rPr>
        <w:t>1</w:t>
      </w:r>
      <w:r w:rsidRPr="0079608F">
        <w:rPr>
          <w:rFonts w:eastAsia="Arial"/>
        </w:rPr>
        <w:t>00</w:t>
      </w:r>
      <w:r w:rsidRPr="0079608F">
        <w:rPr>
          <w:rFonts w:eastAsia="Arial"/>
          <w:spacing w:val="-4"/>
        </w:rPr>
        <w:t xml:space="preserve"> </w:t>
      </w:r>
      <w:r w:rsidR="002D6F08">
        <w:rPr>
          <w:rFonts w:eastAsia="Arial"/>
          <w:spacing w:val="1"/>
        </w:rPr>
        <w:t>ISEP</w:t>
      </w:r>
      <w:r w:rsidRPr="0079608F">
        <w:rPr>
          <w:rFonts w:eastAsia="Arial"/>
          <w:spacing w:val="-7"/>
        </w:rPr>
        <w:t xml:space="preserve"> </w:t>
      </w:r>
      <w:r w:rsidRPr="0079608F">
        <w:rPr>
          <w:rFonts w:eastAsia="Arial"/>
          <w:spacing w:val="-1"/>
        </w:rPr>
        <w:t>g</w:t>
      </w:r>
      <w:r w:rsidRPr="0079608F">
        <w:rPr>
          <w:rFonts w:eastAsia="Arial"/>
          <w:spacing w:val="1"/>
        </w:rPr>
        <w:t>r</w:t>
      </w:r>
      <w:r w:rsidRPr="0079608F">
        <w:rPr>
          <w:rFonts w:eastAsia="Arial"/>
          <w:spacing w:val="2"/>
        </w:rPr>
        <w:t>a</w:t>
      </w:r>
      <w:r w:rsidRPr="0079608F">
        <w:rPr>
          <w:rFonts w:eastAsia="Arial"/>
        </w:rPr>
        <w:t>d</w:t>
      </w:r>
      <w:r w:rsidRPr="0079608F">
        <w:rPr>
          <w:rFonts w:eastAsia="Arial"/>
          <w:spacing w:val="-1"/>
        </w:rPr>
        <w:t>u</w:t>
      </w:r>
      <w:r w:rsidRPr="0079608F">
        <w:rPr>
          <w:rFonts w:eastAsia="Arial"/>
        </w:rPr>
        <w:t>a</w:t>
      </w:r>
      <w:r w:rsidRPr="0079608F">
        <w:rPr>
          <w:rFonts w:eastAsia="Arial"/>
          <w:spacing w:val="2"/>
        </w:rPr>
        <w:t>te</w:t>
      </w:r>
      <w:r w:rsidRPr="0079608F">
        <w:rPr>
          <w:rFonts w:eastAsia="Arial"/>
        </w:rPr>
        <w:t>s</w:t>
      </w:r>
      <w:r w:rsidR="005B6988">
        <w:rPr>
          <w:rFonts w:eastAsia="Arial"/>
        </w:rPr>
        <w:t xml:space="preserve">. </w:t>
      </w:r>
      <w:r w:rsidR="00360D6B">
        <w:rPr>
          <w:rFonts w:eastAsia="Arial"/>
        </w:rPr>
        <w:t xml:space="preserve">In total, </w:t>
      </w:r>
      <w:r w:rsidR="005B6988">
        <w:rPr>
          <w:rFonts w:eastAsia="Arial"/>
        </w:rPr>
        <w:t>14</w:t>
      </w:r>
      <w:r w:rsidR="00824EB4">
        <w:rPr>
          <w:rFonts w:eastAsia="Arial"/>
        </w:rPr>
        <w:t>50</w:t>
      </w:r>
      <w:r w:rsidR="001246C6">
        <w:rPr>
          <w:rFonts w:eastAsia="Arial"/>
        </w:rPr>
        <w:t xml:space="preserve"> students</w:t>
      </w:r>
      <w:r w:rsidR="00824EB4">
        <w:rPr>
          <w:rFonts w:eastAsia="Arial"/>
        </w:rPr>
        <w:t xml:space="preserve"> were invited to participate in the interviews</w:t>
      </w:r>
      <w:r w:rsidR="00B20FF0">
        <w:rPr>
          <w:rFonts w:eastAsia="Arial"/>
        </w:rPr>
        <w:t xml:space="preserve">. </w:t>
      </w:r>
    </w:p>
    <w:p w14:paraId="22954585" w14:textId="4E3EA5F7" w:rsidR="009C5883" w:rsidRPr="00C473BD" w:rsidRDefault="71636342" w:rsidP="00A32591">
      <w:pPr>
        <w:pStyle w:val="Heading3"/>
        <w:rPr>
          <w:color w:val="6B3B57"/>
        </w:rPr>
      </w:pPr>
      <w:bookmarkStart w:id="52" w:name="_Toc217162487"/>
      <w:bookmarkStart w:id="53" w:name="_Toc232766185"/>
      <w:r w:rsidRPr="00C473BD">
        <w:rPr>
          <w:color w:val="6B3B57"/>
        </w:rPr>
        <w:t xml:space="preserve">Student </w:t>
      </w:r>
      <w:r w:rsidR="00360D6B" w:rsidRPr="00C473BD">
        <w:rPr>
          <w:color w:val="6B3B57"/>
        </w:rPr>
        <w:t>s</w:t>
      </w:r>
      <w:r w:rsidRPr="00C473BD">
        <w:rPr>
          <w:color w:val="6B3B57"/>
        </w:rPr>
        <w:t>urvey</w:t>
      </w:r>
      <w:bookmarkEnd w:id="52"/>
      <w:bookmarkEnd w:id="53"/>
    </w:p>
    <w:p w14:paraId="339AB0CF" w14:textId="0D637BCD" w:rsidR="009C5883" w:rsidRPr="00AD3376" w:rsidRDefault="1D33FD29" w:rsidP="00A32591">
      <w:r w:rsidRPr="085BCC1E">
        <w:t xml:space="preserve">The survey was open to students who completed an </w:t>
      </w:r>
      <w:r w:rsidRPr="223892E2">
        <w:t>I</w:t>
      </w:r>
      <w:r w:rsidR="00A2339E" w:rsidRPr="223892E2">
        <w:t>SEP</w:t>
      </w:r>
      <w:r w:rsidRPr="085BCC1E">
        <w:t xml:space="preserve"> delivered by one of the four universities in 2021</w:t>
      </w:r>
      <w:r w:rsidR="00F47E65">
        <w:t>–</w:t>
      </w:r>
      <w:r w:rsidRPr="085BCC1E">
        <w:t>2023 (</w:t>
      </w:r>
      <w:r w:rsidRPr="00B43A6C">
        <w:rPr>
          <w:i/>
          <w:iCs/>
        </w:rPr>
        <w:t>n</w:t>
      </w:r>
      <w:r w:rsidR="00F47E65">
        <w:t xml:space="preserve"> </w:t>
      </w:r>
      <w:r w:rsidRPr="085BCC1E">
        <w:t>=</w:t>
      </w:r>
      <w:r w:rsidR="00F47E65">
        <w:t xml:space="preserve"> </w:t>
      </w:r>
      <w:r w:rsidRPr="085BCC1E">
        <w:t xml:space="preserve">1327) and had transitioned to undergraduate study. Demographic information was collected as part of the survey. Students were categorised as belonging to an equity group if they resided in a low SES postcode (according to </w:t>
      </w:r>
      <w:r w:rsidR="3D3ECDAD" w:rsidRPr="5C54DE26">
        <w:t>the</w:t>
      </w:r>
      <w:r w:rsidRPr="5C54DE26">
        <w:t xml:space="preserve"> </w:t>
      </w:r>
      <w:r w:rsidRPr="085BCC1E">
        <w:t>definition in Table 2) and/or had self-identified as either Aboriginal and/or Torres Strait Islander, first</w:t>
      </w:r>
      <w:r w:rsidR="00360D6B">
        <w:t>-</w:t>
      </w:r>
      <w:r w:rsidRPr="085BCC1E">
        <w:t>in</w:t>
      </w:r>
      <w:r w:rsidR="00360D6B">
        <w:t>-</w:t>
      </w:r>
      <w:r w:rsidRPr="085BCC1E">
        <w:t>family to attend university, having a disability or ongoing medical or mental health condition, diagnosed neurodivergence</w:t>
      </w:r>
      <w:r w:rsidR="00387FCC">
        <w:t>,</w:t>
      </w:r>
      <w:r w:rsidRPr="085BCC1E">
        <w:t xml:space="preserve"> and/or living in a remote or regional location. Descriptive statistics and inferential statistical tests were used to explore the survey respondent characteristics.</w:t>
      </w:r>
      <w:r w:rsidRPr="085BCC1E">
        <w:rPr>
          <w:rFonts w:eastAsia="Arial"/>
        </w:rPr>
        <w:t xml:space="preserve"> </w:t>
      </w:r>
    </w:p>
    <w:p w14:paraId="03CC5B03" w14:textId="77777777" w:rsidR="00BB6680" w:rsidRDefault="1D33FD29" w:rsidP="00A32591">
      <w:r w:rsidRPr="0B5CDDF1">
        <w:t xml:space="preserve">Participants were asked questions relevant to their experiences of the </w:t>
      </w:r>
      <w:r w:rsidR="00AD6999">
        <w:t>ISEP</w:t>
      </w:r>
      <w:r w:rsidRPr="0B5CDDF1">
        <w:t xml:space="preserve"> they completed. </w:t>
      </w:r>
      <w:r w:rsidR="4004AD8B" w:rsidRPr="7F7EEFB8">
        <w:t>This included questions about reasons for choosing to participate in the program, the skills developed in the program, their perception of how well the program prepared them for university studies, and their level of satisfaction with the program. Both Likert-style (quantitative) and open-ended (qualitative) questions were employed for this part of the survey.</w:t>
      </w:r>
      <w:r w:rsidR="3A34D3B2" w:rsidRPr="0A65FD58">
        <w:t xml:space="preserve"> </w:t>
      </w:r>
      <w:r w:rsidR="58A6E157" w:rsidRPr="036FEAAA">
        <w:t xml:space="preserve">Students also completed a six-item Brief Resilience Scale (BRS), the </w:t>
      </w:r>
      <w:r w:rsidR="00387FCC">
        <w:t>s</w:t>
      </w:r>
      <w:r w:rsidR="58A6E157" w:rsidRPr="036FEAAA">
        <w:t>hort version of the Warwick-Edinburgh Mental Wellbeing Scale (</w:t>
      </w:r>
      <w:r w:rsidR="00B43A6C">
        <w:t>S</w:t>
      </w:r>
      <w:r w:rsidR="58A6E157" w:rsidRPr="036FEAAA">
        <w:t>WEMW</w:t>
      </w:r>
      <w:r w:rsidR="00B43A6C">
        <w:t>B</w:t>
      </w:r>
      <w:r w:rsidR="58A6E157" w:rsidRPr="036FEAAA">
        <w:t xml:space="preserve">S), and </w:t>
      </w:r>
      <w:r w:rsidR="26F7B59E" w:rsidRPr="44A9A5BF">
        <w:t xml:space="preserve">a </w:t>
      </w:r>
      <w:r w:rsidR="00387FCC">
        <w:t>five</w:t>
      </w:r>
      <w:r w:rsidR="26F7B59E" w:rsidRPr="734A9BC8">
        <w:t>-item</w:t>
      </w:r>
      <w:r w:rsidR="26F7B59E" w:rsidRPr="3C0E3F90">
        <w:t xml:space="preserve"> adapted version of </w:t>
      </w:r>
      <w:r w:rsidR="58A6E157" w:rsidRPr="036FEAAA">
        <w:t xml:space="preserve">the Sense of Belonging Index. </w:t>
      </w:r>
      <w:r w:rsidR="4CCA1713" w:rsidRPr="04092183">
        <w:t xml:space="preserve">More information about these </w:t>
      </w:r>
      <w:r w:rsidR="4CCA1713" w:rsidRPr="4CAB89DF">
        <w:t xml:space="preserve">measures </w:t>
      </w:r>
      <w:r w:rsidR="61A5892F" w:rsidRPr="3C45DB85">
        <w:t>is</w:t>
      </w:r>
      <w:r w:rsidR="4CCA1713" w:rsidRPr="4CAB89DF">
        <w:t xml:space="preserve"> </w:t>
      </w:r>
      <w:r w:rsidR="4CCA1713" w:rsidRPr="1710AB6B">
        <w:t>provided in Appendix</w:t>
      </w:r>
      <w:r w:rsidR="00944E70">
        <w:t xml:space="preserve"> A</w:t>
      </w:r>
      <w:r w:rsidR="4CCA1713" w:rsidRPr="1710AB6B">
        <w:t>.</w:t>
      </w:r>
      <w:r w:rsidR="00944E70">
        <w:t xml:space="preserve"> </w:t>
      </w:r>
    </w:p>
    <w:p w14:paraId="79064AC5" w14:textId="6BED25B4" w:rsidR="00AD3376" w:rsidRDefault="00387FCC" w:rsidP="00A32591">
      <w:r>
        <w:t xml:space="preserve">In total, </w:t>
      </w:r>
      <w:r w:rsidR="00824EB4">
        <w:t>1450</w:t>
      </w:r>
      <w:r w:rsidR="00824EB4" w:rsidRPr="45A768B8">
        <w:rPr>
          <w:rFonts w:eastAsia="Arial"/>
        </w:rPr>
        <w:t xml:space="preserve"> past students </w:t>
      </w:r>
      <w:r w:rsidR="00824EB4">
        <w:t>were invited to participate in the survey</w:t>
      </w:r>
      <w:r>
        <w:t>;</w:t>
      </w:r>
      <w:r w:rsidR="00824EB4">
        <w:t xml:space="preserve"> </w:t>
      </w:r>
      <w:r w:rsidR="31E50CFE" w:rsidRPr="45A768B8">
        <w:rPr>
          <w:rFonts w:eastAsia="Arial"/>
        </w:rPr>
        <w:t xml:space="preserve">73 provided consent and accessed the Qualtrics survey. There were 19 empty responses that were excluded from the analysis. There were 54 valid survey responses (4% response rate), mostly encompassing students </w:t>
      </w:r>
      <w:r>
        <w:rPr>
          <w:rFonts w:eastAsia="Arial"/>
        </w:rPr>
        <w:t>who</w:t>
      </w:r>
      <w:r w:rsidR="31E50CFE" w:rsidRPr="45A768B8">
        <w:rPr>
          <w:rFonts w:eastAsia="Arial"/>
        </w:rPr>
        <w:t xml:space="preserve"> had completed their </w:t>
      </w:r>
      <w:r>
        <w:rPr>
          <w:rFonts w:eastAsia="Arial"/>
        </w:rPr>
        <w:t>e</w:t>
      </w:r>
      <w:r w:rsidR="31E50CFE" w:rsidRPr="45A768B8">
        <w:rPr>
          <w:rFonts w:eastAsia="Arial"/>
        </w:rPr>
        <w:t xml:space="preserve">nabling </w:t>
      </w:r>
      <w:r w:rsidR="00615150">
        <w:rPr>
          <w:rFonts w:eastAsia="Arial"/>
        </w:rPr>
        <w:t>p</w:t>
      </w:r>
      <w:r w:rsidR="31E50CFE" w:rsidRPr="45A768B8">
        <w:rPr>
          <w:rFonts w:eastAsia="Arial"/>
        </w:rPr>
        <w:t xml:space="preserve">rogram at a Western Australian university (82% of respondents). </w:t>
      </w:r>
      <w:r w:rsidR="31E50CFE" w:rsidRPr="45A768B8">
        <w:t xml:space="preserve">Survey participation may have been influenced by timing issues, as the release was delayed and, due to an administrative </w:t>
      </w:r>
      <w:r w:rsidR="34A29D72" w:rsidRPr="7D225D19">
        <w:t>error</w:t>
      </w:r>
      <w:r>
        <w:t>,</w:t>
      </w:r>
      <w:r w:rsidR="00E82B24">
        <w:t xml:space="preserve"> </w:t>
      </w:r>
      <w:r>
        <w:t>t</w:t>
      </w:r>
      <w:r w:rsidR="31E50CFE" w:rsidRPr="45A768B8">
        <w:t>he correct cohort subsequently received the survey during their exam period rather than the intended early-semester timeframe.</w:t>
      </w:r>
    </w:p>
    <w:p w14:paraId="6CCB31A1" w14:textId="42DA208C" w:rsidR="00AD3376" w:rsidRPr="00C473BD" w:rsidRDefault="5E8CD9F0" w:rsidP="00A32591">
      <w:pPr>
        <w:pStyle w:val="Heading3"/>
        <w:rPr>
          <w:color w:val="6B3B57"/>
        </w:rPr>
      </w:pPr>
      <w:bookmarkStart w:id="54" w:name="_Toc217162488"/>
      <w:bookmarkStart w:id="55" w:name="_Toc232766186"/>
      <w:r w:rsidRPr="00C473BD">
        <w:rPr>
          <w:color w:val="6B3B57"/>
        </w:rPr>
        <w:t xml:space="preserve">Student and </w:t>
      </w:r>
      <w:r w:rsidR="00387FCC" w:rsidRPr="00C473BD">
        <w:rPr>
          <w:color w:val="6B3B57"/>
        </w:rPr>
        <w:t>e</w:t>
      </w:r>
      <w:r w:rsidRPr="00C473BD">
        <w:rPr>
          <w:color w:val="6B3B57"/>
        </w:rPr>
        <w:t xml:space="preserve">ducator </w:t>
      </w:r>
      <w:r w:rsidR="00387FCC" w:rsidRPr="00C473BD">
        <w:rPr>
          <w:color w:val="6B3B57"/>
        </w:rPr>
        <w:t>i</w:t>
      </w:r>
      <w:r w:rsidRPr="00C473BD">
        <w:rPr>
          <w:color w:val="6B3B57"/>
        </w:rPr>
        <w:t>nterviews</w:t>
      </w:r>
      <w:bookmarkEnd w:id="54"/>
      <w:bookmarkEnd w:id="55"/>
    </w:p>
    <w:p w14:paraId="320FB898" w14:textId="0D7B7765" w:rsidR="00AD3376" w:rsidRDefault="00AD3376" w:rsidP="00A32591">
      <w:r w:rsidRPr="43E4EB62">
        <w:t>On</w:t>
      </w:r>
      <w:r w:rsidRPr="44DD6584">
        <w:t xml:space="preserve"> completion of the survey</w:t>
      </w:r>
      <w:r w:rsidR="005F2ACB">
        <w:t>,</w:t>
      </w:r>
      <w:r w:rsidRPr="44DD6584">
        <w:t xml:space="preserve"> students were invited to participate in a 30-minute interview, which formed the second qualitative data set. Interview questions focused on </w:t>
      </w:r>
      <w:r w:rsidR="005F2ACB">
        <w:t>w</w:t>
      </w:r>
      <w:r w:rsidRPr="44DD6584">
        <w:t xml:space="preserve">hy students </w:t>
      </w:r>
      <w:r w:rsidRPr="44DD6584">
        <w:lastRenderedPageBreak/>
        <w:t xml:space="preserve">decided to enrol in the </w:t>
      </w:r>
      <w:r>
        <w:t>ISEP</w:t>
      </w:r>
      <w:r w:rsidRPr="44DD6584">
        <w:t>, how much they enjoyed the program</w:t>
      </w:r>
      <w:r w:rsidR="005F2ACB">
        <w:t>,</w:t>
      </w:r>
      <w:r w:rsidRPr="44DD6584">
        <w:t xml:space="preserve"> and if the program helped to prepare them for university or life in general. Six students attended interviews, from across the universities. </w:t>
      </w:r>
    </w:p>
    <w:p w14:paraId="2A8375A1" w14:textId="6BFC4A8D" w:rsidR="00AD3376" w:rsidRDefault="00DA5DC4" w:rsidP="00A32591">
      <w:r>
        <w:t>Educator interviews were also completed to garner the experiences and reflection</w:t>
      </w:r>
      <w:r w:rsidR="005F2ACB">
        <w:t>s</w:t>
      </w:r>
      <w:r>
        <w:t xml:space="preserve"> </w:t>
      </w:r>
      <w:r w:rsidR="005F2ACB">
        <w:t>of</w:t>
      </w:r>
      <w:r>
        <w:t xml:space="preserve"> those teaching the programs. </w:t>
      </w:r>
      <w:r w:rsidR="005F2ACB">
        <w:t xml:space="preserve">In total, </w:t>
      </w:r>
      <w:r w:rsidR="34962E13">
        <w:t>116</w:t>
      </w:r>
      <w:r>
        <w:t xml:space="preserve"> educators were invited to participate</w:t>
      </w:r>
      <w:r w:rsidR="005F71CF">
        <w:t>,</w:t>
      </w:r>
      <w:r>
        <w:t xml:space="preserve"> with 14 interviewed. Participation in the interviews could have been impacted by </w:t>
      </w:r>
      <w:r w:rsidR="005F71CF">
        <w:t>p</w:t>
      </w:r>
      <w:r>
        <w:t xml:space="preserve">rincipal and </w:t>
      </w:r>
      <w:r w:rsidR="005F71CF">
        <w:t>d</w:t>
      </w:r>
      <w:r>
        <w:t xml:space="preserve">epartmental agreement. </w:t>
      </w:r>
      <w:r w:rsidRPr="07AD5326">
        <w:rPr>
          <w:rFonts w:eastAsia="Arial"/>
        </w:rPr>
        <w:t xml:space="preserve">The semi-structured interviews (O’Donoghue, 2019) with educators focused on their perceptions of programs within </w:t>
      </w:r>
      <w:r w:rsidR="005F71CF">
        <w:rPr>
          <w:rFonts w:eastAsia="Arial"/>
        </w:rPr>
        <w:t xml:space="preserve">the </w:t>
      </w:r>
      <w:r w:rsidRPr="07AD5326">
        <w:rPr>
          <w:rFonts w:eastAsia="Arial"/>
        </w:rPr>
        <w:t>senior schooling landscape, considerations and concerns, and factors that influence</w:t>
      </w:r>
      <w:r w:rsidR="005F71CF">
        <w:rPr>
          <w:rFonts w:eastAsia="Arial"/>
        </w:rPr>
        <w:t>d</w:t>
      </w:r>
      <w:r w:rsidRPr="07AD5326">
        <w:rPr>
          <w:rFonts w:eastAsia="Arial"/>
        </w:rPr>
        <w:t xml:space="preserve"> and contribute</w:t>
      </w:r>
      <w:r w:rsidR="005F71CF">
        <w:rPr>
          <w:rFonts w:eastAsia="Arial"/>
        </w:rPr>
        <w:t>d</w:t>
      </w:r>
      <w:r w:rsidRPr="07AD5326">
        <w:rPr>
          <w:rFonts w:eastAsia="Arial"/>
        </w:rPr>
        <w:t xml:space="preserve"> to student engagement. </w:t>
      </w:r>
    </w:p>
    <w:p w14:paraId="2B1C8E83" w14:textId="2D9EFB4A" w:rsidR="00AD3376" w:rsidRDefault="2FA6C704" w:rsidP="00A32591">
      <w:r w:rsidRPr="5DA2800E">
        <w:t xml:space="preserve">Interviews were conducted by project staff not associated with the high school or ISEP </w:t>
      </w:r>
      <w:r w:rsidRPr="72DF05C8">
        <w:t>of</w:t>
      </w:r>
      <w:r w:rsidRPr="5DA2800E">
        <w:t xml:space="preserve"> the interview participant</w:t>
      </w:r>
      <w:r w:rsidR="72B39D11" w:rsidRPr="72DF05C8">
        <w:t xml:space="preserve">. </w:t>
      </w:r>
      <w:r w:rsidR="00AD3376" w:rsidRPr="44DD6584">
        <w:t>While the student survey data was anonymised when collected, the interview data was cleaned and de-identified prior to analysis.</w:t>
      </w:r>
      <w:r w:rsidR="00AD3376">
        <w:t xml:space="preserve"> </w:t>
      </w:r>
    </w:p>
    <w:p w14:paraId="7B5C3EE9" w14:textId="5C7946E5" w:rsidR="7F5795DE" w:rsidRPr="00C473BD" w:rsidRDefault="7F5795DE" w:rsidP="00A32591">
      <w:pPr>
        <w:pStyle w:val="Heading3"/>
        <w:rPr>
          <w:color w:val="6B3B57"/>
        </w:rPr>
      </w:pPr>
      <w:bookmarkStart w:id="56" w:name="_Toc217162489"/>
      <w:bookmarkStart w:id="57" w:name="_Toc232766187"/>
      <w:r w:rsidRPr="00C473BD">
        <w:rPr>
          <w:color w:val="6B3B57"/>
        </w:rPr>
        <w:t>Data analysis</w:t>
      </w:r>
      <w:bookmarkEnd w:id="56"/>
      <w:bookmarkEnd w:id="57"/>
    </w:p>
    <w:p w14:paraId="1E0D9D1C" w14:textId="206CFCC2" w:rsidR="00626B25" w:rsidRPr="00BB6680" w:rsidRDefault="38A032BD" w:rsidP="00BB6680">
      <w:pPr>
        <w:pStyle w:val="Normal-Bold"/>
      </w:pPr>
      <w:bookmarkStart w:id="58" w:name="_Toc217162490"/>
      <w:r w:rsidRPr="00BB6680">
        <w:t xml:space="preserve">Quantitative </w:t>
      </w:r>
      <w:r w:rsidR="62E554C3" w:rsidRPr="00BB6680">
        <w:t>d</w:t>
      </w:r>
      <w:r w:rsidRPr="00BB6680">
        <w:t>ata analysis</w:t>
      </w:r>
      <w:bookmarkEnd w:id="58"/>
    </w:p>
    <w:p w14:paraId="4623EF96" w14:textId="5129EA30" w:rsidR="00AD3376" w:rsidRPr="0079608F" w:rsidRDefault="38A032BD" w:rsidP="00A32591">
      <w:r w:rsidRPr="34EC1A63">
        <w:t>Likert</w:t>
      </w:r>
      <w:r w:rsidR="00B24E08">
        <w:t>-</w:t>
      </w:r>
      <w:r w:rsidRPr="6F77AE81">
        <w:t xml:space="preserve">style </w:t>
      </w:r>
      <w:r w:rsidRPr="71B3D868">
        <w:t xml:space="preserve">survey </w:t>
      </w:r>
      <w:r w:rsidR="56397846" w:rsidRPr="2FED2BB5">
        <w:t xml:space="preserve">responses are </w:t>
      </w:r>
      <w:r w:rsidR="56397846" w:rsidRPr="0D8A2BF4">
        <w:t xml:space="preserve">expressed </w:t>
      </w:r>
      <w:r w:rsidR="56397846" w:rsidRPr="6C3F4811">
        <w:t xml:space="preserve">using </w:t>
      </w:r>
      <w:r w:rsidR="56397846" w:rsidRPr="11B73640">
        <w:t xml:space="preserve">descriptive </w:t>
      </w:r>
      <w:r w:rsidR="56397846" w:rsidRPr="5F4E0E35">
        <w:t>statistics</w:t>
      </w:r>
      <w:r w:rsidR="00B24E08">
        <w:t>,</w:t>
      </w:r>
      <w:r w:rsidR="56397846" w:rsidRPr="5F4E0E35">
        <w:t xml:space="preserve"> </w:t>
      </w:r>
      <w:r w:rsidR="00B24E08">
        <w:t>that is,</w:t>
      </w:r>
      <w:r w:rsidR="25472F75" w:rsidRPr="25C460C2">
        <w:t xml:space="preserve"> </w:t>
      </w:r>
      <w:r w:rsidR="0D4A0A1C" w:rsidRPr="25C460C2">
        <w:t>means</w:t>
      </w:r>
      <w:r w:rsidR="0D4A0A1C" w:rsidRPr="1D84F3A3">
        <w:t xml:space="preserve">, </w:t>
      </w:r>
      <w:r w:rsidR="0D4A0A1C" w:rsidRPr="72B8A2E2">
        <w:t xml:space="preserve">standard </w:t>
      </w:r>
      <w:r w:rsidR="0D4A0A1C" w:rsidRPr="7BE18B41">
        <w:t>deviations (</w:t>
      </w:r>
      <w:r w:rsidR="0D4A0A1C" w:rsidRPr="5D8199D9">
        <w:t>SD</w:t>
      </w:r>
      <w:r w:rsidR="0D4A0A1C" w:rsidRPr="2F339C16">
        <w:t>)</w:t>
      </w:r>
      <w:r w:rsidR="00B24E08">
        <w:t>,</w:t>
      </w:r>
      <w:r w:rsidR="0D4A0A1C" w:rsidRPr="2F339C16">
        <w:t xml:space="preserve"> and</w:t>
      </w:r>
      <w:r w:rsidR="0B777963" w:rsidRPr="11A8179F">
        <w:t>/or</w:t>
      </w:r>
      <w:r w:rsidR="0D4A0A1C" w:rsidRPr="2F339C16">
        <w:t xml:space="preserve"> </w:t>
      </w:r>
      <w:r w:rsidR="0D4A0A1C" w:rsidRPr="1961BF8A">
        <w:t>proportions</w:t>
      </w:r>
      <w:r w:rsidR="3ED9D784" w:rsidRPr="604A3A9A">
        <w:t>.</w:t>
      </w:r>
      <w:r w:rsidRPr="33156259">
        <w:t xml:space="preserve"> </w:t>
      </w:r>
      <w:r w:rsidRPr="6F6A3D5E">
        <w:t>As</w:t>
      </w:r>
      <w:r w:rsidRPr="5BA2AD3C">
        <w:t xml:space="preserve"> variables</w:t>
      </w:r>
      <w:r w:rsidRPr="1BF67CE6">
        <w:t xml:space="preserve"> were normally distributed, parametric tests were used. Independent samples t-tests were conducted to assess differences between students from equity and non-equity groups. The level of significance was set at p≤0.05. Statistical analyses were performed using IBM SPSS Statistics version 30. Qualitative data collected from the open-ended survey fields were thematically analysed, as described below.</w:t>
      </w:r>
    </w:p>
    <w:p w14:paraId="2A83F646" w14:textId="1FD1A5EE" w:rsidR="00626B25" w:rsidRPr="00C473BD" w:rsidRDefault="76B29A24" w:rsidP="00BB6680">
      <w:pPr>
        <w:pStyle w:val="Normal-Bold"/>
      </w:pPr>
      <w:bookmarkStart w:id="59" w:name="_Toc217162491"/>
      <w:r w:rsidRPr="00C473BD">
        <w:t xml:space="preserve">Qualitative </w:t>
      </w:r>
      <w:r w:rsidR="496563D4" w:rsidRPr="00C473BD">
        <w:t>d</w:t>
      </w:r>
      <w:r w:rsidRPr="00C473BD">
        <w:t>ata analysis</w:t>
      </w:r>
      <w:bookmarkEnd w:id="59"/>
    </w:p>
    <w:p w14:paraId="11D9E397" w14:textId="77777777" w:rsidR="00BB6680" w:rsidRDefault="00752C64" w:rsidP="00A32591">
      <w:r w:rsidRPr="0079608F">
        <w:t xml:space="preserve">Each set of qualitative data was thematically analysed </w:t>
      </w:r>
      <w:r w:rsidR="00B803B4" w:rsidRPr="0079608F">
        <w:t>as a unique data set</w:t>
      </w:r>
      <w:r w:rsidR="009F0AC9" w:rsidRPr="0079608F">
        <w:t xml:space="preserve"> by three different research </w:t>
      </w:r>
      <w:r w:rsidR="12587F54" w:rsidRPr="44DD6584">
        <w:t>teams</w:t>
      </w:r>
      <w:r w:rsidR="00E74CE9" w:rsidRPr="0079608F">
        <w:t xml:space="preserve"> within the project</w:t>
      </w:r>
      <w:r w:rsidRPr="0079608F">
        <w:t xml:space="preserve"> to </w:t>
      </w:r>
      <w:r w:rsidR="6F8898D3" w:rsidRPr="44DD6584">
        <w:t xml:space="preserve">minimise bias </w:t>
      </w:r>
      <w:r w:rsidR="6F8898D3" w:rsidRPr="02397560">
        <w:t>an</w:t>
      </w:r>
      <w:r w:rsidR="0BDDB34E" w:rsidRPr="02397560">
        <w:t>d</w:t>
      </w:r>
      <w:r w:rsidR="6F8898D3" w:rsidRPr="44DD6584">
        <w:t xml:space="preserve"> subjectivity across the analyses</w:t>
      </w:r>
      <w:r w:rsidR="393F3DC1" w:rsidRPr="44DD6584">
        <w:t xml:space="preserve">. </w:t>
      </w:r>
      <w:r w:rsidR="286CB0AD" w:rsidRPr="44DD6584">
        <w:t>Similarly, ke</w:t>
      </w:r>
      <w:r w:rsidR="70E69677" w:rsidRPr="44DD6584">
        <w:t xml:space="preserve">eping </w:t>
      </w:r>
      <w:r w:rsidR="3D5B2BB6" w:rsidRPr="44DD6584">
        <w:t>the analysis</w:t>
      </w:r>
      <w:r w:rsidR="70E69677" w:rsidRPr="44DD6584">
        <w:t xml:space="preserve"> separate</w:t>
      </w:r>
      <w:r w:rsidR="393F3DC1" w:rsidRPr="44DD6584">
        <w:t xml:space="preserve"> </w:t>
      </w:r>
      <w:r w:rsidR="0884CF4E" w:rsidRPr="44DD6584">
        <w:t>in the first instance</w:t>
      </w:r>
      <w:r w:rsidR="393F3DC1" w:rsidRPr="44DD6584">
        <w:t xml:space="preserve"> ensure</w:t>
      </w:r>
      <w:r w:rsidR="62AF0546" w:rsidRPr="44DD6584">
        <w:t>d</w:t>
      </w:r>
      <w:r w:rsidRPr="0079608F">
        <w:t xml:space="preserve"> the voice </w:t>
      </w:r>
      <w:r w:rsidR="761EA269" w:rsidRPr="44DD6584">
        <w:t>and experience</w:t>
      </w:r>
      <w:r w:rsidR="393F3DC1" w:rsidRPr="44DD6584">
        <w:t xml:space="preserve"> </w:t>
      </w:r>
      <w:r w:rsidRPr="0079608F">
        <w:t xml:space="preserve">of each participant </w:t>
      </w:r>
      <w:r w:rsidR="00EF0153" w:rsidRPr="0079608F">
        <w:t>within the set was</w:t>
      </w:r>
      <w:r w:rsidRPr="0079608F">
        <w:t xml:space="preserve"> captured</w:t>
      </w:r>
      <w:r w:rsidR="00EF0153" w:rsidRPr="0079608F">
        <w:t xml:space="preserve"> and analysed</w:t>
      </w:r>
      <w:r w:rsidR="393F3DC1" w:rsidRPr="44DD6584">
        <w:t xml:space="preserve">. </w:t>
      </w:r>
    </w:p>
    <w:p w14:paraId="73E3241B" w14:textId="77777777" w:rsidR="00BB6680" w:rsidRDefault="094E77A8" w:rsidP="00A32591">
      <w:r w:rsidRPr="44DD6584">
        <w:t xml:space="preserve">Subsequent analysis </w:t>
      </w:r>
      <w:r w:rsidR="4AAE7B98" w:rsidRPr="73D551A9">
        <w:t>included</w:t>
      </w:r>
      <w:r w:rsidR="4AAE7B98" w:rsidRPr="7CD18572">
        <w:t xml:space="preserve"> the</w:t>
      </w:r>
      <w:r w:rsidRPr="44DD6584">
        <w:t xml:space="preserve"> </w:t>
      </w:r>
      <w:r w:rsidR="60E02E8D" w:rsidRPr="4A880ABC">
        <w:t>combination of all three data sets</w:t>
      </w:r>
      <w:r w:rsidR="27603C83" w:rsidRPr="5819CE29">
        <w:t>.</w:t>
      </w:r>
      <w:r w:rsidR="00752C64" w:rsidRPr="0079608F">
        <w:t xml:space="preserve"> </w:t>
      </w:r>
      <w:r w:rsidR="00604FA9" w:rsidRPr="0079608F">
        <w:t>Analysis of the qualitative responses was conducted using Braun and Clarke’s reflective thematic analysis (2006). This approach enabled the researchers to capture the student’s</w:t>
      </w:r>
      <w:r w:rsidR="00604FA9" w:rsidRPr="284B84B9">
        <w:t xml:space="preserve"> </w:t>
      </w:r>
      <w:r w:rsidR="4A621ECE" w:rsidRPr="284B84B9">
        <w:t>and educator’s</w:t>
      </w:r>
      <w:r w:rsidR="00604FA9" w:rsidRPr="0079608F">
        <w:t xml:space="preserve"> subjective experience and identify and analyse the meaning of patterns and themes in the data</w:t>
      </w:r>
      <w:r w:rsidR="0092478F">
        <w:t xml:space="preserve"> </w:t>
      </w:r>
      <w:r w:rsidR="00604FA9" w:rsidRPr="0079608F">
        <w:t>set. The first step was for each researcher to generate initial codes, reading each response for recurrent words and phrases. This allowed for a degree of familiarisation with the responses and an inductive, data</w:t>
      </w:r>
      <w:r w:rsidR="0092478F">
        <w:t>-</w:t>
      </w:r>
      <w:r w:rsidR="00604FA9" w:rsidRPr="0079608F">
        <w:t>driven process that captured the content of the data. The data was coded using an open coded approach and a structured codebook was then created from which core commonality and themes became more apparent. The researchers then, through recursive, iterative</w:t>
      </w:r>
      <w:r w:rsidR="00F642D3">
        <w:t>,</w:t>
      </w:r>
      <w:r w:rsidR="00604FA9" w:rsidRPr="0079608F">
        <w:t xml:space="preserve"> and collaborative discussions</w:t>
      </w:r>
      <w:r w:rsidR="00F642D3">
        <w:t>,</w:t>
      </w:r>
      <w:r w:rsidR="00604FA9" w:rsidRPr="0079608F">
        <w:t xml:space="preserve"> compared each codebook, examining the similarities</w:t>
      </w:r>
      <w:r w:rsidR="00F642D3">
        <w:t xml:space="preserve"> and</w:t>
      </w:r>
      <w:r w:rsidR="00604FA9" w:rsidRPr="0079608F">
        <w:t xml:space="preserve"> reoccurrences</w:t>
      </w:r>
      <w:r w:rsidR="00F642D3">
        <w:t>,</w:t>
      </w:r>
      <w:r w:rsidR="00604FA9" w:rsidRPr="0079608F">
        <w:t xml:space="preserve"> but also statements that conveyed conviction and personal stories. Effective reflective thematic analysis holds both ontological and epistemological considerations (Byrne, 2021)</w:t>
      </w:r>
      <w:r w:rsidR="00F642D3">
        <w:t>;</w:t>
      </w:r>
      <w:r w:rsidR="00604FA9" w:rsidRPr="0079608F">
        <w:t xml:space="preserve"> while some data presented clearly expressed an obvious semantic meaning, other data provided more hidden, latent content</w:t>
      </w:r>
      <w:r w:rsidR="00BB4852">
        <w:t>.</w:t>
      </w:r>
      <w:r w:rsidR="00604FA9" w:rsidRPr="0079608F">
        <w:t xml:space="preserve"> </w:t>
      </w:r>
      <w:r w:rsidR="00BB4852">
        <w:t>F</w:t>
      </w:r>
      <w:r w:rsidR="00604FA9" w:rsidRPr="0079608F">
        <w:t xml:space="preserve">or example, some comments referred to wider social contexts that indicated the student </w:t>
      </w:r>
      <w:r w:rsidR="00604FA9" w:rsidRPr="0079608F">
        <w:lastRenderedPageBreak/>
        <w:t>experience had a ripple effect in their community</w:t>
      </w:r>
      <w:r w:rsidR="00BB4852">
        <w:t>;</w:t>
      </w:r>
      <w:r w:rsidR="00604FA9" w:rsidRPr="0079608F">
        <w:t xml:space="preserve"> these comments were therefore highlighted by the researchers as well. </w:t>
      </w:r>
    </w:p>
    <w:p w14:paraId="223B4CD5" w14:textId="77777777" w:rsidR="00BB6680" w:rsidRDefault="00604FA9" w:rsidP="00A32591">
      <w:r w:rsidRPr="0079608F">
        <w:t>Further analysis and negotiation between researchers conducting coding and a third researcher outside of the initial coding enabled the codes to be rigorously thought through and collapsed into themes and sub</w:t>
      </w:r>
      <w:r w:rsidR="00BB4852">
        <w:t>-</w:t>
      </w:r>
      <w:proofErr w:type="gramStart"/>
      <w:r w:rsidRPr="0079608F">
        <w:t>themes</w:t>
      </w:r>
      <w:r w:rsidR="00BB4852">
        <w:t>,</w:t>
      </w:r>
      <w:r w:rsidRPr="0079608F">
        <w:t xml:space="preserve"> and</w:t>
      </w:r>
      <w:proofErr w:type="gramEnd"/>
      <w:r w:rsidRPr="0079608F">
        <w:t xml:space="preserve"> ordered for a “cogent narrative” (Byrne, 2021, p.1403) for each data set.</w:t>
      </w:r>
      <w:r w:rsidR="00A9034A">
        <w:t xml:space="preserve"> </w:t>
      </w:r>
      <w:r w:rsidR="00752C64" w:rsidRPr="0079608F">
        <w:t xml:space="preserve">The themes from all data sets were synthesised into superordinate themes in a final </w:t>
      </w:r>
      <w:proofErr w:type="gramStart"/>
      <w:r w:rsidR="00752C64" w:rsidRPr="0079608F">
        <w:t>findings</w:t>
      </w:r>
      <w:proofErr w:type="gramEnd"/>
      <w:r w:rsidR="00752C64" w:rsidRPr="0079608F">
        <w:t xml:space="preserve"> discussion</w:t>
      </w:r>
      <w:r w:rsidR="00A26E02">
        <w:t xml:space="preserve">, highlighting </w:t>
      </w:r>
      <w:r w:rsidR="00752C64" w:rsidRPr="0079608F">
        <w:t xml:space="preserve">overlaps between survey and interviews. </w:t>
      </w:r>
    </w:p>
    <w:p w14:paraId="31FE7537" w14:textId="4EA56C57" w:rsidR="000F2E33" w:rsidRPr="00787A04" w:rsidRDefault="00EB7BD4" w:rsidP="00A32591">
      <w:r w:rsidRPr="3440C2A2">
        <w:rPr>
          <w:rFonts w:eastAsia="Arial"/>
        </w:rPr>
        <w:t>Final analysis of the quantitative</w:t>
      </w:r>
      <w:r w:rsidR="000F2E33" w:rsidRPr="3440C2A2">
        <w:rPr>
          <w:rFonts w:eastAsia="Arial"/>
        </w:rPr>
        <w:t xml:space="preserve"> </w:t>
      </w:r>
      <w:r w:rsidR="000F2E33" w:rsidRPr="0079608F">
        <w:rPr>
          <w:rFonts w:eastAsia="Arial"/>
        </w:rPr>
        <w:t>a</w:t>
      </w:r>
      <w:r w:rsidR="000F2E33" w:rsidRPr="3440C2A2">
        <w:rPr>
          <w:rFonts w:eastAsia="Arial"/>
        </w:rPr>
        <w:t>n</w:t>
      </w:r>
      <w:r w:rsidR="000F2E33" w:rsidRPr="0079608F">
        <w:rPr>
          <w:rFonts w:eastAsia="Arial"/>
        </w:rPr>
        <w:t>d</w:t>
      </w:r>
      <w:r w:rsidR="000F2E33" w:rsidRPr="3440C2A2">
        <w:rPr>
          <w:rFonts w:eastAsia="Arial"/>
        </w:rPr>
        <w:t xml:space="preserve"> t</w:t>
      </w:r>
      <w:r w:rsidR="000F2E33" w:rsidRPr="0079608F">
        <w:rPr>
          <w:rFonts w:eastAsia="Arial"/>
        </w:rPr>
        <w:t>h</w:t>
      </w:r>
      <w:r w:rsidR="000F2E33" w:rsidRPr="3440C2A2">
        <w:rPr>
          <w:rFonts w:eastAsia="Arial"/>
        </w:rPr>
        <w:t>e</w:t>
      </w:r>
      <w:r w:rsidR="000F2E33" w:rsidRPr="0079608F">
        <w:rPr>
          <w:rFonts w:eastAsia="Arial"/>
        </w:rPr>
        <w:t>m</w:t>
      </w:r>
      <w:r w:rsidR="000F2E33" w:rsidRPr="3440C2A2">
        <w:rPr>
          <w:rFonts w:eastAsia="Arial"/>
        </w:rPr>
        <w:t>a</w:t>
      </w:r>
      <w:r w:rsidR="000F2E33" w:rsidRPr="0079608F">
        <w:rPr>
          <w:rFonts w:eastAsia="Arial"/>
        </w:rPr>
        <w:t>t</w:t>
      </w:r>
      <w:r w:rsidR="000F2E33" w:rsidRPr="3440C2A2">
        <w:rPr>
          <w:rFonts w:eastAsia="Arial"/>
        </w:rPr>
        <w:t>i</w:t>
      </w:r>
      <w:r w:rsidR="000F2E33" w:rsidRPr="0079608F">
        <w:rPr>
          <w:rFonts w:eastAsia="Arial"/>
        </w:rPr>
        <w:t>c</w:t>
      </w:r>
      <w:r w:rsidRPr="3440C2A2">
        <w:rPr>
          <w:rFonts w:eastAsia="Arial"/>
        </w:rPr>
        <w:t xml:space="preserve"> f</w:t>
      </w:r>
      <w:r w:rsidR="00A9034A" w:rsidRPr="3440C2A2">
        <w:rPr>
          <w:rFonts w:eastAsia="Arial"/>
        </w:rPr>
        <w:t>indings</w:t>
      </w:r>
      <w:r w:rsidR="002B3A4F" w:rsidRPr="3440C2A2">
        <w:rPr>
          <w:rFonts w:eastAsia="Arial"/>
        </w:rPr>
        <w:t xml:space="preserve"> regarding academic and socio-emotional efficacy, </w:t>
      </w:r>
      <w:r w:rsidR="002A7F81" w:rsidRPr="3440C2A2">
        <w:rPr>
          <w:rFonts w:eastAsia="Arial"/>
        </w:rPr>
        <w:t>as</w:t>
      </w:r>
      <w:r w:rsidR="002B3A4F" w:rsidRPr="3440C2A2">
        <w:rPr>
          <w:rFonts w:eastAsia="Arial"/>
        </w:rPr>
        <w:t xml:space="preserve"> attributes of success</w:t>
      </w:r>
      <w:r w:rsidR="00BB4852">
        <w:rPr>
          <w:rFonts w:eastAsia="Arial"/>
        </w:rPr>
        <w:t>,</w:t>
      </w:r>
      <w:r w:rsidR="00A9034A">
        <w:rPr>
          <w:rFonts w:eastAsia="Arial"/>
        </w:rPr>
        <w:t xml:space="preserve"> were coalesced in </w:t>
      </w:r>
      <w:r w:rsidR="00BB4852">
        <w:rPr>
          <w:rFonts w:eastAsia="Arial"/>
        </w:rPr>
        <w:t>p</w:t>
      </w:r>
      <w:r w:rsidR="00A9034A">
        <w:rPr>
          <w:rFonts w:eastAsia="Arial"/>
        </w:rPr>
        <w:t xml:space="preserve">hase four </w:t>
      </w:r>
      <w:r w:rsidR="00C77E17" w:rsidRPr="3440C2A2">
        <w:rPr>
          <w:rFonts w:eastAsia="Arial"/>
        </w:rPr>
        <w:t xml:space="preserve">and are </w:t>
      </w:r>
      <w:r w:rsidR="002B3A4F" w:rsidRPr="3440C2A2">
        <w:rPr>
          <w:rFonts w:eastAsia="Arial"/>
        </w:rPr>
        <w:t>outlined below</w:t>
      </w:r>
      <w:r w:rsidR="000F2E33" w:rsidRPr="411B9F9A">
        <w:rPr>
          <w:rFonts w:eastAsia="Arial"/>
        </w:rPr>
        <w:t>.</w:t>
      </w:r>
      <w:r w:rsidR="732F3E21" w:rsidRPr="411B9F9A">
        <w:rPr>
          <w:rFonts w:eastAsia="Arial"/>
        </w:rPr>
        <w:t xml:space="preserve"> </w:t>
      </w:r>
      <w:r w:rsidR="1F63280C" w:rsidRPr="2E784E4A">
        <w:rPr>
          <w:rFonts w:eastAsia="Arial"/>
        </w:rPr>
        <w:t>Additionally, t</w:t>
      </w:r>
      <w:r w:rsidR="732F3E21" w:rsidRPr="2E784E4A">
        <w:rPr>
          <w:rFonts w:eastAsia="Arial"/>
        </w:rPr>
        <w:t>hese</w:t>
      </w:r>
      <w:r w:rsidR="732F3E21" w:rsidRPr="411B9F9A">
        <w:rPr>
          <w:rFonts w:eastAsia="Arial"/>
        </w:rPr>
        <w:t xml:space="preserve"> findings</w:t>
      </w:r>
      <w:r w:rsidR="732F3E21" w:rsidRPr="61F52DE4">
        <w:rPr>
          <w:rFonts w:eastAsia="Arial"/>
        </w:rPr>
        <w:t xml:space="preserve"> informed the creation of an </w:t>
      </w:r>
      <w:r w:rsidR="00C46FA2">
        <w:rPr>
          <w:rFonts w:eastAsia="Arial"/>
        </w:rPr>
        <w:t>i</w:t>
      </w:r>
      <w:r w:rsidR="3440206E" w:rsidRPr="61F52DE4">
        <w:rPr>
          <w:rFonts w:eastAsia="Arial"/>
        </w:rPr>
        <w:t>mplementation</w:t>
      </w:r>
      <w:r w:rsidR="732F3E21" w:rsidRPr="61F52DE4">
        <w:rPr>
          <w:rFonts w:eastAsia="Arial"/>
        </w:rPr>
        <w:t xml:space="preserve"> </w:t>
      </w:r>
      <w:r w:rsidR="00C46FA2">
        <w:rPr>
          <w:rFonts w:eastAsia="Arial"/>
        </w:rPr>
        <w:t>g</w:t>
      </w:r>
      <w:r w:rsidR="732F3E21" w:rsidRPr="61F52DE4">
        <w:rPr>
          <w:rFonts w:eastAsia="Arial"/>
        </w:rPr>
        <w:t>uide</w:t>
      </w:r>
      <w:r w:rsidR="0025519D">
        <w:t xml:space="preserve"> </w:t>
      </w:r>
      <w:r w:rsidR="732F3E21" w:rsidRPr="61F52DE4">
        <w:rPr>
          <w:rFonts w:eastAsia="Arial"/>
        </w:rPr>
        <w:t xml:space="preserve">for high schools and </w:t>
      </w:r>
      <w:r w:rsidR="1098CA0C" w:rsidRPr="61F52DE4">
        <w:rPr>
          <w:rFonts w:eastAsia="Arial"/>
        </w:rPr>
        <w:t>universities</w:t>
      </w:r>
      <w:r w:rsidR="00BB6680">
        <w:rPr>
          <w:rFonts w:eastAsia="Arial"/>
        </w:rPr>
        <w:t xml:space="preserve"> </w:t>
      </w:r>
      <w:r w:rsidR="00BB6680">
        <w:t>(Jones et al., 2026a)</w:t>
      </w:r>
      <w:r w:rsidR="1E147267" w:rsidRPr="2E784E4A">
        <w:rPr>
          <w:rFonts w:eastAsia="Arial"/>
        </w:rPr>
        <w:t xml:space="preserve">. </w:t>
      </w:r>
      <w:r w:rsidR="2A931B7D" w:rsidRPr="2E784E4A">
        <w:rPr>
          <w:rFonts w:eastAsia="Arial"/>
        </w:rPr>
        <w:t>Consultation</w:t>
      </w:r>
      <w:r w:rsidR="732F3E21" w:rsidRPr="411B9F9A">
        <w:rPr>
          <w:rFonts w:eastAsia="Arial"/>
        </w:rPr>
        <w:t xml:space="preserve"> was undertaken with </w:t>
      </w:r>
      <w:r w:rsidR="394D2F60" w:rsidRPr="2E784E4A">
        <w:rPr>
          <w:rFonts w:eastAsia="Arial"/>
        </w:rPr>
        <w:t xml:space="preserve">partnership </w:t>
      </w:r>
      <w:r w:rsidR="732F3E21" w:rsidRPr="411B9F9A">
        <w:rPr>
          <w:rFonts w:eastAsia="Arial"/>
        </w:rPr>
        <w:t xml:space="preserve">school principals during </w:t>
      </w:r>
      <w:r w:rsidR="6E534370" w:rsidRPr="2E784E4A">
        <w:rPr>
          <w:rFonts w:eastAsia="Arial"/>
        </w:rPr>
        <w:t xml:space="preserve">this </w:t>
      </w:r>
      <w:r w:rsidR="4F41BB7E" w:rsidRPr="2E784E4A">
        <w:rPr>
          <w:rFonts w:eastAsia="Arial"/>
        </w:rPr>
        <w:t xml:space="preserve">final </w:t>
      </w:r>
      <w:r w:rsidR="6E534370" w:rsidRPr="2E784E4A">
        <w:rPr>
          <w:rFonts w:eastAsia="Arial"/>
        </w:rPr>
        <w:t xml:space="preserve">process to ensure </w:t>
      </w:r>
      <w:r w:rsidR="5EA7A3DD" w:rsidRPr="2E784E4A">
        <w:rPr>
          <w:rFonts w:eastAsia="Arial"/>
        </w:rPr>
        <w:t xml:space="preserve">the </w:t>
      </w:r>
      <w:r w:rsidR="00C46FA2">
        <w:rPr>
          <w:rFonts w:eastAsia="Arial"/>
        </w:rPr>
        <w:t>i</w:t>
      </w:r>
      <w:r w:rsidR="5EA7A3DD" w:rsidRPr="2E784E4A">
        <w:rPr>
          <w:rFonts w:eastAsia="Arial"/>
        </w:rPr>
        <w:t xml:space="preserve">mplementation </w:t>
      </w:r>
      <w:r w:rsidR="00C46FA2">
        <w:rPr>
          <w:rFonts w:eastAsia="Arial"/>
        </w:rPr>
        <w:t>g</w:t>
      </w:r>
      <w:r w:rsidR="5EA7A3DD" w:rsidRPr="2E784E4A">
        <w:rPr>
          <w:rFonts w:eastAsia="Arial"/>
        </w:rPr>
        <w:t xml:space="preserve">uide </w:t>
      </w:r>
      <w:r w:rsidR="2D3E2B48" w:rsidRPr="2E784E4A">
        <w:rPr>
          <w:rFonts w:eastAsia="Arial"/>
        </w:rPr>
        <w:t xml:space="preserve">was a useable tool </w:t>
      </w:r>
      <w:r w:rsidR="533FC8BE" w:rsidRPr="5CDCCFDF">
        <w:rPr>
          <w:rFonts w:eastAsia="Arial"/>
        </w:rPr>
        <w:t xml:space="preserve">that could </w:t>
      </w:r>
      <w:r w:rsidR="7B5DA701" w:rsidRPr="5CDCCFDF">
        <w:rPr>
          <w:rFonts w:eastAsia="Arial"/>
        </w:rPr>
        <w:t xml:space="preserve">offer key insights and steps for </w:t>
      </w:r>
      <w:r w:rsidR="533FC8BE" w:rsidRPr="5CDCCFDF">
        <w:rPr>
          <w:rFonts w:eastAsia="Arial"/>
        </w:rPr>
        <w:t>high schools considering implemen</w:t>
      </w:r>
      <w:r w:rsidR="5CCC7CF7" w:rsidRPr="5CDCCFDF">
        <w:rPr>
          <w:rFonts w:eastAsia="Arial"/>
        </w:rPr>
        <w:t xml:space="preserve">ting </w:t>
      </w:r>
      <w:r w:rsidR="00D000C7">
        <w:rPr>
          <w:rFonts w:eastAsia="Arial"/>
        </w:rPr>
        <w:t xml:space="preserve">an </w:t>
      </w:r>
      <w:r w:rsidR="533FC8BE" w:rsidRPr="5CDCCFDF">
        <w:rPr>
          <w:rFonts w:eastAsia="Arial"/>
        </w:rPr>
        <w:t xml:space="preserve">ISEP, and guide universities on </w:t>
      </w:r>
      <w:r w:rsidR="20B8EC86" w:rsidRPr="148E775A">
        <w:rPr>
          <w:rFonts w:eastAsia="Arial"/>
        </w:rPr>
        <w:t>how to design an ISEP and create a strong partnership model.</w:t>
      </w:r>
    </w:p>
    <w:p w14:paraId="539C125B" w14:textId="77777777" w:rsidR="000F2E33" w:rsidRPr="0079608F" w:rsidRDefault="000F2E33" w:rsidP="00A32591"/>
    <w:p w14:paraId="7F539368" w14:textId="0DEE490C" w:rsidR="0F1DE2BC" w:rsidRDefault="0F1DE2BC" w:rsidP="00A32591">
      <w:r>
        <w:br w:type="page"/>
      </w:r>
    </w:p>
    <w:p w14:paraId="3D9AC38C" w14:textId="1963B805" w:rsidR="009D6D47" w:rsidRPr="00A462D0" w:rsidRDefault="009D6D47" w:rsidP="00A32591">
      <w:pPr>
        <w:pStyle w:val="Heading1"/>
      </w:pPr>
      <w:bookmarkStart w:id="60" w:name="_Toc217162492"/>
      <w:bookmarkStart w:id="61" w:name="_Toc232766188"/>
      <w:r w:rsidRPr="00A462D0">
        <w:lastRenderedPageBreak/>
        <w:t>Findings</w:t>
      </w:r>
      <w:bookmarkEnd w:id="60"/>
      <w:bookmarkEnd w:id="61"/>
    </w:p>
    <w:p w14:paraId="002A3D50" w14:textId="322B5150" w:rsidR="00D4719A" w:rsidRPr="0079608F" w:rsidRDefault="7016A5E5" w:rsidP="00A32591">
      <w:pPr>
        <w:pStyle w:val="Heading2"/>
      </w:pPr>
      <w:bookmarkStart w:id="62" w:name="_Toc217162493"/>
      <w:bookmarkStart w:id="63" w:name="_Toc232766189"/>
      <w:r w:rsidRPr="07AD5326">
        <w:rPr>
          <w:rFonts w:eastAsia="Times New Roman" w:cs="Arial"/>
        </w:rPr>
        <w:t xml:space="preserve">Phase </w:t>
      </w:r>
      <w:r w:rsidR="00A30F02">
        <w:rPr>
          <w:rFonts w:eastAsia="Times New Roman" w:cs="Arial"/>
        </w:rPr>
        <w:t>o</w:t>
      </w:r>
      <w:r w:rsidR="7F544DC2" w:rsidRPr="07AD5326">
        <w:rPr>
          <w:rFonts w:eastAsia="Times New Roman" w:cs="Arial"/>
        </w:rPr>
        <w:t>ne:</w:t>
      </w:r>
      <w:r w:rsidR="6A280CD4" w:rsidRPr="07AD5326">
        <w:rPr>
          <w:rFonts w:eastAsia="Times New Roman" w:cs="Arial"/>
        </w:rPr>
        <w:t xml:space="preserve"> </w:t>
      </w:r>
      <w:r w:rsidR="38A2A9F6">
        <w:t xml:space="preserve">Benchmarking of </w:t>
      </w:r>
      <w:r w:rsidR="00A30F02">
        <w:t>i</w:t>
      </w:r>
      <w:r w:rsidR="38A2A9F6">
        <w:t>n-</w:t>
      </w:r>
      <w:r w:rsidR="00A30F02">
        <w:t>s</w:t>
      </w:r>
      <w:r w:rsidR="38A2A9F6">
        <w:t xml:space="preserve">chool </w:t>
      </w:r>
      <w:r w:rsidR="00A30F02">
        <w:t>e</w:t>
      </w:r>
      <w:r w:rsidR="38A2A9F6">
        <w:t xml:space="preserve">nabling </w:t>
      </w:r>
      <w:r w:rsidR="00A30F02">
        <w:t>p</w:t>
      </w:r>
      <w:r w:rsidR="38A2A9F6">
        <w:t>rograms</w:t>
      </w:r>
      <w:bookmarkEnd w:id="62"/>
      <w:bookmarkEnd w:id="63"/>
    </w:p>
    <w:p w14:paraId="7B1ABE54" w14:textId="12821C3C" w:rsidR="00D4719A" w:rsidRPr="0079608F" w:rsidRDefault="24B8E666" w:rsidP="00A32591">
      <w:r>
        <w:t>The benchmarking</w:t>
      </w:r>
      <w:r w:rsidR="7016A5E5">
        <w:t xml:space="preserve"> highlights seven key findings across the </w:t>
      </w:r>
      <w:r w:rsidR="00237634">
        <w:t>ISEPs.</w:t>
      </w:r>
      <w:r w:rsidR="7016A5E5">
        <w:t xml:space="preserve"> While there were variances in duration and delivery methods, overall, the universities shared comparable partnership models, visions, and goals, as well as a high degree of</w:t>
      </w:r>
      <w:r w:rsidR="0242A53B">
        <w:t xml:space="preserve"> </w:t>
      </w:r>
      <w:r w:rsidR="7016A5E5">
        <w:t>alignment in topics, content, and learning outcomes.</w:t>
      </w:r>
      <w:r w:rsidR="0242A53B">
        <w:t xml:space="preserve"> </w:t>
      </w:r>
      <w:r w:rsidR="7016A5E5">
        <w:t>Additionally, assessments were comparable in terms of type, academic rigour, and grade outcomes, and allowed students to</w:t>
      </w:r>
      <w:r w:rsidR="0242A53B">
        <w:t xml:space="preserve"> </w:t>
      </w:r>
      <w:r w:rsidR="7016A5E5">
        <w:t>demonstrate</w:t>
      </w:r>
      <w:r w:rsidR="0242A53B">
        <w:t xml:space="preserve"> </w:t>
      </w:r>
      <w:r w:rsidR="7016A5E5">
        <w:t>essential skills for success at an undergraduate level. All universities provided clear and accessible rubrics to support well-structured assessments, ensuring consistent standards and expectations across courses, as well as rigorous moderation practices to</w:t>
      </w:r>
      <w:r w:rsidR="0242A53B">
        <w:t xml:space="preserve"> </w:t>
      </w:r>
      <w:r w:rsidR="7016A5E5">
        <w:t>maintain</w:t>
      </w:r>
      <w:r w:rsidR="0242A53B">
        <w:t xml:space="preserve"> </w:t>
      </w:r>
      <w:r w:rsidR="7016A5E5">
        <w:t>consistent marking across the duration of programs. Finally, all courses were designed to improve access to undergraduate study</w:t>
      </w:r>
      <w:r w:rsidR="00237634">
        <w:t>.</w:t>
      </w:r>
      <w:r w:rsidR="7016A5E5">
        <w:t xml:space="preserve"> </w:t>
      </w:r>
      <w:r w:rsidR="00237634">
        <w:t>T</w:t>
      </w:r>
      <w:r w:rsidR="7016A5E5">
        <w:t>he courses particularly focused on supporting students from regional and remote areas, low socio-economic backgrounds, and Aboriginal or Torres Strait Islander communities.</w:t>
      </w:r>
    </w:p>
    <w:p w14:paraId="69759F92" w14:textId="2F0CD154" w:rsidR="00D4719A" w:rsidRPr="0079608F" w:rsidRDefault="24B8E666" w:rsidP="00A32591">
      <w:r>
        <w:t>Benchmarking</w:t>
      </w:r>
      <w:r w:rsidR="7016A5E5">
        <w:t xml:space="preserve"> highlights the rigour of </w:t>
      </w:r>
      <w:r w:rsidR="7C90CD5B">
        <w:t>ISEPs</w:t>
      </w:r>
      <w:r w:rsidR="7016A5E5">
        <w:t>,</w:t>
      </w:r>
      <w:r w:rsidR="0242A53B">
        <w:t xml:space="preserve"> </w:t>
      </w:r>
      <w:r w:rsidR="7016A5E5">
        <w:t>showcasing</w:t>
      </w:r>
      <w:r w:rsidR="0242A53B">
        <w:t xml:space="preserve"> </w:t>
      </w:r>
      <w:r w:rsidR="7016A5E5">
        <w:t>the universities</w:t>
      </w:r>
      <w:r w:rsidR="7AAC5075">
        <w:t>’</w:t>
      </w:r>
      <w:r w:rsidR="7016A5E5">
        <w:t xml:space="preserve"> commitment to delivering high</w:t>
      </w:r>
      <w:r w:rsidR="00237634">
        <w:t>-</w:t>
      </w:r>
      <w:r w:rsidR="7016A5E5">
        <w:t>quality programs focused on appropriately challenging curricula for high school students to</w:t>
      </w:r>
      <w:r w:rsidR="0242A53B">
        <w:t xml:space="preserve"> </w:t>
      </w:r>
      <w:r w:rsidR="7016A5E5">
        <w:t xml:space="preserve">adequately prepare </w:t>
      </w:r>
      <w:r w:rsidR="00237634">
        <w:t>them</w:t>
      </w:r>
      <w:r w:rsidR="7016A5E5">
        <w:t xml:space="preserve"> for undergraduate studies.</w:t>
      </w:r>
      <w:r w:rsidR="75E9990A">
        <w:t xml:space="preserve"> </w:t>
      </w:r>
      <w:r w:rsidR="7016A5E5">
        <w:t xml:space="preserve">Benchmarking discussions revealed </w:t>
      </w:r>
      <w:proofErr w:type="gramStart"/>
      <w:r w:rsidR="7016A5E5">
        <w:t>a number of</w:t>
      </w:r>
      <w:proofErr w:type="gramEnd"/>
      <w:r w:rsidR="7016A5E5">
        <w:t xml:space="preserve"> common principles and practices when designing </w:t>
      </w:r>
      <w:r w:rsidR="4F4CE681">
        <w:t>I</w:t>
      </w:r>
      <w:r w:rsidR="1CB00801">
        <w:t>SEPs</w:t>
      </w:r>
      <w:r w:rsidR="7016A5E5">
        <w:t xml:space="preserve">, </w:t>
      </w:r>
      <w:r w:rsidR="4F4CE681">
        <w:t xml:space="preserve">indicating strong alignment </w:t>
      </w:r>
      <w:r w:rsidR="7016A5E5">
        <w:t xml:space="preserve">with </w:t>
      </w:r>
      <w:r w:rsidR="4F4CE681">
        <w:t>sector stands and demonstrating program viability as a pathway to university. Through the benchmarking process, it was agreed</w:t>
      </w:r>
      <w:r w:rsidR="7016A5E5">
        <w:t xml:space="preserve"> that developing a community of practice to share practice</w:t>
      </w:r>
      <w:r w:rsidR="4F4CE681">
        <w:t xml:space="preserve"> and</w:t>
      </w:r>
      <w:r w:rsidR="7016A5E5">
        <w:t xml:space="preserve"> align curriculum and assessment/grading levels </w:t>
      </w:r>
      <w:r w:rsidR="00534B3E">
        <w:t>will be</w:t>
      </w:r>
      <w:r w:rsidR="7016A5E5">
        <w:t xml:space="preserve"> integral to maintaining the academic standards of </w:t>
      </w:r>
      <w:r w:rsidR="6CB4E3E1">
        <w:t>ISEPs</w:t>
      </w:r>
      <w:r w:rsidR="4F4CE681">
        <w:t xml:space="preserve"> </w:t>
      </w:r>
      <w:r w:rsidR="7016A5E5">
        <w:t>nationally.</w:t>
      </w:r>
      <w:r w:rsidR="0242A53B">
        <w:t xml:space="preserve"> </w:t>
      </w:r>
      <w:r w:rsidR="7016A5E5">
        <w:t>In line with the</w:t>
      </w:r>
      <w:r w:rsidR="6A6CE10D">
        <w:t xml:space="preserve"> NAEEA </w:t>
      </w:r>
      <w:r w:rsidR="7016A5E5">
        <w:t>Benchmarking</w:t>
      </w:r>
      <w:r w:rsidR="6A6CE10D">
        <w:t xml:space="preserve"> </w:t>
      </w:r>
      <w:r w:rsidR="7016A5E5">
        <w:t xml:space="preserve">Project (Davis et al., 2023), the findings from the benchmarking of </w:t>
      </w:r>
      <w:r w:rsidR="4558A227">
        <w:t xml:space="preserve">ISEPs </w:t>
      </w:r>
      <w:r w:rsidR="7016A5E5">
        <w:t>are provided with further details</w:t>
      </w:r>
      <w:r w:rsidR="01D24D3F">
        <w:t xml:space="preserve"> in</w:t>
      </w:r>
      <w:r w:rsidR="00B00B75">
        <w:t xml:space="preserve"> the</w:t>
      </w:r>
      <w:r w:rsidR="01D24D3F">
        <w:t xml:space="preserve"> </w:t>
      </w:r>
      <w:r w:rsidR="00B00B75" w:rsidRPr="00B00B75">
        <w:rPr>
          <w:i/>
          <w:iCs/>
        </w:rPr>
        <w:t xml:space="preserve">Benchmarking </w:t>
      </w:r>
      <w:r w:rsidR="009D1A2A">
        <w:rPr>
          <w:i/>
          <w:iCs/>
        </w:rPr>
        <w:t>R</w:t>
      </w:r>
      <w:r w:rsidR="00B00B75" w:rsidRPr="00B00B75">
        <w:rPr>
          <w:i/>
          <w:iCs/>
        </w:rPr>
        <w:t xml:space="preserve">eport of </w:t>
      </w:r>
      <w:r w:rsidR="009D1A2A">
        <w:rPr>
          <w:i/>
          <w:iCs/>
        </w:rPr>
        <w:t>I</w:t>
      </w:r>
      <w:r w:rsidR="00B00B75" w:rsidRPr="00B00B75">
        <w:rPr>
          <w:i/>
          <w:iCs/>
        </w:rPr>
        <w:t>n-</w:t>
      </w:r>
      <w:r w:rsidR="009D1A2A">
        <w:rPr>
          <w:i/>
          <w:iCs/>
        </w:rPr>
        <w:t>S</w:t>
      </w:r>
      <w:r w:rsidR="00B00B75" w:rsidRPr="00B00B75">
        <w:rPr>
          <w:i/>
          <w:iCs/>
        </w:rPr>
        <w:t xml:space="preserve">chool </w:t>
      </w:r>
      <w:r w:rsidR="009D1A2A">
        <w:rPr>
          <w:i/>
          <w:iCs/>
        </w:rPr>
        <w:t>E</w:t>
      </w:r>
      <w:r w:rsidR="00B00B75" w:rsidRPr="00B00B75">
        <w:rPr>
          <w:i/>
          <w:iCs/>
        </w:rPr>
        <w:t xml:space="preserve">nabling </w:t>
      </w:r>
      <w:r w:rsidR="009D1A2A">
        <w:rPr>
          <w:i/>
          <w:iCs/>
        </w:rPr>
        <w:t>P</w:t>
      </w:r>
      <w:r w:rsidR="00B00B75" w:rsidRPr="00B00B75">
        <w:rPr>
          <w:i/>
          <w:iCs/>
        </w:rPr>
        <w:t xml:space="preserve">rograms </w:t>
      </w:r>
      <w:r w:rsidR="009D1A2A">
        <w:rPr>
          <w:i/>
          <w:iCs/>
        </w:rPr>
        <w:t>A</w:t>
      </w:r>
      <w:r w:rsidR="00B00B75" w:rsidRPr="00B00B75">
        <w:rPr>
          <w:i/>
          <w:iCs/>
        </w:rPr>
        <w:t>cross Australia</w:t>
      </w:r>
      <w:r w:rsidR="00B00B75">
        <w:rPr>
          <w:i/>
          <w:iCs/>
        </w:rPr>
        <w:t xml:space="preserve"> </w:t>
      </w:r>
      <w:r w:rsidR="00B00B75">
        <w:t>(Jones et al., 2026</w:t>
      </w:r>
      <w:r w:rsidR="003A0725">
        <w:t>b</w:t>
      </w:r>
      <w:r w:rsidR="00B00B75">
        <w:t>)</w:t>
      </w:r>
      <w:r w:rsidR="7016A5E5">
        <w:t xml:space="preserve">, linking with </w:t>
      </w:r>
      <w:r w:rsidR="00A23291">
        <w:t>“</w:t>
      </w:r>
      <w:r w:rsidR="7016A5E5">
        <w:t>good practices</w:t>
      </w:r>
      <w:r w:rsidR="00A23291">
        <w:t>”</w:t>
      </w:r>
      <w:r w:rsidR="7016A5E5">
        <w:t xml:space="preserve"> in program design and delivery, and </w:t>
      </w:r>
      <w:r w:rsidR="00A23291">
        <w:t>“</w:t>
      </w:r>
      <w:r w:rsidR="7016A5E5">
        <w:t>benchmarking impacts</w:t>
      </w:r>
      <w:r w:rsidR="00A23291">
        <w:t>”</w:t>
      </w:r>
      <w:r w:rsidR="7016A5E5">
        <w:t xml:space="preserve"> suggesting future improvements to programs.</w:t>
      </w:r>
    </w:p>
    <w:p w14:paraId="49C10B36" w14:textId="0B497464" w:rsidR="008B756E" w:rsidRDefault="00D4719A" w:rsidP="00F1760C">
      <w:r w:rsidRPr="00EB1D6C">
        <w:rPr>
          <w:b/>
        </w:rPr>
        <w:t>Finding 1: </w:t>
      </w:r>
      <w:r w:rsidR="001031AB">
        <w:t xml:space="preserve"> </w:t>
      </w:r>
      <w:r w:rsidR="008B756E" w:rsidRPr="008B756E">
        <w:t xml:space="preserve">All </w:t>
      </w:r>
      <w:r w:rsidR="00AF3E1E">
        <w:t>programs</w:t>
      </w:r>
      <w:r w:rsidR="008B756E" w:rsidRPr="008B756E">
        <w:t xml:space="preserve"> include a partnership model: curriculum is designed by the university</w:t>
      </w:r>
      <w:r w:rsidR="00A23291">
        <w:t xml:space="preserve"> and</w:t>
      </w:r>
      <w:r w:rsidR="008B756E" w:rsidRPr="008B756E">
        <w:t xml:space="preserve"> implemented by </w:t>
      </w:r>
      <w:r w:rsidR="00A23291">
        <w:t xml:space="preserve">the </w:t>
      </w:r>
      <w:r w:rsidR="008B756E" w:rsidRPr="008B756E">
        <w:t>high school with university support</w:t>
      </w:r>
      <w:r w:rsidR="008B756E">
        <w:t>.</w:t>
      </w:r>
    </w:p>
    <w:p w14:paraId="12DC1764" w14:textId="767B696F" w:rsidR="00D4719A" w:rsidRPr="00EB1D6C" w:rsidRDefault="00D4719A" w:rsidP="00A32591">
      <w:r w:rsidRPr="00EB1D6C">
        <w:rPr>
          <w:b/>
        </w:rPr>
        <w:t>Finding 2:</w:t>
      </w:r>
      <w:r w:rsidR="001031AB">
        <w:rPr>
          <w:b/>
        </w:rPr>
        <w:t xml:space="preserve"> </w:t>
      </w:r>
      <w:r w:rsidRPr="00EB1D6C">
        <w:t xml:space="preserve">All </w:t>
      </w:r>
      <w:r w:rsidR="00CD4595">
        <w:t>programs</w:t>
      </w:r>
      <w:r w:rsidRPr="00EB1D6C">
        <w:t xml:space="preserve"> target specific cohorts, primarily regional and remote, or equity schools.</w:t>
      </w:r>
    </w:p>
    <w:p w14:paraId="66435B75" w14:textId="35FA1110" w:rsidR="00D4719A" w:rsidRPr="00EB1D6C" w:rsidRDefault="00D4719A" w:rsidP="00A32591">
      <w:r w:rsidRPr="00EB1D6C">
        <w:rPr>
          <w:b/>
        </w:rPr>
        <w:t>Finding 3:</w:t>
      </w:r>
      <w:r w:rsidR="001031AB">
        <w:rPr>
          <w:b/>
        </w:rPr>
        <w:t xml:space="preserve"> </w:t>
      </w:r>
      <w:r w:rsidRPr="00EB1D6C">
        <w:t xml:space="preserve">All </w:t>
      </w:r>
      <w:r w:rsidR="00AF3E1E">
        <w:t>programs</w:t>
      </w:r>
      <w:r w:rsidRPr="00EB1D6C">
        <w:t xml:space="preserve"> have a process for student eligibility and admission, including recommendation by school, and English competency standards requirements.</w:t>
      </w:r>
    </w:p>
    <w:p w14:paraId="2689FC14" w14:textId="0BFC2B77" w:rsidR="00D4719A" w:rsidRPr="00EB1D6C" w:rsidRDefault="00D4719A" w:rsidP="00A32591">
      <w:r w:rsidRPr="00EB1D6C">
        <w:rPr>
          <w:b/>
        </w:rPr>
        <w:t>Finding 4:</w:t>
      </w:r>
      <w:r w:rsidR="001031AB">
        <w:rPr>
          <w:b/>
        </w:rPr>
        <w:t xml:space="preserve"> </w:t>
      </w:r>
      <w:r w:rsidRPr="00EB1D6C">
        <w:t xml:space="preserve">Course learning outcomes in all four </w:t>
      </w:r>
      <w:r w:rsidR="00AF3E1E">
        <w:t>programs</w:t>
      </w:r>
      <w:r w:rsidRPr="00EB1D6C">
        <w:t xml:space="preserve"> emphasise </w:t>
      </w:r>
      <w:r w:rsidR="008F255E">
        <w:t>common</w:t>
      </w:r>
      <w:r w:rsidRPr="00EB1D6C">
        <w:t xml:space="preserve"> academic</w:t>
      </w:r>
      <w:r w:rsidR="008F255E">
        <w:t>, learning</w:t>
      </w:r>
      <w:r w:rsidR="00A23291">
        <w:t>,</w:t>
      </w:r>
      <w:r w:rsidR="008F255E">
        <w:t xml:space="preserve"> and socio-emotional</w:t>
      </w:r>
      <w:r w:rsidRPr="00EB1D6C">
        <w:t xml:space="preserve"> skills.</w:t>
      </w:r>
    </w:p>
    <w:p w14:paraId="0D4280BD" w14:textId="1C02DE39" w:rsidR="00D4719A" w:rsidRPr="00EB1D6C" w:rsidRDefault="00D4719A" w:rsidP="00A32591">
      <w:r w:rsidRPr="00EB1D6C">
        <w:rPr>
          <w:b/>
        </w:rPr>
        <w:t>Finding 5</w:t>
      </w:r>
      <w:r w:rsidRPr="00EB1D6C">
        <w:t>:</w:t>
      </w:r>
      <w:r w:rsidR="001031AB">
        <w:t xml:space="preserve"> </w:t>
      </w:r>
      <w:r w:rsidRPr="00EB1D6C">
        <w:t xml:space="preserve">Assessments in all courses </w:t>
      </w:r>
      <w:r w:rsidR="00A23291">
        <w:t>are</w:t>
      </w:r>
      <w:r w:rsidRPr="00EB1D6C">
        <w:t xml:space="preserve"> highly scaffolded, shared assignment types, with common academic skill focus</w:t>
      </w:r>
      <w:r w:rsidR="001031AB">
        <w:t xml:space="preserve"> </w:t>
      </w:r>
      <w:proofErr w:type="gramStart"/>
      <w:r w:rsidRPr="00EB1D6C">
        <w:t>in order for</w:t>
      </w:r>
      <w:proofErr w:type="gramEnd"/>
      <w:r w:rsidR="001031AB">
        <w:t xml:space="preserve"> </w:t>
      </w:r>
      <w:r w:rsidRPr="00EB1D6C">
        <w:t>students to</w:t>
      </w:r>
      <w:r w:rsidR="001031AB">
        <w:t xml:space="preserve"> </w:t>
      </w:r>
      <w:r w:rsidRPr="00EB1D6C">
        <w:t>demonstrate</w:t>
      </w:r>
      <w:r w:rsidR="001031AB">
        <w:t xml:space="preserve"> </w:t>
      </w:r>
      <w:r w:rsidRPr="00EB1D6C">
        <w:t>comparable standards and alignment with common learning outcomes.</w:t>
      </w:r>
    </w:p>
    <w:p w14:paraId="58A82A69" w14:textId="3513E588" w:rsidR="00D4719A" w:rsidRPr="00EB1D6C" w:rsidRDefault="00D4719A" w:rsidP="00A32591">
      <w:r w:rsidRPr="00EB1D6C">
        <w:rPr>
          <w:b/>
        </w:rPr>
        <w:lastRenderedPageBreak/>
        <w:t>Finding 6</w:t>
      </w:r>
      <w:r w:rsidRPr="00EB1D6C">
        <w:t>:</w:t>
      </w:r>
      <w:r w:rsidR="001031AB">
        <w:t xml:space="preserve"> </w:t>
      </w:r>
      <w:r w:rsidRPr="00EB1D6C">
        <w:t>All four courses provide scaffolded assessment explanation and rubrics that are clear and explicit for students.  </w:t>
      </w:r>
    </w:p>
    <w:p w14:paraId="67AA78CB" w14:textId="3262B6EE" w:rsidR="00FF3D27" w:rsidRDefault="00D4719A" w:rsidP="00A32591">
      <w:r w:rsidRPr="00EB1D6C">
        <w:rPr>
          <w:b/>
        </w:rPr>
        <w:t>Finding 7</w:t>
      </w:r>
      <w:r w:rsidRPr="00EB1D6C">
        <w:t>:</w:t>
      </w:r>
      <w:r w:rsidR="001031AB">
        <w:t xml:space="preserve"> </w:t>
      </w:r>
      <w:r w:rsidRPr="00EB1D6C">
        <w:t>All courses include moderation practices prior to major assessments that ensure consistency of marking of assessments by teachers and within universities.  </w:t>
      </w:r>
    </w:p>
    <w:p w14:paraId="3385FF77" w14:textId="2BB98FF1" w:rsidR="09928D87" w:rsidRDefault="11550E09" w:rsidP="00A32591">
      <w:r>
        <w:t>T</w:t>
      </w:r>
      <w:r w:rsidR="5E4649C8">
        <w:t>hrough the benchmarking process</w:t>
      </w:r>
      <w:r w:rsidR="00ED4E4C">
        <w:t>,</w:t>
      </w:r>
      <w:r w:rsidR="5E4649C8">
        <w:t xml:space="preserve"> </w:t>
      </w:r>
      <w:proofErr w:type="gramStart"/>
      <w:r w:rsidR="5E4649C8">
        <w:t>a number of</w:t>
      </w:r>
      <w:proofErr w:type="gramEnd"/>
      <w:r w:rsidR="5E4649C8">
        <w:t xml:space="preserve"> commonalities and distinct differences emerged across the </w:t>
      </w:r>
      <w:r w:rsidR="136FB2C8">
        <w:t>ISEPs</w:t>
      </w:r>
      <w:r w:rsidR="5E4649C8">
        <w:t xml:space="preserve">. The four programs shared a commitment to equity and the development of an academically rigorous pathway </w:t>
      </w:r>
      <w:r w:rsidR="00ED4E4C">
        <w:t xml:space="preserve">to </w:t>
      </w:r>
      <w:r w:rsidR="5E4649C8">
        <w:t xml:space="preserve">university implemented in partnership between high schools and the university. Similarly, across program design there was commonality in learning outcomes, with a focus on the development of core academic skills </w:t>
      </w:r>
      <w:r w:rsidR="00B94B3D">
        <w:t xml:space="preserve">and </w:t>
      </w:r>
      <w:r w:rsidR="5E4649C8">
        <w:t>soci</w:t>
      </w:r>
      <w:r w:rsidR="00B43A6C">
        <w:t>o</w:t>
      </w:r>
      <w:r w:rsidR="5E4649C8">
        <w:t>-emotional learning to be successful within university study. Given the commitment to equity, program design also focused on accessibility and inclusivity. All program</w:t>
      </w:r>
      <w:r w:rsidR="47654F78">
        <w:t>s</w:t>
      </w:r>
      <w:r w:rsidR="5E4649C8">
        <w:t xml:space="preserve"> also had quality assurance mechanisms led by the university to uphold the integrity and quality of program design and outcomes. </w:t>
      </w:r>
    </w:p>
    <w:p w14:paraId="5AB6DA75" w14:textId="5A4C288F" w:rsidR="09928D87" w:rsidRDefault="5E4649C8" w:rsidP="00A32591">
      <w:r>
        <w:t>Whil</w:t>
      </w:r>
      <w:r w:rsidR="00F52ECC">
        <w:t>e</w:t>
      </w:r>
      <w:r>
        <w:t xml:space="preserve"> duration of programs varied somewhat, the strongest distinguishing feature was the delivery and teaching. Three types of program delivery were evident across the four </w:t>
      </w:r>
      <w:r w:rsidR="681CE324">
        <w:t>ISEP</w:t>
      </w:r>
      <w:r>
        <w:t>s. The I</w:t>
      </w:r>
      <w:r w:rsidR="1AB8CA46">
        <w:t>SEP</w:t>
      </w:r>
      <w:r>
        <w:t>s of ECU and SCU were scheduled into the school timetable and delivered by high school teachers. MU’s I</w:t>
      </w:r>
      <w:r w:rsidR="4DE8DD58">
        <w:t>SEP</w:t>
      </w:r>
      <w:r>
        <w:t xml:space="preserve"> featured a collaborative model where the program was </w:t>
      </w:r>
      <w:r w:rsidR="3B7BF468">
        <w:t xml:space="preserve">embedded in the high school </w:t>
      </w:r>
      <w:proofErr w:type="gramStart"/>
      <w:r w:rsidR="3B7BF468">
        <w:t>timetable</w:t>
      </w:r>
      <w:r w:rsidR="00ED4E4C">
        <w:t>,</w:t>
      </w:r>
      <w:r>
        <w:t xml:space="preserve"> but</w:t>
      </w:r>
      <w:proofErr w:type="gramEnd"/>
      <w:r>
        <w:t xml:space="preserve"> </w:t>
      </w:r>
      <w:r w:rsidR="3B7BF468">
        <w:t xml:space="preserve">delivered </w:t>
      </w:r>
      <w:r>
        <w:t xml:space="preserve">with a team </w:t>
      </w:r>
      <w:r w:rsidR="00B94B3D">
        <w:t>approach</w:t>
      </w:r>
      <w:r>
        <w:t xml:space="preserve"> where high </w:t>
      </w:r>
      <w:r w:rsidR="172785D7">
        <w:t xml:space="preserve">school </w:t>
      </w:r>
      <w:r>
        <w:t xml:space="preserve">teachers and university tutors shared delivery responsibilities, and learning was supplemented by online support from university tutors. Finally, </w:t>
      </w:r>
      <w:proofErr w:type="spellStart"/>
      <w:r>
        <w:t>UniSQ</w:t>
      </w:r>
      <w:proofErr w:type="spellEnd"/>
      <w:r>
        <w:t xml:space="preserve"> offered the most flexible model, with the I</w:t>
      </w:r>
      <w:r w:rsidR="4B8BFA2F">
        <w:t>SEP</w:t>
      </w:r>
      <w:r>
        <w:t xml:space="preserve"> available online and supp</w:t>
      </w:r>
      <w:r w:rsidR="57196114">
        <w:t xml:space="preserve">lemented </w:t>
      </w:r>
      <w:r>
        <w:t>by online support from university tutors. In this model, integration with the school timetable varied based on the individual school, and th</w:t>
      </w:r>
      <w:r w:rsidR="000E30D1">
        <w:t>e</w:t>
      </w:r>
      <w:r>
        <w:t xml:space="preserve"> program also supported students who were in home school to enrol.</w:t>
      </w:r>
    </w:p>
    <w:p w14:paraId="48882568" w14:textId="2C912B74" w:rsidR="09928D87" w:rsidRDefault="5E4649C8" w:rsidP="00A32591">
      <w:r>
        <w:t>These distinctions highlight the contextual nature of I</w:t>
      </w:r>
      <w:r w:rsidR="3DF1641A">
        <w:t>SEP</w:t>
      </w:r>
      <w:r>
        <w:t xml:space="preserve">s, where universities have been responsive to the </w:t>
      </w:r>
      <w:r w:rsidR="5DB74CEB">
        <w:t>need</w:t>
      </w:r>
      <w:r>
        <w:t xml:space="preserve">s of their local communities. Additionally, the similarities and variations in program components lead to an emerging typology of </w:t>
      </w:r>
      <w:r w:rsidR="28974F57">
        <w:t>ISEPs</w:t>
      </w:r>
      <w:r>
        <w:t xml:space="preserve">, as represented </w:t>
      </w:r>
      <w:r w:rsidR="00950B19">
        <w:t xml:space="preserve">in Figure 1 </w:t>
      </w:r>
      <w:r>
        <w:t xml:space="preserve">below. Further work is required to build and refine this typology </w:t>
      </w:r>
      <w:r w:rsidR="573C94B0">
        <w:t>with a broader sample of I</w:t>
      </w:r>
      <w:r w:rsidR="373585C3">
        <w:t>SEP</w:t>
      </w:r>
      <w:r>
        <w:t xml:space="preserve">s </w:t>
      </w:r>
      <w:r w:rsidR="4B642656">
        <w:t>across the country</w:t>
      </w:r>
      <w:r>
        <w:t>. A</w:t>
      </w:r>
      <w:r w:rsidR="37A0CD54">
        <w:t>dditionally</w:t>
      </w:r>
      <w:r>
        <w:t>, it provides a way to consider programs and</w:t>
      </w:r>
      <w:r w:rsidR="4BE4E7FE">
        <w:t xml:space="preserve"> </w:t>
      </w:r>
      <w:r>
        <w:t>explore which types of program work for which students and communities.</w:t>
      </w:r>
    </w:p>
    <w:p w14:paraId="5C482D08" w14:textId="77777777" w:rsidR="00383CEA" w:rsidRDefault="00383CEA">
      <w:pPr>
        <w:spacing w:line="259" w:lineRule="auto"/>
        <w:rPr>
          <w:i/>
          <w:iCs/>
        </w:rPr>
      </w:pPr>
      <w:r>
        <w:br w:type="page"/>
      </w:r>
    </w:p>
    <w:p w14:paraId="2D0F90BA" w14:textId="2BDFD8A4" w:rsidR="167596B1" w:rsidRPr="00383CEA" w:rsidRDefault="006D2CFD" w:rsidP="00383CEA">
      <w:pPr>
        <w:pStyle w:val="Figureheading"/>
      </w:pPr>
      <w:bookmarkStart w:id="64" w:name="_Toc232575184"/>
      <w:r w:rsidRPr="00950B19">
        <w:lastRenderedPageBreak/>
        <w:t xml:space="preserve">Figure </w:t>
      </w:r>
      <w:r w:rsidR="3BC040ED" w:rsidRPr="00950B19">
        <w:t>1</w:t>
      </w:r>
      <w:r w:rsidR="001439A4">
        <w:t>:</w:t>
      </w:r>
      <w:r w:rsidRPr="00950B19">
        <w:t xml:space="preserve"> Typology of </w:t>
      </w:r>
      <w:r w:rsidR="00895CFA">
        <w:t xml:space="preserve">in-school </w:t>
      </w:r>
      <w:r w:rsidR="00895CFA" w:rsidRPr="00383CEA">
        <w:t>enabling</w:t>
      </w:r>
      <w:r w:rsidR="00895CFA">
        <w:t xml:space="preserve"> program</w:t>
      </w:r>
      <w:r w:rsidR="21039501" w:rsidRPr="00383CEA">
        <w:t xml:space="preserve"> </w:t>
      </w:r>
      <w:r w:rsidRPr="00383CEA">
        <w:t>models</w:t>
      </w:r>
      <w:bookmarkEnd w:id="64"/>
    </w:p>
    <w:p w14:paraId="5C9E0173" w14:textId="7C57A1AB" w:rsidR="167596B1" w:rsidRDefault="6D8B3DB5" w:rsidP="00A32591">
      <w:r>
        <w:rPr>
          <w:noProof/>
        </w:rPr>
        <w:drawing>
          <wp:inline distT="0" distB="0" distL="0" distR="0" wp14:anchorId="154B3AA6" wp14:editId="3645100B">
            <wp:extent cx="4777740" cy="2577985"/>
            <wp:effectExtent l="0" t="0" r="3810" b="0"/>
            <wp:docPr id="1193964325" name="drawing" descr="A diagram illustrating four components of an In-School Enabling Program.&#10;&#10;Long description to follow:&#10;Program Purpose (top, in teal): Commitment to equity; partnership with high schools; pathway to university; academic preparation.&#10;Program Design (middle, in purple): Common learning outcomes including core academic skills, social-emotional learning, universal learning design, and curriculum content developed by the university.&#10;Program Delivery (below, in orange): Three boxes showing delivery options:&#10;&#10;Timetabled with school subjects, delivered by teachers.&#10;Scheduled at school, combination of teachers and university tutors.&#10;Flexible, delivered by university.&#10;&#10;&#10;Quality Assurance (bottom, in white): Led by the university; sustained professional development; moderation and support; feedback lo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64325" name=""/>
                    <pic:cNvPicPr/>
                  </pic:nvPicPr>
                  <pic:blipFill>
                    <a:blip r:embed="rId15">
                      <a:extLst>
                        <a:ext uri="{28A0092B-C50C-407E-A947-70E740481C1C}">
                          <a14:useLocalDpi xmlns:a14="http://schemas.microsoft.com/office/drawing/2010/main"/>
                        </a:ext>
                      </a:extLst>
                    </a:blip>
                    <a:srcRect l="2553" t="3600" r="4313" b="7044"/>
                    <a:stretch>
                      <a:fillRect/>
                    </a:stretch>
                  </pic:blipFill>
                  <pic:spPr>
                    <a:xfrm>
                      <a:off x="0" y="0"/>
                      <a:ext cx="4812715" cy="2596857"/>
                    </a:xfrm>
                    <a:prstGeom prst="rect">
                      <a:avLst/>
                    </a:prstGeom>
                  </pic:spPr>
                </pic:pic>
              </a:graphicData>
            </a:graphic>
          </wp:inline>
        </w:drawing>
      </w:r>
    </w:p>
    <w:p w14:paraId="00CB2E1D" w14:textId="54B818BC" w:rsidR="00CF4ABE" w:rsidRPr="0079608F" w:rsidRDefault="00CF4ABE" w:rsidP="00A32591">
      <w:r w:rsidRPr="5A84EF46">
        <w:t xml:space="preserve">There were seven </w:t>
      </w:r>
      <w:r w:rsidR="00950B19">
        <w:t>p</w:t>
      </w:r>
      <w:r w:rsidR="00D85CF8">
        <w:t xml:space="preserve">hase </w:t>
      </w:r>
      <w:r w:rsidR="00950B19">
        <w:t>o</w:t>
      </w:r>
      <w:r w:rsidR="00DF79AB">
        <w:t>ne</w:t>
      </w:r>
      <w:r w:rsidR="00D85CF8">
        <w:t xml:space="preserve"> </w:t>
      </w:r>
      <w:r w:rsidRPr="5A84EF46">
        <w:t>recommendations identified at the end of the benchmarking process</w:t>
      </w:r>
      <w:r w:rsidR="00717FFA">
        <w:t>,</w:t>
      </w:r>
      <w:r w:rsidR="40E3AE54" w:rsidRPr="3C4F0A41">
        <w:t xml:space="preserve"> specific to the design and delivery of ISEPs</w:t>
      </w:r>
      <w:r w:rsidRPr="3C4F0A41">
        <w:t>.</w:t>
      </w:r>
      <w:r w:rsidR="5B43D8CF" w:rsidRPr="3C4F0A41">
        <w:t xml:space="preserve"> These recommendations are most applicable to </w:t>
      </w:r>
      <w:r w:rsidR="00717FFA">
        <w:t>e</w:t>
      </w:r>
      <w:r w:rsidR="5B43D8CF" w:rsidRPr="3C4F0A41">
        <w:t>nabling educators, universities</w:t>
      </w:r>
      <w:r w:rsidR="00717FFA">
        <w:t>,</w:t>
      </w:r>
      <w:r w:rsidR="5B43D8CF" w:rsidRPr="3C4F0A41">
        <w:t xml:space="preserve"> </w:t>
      </w:r>
      <w:r w:rsidR="5B43D8CF" w:rsidRPr="223892E2">
        <w:t xml:space="preserve">and the </w:t>
      </w:r>
      <w:r w:rsidR="5B43D8CF" w:rsidRPr="1285E52A">
        <w:t>NAEEA</w:t>
      </w:r>
      <w:r w:rsidR="00F1760C">
        <w:t>:</w:t>
      </w:r>
      <w:r w:rsidRPr="5A84EF46">
        <w:t> </w:t>
      </w:r>
    </w:p>
    <w:p w14:paraId="0DB4B607" w14:textId="664B3472" w:rsidR="00CF4ABE" w:rsidRPr="0079608F" w:rsidRDefault="00CF4ABE" w:rsidP="00224FF3">
      <w:pPr>
        <w:pStyle w:val="Numberedparagraph"/>
        <w:numPr>
          <w:ilvl w:val="0"/>
          <w:numId w:val="36"/>
        </w:numPr>
      </w:pPr>
      <w:r w:rsidRPr="00224FF3">
        <w:rPr>
          <w:b/>
          <w:bCs/>
        </w:rPr>
        <w:t xml:space="preserve">Establishment of </w:t>
      </w:r>
      <w:r w:rsidR="00717FFA" w:rsidRPr="00224FF3">
        <w:rPr>
          <w:b/>
          <w:bCs/>
        </w:rPr>
        <w:t>g</w:t>
      </w:r>
      <w:r w:rsidRPr="00224FF3">
        <w:rPr>
          <w:b/>
          <w:bCs/>
        </w:rPr>
        <w:t xml:space="preserve">uiding </w:t>
      </w:r>
      <w:r w:rsidR="00224FF3">
        <w:rPr>
          <w:b/>
          <w:bCs/>
        </w:rPr>
        <w:t>p</w:t>
      </w:r>
      <w:r w:rsidRPr="00224FF3">
        <w:rPr>
          <w:b/>
          <w:bCs/>
        </w:rPr>
        <w:t>rinciples:</w:t>
      </w:r>
      <w:r w:rsidRPr="0079608F">
        <w:t xml:space="preserve"> Develop a set of guiding principles and Course Learning Outcomes </w:t>
      </w:r>
      <w:r w:rsidR="00F1760C">
        <w:t xml:space="preserve">(CLOs) </w:t>
      </w:r>
      <w:r w:rsidRPr="0079608F">
        <w:t xml:space="preserve">to support institutions and organisations in </w:t>
      </w:r>
      <w:r w:rsidR="00717FFA">
        <w:t xml:space="preserve">the </w:t>
      </w:r>
      <w:r w:rsidRPr="0079608F">
        <w:t>rationale, design</w:t>
      </w:r>
      <w:r w:rsidR="00717FFA">
        <w:t>,</w:t>
      </w:r>
      <w:r w:rsidRPr="0079608F">
        <w:t> and delivery</w:t>
      </w:r>
      <w:r w:rsidR="00717FFA">
        <w:t xml:space="preserve"> of</w:t>
      </w:r>
      <w:r w:rsidRPr="0079608F">
        <w:t> </w:t>
      </w:r>
      <w:r w:rsidR="002D3F75">
        <w:t>ISEPs</w:t>
      </w:r>
      <w:r w:rsidRPr="0079608F">
        <w:t xml:space="preserve"> to ensure consistency and quality across </w:t>
      </w:r>
      <w:r w:rsidR="002D3F75">
        <w:t>ISEPs</w:t>
      </w:r>
      <w:r w:rsidR="00F1760C">
        <w:t>.</w:t>
      </w:r>
      <w:r w:rsidRPr="0079608F">
        <w:t> </w:t>
      </w:r>
    </w:p>
    <w:p w14:paraId="68B7D374" w14:textId="2EC39FE1" w:rsidR="00CF4ABE" w:rsidRPr="0079608F" w:rsidRDefault="00CF4ABE" w:rsidP="00224FF3">
      <w:pPr>
        <w:pStyle w:val="Numberedparagraph"/>
        <w:numPr>
          <w:ilvl w:val="0"/>
          <w:numId w:val="36"/>
        </w:numPr>
      </w:pPr>
      <w:r w:rsidRPr="00224FF3">
        <w:rPr>
          <w:b/>
          <w:bCs/>
        </w:rPr>
        <w:t xml:space="preserve">Strengthening </w:t>
      </w:r>
      <w:r w:rsidR="00F1760C" w:rsidRPr="00224FF3">
        <w:rPr>
          <w:b/>
          <w:bCs/>
        </w:rPr>
        <w:t>p</w:t>
      </w:r>
      <w:r w:rsidRPr="00224FF3">
        <w:rPr>
          <w:b/>
          <w:bCs/>
        </w:rPr>
        <w:t>artnerships:</w:t>
      </w:r>
      <w:r w:rsidRPr="0079608F">
        <w:t xml:space="preserve"> Define the relationship between institutions and their partner schools, recognising their role in program success. </w:t>
      </w:r>
    </w:p>
    <w:p w14:paraId="6F37F539" w14:textId="0B0AFD54" w:rsidR="00CF4ABE" w:rsidRPr="0079608F" w:rsidRDefault="00CF4ABE" w:rsidP="00224FF3">
      <w:pPr>
        <w:pStyle w:val="Numberedparagraph"/>
        <w:numPr>
          <w:ilvl w:val="0"/>
          <w:numId w:val="36"/>
        </w:numPr>
      </w:pPr>
      <w:r w:rsidRPr="00224FF3">
        <w:rPr>
          <w:b/>
          <w:bCs/>
        </w:rPr>
        <w:t xml:space="preserve">Development of </w:t>
      </w:r>
      <w:r w:rsidR="00F1760C" w:rsidRPr="00224FF3">
        <w:rPr>
          <w:b/>
          <w:bCs/>
        </w:rPr>
        <w:t>a</w:t>
      </w:r>
      <w:r w:rsidRPr="00224FF3">
        <w:rPr>
          <w:b/>
          <w:bCs/>
        </w:rPr>
        <w:t>dapted CLOs:</w:t>
      </w:r>
      <w:r w:rsidRPr="0079608F">
        <w:t xml:space="preserve"> Create a modified version of the NAEEA CLOs tailored specifically for </w:t>
      </w:r>
      <w:r w:rsidR="002D3F75">
        <w:t>ISEPs</w:t>
      </w:r>
      <w:r w:rsidRPr="0079608F">
        <w:t xml:space="preserve"> to ensure their relevance and applicability.</w:t>
      </w:r>
    </w:p>
    <w:p w14:paraId="50C77967" w14:textId="6AB7C252" w:rsidR="00CF4ABE" w:rsidRPr="0079608F" w:rsidRDefault="5EA564EB" w:rsidP="00224FF3">
      <w:pPr>
        <w:pStyle w:val="Numberedparagraph"/>
        <w:numPr>
          <w:ilvl w:val="0"/>
          <w:numId w:val="36"/>
        </w:numPr>
      </w:pPr>
      <w:r w:rsidRPr="00224FF3">
        <w:rPr>
          <w:b/>
          <w:bCs/>
        </w:rPr>
        <w:t>Cross-</w:t>
      </w:r>
      <w:r w:rsidR="00F1760C" w:rsidRPr="00224FF3">
        <w:rPr>
          <w:b/>
          <w:bCs/>
        </w:rPr>
        <w:t>i</w:t>
      </w:r>
      <w:r w:rsidRPr="00224FF3">
        <w:rPr>
          <w:b/>
          <w:bCs/>
        </w:rPr>
        <w:t xml:space="preserve">nstitutional </w:t>
      </w:r>
      <w:r w:rsidR="00F1760C" w:rsidRPr="00224FF3">
        <w:rPr>
          <w:b/>
          <w:bCs/>
        </w:rPr>
        <w:t>c</w:t>
      </w:r>
      <w:r w:rsidRPr="00224FF3">
        <w:rPr>
          <w:b/>
          <w:bCs/>
        </w:rPr>
        <w:t>ollaboration:</w:t>
      </w:r>
      <w:r>
        <w:t xml:space="preserve"> Continue cross-intuitional collaboration to collect data on efficacy of programs, maintain entry and assessments standards through benchmarking, and resource sharing.</w:t>
      </w:r>
    </w:p>
    <w:p w14:paraId="0F893B43" w14:textId="545A13EF" w:rsidR="00CF4ABE" w:rsidRPr="0079608F" w:rsidRDefault="00CF4ABE" w:rsidP="00224FF3">
      <w:pPr>
        <w:pStyle w:val="Numberedparagraph"/>
        <w:numPr>
          <w:ilvl w:val="0"/>
          <w:numId w:val="36"/>
        </w:numPr>
      </w:pPr>
      <w:r w:rsidRPr="00224FF3">
        <w:rPr>
          <w:b/>
          <w:bCs/>
        </w:rPr>
        <w:t>Development of Community of Practice:</w:t>
      </w:r>
      <w:r w:rsidRPr="0079608F">
        <w:t> Develop an understanding of high school student profiles and target cohorts.</w:t>
      </w:r>
    </w:p>
    <w:p w14:paraId="1EB340D3" w14:textId="035A2973" w:rsidR="00CF4ABE" w:rsidRPr="0079608F" w:rsidRDefault="00CF4ABE" w:rsidP="00224FF3">
      <w:pPr>
        <w:pStyle w:val="Numberedparagraph"/>
        <w:numPr>
          <w:ilvl w:val="0"/>
          <w:numId w:val="36"/>
        </w:numPr>
      </w:pPr>
      <w:r w:rsidRPr="00224FF3">
        <w:rPr>
          <w:b/>
          <w:bCs/>
        </w:rPr>
        <w:t xml:space="preserve">Pedagogy </w:t>
      </w:r>
      <w:r w:rsidR="00F1760C" w:rsidRPr="00224FF3">
        <w:rPr>
          <w:b/>
          <w:bCs/>
        </w:rPr>
        <w:t>d</w:t>
      </w:r>
      <w:r w:rsidRPr="00224FF3">
        <w:rPr>
          <w:b/>
          <w:bCs/>
        </w:rPr>
        <w:t>evelopment:</w:t>
      </w:r>
      <w:r w:rsidRPr="0079608F">
        <w:t xml:space="preserve"> Further develop pedagogical approaches that specifically address the unique needs and learning styles of high school-aged students </w:t>
      </w:r>
    </w:p>
    <w:p w14:paraId="6257C9BC" w14:textId="14337B1F" w:rsidR="00C36979" w:rsidRPr="0079608F" w:rsidRDefault="5EA564EB" w:rsidP="00224FF3">
      <w:pPr>
        <w:pStyle w:val="Numberedparagraph"/>
        <w:numPr>
          <w:ilvl w:val="0"/>
          <w:numId w:val="36"/>
        </w:numPr>
      </w:pPr>
      <w:r w:rsidRPr="00224FF3">
        <w:rPr>
          <w:b/>
          <w:bCs/>
        </w:rPr>
        <w:t>Transition </w:t>
      </w:r>
      <w:r w:rsidR="00F1760C" w:rsidRPr="00224FF3">
        <w:rPr>
          <w:b/>
          <w:bCs/>
        </w:rPr>
        <w:t>p</w:t>
      </w:r>
      <w:r w:rsidRPr="00224FF3">
        <w:rPr>
          <w:b/>
          <w:bCs/>
        </w:rPr>
        <w:t>rocesses for </w:t>
      </w:r>
      <w:r w:rsidR="00F1760C" w:rsidRPr="00224FF3">
        <w:rPr>
          <w:b/>
          <w:bCs/>
        </w:rPr>
        <w:t>s</w:t>
      </w:r>
      <w:r w:rsidRPr="00224FF3">
        <w:rPr>
          <w:b/>
          <w:bCs/>
        </w:rPr>
        <w:t>tudents:</w:t>
      </w:r>
      <w:r>
        <w:t> Ensure the inclusion of transition processes for students at critical junctures to provide clear pathways and support mechanisms to facilitate progression into undergraduate programs.</w:t>
      </w:r>
    </w:p>
    <w:p w14:paraId="08F8B580" w14:textId="3FA53CE2" w:rsidR="00F11604" w:rsidRPr="0079608F" w:rsidRDefault="00C36979" w:rsidP="00A32591">
      <w:pPr>
        <w:pStyle w:val="Heading2"/>
        <w:rPr>
          <w:rFonts w:cs="Arial"/>
        </w:rPr>
      </w:pPr>
      <w:bookmarkStart w:id="65" w:name="_Toc217162494"/>
      <w:bookmarkStart w:id="66" w:name="_Toc232766190"/>
      <w:r>
        <w:lastRenderedPageBreak/>
        <w:t xml:space="preserve">Phase </w:t>
      </w:r>
      <w:r w:rsidR="00224FF3">
        <w:t>t</w:t>
      </w:r>
      <w:r w:rsidR="4701506C">
        <w:t>wo</w:t>
      </w:r>
      <w:r w:rsidR="00DF5403">
        <w:t xml:space="preserve">: </w:t>
      </w:r>
      <w:r w:rsidR="7413E076">
        <w:t>Understanding academic</w:t>
      </w:r>
      <w:r w:rsidR="00DF5403">
        <w:t xml:space="preserve"> outcomes</w:t>
      </w:r>
      <w:bookmarkEnd w:id="65"/>
      <w:bookmarkEnd w:id="66"/>
    </w:p>
    <w:p w14:paraId="7D425C5E" w14:textId="46F10553" w:rsidR="125B6DBC" w:rsidRDefault="5C313E40" w:rsidP="00A32591">
      <w:pPr>
        <w:rPr>
          <w:rFonts w:eastAsia="Arial"/>
        </w:rPr>
      </w:pPr>
      <w:r w:rsidRPr="07AD5326">
        <w:rPr>
          <w:rFonts w:eastAsia="Arial"/>
        </w:rPr>
        <w:t xml:space="preserve">Phase </w:t>
      </w:r>
      <w:r w:rsidR="00224FF3">
        <w:rPr>
          <w:rFonts w:eastAsia="Arial"/>
        </w:rPr>
        <w:t>t</w:t>
      </w:r>
      <w:r w:rsidR="19538B46" w:rsidRPr="07AD5326">
        <w:rPr>
          <w:rFonts w:eastAsia="Arial"/>
        </w:rPr>
        <w:t>wo</w:t>
      </w:r>
      <w:r w:rsidRPr="07AD5326">
        <w:rPr>
          <w:rFonts w:eastAsia="Arial"/>
        </w:rPr>
        <w:t xml:space="preserve"> sought to understand the academic outcomes of students within ISEPs, as well as in the first </w:t>
      </w:r>
      <w:r w:rsidR="34659565" w:rsidRPr="07AD5326">
        <w:rPr>
          <w:rFonts w:eastAsia="Arial"/>
        </w:rPr>
        <w:t xml:space="preserve">year </w:t>
      </w:r>
      <w:r w:rsidRPr="07AD5326">
        <w:rPr>
          <w:rFonts w:eastAsia="Arial"/>
        </w:rPr>
        <w:t xml:space="preserve">of undergraduate studies </w:t>
      </w:r>
      <w:proofErr w:type="gramStart"/>
      <w:r w:rsidR="3F3332E8" w:rsidRPr="07AD5326">
        <w:rPr>
          <w:rFonts w:eastAsia="Arial"/>
        </w:rPr>
        <w:t xml:space="preserve">and in comparison </w:t>
      </w:r>
      <w:proofErr w:type="gramEnd"/>
      <w:r w:rsidRPr="07AD5326">
        <w:rPr>
          <w:rFonts w:eastAsia="Arial"/>
        </w:rPr>
        <w:t>to peers en</w:t>
      </w:r>
      <w:r w:rsidR="5C5F4D9C" w:rsidRPr="07AD5326">
        <w:rPr>
          <w:rFonts w:eastAsia="Arial"/>
        </w:rPr>
        <w:t>te</w:t>
      </w:r>
      <w:r w:rsidRPr="07AD5326">
        <w:rPr>
          <w:rFonts w:eastAsia="Arial"/>
        </w:rPr>
        <w:t xml:space="preserve">ring university from high school via other pathways (including post-school </w:t>
      </w:r>
      <w:r w:rsidR="003A6954">
        <w:rPr>
          <w:rFonts w:eastAsia="Arial"/>
        </w:rPr>
        <w:t>e</w:t>
      </w:r>
      <w:r w:rsidRPr="07AD5326">
        <w:rPr>
          <w:rFonts w:eastAsia="Arial"/>
        </w:rPr>
        <w:t>nabling programs and direct entry via ATAR pathways).</w:t>
      </w:r>
      <w:r w:rsidR="0F6C5279" w:rsidRPr="07AD5326">
        <w:rPr>
          <w:rFonts w:eastAsia="Arial"/>
        </w:rPr>
        <w:t xml:space="preserve"> The findings consider academic outcomes in relation to the typology of ISEPs, and program maturity and cohort size across the four participating universities.</w:t>
      </w:r>
    </w:p>
    <w:p w14:paraId="30990873" w14:textId="6E4EE817" w:rsidR="32755B6F" w:rsidRPr="00852A5A" w:rsidRDefault="39819254" w:rsidP="00A32591">
      <w:pPr>
        <w:pStyle w:val="Heading3"/>
        <w:rPr>
          <w:color w:val="6B3B57"/>
        </w:rPr>
      </w:pPr>
      <w:bookmarkStart w:id="67" w:name="_Toc217162495"/>
      <w:bookmarkStart w:id="68" w:name="_Toc232766191"/>
      <w:r w:rsidRPr="00852A5A">
        <w:rPr>
          <w:color w:val="6B3B57"/>
        </w:rPr>
        <w:t xml:space="preserve">Part I: </w:t>
      </w:r>
      <w:r w:rsidR="7849FC2A" w:rsidRPr="00852A5A">
        <w:rPr>
          <w:color w:val="6B3B57"/>
        </w:rPr>
        <w:t xml:space="preserve">Outcomes within </w:t>
      </w:r>
      <w:r w:rsidR="00330203">
        <w:rPr>
          <w:color w:val="6B3B57"/>
        </w:rPr>
        <w:t>i</w:t>
      </w:r>
      <w:r w:rsidRPr="00852A5A">
        <w:rPr>
          <w:color w:val="6B3B57"/>
        </w:rPr>
        <w:t>n-</w:t>
      </w:r>
      <w:r w:rsidR="00330203">
        <w:rPr>
          <w:color w:val="6B3B57"/>
        </w:rPr>
        <w:t>s</w:t>
      </w:r>
      <w:r w:rsidRPr="00852A5A">
        <w:rPr>
          <w:color w:val="6B3B57"/>
        </w:rPr>
        <w:t xml:space="preserve">chool </w:t>
      </w:r>
      <w:r w:rsidR="00330203">
        <w:rPr>
          <w:color w:val="6B3B57"/>
        </w:rPr>
        <w:t>e</w:t>
      </w:r>
      <w:r w:rsidRPr="00852A5A">
        <w:rPr>
          <w:color w:val="6B3B57"/>
        </w:rPr>
        <w:t xml:space="preserve">nabling </w:t>
      </w:r>
      <w:r w:rsidR="00330203">
        <w:rPr>
          <w:color w:val="6B3B57"/>
        </w:rPr>
        <w:t>p</w:t>
      </w:r>
      <w:r w:rsidR="78362C6D" w:rsidRPr="00852A5A">
        <w:rPr>
          <w:color w:val="6B3B57"/>
        </w:rPr>
        <w:t>rogram</w:t>
      </w:r>
      <w:r w:rsidR="610C28BB" w:rsidRPr="00852A5A">
        <w:rPr>
          <w:color w:val="6B3B57"/>
        </w:rPr>
        <w:t>s</w:t>
      </w:r>
      <w:bookmarkEnd w:id="67"/>
      <w:bookmarkEnd w:id="68"/>
    </w:p>
    <w:p w14:paraId="73432F5D" w14:textId="1A924681" w:rsidR="00E806D4" w:rsidRPr="002C72DF" w:rsidRDefault="32755B6F" w:rsidP="00A32591">
      <w:pPr>
        <w:rPr>
          <w:rFonts w:eastAsia="Inter Light"/>
          <w:lang w:val="en-US"/>
        </w:rPr>
      </w:pPr>
      <w:r w:rsidRPr="658F4599">
        <w:rPr>
          <w:rFonts w:eastAsia="Inter Light"/>
        </w:rPr>
        <w:t>The equity status of student cohorts enrolling in the I</w:t>
      </w:r>
      <w:r w:rsidR="0AF9E3A5" w:rsidRPr="658F4599">
        <w:rPr>
          <w:rFonts w:eastAsia="Inter Light"/>
        </w:rPr>
        <w:t>SEP</w:t>
      </w:r>
      <w:r w:rsidRPr="658F4599">
        <w:rPr>
          <w:rFonts w:eastAsia="Inter Light"/>
        </w:rPr>
        <w:t xml:space="preserve">s offered at the four institutions were examined (Figure 2). Equity groups included in this analysis were: English as an </w:t>
      </w:r>
      <w:r w:rsidR="00852A5A">
        <w:rPr>
          <w:rFonts w:eastAsia="Inter Light"/>
        </w:rPr>
        <w:t>a</w:t>
      </w:r>
      <w:r w:rsidRPr="658F4599">
        <w:rPr>
          <w:rFonts w:eastAsia="Inter Light"/>
        </w:rPr>
        <w:t xml:space="preserve">dditional </w:t>
      </w:r>
      <w:r w:rsidR="00852A5A">
        <w:rPr>
          <w:rFonts w:eastAsia="Inter Light"/>
        </w:rPr>
        <w:t>l</w:t>
      </w:r>
      <w:r w:rsidRPr="658F4599">
        <w:rPr>
          <w:rFonts w:eastAsia="Inter Light"/>
        </w:rPr>
        <w:t xml:space="preserve">anguage or </w:t>
      </w:r>
      <w:r w:rsidR="00852A5A">
        <w:rPr>
          <w:rFonts w:eastAsia="Inter Light"/>
        </w:rPr>
        <w:t>d</w:t>
      </w:r>
      <w:r w:rsidRPr="658F4599">
        <w:rPr>
          <w:rFonts w:eastAsia="Inter Light"/>
        </w:rPr>
        <w:t xml:space="preserve">ialect, low </w:t>
      </w:r>
      <w:r w:rsidR="40B45F3A" w:rsidRPr="658F4599">
        <w:rPr>
          <w:rFonts w:eastAsia="Inter Light"/>
        </w:rPr>
        <w:t>socio</w:t>
      </w:r>
      <w:r w:rsidR="00852A5A">
        <w:rPr>
          <w:rFonts w:eastAsia="Inter Light"/>
        </w:rPr>
        <w:t>-</w:t>
      </w:r>
      <w:r w:rsidR="40B45F3A" w:rsidRPr="658F4599">
        <w:rPr>
          <w:rFonts w:eastAsia="Inter Light"/>
        </w:rPr>
        <w:t xml:space="preserve">economic status </w:t>
      </w:r>
      <w:r w:rsidR="531EC8D9" w:rsidRPr="658F4599">
        <w:rPr>
          <w:rFonts w:eastAsia="Inter Light"/>
        </w:rPr>
        <w:t>(</w:t>
      </w:r>
      <w:r w:rsidRPr="658F4599">
        <w:rPr>
          <w:rFonts w:eastAsia="Inter Light"/>
        </w:rPr>
        <w:t>SES</w:t>
      </w:r>
      <w:r w:rsidR="675C91E1" w:rsidRPr="658F4599">
        <w:rPr>
          <w:rFonts w:eastAsia="Inter Light"/>
        </w:rPr>
        <w:t>),</w:t>
      </w:r>
      <w:r w:rsidRPr="658F4599">
        <w:rPr>
          <w:rFonts w:eastAsia="Inter Light"/>
        </w:rPr>
        <w:t xml:space="preserve"> regional/remote, disability</w:t>
      </w:r>
      <w:r w:rsidR="00852A5A">
        <w:rPr>
          <w:rFonts w:eastAsia="Inter Light"/>
        </w:rPr>
        <w:t>,</w:t>
      </w:r>
      <w:r w:rsidRPr="658F4599">
        <w:rPr>
          <w:rFonts w:eastAsia="Inter Light"/>
        </w:rPr>
        <w:t xml:space="preserve"> and Aboriginal and/or Torres Strait Islander (see </w:t>
      </w:r>
      <w:r w:rsidR="00AA06AF">
        <w:rPr>
          <w:rFonts w:eastAsia="Inter Light"/>
        </w:rPr>
        <w:t>Figure</w:t>
      </w:r>
      <w:r w:rsidR="00AA06AF" w:rsidRPr="658F4599">
        <w:rPr>
          <w:rFonts w:eastAsia="Inter Light"/>
        </w:rPr>
        <w:t xml:space="preserve"> </w:t>
      </w:r>
      <w:r w:rsidRPr="658F4599">
        <w:rPr>
          <w:rFonts w:eastAsia="Inter Light"/>
        </w:rPr>
        <w:t xml:space="preserve">2). As shown in Figure 2, 37% of </w:t>
      </w:r>
      <w:r w:rsidRPr="00C473BD">
        <w:rPr>
          <w:rFonts w:eastAsia="Inter Light"/>
          <w:iCs/>
        </w:rPr>
        <w:t xml:space="preserve">ECU </w:t>
      </w:r>
      <w:proofErr w:type="spellStart"/>
      <w:r w:rsidRPr="00C473BD">
        <w:rPr>
          <w:rFonts w:eastAsia="Inter Light"/>
          <w:iCs/>
        </w:rPr>
        <w:t>UniPrep</w:t>
      </w:r>
      <w:proofErr w:type="spellEnd"/>
      <w:r w:rsidRPr="00C473BD">
        <w:rPr>
          <w:rFonts w:eastAsia="Inter Light"/>
          <w:iCs/>
        </w:rPr>
        <w:t xml:space="preserve"> Schools</w:t>
      </w:r>
      <w:r w:rsidRPr="658F4599">
        <w:rPr>
          <w:rFonts w:eastAsia="Inter Light"/>
        </w:rPr>
        <w:t xml:space="preserve"> students and 31% of </w:t>
      </w:r>
      <w:r w:rsidRPr="00C473BD">
        <w:rPr>
          <w:rFonts w:eastAsia="Inter Light"/>
          <w:iCs/>
        </w:rPr>
        <w:t xml:space="preserve">MU </w:t>
      </w:r>
      <w:proofErr w:type="spellStart"/>
      <w:r w:rsidRPr="00C473BD">
        <w:rPr>
          <w:rFonts w:eastAsia="Inter Light"/>
          <w:iCs/>
        </w:rPr>
        <w:t>FlexiTrack</w:t>
      </w:r>
      <w:proofErr w:type="spellEnd"/>
      <w:r w:rsidRPr="00C473BD">
        <w:rPr>
          <w:rFonts w:eastAsia="Inter Light"/>
          <w:iCs/>
        </w:rPr>
        <w:t xml:space="preserve"> High</w:t>
      </w:r>
      <w:r w:rsidRPr="658F4599">
        <w:rPr>
          <w:rFonts w:eastAsia="Inter Light"/>
        </w:rPr>
        <w:t xml:space="preserve"> students belonged to one or more equity groups. </w:t>
      </w:r>
      <w:r w:rsidR="00852A5A">
        <w:rPr>
          <w:rFonts w:eastAsia="Inter Light"/>
        </w:rPr>
        <w:t>The m</w:t>
      </w:r>
      <w:r w:rsidRPr="658F4599">
        <w:rPr>
          <w:rFonts w:eastAsia="Inter Light"/>
        </w:rPr>
        <w:t xml:space="preserve">ajority (80%) of the </w:t>
      </w:r>
      <w:proofErr w:type="spellStart"/>
      <w:r w:rsidRPr="00C473BD">
        <w:rPr>
          <w:rFonts w:eastAsia="Inter Light"/>
          <w:iCs/>
        </w:rPr>
        <w:t>UniSQ</w:t>
      </w:r>
      <w:proofErr w:type="spellEnd"/>
      <w:r w:rsidRPr="00C473BD">
        <w:rPr>
          <w:rFonts w:eastAsia="Inter Light"/>
          <w:iCs/>
        </w:rPr>
        <w:t xml:space="preserve"> </w:t>
      </w:r>
      <w:proofErr w:type="spellStart"/>
      <w:r w:rsidRPr="00C473BD">
        <w:rPr>
          <w:rFonts w:eastAsia="Inter Light"/>
          <w:iCs/>
        </w:rPr>
        <w:t>UniPrep</w:t>
      </w:r>
      <w:proofErr w:type="spellEnd"/>
      <w:r w:rsidRPr="658F4599">
        <w:rPr>
          <w:rFonts w:eastAsia="Inter Light"/>
        </w:rPr>
        <w:t xml:space="preserve"> cohort belonged to one or more equity groups. This may be explained in part by the high proportions of </w:t>
      </w:r>
      <w:proofErr w:type="spellStart"/>
      <w:r w:rsidRPr="00CB282F">
        <w:rPr>
          <w:rFonts w:eastAsia="Inter Light"/>
          <w:iCs/>
        </w:rPr>
        <w:t>UniSQ</w:t>
      </w:r>
      <w:proofErr w:type="spellEnd"/>
      <w:r w:rsidRPr="00CB282F">
        <w:rPr>
          <w:rFonts w:eastAsia="Inter Light"/>
          <w:iCs/>
        </w:rPr>
        <w:t xml:space="preserve"> </w:t>
      </w:r>
      <w:proofErr w:type="spellStart"/>
      <w:r w:rsidRPr="00CB282F">
        <w:rPr>
          <w:rFonts w:eastAsia="Inter Light"/>
          <w:iCs/>
        </w:rPr>
        <w:t>UniPrep</w:t>
      </w:r>
      <w:proofErr w:type="spellEnd"/>
      <w:r w:rsidRPr="658F4599">
        <w:rPr>
          <w:rFonts w:eastAsia="Inter Light"/>
        </w:rPr>
        <w:t xml:space="preserve"> students residing in low SES and/or regional and remote postcodes.</w:t>
      </w:r>
      <w:r w:rsidR="64A9B0BA" w:rsidRPr="658F4599">
        <w:rPr>
          <w:rFonts w:eastAsia="Inter Light"/>
        </w:rPr>
        <w:t xml:space="preserve"> This demographic information was not captured for </w:t>
      </w:r>
      <w:r w:rsidR="64A9B0BA" w:rsidRPr="00CB282F">
        <w:rPr>
          <w:rFonts w:eastAsia="Inter Light"/>
          <w:iCs/>
        </w:rPr>
        <w:t xml:space="preserve">SCU </w:t>
      </w:r>
      <w:proofErr w:type="spellStart"/>
      <w:r w:rsidR="64A9B0BA" w:rsidRPr="00CB282F">
        <w:rPr>
          <w:rFonts w:eastAsia="Inter Light"/>
          <w:iCs/>
        </w:rPr>
        <w:t>UniStart</w:t>
      </w:r>
      <w:proofErr w:type="spellEnd"/>
      <w:r w:rsidR="64A9B0BA" w:rsidRPr="00CB282F">
        <w:rPr>
          <w:rFonts w:eastAsia="Inter Light"/>
          <w:iCs/>
        </w:rPr>
        <w:t xml:space="preserve"> for Schools</w:t>
      </w:r>
      <w:r w:rsidR="64A9B0BA" w:rsidRPr="658F4599">
        <w:rPr>
          <w:rFonts w:eastAsia="Inter Light"/>
        </w:rPr>
        <w:t>.</w:t>
      </w:r>
    </w:p>
    <w:p w14:paraId="5E6F92A2" w14:textId="3F4D838B" w:rsidR="3082AB28" w:rsidRDefault="3082AB28" w:rsidP="00B40170">
      <w:r>
        <w:t xml:space="preserve">As noted in </w:t>
      </w:r>
      <w:r w:rsidR="00852A5A">
        <w:t>p</w:t>
      </w:r>
      <w:r>
        <w:t xml:space="preserve">hase </w:t>
      </w:r>
      <w:r w:rsidR="00852A5A">
        <w:t>o</w:t>
      </w:r>
      <w:r w:rsidR="0045094B">
        <w:t>ne</w:t>
      </w:r>
      <w:r>
        <w:t xml:space="preserve">, ISEPs are </w:t>
      </w:r>
      <w:r w:rsidR="210DFF90">
        <w:t>design</w:t>
      </w:r>
      <w:r w:rsidR="00852A5A">
        <w:t>ed</w:t>
      </w:r>
      <w:r w:rsidR="210DFF90">
        <w:t xml:space="preserve"> for and have </w:t>
      </w:r>
      <w:r w:rsidR="4C28C2FA">
        <w:t>eligibility</w:t>
      </w:r>
      <w:r>
        <w:t xml:space="preserve"> criteria of students who have faced educational disadvantage or disruption. This definition extends beyond </w:t>
      </w:r>
      <w:r w:rsidR="355C75D3">
        <w:t xml:space="preserve">government-defined equity groups and reflects populations recognised in the sector as experiencing educational disadvantage, such as carers, students who </w:t>
      </w:r>
      <w:r w:rsidR="00852A5A">
        <w:t xml:space="preserve">are </w:t>
      </w:r>
      <w:r w:rsidR="355C75D3">
        <w:t>first-in-family to attend university, refugees</w:t>
      </w:r>
      <w:r w:rsidR="00CB282F">
        <w:t>,</w:t>
      </w:r>
      <w:r w:rsidR="355C75D3">
        <w:t xml:space="preserve"> and students in out-of-home care</w:t>
      </w:r>
      <w:r w:rsidR="7EBABD04">
        <w:t xml:space="preserve"> (Department of Education, 202</w:t>
      </w:r>
      <w:r w:rsidR="00154865">
        <w:t>4b</w:t>
      </w:r>
      <w:r w:rsidR="7EBABD04">
        <w:t>; Harvey et al., 2016).</w:t>
      </w:r>
      <w:r w:rsidR="355C75D3">
        <w:t xml:space="preserve"> </w:t>
      </w:r>
      <w:r w:rsidR="00B7555A">
        <w:t>These groups are known to be enrolled in ISEPs</w:t>
      </w:r>
      <w:r w:rsidR="006E67BB">
        <w:t>, particularly students who are first-in-family</w:t>
      </w:r>
      <w:r w:rsidR="00B7555A">
        <w:t xml:space="preserve">, </w:t>
      </w:r>
      <w:proofErr w:type="gramStart"/>
      <w:r w:rsidR="00B7555A">
        <w:t>however</w:t>
      </w:r>
      <w:proofErr w:type="gramEnd"/>
      <w:r w:rsidR="00B7555A">
        <w:t xml:space="preserve"> are not reflected in the proportions reported above as not all universities collect this information</w:t>
      </w:r>
      <w:r w:rsidR="005B13AA">
        <w:t xml:space="preserve">. </w:t>
      </w:r>
      <w:r w:rsidR="001B2C7F">
        <w:t xml:space="preserve">Similarly, </w:t>
      </w:r>
      <w:r w:rsidR="00B40170">
        <w:t>c</w:t>
      </w:r>
      <w:r w:rsidR="17AF7FD5">
        <w:t xml:space="preserve">hallenges with accessing data </w:t>
      </w:r>
      <w:r w:rsidR="00B40170">
        <w:t xml:space="preserve">as noted above </w:t>
      </w:r>
      <w:r w:rsidR="2897DF19">
        <w:t>als</w:t>
      </w:r>
      <w:r w:rsidR="17AF7FD5">
        <w:t>o limit visibility of equity cohorts.</w:t>
      </w:r>
    </w:p>
    <w:p w14:paraId="750CCDD3" w14:textId="3382B02B" w:rsidR="32755B6F" w:rsidRPr="00CB282F" w:rsidRDefault="32755B6F" w:rsidP="00035EA4">
      <w:pPr>
        <w:pStyle w:val="Figureheading"/>
        <w:rPr>
          <w:rFonts w:eastAsia="Inter Light"/>
          <w:lang w:val="en-US"/>
        </w:rPr>
      </w:pPr>
      <w:bookmarkStart w:id="69" w:name="_Toc232575185"/>
      <w:r w:rsidRPr="00CB282F">
        <w:rPr>
          <w:rFonts w:eastAsia="Inter Light"/>
        </w:rPr>
        <w:t>Figure 2</w:t>
      </w:r>
      <w:r w:rsidR="00F431FC">
        <w:rPr>
          <w:rFonts w:eastAsia="Inter Light"/>
        </w:rPr>
        <w:t>:</w:t>
      </w:r>
      <w:r w:rsidRPr="00CB282F">
        <w:rPr>
          <w:rFonts w:eastAsia="Inter Light"/>
        </w:rPr>
        <w:t xml:space="preserve"> The proportion of </w:t>
      </w:r>
      <w:r w:rsidRPr="00035EA4">
        <w:rPr>
          <w:rFonts w:eastAsia="Inter Light"/>
        </w:rPr>
        <w:t>students</w:t>
      </w:r>
      <w:r w:rsidRPr="00CB282F">
        <w:rPr>
          <w:rFonts w:eastAsia="Inter Light"/>
        </w:rPr>
        <w:t xml:space="preserve"> enrolled in the </w:t>
      </w:r>
      <w:r w:rsidR="00895CFA">
        <w:rPr>
          <w:rFonts w:eastAsia="Inter Light"/>
        </w:rPr>
        <w:t>in-school enabling program</w:t>
      </w:r>
      <w:r w:rsidRPr="00CB282F">
        <w:rPr>
          <w:rFonts w:eastAsia="Inter Light"/>
        </w:rPr>
        <w:t xml:space="preserve"> between 2021</w:t>
      </w:r>
      <w:r w:rsidR="00F47E65">
        <w:rPr>
          <w:rFonts w:eastAsia="Inter Light"/>
        </w:rPr>
        <w:t>–</w:t>
      </w:r>
      <w:r w:rsidRPr="00CB282F">
        <w:rPr>
          <w:rFonts w:eastAsia="Inter Light"/>
        </w:rPr>
        <w:t>2023 that belonged to (A) none, one, or two or more equity groups and (B) who were identified as residing in low SES or regional/remote postcodes</w:t>
      </w:r>
      <w:r w:rsidR="00CB282F">
        <w:rPr>
          <w:rFonts w:eastAsia="Inter Light"/>
        </w:rPr>
        <w:t>.</w:t>
      </w:r>
      <w:bookmarkEnd w:id="69"/>
      <w:r w:rsidRPr="00CB282F">
        <w:rPr>
          <w:rFonts w:eastAsia="Inter Light"/>
        </w:rPr>
        <w:t xml:space="preserve"> </w:t>
      </w:r>
    </w:p>
    <w:p w14:paraId="56A087C3" w14:textId="126B9548" w:rsidR="32755B6F" w:rsidRDefault="32755B6F" w:rsidP="00A32591">
      <w:r w:rsidRPr="658F4599">
        <w:rPr>
          <w:rFonts w:eastAsia="Inter Light"/>
        </w:rPr>
        <w:t xml:space="preserve"> </w:t>
      </w:r>
      <w:r w:rsidR="422BBF47">
        <w:rPr>
          <w:noProof/>
        </w:rPr>
        <w:drawing>
          <wp:inline distT="0" distB="0" distL="0" distR="0" wp14:anchorId="3E5DC3C1" wp14:editId="40BA8552">
            <wp:extent cx="2892636" cy="1960102"/>
            <wp:effectExtent l="0" t="0" r="0" b="0"/>
            <wp:docPr id="122772025" name="drawing" descr="Figure 2, 37% of ECU UniPrep Schools students and 31% of MU FlexiTrack High students belonged to one or more equity groups. Majority (80%) of the UniSQ UniPrep cohort belonged to one or more equity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2025" name="drawing" descr="Figure 2, 37% of ECU UniPrep Schools students and 31% of MU FlexiTrack High students belonged to one or more equity groups. Majority (80%) of the UniSQ UniPrep cohort belonged to one or more equity groups"/>
                    <pic:cNvPicPr/>
                  </pic:nvPicPr>
                  <pic:blipFill>
                    <a:blip r:embed="rId16">
                      <a:extLst>
                        <a:ext uri="{28A0092B-C50C-407E-A947-70E740481C1C}">
                          <a14:useLocalDpi xmlns:a14="http://schemas.microsoft.com/office/drawing/2010/main"/>
                        </a:ext>
                      </a:extLst>
                    </a:blip>
                    <a:stretch>
                      <a:fillRect/>
                    </a:stretch>
                  </pic:blipFill>
                  <pic:spPr>
                    <a:xfrm>
                      <a:off x="0" y="0"/>
                      <a:ext cx="2892636" cy="1960102"/>
                    </a:xfrm>
                    <a:prstGeom prst="rect">
                      <a:avLst/>
                    </a:prstGeom>
                  </pic:spPr>
                </pic:pic>
              </a:graphicData>
            </a:graphic>
          </wp:inline>
        </w:drawing>
      </w:r>
      <w:r w:rsidR="422BBF47">
        <w:rPr>
          <w:noProof/>
        </w:rPr>
        <w:drawing>
          <wp:inline distT="0" distB="0" distL="0" distR="0" wp14:anchorId="1CA177C8" wp14:editId="70F9A9A7">
            <wp:extent cx="2736035" cy="1967926"/>
            <wp:effectExtent l="0" t="0" r="0" b="0"/>
            <wp:docPr id="1610199463" name="drawing" descr="Figure 2. The proportion of students enrolled in the ISEP between 2021-2023  who were identified as residing in low SES or regional/remote postco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99463" name="drawing" descr="Figure 2. The proportion of students enrolled in the ISEP between 2021-2023  who were identified as residing in low SES or regional/remote postcodes "/>
                    <pic:cNvPicPr/>
                  </pic:nvPicPr>
                  <pic:blipFill>
                    <a:blip r:embed="rId17">
                      <a:extLst>
                        <a:ext uri="{28A0092B-C50C-407E-A947-70E740481C1C}">
                          <a14:useLocalDpi xmlns:a14="http://schemas.microsoft.com/office/drawing/2010/main"/>
                        </a:ext>
                      </a:extLst>
                    </a:blip>
                    <a:stretch>
                      <a:fillRect/>
                    </a:stretch>
                  </pic:blipFill>
                  <pic:spPr>
                    <a:xfrm>
                      <a:off x="0" y="0"/>
                      <a:ext cx="2736035" cy="1967926"/>
                    </a:xfrm>
                    <a:prstGeom prst="rect">
                      <a:avLst/>
                    </a:prstGeom>
                  </pic:spPr>
                </pic:pic>
              </a:graphicData>
            </a:graphic>
          </wp:inline>
        </w:drawing>
      </w:r>
    </w:p>
    <w:p w14:paraId="4081FBB5" w14:textId="7F5E7FDA" w:rsidR="6771494A" w:rsidRPr="00C327C8" w:rsidRDefault="00C327C8" w:rsidP="00C327C8">
      <w:pPr>
        <w:pStyle w:val="FigureNote"/>
        <w:spacing w:after="240"/>
      </w:pPr>
      <w:r w:rsidRPr="00C327C8">
        <w:t>Note: ECU</w:t>
      </w:r>
      <w:r w:rsidR="00F47E65">
        <w:t>,</w:t>
      </w:r>
      <w:r w:rsidRPr="00C327C8">
        <w:t xml:space="preserve"> </w:t>
      </w:r>
      <w:r w:rsidRPr="00B43A6C">
        <w:rPr>
          <w:i/>
          <w:iCs/>
        </w:rPr>
        <w:t>n</w:t>
      </w:r>
      <w:r w:rsidR="00F47E65">
        <w:t xml:space="preserve"> </w:t>
      </w:r>
      <w:r w:rsidRPr="00C327C8">
        <w:t>=</w:t>
      </w:r>
      <w:r w:rsidR="00F47E65">
        <w:t xml:space="preserve"> </w:t>
      </w:r>
      <w:r w:rsidRPr="00C327C8">
        <w:t>891</w:t>
      </w:r>
      <w:r w:rsidR="00F47E65">
        <w:t>;</w:t>
      </w:r>
      <w:r w:rsidRPr="00C327C8">
        <w:t xml:space="preserve"> MU</w:t>
      </w:r>
      <w:r w:rsidR="00F47E65">
        <w:t>,</w:t>
      </w:r>
      <w:r w:rsidRPr="00C327C8">
        <w:t xml:space="preserve"> </w:t>
      </w:r>
      <w:r w:rsidRPr="00B43A6C">
        <w:rPr>
          <w:i/>
          <w:iCs/>
        </w:rPr>
        <w:t>n</w:t>
      </w:r>
      <w:r w:rsidR="00F47E65">
        <w:t xml:space="preserve"> </w:t>
      </w:r>
      <w:r w:rsidRPr="00C327C8">
        <w:t>=</w:t>
      </w:r>
      <w:r w:rsidR="00F47E65">
        <w:t xml:space="preserve"> </w:t>
      </w:r>
      <w:r w:rsidRPr="00C327C8">
        <w:t>630</w:t>
      </w:r>
      <w:r w:rsidR="00F47E65">
        <w:t>;</w:t>
      </w:r>
      <w:r w:rsidRPr="00C327C8">
        <w:t xml:space="preserve"> </w:t>
      </w:r>
      <w:proofErr w:type="spellStart"/>
      <w:r w:rsidRPr="00C327C8">
        <w:t>UniSQ</w:t>
      </w:r>
      <w:proofErr w:type="spellEnd"/>
      <w:r w:rsidR="00F47E65">
        <w:t>,</w:t>
      </w:r>
      <w:r w:rsidRPr="00C327C8">
        <w:t xml:space="preserve"> </w:t>
      </w:r>
      <w:r w:rsidRPr="00B43A6C">
        <w:rPr>
          <w:i/>
          <w:iCs/>
        </w:rPr>
        <w:t>n</w:t>
      </w:r>
      <w:r w:rsidR="00F47E65">
        <w:t xml:space="preserve"> </w:t>
      </w:r>
      <w:r w:rsidRPr="00C327C8">
        <w:t>=</w:t>
      </w:r>
      <w:r w:rsidR="00F47E65">
        <w:t xml:space="preserve"> </w:t>
      </w:r>
      <w:r w:rsidRPr="00C327C8">
        <w:t>264</w:t>
      </w:r>
      <w:r w:rsidR="00F47E65">
        <w:t>;</w:t>
      </w:r>
      <w:r w:rsidRPr="00C327C8">
        <w:t xml:space="preserve"> SCU data was not available.</w:t>
      </w:r>
    </w:p>
    <w:p w14:paraId="17CD9D18" w14:textId="7F364D0E" w:rsidR="32755B6F" w:rsidRPr="00817622" w:rsidRDefault="39819254" w:rsidP="00A32591">
      <w:pPr>
        <w:rPr>
          <w:rFonts w:eastAsia="Inter Light"/>
        </w:rPr>
      </w:pPr>
      <w:r w:rsidRPr="07AD5326">
        <w:rPr>
          <w:rFonts w:eastAsia="Inter Light"/>
        </w:rPr>
        <w:lastRenderedPageBreak/>
        <w:t xml:space="preserve">Next, the </w:t>
      </w:r>
      <w:r w:rsidR="3CE1233C" w:rsidRPr="07AD5326">
        <w:rPr>
          <w:rFonts w:eastAsia="Inter Light"/>
        </w:rPr>
        <w:t>ISEP</w:t>
      </w:r>
      <w:r w:rsidRPr="07AD5326">
        <w:rPr>
          <w:rFonts w:eastAsia="Inter Light"/>
        </w:rPr>
        <w:t xml:space="preserve"> student success, completion</w:t>
      </w:r>
      <w:r w:rsidR="00794460">
        <w:rPr>
          <w:rFonts w:eastAsia="Inter Light"/>
        </w:rPr>
        <w:t>,</w:t>
      </w:r>
      <w:r w:rsidRPr="07AD5326">
        <w:rPr>
          <w:rFonts w:eastAsia="Inter Light"/>
        </w:rPr>
        <w:t xml:space="preserve"> and conversion to undergraduate rates were analysed. Table </w:t>
      </w:r>
      <w:r w:rsidR="74A8E5DA" w:rsidRPr="07AD5326">
        <w:rPr>
          <w:rFonts w:eastAsia="Inter Light"/>
        </w:rPr>
        <w:t>5</w:t>
      </w:r>
      <w:r w:rsidRPr="07AD5326">
        <w:rPr>
          <w:rFonts w:eastAsia="Inter Light"/>
        </w:rPr>
        <w:t xml:space="preserve"> shows that firstly, in-program success rates ranged from 73</w:t>
      </w:r>
      <w:r w:rsidR="00F47E65">
        <w:rPr>
          <w:rFonts w:eastAsia="Inter Light"/>
        </w:rPr>
        <w:t>–</w:t>
      </w:r>
      <w:r w:rsidRPr="07AD5326">
        <w:rPr>
          <w:rFonts w:eastAsia="Inter Light"/>
        </w:rPr>
        <w:t xml:space="preserve">91%, with the overall success rate sitting at 87% (based on total EFTSL passed versus attempted across all four programs). Secondly, the </w:t>
      </w:r>
      <w:r w:rsidR="00135160">
        <w:rPr>
          <w:rFonts w:eastAsia="Inter Light"/>
        </w:rPr>
        <w:t>program</w:t>
      </w:r>
      <w:r w:rsidRPr="07AD5326">
        <w:rPr>
          <w:rFonts w:eastAsia="Inter Light"/>
        </w:rPr>
        <w:t xml:space="preserve"> completion rate ranged from 70</w:t>
      </w:r>
      <w:r w:rsidR="00F47E65">
        <w:rPr>
          <w:rFonts w:eastAsia="Inter Light"/>
        </w:rPr>
        <w:t>–</w:t>
      </w:r>
      <w:r w:rsidRPr="07AD5326">
        <w:rPr>
          <w:rFonts w:eastAsia="Inter Light"/>
        </w:rPr>
        <w:t xml:space="preserve">90% for programs where data were available; and overall, 79% (1161/1474) of all students who attempted an </w:t>
      </w:r>
      <w:r w:rsidR="3E8D4CDA" w:rsidRPr="07AD5326">
        <w:rPr>
          <w:rFonts w:eastAsia="Inter Light"/>
        </w:rPr>
        <w:t>ISEP</w:t>
      </w:r>
      <w:r w:rsidRPr="07AD5326">
        <w:rPr>
          <w:rFonts w:eastAsia="Inter Light"/>
        </w:rPr>
        <w:t xml:space="preserve"> at ECU, MU</w:t>
      </w:r>
      <w:r w:rsidR="00794460">
        <w:rPr>
          <w:rFonts w:eastAsia="Inter Light"/>
        </w:rPr>
        <w:t>,</w:t>
      </w:r>
      <w:r w:rsidRPr="07AD5326">
        <w:rPr>
          <w:rFonts w:eastAsia="Inter Light"/>
        </w:rPr>
        <w:t xml:space="preserve"> or SCU in 2021</w:t>
      </w:r>
      <w:r w:rsidR="00F47E65">
        <w:rPr>
          <w:rFonts w:eastAsia="Inter Light"/>
        </w:rPr>
        <w:t>–</w:t>
      </w:r>
      <w:r w:rsidRPr="07AD5326">
        <w:rPr>
          <w:rFonts w:eastAsia="Inter Light"/>
        </w:rPr>
        <w:t xml:space="preserve">2023 completed the </w:t>
      </w:r>
      <w:r w:rsidR="00135160">
        <w:rPr>
          <w:rFonts w:eastAsia="Inter Light"/>
        </w:rPr>
        <w:t>program</w:t>
      </w:r>
      <w:r w:rsidRPr="07AD5326">
        <w:rPr>
          <w:rFonts w:eastAsia="Inter Light"/>
        </w:rPr>
        <w:t>. Lastly, of those who completed the program in 2021</w:t>
      </w:r>
      <w:r w:rsidR="00F47E65">
        <w:rPr>
          <w:rFonts w:eastAsia="Inter Light"/>
        </w:rPr>
        <w:t>–</w:t>
      </w:r>
      <w:r w:rsidRPr="07AD5326">
        <w:rPr>
          <w:rFonts w:eastAsia="Inter Light"/>
        </w:rPr>
        <w:t>2023, the conversion to undergraduate enrolment rate ranged from 24</w:t>
      </w:r>
      <w:r w:rsidR="00F47E65">
        <w:rPr>
          <w:rFonts w:eastAsia="Inter Light"/>
        </w:rPr>
        <w:t>–</w:t>
      </w:r>
      <w:r w:rsidRPr="07AD5326">
        <w:rPr>
          <w:rFonts w:eastAsia="Inter Light"/>
        </w:rPr>
        <w:t xml:space="preserve">54% across the four universities (Table </w:t>
      </w:r>
      <w:r w:rsidR="60FE16DF" w:rsidRPr="07AD5326">
        <w:rPr>
          <w:rFonts w:eastAsia="Inter Light"/>
        </w:rPr>
        <w:t>5</w:t>
      </w:r>
      <w:r w:rsidRPr="07AD5326">
        <w:rPr>
          <w:rFonts w:eastAsia="Inter Light"/>
        </w:rPr>
        <w:t xml:space="preserve">). Overall, 50% (660/1327) of all completing ECU, MU, </w:t>
      </w:r>
      <w:proofErr w:type="spellStart"/>
      <w:r w:rsidRPr="07AD5326">
        <w:rPr>
          <w:rFonts w:eastAsia="Inter Light"/>
        </w:rPr>
        <w:t>UniSQ</w:t>
      </w:r>
      <w:proofErr w:type="spellEnd"/>
      <w:r w:rsidR="00A13222">
        <w:rPr>
          <w:rFonts w:eastAsia="Inter Light"/>
        </w:rPr>
        <w:t>,</w:t>
      </w:r>
      <w:r w:rsidRPr="07AD5326">
        <w:rPr>
          <w:rFonts w:eastAsia="Inter Light"/>
        </w:rPr>
        <w:t xml:space="preserve"> and SCU students went on to commence an undergraduate </w:t>
      </w:r>
      <w:r w:rsidR="00135160">
        <w:rPr>
          <w:rFonts w:eastAsia="Inter Light"/>
        </w:rPr>
        <w:t>program</w:t>
      </w:r>
      <w:r w:rsidRPr="07AD5326">
        <w:rPr>
          <w:rFonts w:eastAsia="Inter Light"/>
        </w:rPr>
        <w:t xml:space="preserve"> in 2022</w:t>
      </w:r>
      <w:r w:rsidR="00F47E65">
        <w:rPr>
          <w:rFonts w:eastAsia="Inter Light"/>
        </w:rPr>
        <w:t>–</w:t>
      </w:r>
      <w:r w:rsidRPr="07AD5326">
        <w:rPr>
          <w:rFonts w:eastAsia="Inter Light"/>
        </w:rPr>
        <w:t>2024.</w:t>
      </w:r>
    </w:p>
    <w:p w14:paraId="5CF54071" w14:textId="1555E598" w:rsidR="32755B6F" w:rsidRPr="00A13222" w:rsidRDefault="32755B6F" w:rsidP="00F6507E">
      <w:pPr>
        <w:pStyle w:val="TOCHeading"/>
        <w:rPr>
          <w:lang w:val="en-US"/>
        </w:rPr>
      </w:pPr>
      <w:bookmarkStart w:id="70" w:name="_Toc232575174"/>
      <w:r w:rsidRPr="00A13222">
        <w:t xml:space="preserve">Table </w:t>
      </w:r>
      <w:r w:rsidR="750A6060" w:rsidRPr="00A13222">
        <w:t>5</w:t>
      </w:r>
      <w:r w:rsidR="000055CB">
        <w:t>:</w:t>
      </w:r>
      <w:r w:rsidRPr="00A13222">
        <w:t xml:space="preserve"> </w:t>
      </w:r>
      <w:r w:rsidR="00895CFA">
        <w:t>In-school enabling program</w:t>
      </w:r>
      <w:r w:rsidRPr="00A13222">
        <w:t xml:space="preserve"> student success, completion</w:t>
      </w:r>
      <w:r w:rsidR="00A13222" w:rsidRPr="00A13222">
        <w:t>,</w:t>
      </w:r>
      <w:r w:rsidRPr="00A13222">
        <w:t xml:space="preserve"> and conversion to </w:t>
      </w:r>
      <w:r w:rsidRPr="00F6507E">
        <w:t>undergraduate</w:t>
      </w:r>
      <w:r w:rsidRPr="00A13222">
        <w:t xml:space="preserve"> rates</w:t>
      </w:r>
      <w:bookmarkEnd w:id="70"/>
      <w:r w:rsidRPr="00A13222">
        <w:t xml:space="preserve"> </w:t>
      </w:r>
    </w:p>
    <w:tbl>
      <w:tblPr>
        <w:tblW w:w="9006" w:type="dxa"/>
        <w:tblCellMar>
          <w:left w:w="10" w:type="dxa"/>
          <w:right w:w="10" w:type="dxa"/>
        </w:tblCellMar>
        <w:tblLook w:val="04A0" w:firstRow="1" w:lastRow="0" w:firstColumn="1" w:lastColumn="0" w:noHBand="0" w:noVBand="1"/>
      </w:tblPr>
      <w:tblGrid>
        <w:gridCol w:w="3135"/>
        <w:gridCol w:w="1127"/>
        <w:gridCol w:w="2185"/>
        <w:gridCol w:w="2559"/>
      </w:tblGrid>
      <w:tr w:rsidR="46C89230" w14:paraId="44C45AA5" w14:textId="77777777" w:rsidTr="07AD5326">
        <w:trPr>
          <w:trHeight w:val="300"/>
        </w:trPr>
        <w:tc>
          <w:tcPr>
            <w:tcW w:w="3135" w:type="dxa"/>
            <w:tcBorders>
              <w:top w:val="single" w:sz="8" w:space="0" w:color="auto"/>
              <w:left w:val="single" w:sz="8" w:space="0" w:color="auto"/>
              <w:bottom w:val="single" w:sz="8" w:space="0" w:color="auto"/>
              <w:right w:val="single" w:sz="8" w:space="0" w:color="auto"/>
            </w:tcBorders>
            <w:shd w:val="clear" w:color="auto" w:fill="78DED9" w:themeFill="accent1"/>
          </w:tcPr>
          <w:p w14:paraId="397F56E4" w14:textId="57F59682" w:rsidR="46C89230" w:rsidRDefault="46C89230" w:rsidP="00C327C8">
            <w:pPr>
              <w:pStyle w:val="Normal-Bold"/>
              <w:rPr>
                <w:rFonts w:eastAsia="Inter Light"/>
              </w:rPr>
            </w:pPr>
            <w:r w:rsidRPr="46C89230">
              <w:rPr>
                <w:rFonts w:eastAsia="Inter Light"/>
              </w:rPr>
              <w:t xml:space="preserve">Program </w:t>
            </w:r>
          </w:p>
        </w:tc>
        <w:tc>
          <w:tcPr>
            <w:tcW w:w="1127" w:type="dxa"/>
            <w:tcBorders>
              <w:top w:val="single" w:sz="8" w:space="0" w:color="auto"/>
              <w:left w:val="single" w:sz="8" w:space="0" w:color="auto"/>
              <w:bottom w:val="single" w:sz="8" w:space="0" w:color="auto"/>
              <w:right w:val="single" w:sz="8" w:space="0" w:color="auto"/>
            </w:tcBorders>
            <w:shd w:val="clear" w:color="auto" w:fill="78DED9" w:themeFill="accent1"/>
          </w:tcPr>
          <w:p w14:paraId="5923C414" w14:textId="1B55C4A6" w:rsidR="46C89230" w:rsidRDefault="46C89230" w:rsidP="00C327C8">
            <w:pPr>
              <w:pStyle w:val="Normal-Bold"/>
              <w:rPr>
                <w:rFonts w:eastAsia="Inter Light"/>
              </w:rPr>
            </w:pPr>
            <w:r w:rsidRPr="46C89230">
              <w:rPr>
                <w:rFonts w:eastAsia="Inter Light"/>
              </w:rPr>
              <w:t xml:space="preserve">Success </w:t>
            </w:r>
            <w:r w:rsidR="00A13222">
              <w:rPr>
                <w:rFonts w:eastAsia="Inter Light"/>
              </w:rPr>
              <w:t>r</w:t>
            </w:r>
            <w:r w:rsidRPr="46C89230">
              <w:rPr>
                <w:rFonts w:eastAsia="Inter Light"/>
              </w:rPr>
              <w:t xml:space="preserve">ate </w:t>
            </w:r>
          </w:p>
        </w:tc>
        <w:tc>
          <w:tcPr>
            <w:tcW w:w="2185" w:type="dxa"/>
            <w:tcBorders>
              <w:top w:val="single" w:sz="8" w:space="0" w:color="auto"/>
              <w:left w:val="single" w:sz="8" w:space="0" w:color="auto"/>
              <w:bottom w:val="single" w:sz="8" w:space="0" w:color="auto"/>
              <w:right w:val="single" w:sz="8" w:space="0" w:color="auto"/>
            </w:tcBorders>
            <w:shd w:val="clear" w:color="auto" w:fill="78DED9" w:themeFill="accent1"/>
          </w:tcPr>
          <w:p w14:paraId="0364ED67" w14:textId="7367CC4A" w:rsidR="46C89230" w:rsidRDefault="46C89230" w:rsidP="00C327C8">
            <w:pPr>
              <w:pStyle w:val="Normal-Bold"/>
              <w:rPr>
                <w:rFonts w:eastAsia="Inter Light"/>
              </w:rPr>
            </w:pPr>
            <w:r w:rsidRPr="46C89230">
              <w:rPr>
                <w:rFonts w:eastAsia="Inter Light"/>
              </w:rPr>
              <w:t xml:space="preserve">Course completion rate* </w:t>
            </w:r>
          </w:p>
        </w:tc>
        <w:tc>
          <w:tcPr>
            <w:tcW w:w="2559" w:type="dxa"/>
            <w:tcBorders>
              <w:top w:val="single" w:sz="8" w:space="0" w:color="auto"/>
              <w:left w:val="single" w:sz="8" w:space="0" w:color="auto"/>
              <w:bottom w:val="single" w:sz="8" w:space="0" w:color="auto"/>
              <w:right w:val="single" w:sz="8" w:space="0" w:color="auto"/>
            </w:tcBorders>
            <w:shd w:val="clear" w:color="auto" w:fill="78DED9" w:themeFill="accent1"/>
          </w:tcPr>
          <w:p w14:paraId="79230E9E" w14:textId="60E18E16" w:rsidR="46C89230" w:rsidRDefault="46C89230" w:rsidP="00C327C8">
            <w:pPr>
              <w:pStyle w:val="Normal-Bold"/>
              <w:rPr>
                <w:rFonts w:eastAsia="Inter Light"/>
              </w:rPr>
            </w:pPr>
            <w:r w:rsidRPr="46C89230">
              <w:rPr>
                <w:rFonts w:eastAsia="Inter Light"/>
              </w:rPr>
              <w:t xml:space="preserve">Conversion to undergraduate rate* </w:t>
            </w:r>
          </w:p>
        </w:tc>
      </w:tr>
      <w:tr w:rsidR="46C89230" w14:paraId="20D4F2B8" w14:textId="77777777" w:rsidTr="07AD5326">
        <w:trPr>
          <w:trHeight w:val="300"/>
        </w:trPr>
        <w:tc>
          <w:tcPr>
            <w:tcW w:w="3135" w:type="dxa"/>
            <w:tcBorders>
              <w:top w:val="single" w:sz="8" w:space="0" w:color="auto"/>
              <w:left w:val="single" w:sz="8" w:space="0" w:color="auto"/>
              <w:bottom w:val="single" w:sz="8" w:space="0" w:color="auto"/>
              <w:right w:val="single" w:sz="8" w:space="0" w:color="auto"/>
            </w:tcBorders>
          </w:tcPr>
          <w:p w14:paraId="0F96A645" w14:textId="34480E38" w:rsidR="46C89230" w:rsidRDefault="46C89230" w:rsidP="00C327C8">
            <w:pPr>
              <w:pStyle w:val="TableParagraph"/>
              <w:rPr>
                <w:rFonts w:eastAsia="Inter Light"/>
              </w:rPr>
            </w:pPr>
            <w:r w:rsidRPr="46C89230">
              <w:rPr>
                <w:rFonts w:eastAsia="Inter Light"/>
              </w:rPr>
              <w:t xml:space="preserve">ECU </w:t>
            </w:r>
            <w:proofErr w:type="spellStart"/>
            <w:r w:rsidRPr="46C89230">
              <w:rPr>
                <w:rFonts w:eastAsia="Inter Light"/>
              </w:rPr>
              <w:t>UniPrep</w:t>
            </w:r>
            <w:proofErr w:type="spellEnd"/>
            <w:r w:rsidRPr="46C89230">
              <w:rPr>
                <w:rFonts w:eastAsia="Inter Light"/>
              </w:rPr>
              <w:t xml:space="preserve"> Schools </w:t>
            </w:r>
          </w:p>
        </w:tc>
        <w:tc>
          <w:tcPr>
            <w:tcW w:w="1127" w:type="dxa"/>
            <w:tcBorders>
              <w:top w:val="single" w:sz="8" w:space="0" w:color="auto"/>
              <w:left w:val="single" w:sz="8" w:space="0" w:color="auto"/>
              <w:bottom w:val="single" w:sz="8" w:space="0" w:color="auto"/>
              <w:right w:val="single" w:sz="8" w:space="0" w:color="auto"/>
            </w:tcBorders>
          </w:tcPr>
          <w:p w14:paraId="0A0A453F" w14:textId="38033482" w:rsidR="46C89230" w:rsidRDefault="46C89230" w:rsidP="00C327C8">
            <w:pPr>
              <w:pStyle w:val="TableParagraph"/>
              <w:rPr>
                <w:rFonts w:eastAsia="Inter Light"/>
              </w:rPr>
            </w:pPr>
            <w:r w:rsidRPr="46C89230">
              <w:rPr>
                <w:rFonts w:eastAsia="Inter Light"/>
              </w:rPr>
              <w:t xml:space="preserve">85% </w:t>
            </w:r>
          </w:p>
        </w:tc>
        <w:tc>
          <w:tcPr>
            <w:tcW w:w="2185" w:type="dxa"/>
            <w:tcBorders>
              <w:top w:val="single" w:sz="8" w:space="0" w:color="auto"/>
              <w:left w:val="single" w:sz="8" w:space="0" w:color="auto"/>
              <w:bottom w:val="single" w:sz="8" w:space="0" w:color="auto"/>
              <w:right w:val="single" w:sz="8" w:space="0" w:color="auto"/>
            </w:tcBorders>
          </w:tcPr>
          <w:p w14:paraId="54E75FEB" w14:textId="3608DEE0" w:rsidR="46C89230" w:rsidRDefault="46C89230" w:rsidP="00C327C8">
            <w:pPr>
              <w:pStyle w:val="TableParagraph"/>
              <w:rPr>
                <w:rFonts w:eastAsia="Inter Light"/>
              </w:rPr>
            </w:pPr>
            <w:r w:rsidRPr="46C89230">
              <w:rPr>
                <w:rFonts w:eastAsia="Inter Light"/>
              </w:rPr>
              <w:t xml:space="preserve">494/705 (70%) </w:t>
            </w:r>
          </w:p>
        </w:tc>
        <w:tc>
          <w:tcPr>
            <w:tcW w:w="2559" w:type="dxa"/>
            <w:tcBorders>
              <w:top w:val="single" w:sz="8" w:space="0" w:color="auto"/>
              <w:left w:val="single" w:sz="8" w:space="0" w:color="auto"/>
              <w:bottom w:val="single" w:sz="8" w:space="0" w:color="auto"/>
              <w:right w:val="single" w:sz="8" w:space="0" w:color="auto"/>
            </w:tcBorders>
          </w:tcPr>
          <w:p w14:paraId="4A921489" w14:textId="0F066279" w:rsidR="46C89230" w:rsidRDefault="46C89230" w:rsidP="00C327C8">
            <w:pPr>
              <w:pStyle w:val="TableParagraph"/>
              <w:rPr>
                <w:rFonts w:eastAsia="Inter Light"/>
              </w:rPr>
            </w:pPr>
            <w:r w:rsidRPr="46C89230">
              <w:rPr>
                <w:rFonts w:eastAsia="Inter Light"/>
              </w:rPr>
              <w:t xml:space="preserve">260/494 (53%) </w:t>
            </w:r>
          </w:p>
        </w:tc>
      </w:tr>
      <w:tr w:rsidR="46C89230" w14:paraId="34CE0BA2" w14:textId="77777777" w:rsidTr="07AD5326">
        <w:trPr>
          <w:trHeight w:val="300"/>
        </w:trPr>
        <w:tc>
          <w:tcPr>
            <w:tcW w:w="3135" w:type="dxa"/>
            <w:tcBorders>
              <w:top w:val="single" w:sz="8" w:space="0" w:color="auto"/>
              <w:left w:val="single" w:sz="8" w:space="0" w:color="auto"/>
              <w:bottom w:val="single" w:sz="8" w:space="0" w:color="auto"/>
              <w:right w:val="single" w:sz="8" w:space="0" w:color="auto"/>
            </w:tcBorders>
          </w:tcPr>
          <w:p w14:paraId="1BB2B105" w14:textId="41BDB640" w:rsidR="46C89230" w:rsidRDefault="46C89230" w:rsidP="00C327C8">
            <w:pPr>
              <w:pStyle w:val="TableParagraph"/>
              <w:rPr>
                <w:rFonts w:eastAsia="Inter Light"/>
              </w:rPr>
            </w:pPr>
            <w:r w:rsidRPr="46C89230">
              <w:rPr>
                <w:rFonts w:eastAsia="Inter Light"/>
              </w:rPr>
              <w:t xml:space="preserve">MU </w:t>
            </w:r>
            <w:proofErr w:type="spellStart"/>
            <w:r w:rsidRPr="46C89230">
              <w:rPr>
                <w:rFonts w:eastAsia="Inter Light"/>
              </w:rPr>
              <w:t>FlexiTrack</w:t>
            </w:r>
            <w:proofErr w:type="spellEnd"/>
            <w:r w:rsidRPr="46C89230">
              <w:rPr>
                <w:rFonts w:eastAsia="Inter Light"/>
              </w:rPr>
              <w:t xml:space="preserve"> High </w:t>
            </w:r>
          </w:p>
        </w:tc>
        <w:tc>
          <w:tcPr>
            <w:tcW w:w="1127" w:type="dxa"/>
            <w:tcBorders>
              <w:top w:val="single" w:sz="8" w:space="0" w:color="auto"/>
              <w:left w:val="single" w:sz="8" w:space="0" w:color="auto"/>
              <w:bottom w:val="single" w:sz="8" w:space="0" w:color="auto"/>
              <w:right w:val="single" w:sz="8" w:space="0" w:color="auto"/>
            </w:tcBorders>
          </w:tcPr>
          <w:p w14:paraId="43E71525" w14:textId="48D4FEE9" w:rsidR="46C89230" w:rsidRDefault="46C89230" w:rsidP="00C327C8">
            <w:pPr>
              <w:pStyle w:val="TableParagraph"/>
              <w:rPr>
                <w:rFonts w:eastAsia="Inter Light"/>
              </w:rPr>
            </w:pPr>
            <w:r w:rsidRPr="46C89230">
              <w:rPr>
                <w:rFonts w:eastAsia="Inter Light"/>
              </w:rPr>
              <w:t xml:space="preserve">91% </w:t>
            </w:r>
          </w:p>
        </w:tc>
        <w:tc>
          <w:tcPr>
            <w:tcW w:w="2185" w:type="dxa"/>
            <w:tcBorders>
              <w:top w:val="single" w:sz="8" w:space="0" w:color="auto"/>
              <w:left w:val="single" w:sz="8" w:space="0" w:color="auto"/>
              <w:bottom w:val="single" w:sz="8" w:space="0" w:color="auto"/>
              <w:right w:val="single" w:sz="8" w:space="0" w:color="auto"/>
            </w:tcBorders>
          </w:tcPr>
          <w:p w14:paraId="122DDC8A" w14:textId="0EF30C08" w:rsidR="46C89230" w:rsidRDefault="46C89230" w:rsidP="00C327C8">
            <w:pPr>
              <w:pStyle w:val="TableParagraph"/>
              <w:rPr>
                <w:rFonts w:eastAsia="Inter Light"/>
              </w:rPr>
            </w:pPr>
            <w:r w:rsidRPr="46C89230">
              <w:rPr>
                <w:rFonts w:eastAsia="Inter Light"/>
              </w:rPr>
              <w:t xml:space="preserve">566/630 (90%) </w:t>
            </w:r>
          </w:p>
        </w:tc>
        <w:tc>
          <w:tcPr>
            <w:tcW w:w="2559" w:type="dxa"/>
            <w:tcBorders>
              <w:top w:val="single" w:sz="8" w:space="0" w:color="auto"/>
              <w:left w:val="single" w:sz="8" w:space="0" w:color="auto"/>
              <w:bottom w:val="single" w:sz="8" w:space="0" w:color="auto"/>
              <w:right w:val="single" w:sz="8" w:space="0" w:color="auto"/>
            </w:tcBorders>
          </w:tcPr>
          <w:p w14:paraId="30D4F7F9" w14:textId="07C0CE45" w:rsidR="46C89230" w:rsidRDefault="46C89230" w:rsidP="00C327C8">
            <w:pPr>
              <w:pStyle w:val="TableParagraph"/>
              <w:rPr>
                <w:rFonts w:eastAsia="Inter Light"/>
              </w:rPr>
            </w:pPr>
            <w:r w:rsidRPr="46C89230">
              <w:rPr>
                <w:rFonts w:eastAsia="Inter Light"/>
              </w:rPr>
              <w:t xml:space="preserve">306/566 (54%) </w:t>
            </w:r>
          </w:p>
        </w:tc>
      </w:tr>
      <w:tr w:rsidR="46C89230" w14:paraId="382E2158" w14:textId="77777777" w:rsidTr="07AD5326">
        <w:trPr>
          <w:trHeight w:val="300"/>
        </w:trPr>
        <w:tc>
          <w:tcPr>
            <w:tcW w:w="3135" w:type="dxa"/>
            <w:tcBorders>
              <w:top w:val="single" w:sz="8" w:space="0" w:color="auto"/>
              <w:left w:val="single" w:sz="8" w:space="0" w:color="auto"/>
              <w:bottom w:val="single" w:sz="8" w:space="0" w:color="auto"/>
              <w:right w:val="single" w:sz="8" w:space="0" w:color="auto"/>
            </w:tcBorders>
          </w:tcPr>
          <w:p w14:paraId="506394A4" w14:textId="4660BB13" w:rsidR="46C89230" w:rsidRDefault="46C89230" w:rsidP="00C327C8">
            <w:pPr>
              <w:pStyle w:val="TableParagraph"/>
              <w:rPr>
                <w:rFonts w:eastAsia="Inter Light"/>
              </w:rPr>
            </w:pPr>
            <w:proofErr w:type="spellStart"/>
            <w:r w:rsidRPr="46C89230">
              <w:rPr>
                <w:rFonts w:eastAsia="Inter Light"/>
              </w:rPr>
              <w:t>UniSQ</w:t>
            </w:r>
            <w:proofErr w:type="spellEnd"/>
            <w:r w:rsidRPr="46C89230">
              <w:rPr>
                <w:rFonts w:eastAsia="Inter Light"/>
              </w:rPr>
              <w:t xml:space="preserve"> </w:t>
            </w:r>
            <w:proofErr w:type="spellStart"/>
            <w:r w:rsidRPr="46C89230">
              <w:rPr>
                <w:rFonts w:eastAsia="Inter Light"/>
              </w:rPr>
              <w:t>UniPrep</w:t>
            </w:r>
            <w:proofErr w:type="spellEnd"/>
            <w:r w:rsidRPr="46C89230">
              <w:rPr>
                <w:rFonts w:eastAsia="Inter Light"/>
              </w:rPr>
              <w:t xml:space="preserve"> </w:t>
            </w:r>
          </w:p>
        </w:tc>
        <w:tc>
          <w:tcPr>
            <w:tcW w:w="1127" w:type="dxa"/>
            <w:tcBorders>
              <w:top w:val="single" w:sz="8" w:space="0" w:color="auto"/>
              <w:left w:val="single" w:sz="8" w:space="0" w:color="auto"/>
              <w:bottom w:val="single" w:sz="8" w:space="0" w:color="auto"/>
              <w:right w:val="single" w:sz="8" w:space="0" w:color="auto"/>
            </w:tcBorders>
          </w:tcPr>
          <w:p w14:paraId="118F7A47" w14:textId="738C06D7" w:rsidR="46C89230" w:rsidRDefault="46C89230" w:rsidP="00C327C8">
            <w:pPr>
              <w:pStyle w:val="TableParagraph"/>
              <w:rPr>
                <w:rFonts w:eastAsia="Inter Light"/>
              </w:rPr>
            </w:pPr>
            <w:r w:rsidRPr="46C89230">
              <w:rPr>
                <w:rFonts w:eastAsia="Inter Light"/>
              </w:rPr>
              <w:t xml:space="preserve">84% </w:t>
            </w:r>
          </w:p>
        </w:tc>
        <w:tc>
          <w:tcPr>
            <w:tcW w:w="2185" w:type="dxa"/>
            <w:tcBorders>
              <w:top w:val="single" w:sz="8" w:space="0" w:color="auto"/>
              <w:left w:val="single" w:sz="8" w:space="0" w:color="auto"/>
              <w:bottom w:val="single" w:sz="8" w:space="0" w:color="auto"/>
              <w:right w:val="single" w:sz="8" w:space="0" w:color="auto"/>
            </w:tcBorders>
          </w:tcPr>
          <w:p w14:paraId="2977548A" w14:textId="09A8840B" w:rsidR="46C89230" w:rsidRDefault="46C89230" w:rsidP="00C327C8">
            <w:pPr>
              <w:pStyle w:val="TableParagraph"/>
              <w:rPr>
                <w:rFonts w:eastAsia="Inter Light"/>
              </w:rPr>
            </w:pPr>
            <w:r w:rsidRPr="46C89230">
              <w:rPr>
                <w:rFonts w:eastAsia="Inter Light"/>
              </w:rPr>
              <w:t xml:space="preserve">Not available^ </w:t>
            </w:r>
          </w:p>
        </w:tc>
        <w:tc>
          <w:tcPr>
            <w:tcW w:w="2559" w:type="dxa"/>
            <w:tcBorders>
              <w:top w:val="single" w:sz="8" w:space="0" w:color="auto"/>
              <w:left w:val="single" w:sz="8" w:space="0" w:color="auto"/>
              <w:bottom w:val="single" w:sz="8" w:space="0" w:color="auto"/>
              <w:right w:val="single" w:sz="8" w:space="0" w:color="auto"/>
            </w:tcBorders>
          </w:tcPr>
          <w:p w14:paraId="0FB0BB6A" w14:textId="3B968904" w:rsidR="46C89230" w:rsidRDefault="46C89230" w:rsidP="00C327C8">
            <w:pPr>
              <w:pStyle w:val="TableParagraph"/>
              <w:rPr>
                <w:rFonts w:eastAsia="Inter Light"/>
              </w:rPr>
            </w:pPr>
            <w:r w:rsidRPr="46C89230">
              <w:rPr>
                <w:rFonts w:eastAsia="Inter Light"/>
              </w:rPr>
              <w:t xml:space="preserve">70/166 (42%) </w:t>
            </w:r>
          </w:p>
        </w:tc>
      </w:tr>
      <w:tr w:rsidR="46C89230" w14:paraId="5DC06AA2" w14:textId="77777777" w:rsidTr="07AD5326">
        <w:trPr>
          <w:trHeight w:val="300"/>
        </w:trPr>
        <w:tc>
          <w:tcPr>
            <w:tcW w:w="3135" w:type="dxa"/>
            <w:tcBorders>
              <w:top w:val="single" w:sz="8" w:space="0" w:color="auto"/>
              <w:left w:val="single" w:sz="8" w:space="0" w:color="auto"/>
              <w:bottom w:val="single" w:sz="8" w:space="0" w:color="auto"/>
              <w:right w:val="single" w:sz="8" w:space="0" w:color="auto"/>
            </w:tcBorders>
          </w:tcPr>
          <w:p w14:paraId="3A01CF24" w14:textId="75245B4E" w:rsidR="46C89230" w:rsidRDefault="46C89230" w:rsidP="00C327C8">
            <w:pPr>
              <w:pStyle w:val="TableParagraph"/>
              <w:rPr>
                <w:rFonts w:eastAsia="Inter Light"/>
              </w:rPr>
            </w:pPr>
            <w:r w:rsidRPr="46C89230">
              <w:rPr>
                <w:rFonts w:eastAsia="Inter Light"/>
              </w:rPr>
              <w:t xml:space="preserve">SCU </w:t>
            </w:r>
            <w:proofErr w:type="spellStart"/>
            <w:r w:rsidRPr="46C89230">
              <w:rPr>
                <w:rFonts w:eastAsia="Inter Light"/>
              </w:rPr>
              <w:t>UniStart</w:t>
            </w:r>
            <w:proofErr w:type="spellEnd"/>
            <w:r w:rsidRPr="46C89230">
              <w:rPr>
                <w:rFonts w:eastAsia="Inter Light"/>
              </w:rPr>
              <w:t xml:space="preserve"> for Schools </w:t>
            </w:r>
          </w:p>
        </w:tc>
        <w:tc>
          <w:tcPr>
            <w:tcW w:w="1127" w:type="dxa"/>
            <w:tcBorders>
              <w:top w:val="single" w:sz="8" w:space="0" w:color="auto"/>
              <w:left w:val="single" w:sz="8" w:space="0" w:color="auto"/>
              <w:bottom w:val="single" w:sz="8" w:space="0" w:color="auto"/>
              <w:right w:val="single" w:sz="8" w:space="0" w:color="auto"/>
            </w:tcBorders>
          </w:tcPr>
          <w:p w14:paraId="265D70F6" w14:textId="269B4BDC" w:rsidR="46C89230" w:rsidRDefault="46C89230" w:rsidP="00C327C8">
            <w:pPr>
              <w:pStyle w:val="TableParagraph"/>
              <w:rPr>
                <w:rFonts w:eastAsia="Inter Light"/>
              </w:rPr>
            </w:pPr>
            <w:r w:rsidRPr="46C89230">
              <w:rPr>
                <w:rFonts w:eastAsia="Inter Light"/>
              </w:rPr>
              <w:t xml:space="preserve">73% </w:t>
            </w:r>
          </w:p>
        </w:tc>
        <w:tc>
          <w:tcPr>
            <w:tcW w:w="2185" w:type="dxa"/>
            <w:tcBorders>
              <w:top w:val="single" w:sz="8" w:space="0" w:color="auto"/>
              <w:left w:val="single" w:sz="8" w:space="0" w:color="auto"/>
              <w:bottom w:val="single" w:sz="8" w:space="0" w:color="auto"/>
              <w:right w:val="single" w:sz="8" w:space="0" w:color="auto"/>
            </w:tcBorders>
          </w:tcPr>
          <w:p w14:paraId="4F90F71B" w14:textId="497BBDC7" w:rsidR="46C89230" w:rsidRDefault="46C89230" w:rsidP="00C327C8">
            <w:pPr>
              <w:pStyle w:val="TableParagraph"/>
              <w:rPr>
                <w:rFonts w:eastAsia="Inter Light"/>
              </w:rPr>
            </w:pPr>
            <w:r w:rsidRPr="46C89230">
              <w:rPr>
                <w:rFonts w:eastAsia="Inter Light"/>
              </w:rPr>
              <w:t xml:space="preserve">101/139 (73%) </w:t>
            </w:r>
          </w:p>
        </w:tc>
        <w:tc>
          <w:tcPr>
            <w:tcW w:w="2559" w:type="dxa"/>
            <w:tcBorders>
              <w:top w:val="single" w:sz="8" w:space="0" w:color="auto"/>
              <w:left w:val="single" w:sz="8" w:space="0" w:color="auto"/>
              <w:bottom w:val="single" w:sz="8" w:space="0" w:color="auto"/>
              <w:right w:val="single" w:sz="8" w:space="0" w:color="auto"/>
            </w:tcBorders>
          </w:tcPr>
          <w:p w14:paraId="11D67A7E" w14:textId="017E81AB" w:rsidR="46C89230" w:rsidRDefault="46C89230" w:rsidP="00C327C8">
            <w:pPr>
              <w:pStyle w:val="TableParagraph"/>
              <w:rPr>
                <w:rFonts w:eastAsia="Inter Light"/>
              </w:rPr>
            </w:pPr>
            <w:r w:rsidRPr="46C89230">
              <w:rPr>
                <w:rFonts w:eastAsia="Inter Light"/>
              </w:rPr>
              <w:t xml:space="preserve">24/101 (24%) </w:t>
            </w:r>
          </w:p>
        </w:tc>
      </w:tr>
      <w:tr w:rsidR="46C89230" w14:paraId="3C4C46B3" w14:textId="77777777" w:rsidTr="07AD5326">
        <w:trPr>
          <w:trHeight w:val="300"/>
        </w:trPr>
        <w:tc>
          <w:tcPr>
            <w:tcW w:w="3135" w:type="dxa"/>
            <w:tcBorders>
              <w:top w:val="single" w:sz="8" w:space="0" w:color="auto"/>
              <w:left w:val="single" w:sz="8" w:space="0" w:color="auto"/>
              <w:bottom w:val="single" w:sz="8" w:space="0" w:color="auto"/>
              <w:right w:val="single" w:sz="8" w:space="0" w:color="auto"/>
            </w:tcBorders>
            <w:shd w:val="clear" w:color="auto" w:fill="E8E8E8"/>
          </w:tcPr>
          <w:p w14:paraId="29E34825" w14:textId="32BB615B" w:rsidR="46C89230" w:rsidRDefault="1E8611DF" w:rsidP="00C327C8">
            <w:pPr>
              <w:pStyle w:val="TableParagraph"/>
              <w:rPr>
                <w:rFonts w:eastAsia="Inter Light"/>
              </w:rPr>
            </w:pPr>
            <w:r w:rsidRPr="07AD5326">
              <w:rPr>
                <w:rFonts w:eastAsia="Inter Light"/>
              </w:rPr>
              <w:t xml:space="preserve">All programs </w:t>
            </w:r>
          </w:p>
        </w:tc>
        <w:tc>
          <w:tcPr>
            <w:tcW w:w="1127" w:type="dxa"/>
            <w:tcBorders>
              <w:top w:val="single" w:sz="8" w:space="0" w:color="auto"/>
              <w:left w:val="single" w:sz="8" w:space="0" w:color="auto"/>
              <w:bottom w:val="single" w:sz="8" w:space="0" w:color="auto"/>
              <w:right w:val="single" w:sz="8" w:space="0" w:color="auto"/>
            </w:tcBorders>
            <w:shd w:val="clear" w:color="auto" w:fill="E8E8E8"/>
          </w:tcPr>
          <w:p w14:paraId="714EB10A" w14:textId="36F4B568" w:rsidR="46C89230" w:rsidRDefault="46C89230" w:rsidP="00C327C8">
            <w:pPr>
              <w:pStyle w:val="TableParagraph"/>
              <w:rPr>
                <w:rFonts w:eastAsia="Inter Light"/>
              </w:rPr>
            </w:pPr>
            <w:r w:rsidRPr="46C89230">
              <w:rPr>
                <w:rFonts w:eastAsia="Inter Light"/>
              </w:rPr>
              <w:t xml:space="preserve">87% </w:t>
            </w:r>
          </w:p>
        </w:tc>
        <w:tc>
          <w:tcPr>
            <w:tcW w:w="2185" w:type="dxa"/>
            <w:tcBorders>
              <w:top w:val="single" w:sz="8" w:space="0" w:color="auto"/>
              <w:left w:val="single" w:sz="8" w:space="0" w:color="auto"/>
              <w:bottom w:val="single" w:sz="8" w:space="0" w:color="auto"/>
              <w:right w:val="single" w:sz="8" w:space="0" w:color="auto"/>
            </w:tcBorders>
            <w:shd w:val="clear" w:color="auto" w:fill="E8E8E8"/>
          </w:tcPr>
          <w:p w14:paraId="04444FDC" w14:textId="108BE2E1" w:rsidR="46C89230" w:rsidRDefault="46C89230" w:rsidP="00C327C8">
            <w:pPr>
              <w:pStyle w:val="TableParagraph"/>
              <w:rPr>
                <w:rFonts w:eastAsia="Inter Light"/>
              </w:rPr>
            </w:pPr>
            <w:r w:rsidRPr="46C89230">
              <w:rPr>
                <w:rFonts w:eastAsia="Inter Light"/>
              </w:rPr>
              <w:t xml:space="preserve">1161/1474 (79%) </w:t>
            </w:r>
          </w:p>
        </w:tc>
        <w:tc>
          <w:tcPr>
            <w:tcW w:w="2559" w:type="dxa"/>
            <w:tcBorders>
              <w:top w:val="single" w:sz="8" w:space="0" w:color="auto"/>
              <w:left w:val="single" w:sz="8" w:space="0" w:color="auto"/>
              <w:bottom w:val="single" w:sz="8" w:space="0" w:color="auto"/>
              <w:right w:val="single" w:sz="8" w:space="0" w:color="auto"/>
            </w:tcBorders>
            <w:shd w:val="clear" w:color="auto" w:fill="E8E8E8"/>
          </w:tcPr>
          <w:p w14:paraId="7DC97492" w14:textId="42176D63" w:rsidR="46C89230" w:rsidRDefault="46C89230" w:rsidP="00C327C8">
            <w:pPr>
              <w:pStyle w:val="TableParagraph"/>
              <w:rPr>
                <w:rFonts w:eastAsia="Inter Light"/>
              </w:rPr>
            </w:pPr>
            <w:r w:rsidRPr="46C89230">
              <w:rPr>
                <w:rFonts w:eastAsia="Inter Light"/>
              </w:rPr>
              <w:t xml:space="preserve">660/1327 (50%) </w:t>
            </w:r>
          </w:p>
        </w:tc>
      </w:tr>
    </w:tbl>
    <w:p w14:paraId="33685FDB" w14:textId="65EE2717" w:rsidR="32755B6F" w:rsidRDefault="32755B6F" w:rsidP="00817622">
      <w:pPr>
        <w:pStyle w:val="TableNote"/>
        <w:spacing w:after="120"/>
        <w:rPr>
          <w:lang w:val="en-US"/>
        </w:rPr>
      </w:pPr>
      <w:r>
        <w:t>*Raw counts and percentages shown.</w:t>
      </w:r>
    </w:p>
    <w:p w14:paraId="4A5B3EED" w14:textId="2079AC67" w:rsidR="658F4599" w:rsidRDefault="32755B6F" w:rsidP="658F4599">
      <w:pPr>
        <w:pStyle w:val="TableNote"/>
        <w:spacing w:after="0" w:afterAutospacing="1"/>
      </w:pPr>
      <w:r>
        <w:t>^</w:t>
      </w:r>
      <w:r w:rsidR="00A13222">
        <w:t xml:space="preserve">In total, </w:t>
      </w:r>
      <w:r>
        <w:t xml:space="preserve">166 </w:t>
      </w:r>
      <w:proofErr w:type="spellStart"/>
      <w:r>
        <w:t>UniSQ</w:t>
      </w:r>
      <w:proofErr w:type="spellEnd"/>
      <w:r>
        <w:t xml:space="preserve"> </w:t>
      </w:r>
      <w:proofErr w:type="spellStart"/>
      <w:r>
        <w:t>UniPrep</w:t>
      </w:r>
      <w:proofErr w:type="spellEnd"/>
      <w:r>
        <w:t xml:space="preserve"> students completed the </w:t>
      </w:r>
      <w:r w:rsidR="00135160">
        <w:t>program</w:t>
      </w:r>
      <w:r>
        <w:t>, however the denominator for this calculation was unknown. Total program enrolments (</w:t>
      </w:r>
      <w:r w:rsidRPr="00B43A6C">
        <w:rPr>
          <w:i/>
          <w:iCs/>
        </w:rPr>
        <w:t>n</w:t>
      </w:r>
      <w:r w:rsidR="00F47E65">
        <w:t xml:space="preserve"> </w:t>
      </w:r>
      <w:r>
        <w:t>=</w:t>
      </w:r>
      <w:r w:rsidR="00F47E65">
        <w:t xml:space="preserve"> </w:t>
      </w:r>
      <w:r>
        <w:t xml:space="preserve">264) included students who could not have completed the </w:t>
      </w:r>
      <w:r w:rsidR="00135160">
        <w:t>program</w:t>
      </w:r>
      <w:r>
        <w:t xml:space="preserve"> due to being in Year 11 and continuing the program beyond the timeframe under analysis. </w:t>
      </w:r>
    </w:p>
    <w:p w14:paraId="23297551" w14:textId="07D23EE6" w:rsidR="006C24CD" w:rsidRDefault="001453B0" w:rsidP="00A32591">
      <w:pPr>
        <w:rPr>
          <w:rFonts w:eastAsia="Inter Light"/>
          <w:lang w:val="en-US"/>
        </w:rPr>
      </w:pPr>
      <w:r>
        <w:t xml:space="preserve">The high in-program success and completion rates may be attributed to </w:t>
      </w:r>
      <w:proofErr w:type="gramStart"/>
      <w:r>
        <w:t>a number of</w:t>
      </w:r>
      <w:proofErr w:type="gramEnd"/>
      <w:r>
        <w:t xml:space="preserve"> reasons associated with the design </w:t>
      </w:r>
      <w:r w:rsidR="00453557">
        <w:t xml:space="preserve">model </w:t>
      </w:r>
      <w:r>
        <w:t>of the program, and particularly a foundational element</w:t>
      </w:r>
      <w:r w:rsidR="00A13222" w:rsidRPr="00A13222">
        <w:t>—</w:t>
      </w:r>
      <w:r>
        <w:t>nesting within senior schooling. In part, the academic outcomes may be attributed to reasons such as</w:t>
      </w:r>
      <w:r w:rsidR="00751556">
        <w:t>:</w:t>
      </w:r>
      <w:r>
        <w:t xml:space="preserve"> (a) students enrolled in ISEPs are simultaneously engaged in compulsory education; (b) some ISEPs</w:t>
      </w:r>
      <w:r w:rsidR="00EF3F3E">
        <w:t xml:space="preserve"> models</w:t>
      </w:r>
      <w:r>
        <w:t xml:space="preserve"> have timetabled classes within school hours and a dedicated teacher to help motivate and engage students in learning</w:t>
      </w:r>
      <w:r w:rsidR="00751556">
        <w:t>:</w:t>
      </w:r>
      <w:r>
        <w:t xml:space="preserve"> (c) ISEPs may contribute credits towards achievement of the senior secondary certificate of education (Olds et al., 2022)</w:t>
      </w:r>
      <w:r w:rsidR="00751556">
        <w:t>;</w:t>
      </w:r>
      <w:r>
        <w:t xml:space="preserve"> and (d) some ISEPs have fees (Olds et al., 2022) that may discourage withdrawal.</w:t>
      </w:r>
    </w:p>
    <w:p w14:paraId="4E47A285" w14:textId="06572068" w:rsidR="32755B6F" w:rsidRDefault="04F9F18E" w:rsidP="006A5330">
      <w:r w:rsidRPr="07AD5326">
        <w:rPr>
          <w:rFonts w:eastAsia="Inter Light"/>
        </w:rPr>
        <w:t>The</w:t>
      </w:r>
      <w:r w:rsidR="3D131239" w:rsidRPr="07AD5326">
        <w:rPr>
          <w:rFonts w:eastAsia="Inter Light"/>
        </w:rPr>
        <w:t xml:space="preserve"> </w:t>
      </w:r>
      <w:r>
        <w:t>data captured here underestimates</w:t>
      </w:r>
      <w:r w:rsidR="3D131239" w:rsidRPr="07AD5326">
        <w:rPr>
          <w:rFonts w:eastAsia="Inter Light"/>
        </w:rPr>
        <w:t xml:space="preserve"> </w:t>
      </w:r>
      <w:r>
        <w:t xml:space="preserve">the extent of conversion to undergraduate enrolment, as it does not capture those </w:t>
      </w:r>
      <w:r w:rsidR="00751556">
        <w:t>who</w:t>
      </w:r>
      <w:r>
        <w:t xml:space="preserve"> enrolled at a different university</w:t>
      </w:r>
      <w:r w:rsidR="3D131239" w:rsidRPr="07AD5326">
        <w:rPr>
          <w:rFonts w:eastAsia="Inter Light"/>
        </w:rPr>
        <w:t xml:space="preserve"> </w:t>
      </w:r>
      <w:r>
        <w:t>than associated with their</w:t>
      </w:r>
      <w:r w:rsidR="3D131239" w:rsidRPr="07AD5326">
        <w:rPr>
          <w:rFonts w:eastAsia="Inter Light"/>
        </w:rPr>
        <w:t xml:space="preserve"> </w:t>
      </w:r>
      <w:r>
        <w:t>ISEP.</w:t>
      </w:r>
      <w:r w:rsidR="3D131239" w:rsidRPr="07AD5326">
        <w:rPr>
          <w:rFonts w:eastAsia="Inter Light"/>
        </w:rPr>
        <w:t xml:space="preserve"> </w:t>
      </w:r>
      <w:r>
        <w:t>At present, most</w:t>
      </w:r>
      <w:r w:rsidR="3D131239" w:rsidRPr="07AD5326">
        <w:rPr>
          <w:rFonts w:eastAsia="Inter Light"/>
        </w:rPr>
        <w:t xml:space="preserve"> </w:t>
      </w:r>
      <w:r>
        <w:t>partner</w:t>
      </w:r>
      <w:r w:rsidR="3D131239" w:rsidRPr="07AD5326">
        <w:rPr>
          <w:rFonts w:eastAsia="Inter Light"/>
        </w:rPr>
        <w:t xml:space="preserve"> </w:t>
      </w:r>
      <w:r>
        <w:t>high schools</w:t>
      </w:r>
      <w:r w:rsidR="3D131239" w:rsidRPr="07AD5326">
        <w:rPr>
          <w:rFonts w:eastAsia="Inter Light"/>
        </w:rPr>
        <w:t xml:space="preserve"> </w:t>
      </w:r>
      <w:r>
        <w:t>do not offer multiple</w:t>
      </w:r>
      <w:r w:rsidR="3D131239" w:rsidRPr="07AD5326">
        <w:rPr>
          <w:rFonts w:eastAsia="Inter Light"/>
        </w:rPr>
        <w:t xml:space="preserve"> </w:t>
      </w:r>
      <w:r>
        <w:t>ISEPs</w:t>
      </w:r>
      <w:r w:rsidR="00751556">
        <w:t>,</w:t>
      </w:r>
      <w:r>
        <w:t xml:space="preserve"> and whil</w:t>
      </w:r>
      <w:r w:rsidR="00F52ECC">
        <w:t>e</w:t>
      </w:r>
      <w:r>
        <w:t xml:space="preserve"> these programs provide a vehicle for university access, the undergraduate course selection available at</w:t>
      </w:r>
      <w:r w:rsidR="3D131239" w:rsidRPr="07AD5326">
        <w:rPr>
          <w:rFonts w:eastAsia="Inter Light"/>
        </w:rPr>
        <w:t xml:space="preserve"> </w:t>
      </w:r>
      <w:r>
        <w:t>the partner university</w:t>
      </w:r>
      <w:r w:rsidR="3D131239" w:rsidRPr="07AD5326">
        <w:rPr>
          <w:rFonts w:eastAsia="Inter Light"/>
        </w:rPr>
        <w:t xml:space="preserve"> </w:t>
      </w:r>
      <w:r>
        <w:t>may not necessarily match student aspiration.</w:t>
      </w:r>
      <w:r w:rsidR="3D131239" w:rsidRPr="07AD5326">
        <w:rPr>
          <w:rFonts w:eastAsia="Inter Light"/>
        </w:rPr>
        <w:t xml:space="preserve"> </w:t>
      </w:r>
      <w:r>
        <w:t>Additionally, ISEP completion is increasing in portability between institutions</w:t>
      </w:r>
      <w:r w:rsidR="00751556">
        <w:t>,</w:t>
      </w:r>
      <w:r w:rsidR="3D131239" w:rsidRPr="07AD5326">
        <w:rPr>
          <w:rFonts w:eastAsia="Inter Light"/>
        </w:rPr>
        <w:t xml:space="preserve"> </w:t>
      </w:r>
      <w:r>
        <w:t>and students can use evidence of their</w:t>
      </w:r>
      <w:r w:rsidR="3D131239" w:rsidRPr="07AD5326">
        <w:rPr>
          <w:rFonts w:eastAsia="Inter Light"/>
        </w:rPr>
        <w:t xml:space="preserve"> </w:t>
      </w:r>
      <w:r>
        <w:t>ISEP</w:t>
      </w:r>
      <w:r w:rsidR="3D131239" w:rsidRPr="07AD5326">
        <w:rPr>
          <w:rFonts w:eastAsia="Inter Light"/>
        </w:rPr>
        <w:t xml:space="preserve"> </w:t>
      </w:r>
      <w:r>
        <w:t>completion to</w:t>
      </w:r>
      <w:r w:rsidR="3D131239" w:rsidRPr="07AD5326">
        <w:rPr>
          <w:rFonts w:eastAsia="Inter Light"/>
        </w:rPr>
        <w:t xml:space="preserve"> </w:t>
      </w:r>
      <w:r>
        <w:t>enrol in</w:t>
      </w:r>
      <w:r w:rsidR="3D131239" w:rsidRPr="07AD5326">
        <w:rPr>
          <w:rFonts w:eastAsia="Inter Light"/>
        </w:rPr>
        <w:t xml:space="preserve"> </w:t>
      </w:r>
      <w:r>
        <w:t>undergraduate courses.</w:t>
      </w:r>
      <w:r w:rsidR="267A3730">
        <w:t xml:space="preserve"> Finally, t</w:t>
      </w:r>
      <w:r w:rsidR="3E345797">
        <w:t xml:space="preserve">he timeframe of the study provides a transition period of </w:t>
      </w:r>
      <w:r w:rsidR="700ACA33">
        <w:t>one to three</w:t>
      </w:r>
      <w:r w:rsidR="3E345797">
        <w:t xml:space="preserve"> years following high school completion, and as such </w:t>
      </w:r>
      <w:r w:rsidR="41BB6C96">
        <w:t>students in the later year cohorts will not have had as long to transition, and some may take longer</w:t>
      </w:r>
      <w:r w:rsidR="682BC42C">
        <w:t xml:space="preserve"> to commence university because of a variety of factors </w:t>
      </w:r>
      <w:r w:rsidR="682BC42C">
        <w:lastRenderedPageBreak/>
        <w:t>(</w:t>
      </w:r>
      <w:r w:rsidR="00751556">
        <w:t>for example,</w:t>
      </w:r>
      <w:r w:rsidR="682BC42C">
        <w:t xml:space="preserve"> </w:t>
      </w:r>
      <w:r w:rsidR="40925932">
        <w:t>requirement to undertake paid work, family commitment</w:t>
      </w:r>
      <w:r w:rsidR="3A0D5C21">
        <w:t>s</w:t>
      </w:r>
      <w:r w:rsidR="00751556">
        <w:t>,</w:t>
      </w:r>
      <w:r w:rsidR="40925932">
        <w:t xml:space="preserve"> or costs of relocation</w:t>
      </w:r>
      <w:r w:rsidR="682BC42C">
        <w:t>).</w:t>
      </w:r>
    </w:p>
    <w:p w14:paraId="33CE7DB6" w14:textId="77777777" w:rsidR="00FB58AE" w:rsidRPr="00FB58AE" w:rsidRDefault="00FB58AE" w:rsidP="00FB58AE">
      <w:pPr>
        <w:pStyle w:val="Normal-Bold"/>
        <w:rPr>
          <w:szCs w:val="22"/>
        </w:rPr>
      </w:pPr>
      <w:r w:rsidRPr="00FB58AE">
        <w:rPr>
          <w:szCs w:val="22"/>
        </w:rPr>
        <w:t>Summary</w:t>
      </w:r>
    </w:p>
    <w:p w14:paraId="13B9879C" w14:textId="77777777" w:rsidR="00FB58AE" w:rsidRPr="00DF79AB" w:rsidRDefault="00FB58AE" w:rsidP="00FB58AE">
      <w:r w:rsidRPr="00DF79AB">
        <w:t>The quantitative student data collected as part of this study provides insight into the outcomes achieved by students when enrolled in an ISEP, as well as conversion to undergraduate study at university.</w:t>
      </w:r>
    </w:p>
    <w:p w14:paraId="4F943301" w14:textId="77777777" w:rsidR="00FB58AE" w:rsidRDefault="00FB58AE" w:rsidP="00FB58AE">
      <w:pPr>
        <w:pStyle w:val="ListParagraph"/>
        <w:numPr>
          <w:ilvl w:val="0"/>
          <w:numId w:val="32"/>
        </w:numPr>
        <w:ind w:left="634" w:hanging="283"/>
        <w:contextualSpacing w:val="0"/>
      </w:pPr>
      <w:r>
        <w:t>In relation to access and participation, ISEPs are reaching and enrol a large proportion of equity cohorts, with 41% of students from equity cohorts across three ISEPs with data. Enrolment of students from equity groups ranged from 31% to 80% across individual programs.</w:t>
      </w:r>
    </w:p>
    <w:p w14:paraId="03758436" w14:textId="77777777" w:rsidR="00FB58AE" w:rsidRDefault="00FB58AE" w:rsidP="00FB58AE">
      <w:pPr>
        <w:pStyle w:val="ListParagraph"/>
        <w:numPr>
          <w:ilvl w:val="0"/>
          <w:numId w:val="0"/>
        </w:numPr>
        <w:ind w:left="634"/>
        <w:contextualSpacing w:val="0"/>
      </w:pPr>
      <w:r>
        <w:t>These proportions underestimate the volume of students experiencing educational disadvantage or disruption who are enrolled in ISEPs, as the programs adopt a more expansive definition of equity cohorts than current government definitions.</w:t>
      </w:r>
    </w:p>
    <w:p w14:paraId="4E5DACBC" w14:textId="77777777" w:rsidR="00FB58AE" w:rsidRDefault="00FB58AE" w:rsidP="00FB58AE">
      <w:pPr>
        <w:pStyle w:val="ListParagraph"/>
        <w:numPr>
          <w:ilvl w:val="0"/>
          <w:numId w:val="32"/>
        </w:numPr>
        <w:ind w:left="634" w:hanging="283"/>
        <w:contextualSpacing w:val="0"/>
      </w:pPr>
      <w:r w:rsidRPr="009208BB">
        <w:t xml:space="preserve">Within an ISEP, students achieve high rates of success (87% overall success rate) and strong completion rates (79% overall completion rate). Murdoch University’s ISEP was notable in achieving </w:t>
      </w:r>
      <w:r>
        <w:t xml:space="preserve">a </w:t>
      </w:r>
      <w:r w:rsidRPr="009208BB">
        <w:t>91% success rate and 90% completion rate.</w:t>
      </w:r>
    </w:p>
    <w:p w14:paraId="7AB88D12" w14:textId="77777777" w:rsidR="00FB58AE" w:rsidRDefault="00FB58AE" w:rsidP="00FB58AE">
      <w:pPr>
        <w:pStyle w:val="ListParagraph"/>
        <w:numPr>
          <w:ilvl w:val="0"/>
          <w:numId w:val="0"/>
        </w:numPr>
        <w:ind w:left="634"/>
        <w:contextualSpacing w:val="0"/>
      </w:pPr>
      <w:r w:rsidRPr="009208BB">
        <w:t xml:space="preserve">Success rates are in line with the historical data previously reported for one of the longer-running ISEPs included in this study (Olds et al., 2022). The ISEP completion rates are higher than typically observed in the </w:t>
      </w:r>
      <w:r>
        <w:t>e</w:t>
      </w:r>
      <w:r w:rsidRPr="009208BB">
        <w:t xml:space="preserve">nabling sector and may be attributed to </w:t>
      </w:r>
      <w:proofErr w:type="gramStart"/>
      <w:r w:rsidRPr="009208BB">
        <w:t>a number of</w:t>
      </w:r>
      <w:proofErr w:type="gramEnd"/>
      <w:r w:rsidRPr="009208BB">
        <w:t xml:space="preserve"> reasons associated with the design of the program, and particularly the nesting within senior schooling.</w:t>
      </w:r>
    </w:p>
    <w:p w14:paraId="1508F782" w14:textId="77777777" w:rsidR="00FB58AE" w:rsidRDefault="00FB58AE" w:rsidP="00FB58AE">
      <w:pPr>
        <w:pStyle w:val="ListParagraph"/>
        <w:numPr>
          <w:ilvl w:val="0"/>
          <w:numId w:val="32"/>
        </w:numPr>
        <w:ind w:left="634" w:hanging="283"/>
        <w:contextualSpacing w:val="0"/>
      </w:pPr>
      <w:r w:rsidRPr="009208BB">
        <w:t xml:space="preserve">ISEPs widen access to university, with 50% of students who complete an ISEP commencing university within </w:t>
      </w:r>
      <w:r>
        <w:t>one-to-two</w:t>
      </w:r>
      <w:r w:rsidRPr="009208BB">
        <w:t xml:space="preserve"> years. </w:t>
      </w:r>
      <w:r w:rsidRPr="006D63AC">
        <w:rPr>
          <w:lang w:val="en-GB"/>
        </w:rPr>
        <w:t xml:space="preserve">This represents 660 students who commenced an undergraduate degree between 2022-2024 via an ISEP who otherwise may </w:t>
      </w:r>
      <w:r>
        <w:t>have not commenced during this period</w:t>
      </w:r>
      <w:r w:rsidRPr="009208BB">
        <w:t>.</w:t>
      </w:r>
    </w:p>
    <w:p w14:paraId="6AA80A9C" w14:textId="03719138" w:rsidR="00F465AF" w:rsidRPr="00590D70" w:rsidRDefault="00FB58AE" w:rsidP="52935A30">
      <w:pPr>
        <w:pStyle w:val="Normal-Bold"/>
        <w:rPr>
          <w:b w:val="0"/>
          <w:bCs w:val="0"/>
        </w:rPr>
      </w:pPr>
      <w:r w:rsidRPr="00FB58AE">
        <w:rPr>
          <w:rFonts w:eastAsia="Inter Light"/>
          <w:b w:val="0"/>
          <w:bCs w:val="0"/>
        </w:rPr>
        <w:t>This</w:t>
      </w:r>
      <w:r w:rsidRPr="00FB58AE">
        <w:rPr>
          <w:b w:val="0"/>
          <w:bCs w:val="0"/>
        </w:rPr>
        <w:t> data underestimates the extent of conversion to undergraduate enrolment as measurement was restricted to conversion to the university that delivered the ISEP only, and more recent ISEP graduates have not had as much time to commence studies.</w:t>
      </w:r>
    </w:p>
    <w:p w14:paraId="29EE5610" w14:textId="7441FA20" w:rsidR="32755B6F" w:rsidRPr="00AF077A" w:rsidRDefault="117C8BE7" w:rsidP="00A32591">
      <w:pPr>
        <w:pStyle w:val="Heading3"/>
        <w:rPr>
          <w:color w:val="6B3B57"/>
        </w:rPr>
      </w:pPr>
      <w:bookmarkStart w:id="71" w:name="_Toc217162496"/>
      <w:bookmarkStart w:id="72" w:name="_Toc232766192"/>
      <w:r w:rsidRPr="00AF077A">
        <w:rPr>
          <w:color w:val="6B3B57"/>
        </w:rPr>
        <w:t xml:space="preserve">Part II: </w:t>
      </w:r>
      <w:r w:rsidR="31D87188" w:rsidRPr="00AF077A">
        <w:rPr>
          <w:color w:val="6B3B57"/>
        </w:rPr>
        <w:t xml:space="preserve">Outcomes </w:t>
      </w:r>
      <w:r w:rsidR="08B2DFDC" w:rsidRPr="00AF077A">
        <w:rPr>
          <w:color w:val="6B3B57"/>
        </w:rPr>
        <w:t>in</w:t>
      </w:r>
      <w:r w:rsidR="31D87188" w:rsidRPr="00AF077A">
        <w:rPr>
          <w:color w:val="6B3B57"/>
        </w:rPr>
        <w:t xml:space="preserve"> </w:t>
      </w:r>
      <w:r w:rsidR="1D776716" w:rsidRPr="00AF077A">
        <w:rPr>
          <w:color w:val="6B3B57"/>
        </w:rPr>
        <w:t>u</w:t>
      </w:r>
      <w:r w:rsidRPr="00AF077A">
        <w:rPr>
          <w:color w:val="6B3B57"/>
        </w:rPr>
        <w:t xml:space="preserve">ndergraduate </w:t>
      </w:r>
      <w:r w:rsidR="01FEDA5A" w:rsidRPr="00AF077A">
        <w:rPr>
          <w:color w:val="6B3B57"/>
        </w:rPr>
        <w:t xml:space="preserve">study </w:t>
      </w:r>
      <w:r w:rsidRPr="00AF077A">
        <w:rPr>
          <w:color w:val="6B3B57"/>
        </w:rPr>
        <w:t>by admission pathway</w:t>
      </w:r>
      <w:bookmarkEnd w:id="71"/>
      <w:bookmarkEnd w:id="72"/>
    </w:p>
    <w:p w14:paraId="4F4C7070" w14:textId="75C383AC" w:rsidR="4B697F3B" w:rsidRDefault="4B697F3B">
      <w:r w:rsidRPr="658F4599">
        <w:rPr>
          <w:rFonts w:eastAsia="Inter Light"/>
        </w:rPr>
        <w:t>This section explores the academic outcomes of students who completed an ISEP and commenced undergraduate study compared to their school</w:t>
      </w:r>
      <w:r w:rsidR="0080514D">
        <w:rPr>
          <w:rFonts w:eastAsia="Inter Light"/>
        </w:rPr>
        <w:t xml:space="preserve"> </w:t>
      </w:r>
      <w:r w:rsidRPr="658F4599">
        <w:rPr>
          <w:rFonts w:eastAsia="Inter Light"/>
        </w:rPr>
        <w:t>leaver peers who entered university via other pathways.</w:t>
      </w:r>
    </w:p>
    <w:p w14:paraId="773904C2" w14:textId="57B23DE8" w:rsidR="4B697F3B" w:rsidRPr="00C473BD" w:rsidRDefault="4B697F3B" w:rsidP="00497E88">
      <w:pPr>
        <w:pStyle w:val="Normal-Bold"/>
      </w:pPr>
      <w:r w:rsidRPr="00C473BD">
        <w:t>Access to university by pathway</w:t>
      </w:r>
    </w:p>
    <w:p w14:paraId="3C052457" w14:textId="689F5119" w:rsidR="42328CC0" w:rsidRPr="006C24CD" w:rsidRDefault="40CA609B" w:rsidP="00A32591">
      <w:pPr>
        <w:rPr>
          <w:rFonts w:eastAsia="Inter Light"/>
        </w:rPr>
      </w:pPr>
      <w:r w:rsidRPr="658F4599">
        <w:rPr>
          <w:rFonts w:eastAsia="Inter Light"/>
        </w:rPr>
        <w:t>To explore undergraduate outcomes, the profile and outcomes of all commencing school</w:t>
      </w:r>
      <w:r w:rsidR="0080514D">
        <w:rPr>
          <w:rFonts w:eastAsia="Inter Light"/>
        </w:rPr>
        <w:t xml:space="preserve"> </w:t>
      </w:r>
      <w:r w:rsidRPr="658F4599">
        <w:rPr>
          <w:rFonts w:eastAsia="Inter Light"/>
        </w:rPr>
        <w:t>leaver students across the four universities were analysed. Firstly, t</w:t>
      </w:r>
      <w:r w:rsidR="32755B6F" w:rsidRPr="658F4599">
        <w:rPr>
          <w:rFonts w:eastAsia="Inter Light"/>
        </w:rPr>
        <w:t xml:space="preserve">he equity profile of each pathway cohort at each university was examined and compared to determine how well different entry pathways contribute to </w:t>
      </w:r>
      <w:r w:rsidR="148295F4" w:rsidRPr="658F4599">
        <w:rPr>
          <w:rFonts w:eastAsia="Inter Light"/>
        </w:rPr>
        <w:t xml:space="preserve">supporting </w:t>
      </w:r>
      <w:r w:rsidR="15FA7E97" w:rsidRPr="658F4599">
        <w:rPr>
          <w:rFonts w:eastAsia="Inter Light"/>
        </w:rPr>
        <w:t>enrolment</w:t>
      </w:r>
      <w:r w:rsidR="148295F4" w:rsidRPr="658F4599">
        <w:rPr>
          <w:rFonts w:eastAsia="Inter Light"/>
        </w:rPr>
        <w:t xml:space="preserve"> of </w:t>
      </w:r>
      <w:r w:rsidR="32755B6F" w:rsidRPr="658F4599">
        <w:rPr>
          <w:rFonts w:eastAsia="Inter Light"/>
        </w:rPr>
        <w:t>equity group</w:t>
      </w:r>
      <w:r w:rsidR="4F9E8D54" w:rsidRPr="658F4599">
        <w:rPr>
          <w:rFonts w:eastAsia="Inter Light"/>
        </w:rPr>
        <w:t>s and</w:t>
      </w:r>
      <w:r w:rsidR="32755B6F" w:rsidRPr="658F4599">
        <w:rPr>
          <w:rFonts w:eastAsia="Inter Light"/>
        </w:rPr>
        <w:t xml:space="preserve"> equity group representation at the respective universities (Figure 3). Each university was found to have a unique equity profile.</w:t>
      </w:r>
    </w:p>
    <w:p w14:paraId="6D8472A1" w14:textId="1B3D6E4E" w:rsidR="003072D6" w:rsidRDefault="32755B6F" w:rsidP="00A32591">
      <w:pPr>
        <w:rPr>
          <w:rFonts w:eastAsia="Inter Light"/>
        </w:rPr>
      </w:pPr>
      <w:r w:rsidRPr="658F4599">
        <w:rPr>
          <w:rFonts w:eastAsia="Inter Light"/>
        </w:rPr>
        <w:lastRenderedPageBreak/>
        <w:t>For those that accessed undergraduate study at ECU via the I</w:t>
      </w:r>
      <w:r w:rsidR="2BA54CF8" w:rsidRPr="658F4599">
        <w:rPr>
          <w:rFonts w:eastAsia="Inter Light"/>
        </w:rPr>
        <w:t>SEP</w:t>
      </w:r>
      <w:r w:rsidRPr="658F4599">
        <w:rPr>
          <w:rFonts w:eastAsia="Inter Light"/>
        </w:rPr>
        <w:t xml:space="preserve">, the proportion that belonged to one or more equity groups (32%) was </w:t>
      </w:r>
      <w:proofErr w:type="gramStart"/>
      <w:r w:rsidRPr="658F4599">
        <w:rPr>
          <w:rFonts w:eastAsia="Inter Light"/>
        </w:rPr>
        <w:t>similar to</w:t>
      </w:r>
      <w:proofErr w:type="gramEnd"/>
      <w:r w:rsidRPr="658F4599">
        <w:rPr>
          <w:rFonts w:eastAsia="Inter Light"/>
        </w:rPr>
        <w:t xml:space="preserve"> cohorts entering via other pathways (Figure 3A). However, the proportion belonging to two or more equity groups was highest for the I</w:t>
      </w:r>
      <w:r w:rsidR="45C257D5" w:rsidRPr="658F4599">
        <w:rPr>
          <w:rFonts w:eastAsia="Inter Light"/>
        </w:rPr>
        <w:t xml:space="preserve">SEP </w:t>
      </w:r>
      <w:r w:rsidRPr="658F4599">
        <w:rPr>
          <w:rFonts w:eastAsia="Inter Light"/>
        </w:rPr>
        <w:t>pathway (12%) compared to peers entering via other pathways (7</w:t>
      </w:r>
      <w:r w:rsidR="00F47E65">
        <w:rPr>
          <w:rFonts w:eastAsia="Inter Light"/>
        </w:rPr>
        <w:t>–</w:t>
      </w:r>
      <w:r w:rsidRPr="658F4599">
        <w:rPr>
          <w:rFonts w:eastAsia="Inter Light"/>
        </w:rPr>
        <w:t xml:space="preserve">8%). A similar pattern was observed at </w:t>
      </w:r>
      <w:proofErr w:type="spellStart"/>
      <w:r w:rsidRPr="658F4599">
        <w:rPr>
          <w:rFonts w:eastAsia="Inter Light"/>
        </w:rPr>
        <w:t>UniSQ</w:t>
      </w:r>
      <w:proofErr w:type="spellEnd"/>
      <w:r w:rsidRPr="658F4599">
        <w:rPr>
          <w:rFonts w:eastAsia="Inter Light"/>
        </w:rPr>
        <w:t>, though there were much higher numbers of students from equity groups overall (89% of the I</w:t>
      </w:r>
      <w:r w:rsidR="40279971" w:rsidRPr="658F4599">
        <w:rPr>
          <w:rFonts w:eastAsia="Inter Light"/>
        </w:rPr>
        <w:t xml:space="preserve">SEP pathway </w:t>
      </w:r>
      <w:r w:rsidRPr="658F4599">
        <w:rPr>
          <w:rFonts w:eastAsia="Inter Light"/>
        </w:rPr>
        <w:t>cohort) and belonging to two or more equity groups (49% of the I</w:t>
      </w:r>
      <w:r w:rsidR="3694B6B0" w:rsidRPr="658F4599">
        <w:rPr>
          <w:rFonts w:eastAsia="Inter Light"/>
        </w:rPr>
        <w:t>SEP</w:t>
      </w:r>
      <w:r w:rsidRPr="658F4599">
        <w:rPr>
          <w:rFonts w:eastAsia="Inter Light"/>
        </w:rPr>
        <w:t xml:space="preserve"> cohort; Figure 3B).</w:t>
      </w:r>
    </w:p>
    <w:p w14:paraId="1F44E415" w14:textId="3B331D5F" w:rsidR="32755B6F" w:rsidRPr="00AF077A" w:rsidRDefault="32755B6F" w:rsidP="00035EA4">
      <w:pPr>
        <w:pStyle w:val="Figureheading"/>
        <w:rPr>
          <w:rFonts w:eastAsia="Inter Light"/>
          <w:i w:val="0"/>
          <w:lang w:val="en-US"/>
        </w:rPr>
      </w:pPr>
      <w:bookmarkStart w:id="73" w:name="_Toc232575186"/>
      <w:r w:rsidRPr="00AF077A">
        <w:rPr>
          <w:rFonts w:eastAsia="Inter Light"/>
        </w:rPr>
        <w:t xml:space="preserve">Figure </w:t>
      </w:r>
      <w:r w:rsidR="1A32E3AE" w:rsidRPr="00AF077A">
        <w:rPr>
          <w:rFonts w:eastAsia="Inter Light"/>
        </w:rPr>
        <w:t>3</w:t>
      </w:r>
      <w:r w:rsidR="000055CB">
        <w:rPr>
          <w:rFonts w:eastAsia="Inter Light"/>
        </w:rPr>
        <w:t>:</w:t>
      </w:r>
      <w:r w:rsidRPr="00AF077A">
        <w:rPr>
          <w:rFonts w:eastAsia="Inter Light"/>
        </w:rPr>
        <w:t xml:space="preserve"> Undergraduate student equity </w:t>
      </w:r>
      <w:r w:rsidRPr="00035EA4">
        <w:rPr>
          <w:rFonts w:eastAsia="Inter Light"/>
        </w:rPr>
        <w:t>status</w:t>
      </w:r>
      <w:r w:rsidRPr="00AF077A">
        <w:rPr>
          <w:rFonts w:eastAsia="Inter Light"/>
        </w:rPr>
        <w:t xml:space="preserve"> by basis of admission/pathway at (A) ECU, (B) </w:t>
      </w:r>
      <w:proofErr w:type="spellStart"/>
      <w:r w:rsidRPr="00AF077A">
        <w:rPr>
          <w:rFonts w:eastAsia="Inter Light"/>
        </w:rPr>
        <w:t>UniSQ</w:t>
      </w:r>
      <w:proofErr w:type="spellEnd"/>
      <w:r w:rsidRPr="00AF077A">
        <w:rPr>
          <w:rFonts w:eastAsia="Inter Light"/>
        </w:rPr>
        <w:t>, (C) MU</w:t>
      </w:r>
      <w:r w:rsidR="00AF077A">
        <w:rPr>
          <w:rFonts w:eastAsia="Inter Light"/>
        </w:rPr>
        <w:t>,</w:t>
      </w:r>
      <w:r w:rsidRPr="00AF077A">
        <w:rPr>
          <w:rFonts w:eastAsia="Inter Light"/>
        </w:rPr>
        <w:t xml:space="preserve"> and (D) SCU.</w:t>
      </w:r>
      <w:bookmarkEnd w:id="73"/>
    </w:p>
    <w:p w14:paraId="019A3C8F" w14:textId="262C3813" w:rsidR="32755B6F" w:rsidRDefault="32755B6F" w:rsidP="00A32591">
      <w:r w:rsidRPr="658F4599">
        <w:rPr>
          <w:rFonts w:eastAsia="Inter Light"/>
        </w:rPr>
        <w:t xml:space="preserve"> </w:t>
      </w:r>
      <w:r w:rsidR="1085556A">
        <w:rPr>
          <w:noProof/>
        </w:rPr>
        <w:drawing>
          <wp:inline distT="0" distB="0" distL="0" distR="0" wp14:anchorId="5D37254B" wp14:editId="33B6ADE2">
            <wp:extent cx="2840258" cy="1934414"/>
            <wp:effectExtent l="0" t="0" r="0" b="0"/>
            <wp:docPr id="967461187" name="drawing" descr="Undergraduate equity status ECU. For those that accessed undergraduate study at ECU via the ISEP, the proportion that belonged to one or more equity groups (3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61187" name="drawing" descr="Undergraduate equity status ECU. For those that accessed undergraduate study at ECU via the ISEP, the proportion that belonged to one or more equity groups (32%) "/>
                    <pic:cNvPicPr/>
                  </pic:nvPicPr>
                  <pic:blipFill>
                    <a:blip r:embed="rId18">
                      <a:extLst>
                        <a:ext uri="{28A0092B-C50C-407E-A947-70E740481C1C}">
                          <a14:useLocalDpi xmlns:a14="http://schemas.microsoft.com/office/drawing/2010/main"/>
                        </a:ext>
                      </a:extLst>
                    </a:blip>
                    <a:stretch>
                      <a:fillRect/>
                    </a:stretch>
                  </pic:blipFill>
                  <pic:spPr>
                    <a:xfrm>
                      <a:off x="0" y="0"/>
                      <a:ext cx="2840258" cy="1934414"/>
                    </a:xfrm>
                    <a:prstGeom prst="rect">
                      <a:avLst/>
                    </a:prstGeom>
                  </pic:spPr>
                </pic:pic>
              </a:graphicData>
            </a:graphic>
          </wp:inline>
        </w:drawing>
      </w:r>
      <w:r w:rsidR="1085556A">
        <w:rPr>
          <w:noProof/>
        </w:rPr>
        <w:drawing>
          <wp:inline distT="0" distB="0" distL="0" distR="0" wp14:anchorId="1D5C032A" wp14:editId="16663B8C">
            <wp:extent cx="2770302" cy="1856330"/>
            <wp:effectExtent l="0" t="0" r="0" b="0"/>
            <wp:docPr id="454201480" name="drawing" descr="UNISQ, proportion belonging to two or more equity groups (49% of the ISEP cohort; Figure 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01480" name="drawing" descr="UNISQ, proportion belonging to two or more equity groups (49% of the ISEP cohort; Figure 3B)."/>
                    <pic:cNvPicPr/>
                  </pic:nvPicPr>
                  <pic:blipFill>
                    <a:blip r:embed="rId19">
                      <a:extLst>
                        <a:ext uri="{28A0092B-C50C-407E-A947-70E740481C1C}">
                          <a14:useLocalDpi xmlns:a14="http://schemas.microsoft.com/office/drawing/2010/main"/>
                        </a:ext>
                      </a:extLst>
                    </a:blip>
                    <a:stretch>
                      <a:fillRect/>
                    </a:stretch>
                  </pic:blipFill>
                  <pic:spPr>
                    <a:xfrm>
                      <a:off x="0" y="0"/>
                      <a:ext cx="2770302" cy="1856330"/>
                    </a:xfrm>
                    <a:prstGeom prst="rect">
                      <a:avLst/>
                    </a:prstGeom>
                  </pic:spPr>
                </pic:pic>
              </a:graphicData>
            </a:graphic>
          </wp:inline>
        </w:drawing>
      </w:r>
    </w:p>
    <w:p w14:paraId="3EB969B7" w14:textId="6C5BF8F0" w:rsidR="00D26B36" w:rsidRPr="003072D6" w:rsidRDefault="1085556A" w:rsidP="00A32591">
      <w:r>
        <w:rPr>
          <w:noProof/>
        </w:rPr>
        <w:drawing>
          <wp:inline distT="0" distB="0" distL="0" distR="0" wp14:anchorId="40A6D69B" wp14:editId="5406F668">
            <wp:extent cx="2856985" cy="1916342"/>
            <wp:effectExtent l="0" t="0" r="0" b="0"/>
            <wp:docPr id="734052886" name="drawing" descr="&#10;Figure 3, C. Undergraduate student equity status by basis of admission MU and number of equity groups belonged 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52886" name="drawing" descr="&#10;Figure 3, C. Undergraduate student equity status by basis of admission MU and number of equity groups belonged to. &#10;"/>
                    <pic:cNvPicPr/>
                  </pic:nvPicPr>
                  <pic:blipFill>
                    <a:blip r:embed="rId20">
                      <a:extLst>
                        <a:ext uri="{28A0092B-C50C-407E-A947-70E740481C1C}">
                          <a14:useLocalDpi xmlns:a14="http://schemas.microsoft.com/office/drawing/2010/main"/>
                        </a:ext>
                      </a:extLst>
                    </a:blip>
                    <a:stretch>
                      <a:fillRect/>
                    </a:stretch>
                  </pic:blipFill>
                  <pic:spPr>
                    <a:xfrm>
                      <a:off x="0" y="0"/>
                      <a:ext cx="2856985" cy="1916342"/>
                    </a:xfrm>
                    <a:prstGeom prst="rect">
                      <a:avLst/>
                    </a:prstGeom>
                  </pic:spPr>
                </pic:pic>
              </a:graphicData>
            </a:graphic>
          </wp:inline>
        </w:drawing>
      </w:r>
      <w:r>
        <w:rPr>
          <w:noProof/>
        </w:rPr>
        <w:drawing>
          <wp:inline distT="0" distB="0" distL="0" distR="0" wp14:anchorId="4031E3D7" wp14:editId="73A75034">
            <wp:extent cx="2839895" cy="1953894"/>
            <wp:effectExtent l="0" t="0" r="0" b="0"/>
            <wp:docPr id="1455613657" name="drawing" descr="Figure D. Undergraduate student equity status by basis of admission MU and number of equity groups belonged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13657" name="drawing" descr="Figure D. Undergraduate student equity status by basis of admission MU and number of equity groups belonged to. "/>
                    <pic:cNvPicPr/>
                  </pic:nvPicPr>
                  <pic:blipFill>
                    <a:blip r:embed="rId21">
                      <a:extLst>
                        <a:ext uri="{28A0092B-C50C-407E-A947-70E740481C1C}">
                          <a14:useLocalDpi xmlns:a14="http://schemas.microsoft.com/office/drawing/2010/main"/>
                        </a:ext>
                      </a:extLst>
                    </a:blip>
                    <a:stretch>
                      <a:fillRect/>
                    </a:stretch>
                  </pic:blipFill>
                  <pic:spPr>
                    <a:xfrm>
                      <a:off x="0" y="0"/>
                      <a:ext cx="2839895" cy="1953894"/>
                    </a:xfrm>
                    <a:prstGeom prst="rect">
                      <a:avLst/>
                    </a:prstGeom>
                  </pic:spPr>
                </pic:pic>
              </a:graphicData>
            </a:graphic>
          </wp:inline>
        </w:drawing>
      </w:r>
    </w:p>
    <w:p w14:paraId="740DD0F3" w14:textId="2BAE68B3" w:rsidR="004168C2" w:rsidRDefault="32755B6F" w:rsidP="00590D70">
      <w:pPr>
        <w:spacing w:before="240"/>
      </w:pPr>
      <w:r w:rsidRPr="658F4599">
        <w:rPr>
          <w:rFonts w:eastAsia="Inter Light"/>
        </w:rPr>
        <w:t xml:space="preserve">A starkly different student profile was observed at MU and SCU (Figures 3C/D), whereby the </w:t>
      </w:r>
      <w:r w:rsidR="00660E80">
        <w:rPr>
          <w:rFonts w:eastAsia="Inter Light"/>
        </w:rPr>
        <w:t>ISEP</w:t>
      </w:r>
      <w:r w:rsidRPr="658F4599">
        <w:rPr>
          <w:rFonts w:eastAsia="Inter Light"/>
        </w:rPr>
        <w:t xml:space="preserve"> cohorts contained the lowest proportions of students from equity backgrounds relative to peers entering via other pathways (44% and 0% belonging to one or more equity groups at MU and SCU, respectively). </w:t>
      </w:r>
    </w:p>
    <w:p w14:paraId="1D5E6E7C" w14:textId="280CD920" w:rsidR="32755B6F" w:rsidRPr="00C473BD" w:rsidRDefault="32755B6F" w:rsidP="00497E88">
      <w:pPr>
        <w:pStyle w:val="Normal-Bold"/>
      </w:pPr>
      <w:r w:rsidRPr="00C473BD">
        <w:t>Retention rate by pathway</w:t>
      </w:r>
    </w:p>
    <w:p w14:paraId="2BA9A909" w14:textId="12047C01" w:rsidR="006C24CD" w:rsidRPr="006C24CD" w:rsidRDefault="39819254" w:rsidP="00A32591">
      <w:pPr>
        <w:rPr>
          <w:rFonts w:eastAsia="Inter Light"/>
        </w:rPr>
      </w:pPr>
      <w:r w:rsidRPr="07AD5326">
        <w:rPr>
          <w:rFonts w:eastAsia="Inter Light"/>
        </w:rPr>
        <w:t>The undergraduate retention rate for domestic school</w:t>
      </w:r>
      <w:r w:rsidR="0080514D">
        <w:rPr>
          <w:rFonts w:eastAsia="Inter Light"/>
        </w:rPr>
        <w:t xml:space="preserve"> </w:t>
      </w:r>
      <w:r w:rsidRPr="07AD5326">
        <w:rPr>
          <w:rFonts w:eastAsia="Inter Light"/>
        </w:rPr>
        <w:t>leaver</w:t>
      </w:r>
      <w:r w:rsidR="0080514D">
        <w:rPr>
          <w:rFonts w:eastAsia="Inter Light"/>
        </w:rPr>
        <w:t>-</w:t>
      </w:r>
      <w:r w:rsidRPr="07AD5326">
        <w:rPr>
          <w:rFonts w:eastAsia="Inter Light"/>
        </w:rPr>
        <w:t>aged students who commenced their degree between 2022</w:t>
      </w:r>
      <w:r w:rsidR="00F47E65">
        <w:rPr>
          <w:rFonts w:eastAsia="Inter Light"/>
        </w:rPr>
        <w:t>–</w:t>
      </w:r>
      <w:r w:rsidRPr="07AD5326">
        <w:rPr>
          <w:rFonts w:eastAsia="Inter Light"/>
        </w:rPr>
        <w:t xml:space="preserve">2024 at the four universities was examined and comparisons were made based on admission pathway (Table </w:t>
      </w:r>
      <w:r w:rsidR="546B44CB" w:rsidRPr="07AD5326">
        <w:rPr>
          <w:rFonts w:eastAsia="Inter Light"/>
        </w:rPr>
        <w:t>6</w:t>
      </w:r>
      <w:r w:rsidRPr="07AD5326">
        <w:rPr>
          <w:rFonts w:eastAsia="Inter Light"/>
        </w:rPr>
        <w:t xml:space="preserve">). The first-to-second year retention rate of students who entered via an </w:t>
      </w:r>
      <w:r w:rsidR="78362C6D" w:rsidRPr="07AD5326">
        <w:rPr>
          <w:rFonts w:eastAsia="Inter Light"/>
        </w:rPr>
        <w:t>I</w:t>
      </w:r>
      <w:r w:rsidR="5C7752B2" w:rsidRPr="07AD5326">
        <w:rPr>
          <w:rFonts w:eastAsia="Inter Light"/>
        </w:rPr>
        <w:t>SEP</w:t>
      </w:r>
      <w:r w:rsidRPr="07AD5326">
        <w:rPr>
          <w:rFonts w:eastAsia="Inter Light"/>
        </w:rPr>
        <w:t xml:space="preserve"> ranged from 66% to 79% at the respective universities, with an overall/cumulative retention rate of 75%. This was </w:t>
      </w:r>
      <w:proofErr w:type="gramStart"/>
      <w:r w:rsidRPr="07AD5326">
        <w:rPr>
          <w:rFonts w:eastAsia="Inter Light"/>
        </w:rPr>
        <w:t>similar to</w:t>
      </w:r>
      <w:proofErr w:type="gramEnd"/>
      <w:r w:rsidRPr="07AD5326">
        <w:rPr>
          <w:rFonts w:eastAsia="Inter Light"/>
        </w:rPr>
        <w:t xml:space="preserve"> the 76% overall retention rate observed for </w:t>
      </w:r>
      <w:r w:rsidR="0080514D">
        <w:rPr>
          <w:rFonts w:eastAsia="Inter Light"/>
        </w:rPr>
        <w:t>“</w:t>
      </w:r>
      <w:r w:rsidRPr="07AD5326">
        <w:rPr>
          <w:rFonts w:eastAsia="Inter Light"/>
        </w:rPr>
        <w:t>recent school</w:t>
      </w:r>
      <w:r w:rsidR="0080514D">
        <w:rPr>
          <w:rFonts w:eastAsia="Inter Light"/>
        </w:rPr>
        <w:t xml:space="preserve"> </w:t>
      </w:r>
      <w:r w:rsidRPr="07AD5326">
        <w:rPr>
          <w:rFonts w:eastAsia="Inter Light"/>
        </w:rPr>
        <w:t>leaver (non-ATAR)</w:t>
      </w:r>
      <w:r w:rsidR="0080514D">
        <w:rPr>
          <w:rFonts w:eastAsia="Inter Light"/>
        </w:rPr>
        <w:t>”</w:t>
      </w:r>
      <w:r w:rsidRPr="07AD5326">
        <w:rPr>
          <w:rFonts w:eastAsia="Inter Light"/>
        </w:rPr>
        <w:t xml:space="preserve"> and </w:t>
      </w:r>
      <w:r w:rsidR="0080514D">
        <w:rPr>
          <w:rFonts w:eastAsia="Inter Light"/>
        </w:rPr>
        <w:t>“</w:t>
      </w:r>
      <w:r w:rsidRPr="07AD5326">
        <w:rPr>
          <w:rFonts w:eastAsia="Inter Light"/>
        </w:rPr>
        <w:t xml:space="preserve">other provider </w:t>
      </w:r>
      <w:r w:rsidR="0080514D">
        <w:rPr>
          <w:rFonts w:eastAsia="Inter Light"/>
        </w:rPr>
        <w:t>e</w:t>
      </w:r>
      <w:r w:rsidRPr="07AD5326">
        <w:rPr>
          <w:rFonts w:eastAsia="Inter Light"/>
        </w:rPr>
        <w:t xml:space="preserve">nabling </w:t>
      </w:r>
      <w:r w:rsidR="00A5066F">
        <w:rPr>
          <w:rFonts w:eastAsia="Inter Light"/>
        </w:rPr>
        <w:t>program</w:t>
      </w:r>
      <w:r w:rsidR="0080514D">
        <w:rPr>
          <w:rFonts w:eastAsia="Inter Light"/>
        </w:rPr>
        <w:t>”</w:t>
      </w:r>
      <w:r w:rsidRPr="07AD5326">
        <w:rPr>
          <w:rFonts w:eastAsia="Inter Light"/>
        </w:rPr>
        <w:t xml:space="preserve"> pathways, and only slightly lower than the cumulative retention rate for </w:t>
      </w:r>
      <w:r w:rsidR="0080514D">
        <w:rPr>
          <w:rFonts w:eastAsia="Inter Light"/>
        </w:rPr>
        <w:t>“</w:t>
      </w:r>
      <w:r w:rsidRPr="07AD5326">
        <w:rPr>
          <w:rFonts w:eastAsia="Inter Light"/>
        </w:rPr>
        <w:t>ATAR entry</w:t>
      </w:r>
      <w:r w:rsidR="0080514D">
        <w:rPr>
          <w:rFonts w:eastAsia="Inter Light"/>
        </w:rPr>
        <w:t>”</w:t>
      </w:r>
      <w:r w:rsidRPr="07AD5326">
        <w:rPr>
          <w:rFonts w:eastAsia="Inter Light"/>
        </w:rPr>
        <w:t xml:space="preserve"> (79%) and </w:t>
      </w:r>
      <w:r w:rsidR="0080514D">
        <w:rPr>
          <w:rFonts w:eastAsia="Inter Light"/>
        </w:rPr>
        <w:t>“</w:t>
      </w:r>
      <w:r w:rsidR="007D0049">
        <w:rPr>
          <w:rFonts w:eastAsia="Inter Light"/>
        </w:rPr>
        <w:t>p</w:t>
      </w:r>
      <w:r w:rsidRPr="07AD5326">
        <w:rPr>
          <w:rFonts w:eastAsia="Inter Light"/>
        </w:rPr>
        <w:t xml:space="preserve">ost-school </w:t>
      </w:r>
      <w:r w:rsidR="007D0049">
        <w:rPr>
          <w:rFonts w:eastAsia="Inter Light"/>
        </w:rPr>
        <w:t>e</w:t>
      </w:r>
      <w:r w:rsidRPr="07AD5326">
        <w:rPr>
          <w:rFonts w:eastAsia="Inter Light"/>
        </w:rPr>
        <w:t xml:space="preserve">nabling </w:t>
      </w:r>
      <w:r w:rsidR="007D0049">
        <w:rPr>
          <w:rFonts w:eastAsia="Inter Light"/>
        </w:rPr>
        <w:t>p</w:t>
      </w:r>
      <w:r w:rsidR="7997CB9E" w:rsidRPr="07AD5326">
        <w:rPr>
          <w:rFonts w:eastAsia="Inter Light"/>
        </w:rPr>
        <w:t>rogram</w:t>
      </w:r>
      <w:r w:rsidR="0080514D">
        <w:rPr>
          <w:rFonts w:eastAsia="Inter Light"/>
        </w:rPr>
        <w:t>”</w:t>
      </w:r>
      <w:r w:rsidRPr="07AD5326">
        <w:rPr>
          <w:rFonts w:eastAsia="Inter Light"/>
        </w:rPr>
        <w:t xml:space="preserve"> (82%) pathway</w:t>
      </w:r>
      <w:r w:rsidR="007D0049">
        <w:rPr>
          <w:rFonts w:eastAsia="Inter Light"/>
        </w:rPr>
        <w:t>s</w:t>
      </w:r>
      <w:r w:rsidRPr="07AD5326">
        <w:rPr>
          <w:rFonts w:eastAsia="Inter Light"/>
        </w:rPr>
        <w:t xml:space="preserve">. Notably, the </w:t>
      </w:r>
      <w:r w:rsidR="007D0049">
        <w:rPr>
          <w:rFonts w:eastAsia="Inter Light"/>
        </w:rPr>
        <w:t>p</w:t>
      </w:r>
      <w:r w:rsidRPr="07AD5326">
        <w:rPr>
          <w:rFonts w:eastAsia="Inter Light"/>
        </w:rPr>
        <w:t xml:space="preserve">ost-school </w:t>
      </w:r>
      <w:r w:rsidR="007D0049">
        <w:rPr>
          <w:rFonts w:eastAsia="Inter Light"/>
        </w:rPr>
        <w:t>e</w:t>
      </w:r>
      <w:r w:rsidRPr="07AD5326">
        <w:rPr>
          <w:rFonts w:eastAsia="Inter Light"/>
        </w:rPr>
        <w:t xml:space="preserve">nabling </w:t>
      </w:r>
      <w:r w:rsidR="007D0049">
        <w:rPr>
          <w:rFonts w:eastAsia="Inter Light"/>
        </w:rPr>
        <w:t>p</w:t>
      </w:r>
      <w:r w:rsidR="7997CB9E" w:rsidRPr="07AD5326">
        <w:rPr>
          <w:rFonts w:eastAsia="Inter Light"/>
        </w:rPr>
        <w:t>rogram</w:t>
      </w:r>
      <w:r w:rsidRPr="07AD5326">
        <w:rPr>
          <w:rFonts w:eastAsia="Inter Light"/>
        </w:rPr>
        <w:t xml:space="preserve"> achieved the highest retention rate of any pathway at most universities </w:t>
      </w:r>
      <w:r w:rsidRPr="07AD5326">
        <w:rPr>
          <w:rFonts w:eastAsia="Inter Light"/>
        </w:rPr>
        <w:lastRenderedPageBreak/>
        <w:t xml:space="preserve">investigated, and overall/cumulatively across all four universities (Table </w:t>
      </w:r>
      <w:r w:rsidR="2AF92355" w:rsidRPr="07AD5326">
        <w:rPr>
          <w:rFonts w:eastAsia="Inter Light"/>
        </w:rPr>
        <w:t>6</w:t>
      </w:r>
      <w:r w:rsidRPr="07AD5326">
        <w:rPr>
          <w:rFonts w:eastAsia="Inter Light"/>
        </w:rPr>
        <w:t xml:space="preserve">). The ratio of commencing undergraduate retention rates for </w:t>
      </w:r>
      <w:r w:rsidR="7997CB9E" w:rsidRPr="07AD5326">
        <w:rPr>
          <w:rFonts w:eastAsia="Inter Light"/>
        </w:rPr>
        <w:t>ISEPs</w:t>
      </w:r>
      <w:r w:rsidRPr="07AD5326">
        <w:rPr>
          <w:rFonts w:eastAsia="Inter Light"/>
        </w:rPr>
        <w:t xml:space="preserve"> to </w:t>
      </w:r>
      <w:r w:rsidR="007D0049">
        <w:rPr>
          <w:rFonts w:eastAsia="Inter Light"/>
        </w:rPr>
        <w:t>p</w:t>
      </w:r>
      <w:r w:rsidRPr="07AD5326">
        <w:rPr>
          <w:rFonts w:eastAsia="Inter Light"/>
        </w:rPr>
        <w:t xml:space="preserve">ost-school </w:t>
      </w:r>
      <w:r w:rsidR="007D0049">
        <w:rPr>
          <w:rFonts w:eastAsia="Inter Light"/>
        </w:rPr>
        <w:t>e</w:t>
      </w:r>
      <w:r w:rsidRPr="07AD5326">
        <w:rPr>
          <w:rFonts w:eastAsia="Inter Light"/>
        </w:rPr>
        <w:t xml:space="preserve">nabling </w:t>
      </w:r>
      <w:r w:rsidR="007D0049">
        <w:rPr>
          <w:rFonts w:eastAsia="Inter Light"/>
        </w:rPr>
        <w:t>p</w:t>
      </w:r>
      <w:r w:rsidRPr="07AD5326">
        <w:rPr>
          <w:rFonts w:eastAsia="Inter Light"/>
        </w:rPr>
        <w:t xml:space="preserve">rograms </w:t>
      </w:r>
      <w:r w:rsidR="602C2BF9" w:rsidRPr="07AD5326">
        <w:rPr>
          <w:rFonts w:eastAsia="Inter Light"/>
        </w:rPr>
        <w:t>wa</w:t>
      </w:r>
      <w:r w:rsidRPr="07AD5326">
        <w:rPr>
          <w:rFonts w:eastAsia="Inter Light"/>
        </w:rPr>
        <w:t>s, in most instances, close to 1</w:t>
      </w:r>
      <w:r w:rsidR="007D0049">
        <w:rPr>
          <w:rFonts w:eastAsia="Inter Light"/>
        </w:rPr>
        <w:t>,</w:t>
      </w:r>
      <w:r w:rsidRPr="07AD5326">
        <w:rPr>
          <w:rFonts w:eastAsia="Inter Light"/>
        </w:rPr>
        <w:t xml:space="preserve"> suggesting I</w:t>
      </w:r>
      <w:r w:rsidR="571F4320" w:rsidRPr="07AD5326">
        <w:rPr>
          <w:rFonts w:eastAsia="Inter Light"/>
        </w:rPr>
        <w:t>SEPs</w:t>
      </w:r>
      <w:r w:rsidRPr="07AD5326">
        <w:rPr>
          <w:rFonts w:eastAsia="Inter Light"/>
        </w:rPr>
        <w:t xml:space="preserve"> are achieving similar undergraduate retention outcomes to </w:t>
      </w:r>
      <w:r w:rsidR="007D0049">
        <w:rPr>
          <w:rFonts w:eastAsia="Inter Light"/>
        </w:rPr>
        <w:t>p</w:t>
      </w:r>
      <w:r w:rsidR="2CC1682F" w:rsidRPr="07AD5326">
        <w:rPr>
          <w:rFonts w:eastAsia="Inter Light"/>
        </w:rPr>
        <w:t>o</w:t>
      </w:r>
      <w:r w:rsidRPr="07AD5326">
        <w:rPr>
          <w:rFonts w:eastAsia="Inter Light"/>
        </w:rPr>
        <w:t xml:space="preserve">st-school </w:t>
      </w:r>
      <w:r w:rsidR="007D0049">
        <w:rPr>
          <w:rFonts w:eastAsia="Inter Light"/>
        </w:rPr>
        <w:t>e</w:t>
      </w:r>
      <w:r w:rsidRPr="07AD5326">
        <w:rPr>
          <w:rFonts w:eastAsia="Inter Light"/>
        </w:rPr>
        <w:t xml:space="preserve">nabling </w:t>
      </w:r>
      <w:r w:rsidR="007D0049">
        <w:rPr>
          <w:rFonts w:eastAsia="Inter Light"/>
        </w:rPr>
        <w:t>p</w:t>
      </w:r>
      <w:r w:rsidRPr="07AD5326">
        <w:rPr>
          <w:rFonts w:eastAsia="Inter Light"/>
        </w:rPr>
        <w:t>rograms.</w:t>
      </w:r>
    </w:p>
    <w:p w14:paraId="325D387E" w14:textId="4BEA4C60" w:rsidR="32755B6F" w:rsidRPr="00C473BD" w:rsidRDefault="32755B6F" w:rsidP="00F15E49">
      <w:pPr>
        <w:pStyle w:val="TOCHeading"/>
        <w:rPr>
          <w:lang w:val="en-US"/>
        </w:rPr>
      </w:pPr>
      <w:bookmarkStart w:id="74" w:name="_Toc232575175"/>
      <w:r w:rsidRPr="00C473BD">
        <w:t xml:space="preserve">Table </w:t>
      </w:r>
      <w:r w:rsidR="6B30F504" w:rsidRPr="00C473BD">
        <w:t>6</w:t>
      </w:r>
      <w:r w:rsidR="008C06EF">
        <w:t>:</w:t>
      </w:r>
      <w:r w:rsidRPr="00C473BD">
        <w:t xml:space="preserve"> Total number of domestic school</w:t>
      </w:r>
      <w:r w:rsidR="0080514D" w:rsidRPr="00C473BD">
        <w:t xml:space="preserve"> </w:t>
      </w:r>
      <w:r w:rsidRPr="00C473BD">
        <w:t>leaver</w:t>
      </w:r>
      <w:r w:rsidR="0080514D" w:rsidRPr="00C473BD">
        <w:t>-</w:t>
      </w:r>
      <w:r w:rsidRPr="00C473BD">
        <w:t>aged students retained into the second year of undergraduate study during 2023</w:t>
      </w:r>
      <w:r w:rsidR="00F15E49">
        <w:t>–</w:t>
      </w:r>
      <w:r w:rsidRPr="00C473BD">
        <w:t>2025, for those that commenced their degree between 2022</w:t>
      </w:r>
      <w:r w:rsidR="00F15E49">
        <w:t>–</w:t>
      </w:r>
      <w:r w:rsidRPr="00C473BD">
        <w:t>2024.</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87"/>
        <w:gridCol w:w="1411"/>
        <w:gridCol w:w="1244"/>
        <w:gridCol w:w="1356"/>
        <w:gridCol w:w="1323"/>
        <w:gridCol w:w="1395"/>
      </w:tblGrid>
      <w:tr w:rsidR="00FD6284" w14:paraId="5098EC90" w14:textId="77777777" w:rsidTr="00F15E49">
        <w:trPr>
          <w:trHeight w:val="300"/>
        </w:trPr>
        <w:tc>
          <w:tcPr>
            <w:tcW w:w="2343" w:type="dxa"/>
            <w:vMerge w:val="restart"/>
            <w:shd w:val="clear" w:color="auto" w:fill="78DED9" w:themeFill="accent1"/>
            <w:tcMar>
              <w:left w:w="108" w:type="dxa"/>
              <w:right w:w="108" w:type="dxa"/>
            </w:tcMar>
          </w:tcPr>
          <w:p w14:paraId="443CCE4F" w14:textId="7680DE68" w:rsidR="46C89230" w:rsidRDefault="46C89230" w:rsidP="00DC6E74">
            <w:pPr>
              <w:pStyle w:val="Normal-Bold"/>
              <w:rPr>
                <w:rFonts w:eastAsia="Inter Light"/>
              </w:rPr>
            </w:pPr>
            <w:r w:rsidRPr="46C89230">
              <w:rPr>
                <w:rFonts w:eastAsia="Inter Light"/>
              </w:rPr>
              <w:t xml:space="preserve">Admission </w:t>
            </w:r>
            <w:r w:rsidR="00A04A4E">
              <w:rPr>
                <w:rFonts w:eastAsia="Inter Light"/>
              </w:rPr>
              <w:t>p</w:t>
            </w:r>
            <w:r w:rsidRPr="46C89230">
              <w:rPr>
                <w:rFonts w:eastAsia="Inter Light"/>
              </w:rPr>
              <w:t>athway</w:t>
            </w:r>
          </w:p>
        </w:tc>
        <w:tc>
          <w:tcPr>
            <w:tcW w:w="5359" w:type="dxa"/>
            <w:gridSpan w:val="4"/>
            <w:shd w:val="clear" w:color="auto" w:fill="78DED9" w:themeFill="accent1"/>
            <w:tcMar>
              <w:left w:w="108" w:type="dxa"/>
              <w:right w:w="108" w:type="dxa"/>
            </w:tcMar>
          </w:tcPr>
          <w:p w14:paraId="14D8F415" w14:textId="4535FE0A" w:rsidR="46C89230" w:rsidRDefault="46C89230" w:rsidP="00DC6E74">
            <w:pPr>
              <w:pStyle w:val="Normal-Bold"/>
              <w:rPr>
                <w:rFonts w:eastAsia="Inter Light"/>
              </w:rPr>
            </w:pPr>
            <w:r w:rsidRPr="46C89230">
              <w:rPr>
                <w:rFonts w:eastAsia="Inter Light"/>
              </w:rPr>
              <w:t xml:space="preserve"> Retention rate*</w:t>
            </w:r>
          </w:p>
        </w:tc>
        <w:tc>
          <w:tcPr>
            <w:tcW w:w="1403" w:type="dxa"/>
            <w:vMerge w:val="restart"/>
            <w:shd w:val="clear" w:color="auto" w:fill="78DED9" w:themeFill="accent1"/>
            <w:tcMar>
              <w:left w:w="108" w:type="dxa"/>
              <w:right w:w="108" w:type="dxa"/>
            </w:tcMar>
          </w:tcPr>
          <w:p w14:paraId="42ACA561" w14:textId="1A2CC4C3" w:rsidR="46C89230" w:rsidRDefault="46C89230" w:rsidP="00DC6E74">
            <w:pPr>
              <w:pStyle w:val="Normal-Bold"/>
              <w:rPr>
                <w:rFonts w:eastAsia="Inter Light"/>
              </w:rPr>
            </w:pPr>
            <w:r w:rsidRPr="46C89230">
              <w:rPr>
                <w:rFonts w:eastAsia="Inter Light"/>
              </w:rPr>
              <w:t>Overall retention rate*</w:t>
            </w:r>
          </w:p>
        </w:tc>
      </w:tr>
      <w:tr w:rsidR="46C89230" w14:paraId="6D0BEB4B" w14:textId="77777777" w:rsidTr="00F15E49">
        <w:trPr>
          <w:trHeight w:val="300"/>
        </w:trPr>
        <w:tc>
          <w:tcPr>
            <w:tcW w:w="2343" w:type="dxa"/>
            <w:vMerge/>
            <w:vAlign w:val="center"/>
          </w:tcPr>
          <w:p w14:paraId="08B76DCB" w14:textId="77777777" w:rsidR="00640DA0" w:rsidRDefault="00640DA0" w:rsidP="00A32591"/>
        </w:tc>
        <w:tc>
          <w:tcPr>
            <w:tcW w:w="1420" w:type="dxa"/>
            <w:shd w:val="clear" w:color="auto" w:fill="78DED9" w:themeFill="accent1"/>
            <w:tcMar>
              <w:left w:w="108" w:type="dxa"/>
              <w:right w:w="108" w:type="dxa"/>
            </w:tcMar>
          </w:tcPr>
          <w:p w14:paraId="39CC8D7F" w14:textId="2B2B3709" w:rsidR="46C89230" w:rsidRDefault="46C89230" w:rsidP="00DC6E74">
            <w:pPr>
              <w:pStyle w:val="Normal-Bold"/>
              <w:rPr>
                <w:rFonts w:eastAsia="Inter Light"/>
              </w:rPr>
            </w:pPr>
            <w:r w:rsidRPr="46C89230">
              <w:rPr>
                <w:rFonts w:eastAsia="Inter Light"/>
              </w:rPr>
              <w:t>ECU</w:t>
            </w:r>
          </w:p>
        </w:tc>
        <w:tc>
          <w:tcPr>
            <w:tcW w:w="1250" w:type="dxa"/>
            <w:shd w:val="clear" w:color="auto" w:fill="78DED9" w:themeFill="accent1"/>
            <w:tcMar>
              <w:left w:w="108" w:type="dxa"/>
              <w:right w:w="108" w:type="dxa"/>
            </w:tcMar>
          </w:tcPr>
          <w:p w14:paraId="22E6423F" w14:textId="1B0E39D8" w:rsidR="46C89230" w:rsidRDefault="46C89230" w:rsidP="00DC6E74">
            <w:pPr>
              <w:pStyle w:val="Normal-Bold"/>
              <w:rPr>
                <w:rFonts w:eastAsia="Inter Light"/>
              </w:rPr>
            </w:pPr>
            <w:r w:rsidRPr="46C89230">
              <w:rPr>
                <w:rFonts w:eastAsia="Inter Light"/>
              </w:rPr>
              <w:t>MU</w:t>
            </w:r>
          </w:p>
        </w:tc>
        <w:tc>
          <w:tcPr>
            <w:tcW w:w="1362" w:type="dxa"/>
            <w:shd w:val="clear" w:color="auto" w:fill="78DED9" w:themeFill="accent1"/>
            <w:tcMar>
              <w:left w:w="108" w:type="dxa"/>
              <w:right w:w="108" w:type="dxa"/>
            </w:tcMar>
          </w:tcPr>
          <w:p w14:paraId="2DD46A6D" w14:textId="1199F8F3" w:rsidR="46C89230" w:rsidRDefault="46C89230" w:rsidP="00DC6E74">
            <w:pPr>
              <w:pStyle w:val="Normal-Bold"/>
              <w:rPr>
                <w:rFonts w:eastAsia="Inter Light"/>
              </w:rPr>
            </w:pPr>
            <w:r w:rsidRPr="46C89230">
              <w:rPr>
                <w:rFonts w:eastAsia="Inter Light"/>
              </w:rPr>
              <w:t>USQ</w:t>
            </w:r>
          </w:p>
        </w:tc>
        <w:tc>
          <w:tcPr>
            <w:tcW w:w="1327" w:type="dxa"/>
            <w:shd w:val="clear" w:color="auto" w:fill="78DED9" w:themeFill="accent1"/>
            <w:tcMar>
              <w:left w:w="108" w:type="dxa"/>
              <w:right w:w="108" w:type="dxa"/>
            </w:tcMar>
          </w:tcPr>
          <w:p w14:paraId="05DEB113" w14:textId="34DBB0D0" w:rsidR="46C89230" w:rsidRDefault="46C89230" w:rsidP="00DC6E74">
            <w:pPr>
              <w:pStyle w:val="Normal-Bold"/>
              <w:rPr>
                <w:rFonts w:eastAsia="Inter Light"/>
              </w:rPr>
            </w:pPr>
            <w:r w:rsidRPr="46C89230">
              <w:rPr>
                <w:rFonts w:eastAsia="Inter Light"/>
              </w:rPr>
              <w:t>SCU</w:t>
            </w:r>
          </w:p>
        </w:tc>
        <w:tc>
          <w:tcPr>
            <w:tcW w:w="1403" w:type="dxa"/>
            <w:vMerge/>
            <w:vAlign w:val="center"/>
          </w:tcPr>
          <w:p w14:paraId="6B2CD5BA" w14:textId="77777777" w:rsidR="00640DA0" w:rsidRDefault="00640DA0" w:rsidP="00A32591"/>
        </w:tc>
      </w:tr>
      <w:tr w:rsidR="00A44424" w14:paraId="3E26E907" w14:textId="77777777" w:rsidTr="00F15E49">
        <w:trPr>
          <w:trHeight w:val="300"/>
        </w:trPr>
        <w:tc>
          <w:tcPr>
            <w:tcW w:w="2343" w:type="dxa"/>
            <w:tcMar>
              <w:left w:w="108" w:type="dxa"/>
              <w:right w:w="108" w:type="dxa"/>
            </w:tcMar>
          </w:tcPr>
          <w:p w14:paraId="308DFE16" w14:textId="48E12C53" w:rsidR="00895CFA" w:rsidRDefault="46C89230" w:rsidP="00DC6E74">
            <w:pPr>
              <w:pStyle w:val="TableParagraph"/>
              <w:rPr>
                <w:rFonts w:eastAsia="Inter Light"/>
              </w:rPr>
            </w:pPr>
            <w:r w:rsidRPr="46C89230">
              <w:rPr>
                <w:rFonts w:eastAsia="Inter Light"/>
              </w:rPr>
              <w:t xml:space="preserve">In-school </w:t>
            </w:r>
            <w:r w:rsidR="00895CFA">
              <w:rPr>
                <w:rFonts w:eastAsia="Inter Light"/>
              </w:rPr>
              <w:t>e</w:t>
            </w:r>
            <w:r w:rsidRPr="46C89230">
              <w:rPr>
                <w:rFonts w:eastAsia="Inter Light"/>
              </w:rPr>
              <w:t xml:space="preserve">nabling </w:t>
            </w:r>
            <w:r w:rsidR="00A5066F">
              <w:rPr>
                <w:rFonts w:eastAsia="Inter Light"/>
              </w:rPr>
              <w:t>program</w:t>
            </w:r>
            <w:r w:rsidR="007D0049">
              <w:rPr>
                <w:rFonts w:eastAsia="Inter Light"/>
              </w:rPr>
              <w:t xml:space="preserve"> (ISEP)</w:t>
            </w:r>
          </w:p>
        </w:tc>
        <w:tc>
          <w:tcPr>
            <w:tcW w:w="1420" w:type="dxa"/>
            <w:tcMar>
              <w:left w:w="108" w:type="dxa"/>
              <w:right w:w="108" w:type="dxa"/>
            </w:tcMar>
          </w:tcPr>
          <w:p w14:paraId="6786F40B" w14:textId="77777777" w:rsidR="00DC6E74" w:rsidRDefault="46C89230" w:rsidP="00DC6E74">
            <w:pPr>
              <w:pStyle w:val="TableParagraph"/>
              <w:rPr>
                <w:rFonts w:eastAsia="Inter Light"/>
              </w:rPr>
            </w:pPr>
            <w:r w:rsidRPr="46C89230">
              <w:rPr>
                <w:rFonts w:eastAsia="Inter Light"/>
              </w:rPr>
              <w:t>206/261</w:t>
            </w:r>
          </w:p>
          <w:p w14:paraId="738B2A6E" w14:textId="09499933" w:rsidR="46C89230" w:rsidRDefault="46C89230" w:rsidP="00DC6E74">
            <w:pPr>
              <w:pStyle w:val="TableParagraph"/>
              <w:rPr>
                <w:rFonts w:eastAsia="Inter Light"/>
              </w:rPr>
            </w:pPr>
            <w:r w:rsidRPr="46C89230">
              <w:rPr>
                <w:rFonts w:eastAsia="Inter Light"/>
              </w:rPr>
              <w:t>(79%)</w:t>
            </w:r>
          </w:p>
        </w:tc>
        <w:tc>
          <w:tcPr>
            <w:tcW w:w="1250" w:type="dxa"/>
            <w:tcMar>
              <w:left w:w="108" w:type="dxa"/>
              <w:right w:w="108" w:type="dxa"/>
            </w:tcMar>
          </w:tcPr>
          <w:p w14:paraId="12584162" w14:textId="77777777" w:rsidR="00DC6E74" w:rsidRDefault="46C89230" w:rsidP="00DC6E74">
            <w:pPr>
              <w:pStyle w:val="TableParagraph"/>
              <w:rPr>
                <w:rFonts w:eastAsia="Inter Light"/>
              </w:rPr>
            </w:pPr>
            <w:r w:rsidRPr="46C89230">
              <w:rPr>
                <w:rFonts w:eastAsia="Inter Light"/>
              </w:rPr>
              <w:t>227/306</w:t>
            </w:r>
            <w:r w:rsidR="2748FC3A" w:rsidRPr="2748FC3A">
              <w:rPr>
                <w:rFonts w:eastAsia="Inter Light"/>
              </w:rPr>
              <w:t xml:space="preserve"> </w:t>
            </w:r>
          </w:p>
          <w:p w14:paraId="548499D2" w14:textId="3F4D44E1" w:rsidR="46C89230" w:rsidRDefault="46C89230" w:rsidP="00DC6E74">
            <w:pPr>
              <w:pStyle w:val="TableParagraph"/>
              <w:rPr>
                <w:rFonts w:eastAsia="Inter Light"/>
              </w:rPr>
            </w:pPr>
            <w:r w:rsidRPr="46C89230">
              <w:rPr>
                <w:rFonts w:eastAsia="Inter Light"/>
              </w:rPr>
              <w:t>(74%)</w:t>
            </w:r>
          </w:p>
        </w:tc>
        <w:tc>
          <w:tcPr>
            <w:tcW w:w="1362" w:type="dxa"/>
            <w:tcMar>
              <w:left w:w="108" w:type="dxa"/>
              <w:right w:w="108" w:type="dxa"/>
            </w:tcMar>
          </w:tcPr>
          <w:p w14:paraId="36AF877D" w14:textId="49894346" w:rsidR="46C89230" w:rsidRDefault="46C89230" w:rsidP="00DC6E74">
            <w:pPr>
              <w:pStyle w:val="TableParagraph"/>
              <w:rPr>
                <w:rFonts w:eastAsia="Inter Light"/>
              </w:rPr>
            </w:pPr>
            <w:r w:rsidRPr="46C89230">
              <w:rPr>
                <w:rFonts w:eastAsia="Inter Light"/>
              </w:rPr>
              <w:t>46/70</w:t>
            </w:r>
          </w:p>
          <w:p w14:paraId="0A6765AE" w14:textId="1B6EE8E5" w:rsidR="46C89230" w:rsidRDefault="46C89230" w:rsidP="00DC6E74">
            <w:pPr>
              <w:pStyle w:val="TableParagraph"/>
              <w:rPr>
                <w:rFonts w:eastAsia="Inter Light"/>
              </w:rPr>
            </w:pPr>
            <w:r w:rsidRPr="46C89230">
              <w:rPr>
                <w:rFonts w:eastAsia="Inter Light"/>
              </w:rPr>
              <w:t>(66%)</w:t>
            </w:r>
          </w:p>
        </w:tc>
        <w:tc>
          <w:tcPr>
            <w:tcW w:w="1327" w:type="dxa"/>
            <w:tcMar>
              <w:left w:w="108" w:type="dxa"/>
              <w:right w:w="108" w:type="dxa"/>
            </w:tcMar>
          </w:tcPr>
          <w:p w14:paraId="10754729" w14:textId="6F877A69" w:rsidR="32445FDA" w:rsidRPr="00DC6E74" w:rsidRDefault="46C89230" w:rsidP="00DC6E74">
            <w:pPr>
              <w:pStyle w:val="TableParagraph"/>
            </w:pPr>
            <w:r w:rsidRPr="46C89230">
              <w:rPr>
                <w:rFonts w:eastAsia="Inter Light"/>
              </w:rPr>
              <w:t xml:space="preserve">17/24 </w:t>
            </w:r>
          </w:p>
          <w:p w14:paraId="60B402B7" w14:textId="4B59AD09" w:rsidR="46C89230" w:rsidRDefault="46C89230" w:rsidP="00DC6E74">
            <w:pPr>
              <w:pStyle w:val="TableParagraph"/>
              <w:rPr>
                <w:rFonts w:eastAsia="Inter Light"/>
              </w:rPr>
            </w:pPr>
            <w:r w:rsidRPr="46C89230">
              <w:rPr>
                <w:rFonts w:eastAsia="Inter Light"/>
              </w:rPr>
              <w:t>(71%)</w:t>
            </w:r>
          </w:p>
        </w:tc>
        <w:tc>
          <w:tcPr>
            <w:tcW w:w="1403" w:type="dxa"/>
            <w:shd w:val="clear" w:color="auto" w:fill="E8E8E8"/>
            <w:tcMar>
              <w:left w:w="108" w:type="dxa"/>
              <w:right w:w="108" w:type="dxa"/>
            </w:tcMar>
          </w:tcPr>
          <w:p w14:paraId="7D86896D" w14:textId="7BCB00C2" w:rsidR="46C89230" w:rsidRDefault="46C89230" w:rsidP="00DC6E74">
            <w:pPr>
              <w:pStyle w:val="TableParagraph"/>
              <w:rPr>
                <w:rFonts w:eastAsia="Inter Light"/>
              </w:rPr>
            </w:pPr>
            <w:r w:rsidRPr="46C89230">
              <w:rPr>
                <w:rFonts w:eastAsia="Inter Light"/>
              </w:rPr>
              <w:t>496/661</w:t>
            </w:r>
          </w:p>
          <w:p w14:paraId="2C59F5D4" w14:textId="61BFBFB8" w:rsidR="46C89230" w:rsidRDefault="46C89230" w:rsidP="00DC6E74">
            <w:pPr>
              <w:pStyle w:val="TableParagraph"/>
              <w:rPr>
                <w:rFonts w:eastAsia="Inter Light"/>
              </w:rPr>
            </w:pPr>
            <w:r w:rsidRPr="46C89230">
              <w:rPr>
                <w:rFonts w:eastAsia="Inter Light"/>
              </w:rPr>
              <w:t>(75%)</w:t>
            </w:r>
          </w:p>
        </w:tc>
      </w:tr>
      <w:tr w:rsidR="00F63038" w14:paraId="78737C56" w14:textId="77777777" w:rsidTr="00F15E49">
        <w:trPr>
          <w:trHeight w:val="300"/>
        </w:trPr>
        <w:tc>
          <w:tcPr>
            <w:tcW w:w="2343" w:type="dxa"/>
            <w:tcMar>
              <w:left w:w="108" w:type="dxa"/>
              <w:right w:w="108" w:type="dxa"/>
            </w:tcMar>
          </w:tcPr>
          <w:p w14:paraId="779D530F" w14:textId="016E3F41" w:rsidR="46C89230" w:rsidRDefault="46C89230" w:rsidP="00DC6E74">
            <w:pPr>
              <w:pStyle w:val="TableParagraph"/>
              <w:rPr>
                <w:rFonts w:eastAsia="Inter Light"/>
              </w:rPr>
            </w:pPr>
            <w:r w:rsidRPr="46C89230">
              <w:rPr>
                <w:rFonts w:eastAsia="Inter Light"/>
              </w:rPr>
              <w:t xml:space="preserve">Post-school </w:t>
            </w:r>
            <w:r w:rsidR="007D0049">
              <w:rPr>
                <w:rFonts w:eastAsia="Inter Light"/>
              </w:rPr>
              <w:t>e</w:t>
            </w:r>
            <w:r w:rsidRPr="46C89230">
              <w:rPr>
                <w:rFonts w:eastAsia="Inter Light"/>
              </w:rPr>
              <w:t xml:space="preserve">nabling </w:t>
            </w:r>
            <w:r w:rsidR="00A5066F">
              <w:rPr>
                <w:rFonts w:eastAsia="Inter Light"/>
              </w:rPr>
              <w:t>program</w:t>
            </w:r>
          </w:p>
        </w:tc>
        <w:tc>
          <w:tcPr>
            <w:tcW w:w="1420" w:type="dxa"/>
            <w:tcMar>
              <w:left w:w="108" w:type="dxa"/>
              <w:right w:w="108" w:type="dxa"/>
            </w:tcMar>
          </w:tcPr>
          <w:p w14:paraId="16864834" w14:textId="77777777" w:rsidR="00DC6E74" w:rsidRDefault="46C89230" w:rsidP="00DC6E74">
            <w:pPr>
              <w:pStyle w:val="TableParagraph"/>
              <w:rPr>
                <w:rFonts w:eastAsia="Inter Light"/>
              </w:rPr>
            </w:pPr>
            <w:r w:rsidRPr="46C89230">
              <w:rPr>
                <w:rFonts w:eastAsia="Inter Light"/>
              </w:rPr>
              <w:t xml:space="preserve">1064/1243 </w:t>
            </w:r>
          </w:p>
          <w:p w14:paraId="1D99246B" w14:textId="5ED117AE" w:rsidR="46C89230" w:rsidRDefault="46C89230" w:rsidP="00DC6E74">
            <w:pPr>
              <w:pStyle w:val="TableParagraph"/>
              <w:rPr>
                <w:rFonts w:eastAsia="Inter Light"/>
              </w:rPr>
            </w:pPr>
            <w:r w:rsidRPr="46C89230">
              <w:rPr>
                <w:rFonts w:eastAsia="Inter Light"/>
              </w:rPr>
              <w:t>(86%)</w:t>
            </w:r>
          </w:p>
        </w:tc>
        <w:tc>
          <w:tcPr>
            <w:tcW w:w="1250" w:type="dxa"/>
            <w:tcMar>
              <w:left w:w="108" w:type="dxa"/>
              <w:right w:w="108" w:type="dxa"/>
            </w:tcMar>
          </w:tcPr>
          <w:p w14:paraId="07B48BDE" w14:textId="77777777" w:rsidR="00DC6E74" w:rsidRDefault="46C89230" w:rsidP="00DC6E74">
            <w:pPr>
              <w:pStyle w:val="TableParagraph"/>
              <w:rPr>
                <w:rFonts w:eastAsia="Inter Light"/>
              </w:rPr>
            </w:pPr>
            <w:r w:rsidRPr="46C89230">
              <w:rPr>
                <w:rFonts w:eastAsia="Inter Light"/>
              </w:rPr>
              <w:t xml:space="preserve">258/331 </w:t>
            </w:r>
          </w:p>
          <w:p w14:paraId="6F4E11AE" w14:textId="388CAC23" w:rsidR="46C89230" w:rsidRDefault="46C89230" w:rsidP="00DC6E74">
            <w:pPr>
              <w:pStyle w:val="TableParagraph"/>
              <w:rPr>
                <w:rFonts w:eastAsia="Inter Light"/>
              </w:rPr>
            </w:pPr>
            <w:r w:rsidRPr="46C89230">
              <w:rPr>
                <w:rFonts w:eastAsia="Inter Light"/>
              </w:rPr>
              <w:t>(78%)</w:t>
            </w:r>
          </w:p>
        </w:tc>
        <w:tc>
          <w:tcPr>
            <w:tcW w:w="1362" w:type="dxa"/>
            <w:tcMar>
              <w:left w:w="108" w:type="dxa"/>
              <w:right w:w="108" w:type="dxa"/>
            </w:tcMar>
          </w:tcPr>
          <w:p w14:paraId="58540B0C" w14:textId="77777777" w:rsidR="00DC6E74" w:rsidRDefault="46C89230" w:rsidP="00DC6E74">
            <w:pPr>
              <w:pStyle w:val="TableParagraph"/>
              <w:rPr>
                <w:rFonts w:eastAsia="Inter Light"/>
              </w:rPr>
            </w:pPr>
            <w:r w:rsidRPr="46C89230">
              <w:rPr>
                <w:rFonts w:eastAsia="Inter Light"/>
              </w:rPr>
              <w:t xml:space="preserve">212/283 </w:t>
            </w:r>
          </w:p>
          <w:p w14:paraId="03BDEF74" w14:textId="34666C43" w:rsidR="46C89230" w:rsidRDefault="46C89230" w:rsidP="00DC6E74">
            <w:pPr>
              <w:pStyle w:val="TableParagraph"/>
              <w:rPr>
                <w:rFonts w:eastAsia="Inter Light"/>
              </w:rPr>
            </w:pPr>
            <w:r w:rsidRPr="46C89230">
              <w:rPr>
                <w:rFonts w:eastAsia="Inter Light"/>
              </w:rPr>
              <w:t>(75%)</w:t>
            </w:r>
          </w:p>
        </w:tc>
        <w:tc>
          <w:tcPr>
            <w:tcW w:w="1327" w:type="dxa"/>
            <w:tcMar>
              <w:left w:w="108" w:type="dxa"/>
              <w:right w:w="108" w:type="dxa"/>
            </w:tcMar>
          </w:tcPr>
          <w:p w14:paraId="3A6521D3" w14:textId="77777777" w:rsidR="00DC6E74" w:rsidRDefault="46C89230" w:rsidP="00DC6E74">
            <w:pPr>
              <w:pStyle w:val="TableParagraph"/>
              <w:rPr>
                <w:rFonts w:eastAsia="Inter Light"/>
              </w:rPr>
            </w:pPr>
            <w:r w:rsidRPr="46C89230">
              <w:rPr>
                <w:rFonts w:eastAsia="Inter Light"/>
              </w:rPr>
              <w:t xml:space="preserve">323/415 </w:t>
            </w:r>
          </w:p>
          <w:p w14:paraId="167448A6" w14:textId="2B38BADB" w:rsidR="46C89230" w:rsidRDefault="46C89230" w:rsidP="00DC6E74">
            <w:pPr>
              <w:pStyle w:val="TableParagraph"/>
              <w:rPr>
                <w:rFonts w:eastAsia="Inter Light"/>
              </w:rPr>
            </w:pPr>
            <w:r w:rsidRPr="46C89230">
              <w:rPr>
                <w:rFonts w:eastAsia="Inter Light"/>
              </w:rPr>
              <w:t>(78%)</w:t>
            </w:r>
          </w:p>
        </w:tc>
        <w:tc>
          <w:tcPr>
            <w:tcW w:w="1403" w:type="dxa"/>
            <w:shd w:val="clear" w:color="auto" w:fill="E8E8E8"/>
            <w:tcMar>
              <w:left w:w="108" w:type="dxa"/>
              <w:right w:w="108" w:type="dxa"/>
            </w:tcMar>
          </w:tcPr>
          <w:p w14:paraId="6F0352F1" w14:textId="46614804" w:rsidR="46C89230" w:rsidRDefault="46C89230" w:rsidP="00DC6E74">
            <w:pPr>
              <w:pStyle w:val="TableParagraph"/>
              <w:rPr>
                <w:rFonts w:eastAsia="Inter Light"/>
              </w:rPr>
            </w:pPr>
            <w:r w:rsidRPr="46C89230">
              <w:rPr>
                <w:rFonts w:eastAsia="Inter Light"/>
              </w:rPr>
              <w:t>1857/2272</w:t>
            </w:r>
          </w:p>
          <w:p w14:paraId="290E9C2F" w14:textId="287FCA5E" w:rsidR="46C89230" w:rsidRDefault="46C89230" w:rsidP="00DC6E74">
            <w:pPr>
              <w:pStyle w:val="TableParagraph"/>
              <w:rPr>
                <w:rFonts w:eastAsia="Inter Light"/>
              </w:rPr>
            </w:pPr>
            <w:r w:rsidRPr="46C89230">
              <w:rPr>
                <w:rFonts w:eastAsia="Inter Light"/>
              </w:rPr>
              <w:t>(82%)</w:t>
            </w:r>
          </w:p>
        </w:tc>
      </w:tr>
      <w:tr w:rsidR="00F63038" w14:paraId="5515A726" w14:textId="77777777" w:rsidTr="00F15E49">
        <w:trPr>
          <w:trHeight w:val="300"/>
        </w:trPr>
        <w:tc>
          <w:tcPr>
            <w:tcW w:w="2343" w:type="dxa"/>
            <w:tcMar>
              <w:left w:w="108" w:type="dxa"/>
              <w:right w:w="108" w:type="dxa"/>
            </w:tcMar>
          </w:tcPr>
          <w:p w14:paraId="72A963F1" w14:textId="03DB906F" w:rsidR="46C89230" w:rsidRDefault="46C89230" w:rsidP="00DC6E74">
            <w:pPr>
              <w:pStyle w:val="TableParagraph"/>
              <w:rPr>
                <w:rFonts w:eastAsia="Inter Light"/>
              </w:rPr>
            </w:pPr>
            <w:r w:rsidRPr="46C89230">
              <w:rPr>
                <w:rFonts w:eastAsia="Inter Light"/>
              </w:rPr>
              <w:t>Recent school leaver (ATAR entry)</w:t>
            </w:r>
          </w:p>
        </w:tc>
        <w:tc>
          <w:tcPr>
            <w:tcW w:w="1420" w:type="dxa"/>
            <w:tcMar>
              <w:left w:w="108" w:type="dxa"/>
              <w:right w:w="108" w:type="dxa"/>
            </w:tcMar>
          </w:tcPr>
          <w:p w14:paraId="3587D832" w14:textId="77777777" w:rsidR="00DC6E74" w:rsidRDefault="46C89230" w:rsidP="00DC6E74">
            <w:pPr>
              <w:pStyle w:val="TableParagraph"/>
              <w:rPr>
                <w:rFonts w:eastAsia="Inter Light"/>
              </w:rPr>
            </w:pPr>
            <w:r w:rsidRPr="46C89230">
              <w:rPr>
                <w:rFonts w:eastAsia="Inter Light"/>
              </w:rPr>
              <w:t xml:space="preserve">2040/2399 </w:t>
            </w:r>
          </w:p>
          <w:p w14:paraId="368955B2" w14:textId="54CF7351" w:rsidR="46C89230" w:rsidRDefault="46C89230" w:rsidP="00DC6E74">
            <w:pPr>
              <w:pStyle w:val="TableParagraph"/>
              <w:rPr>
                <w:rFonts w:eastAsia="Inter Light"/>
              </w:rPr>
            </w:pPr>
            <w:r w:rsidRPr="46C89230">
              <w:rPr>
                <w:rFonts w:eastAsia="Inter Light"/>
              </w:rPr>
              <w:t>(85%)</w:t>
            </w:r>
          </w:p>
        </w:tc>
        <w:tc>
          <w:tcPr>
            <w:tcW w:w="1250" w:type="dxa"/>
            <w:tcMar>
              <w:left w:w="108" w:type="dxa"/>
              <w:right w:w="108" w:type="dxa"/>
            </w:tcMar>
          </w:tcPr>
          <w:p w14:paraId="7139E12E" w14:textId="77777777" w:rsidR="00DC6E74" w:rsidRDefault="46C89230" w:rsidP="00DC6E74">
            <w:pPr>
              <w:pStyle w:val="TableParagraph"/>
              <w:rPr>
                <w:rFonts w:eastAsia="Inter Light"/>
              </w:rPr>
            </w:pPr>
            <w:r w:rsidRPr="46C89230">
              <w:rPr>
                <w:rFonts w:eastAsia="Inter Light"/>
              </w:rPr>
              <w:t xml:space="preserve">413/557 </w:t>
            </w:r>
          </w:p>
          <w:p w14:paraId="0AC3E441" w14:textId="377DD3FA" w:rsidR="46C89230" w:rsidRDefault="46C89230" w:rsidP="00DC6E74">
            <w:pPr>
              <w:pStyle w:val="TableParagraph"/>
              <w:rPr>
                <w:rFonts w:eastAsia="Inter Light"/>
              </w:rPr>
            </w:pPr>
            <w:r w:rsidRPr="46C89230">
              <w:rPr>
                <w:rFonts w:eastAsia="Inter Light"/>
              </w:rPr>
              <w:t>(74%)</w:t>
            </w:r>
          </w:p>
        </w:tc>
        <w:tc>
          <w:tcPr>
            <w:tcW w:w="1362" w:type="dxa"/>
            <w:tcMar>
              <w:left w:w="108" w:type="dxa"/>
              <w:right w:w="108" w:type="dxa"/>
            </w:tcMar>
          </w:tcPr>
          <w:p w14:paraId="3F75B767" w14:textId="31D6638A" w:rsidR="46C89230" w:rsidRDefault="46C89230" w:rsidP="00DC6E74">
            <w:pPr>
              <w:pStyle w:val="TableParagraph"/>
              <w:rPr>
                <w:rFonts w:eastAsia="Inter Light"/>
              </w:rPr>
            </w:pPr>
            <w:r w:rsidRPr="46C89230">
              <w:rPr>
                <w:rFonts w:eastAsia="Inter Light"/>
              </w:rPr>
              <w:t>1100/1466</w:t>
            </w:r>
          </w:p>
          <w:p w14:paraId="10E3EF46" w14:textId="57457340" w:rsidR="46C89230" w:rsidRDefault="46C89230" w:rsidP="00DC6E74">
            <w:pPr>
              <w:pStyle w:val="TableParagraph"/>
              <w:rPr>
                <w:rFonts w:eastAsia="Inter Light"/>
              </w:rPr>
            </w:pPr>
            <w:r w:rsidRPr="46C89230">
              <w:rPr>
                <w:rFonts w:eastAsia="Inter Light"/>
              </w:rPr>
              <w:t>(75%)</w:t>
            </w:r>
          </w:p>
        </w:tc>
        <w:tc>
          <w:tcPr>
            <w:tcW w:w="1327" w:type="dxa"/>
            <w:tcMar>
              <w:left w:w="108" w:type="dxa"/>
              <w:right w:w="108" w:type="dxa"/>
            </w:tcMar>
          </w:tcPr>
          <w:p w14:paraId="61C2AE84" w14:textId="77777777" w:rsidR="00DC6E74" w:rsidRDefault="46C89230" w:rsidP="00DC6E74">
            <w:pPr>
              <w:pStyle w:val="TableParagraph"/>
              <w:rPr>
                <w:rFonts w:eastAsia="Inter Light"/>
              </w:rPr>
            </w:pPr>
            <w:r w:rsidRPr="46C89230">
              <w:rPr>
                <w:rFonts w:eastAsia="Inter Light"/>
              </w:rPr>
              <w:t xml:space="preserve">364/521 </w:t>
            </w:r>
          </w:p>
          <w:p w14:paraId="0B233118" w14:textId="548086DD" w:rsidR="46C89230" w:rsidRDefault="46C89230" w:rsidP="00DC6E74">
            <w:pPr>
              <w:pStyle w:val="TableParagraph"/>
              <w:rPr>
                <w:rFonts w:eastAsia="Inter Light"/>
              </w:rPr>
            </w:pPr>
            <w:r w:rsidRPr="46C89230">
              <w:rPr>
                <w:rFonts w:eastAsia="Inter Light"/>
              </w:rPr>
              <w:t>(70%)</w:t>
            </w:r>
          </w:p>
        </w:tc>
        <w:tc>
          <w:tcPr>
            <w:tcW w:w="1403" w:type="dxa"/>
            <w:shd w:val="clear" w:color="auto" w:fill="E8E8E8"/>
            <w:tcMar>
              <w:left w:w="108" w:type="dxa"/>
              <w:right w:w="108" w:type="dxa"/>
            </w:tcMar>
          </w:tcPr>
          <w:p w14:paraId="2BF21A40" w14:textId="54B0181D" w:rsidR="46C89230" w:rsidRDefault="46C89230" w:rsidP="00DC6E74">
            <w:pPr>
              <w:pStyle w:val="TableParagraph"/>
              <w:rPr>
                <w:rFonts w:eastAsia="Inter Light"/>
              </w:rPr>
            </w:pPr>
            <w:r w:rsidRPr="46C89230">
              <w:rPr>
                <w:rFonts w:eastAsia="Inter Light"/>
              </w:rPr>
              <w:t>3917/4943</w:t>
            </w:r>
          </w:p>
          <w:p w14:paraId="11B4E581" w14:textId="3BFA8813" w:rsidR="46C89230" w:rsidRDefault="46C89230" w:rsidP="00DC6E74">
            <w:pPr>
              <w:pStyle w:val="TableParagraph"/>
              <w:rPr>
                <w:rFonts w:eastAsia="Inter Light"/>
              </w:rPr>
            </w:pPr>
            <w:r w:rsidRPr="46C89230">
              <w:rPr>
                <w:rFonts w:eastAsia="Inter Light"/>
              </w:rPr>
              <w:t>(79%)</w:t>
            </w:r>
          </w:p>
        </w:tc>
      </w:tr>
      <w:tr w:rsidR="00F63038" w14:paraId="173A4A75" w14:textId="77777777" w:rsidTr="00F15E49">
        <w:trPr>
          <w:trHeight w:val="300"/>
        </w:trPr>
        <w:tc>
          <w:tcPr>
            <w:tcW w:w="2343" w:type="dxa"/>
            <w:tcMar>
              <w:left w:w="108" w:type="dxa"/>
              <w:right w:w="108" w:type="dxa"/>
            </w:tcMar>
          </w:tcPr>
          <w:p w14:paraId="711FBF4F" w14:textId="1B5BAA79" w:rsidR="46C89230" w:rsidRDefault="46C89230" w:rsidP="00DC6E74">
            <w:pPr>
              <w:pStyle w:val="TableParagraph"/>
              <w:rPr>
                <w:rFonts w:eastAsia="Inter Light"/>
              </w:rPr>
            </w:pPr>
            <w:r w:rsidRPr="46C89230">
              <w:rPr>
                <w:rFonts w:eastAsia="Inter Light"/>
              </w:rPr>
              <w:t>Recent school leaver (non-ATAR)</w:t>
            </w:r>
          </w:p>
        </w:tc>
        <w:tc>
          <w:tcPr>
            <w:tcW w:w="1420" w:type="dxa"/>
            <w:tcMar>
              <w:left w:w="108" w:type="dxa"/>
              <w:right w:w="108" w:type="dxa"/>
            </w:tcMar>
          </w:tcPr>
          <w:p w14:paraId="1CFCEFC1" w14:textId="77777777" w:rsidR="00DC6E74" w:rsidRDefault="46C89230" w:rsidP="00DC6E74">
            <w:pPr>
              <w:pStyle w:val="TableParagraph"/>
              <w:rPr>
                <w:rFonts w:eastAsia="Inter Light"/>
              </w:rPr>
            </w:pPr>
            <w:r w:rsidRPr="46C89230">
              <w:rPr>
                <w:rFonts w:eastAsia="Inter Light"/>
              </w:rPr>
              <w:t>354/397</w:t>
            </w:r>
          </w:p>
          <w:p w14:paraId="5193583B" w14:textId="6AD98AD8" w:rsidR="46C89230" w:rsidRDefault="46C89230" w:rsidP="00DC6E74">
            <w:pPr>
              <w:pStyle w:val="TableParagraph"/>
              <w:rPr>
                <w:rFonts w:eastAsia="Inter Light"/>
              </w:rPr>
            </w:pPr>
            <w:r w:rsidRPr="46C89230">
              <w:rPr>
                <w:rFonts w:eastAsia="Inter Light"/>
              </w:rPr>
              <w:t>(89%)</w:t>
            </w:r>
          </w:p>
        </w:tc>
        <w:tc>
          <w:tcPr>
            <w:tcW w:w="1250" w:type="dxa"/>
            <w:tcMar>
              <w:left w:w="108" w:type="dxa"/>
              <w:right w:w="108" w:type="dxa"/>
            </w:tcMar>
          </w:tcPr>
          <w:p w14:paraId="7B730826" w14:textId="77777777" w:rsidR="00DC6E74" w:rsidRDefault="46C89230" w:rsidP="00DC6E74">
            <w:pPr>
              <w:pStyle w:val="TableParagraph"/>
              <w:rPr>
                <w:rFonts w:eastAsia="Inter Light"/>
              </w:rPr>
            </w:pPr>
            <w:r w:rsidRPr="46C89230">
              <w:rPr>
                <w:rFonts w:eastAsia="Inter Light"/>
              </w:rPr>
              <w:t xml:space="preserve">852/1077 </w:t>
            </w:r>
          </w:p>
          <w:p w14:paraId="74358A4B" w14:textId="2E8690F0" w:rsidR="46C89230" w:rsidRDefault="46C89230" w:rsidP="00DC6E74">
            <w:pPr>
              <w:pStyle w:val="TableParagraph"/>
              <w:rPr>
                <w:rFonts w:eastAsia="Inter Light"/>
              </w:rPr>
            </w:pPr>
            <w:r w:rsidRPr="46C89230">
              <w:rPr>
                <w:rFonts w:eastAsia="Inter Light"/>
              </w:rPr>
              <w:t>(79%)</w:t>
            </w:r>
          </w:p>
        </w:tc>
        <w:tc>
          <w:tcPr>
            <w:tcW w:w="1362" w:type="dxa"/>
            <w:tcMar>
              <w:left w:w="108" w:type="dxa"/>
              <w:right w:w="108" w:type="dxa"/>
            </w:tcMar>
          </w:tcPr>
          <w:p w14:paraId="068352D3" w14:textId="77777777" w:rsidR="00DC6E74" w:rsidRDefault="46C89230" w:rsidP="00DC6E74">
            <w:pPr>
              <w:pStyle w:val="TableParagraph"/>
              <w:rPr>
                <w:rFonts w:eastAsia="Inter Light"/>
              </w:rPr>
            </w:pPr>
            <w:r w:rsidRPr="46C89230">
              <w:rPr>
                <w:rFonts w:eastAsia="Inter Light"/>
              </w:rPr>
              <w:t xml:space="preserve">849/1166 </w:t>
            </w:r>
          </w:p>
          <w:p w14:paraId="139E9C27" w14:textId="070C8628" w:rsidR="46C89230" w:rsidRDefault="46C89230" w:rsidP="00DC6E74">
            <w:pPr>
              <w:pStyle w:val="TableParagraph"/>
              <w:rPr>
                <w:rFonts w:eastAsia="Inter Light"/>
              </w:rPr>
            </w:pPr>
            <w:r w:rsidRPr="46C89230">
              <w:rPr>
                <w:rFonts w:eastAsia="Inter Light"/>
              </w:rPr>
              <w:t>(73%)</w:t>
            </w:r>
          </w:p>
        </w:tc>
        <w:tc>
          <w:tcPr>
            <w:tcW w:w="1327" w:type="dxa"/>
            <w:tcMar>
              <w:left w:w="108" w:type="dxa"/>
              <w:right w:w="108" w:type="dxa"/>
            </w:tcMar>
          </w:tcPr>
          <w:p w14:paraId="4BF19BB0" w14:textId="77777777" w:rsidR="00DC6E74" w:rsidRDefault="46C89230" w:rsidP="00DC6E74">
            <w:pPr>
              <w:pStyle w:val="TableParagraph"/>
              <w:rPr>
                <w:rFonts w:eastAsia="Inter Light"/>
              </w:rPr>
            </w:pPr>
            <w:r w:rsidRPr="46C89230">
              <w:rPr>
                <w:rFonts w:eastAsia="Inter Light"/>
              </w:rPr>
              <w:t xml:space="preserve">1349/1862 </w:t>
            </w:r>
          </w:p>
          <w:p w14:paraId="56A6A60C" w14:textId="770D1528" w:rsidR="46C89230" w:rsidRDefault="46C89230" w:rsidP="00DC6E74">
            <w:pPr>
              <w:pStyle w:val="TableParagraph"/>
              <w:rPr>
                <w:rFonts w:eastAsia="Inter Light"/>
              </w:rPr>
            </w:pPr>
            <w:r w:rsidRPr="46C89230">
              <w:rPr>
                <w:rFonts w:eastAsia="Inter Light"/>
              </w:rPr>
              <w:t>(72%)</w:t>
            </w:r>
          </w:p>
        </w:tc>
        <w:tc>
          <w:tcPr>
            <w:tcW w:w="1403" w:type="dxa"/>
            <w:shd w:val="clear" w:color="auto" w:fill="E8E8E8"/>
            <w:tcMar>
              <w:left w:w="108" w:type="dxa"/>
              <w:right w:w="108" w:type="dxa"/>
            </w:tcMar>
          </w:tcPr>
          <w:p w14:paraId="21CF3861" w14:textId="48CA5CA9" w:rsidR="46C89230" w:rsidRDefault="46C89230" w:rsidP="00DC6E74">
            <w:pPr>
              <w:pStyle w:val="TableParagraph"/>
              <w:rPr>
                <w:rFonts w:eastAsia="Inter Light"/>
              </w:rPr>
            </w:pPr>
            <w:r w:rsidRPr="46C89230">
              <w:rPr>
                <w:rFonts w:eastAsia="Inter Light"/>
              </w:rPr>
              <w:t>3404/4502</w:t>
            </w:r>
          </w:p>
          <w:p w14:paraId="06B844EE" w14:textId="052124B7" w:rsidR="46C89230" w:rsidRDefault="46C89230" w:rsidP="00DC6E74">
            <w:pPr>
              <w:pStyle w:val="TableParagraph"/>
              <w:rPr>
                <w:rFonts w:eastAsia="Inter Light"/>
              </w:rPr>
            </w:pPr>
            <w:r w:rsidRPr="46C89230">
              <w:rPr>
                <w:rFonts w:eastAsia="Inter Light"/>
              </w:rPr>
              <w:t>(76%)</w:t>
            </w:r>
          </w:p>
        </w:tc>
      </w:tr>
      <w:tr w:rsidR="00F63038" w14:paraId="37C423EC" w14:textId="77777777" w:rsidTr="00F15E49">
        <w:trPr>
          <w:trHeight w:val="300"/>
        </w:trPr>
        <w:tc>
          <w:tcPr>
            <w:tcW w:w="2343" w:type="dxa"/>
            <w:tcMar>
              <w:left w:w="108" w:type="dxa"/>
              <w:right w:w="108" w:type="dxa"/>
            </w:tcMar>
          </w:tcPr>
          <w:p w14:paraId="0AA4C78C" w14:textId="7D7D3E95" w:rsidR="46C89230" w:rsidRDefault="46C89230" w:rsidP="00DC6E74">
            <w:pPr>
              <w:pStyle w:val="TableParagraph"/>
              <w:rPr>
                <w:rFonts w:eastAsia="Inter Light"/>
              </w:rPr>
            </w:pPr>
            <w:proofErr w:type="gramStart"/>
            <w:r w:rsidRPr="46C89230">
              <w:rPr>
                <w:rFonts w:eastAsia="Inter Light"/>
              </w:rPr>
              <w:t>Other</w:t>
            </w:r>
            <w:proofErr w:type="gramEnd"/>
            <w:r w:rsidRPr="46C89230">
              <w:rPr>
                <w:rFonts w:eastAsia="Inter Light"/>
              </w:rPr>
              <w:t xml:space="preserve"> provider </w:t>
            </w:r>
            <w:r w:rsidR="007D0049">
              <w:rPr>
                <w:rFonts w:eastAsia="Inter Light"/>
              </w:rPr>
              <w:t>e</w:t>
            </w:r>
            <w:r w:rsidRPr="46C89230">
              <w:rPr>
                <w:rFonts w:eastAsia="Inter Light"/>
              </w:rPr>
              <w:t xml:space="preserve">nabling </w:t>
            </w:r>
            <w:r w:rsidR="00A5066F">
              <w:rPr>
                <w:rFonts w:eastAsia="Inter Light"/>
              </w:rPr>
              <w:t>program</w:t>
            </w:r>
          </w:p>
        </w:tc>
        <w:tc>
          <w:tcPr>
            <w:tcW w:w="1420" w:type="dxa"/>
            <w:tcMar>
              <w:left w:w="108" w:type="dxa"/>
              <w:right w:w="108" w:type="dxa"/>
            </w:tcMar>
          </w:tcPr>
          <w:p w14:paraId="6FE54D41" w14:textId="77777777" w:rsidR="00DC6E74" w:rsidRDefault="46C89230" w:rsidP="00DC6E74">
            <w:pPr>
              <w:pStyle w:val="TableParagraph"/>
              <w:rPr>
                <w:rFonts w:eastAsia="Inter Light"/>
              </w:rPr>
            </w:pPr>
            <w:r w:rsidRPr="46C89230">
              <w:rPr>
                <w:rFonts w:eastAsia="Inter Light"/>
              </w:rPr>
              <w:t xml:space="preserve">278/369 </w:t>
            </w:r>
          </w:p>
          <w:p w14:paraId="0ECC14F0" w14:textId="0EEE8808" w:rsidR="46C89230" w:rsidRDefault="46C89230" w:rsidP="00DC6E74">
            <w:pPr>
              <w:pStyle w:val="TableParagraph"/>
              <w:rPr>
                <w:rFonts w:eastAsia="Inter Light"/>
              </w:rPr>
            </w:pPr>
            <w:r w:rsidRPr="46C89230">
              <w:rPr>
                <w:rFonts w:eastAsia="Inter Light"/>
              </w:rPr>
              <w:t>(75%)</w:t>
            </w:r>
          </w:p>
        </w:tc>
        <w:tc>
          <w:tcPr>
            <w:tcW w:w="1250" w:type="dxa"/>
            <w:tcMar>
              <w:left w:w="108" w:type="dxa"/>
              <w:right w:w="108" w:type="dxa"/>
            </w:tcMar>
          </w:tcPr>
          <w:p w14:paraId="6ABB3D88" w14:textId="77777777" w:rsidR="00DC6E74" w:rsidRDefault="46C89230" w:rsidP="00DC6E74">
            <w:pPr>
              <w:pStyle w:val="TableParagraph"/>
              <w:rPr>
                <w:rFonts w:eastAsia="Inter Light"/>
              </w:rPr>
            </w:pPr>
            <w:r w:rsidRPr="46C89230">
              <w:rPr>
                <w:rFonts w:eastAsia="Inter Light"/>
              </w:rPr>
              <w:t xml:space="preserve">136/185 </w:t>
            </w:r>
          </w:p>
          <w:p w14:paraId="44E8D8D6" w14:textId="4AD1B937" w:rsidR="46C89230" w:rsidRDefault="46C89230" w:rsidP="00DC6E74">
            <w:pPr>
              <w:pStyle w:val="TableParagraph"/>
              <w:rPr>
                <w:rFonts w:eastAsia="Inter Light"/>
              </w:rPr>
            </w:pPr>
            <w:r w:rsidRPr="46C89230">
              <w:rPr>
                <w:rFonts w:eastAsia="Inter Light"/>
              </w:rPr>
              <w:t>(74%)</w:t>
            </w:r>
          </w:p>
        </w:tc>
        <w:tc>
          <w:tcPr>
            <w:tcW w:w="1362" w:type="dxa"/>
            <w:tcMar>
              <w:left w:w="108" w:type="dxa"/>
              <w:right w:w="108" w:type="dxa"/>
            </w:tcMar>
          </w:tcPr>
          <w:p w14:paraId="65EE41A3" w14:textId="7CE11DDD" w:rsidR="00DC6E74" w:rsidRDefault="46C89230" w:rsidP="00DC6E74">
            <w:pPr>
              <w:pStyle w:val="TableParagraph"/>
              <w:rPr>
                <w:rFonts w:eastAsia="Inter Light"/>
              </w:rPr>
            </w:pPr>
            <w:r w:rsidRPr="46C89230">
              <w:rPr>
                <w:rFonts w:eastAsia="Inter Light"/>
              </w:rPr>
              <w:t>229/275</w:t>
            </w:r>
          </w:p>
          <w:p w14:paraId="01EC0251" w14:textId="237F7976" w:rsidR="46C89230" w:rsidRDefault="46C89230" w:rsidP="00DC6E74">
            <w:pPr>
              <w:pStyle w:val="TableParagraph"/>
              <w:rPr>
                <w:rFonts w:eastAsia="Inter Light"/>
              </w:rPr>
            </w:pPr>
            <w:r w:rsidRPr="46C89230">
              <w:rPr>
                <w:rFonts w:eastAsia="Inter Light"/>
              </w:rPr>
              <w:t>(83%)</w:t>
            </w:r>
          </w:p>
        </w:tc>
        <w:tc>
          <w:tcPr>
            <w:tcW w:w="1327" w:type="dxa"/>
            <w:tcMar>
              <w:left w:w="108" w:type="dxa"/>
              <w:right w:w="108" w:type="dxa"/>
            </w:tcMar>
          </w:tcPr>
          <w:p w14:paraId="54D532C5" w14:textId="5EEB7281" w:rsidR="46C89230" w:rsidRDefault="46C89230" w:rsidP="00DC6E74">
            <w:pPr>
              <w:pStyle w:val="TableParagraph"/>
              <w:rPr>
                <w:rFonts w:eastAsia="Inter Light"/>
              </w:rPr>
            </w:pPr>
            <w:r w:rsidRPr="46C89230">
              <w:rPr>
                <w:rFonts w:eastAsia="Inter Light"/>
              </w:rPr>
              <w:t>-</w:t>
            </w:r>
          </w:p>
        </w:tc>
        <w:tc>
          <w:tcPr>
            <w:tcW w:w="1403" w:type="dxa"/>
            <w:shd w:val="clear" w:color="auto" w:fill="E8E8E8"/>
            <w:tcMar>
              <w:left w:w="108" w:type="dxa"/>
              <w:right w:w="108" w:type="dxa"/>
            </w:tcMar>
          </w:tcPr>
          <w:p w14:paraId="357345D1" w14:textId="477789C4" w:rsidR="46C89230" w:rsidRDefault="46C89230" w:rsidP="00DC6E74">
            <w:pPr>
              <w:pStyle w:val="TableParagraph"/>
              <w:rPr>
                <w:rFonts w:eastAsia="Inter Light"/>
              </w:rPr>
            </w:pPr>
            <w:r w:rsidRPr="46C89230">
              <w:rPr>
                <w:rFonts w:eastAsia="Inter Light"/>
              </w:rPr>
              <w:t>643/829</w:t>
            </w:r>
          </w:p>
          <w:p w14:paraId="318FC8D4" w14:textId="356BABF7" w:rsidR="46C89230" w:rsidRDefault="46C89230" w:rsidP="00DC6E74">
            <w:pPr>
              <w:pStyle w:val="TableParagraph"/>
              <w:rPr>
                <w:rFonts w:eastAsia="Inter Light"/>
              </w:rPr>
            </w:pPr>
            <w:r w:rsidRPr="46C89230">
              <w:rPr>
                <w:rFonts w:eastAsia="Inter Light"/>
              </w:rPr>
              <w:t>(76%)</w:t>
            </w:r>
          </w:p>
        </w:tc>
      </w:tr>
    </w:tbl>
    <w:p w14:paraId="72802D13" w14:textId="32A1E560" w:rsidR="008C06EF" w:rsidRDefault="32755B6F" w:rsidP="00590D70">
      <w:pPr>
        <w:pStyle w:val="TableNote"/>
      </w:pPr>
      <w:r>
        <w:t xml:space="preserve">*Counts (numbers retained into second year versus total commencing undergraduates) and retention rate percentage shown. Overall numbers reflect the total/cumulative number of </w:t>
      </w:r>
      <w:proofErr w:type="gramStart"/>
      <w:r>
        <w:t>row</w:t>
      </w:r>
      <w:proofErr w:type="gramEnd"/>
      <w:r>
        <w:t xml:space="preserve"> counts across all institutions (both denominator and numerator).</w:t>
      </w:r>
    </w:p>
    <w:p w14:paraId="430433A3" w14:textId="386E1749" w:rsidR="32755B6F" w:rsidRPr="00C473BD" w:rsidRDefault="32755B6F" w:rsidP="00497E88">
      <w:pPr>
        <w:pStyle w:val="Normal-Bold"/>
      </w:pPr>
      <w:r w:rsidRPr="00C473BD">
        <w:t>Success rate by pathway</w:t>
      </w:r>
    </w:p>
    <w:p w14:paraId="70D1A3BE" w14:textId="6570BA11" w:rsidR="32755B6F" w:rsidRDefault="00EF3F3E" w:rsidP="00A32591">
      <w:pPr>
        <w:rPr>
          <w:rFonts w:eastAsia="Inter Light"/>
        </w:rPr>
      </w:pPr>
      <w:r>
        <w:rPr>
          <w:rFonts w:eastAsia="Inter Light"/>
        </w:rPr>
        <w:t>The</w:t>
      </w:r>
      <w:r w:rsidR="32755B6F" w:rsidRPr="658F4599">
        <w:rPr>
          <w:rFonts w:eastAsia="Inter Light"/>
        </w:rPr>
        <w:t xml:space="preserve"> undergraduate success rate of students who entered university via an I</w:t>
      </w:r>
      <w:r w:rsidR="0A63865C" w:rsidRPr="658F4599">
        <w:rPr>
          <w:rFonts w:eastAsia="Inter Light"/>
        </w:rPr>
        <w:t>SEP</w:t>
      </w:r>
      <w:r w:rsidR="32755B6F" w:rsidRPr="658F4599">
        <w:rPr>
          <w:rFonts w:eastAsia="Inter Light"/>
        </w:rPr>
        <w:t xml:space="preserve"> w</w:t>
      </w:r>
      <w:r w:rsidR="00AB3BCD">
        <w:rPr>
          <w:rFonts w:eastAsia="Inter Light"/>
        </w:rPr>
        <w:t>as</w:t>
      </w:r>
      <w:r w:rsidR="32755B6F" w:rsidRPr="658F4599">
        <w:rPr>
          <w:rFonts w:eastAsia="Inter Light"/>
        </w:rPr>
        <w:t xml:space="preserve"> compared to students admitted via other entry pathways. Success rate provides a crude measure of academic achievement by indicating the relative proportion of study load passed versus attempted. Notably, withdrawals after Census due to non-academic reasons (</w:t>
      </w:r>
      <w:r w:rsidR="00AB3BCD">
        <w:rPr>
          <w:rFonts w:eastAsia="Inter Light"/>
        </w:rPr>
        <w:t>for example,</w:t>
      </w:r>
      <w:r w:rsidR="32755B6F" w:rsidRPr="658F4599">
        <w:rPr>
          <w:rFonts w:eastAsia="Inter Light"/>
        </w:rPr>
        <w:t xml:space="preserve"> health, financial, </w:t>
      </w:r>
      <w:r w:rsidR="00AB3BCD">
        <w:rPr>
          <w:rFonts w:eastAsia="Inter Light"/>
        </w:rPr>
        <w:t xml:space="preserve">and/or </w:t>
      </w:r>
      <w:r w:rsidR="32755B6F" w:rsidRPr="658F4599">
        <w:rPr>
          <w:rFonts w:eastAsia="Inter Light"/>
        </w:rPr>
        <w:t xml:space="preserve">personal circumstances) can negatively impact the success rate. </w:t>
      </w:r>
    </w:p>
    <w:p w14:paraId="790AD705" w14:textId="546F28B3" w:rsidR="32755B6F" w:rsidRDefault="32755B6F" w:rsidP="00A32591">
      <w:pPr>
        <w:rPr>
          <w:rFonts w:eastAsia="Inter Light"/>
        </w:rPr>
      </w:pPr>
      <w:r w:rsidRPr="658F4599">
        <w:rPr>
          <w:rFonts w:eastAsia="Inter Light"/>
        </w:rPr>
        <w:t>In this study, the success rate calculation was based on all units/subjects attempted (as of mid-2025) by domestic school leaver-aged students who commenced their degree between 2022</w:t>
      </w:r>
      <w:r w:rsidR="00F15E49">
        <w:rPr>
          <w:rFonts w:eastAsia="Inter Light"/>
        </w:rPr>
        <w:t>–</w:t>
      </w:r>
      <w:r w:rsidRPr="658F4599">
        <w:rPr>
          <w:rFonts w:eastAsia="Inter Light"/>
        </w:rPr>
        <w:t xml:space="preserve">2024. As shown in Table </w:t>
      </w:r>
      <w:r w:rsidR="31EEB32C" w:rsidRPr="658F4599">
        <w:rPr>
          <w:rFonts w:eastAsia="Inter Light"/>
        </w:rPr>
        <w:t>7</w:t>
      </w:r>
      <w:r w:rsidRPr="658F4599">
        <w:rPr>
          <w:rFonts w:eastAsia="Inter Light"/>
        </w:rPr>
        <w:t>, the undergraduate success rate of students who entered university via an I</w:t>
      </w:r>
      <w:r w:rsidR="7E38A8CF" w:rsidRPr="658F4599">
        <w:rPr>
          <w:rFonts w:eastAsia="Inter Light"/>
        </w:rPr>
        <w:t>SEP</w:t>
      </w:r>
      <w:r w:rsidRPr="658F4599">
        <w:rPr>
          <w:rFonts w:eastAsia="Inter Light"/>
        </w:rPr>
        <w:t xml:space="preserve"> ranged from 61</w:t>
      </w:r>
      <w:r w:rsidR="00F15E49">
        <w:rPr>
          <w:rFonts w:eastAsia="Inter Light"/>
        </w:rPr>
        <w:t>–</w:t>
      </w:r>
      <w:r w:rsidRPr="658F4599">
        <w:rPr>
          <w:rFonts w:eastAsia="Inter Light"/>
        </w:rPr>
        <w:t xml:space="preserve">83%, with an overall success rate of 76% for this pathway across all institutions studied. This was slightly lower than the overall success rates for undergraduates who entered via other </w:t>
      </w:r>
      <w:r w:rsidR="00AB3BCD">
        <w:rPr>
          <w:rFonts w:eastAsia="Inter Light"/>
        </w:rPr>
        <w:t>e</w:t>
      </w:r>
      <w:r w:rsidRPr="658F4599">
        <w:rPr>
          <w:rFonts w:eastAsia="Inter Light"/>
        </w:rPr>
        <w:t>nabling pathways, which ranged between 81</w:t>
      </w:r>
      <w:r w:rsidR="00F15E49">
        <w:rPr>
          <w:rFonts w:eastAsia="Inter Light"/>
        </w:rPr>
        <w:t>–</w:t>
      </w:r>
      <w:r w:rsidRPr="658F4599">
        <w:rPr>
          <w:rFonts w:eastAsia="Inter Light"/>
        </w:rPr>
        <w:t>82%. Recent school</w:t>
      </w:r>
      <w:r w:rsidR="0080514D">
        <w:rPr>
          <w:rFonts w:eastAsia="Inter Light"/>
        </w:rPr>
        <w:t xml:space="preserve"> </w:t>
      </w:r>
      <w:r w:rsidRPr="658F4599">
        <w:rPr>
          <w:rFonts w:eastAsia="Inter Light"/>
        </w:rPr>
        <w:t xml:space="preserve">leavers who entered via ATAR and non-ATAR pathways had the highest overall success rates of 88% and 84%, respectively. </w:t>
      </w:r>
    </w:p>
    <w:p w14:paraId="14DF7951" w14:textId="47792B93" w:rsidR="32755B6F" w:rsidRPr="00C473BD" w:rsidRDefault="32755B6F" w:rsidP="00F15E49">
      <w:pPr>
        <w:pStyle w:val="TOCHeading"/>
        <w:rPr>
          <w:lang w:val="en-US"/>
        </w:rPr>
      </w:pPr>
      <w:bookmarkStart w:id="75" w:name="_Toc232575176"/>
      <w:r w:rsidRPr="00C473BD">
        <w:lastRenderedPageBreak/>
        <w:t xml:space="preserve">Table </w:t>
      </w:r>
      <w:r w:rsidR="27BDE546" w:rsidRPr="00C473BD">
        <w:t>7</w:t>
      </w:r>
      <w:r w:rsidR="008C06EF">
        <w:t>:</w:t>
      </w:r>
      <w:r w:rsidRPr="00C473BD">
        <w:t xml:space="preserve"> Undergraduate success rates for </w:t>
      </w:r>
      <w:r w:rsidRPr="00B43A6C">
        <w:t>all</w:t>
      </w:r>
      <w:r w:rsidRPr="00C473BD">
        <w:t xml:space="preserve"> domestic school leaver-aged students who commenced their undergraduate studies between 2022</w:t>
      </w:r>
      <w:r w:rsidR="00F15E49">
        <w:t>–</w:t>
      </w:r>
      <w:r w:rsidRPr="00C473BD">
        <w:t>2024 via various university admission pathways.</w:t>
      </w:r>
      <w:bookmarkEnd w:id="75"/>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0"/>
        <w:gridCol w:w="755"/>
        <w:gridCol w:w="758"/>
        <w:gridCol w:w="986"/>
        <w:gridCol w:w="834"/>
        <w:gridCol w:w="2013"/>
      </w:tblGrid>
      <w:tr w:rsidR="3C6A2B72" w14:paraId="53952D0B" w14:textId="77777777" w:rsidTr="00F15E49">
        <w:trPr>
          <w:trHeight w:val="300"/>
        </w:trPr>
        <w:tc>
          <w:tcPr>
            <w:tcW w:w="3660" w:type="dxa"/>
            <w:vMerge w:val="restart"/>
            <w:shd w:val="clear" w:color="auto" w:fill="78DED9" w:themeFill="accent1"/>
            <w:tcMar>
              <w:left w:w="108" w:type="dxa"/>
              <w:right w:w="108" w:type="dxa"/>
            </w:tcMar>
          </w:tcPr>
          <w:p w14:paraId="22C26277" w14:textId="0E898A5C" w:rsidR="3C6A2B72" w:rsidRDefault="3C6A2B72" w:rsidP="00DC6E74">
            <w:pPr>
              <w:pStyle w:val="Normal-Bold"/>
              <w:rPr>
                <w:rFonts w:eastAsia="Inter Light"/>
              </w:rPr>
            </w:pPr>
            <w:r w:rsidRPr="3C41FA62">
              <w:rPr>
                <w:rFonts w:eastAsia="Inter Light"/>
              </w:rPr>
              <w:t xml:space="preserve">Admission </w:t>
            </w:r>
            <w:r w:rsidR="00A04A4E">
              <w:rPr>
                <w:rFonts w:eastAsia="Inter Light"/>
              </w:rPr>
              <w:t>p</w:t>
            </w:r>
            <w:r w:rsidRPr="3C41FA62">
              <w:rPr>
                <w:rFonts w:eastAsia="Inter Light"/>
              </w:rPr>
              <w:t>athway</w:t>
            </w:r>
          </w:p>
        </w:tc>
        <w:tc>
          <w:tcPr>
            <w:tcW w:w="3333" w:type="dxa"/>
            <w:gridSpan w:val="4"/>
            <w:shd w:val="clear" w:color="auto" w:fill="78DED9" w:themeFill="accent1"/>
            <w:tcMar>
              <w:left w:w="108" w:type="dxa"/>
              <w:right w:w="108" w:type="dxa"/>
            </w:tcMar>
          </w:tcPr>
          <w:p w14:paraId="20E09F7D" w14:textId="26389F87" w:rsidR="3C6A2B72" w:rsidRDefault="3C6A2B72" w:rsidP="00DC6E74">
            <w:pPr>
              <w:pStyle w:val="Normal-Bold"/>
              <w:rPr>
                <w:rFonts w:eastAsia="Inter Light"/>
              </w:rPr>
            </w:pPr>
            <w:r w:rsidRPr="3C41FA62">
              <w:rPr>
                <w:rFonts w:eastAsia="Inter Light"/>
              </w:rPr>
              <w:t>Success rate (%)</w:t>
            </w:r>
          </w:p>
        </w:tc>
        <w:tc>
          <w:tcPr>
            <w:tcW w:w="2013" w:type="dxa"/>
            <w:vMerge w:val="restart"/>
            <w:shd w:val="clear" w:color="auto" w:fill="78DED9" w:themeFill="accent1"/>
            <w:tcMar>
              <w:left w:w="108" w:type="dxa"/>
              <w:right w:w="108" w:type="dxa"/>
            </w:tcMar>
          </w:tcPr>
          <w:p w14:paraId="1839BB1C" w14:textId="673BB580" w:rsidR="3C6A2B72" w:rsidRDefault="3C6A2B72" w:rsidP="00DC6E74">
            <w:pPr>
              <w:pStyle w:val="Normal-Bold"/>
              <w:rPr>
                <w:rFonts w:eastAsia="Inter Light"/>
              </w:rPr>
            </w:pPr>
            <w:r w:rsidRPr="3C41FA62">
              <w:rPr>
                <w:rFonts w:eastAsia="Inter Light"/>
              </w:rPr>
              <w:t>Pathway success rate (</w:t>
            </w:r>
            <w:proofErr w:type="gramStart"/>
            <w:r w:rsidRPr="3C41FA62">
              <w:rPr>
                <w:rFonts w:eastAsia="Inter Light"/>
              </w:rPr>
              <w:t>%)*</w:t>
            </w:r>
            <w:proofErr w:type="gramEnd"/>
          </w:p>
        </w:tc>
      </w:tr>
      <w:tr w:rsidR="3C6A2B72" w14:paraId="5545BE09" w14:textId="77777777" w:rsidTr="00F15E49">
        <w:trPr>
          <w:trHeight w:val="300"/>
        </w:trPr>
        <w:tc>
          <w:tcPr>
            <w:tcW w:w="3660" w:type="dxa"/>
            <w:vMerge/>
            <w:vAlign w:val="center"/>
          </w:tcPr>
          <w:p w14:paraId="35156717" w14:textId="77777777" w:rsidR="003145A8" w:rsidRDefault="003145A8" w:rsidP="00A32591"/>
        </w:tc>
        <w:tc>
          <w:tcPr>
            <w:tcW w:w="755" w:type="dxa"/>
            <w:shd w:val="clear" w:color="auto" w:fill="78DED9" w:themeFill="accent1"/>
            <w:tcMar>
              <w:left w:w="108" w:type="dxa"/>
              <w:right w:w="108" w:type="dxa"/>
            </w:tcMar>
          </w:tcPr>
          <w:p w14:paraId="7474B40A" w14:textId="03741D39" w:rsidR="3C6A2B72" w:rsidRDefault="3C6A2B72" w:rsidP="00DC6E74">
            <w:pPr>
              <w:pStyle w:val="Normal-Bold"/>
              <w:rPr>
                <w:rFonts w:eastAsia="Inter Light"/>
              </w:rPr>
            </w:pPr>
            <w:r w:rsidRPr="3C41FA62">
              <w:rPr>
                <w:rFonts w:eastAsia="Inter Light"/>
              </w:rPr>
              <w:t>ECU</w:t>
            </w:r>
          </w:p>
        </w:tc>
        <w:tc>
          <w:tcPr>
            <w:tcW w:w="758" w:type="dxa"/>
            <w:shd w:val="clear" w:color="auto" w:fill="78DED9" w:themeFill="accent1"/>
            <w:tcMar>
              <w:left w:w="108" w:type="dxa"/>
              <w:right w:w="108" w:type="dxa"/>
            </w:tcMar>
          </w:tcPr>
          <w:p w14:paraId="37706BCC" w14:textId="3BD1CD88" w:rsidR="3C6A2B72" w:rsidRDefault="3C6A2B72" w:rsidP="00DC6E74">
            <w:pPr>
              <w:pStyle w:val="Normal-Bold"/>
              <w:rPr>
                <w:rFonts w:eastAsia="Inter Light"/>
              </w:rPr>
            </w:pPr>
            <w:r w:rsidRPr="3C41FA62">
              <w:rPr>
                <w:rFonts w:eastAsia="Inter Light"/>
              </w:rPr>
              <w:t>MU</w:t>
            </w:r>
          </w:p>
        </w:tc>
        <w:tc>
          <w:tcPr>
            <w:tcW w:w="986" w:type="dxa"/>
            <w:shd w:val="clear" w:color="auto" w:fill="78DED9" w:themeFill="accent1"/>
            <w:tcMar>
              <w:left w:w="108" w:type="dxa"/>
              <w:right w:w="108" w:type="dxa"/>
            </w:tcMar>
          </w:tcPr>
          <w:p w14:paraId="6975752B" w14:textId="7CC410AF" w:rsidR="3C6A2B72" w:rsidRDefault="3C6A2B72" w:rsidP="00DC6E74">
            <w:pPr>
              <w:pStyle w:val="Normal-Bold"/>
              <w:rPr>
                <w:rFonts w:eastAsia="Inter Light"/>
              </w:rPr>
            </w:pPr>
            <w:proofErr w:type="spellStart"/>
            <w:r w:rsidRPr="3C41FA62">
              <w:rPr>
                <w:rFonts w:eastAsia="Inter Light"/>
              </w:rPr>
              <w:t>UniSQ</w:t>
            </w:r>
            <w:proofErr w:type="spellEnd"/>
          </w:p>
        </w:tc>
        <w:tc>
          <w:tcPr>
            <w:tcW w:w="834" w:type="dxa"/>
            <w:shd w:val="clear" w:color="auto" w:fill="78DED9" w:themeFill="accent1"/>
            <w:tcMar>
              <w:left w:w="108" w:type="dxa"/>
              <w:right w:w="108" w:type="dxa"/>
            </w:tcMar>
          </w:tcPr>
          <w:p w14:paraId="2711D871" w14:textId="0C4FD182" w:rsidR="3C6A2B72" w:rsidRDefault="3C6A2B72" w:rsidP="00DC6E74">
            <w:pPr>
              <w:pStyle w:val="Normal-Bold"/>
              <w:rPr>
                <w:rFonts w:eastAsia="Inter Light"/>
              </w:rPr>
            </w:pPr>
            <w:r w:rsidRPr="3C41FA62">
              <w:rPr>
                <w:rFonts w:eastAsia="Inter Light"/>
              </w:rPr>
              <w:t>SCU</w:t>
            </w:r>
          </w:p>
        </w:tc>
        <w:tc>
          <w:tcPr>
            <w:tcW w:w="2013" w:type="dxa"/>
            <w:vMerge/>
            <w:vAlign w:val="center"/>
          </w:tcPr>
          <w:p w14:paraId="59C92AB9" w14:textId="77777777" w:rsidR="003145A8" w:rsidRDefault="003145A8" w:rsidP="00A32591"/>
        </w:tc>
      </w:tr>
      <w:tr w:rsidR="3C6A2B72" w14:paraId="0A4A641A" w14:textId="77777777" w:rsidTr="00F15E49">
        <w:trPr>
          <w:trHeight w:val="300"/>
        </w:trPr>
        <w:tc>
          <w:tcPr>
            <w:tcW w:w="3660" w:type="dxa"/>
            <w:tcMar>
              <w:left w:w="108" w:type="dxa"/>
              <w:right w:w="108" w:type="dxa"/>
            </w:tcMar>
          </w:tcPr>
          <w:p w14:paraId="6825D3B0" w14:textId="4D8DAABC" w:rsidR="3C6A2B72" w:rsidRDefault="3C6A2B72" w:rsidP="00DC6E74">
            <w:pPr>
              <w:pStyle w:val="TableParagraph"/>
              <w:rPr>
                <w:rFonts w:eastAsia="Inter Light"/>
              </w:rPr>
            </w:pPr>
            <w:r w:rsidRPr="3C41FA62">
              <w:rPr>
                <w:rFonts w:eastAsia="Inter Light"/>
              </w:rPr>
              <w:t xml:space="preserve">In-school </w:t>
            </w:r>
            <w:r w:rsidR="00895CFA">
              <w:rPr>
                <w:rFonts w:eastAsia="Inter Light"/>
              </w:rPr>
              <w:t>e</w:t>
            </w:r>
            <w:r w:rsidRPr="3C41FA62">
              <w:rPr>
                <w:rFonts w:eastAsia="Inter Light"/>
              </w:rPr>
              <w:t xml:space="preserve">nabling </w:t>
            </w:r>
            <w:r w:rsidR="00A5066F">
              <w:rPr>
                <w:rFonts w:eastAsia="Inter Light"/>
              </w:rPr>
              <w:t>program</w:t>
            </w:r>
          </w:p>
        </w:tc>
        <w:tc>
          <w:tcPr>
            <w:tcW w:w="755" w:type="dxa"/>
            <w:tcMar>
              <w:left w:w="108" w:type="dxa"/>
              <w:right w:w="108" w:type="dxa"/>
            </w:tcMar>
          </w:tcPr>
          <w:p w14:paraId="752D4046" w14:textId="04E584B1" w:rsidR="3C6A2B72" w:rsidRDefault="3C6A2B72" w:rsidP="00DC6E74">
            <w:pPr>
              <w:pStyle w:val="TableParagraph"/>
              <w:rPr>
                <w:rFonts w:eastAsia="Inter Light"/>
              </w:rPr>
            </w:pPr>
            <w:r w:rsidRPr="3C41FA62">
              <w:rPr>
                <w:rFonts w:eastAsia="Inter Light"/>
              </w:rPr>
              <w:t>83</w:t>
            </w:r>
          </w:p>
        </w:tc>
        <w:tc>
          <w:tcPr>
            <w:tcW w:w="758" w:type="dxa"/>
            <w:tcMar>
              <w:left w:w="108" w:type="dxa"/>
              <w:right w:w="108" w:type="dxa"/>
            </w:tcMar>
          </w:tcPr>
          <w:p w14:paraId="51883CC3" w14:textId="03D9E925" w:rsidR="3C6A2B72" w:rsidRDefault="3C6A2B72" w:rsidP="00DC6E74">
            <w:pPr>
              <w:pStyle w:val="TableParagraph"/>
              <w:rPr>
                <w:rFonts w:eastAsia="Inter Light"/>
              </w:rPr>
            </w:pPr>
            <w:r w:rsidRPr="3C41FA62">
              <w:rPr>
                <w:rFonts w:eastAsia="Inter Light"/>
              </w:rPr>
              <w:t>74</w:t>
            </w:r>
          </w:p>
        </w:tc>
        <w:tc>
          <w:tcPr>
            <w:tcW w:w="986" w:type="dxa"/>
            <w:tcMar>
              <w:left w:w="108" w:type="dxa"/>
              <w:right w:w="108" w:type="dxa"/>
            </w:tcMar>
          </w:tcPr>
          <w:p w14:paraId="2F725623" w14:textId="2845D202" w:rsidR="3C6A2B72" w:rsidRDefault="3C6A2B72" w:rsidP="00DC6E74">
            <w:pPr>
              <w:pStyle w:val="TableParagraph"/>
              <w:rPr>
                <w:rFonts w:eastAsia="Inter Light"/>
              </w:rPr>
            </w:pPr>
            <w:r w:rsidRPr="3C41FA62">
              <w:rPr>
                <w:rFonts w:eastAsia="Inter Light"/>
              </w:rPr>
              <w:t>61</w:t>
            </w:r>
          </w:p>
        </w:tc>
        <w:tc>
          <w:tcPr>
            <w:tcW w:w="834" w:type="dxa"/>
            <w:tcMar>
              <w:left w:w="108" w:type="dxa"/>
              <w:right w:w="108" w:type="dxa"/>
            </w:tcMar>
          </w:tcPr>
          <w:p w14:paraId="6142F70F" w14:textId="2F1972F3" w:rsidR="3C6A2B72" w:rsidRDefault="3C6A2B72" w:rsidP="00DC6E74">
            <w:pPr>
              <w:pStyle w:val="TableParagraph"/>
              <w:rPr>
                <w:rFonts w:eastAsia="Inter Light"/>
              </w:rPr>
            </w:pPr>
            <w:r w:rsidRPr="3C41FA62">
              <w:rPr>
                <w:rFonts w:eastAsia="Inter Light"/>
              </w:rPr>
              <w:t>78</w:t>
            </w:r>
          </w:p>
        </w:tc>
        <w:tc>
          <w:tcPr>
            <w:tcW w:w="2013" w:type="dxa"/>
            <w:shd w:val="clear" w:color="auto" w:fill="E7E6E6"/>
            <w:tcMar>
              <w:left w:w="108" w:type="dxa"/>
              <w:right w:w="108" w:type="dxa"/>
            </w:tcMar>
          </w:tcPr>
          <w:p w14:paraId="491F2072" w14:textId="6CB076D9" w:rsidR="3C6A2B72" w:rsidRDefault="3C6A2B72" w:rsidP="00DC6E74">
            <w:pPr>
              <w:pStyle w:val="TableParagraph"/>
              <w:rPr>
                <w:rFonts w:eastAsia="Inter Light"/>
              </w:rPr>
            </w:pPr>
            <w:r w:rsidRPr="3C41FA62">
              <w:rPr>
                <w:rFonts w:eastAsia="Inter Light"/>
              </w:rPr>
              <w:t>76</w:t>
            </w:r>
          </w:p>
        </w:tc>
      </w:tr>
      <w:tr w:rsidR="3C6A2B72" w14:paraId="0171F7BD" w14:textId="77777777" w:rsidTr="00F15E49">
        <w:trPr>
          <w:trHeight w:val="300"/>
        </w:trPr>
        <w:tc>
          <w:tcPr>
            <w:tcW w:w="3660" w:type="dxa"/>
            <w:tcMar>
              <w:left w:w="108" w:type="dxa"/>
              <w:right w:w="108" w:type="dxa"/>
            </w:tcMar>
          </w:tcPr>
          <w:p w14:paraId="720781D3" w14:textId="4EDBDACB" w:rsidR="3C6A2B72" w:rsidRDefault="3C6A2B72" w:rsidP="00DC6E74">
            <w:pPr>
              <w:pStyle w:val="TableParagraph"/>
              <w:rPr>
                <w:rFonts w:eastAsia="Inter Light"/>
              </w:rPr>
            </w:pPr>
            <w:r w:rsidRPr="3C41FA62">
              <w:rPr>
                <w:rFonts w:eastAsia="Inter Light"/>
              </w:rPr>
              <w:t xml:space="preserve">Post-school </w:t>
            </w:r>
            <w:r w:rsidR="00A04A4E">
              <w:rPr>
                <w:rFonts w:eastAsia="Inter Light"/>
              </w:rPr>
              <w:t>e</w:t>
            </w:r>
            <w:r w:rsidRPr="3C41FA62">
              <w:rPr>
                <w:rFonts w:eastAsia="Inter Light"/>
              </w:rPr>
              <w:t xml:space="preserve">nabling </w:t>
            </w:r>
            <w:r w:rsidR="00A5066F">
              <w:rPr>
                <w:rFonts w:eastAsia="Inter Light"/>
              </w:rPr>
              <w:t>program</w:t>
            </w:r>
          </w:p>
        </w:tc>
        <w:tc>
          <w:tcPr>
            <w:tcW w:w="755" w:type="dxa"/>
            <w:tcMar>
              <w:left w:w="108" w:type="dxa"/>
              <w:right w:w="108" w:type="dxa"/>
            </w:tcMar>
          </w:tcPr>
          <w:p w14:paraId="02CE33AC" w14:textId="63E1C7A3" w:rsidR="3C6A2B72" w:rsidRDefault="3C6A2B72" w:rsidP="00DC6E74">
            <w:pPr>
              <w:pStyle w:val="TableParagraph"/>
              <w:rPr>
                <w:rFonts w:eastAsia="Inter Light"/>
              </w:rPr>
            </w:pPr>
            <w:r w:rsidRPr="3C41FA62">
              <w:rPr>
                <w:rFonts w:eastAsia="Inter Light"/>
              </w:rPr>
              <w:t>86</w:t>
            </w:r>
          </w:p>
        </w:tc>
        <w:tc>
          <w:tcPr>
            <w:tcW w:w="758" w:type="dxa"/>
            <w:tcMar>
              <w:left w:w="108" w:type="dxa"/>
              <w:right w:w="108" w:type="dxa"/>
            </w:tcMar>
          </w:tcPr>
          <w:p w14:paraId="12A4AC80" w14:textId="06EE5E1E" w:rsidR="3C6A2B72" w:rsidRDefault="3C6A2B72" w:rsidP="00DC6E74">
            <w:pPr>
              <w:pStyle w:val="TableParagraph"/>
              <w:rPr>
                <w:rFonts w:eastAsia="Inter Light"/>
              </w:rPr>
            </w:pPr>
            <w:r w:rsidRPr="3C41FA62">
              <w:rPr>
                <w:rFonts w:eastAsia="Inter Light"/>
              </w:rPr>
              <w:t>74</w:t>
            </w:r>
          </w:p>
        </w:tc>
        <w:tc>
          <w:tcPr>
            <w:tcW w:w="986" w:type="dxa"/>
            <w:tcMar>
              <w:left w:w="108" w:type="dxa"/>
              <w:right w:w="108" w:type="dxa"/>
            </w:tcMar>
          </w:tcPr>
          <w:p w14:paraId="6B15DBFF" w14:textId="6BCB1F09" w:rsidR="3C6A2B72" w:rsidRDefault="3C6A2B72" w:rsidP="00DC6E74">
            <w:pPr>
              <w:pStyle w:val="TableParagraph"/>
              <w:rPr>
                <w:rFonts w:eastAsia="Inter Light"/>
              </w:rPr>
            </w:pPr>
            <w:r w:rsidRPr="3C41FA62">
              <w:rPr>
                <w:rFonts w:eastAsia="Inter Light"/>
              </w:rPr>
              <w:t>68</w:t>
            </w:r>
          </w:p>
        </w:tc>
        <w:tc>
          <w:tcPr>
            <w:tcW w:w="834" w:type="dxa"/>
            <w:tcMar>
              <w:left w:w="108" w:type="dxa"/>
              <w:right w:w="108" w:type="dxa"/>
            </w:tcMar>
          </w:tcPr>
          <w:p w14:paraId="11DCDA9E" w14:textId="0F6E3792" w:rsidR="3C6A2B72" w:rsidRDefault="3C6A2B72" w:rsidP="00DC6E74">
            <w:pPr>
              <w:pStyle w:val="TableParagraph"/>
              <w:rPr>
                <w:rFonts w:eastAsia="Inter Light"/>
              </w:rPr>
            </w:pPr>
            <w:r w:rsidRPr="3C41FA62">
              <w:rPr>
                <w:rFonts w:eastAsia="Inter Light"/>
              </w:rPr>
              <w:t>85</w:t>
            </w:r>
          </w:p>
        </w:tc>
        <w:tc>
          <w:tcPr>
            <w:tcW w:w="2013" w:type="dxa"/>
            <w:shd w:val="clear" w:color="auto" w:fill="E7E6E6"/>
            <w:tcMar>
              <w:left w:w="108" w:type="dxa"/>
              <w:right w:w="108" w:type="dxa"/>
            </w:tcMar>
          </w:tcPr>
          <w:p w14:paraId="43819C26" w14:textId="5A531D98" w:rsidR="3C6A2B72" w:rsidRDefault="3C6A2B72" w:rsidP="00DC6E74">
            <w:pPr>
              <w:pStyle w:val="TableParagraph"/>
              <w:rPr>
                <w:rFonts w:eastAsia="Inter Light"/>
              </w:rPr>
            </w:pPr>
            <w:r w:rsidRPr="3C41FA62">
              <w:rPr>
                <w:rFonts w:eastAsia="Inter Light"/>
              </w:rPr>
              <w:t>82</w:t>
            </w:r>
          </w:p>
        </w:tc>
      </w:tr>
      <w:tr w:rsidR="3C6A2B72" w14:paraId="40E91098" w14:textId="77777777" w:rsidTr="00F15E49">
        <w:trPr>
          <w:trHeight w:val="300"/>
        </w:trPr>
        <w:tc>
          <w:tcPr>
            <w:tcW w:w="3660" w:type="dxa"/>
            <w:tcMar>
              <w:left w:w="108" w:type="dxa"/>
              <w:right w:w="108" w:type="dxa"/>
            </w:tcMar>
          </w:tcPr>
          <w:p w14:paraId="5BC3BDA9" w14:textId="3C34FEFA" w:rsidR="3C6A2B72" w:rsidRDefault="3C6A2B72" w:rsidP="00DC6E74">
            <w:pPr>
              <w:pStyle w:val="TableParagraph"/>
              <w:rPr>
                <w:rFonts w:eastAsia="Inter Light"/>
              </w:rPr>
            </w:pPr>
            <w:r w:rsidRPr="3C41FA62">
              <w:rPr>
                <w:rFonts w:eastAsia="Inter Light"/>
              </w:rPr>
              <w:t>Recent school leaver (ATAR)</w:t>
            </w:r>
          </w:p>
        </w:tc>
        <w:tc>
          <w:tcPr>
            <w:tcW w:w="755" w:type="dxa"/>
            <w:tcMar>
              <w:left w:w="108" w:type="dxa"/>
              <w:right w:w="108" w:type="dxa"/>
            </w:tcMar>
          </w:tcPr>
          <w:p w14:paraId="2843F726" w14:textId="61F0DC1F" w:rsidR="3C6A2B72" w:rsidRDefault="3C6A2B72" w:rsidP="00DC6E74">
            <w:pPr>
              <w:pStyle w:val="TableParagraph"/>
              <w:rPr>
                <w:rFonts w:eastAsia="Inter Light"/>
              </w:rPr>
            </w:pPr>
            <w:r w:rsidRPr="3C41FA62">
              <w:rPr>
                <w:rFonts w:eastAsia="Inter Light"/>
              </w:rPr>
              <w:t>91</w:t>
            </w:r>
          </w:p>
        </w:tc>
        <w:tc>
          <w:tcPr>
            <w:tcW w:w="758" w:type="dxa"/>
            <w:tcMar>
              <w:left w:w="108" w:type="dxa"/>
              <w:right w:w="108" w:type="dxa"/>
            </w:tcMar>
          </w:tcPr>
          <w:p w14:paraId="6D71351F" w14:textId="728DFAB9" w:rsidR="3C6A2B72" w:rsidRDefault="3C6A2B72" w:rsidP="00DC6E74">
            <w:pPr>
              <w:pStyle w:val="TableParagraph"/>
              <w:rPr>
                <w:rFonts w:eastAsia="Inter Light"/>
              </w:rPr>
            </w:pPr>
            <w:r w:rsidRPr="3C41FA62">
              <w:rPr>
                <w:rFonts w:eastAsia="Inter Light"/>
              </w:rPr>
              <w:t>87</w:t>
            </w:r>
          </w:p>
        </w:tc>
        <w:tc>
          <w:tcPr>
            <w:tcW w:w="986" w:type="dxa"/>
            <w:tcMar>
              <w:left w:w="108" w:type="dxa"/>
              <w:right w:w="108" w:type="dxa"/>
            </w:tcMar>
          </w:tcPr>
          <w:p w14:paraId="7FA64FF8" w14:textId="6F6DD6E0" w:rsidR="3C6A2B72" w:rsidRDefault="3C6A2B72" w:rsidP="00DC6E74">
            <w:pPr>
              <w:pStyle w:val="TableParagraph"/>
              <w:rPr>
                <w:rFonts w:eastAsia="Inter Light"/>
              </w:rPr>
            </w:pPr>
            <w:r w:rsidRPr="3C41FA62">
              <w:rPr>
                <w:rFonts w:eastAsia="Inter Light"/>
              </w:rPr>
              <w:t>84</w:t>
            </w:r>
          </w:p>
        </w:tc>
        <w:tc>
          <w:tcPr>
            <w:tcW w:w="834" w:type="dxa"/>
            <w:tcMar>
              <w:left w:w="108" w:type="dxa"/>
              <w:right w:w="108" w:type="dxa"/>
            </w:tcMar>
          </w:tcPr>
          <w:p w14:paraId="54210E1F" w14:textId="1FC3A05B" w:rsidR="3C6A2B72" w:rsidRDefault="3C6A2B72" w:rsidP="00DC6E74">
            <w:pPr>
              <w:pStyle w:val="TableParagraph"/>
              <w:rPr>
                <w:rFonts w:eastAsia="Inter Light"/>
              </w:rPr>
            </w:pPr>
            <w:r w:rsidRPr="3C41FA62">
              <w:rPr>
                <w:rFonts w:eastAsia="Inter Light"/>
              </w:rPr>
              <w:t>87</w:t>
            </w:r>
          </w:p>
        </w:tc>
        <w:tc>
          <w:tcPr>
            <w:tcW w:w="2013" w:type="dxa"/>
            <w:shd w:val="clear" w:color="auto" w:fill="E7E6E6"/>
            <w:tcMar>
              <w:left w:w="108" w:type="dxa"/>
              <w:right w:w="108" w:type="dxa"/>
            </w:tcMar>
          </w:tcPr>
          <w:p w14:paraId="49CDDD09" w14:textId="2AA73C7E" w:rsidR="3C6A2B72" w:rsidRDefault="3C6A2B72" w:rsidP="00DC6E74">
            <w:pPr>
              <w:pStyle w:val="TableParagraph"/>
              <w:rPr>
                <w:rFonts w:eastAsia="Inter Light"/>
              </w:rPr>
            </w:pPr>
            <w:r w:rsidRPr="3C41FA62">
              <w:rPr>
                <w:rFonts w:eastAsia="Inter Light"/>
              </w:rPr>
              <w:t>88</w:t>
            </w:r>
          </w:p>
        </w:tc>
      </w:tr>
      <w:tr w:rsidR="3C6A2B72" w14:paraId="10517CA4" w14:textId="77777777" w:rsidTr="00F15E49">
        <w:trPr>
          <w:trHeight w:val="300"/>
        </w:trPr>
        <w:tc>
          <w:tcPr>
            <w:tcW w:w="3660" w:type="dxa"/>
            <w:tcMar>
              <w:left w:w="108" w:type="dxa"/>
              <w:right w:w="108" w:type="dxa"/>
            </w:tcMar>
          </w:tcPr>
          <w:p w14:paraId="66544E06" w14:textId="7226ED4A" w:rsidR="3C6A2B72" w:rsidRDefault="3C6A2B72" w:rsidP="00DC6E74">
            <w:pPr>
              <w:pStyle w:val="TableParagraph"/>
              <w:rPr>
                <w:rFonts w:eastAsia="Inter Light"/>
              </w:rPr>
            </w:pPr>
            <w:r w:rsidRPr="3C41FA62">
              <w:rPr>
                <w:rFonts w:eastAsia="Inter Light"/>
              </w:rPr>
              <w:t>Recent school leaver (non-ATAR)</w:t>
            </w:r>
          </w:p>
        </w:tc>
        <w:tc>
          <w:tcPr>
            <w:tcW w:w="755" w:type="dxa"/>
            <w:tcMar>
              <w:left w:w="108" w:type="dxa"/>
              <w:right w:w="108" w:type="dxa"/>
            </w:tcMar>
          </w:tcPr>
          <w:p w14:paraId="3F289F05" w14:textId="24C2C30E" w:rsidR="3C6A2B72" w:rsidRDefault="3C6A2B72" w:rsidP="00DC6E74">
            <w:pPr>
              <w:pStyle w:val="TableParagraph"/>
              <w:rPr>
                <w:rFonts w:eastAsia="Inter Light"/>
              </w:rPr>
            </w:pPr>
            <w:r w:rsidRPr="3C41FA62">
              <w:rPr>
                <w:rFonts w:eastAsia="Inter Light"/>
              </w:rPr>
              <w:t>92</w:t>
            </w:r>
          </w:p>
        </w:tc>
        <w:tc>
          <w:tcPr>
            <w:tcW w:w="758" w:type="dxa"/>
            <w:tcMar>
              <w:left w:w="108" w:type="dxa"/>
              <w:right w:w="108" w:type="dxa"/>
            </w:tcMar>
          </w:tcPr>
          <w:p w14:paraId="6B23E57A" w14:textId="5DC2716E" w:rsidR="3C6A2B72" w:rsidRDefault="3C6A2B72" w:rsidP="00DC6E74">
            <w:pPr>
              <w:pStyle w:val="TableParagraph"/>
              <w:rPr>
                <w:rFonts w:eastAsia="Inter Light"/>
              </w:rPr>
            </w:pPr>
            <w:r w:rsidRPr="3C41FA62">
              <w:rPr>
                <w:rFonts w:eastAsia="Inter Light"/>
              </w:rPr>
              <w:t>85</w:t>
            </w:r>
          </w:p>
        </w:tc>
        <w:tc>
          <w:tcPr>
            <w:tcW w:w="986" w:type="dxa"/>
            <w:tcMar>
              <w:left w:w="108" w:type="dxa"/>
              <w:right w:w="108" w:type="dxa"/>
            </w:tcMar>
          </w:tcPr>
          <w:p w14:paraId="451DA37F" w14:textId="0E512729" w:rsidR="3C6A2B72" w:rsidRDefault="3C6A2B72" w:rsidP="00DC6E74">
            <w:pPr>
              <w:pStyle w:val="TableParagraph"/>
              <w:rPr>
                <w:rFonts w:eastAsia="Inter Light"/>
              </w:rPr>
            </w:pPr>
            <w:r w:rsidRPr="3C41FA62">
              <w:rPr>
                <w:rFonts w:eastAsia="Inter Light"/>
              </w:rPr>
              <w:t>78</w:t>
            </w:r>
          </w:p>
        </w:tc>
        <w:tc>
          <w:tcPr>
            <w:tcW w:w="834" w:type="dxa"/>
            <w:tcMar>
              <w:left w:w="108" w:type="dxa"/>
              <w:right w:w="108" w:type="dxa"/>
            </w:tcMar>
          </w:tcPr>
          <w:p w14:paraId="431477B6" w14:textId="055D6C59" w:rsidR="3C6A2B72" w:rsidRDefault="3C6A2B72" w:rsidP="00DC6E74">
            <w:pPr>
              <w:pStyle w:val="TableParagraph"/>
              <w:rPr>
                <w:rFonts w:eastAsia="Inter Light"/>
              </w:rPr>
            </w:pPr>
            <w:r w:rsidRPr="3C41FA62">
              <w:rPr>
                <w:rFonts w:eastAsia="Inter Light"/>
              </w:rPr>
              <w:t>84</w:t>
            </w:r>
          </w:p>
        </w:tc>
        <w:tc>
          <w:tcPr>
            <w:tcW w:w="2013" w:type="dxa"/>
            <w:shd w:val="clear" w:color="auto" w:fill="E7E6E6"/>
            <w:tcMar>
              <w:left w:w="108" w:type="dxa"/>
              <w:right w:w="108" w:type="dxa"/>
            </w:tcMar>
          </w:tcPr>
          <w:p w14:paraId="4DE034E1" w14:textId="79FA6D49" w:rsidR="3C6A2B72" w:rsidRDefault="3C6A2B72" w:rsidP="00DC6E74">
            <w:pPr>
              <w:pStyle w:val="TableParagraph"/>
              <w:rPr>
                <w:rFonts w:eastAsia="Inter Light"/>
              </w:rPr>
            </w:pPr>
            <w:r w:rsidRPr="3C41FA62">
              <w:rPr>
                <w:rFonts w:eastAsia="Inter Light"/>
              </w:rPr>
              <w:t>84</w:t>
            </w:r>
          </w:p>
        </w:tc>
      </w:tr>
      <w:tr w:rsidR="3C6A2B72" w14:paraId="51370D03" w14:textId="77777777" w:rsidTr="00F15E49">
        <w:trPr>
          <w:trHeight w:val="300"/>
        </w:trPr>
        <w:tc>
          <w:tcPr>
            <w:tcW w:w="3660" w:type="dxa"/>
            <w:tcMar>
              <w:left w:w="108" w:type="dxa"/>
              <w:right w:w="108" w:type="dxa"/>
            </w:tcMar>
          </w:tcPr>
          <w:p w14:paraId="5D08B506" w14:textId="6365782F" w:rsidR="3C6A2B72" w:rsidRDefault="3C6A2B72" w:rsidP="00DC6E74">
            <w:pPr>
              <w:pStyle w:val="TableParagraph"/>
              <w:rPr>
                <w:rFonts w:eastAsia="Inter Light"/>
              </w:rPr>
            </w:pPr>
            <w:proofErr w:type="gramStart"/>
            <w:r w:rsidRPr="3C41FA62">
              <w:rPr>
                <w:rFonts w:eastAsia="Inter Light"/>
              </w:rPr>
              <w:t>Other</w:t>
            </w:r>
            <w:proofErr w:type="gramEnd"/>
            <w:r w:rsidRPr="3C41FA62">
              <w:rPr>
                <w:rFonts w:eastAsia="Inter Light"/>
              </w:rPr>
              <w:t xml:space="preserve"> provider </w:t>
            </w:r>
            <w:r w:rsidR="00A04A4E">
              <w:rPr>
                <w:rFonts w:eastAsia="Inter Light"/>
              </w:rPr>
              <w:t>e</w:t>
            </w:r>
            <w:r w:rsidRPr="3C41FA62">
              <w:rPr>
                <w:rFonts w:eastAsia="Inter Light"/>
              </w:rPr>
              <w:t xml:space="preserve">nabling </w:t>
            </w:r>
            <w:r w:rsidR="00A5066F">
              <w:rPr>
                <w:rFonts w:eastAsia="Inter Light"/>
              </w:rPr>
              <w:t>program</w:t>
            </w:r>
          </w:p>
        </w:tc>
        <w:tc>
          <w:tcPr>
            <w:tcW w:w="755" w:type="dxa"/>
            <w:tcMar>
              <w:left w:w="108" w:type="dxa"/>
              <w:right w:w="108" w:type="dxa"/>
            </w:tcMar>
          </w:tcPr>
          <w:p w14:paraId="374BE992" w14:textId="32CEC115" w:rsidR="3C6A2B72" w:rsidRDefault="3C6A2B72" w:rsidP="00DC6E74">
            <w:pPr>
              <w:pStyle w:val="TableParagraph"/>
              <w:rPr>
                <w:rFonts w:eastAsia="Inter Light"/>
              </w:rPr>
            </w:pPr>
            <w:r w:rsidRPr="3C41FA62">
              <w:rPr>
                <w:rFonts w:eastAsia="Inter Light"/>
              </w:rPr>
              <w:t>82</w:t>
            </w:r>
          </w:p>
        </w:tc>
        <w:tc>
          <w:tcPr>
            <w:tcW w:w="758" w:type="dxa"/>
            <w:tcMar>
              <w:left w:w="108" w:type="dxa"/>
              <w:right w:w="108" w:type="dxa"/>
            </w:tcMar>
          </w:tcPr>
          <w:p w14:paraId="6A9A0E23" w14:textId="539D8318" w:rsidR="3C6A2B72" w:rsidRDefault="3C6A2B72" w:rsidP="00DC6E74">
            <w:pPr>
              <w:pStyle w:val="TableParagraph"/>
              <w:rPr>
                <w:rFonts w:eastAsia="Inter Light"/>
              </w:rPr>
            </w:pPr>
            <w:r w:rsidRPr="3C41FA62">
              <w:rPr>
                <w:rFonts w:eastAsia="Inter Light"/>
              </w:rPr>
              <w:t>77</w:t>
            </w:r>
          </w:p>
        </w:tc>
        <w:tc>
          <w:tcPr>
            <w:tcW w:w="986" w:type="dxa"/>
            <w:tcMar>
              <w:left w:w="108" w:type="dxa"/>
              <w:right w:w="108" w:type="dxa"/>
            </w:tcMar>
          </w:tcPr>
          <w:p w14:paraId="06F7D5B7" w14:textId="7BD739D3" w:rsidR="3C6A2B72" w:rsidRDefault="3C6A2B72" w:rsidP="00DC6E74">
            <w:pPr>
              <w:pStyle w:val="TableParagraph"/>
              <w:rPr>
                <w:rFonts w:eastAsia="Inter Light"/>
              </w:rPr>
            </w:pPr>
            <w:r w:rsidRPr="3C41FA62">
              <w:rPr>
                <w:rFonts w:eastAsia="Inter Light"/>
              </w:rPr>
              <w:t>82</w:t>
            </w:r>
          </w:p>
        </w:tc>
        <w:tc>
          <w:tcPr>
            <w:tcW w:w="834" w:type="dxa"/>
            <w:tcMar>
              <w:left w:w="108" w:type="dxa"/>
              <w:right w:w="108" w:type="dxa"/>
            </w:tcMar>
          </w:tcPr>
          <w:p w14:paraId="3C9FF68C" w14:textId="3524C9F0" w:rsidR="3C6A2B72" w:rsidRDefault="3C6A2B72" w:rsidP="00DC6E74">
            <w:pPr>
              <w:pStyle w:val="TableParagraph"/>
              <w:rPr>
                <w:rFonts w:eastAsia="Inter Light"/>
              </w:rPr>
            </w:pPr>
            <w:r w:rsidRPr="3C41FA62">
              <w:rPr>
                <w:rFonts w:eastAsia="Inter Light"/>
              </w:rPr>
              <w:t>-</w:t>
            </w:r>
          </w:p>
        </w:tc>
        <w:tc>
          <w:tcPr>
            <w:tcW w:w="2013" w:type="dxa"/>
            <w:shd w:val="clear" w:color="auto" w:fill="E7E6E6"/>
            <w:tcMar>
              <w:left w:w="108" w:type="dxa"/>
              <w:right w:w="108" w:type="dxa"/>
            </w:tcMar>
          </w:tcPr>
          <w:p w14:paraId="072E0824" w14:textId="17167601" w:rsidR="3C6A2B72" w:rsidRDefault="3C6A2B72" w:rsidP="00DC6E74">
            <w:pPr>
              <w:pStyle w:val="TableParagraph"/>
              <w:rPr>
                <w:rFonts w:eastAsia="Inter Light"/>
                <w:lang w:val="en-US"/>
              </w:rPr>
            </w:pPr>
            <w:r w:rsidRPr="3C41FA62">
              <w:rPr>
                <w:rFonts w:eastAsia="Inter Light"/>
              </w:rPr>
              <w:t>81</w:t>
            </w:r>
            <w:r w:rsidRPr="658F4599">
              <w:rPr>
                <w:rFonts w:eastAsia="Inter Light"/>
              </w:rPr>
              <w:t xml:space="preserve"> </w:t>
            </w:r>
          </w:p>
        </w:tc>
      </w:tr>
    </w:tbl>
    <w:p w14:paraId="6DDDB4F6" w14:textId="61C7C347" w:rsidR="32755B6F" w:rsidRDefault="32755B6F" w:rsidP="00E0129B">
      <w:pPr>
        <w:pStyle w:val="TableNote"/>
        <w:rPr>
          <w:rFonts w:eastAsia="Inter Light"/>
          <w:lang w:val="en-US"/>
        </w:rPr>
      </w:pPr>
      <w:r w:rsidRPr="658F4599">
        <w:rPr>
          <w:rFonts w:eastAsia="Inter Light"/>
        </w:rPr>
        <w:t>*Pathway success rate calculation is based on the total/cumulative EFTSL passed versus attempted across all four universities.</w:t>
      </w:r>
    </w:p>
    <w:p w14:paraId="112335EA" w14:textId="3CC3CD93" w:rsidR="00592047" w:rsidRPr="00817622" w:rsidRDefault="00B05D19" w:rsidP="00592047">
      <w:pPr>
        <w:rPr>
          <w:rFonts w:eastAsia="Inter Light"/>
        </w:rPr>
      </w:pPr>
      <w:r w:rsidRPr="00B05D19">
        <w:rPr>
          <w:rFonts w:eastAsia="Inter Light"/>
        </w:rPr>
        <w:t>When interpreting these success rates, it is important to consider differences among ISEPs in size, program models, history, and cohort composition. ISEPs with longer histories and structured timetabled classes tend to achieve higher success rates.</w:t>
      </w:r>
    </w:p>
    <w:p w14:paraId="230B05EE" w14:textId="2AAAB787" w:rsidR="32755B6F" w:rsidRPr="00A04A4E" w:rsidRDefault="32755B6F" w:rsidP="00497E88">
      <w:pPr>
        <w:pStyle w:val="Normal-Bold"/>
        <w:rPr>
          <w:lang w:val="en-US"/>
        </w:rPr>
      </w:pPr>
      <w:r w:rsidRPr="00A04A4E">
        <w:t xml:space="preserve">Undergraduate outcomes for students from equity groups </w:t>
      </w:r>
    </w:p>
    <w:p w14:paraId="0842E928" w14:textId="62E67EC5" w:rsidR="00817622" w:rsidRDefault="32755B6F" w:rsidP="00A32591">
      <w:pPr>
        <w:rPr>
          <w:rFonts w:eastAsia="Inter Light"/>
        </w:rPr>
      </w:pPr>
      <w:r w:rsidRPr="658F4599">
        <w:rPr>
          <w:rFonts w:eastAsia="Inter Light"/>
        </w:rPr>
        <w:t>I</w:t>
      </w:r>
      <w:r w:rsidR="5BAD9A02" w:rsidRPr="658F4599">
        <w:rPr>
          <w:rFonts w:eastAsia="Inter Light"/>
        </w:rPr>
        <w:t>SEP</w:t>
      </w:r>
      <w:r w:rsidRPr="658F4599">
        <w:rPr>
          <w:rFonts w:eastAsia="Inter Light"/>
        </w:rPr>
        <w:t xml:space="preserve"> students were stratified by equity status to determine whether belonging to an equity group impact</w:t>
      </w:r>
      <w:r w:rsidR="4E2BE584" w:rsidRPr="658F4599">
        <w:rPr>
          <w:rFonts w:eastAsia="Inter Light"/>
        </w:rPr>
        <w:t>ed</w:t>
      </w:r>
      <w:r w:rsidRPr="658F4599">
        <w:rPr>
          <w:rFonts w:eastAsia="Inter Light"/>
        </w:rPr>
        <w:t xml:space="preserve"> on undergraduate outcomes (Table </w:t>
      </w:r>
      <w:r w:rsidR="2DB89A6D" w:rsidRPr="658F4599">
        <w:rPr>
          <w:rFonts w:eastAsia="Inter Light"/>
        </w:rPr>
        <w:t>8</w:t>
      </w:r>
      <w:r w:rsidRPr="658F4599">
        <w:rPr>
          <w:rFonts w:eastAsia="Inter Light"/>
        </w:rPr>
        <w:t>). At ECU and MU, students from equity groups who entered university via the I</w:t>
      </w:r>
      <w:r w:rsidR="254895EF" w:rsidRPr="658F4599">
        <w:rPr>
          <w:rFonts w:eastAsia="Inter Light"/>
        </w:rPr>
        <w:t>SEP</w:t>
      </w:r>
      <w:r w:rsidRPr="658F4599">
        <w:rPr>
          <w:rFonts w:eastAsia="Inter Light"/>
        </w:rPr>
        <w:t xml:space="preserve"> had similar retention rates to those who did not belong to any equity groups. No comparisons between students from equity and non-equity groups were possible at </w:t>
      </w:r>
      <w:proofErr w:type="spellStart"/>
      <w:r w:rsidRPr="658F4599">
        <w:rPr>
          <w:rFonts w:eastAsia="Inter Light"/>
        </w:rPr>
        <w:t>UniSQ</w:t>
      </w:r>
      <w:proofErr w:type="spellEnd"/>
      <w:r w:rsidRPr="658F4599">
        <w:rPr>
          <w:rFonts w:eastAsia="Inter Light"/>
        </w:rPr>
        <w:t xml:space="preserve"> and SCU due to insufficient numbers. However, success rates appeared to be lower for those who had cumulative disadvantage (belonging to </w:t>
      </w:r>
      <w:r w:rsidR="00AB3BCD">
        <w:rPr>
          <w:rFonts w:eastAsia="Inter Light"/>
        </w:rPr>
        <w:t>two or more</w:t>
      </w:r>
      <w:r w:rsidRPr="658F4599">
        <w:rPr>
          <w:rFonts w:eastAsia="Inter Light"/>
        </w:rPr>
        <w:t xml:space="preserve"> equity groups). Notably, the sample sizes for comparison were relatively small, so caution </w:t>
      </w:r>
      <w:r w:rsidR="00AB3BCD">
        <w:rPr>
          <w:rFonts w:eastAsia="Inter Light"/>
        </w:rPr>
        <w:t>must</w:t>
      </w:r>
      <w:r w:rsidRPr="658F4599">
        <w:rPr>
          <w:rFonts w:eastAsia="Inter Light"/>
        </w:rPr>
        <w:t xml:space="preserve"> be exercised in the interpretation of this data. However, overall, this data suggests that the I</w:t>
      </w:r>
      <w:r w:rsidR="7C08378A" w:rsidRPr="658F4599">
        <w:rPr>
          <w:rFonts w:eastAsia="Inter Light"/>
        </w:rPr>
        <w:t>SEP</w:t>
      </w:r>
      <w:r w:rsidRPr="658F4599">
        <w:rPr>
          <w:rFonts w:eastAsia="Inter Light"/>
        </w:rPr>
        <w:t xml:space="preserve"> pathway supports the persistence of students from equity backgrounds through the first year of undergraduate study, despite the impact of cumulative disadvantage on academic progression</w:t>
      </w:r>
      <w:r w:rsidR="00817622">
        <w:rPr>
          <w:rFonts w:eastAsia="Inter Light"/>
        </w:rPr>
        <w:t>.</w:t>
      </w:r>
    </w:p>
    <w:p w14:paraId="1EDB5168" w14:textId="77777777" w:rsidR="00590D70" w:rsidRDefault="00590D70" w:rsidP="00F15E49">
      <w:pPr>
        <w:pStyle w:val="TOCHeading"/>
      </w:pPr>
      <w:bookmarkStart w:id="76" w:name="_Toc232575177"/>
    </w:p>
    <w:p w14:paraId="3FC4BF03" w14:textId="77777777" w:rsidR="00590D70" w:rsidRDefault="00590D70" w:rsidP="00F15E49">
      <w:pPr>
        <w:pStyle w:val="TOCHeading"/>
      </w:pPr>
    </w:p>
    <w:p w14:paraId="3D53DD6A" w14:textId="77777777" w:rsidR="00590D70" w:rsidRDefault="00590D70" w:rsidP="00F15E49">
      <w:pPr>
        <w:pStyle w:val="TOCHeading"/>
      </w:pPr>
    </w:p>
    <w:p w14:paraId="2E0666E6" w14:textId="77777777" w:rsidR="00590D70" w:rsidRDefault="00590D70" w:rsidP="00F15E49">
      <w:pPr>
        <w:pStyle w:val="TOCHeading"/>
      </w:pPr>
    </w:p>
    <w:p w14:paraId="775BBAB9" w14:textId="77777777" w:rsidR="00590D70" w:rsidRDefault="00590D70" w:rsidP="00F15E49">
      <w:pPr>
        <w:pStyle w:val="TOCHeading"/>
      </w:pPr>
    </w:p>
    <w:p w14:paraId="3872DB60" w14:textId="77777777" w:rsidR="00590D70" w:rsidRDefault="00590D70" w:rsidP="00F15E49">
      <w:pPr>
        <w:pStyle w:val="TOCHeading"/>
      </w:pPr>
    </w:p>
    <w:p w14:paraId="02FA0FD6" w14:textId="77777777" w:rsidR="00590D70" w:rsidRDefault="00590D70" w:rsidP="00F15E49">
      <w:pPr>
        <w:pStyle w:val="TOCHeading"/>
      </w:pPr>
    </w:p>
    <w:p w14:paraId="438F7310" w14:textId="77777777" w:rsidR="00590D70" w:rsidRDefault="00590D70" w:rsidP="00F15E49">
      <w:pPr>
        <w:pStyle w:val="TOCHeading"/>
      </w:pPr>
    </w:p>
    <w:p w14:paraId="724A5515" w14:textId="77777777" w:rsidR="00590D70" w:rsidRDefault="00590D70" w:rsidP="00F15E49">
      <w:pPr>
        <w:pStyle w:val="TOCHeading"/>
      </w:pPr>
    </w:p>
    <w:p w14:paraId="0D82CABD" w14:textId="713DFE1B" w:rsidR="32755B6F" w:rsidRPr="00C473BD" w:rsidRDefault="32755B6F" w:rsidP="00F15E49">
      <w:pPr>
        <w:pStyle w:val="TOCHeading"/>
        <w:rPr>
          <w:lang w:val="en-US"/>
        </w:rPr>
      </w:pPr>
      <w:r w:rsidRPr="00C473BD">
        <w:lastRenderedPageBreak/>
        <w:t xml:space="preserve">Table </w:t>
      </w:r>
      <w:r w:rsidR="151D47D3" w:rsidRPr="00C473BD">
        <w:t>8</w:t>
      </w:r>
      <w:r w:rsidR="008C06EF">
        <w:t>:</w:t>
      </w:r>
      <w:r w:rsidRPr="00C473BD">
        <w:t xml:space="preserve"> Undergraduate retention and success rates of </w:t>
      </w:r>
      <w:r w:rsidR="00895CFA">
        <w:t>i</w:t>
      </w:r>
      <w:r w:rsidRPr="00C473BD">
        <w:t xml:space="preserve">n-school </w:t>
      </w:r>
      <w:r w:rsidR="00895CFA">
        <w:t>e</w:t>
      </w:r>
      <w:r w:rsidRPr="00C473BD">
        <w:t>nabling pathway students, stratified by equity status.</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8"/>
        <w:gridCol w:w="1266"/>
        <w:gridCol w:w="1266"/>
        <w:gridCol w:w="1267"/>
        <w:gridCol w:w="1266"/>
        <w:gridCol w:w="1266"/>
        <w:gridCol w:w="1267"/>
      </w:tblGrid>
      <w:tr w:rsidR="00F479AD" w14:paraId="64E9DF40" w14:textId="77777777" w:rsidTr="00F15E49">
        <w:trPr>
          <w:trHeight w:val="300"/>
        </w:trPr>
        <w:tc>
          <w:tcPr>
            <w:tcW w:w="1408" w:type="dxa"/>
            <w:vMerge w:val="restart"/>
            <w:shd w:val="clear" w:color="auto" w:fill="78DED9" w:themeFill="accent1"/>
            <w:tcMar>
              <w:left w:w="108" w:type="dxa"/>
              <w:right w:w="108" w:type="dxa"/>
            </w:tcMar>
          </w:tcPr>
          <w:p w14:paraId="0508F627" w14:textId="2417E3AF" w:rsidR="46C89230" w:rsidRDefault="46C89230" w:rsidP="00E0129B">
            <w:pPr>
              <w:pStyle w:val="Normal-Bold"/>
              <w:rPr>
                <w:rFonts w:eastAsia="Inter Light"/>
                <w:b w:val="0"/>
              </w:rPr>
            </w:pPr>
            <w:r w:rsidRPr="46C89230">
              <w:rPr>
                <w:rFonts w:eastAsia="Inter Light"/>
              </w:rPr>
              <w:t>University</w:t>
            </w:r>
          </w:p>
        </w:tc>
        <w:tc>
          <w:tcPr>
            <w:tcW w:w="3799" w:type="dxa"/>
            <w:gridSpan w:val="3"/>
            <w:shd w:val="clear" w:color="auto" w:fill="78DED9" w:themeFill="accent1"/>
            <w:tcMar>
              <w:left w:w="108" w:type="dxa"/>
              <w:right w:w="108" w:type="dxa"/>
            </w:tcMar>
          </w:tcPr>
          <w:p w14:paraId="7208E837" w14:textId="6B4C3513" w:rsidR="46C89230" w:rsidRDefault="46C89230" w:rsidP="00E0129B">
            <w:pPr>
              <w:pStyle w:val="Normal-Bold"/>
              <w:rPr>
                <w:rFonts w:eastAsia="Inter Light"/>
                <w:b w:val="0"/>
              </w:rPr>
            </w:pPr>
            <w:r w:rsidRPr="46C89230">
              <w:rPr>
                <w:rFonts w:eastAsia="Inter Light"/>
              </w:rPr>
              <w:t>Retention rate*</w:t>
            </w:r>
          </w:p>
        </w:tc>
        <w:tc>
          <w:tcPr>
            <w:tcW w:w="3799" w:type="dxa"/>
            <w:gridSpan w:val="3"/>
            <w:shd w:val="clear" w:color="auto" w:fill="78DED9" w:themeFill="accent1"/>
            <w:tcMar>
              <w:left w:w="108" w:type="dxa"/>
              <w:right w:w="108" w:type="dxa"/>
            </w:tcMar>
          </w:tcPr>
          <w:p w14:paraId="56BD9F8D" w14:textId="53F5605D" w:rsidR="46C89230" w:rsidRDefault="46C89230" w:rsidP="00E0129B">
            <w:pPr>
              <w:pStyle w:val="Normal-Bold"/>
              <w:rPr>
                <w:rFonts w:eastAsia="Inter Light"/>
                <w:b w:val="0"/>
                <w:color w:val="000000"/>
              </w:rPr>
            </w:pPr>
            <w:r w:rsidRPr="46C89230">
              <w:rPr>
                <w:rFonts w:eastAsia="Inter Light"/>
              </w:rPr>
              <w:t>Success rate (%)</w:t>
            </w:r>
          </w:p>
        </w:tc>
      </w:tr>
      <w:tr w:rsidR="46C89230" w14:paraId="23399281" w14:textId="77777777" w:rsidTr="00F15E49">
        <w:trPr>
          <w:trHeight w:val="300"/>
        </w:trPr>
        <w:tc>
          <w:tcPr>
            <w:tcW w:w="1408" w:type="dxa"/>
            <w:vMerge/>
            <w:vAlign w:val="center"/>
          </w:tcPr>
          <w:p w14:paraId="5FDB9EFE" w14:textId="77777777" w:rsidR="00640DA0" w:rsidRDefault="00640DA0" w:rsidP="00E0129B">
            <w:pPr>
              <w:pStyle w:val="Normal-Bold"/>
            </w:pPr>
          </w:p>
        </w:tc>
        <w:tc>
          <w:tcPr>
            <w:tcW w:w="1266" w:type="dxa"/>
            <w:shd w:val="clear" w:color="auto" w:fill="78DED9" w:themeFill="accent1"/>
            <w:tcMar>
              <w:left w:w="108" w:type="dxa"/>
              <w:right w:w="108" w:type="dxa"/>
            </w:tcMar>
          </w:tcPr>
          <w:p w14:paraId="1F64F729" w14:textId="2A5E5E33" w:rsidR="46C89230" w:rsidRDefault="46C89230" w:rsidP="00E0129B">
            <w:pPr>
              <w:pStyle w:val="Normal-Bold"/>
              <w:rPr>
                <w:rFonts w:eastAsia="Inter Light"/>
                <w:b w:val="0"/>
              </w:rPr>
            </w:pPr>
            <w:r w:rsidRPr="46C89230">
              <w:rPr>
                <w:rFonts w:eastAsia="Inter Light"/>
              </w:rPr>
              <w:t>Non-equity</w:t>
            </w:r>
          </w:p>
        </w:tc>
        <w:tc>
          <w:tcPr>
            <w:tcW w:w="1266" w:type="dxa"/>
            <w:shd w:val="clear" w:color="auto" w:fill="78DED9" w:themeFill="accent1"/>
            <w:tcMar>
              <w:left w:w="108" w:type="dxa"/>
              <w:right w:w="108" w:type="dxa"/>
            </w:tcMar>
          </w:tcPr>
          <w:p w14:paraId="2950D5B5" w14:textId="31B98227" w:rsidR="46C89230" w:rsidRDefault="46C89230" w:rsidP="00E0129B">
            <w:pPr>
              <w:pStyle w:val="Normal-Bold"/>
              <w:rPr>
                <w:rFonts w:eastAsia="Inter Light"/>
                <w:b w:val="0"/>
              </w:rPr>
            </w:pPr>
            <w:r w:rsidRPr="46C89230">
              <w:rPr>
                <w:rFonts w:eastAsia="Inter Light"/>
              </w:rPr>
              <w:t>1 equity group</w:t>
            </w:r>
          </w:p>
        </w:tc>
        <w:tc>
          <w:tcPr>
            <w:tcW w:w="1267" w:type="dxa"/>
            <w:shd w:val="clear" w:color="auto" w:fill="78DED9" w:themeFill="accent1"/>
            <w:tcMar>
              <w:left w:w="108" w:type="dxa"/>
              <w:right w:w="108" w:type="dxa"/>
            </w:tcMar>
          </w:tcPr>
          <w:p w14:paraId="4F9CEE25" w14:textId="07F74CA5" w:rsidR="46C89230" w:rsidRDefault="46C89230" w:rsidP="00E0129B">
            <w:pPr>
              <w:pStyle w:val="Normal-Bold"/>
              <w:rPr>
                <w:rFonts w:eastAsia="Inter Light"/>
                <w:b w:val="0"/>
              </w:rPr>
            </w:pPr>
            <w:r w:rsidRPr="46C89230">
              <w:rPr>
                <w:rFonts w:eastAsia="Inter Light"/>
              </w:rPr>
              <w:t xml:space="preserve">2+ equity </w:t>
            </w:r>
            <w:r w:rsidR="4846622B" w:rsidRPr="4846622B">
              <w:rPr>
                <w:rFonts w:eastAsia="Inter Light"/>
              </w:rPr>
              <w:t>group</w:t>
            </w:r>
            <w:r w:rsidR="03EDFE94" w:rsidRPr="4846622B">
              <w:rPr>
                <w:rFonts w:eastAsia="Inter Light"/>
              </w:rPr>
              <w:t>s</w:t>
            </w:r>
          </w:p>
        </w:tc>
        <w:tc>
          <w:tcPr>
            <w:tcW w:w="1266" w:type="dxa"/>
            <w:shd w:val="clear" w:color="auto" w:fill="78DED9" w:themeFill="accent1"/>
            <w:tcMar>
              <w:left w:w="108" w:type="dxa"/>
              <w:right w:w="108" w:type="dxa"/>
            </w:tcMar>
          </w:tcPr>
          <w:p w14:paraId="18CCC4EF" w14:textId="4BB25213" w:rsidR="46C89230" w:rsidRDefault="46C89230" w:rsidP="00E0129B">
            <w:pPr>
              <w:pStyle w:val="Normal-Bold"/>
              <w:rPr>
                <w:rFonts w:eastAsia="Inter Light"/>
                <w:b w:val="0"/>
                <w:color w:val="000000"/>
              </w:rPr>
            </w:pPr>
            <w:r w:rsidRPr="46C89230">
              <w:rPr>
                <w:rFonts w:eastAsia="Inter Light"/>
              </w:rPr>
              <w:t>Non-equity</w:t>
            </w:r>
          </w:p>
        </w:tc>
        <w:tc>
          <w:tcPr>
            <w:tcW w:w="1266" w:type="dxa"/>
            <w:shd w:val="clear" w:color="auto" w:fill="78DED9" w:themeFill="accent1"/>
            <w:tcMar>
              <w:left w:w="108" w:type="dxa"/>
              <w:right w:w="108" w:type="dxa"/>
            </w:tcMar>
          </w:tcPr>
          <w:p w14:paraId="10D9E1E6" w14:textId="0F0724DB" w:rsidR="46C89230" w:rsidRDefault="46C89230" w:rsidP="00E0129B">
            <w:pPr>
              <w:pStyle w:val="Normal-Bold"/>
              <w:rPr>
                <w:rFonts w:eastAsia="Inter Light"/>
                <w:b w:val="0"/>
                <w:color w:val="000000"/>
              </w:rPr>
            </w:pPr>
            <w:r w:rsidRPr="46C89230">
              <w:rPr>
                <w:rFonts w:eastAsia="Inter Light"/>
              </w:rPr>
              <w:t>1 equity group</w:t>
            </w:r>
          </w:p>
        </w:tc>
        <w:tc>
          <w:tcPr>
            <w:tcW w:w="1267" w:type="dxa"/>
            <w:shd w:val="clear" w:color="auto" w:fill="78DED9" w:themeFill="accent1"/>
            <w:tcMar>
              <w:left w:w="108" w:type="dxa"/>
              <w:right w:w="108" w:type="dxa"/>
            </w:tcMar>
          </w:tcPr>
          <w:p w14:paraId="5C565179" w14:textId="40A7EDDE" w:rsidR="46C89230" w:rsidRDefault="46C89230" w:rsidP="00E0129B">
            <w:pPr>
              <w:pStyle w:val="Normal-Bold"/>
              <w:rPr>
                <w:rFonts w:eastAsia="Inter Light"/>
                <w:b w:val="0"/>
                <w:color w:val="000000"/>
              </w:rPr>
            </w:pPr>
            <w:r w:rsidRPr="46C89230">
              <w:rPr>
                <w:rFonts w:eastAsia="Inter Light"/>
              </w:rPr>
              <w:t xml:space="preserve">2+ </w:t>
            </w:r>
            <w:r w:rsidRPr="4CF9626F">
              <w:rPr>
                <w:rFonts w:eastAsia="Inter Light"/>
                <w:color w:val="000000"/>
              </w:rPr>
              <w:t>equity groups</w:t>
            </w:r>
          </w:p>
        </w:tc>
      </w:tr>
      <w:tr w:rsidR="00431E4C" w14:paraId="37B08CE1" w14:textId="77777777" w:rsidTr="00F15E49">
        <w:trPr>
          <w:trHeight w:val="300"/>
        </w:trPr>
        <w:tc>
          <w:tcPr>
            <w:tcW w:w="1408" w:type="dxa"/>
            <w:tcMar>
              <w:left w:w="108" w:type="dxa"/>
              <w:right w:w="108" w:type="dxa"/>
            </w:tcMar>
          </w:tcPr>
          <w:p w14:paraId="24A5C67B" w14:textId="49139C10" w:rsidR="46C89230" w:rsidRDefault="46C89230" w:rsidP="00E0129B">
            <w:pPr>
              <w:pStyle w:val="TableParagraph"/>
              <w:rPr>
                <w:rFonts w:eastAsia="Inter Light"/>
              </w:rPr>
            </w:pPr>
            <w:r w:rsidRPr="46C89230">
              <w:rPr>
                <w:rFonts w:eastAsia="Inter Light"/>
              </w:rPr>
              <w:t>ECU</w:t>
            </w:r>
          </w:p>
        </w:tc>
        <w:tc>
          <w:tcPr>
            <w:tcW w:w="1266" w:type="dxa"/>
            <w:tcMar>
              <w:left w:w="108" w:type="dxa"/>
              <w:right w:w="108" w:type="dxa"/>
            </w:tcMar>
          </w:tcPr>
          <w:p w14:paraId="4F507C1A" w14:textId="7F3A12E6" w:rsidR="46C89230" w:rsidRDefault="46C89230" w:rsidP="00E0129B">
            <w:pPr>
              <w:pStyle w:val="TableParagraph"/>
              <w:rPr>
                <w:rFonts w:eastAsia="Inter Light"/>
              </w:rPr>
            </w:pPr>
            <w:r w:rsidRPr="46C89230">
              <w:rPr>
                <w:rFonts w:eastAsia="Inter Light"/>
              </w:rPr>
              <w:t>140/177 (79%)</w:t>
            </w:r>
          </w:p>
        </w:tc>
        <w:tc>
          <w:tcPr>
            <w:tcW w:w="1266" w:type="dxa"/>
            <w:tcMar>
              <w:left w:w="108" w:type="dxa"/>
              <w:right w:w="108" w:type="dxa"/>
            </w:tcMar>
          </w:tcPr>
          <w:p w14:paraId="44F9D226" w14:textId="6E0CFE9F" w:rsidR="46C89230" w:rsidRDefault="46C89230" w:rsidP="00E0129B">
            <w:pPr>
              <w:pStyle w:val="TableParagraph"/>
              <w:rPr>
                <w:rFonts w:eastAsia="Inter Light"/>
              </w:rPr>
            </w:pPr>
            <w:r w:rsidRPr="46C89230">
              <w:rPr>
                <w:rFonts w:eastAsia="Inter Light"/>
              </w:rPr>
              <w:t>41/52 (79%)</w:t>
            </w:r>
          </w:p>
        </w:tc>
        <w:tc>
          <w:tcPr>
            <w:tcW w:w="1267" w:type="dxa"/>
            <w:tcMar>
              <w:left w:w="108" w:type="dxa"/>
              <w:right w:w="108" w:type="dxa"/>
            </w:tcMar>
          </w:tcPr>
          <w:p w14:paraId="268B9872" w14:textId="79B92285" w:rsidR="46C89230" w:rsidRDefault="46C89230" w:rsidP="00E0129B">
            <w:pPr>
              <w:pStyle w:val="TableParagraph"/>
              <w:rPr>
                <w:rFonts w:eastAsia="Inter Light"/>
              </w:rPr>
            </w:pPr>
            <w:r w:rsidRPr="46C89230">
              <w:rPr>
                <w:rFonts w:eastAsia="Inter Light"/>
              </w:rPr>
              <w:t>25/32 (78%)</w:t>
            </w:r>
          </w:p>
        </w:tc>
        <w:tc>
          <w:tcPr>
            <w:tcW w:w="1266" w:type="dxa"/>
            <w:shd w:val="clear" w:color="auto" w:fill="E7E6E6"/>
            <w:tcMar>
              <w:left w:w="108" w:type="dxa"/>
              <w:right w:w="108" w:type="dxa"/>
            </w:tcMar>
          </w:tcPr>
          <w:p w14:paraId="6E7D1A00" w14:textId="7FD44CE3" w:rsidR="46C89230" w:rsidRDefault="46C89230" w:rsidP="00E0129B">
            <w:pPr>
              <w:pStyle w:val="TableParagraph"/>
              <w:rPr>
                <w:rFonts w:eastAsia="Inter Light"/>
              </w:rPr>
            </w:pPr>
            <w:r w:rsidRPr="46C89230">
              <w:rPr>
                <w:rFonts w:eastAsia="Inter Light"/>
              </w:rPr>
              <w:t>83</w:t>
            </w:r>
          </w:p>
        </w:tc>
        <w:tc>
          <w:tcPr>
            <w:tcW w:w="1266" w:type="dxa"/>
            <w:shd w:val="clear" w:color="auto" w:fill="E7E6E6"/>
            <w:tcMar>
              <w:left w:w="108" w:type="dxa"/>
              <w:right w:w="108" w:type="dxa"/>
            </w:tcMar>
          </w:tcPr>
          <w:p w14:paraId="2091D5E1" w14:textId="4E21F3A4" w:rsidR="46C89230" w:rsidRDefault="46C89230" w:rsidP="00E0129B">
            <w:pPr>
              <w:pStyle w:val="TableParagraph"/>
              <w:rPr>
                <w:rFonts w:eastAsia="Inter Light"/>
              </w:rPr>
            </w:pPr>
            <w:r w:rsidRPr="46C89230">
              <w:rPr>
                <w:rFonts w:eastAsia="Inter Light"/>
              </w:rPr>
              <w:t>86</w:t>
            </w:r>
          </w:p>
        </w:tc>
        <w:tc>
          <w:tcPr>
            <w:tcW w:w="1267" w:type="dxa"/>
            <w:shd w:val="clear" w:color="auto" w:fill="E7E6E6"/>
            <w:tcMar>
              <w:left w:w="108" w:type="dxa"/>
              <w:right w:w="108" w:type="dxa"/>
            </w:tcMar>
          </w:tcPr>
          <w:p w14:paraId="00F0E78D" w14:textId="4B3F2C36" w:rsidR="46C89230" w:rsidRDefault="46C89230" w:rsidP="00E0129B">
            <w:pPr>
              <w:pStyle w:val="TableParagraph"/>
              <w:rPr>
                <w:rFonts w:eastAsia="Inter Light"/>
              </w:rPr>
            </w:pPr>
            <w:r w:rsidRPr="46C89230">
              <w:rPr>
                <w:rFonts w:eastAsia="Inter Light"/>
              </w:rPr>
              <w:t>73</w:t>
            </w:r>
          </w:p>
        </w:tc>
      </w:tr>
      <w:tr w:rsidR="00F90A55" w14:paraId="5D430093" w14:textId="77777777" w:rsidTr="00F15E49">
        <w:trPr>
          <w:trHeight w:val="300"/>
        </w:trPr>
        <w:tc>
          <w:tcPr>
            <w:tcW w:w="1408" w:type="dxa"/>
            <w:tcMar>
              <w:left w:w="108" w:type="dxa"/>
              <w:right w:w="108" w:type="dxa"/>
            </w:tcMar>
          </w:tcPr>
          <w:p w14:paraId="566053FD" w14:textId="078B88CA" w:rsidR="46C89230" w:rsidRDefault="46C89230" w:rsidP="00E0129B">
            <w:pPr>
              <w:pStyle w:val="TableParagraph"/>
              <w:rPr>
                <w:rFonts w:eastAsia="Inter Light"/>
              </w:rPr>
            </w:pPr>
            <w:r w:rsidRPr="46C89230">
              <w:rPr>
                <w:rFonts w:eastAsia="Inter Light"/>
              </w:rPr>
              <w:t>MU</w:t>
            </w:r>
          </w:p>
        </w:tc>
        <w:tc>
          <w:tcPr>
            <w:tcW w:w="1266" w:type="dxa"/>
            <w:tcMar>
              <w:left w:w="108" w:type="dxa"/>
              <w:right w:w="108" w:type="dxa"/>
            </w:tcMar>
          </w:tcPr>
          <w:p w14:paraId="6CA4630E" w14:textId="4F39C596" w:rsidR="46C89230" w:rsidRDefault="46C89230" w:rsidP="00E0129B">
            <w:pPr>
              <w:pStyle w:val="TableParagraph"/>
              <w:rPr>
                <w:rFonts w:eastAsia="Inter Light"/>
              </w:rPr>
            </w:pPr>
            <w:r w:rsidRPr="46C89230">
              <w:rPr>
                <w:rFonts w:eastAsia="Inter Light"/>
              </w:rPr>
              <w:t>128/170 (75%)</w:t>
            </w:r>
          </w:p>
        </w:tc>
        <w:tc>
          <w:tcPr>
            <w:tcW w:w="1266" w:type="dxa"/>
            <w:tcMar>
              <w:left w:w="108" w:type="dxa"/>
              <w:right w:w="108" w:type="dxa"/>
            </w:tcMar>
          </w:tcPr>
          <w:p w14:paraId="4926F46E" w14:textId="3C02FB86" w:rsidR="46C89230" w:rsidRDefault="46C89230" w:rsidP="00E0129B">
            <w:pPr>
              <w:pStyle w:val="TableParagraph"/>
              <w:rPr>
                <w:rFonts w:eastAsia="Inter Light"/>
              </w:rPr>
            </w:pPr>
            <w:r w:rsidRPr="46C89230">
              <w:rPr>
                <w:rFonts w:eastAsia="Inter Light"/>
              </w:rPr>
              <w:t>80/113 (71%)</w:t>
            </w:r>
          </w:p>
        </w:tc>
        <w:tc>
          <w:tcPr>
            <w:tcW w:w="1267" w:type="dxa"/>
            <w:tcMar>
              <w:left w:w="108" w:type="dxa"/>
              <w:right w:w="108" w:type="dxa"/>
            </w:tcMar>
          </w:tcPr>
          <w:p w14:paraId="31881235" w14:textId="36328EA7" w:rsidR="46C89230" w:rsidRDefault="46C89230" w:rsidP="00E0129B">
            <w:pPr>
              <w:pStyle w:val="TableParagraph"/>
              <w:rPr>
                <w:rFonts w:eastAsia="Inter Light"/>
              </w:rPr>
            </w:pPr>
            <w:r w:rsidRPr="46C89230">
              <w:rPr>
                <w:rFonts w:eastAsia="Inter Light"/>
              </w:rPr>
              <w:t>19/23 (83%)</w:t>
            </w:r>
          </w:p>
        </w:tc>
        <w:tc>
          <w:tcPr>
            <w:tcW w:w="1266" w:type="dxa"/>
            <w:shd w:val="clear" w:color="auto" w:fill="E7E6E6"/>
            <w:tcMar>
              <w:left w:w="108" w:type="dxa"/>
              <w:right w:w="108" w:type="dxa"/>
            </w:tcMar>
          </w:tcPr>
          <w:p w14:paraId="0BD7F2F5" w14:textId="0074FBFD" w:rsidR="46C89230" w:rsidRDefault="46C89230" w:rsidP="00E0129B">
            <w:pPr>
              <w:pStyle w:val="TableParagraph"/>
              <w:rPr>
                <w:rFonts w:eastAsia="Inter Light"/>
              </w:rPr>
            </w:pPr>
            <w:r w:rsidRPr="46C89230">
              <w:rPr>
                <w:rFonts w:eastAsia="Inter Light"/>
              </w:rPr>
              <w:t>74</w:t>
            </w:r>
          </w:p>
        </w:tc>
        <w:tc>
          <w:tcPr>
            <w:tcW w:w="1266" w:type="dxa"/>
            <w:shd w:val="clear" w:color="auto" w:fill="E7E6E6"/>
            <w:tcMar>
              <w:left w:w="108" w:type="dxa"/>
              <w:right w:w="108" w:type="dxa"/>
            </w:tcMar>
          </w:tcPr>
          <w:p w14:paraId="3985955D" w14:textId="0D8E8EB2" w:rsidR="46C89230" w:rsidRDefault="46C89230" w:rsidP="00E0129B">
            <w:pPr>
              <w:pStyle w:val="TableParagraph"/>
              <w:rPr>
                <w:rFonts w:eastAsia="Inter Light"/>
              </w:rPr>
            </w:pPr>
            <w:r w:rsidRPr="46C89230">
              <w:rPr>
                <w:rFonts w:eastAsia="Inter Light"/>
              </w:rPr>
              <w:t>74</w:t>
            </w:r>
          </w:p>
        </w:tc>
        <w:tc>
          <w:tcPr>
            <w:tcW w:w="1267" w:type="dxa"/>
            <w:shd w:val="clear" w:color="auto" w:fill="E7E6E6"/>
            <w:tcMar>
              <w:left w:w="108" w:type="dxa"/>
              <w:right w:w="108" w:type="dxa"/>
            </w:tcMar>
          </w:tcPr>
          <w:p w14:paraId="3408BCEA" w14:textId="020CFEE8" w:rsidR="46C89230" w:rsidRDefault="46C89230" w:rsidP="00E0129B">
            <w:pPr>
              <w:pStyle w:val="TableParagraph"/>
              <w:rPr>
                <w:rFonts w:eastAsia="Inter Light"/>
              </w:rPr>
            </w:pPr>
            <w:r w:rsidRPr="46C89230">
              <w:rPr>
                <w:rFonts w:eastAsia="Inter Light"/>
              </w:rPr>
              <w:t>73</w:t>
            </w:r>
          </w:p>
        </w:tc>
      </w:tr>
      <w:tr w:rsidR="00F90A55" w14:paraId="6B0DA804" w14:textId="77777777" w:rsidTr="00F15E49">
        <w:trPr>
          <w:trHeight w:val="300"/>
        </w:trPr>
        <w:tc>
          <w:tcPr>
            <w:tcW w:w="1408" w:type="dxa"/>
            <w:tcMar>
              <w:left w:w="108" w:type="dxa"/>
              <w:right w:w="108" w:type="dxa"/>
            </w:tcMar>
          </w:tcPr>
          <w:p w14:paraId="05DA0769" w14:textId="65C48204" w:rsidR="46C89230" w:rsidRDefault="46C89230" w:rsidP="00E0129B">
            <w:pPr>
              <w:pStyle w:val="TableParagraph"/>
              <w:rPr>
                <w:rFonts w:eastAsia="Inter Light"/>
              </w:rPr>
            </w:pPr>
            <w:proofErr w:type="spellStart"/>
            <w:r w:rsidRPr="46C89230">
              <w:rPr>
                <w:rFonts w:eastAsia="Inter Light"/>
              </w:rPr>
              <w:t>UniSQ</w:t>
            </w:r>
            <w:proofErr w:type="spellEnd"/>
          </w:p>
        </w:tc>
        <w:tc>
          <w:tcPr>
            <w:tcW w:w="1266" w:type="dxa"/>
            <w:tcMar>
              <w:left w:w="108" w:type="dxa"/>
              <w:right w:w="108" w:type="dxa"/>
            </w:tcMar>
          </w:tcPr>
          <w:p w14:paraId="45039535" w14:textId="5B632558" w:rsidR="46C89230" w:rsidRDefault="46C89230" w:rsidP="00E0129B">
            <w:pPr>
              <w:pStyle w:val="TableParagraph"/>
              <w:rPr>
                <w:rFonts w:eastAsia="Inter Light"/>
              </w:rPr>
            </w:pPr>
            <w:r w:rsidRPr="46C89230">
              <w:rPr>
                <w:rFonts w:eastAsia="Inter Light"/>
              </w:rPr>
              <w:t>-</w:t>
            </w:r>
          </w:p>
        </w:tc>
        <w:tc>
          <w:tcPr>
            <w:tcW w:w="1266" w:type="dxa"/>
            <w:tcMar>
              <w:left w:w="108" w:type="dxa"/>
              <w:right w:w="108" w:type="dxa"/>
            </w:tcMar>
          </w:tcPr>
          <w:p w14:paraId="2A7CE673" w14:textId="02195BED" w:rsidR="46C89230" w:rsidRDefault="46C89230" w:rsidP="00E0129B">
            <w:pPr>
              <w:pStyle w:val="TableParagraph"/>
              <w:rPr>
                <w:rFonts w:eastAsia="Inter Light"/>
              </w:rPr>
            </w:pPr>
            <w:r w:rsidRPr="46C89230">
              <w:rPr>
                <w:rFonts w:eastAsia="Inter Light"/>
              </w:rPr>
              <w:t>20/28 (71%)</w:t>
            </w:r>
          </w:p>
        </w:tc>
        <w:tc>
          <w:tcPr>
            <w:tcW w:w="1267" w:type="dxa"/>
            <w:tcMar>
              <w:left w:w="108" w:type="dxa"/>
              <w:right w:w="108" w:type="dxa"/>
            </w:tcMar>
          </w:tcPr>
          <w:p w14:paraId="5481785A" w14:textId="426CFA43" w:rsidR="46C89230" w:rsidRDefault="46C89230" w:rsidP="00E0129B">
            <w:pPr>
              <w:pStyle w:val="TableParagraph"/>
              <w:rPr>
                <w:rFonts w:eastAsia="Inter Light"/>
              </w:rPr>
            </w:pPr>
            <w:r w:rsidRPr="46C89230">
              <w:rPr>
                <w:rFonts w:eastAsia="Inter Light"/>
              </w:rPr>
              <w:t>22/34 (65%)</w:t>
            </w:r>
          </w:p>
        </w:tc>
        <w:tc>
          <w:tcPr>
            <w:tcW w:w="1266" w:type="dxa"/>
            <w:shd w:val="clear" w:color="auto" w:fill="E7E6E6"/>
            <w:tcMar>
              <w:left w:w="108" w:type="dxa"/>
              <w:right w:w="108" w:type="dxa"/>
            </w:tcMar>
          </w:tcPr>
          <w:p w14:paraId="5DCBA80F" w14:textId="38507723" w:rsidR="46C89230" w:rsidRDefault="46C89230" w:rsidP="00E0129B">
            <w:pPr>
              <w:pStyle w:val="TableParagraph"/>
              <w:rPr>
                <w:rFonts w:eastAsia="Inter Light"/>
              </w:rPr>
            </w:pPr>
            <w:r w:rsidRPr="46C89230">
              <w:rPr>
                <w:rFonts w:eastAsia="Inter Light"/>
              </w:rPr>
              <w:t>-</w:t>
            </w:r>
          </w:p>
        </w:tc>
        <w:tc>
          <w:tcPr>
            <w:tcW w:w="1266" w:type="dxa"/>
            <w:shd w:val="clear" w:color="auto" w:fill="E7E6E6"/>
            <w:tcMar>
              <w:left w:w="108" w:type="dxa"/>
              <w:right w:w="108" w:type="dxa"/>
            </w:tcMar>
          </w:tcPr>
          <w:p w14:paraId="2A3D9A67" w14:textId="4903E2BF" w:rsidR="46C89230" w:rsidRDefault="46C89230" w:rsidP="00E0129B">
            <w:pPr>
              <w:pStyle w:val="TableParagraph"/>
              <w:rPr>
                <w:rFonts w:eastAsia="Inter Light"/>
              </w:rPr>
            </w:pPr>
            <w:r w:rsidRPr="46C89230">
              <w:rPr>
                <w:rFonts w:eastAsia="Inter Light"/>
              </w:rPr>
              <w:t>77</w:t>
            </w:r>
          </w:p>
        </w:tc>
        <w:tc>
          <w:tcPr>
            <w:tcW w:w="1267" w:type="dxa"/>
            <w:shd w:val="clear" w:color="auto" w:fill="E7E6E6"/>
            <w:tcMar>
              <w:left w:w="108" w:type="dxa"/>
              <w:right w:w="108" w:type="dxa"/>
            </w:tcMar>
          </w:tcPr>
          <w:p w14:paraId="098F3BDC" w14:textId="7D661756" w:rsidR="46C89230" w:rsidRDefault="46C89230" w:rsidP="00E0129B">
            <w:pPr>
              <w:pStyle w:val="TableParagraph"/>
              <w:rPr>
                <w:rFonts w:eastAsia="Inter Light"/>
              </w:rPr>
            </w:pPr>
            <w:r w:rsidRPr="46C89230">
              <w:rPr>
                <w:rFonts w:eastAsia="Inter Light"/>
              </w:rPr>
              <w:t>48</w:t>
            </w:r>
          </w:p>
        </w:tc>
      </w:tr>
      <w:tr w:rsidR="00F90A55" w14:paraId="0C740875" w14:textId="77777777" w:rsidTr="00F15E49">
        <w:trPr>
          <w:trHeight w:val="300"/>
        </w:trPr>
        <w:tc>
          <w:tcPr>
            <w:tcW w:w="1408" w:type="dxa"/>
            <w:tcMar>
              <w:left w:w="108" w:type="dxa"/>
              <w:right w:w="108" w:type="dxa"/>
            </w:tcMar>
          </w:tcPr>
          <w:p w14:paraId="5AEF43E9" w14:textId="4D6781B9" w:rsidR="46C89230" w:rsidRDefault="46C89230" w:rsidP="00E0129B">
            <w:pPr>
              <w:pStyle w:val="TableParagraph"/>
              <w:rPr>
                <w:rFonts w:eastAsia="Inter Light"/>
              </w:rPr>
            </w:pPr>
            <w:r w:rsidRPr="46C89230">
              <w:rPr>
                <w:rFonts w:eastAsia="Inter Light"/>
              </w:rPr>
              <w:t>SCU</w:t>
            </w:r>
          </w:p>
        </w:tc>
        <w:tc>
          <w:tcPr>
            <w:tcW w:w="1266" w:type="dxa"/>
            <w:tcMar>
              <w:left w:w="108" w:type="dxa"/>
              <w:right w:w="108" w:type="dxa"/>
            </w:tcMar>
          </w:tcPr>
          <w:p w14:paraId="2BBCAD9A" w14:textId="415BFC31" w:rsidR="46C89230" w:rsidRDefault="46C89230" w:rsidP="00E0129B">
            <w:pPr>
              <w:pStyle w:val="TableParagraph"/>
              <w:rPr>
                <w:rFonts w:eastAsia="Inter Light"/>
              </w:rPr>
            </w:pPr>
            <w:r w:rsidRPr="46C89230">
              <w:rPr>
                <w:rFonts w:eastAsia="Inter Light"/>
              </w:rPr>
              <w:t>17/24 (71%)</w:t>
            </w:r>
          </w:p>
        </w:tc>
        <w:tc>
          <w:tcPr>
            <w:tcW w:w="1266" w:type="dxa"/>
            <w:tcMar>
              <w:left w:w="108" w:type="dxa"/>
              <w:right w:w="108" w:type="dxa"/>
            </w:tcMar>
          </w:tcPr>
          <w:p w14:paraId="159ACB2D" w14:textId="06D18235" w:rsidR="46C89230" w:rsidRDefault="46C89230" w:rsidP="00E0129B">
            <w:pPr>
              <w:pStyle w:val="TableParagraph"/>
              <w:rPr>
                <w:rFonts w:eastAsia="Inter Light"/>
              </w:rPr>
            </w:pPr>
            <w:r w:rsidRPr="46C89230">
              <w:rPr>
                <w:rFonts w:eastAsia="Inter Light"/>
              </w:rPr>
              <w:t>-</w:t>
            </w:r>
          </w:p>
        </w:tc>
        <w:tc>
          <w:tcPr>
            <w:tcW w:w="1267" w:type="dxa"/>
            <w:tcMar>
              <w:left w:w="108" w:type="dxa"/>
              <w:right w:w="108" w:type="dxa"/>
            </w:tcMar>
          </w:tcPr>
          <w:p w14:paraId="5AAF21F8" w14:textId="0214E524" w:rsidR="46C89230" w:rsidRDefault="46C89230" w:rsidP="00E0129B">
            <w:pPr>
              <w:pStyle w:val="TableParagraph"/>
              <w:rPr>
                <w:rFonts w:eastAsia="Inter Light"/>
              </w:rPr>
            </w:pPr>
            <w:r w:rsidRPr="46C89230">
              <w:rPr>
                <w:rFonts w:eastAsia="Inter Light"/>
              </w:rPr>
              <w:t>-</w:t>
            </w:r>
          </w:p>
        </w:tc>
        <w:tc>
          <w:tcPr>
            <w:tcW w:w="1266" w:type="dxa"/>
            <w:shd w:val="clear" w:color="auto" w:fill="E7E6E6"/>
            <w:tcMar>
              <w:left w:w="108" w:type="dxa"/>
              <w:right w:w="108" w:type="dxa"/>
            </w:tcMar>
          </w:tcPr>
          <w:p w14:paraId="5F8A3C9C" w14:textId="0EE0D6B3" w:rsidR="46C89230" w:rsidRDefault="46C89230" w:rsidP="00E0129B">
            <w:pPr>
              <w:pStyle w:val="TableParagraph"/>
              <w:rPr>
                <w:rFonts w:eastAsia="Inter Light"/>
              </w:rPr>
            </w:pPr>
            <w:r w:rsidRPr="46C89230">
              <w:rPr>
                <w:rFonts w:eastAsia="Inter Light"/>
              </w:rPr>
              <w:t>78</w:t>
            </w:r>
          </w:p>
        </w:tc>
        <w:tc>
          <w:tcPr>
            <w:tcW w:w="1266" w:type="dxa"/>
            <w:shd w:val="clear" w:color="auto" w:fill="E7E6E6"/>
            <w:tcMar>
              <w:left w:w="108" w:type="dxa"/>
              <w:right w:w="108" w:type="dxa"/>
            </w:tcMar>
          </w:tcPr>
          <w:p w14:paraId="00DF1233" w14:textId="6BB0F07B" w:rsidR="46C89230" w:rsidRDefault="46C89230" w:rsidP="00E0129B">
            <w:pPr>
              <w:pStyle w:val="TableParagraph"/>
              <w:rPr>
                <w:rFonts w:eastAsia="Inter Light"/>
              </w:rPr>
            </w:pPr>
            <w:r w:rsidRPr="46C89230">
              <w:rPr>
                <w:rFonts w:eastAsia="Inter Light"/>
              </w:rPr>
              <w:t>-</w:t>
            </w:r>
          </w:p>
        </w:tc>
        <w:tc>
          <w:tcPr>
            <w:tcW w:w="1267" w:type="dxa"/>
            <w:shd w:val="clear" w:color="auto" w:fill="E7E6E6"/>
            <w:tcMar>
              <w:left w:w="108" w:type="dxa"/>
              <w:right w:w="108" w:type="dxa"/>
            </w:tcMar>
          </w:tcPr>
          <w:p w14:paraId="0C16FD43" w14:textId="35CF3E71" w:rsidR="46C89230" w:rsidRDefault="46C89230" w:rsidP="00E0129B">
            <w:pPr>
              <w:pStyle w:val="TableParagraph"/>
              <w:rPr>
                <w:rFonts w:eastAsia="Inter Light"/>
              </w:rPr>
            </w:pPr>
            <w:r w:rsidRPr="46C89230">
              <w:rPr>
                <w:rFonts w:eastAsia="Inter Light"/>
              </w:rPr>
              <w:t>-</w:t>
            </w:r>
          </w:p>
        </w:tc>
      </w:tr>
    </w:tbl>
    <w:p w14:paraId="5EB870C7" w14:textId="0743EA21" w:rsidR="196D62E9" w:rsidRDefault="32755B6F" w:rsidP="00AA662E">
      <w:pPr>
        <w:pStyle w:val="TableNote"/>
        <w:rPr>
          <w:rFonts w:eastAsia="Inter Light"/>
          <w:lang w:val="en-US"/>
        </w:rPr>
      </w:pPr>
      <w:r>
        <w:t xml:space="preserve">*Counts (numbers retained into second year versus total commencing undergraduates) and retention rate percentage shown. Where counts were </w:t>
      </w:r>
      <w:r w:rsidR="004A4377">
        <w:t>fewer</w:t>
      </w:r>
      <w:r>
        <w:t xml:space="preserve"> than 10, data are not reported.</w:t>
      </w:r>
    </w:p>
    <w:p w14:paraId="1E5710AE" w14:textId="7AA7AE18" w:rsidR="00862CAA" w:rsidRDefault="00DF79AB" w:rsidP="00A32591">
      <w:pPr>
        <w:rPr>
          <w:rFonts w:eastAsia="Inter Light"/>
          <w:lang w:val="en-US"/>
        </w:rPr>
      </w:pPr>
      <w:r>
        <w:rPr>
          <w:rFonts w:eastAsia="Inter Light"/>
        </w:rPr>
        <w:t>The</w:t>
      </w:r>
      <w:r w:rsidR="32755B6F" w:rsidRPr="658F4599">
        <w:rPr>
          <w:rFonts w:eastAsia="Inter Light"/>
        </w:rPr>
        <w:t xml:space="preserve"> undergraduate success and retention rates of students from non-equity and equity groups across all pathways were</w:t>
      </w:r>
      <w:r>
        <w:rPr>
          <w:rFonts w:eastAsia="Inter Light"/>
        </w:rPr>
        <w:t xml:space="preserve"> also</w:t>
      </w:r>
      <w:r w:rsidR="32755B6F" w:rsidRPr="658F4599">
        <w:rPr>
          <w:rFonts w:eastAsia="Inter Light"/>
        </w:rPr>
        <w:t xml:space="preserve"> compared (Table </w:t>
      </w:r>
      <w:r w:rsidR="5B56CFA7" w:rsidRPr="658F4599">
        <w:rPr>
          <w:rFonts w:eastAsia="Inter Light"/>
        </w:rPr>
        <w:t>9</w:t>
      </w:r>
      <w:r w:rsidR="32755B6F" w:rsidRPr="658F4599">
        <w:rPr>
          <w:rFonts w:eastAsia="Inter Light"/>
        </w:rPr>
        <w:t>). Collectively across the four universities, there were more students who identified as belonging to one or more equity groups (</w:t>
      </w:r>
      <w:r w:rsidR="32755B6F" w:rsidRPr="00B43A6C">
        <w:rPr>
          <w:rFonts w:eastAsia="Inter Light"/>
          <w:i/>
          <w:iCs/>
        </w:rPr>
        <w:t>n</w:t>
      </w:r>
      <w:r w:rsidR="00F15E49">
        <w:rPr>
          <w:rFonts w:eastAsia="Inter Light"/>
        </w:rPr>
        <w:t xml:space="preserve"> </w:t>
      </w:r>
      <w:r w:rsidR="32755B6F" w:rsidRPr="658F4599">
        <w:rPr>
          <w:rFonts w:eastAsia="Inter Light"/>
        </w:rPr>
        <w:t>=</w:t>
      </w:r>
      <w:r w:rsidR="00F15E49">
        <w:rPr>
          <w:rFonts w:eastAsia="Inter Light"/>
        </w:rPr>
        <w:t xml:space="preserve"> </w:t>
      </w:r>
      <w:r w:rsidR="32755B6F" w:rsidRPr="658F4599">
        <w:rPr>
          <w:rFonts w:eastAsia="Inter Light"/>
        </w:rPr>
        <w:t>7134) than students who did not (</w:t>
      </w:r>
      <w:r w:rsidR="32755B6F" w:rsidRPr="00B43A6C">
        <w:rPr>
          <w:rFonts w:eastAsia="Inter Light"/>
          <w:i/>
          <w:iCs/>
        </w:rPr>
        <w:t>n</w:t>
      </w:r>
      <w:r w:rsidR="00F15E49">
        <w:rPr>
          <w:rFonts w:eastAsia="Inter Light"/>
        </w:rPr>
        <w:t xml:space="preserve"> </w:t>
      </w:r>
      <w:r w:rsidR="32755B6F" w:rsidRPr="658F4599">
        <w:rPr>
          <w:rFonts w:eastAsia="Inter Light"/>
        </w:rPr>
        <w:t>=</w:t>
      </w:r>
      <w:r w:rsidR="00F15E49">
        <w:rPr>
          <w:rFonts w:eastAsia="Inter Light"/>
        </w:rPr>
        <w:t xml:space="preserve"> </w:t>
      </w:r>
      <w:r w:rsidR="32755B6F" w:rsidRPr="658F4599">
        <w:rPr>
          <w:rFonts w:eastAsia="Inter Light"/>
        </w:rPr>
        <w:t xml:space="preserve">6261). Retention rates were similar for those from equity and non-equity backgrounds admitted </w:t>
      </w:r>
      <w:proofErr w:type="gramStart"/>
      <w:r w:rsidR="32755B6F" w:rsidRPr="658F4599">
        <w:rPr>
          <w:rFonts w:eastAsia="Inter Light"/>
        </w:rPr>
        <w:t>on the basis of</w:t>
      </w:r>
      <w:proofErr w:type="gramEnd"/>
      <w:r w:rsidR="32755B6F" w:rsidRPr="658F4599">
        <w:rPr>
          <w:rFonts w:eastAsia="Inter Light"/>
        </w:rPr>
        <w:t xml:space="preserve"> completing any </w:t>
      </w:r>
      <w:r w:rsidR="004A4377">
        <w:rPr>
          <w:rFonts w:eastAsia="Inter Light"/>
        </w:rPr>
        <w:t>e</w:t>
      </w:r>
      <w:r w:rsidR="32755B6F" w:rsidRPr="658F4599">
        <w:rPr>
          <w:rFonts w:eastAsia="Inter Light"/>
        </w:rPr>
        <w:t xml:space="preserve">nabling </w:t>
      </w:r>
      <w:r w:rsidR="00A5066F">
        <w:rPr>
          <w:rFonts w:eastAsia="Inter Light"/>
        </w:rPr>
        <w:t>program</w:t>
      </w:r>
      <w:r w:rsidR="32755B6F" w:rsidRPr="658F4599">
        <w:rPr>
          <w:rFonts w:eastAsia="Inter Light"/>
        </w:rPr>
        <w:t>; and overall (across all pathways)</w:t>
      </w:r>
      <w:r w:rsidR="004A4377">
        <w:rPr>
          <w:rFonts w:eastAsia="Inter Light"/>
        </w:rPr>
        <w:t>,</w:t>
      </w:r>
      <w:r w:rsidR="32755B6F" w:rsidRPr="658F4599">
        <w:rPr>
          <w:rFonts w:eastAsia="Inter Light"/>
        </w:rPr>
        <w:t xml:space="preserve"> the difference in retention between students from equity and non-equity groups was only 2% (77% versus 79%). Success rates were marginally lower overall for students from equity versus non-equity groups (83% versus 87%, respectively), and this trend could be observed in every admission pathway including most </w:t>
      </w:r>
      <w:r w:rsidR="004A4377">
        <w:rPr>
          <w:rFonts w:eastAsia="Inter Light"/>
        </w:rPr>
        <w:t>e</w:t>
      </w:r>
      <w:r w:rsidR="32755B6F" w:rsidRPr="658F4599">
        <w:rPr>
          <w:rFonts w:eastAsia="Inter Light"/>
        </w:rPr>
        <w:t>nabling cohorts.</w:t>
      </w:r>
    </w:p>
    <w:p w14:paraId="7F1ABBA1" w14:textId="2360394D" w:rsidR="00817622" w:rsidRDefault="32755B6F" w:rsidP="00A32591">
      <w:pPr>
        <w:rPr>
          <w:rFonts w:eastAsia="Inter Light"/>
        </w:rPr>
      </w:pPr>
      <w:r w:rsidRPr="59E7A94A">
        <w:rPr>
          <w:rFonts w:eastAsia="Inter Light"/>
        </w:rPr>
        <w:t xml:space="preserve">As per Table </w:t>
      </w:r>
      <w:r w:rsidR="7B046282" w:rsidRPr="658F4599">
        <w:rPr>
          <w:rFonts w:eastAsia="Inter Light"/>
        </w:rPr>
        <w:t>9</w:t>
      </w:r>
      <w:r w:rsidRPr="59E7A94A">
        <w:rPr>
          <w:rFonts w:eastAsia="Inter Light"/>
        </w:rPr>
        <w:t xml:space="preserve">, students from equity groups were retained at the highest rates in undergraduate study if they articulated via a </w:t>
      </w:r>
      <w:r w:rsidR="004A4377">
        <w:rPr>
          <w:rFonts w:eastAsia="Inter Light"/>
        </w:rPr>
        <w:t>“</w:t>
      </w:r>
      <w:r w:rsidRPr="59E7A94A">
        <w:rPr>
          <w:rFonts w:eastAsia="Inter Light"/>
        </w:rPr>
        <w:t>post-school</w:t>
      </w:r>
      <w:r w:rsidR="004A4377">
        <w:rPr>
          <w:rFonts w:eastAsia="Inter Light"/>
        </w:rPr>
        <w:t>”</w:t>
      </w:r>
      <w:r w:rsidRPr="59E7A94A">
        <w:rPr>
          <w:rFonts w:eastAsia="Inter Light"/>
        </w:rPr>
        <w:t xml:space="preserve"> (81%) or </w:t>
      </w:r>
      <w:r w:rsidR="004A4377">
        <w:rPr>
          <w:rFonts w:eastAsia="Inter Light"/>
        </w:rPr>
        <w:t>“</w:t>
      </w:r>
      <w:r w:rsidRPr="59E7A94A">
        <w:rPr>
          <w:rFonts w:eastAsia="Inter Light"/>
        </w:rPr>
        <w:t>other provider</w:t>
      </w:r>
      <w:r w:rsidR="004A4377">
        <w:rPr>
          <w:rFonts w:eastAsia="Inter Light"/>
        </w:rPr>
        <w:t>”</w:t>
      </w:r>
      <w:r w:rsidRPr="59E7A94A">
        <w:rPr>
          <w:rFonts w:eastAsia="Inter Light"/>
        </w:rPr>
        <w:t xml:space="preserve"> (80%) </w:t>
      </w:r>
      <w:r w:rsidR="004A4377">
        <w:rPr>
          <w:rFonts w:eastAsia="Inter Light"/>
        </w:rPr>
        <w:t>e</w:t>
      </w:r>
      <w:r w:rsidRPr="59E7A94A">
        <w:rPr>
          <w:rFonts w:eastAsia="Inter Light"/>
        </w:rPr>
        <w:t xml:space="preserve">nabling </w:t>
      </w:r>
      <w:r w:rsidR="004A4377">
        <w:rPr>
          <w:rFonts w:eastAsia="Inter Light"/>
        </w:rPr>
        <w:t>p</w:t>
      </w:r>
      <w:r w:rsidRPr="59E7A94A">
        <w:rPr>
          <w:rFonts w:eastAsia="Inter Light"/>
        </w:rPr>
        <w:t xml:space="preserve">rogram. Those who were admitted </w:t>
      </w:r>
      <w:proofErr w:type="gramStart"/>
      <w:r w:rsidRPr="59E7A94A">
        <w:rPr>
          <w:rFonts w:eastAsia="Inter Light"/>
        </w:rPr>
        <w:t>on the basis of</w:t>
      </w:r>
      <w:proofErr w:type="gramEnd"/>
      <w:r w:rsidRPr="59E7A94A">
        <w:rPr>
          <w:rFonts w:eastAsia="Inter Light"/>
        </w:rPr>
        <w:t xml:space="preserve"> an I</w:t>
      </w:r>
      <w:r w:rsidR="10C37C6F" w:rsidRPr="59E7A94A">
        <w:rPr>
          <w:rFonts w:eastAsia="Inter Light"/>
        </w:rPr>
        <w:t>SEP</w:t>
      </w:r>
      <w:r w:rsidRPr="59E7A94A">
        <w:rPr>
          <w:rFonts w:eastAsia="Inter Light"/>
        </w:rPr>
        <w:t xml:space="preserve"> had lower retention rates (73%)</w:t>
      </w:r>
      <w:r w:rsidR="00E64136">
        <w:rPr>
          <w:rFonts w:eastAsia="Inter Light"/>
        </w:rPr>
        <w:t>,</w:t>
      </w:r>
      <w:r w:rsidRPr="59E7A94A">
        <w:rPr>
          <w:rFonts w:eastAsia="Inter Light"/>
        </w:rPr>
        <w:t xml:space="preserve"> but only marginally lower than recent school leavers (76</w:t>
      </w:r>
      <w:r w:rsidR="00F15E49">
        <w:rPr>
          <w:rFonts w:eastAsia="Inter Light"/>
        </w:rPr>
        <w:t>–</w:t>
      </w:r>
      <w:r w:rsidRPr="59E7A94A">
        <w:rPr>
          <w:rFonts w:eastAsia="Inter Light"/>
        </w:rPr>
        <w:t>77%) despite the higher success rates of the latter.</w:t>
      </w:r>
    </w:p>
    <w:p w14:paraId="600C8535" w14:textId="1B7F58BC" w:rsidR="00F158FC" w:rsidRDefault="00F158FC" w:rsidP="00D73C35">
      <w:pPr>
        <w:pStyle w:val="TOCHeading"/>
      </w:pPr>
    </w:p>
    <w:p w14:paraId="2570CEFA" w14:textId="77777777" w:rsidR="003072D6" w:rsidRDefault="003072D6" w:rsidP="00D73C35">
      <w:pPr>
        <w:pStyle w:val="TOCHeading"/>
      </w:pPr>
      <w:r>
        <w:br w:type="page"/>
      </w:r>
    </w:p>
    <w:p w14:paraId="0BA80437" w14:textId="42A9A272" w:rsidR="32755B6F" w:rsidRPr="00C473BD" w:rsidRDefault="32755B6F" w:rsidP="00F15E49">
      <w:pPr>
        <w:pStyle w:val="TOCHeading"/>
        <w:rPr>
          <w:lang w:val="en-US"/>
        </w:rPr>
      </w:pPr>
      <w:bookmarkStart w:id="77" w:name="_Toc232575178"/>
      <w:r w:rsidRPr="00C473BD">
        <w:lastRenderedPageBreak/>
        <w:t xml:space="preserve">Table </w:t>
      </w:r>
      <w:r w:rsidR="4A10C5CA" w:rsidRPr="00C473BD">
        <w:t>9</w:t>
      </w:r>
      <w:r w:rsidR="008C06EF">
        <w:t>:</w:t>
      </w:r>
      <w:r w:rsidRPr="00C473BD">
        <w:t xml:space="preserve"> Success and </w:t>
      </w:r>
      <w:r w:rsidRPr="00B43A6C">
        <w:t>retention</w:t>
      </w:r>
      <w:r w:rsidRPr="00C473BD">
        <w:t xml:space="preserve"> rates of all school leaver-aged students from equity and non-equity groups who commenced their undergraduate studies between 2022-2024 at one of the four universities (ECU, MU, </w:t>
      </w:r>
      <w:proofErr w:type="spellStart"/>
      <w:r w:rsidRPr="00C473BD">
        <w:t>UniSQ</w:t>
      </w:r>
      <w:proofErr w:type="spellEnd"/>
      <w:r w:rsidRPr="00C473BD">
        <w:t xml:space="preserve"> and SCU).</w:t>
      </w:r>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68" w:type="dxa"/>
          <w:bottom w:w="68" w:type="dxa"/>
          <w:right w:w="68" w:type="dxa"/>
        </w:tblCellMar>
        <w:tblLook w:val="04A0" w:firstRow="1" w:lastRow="0" w:firstColumn="1" w:lastColumn="0" w:noHBand="0" w:noVBand="1"/>
      </w:tblPr>
      <w:tblGrid>
        <w:gridCol w:w="2702"/>
        <w:gridCol w:w="763"/>
        <w:gridCol w:w="1136"/>
        <w:gridCol w:w="1262"/>
        <w:gridCol w:w="737"/>
        <w:gridCol w:w="1141"/>
        <w:gridCol w:w="1275"/>
      </w:tblGrid>
      <w:tr w:rsidR="00B27021" w14:paraId="2A84FA17" w14:textId="77777777" w:rsidTr="00F15E49">
        <w:trPr>
          <w:trHeight w:val="300"/>
        </w:trPr>
        <w:tc>
          <w:tcPr>
            <w:tcW w:w="2839" w:type="dxa"/>
            <w:vMerge w:val="restart"/>
            <w:shd w:val="clear" w:color="auto" w:fill="78DED9" w:themeFill="accent1"/>
            <w:tcMar>
              <w:left w:w="108" w:type="dxa"/>
              <w:right w:w="108" w:type="dxa"/>
            </w:tcMar>
          </w:tcPr>
          <w:p w14:paraId="5B296459" w14:textId="3D83113F" w:rsidR="46C89230" w:rsidRDefault="46C89230" w:rsidP="00383CEA">
            <w:pPr>
              <w:pStyle w:val="Normal-Bold"/>
              <w:spacing w:after="0"/>
              <w:rPr>
                <w:rFonts w:eastAsia="Inter Light"/>
                <w:b w:val="0"/>
              </w:rPr>
            </w:pPr>
            <w:r w:rsidRPr="46C89230">
              <w:rPr>
                <w:rFonts w:eastAsia="Inter Light"/>
              </w:rPr>
              <w:t xml:space="preserve">Admission </w:t>
            </w:r>
            <w:r w:rsidR="00E64136">
              <w:rPr>
                <w:rFonts w:eastAsia="Inter Light"/>
              </w:rPr>
              <w:t>p</w:t>
            </w:r>
            <w:r w:rsidRPr="46C89230">
              <w:rPr>
                <w:rFonts w:eastAsia="Inter Light"/>
              </w:rPr>
              <w:t>athway</w:t>
            </w:r>
          </w:p>
        </w:tc>
        <w:tc>
          <w:tcPr>
            <w:tcW w:w="3173" w:type="dxa"/>
            <w:gridSpan w:val="3"/>
            <w:shd w:val="clear" w:color="auto" w:fill="78DED9" w:themeFill="accent1"/>
            <w:tcMar>
              <w:left w:w="108" w:type="dxa"/>
              <w:right w:w="108" w:type="dxa"/>
            </w:tcMar>
          </w:tcPr>
          <w:p w14:paraId="0FB7444C" w14:textId="6839624B" w:rsidR="46C89230" w:rsidRDefault="46C89230" w:rsidP="00383CEA">
            <w:pPr>
              <w:pStyle w:val="Normal-Bold"/>
              <w:spacing w:after="0"/>
              <w:rPr>
                <w:rFonts w:eastAsia="Inter Light"/>
                <w:b w:val="0"/>
              </w:rPr>
            </w:pPr>
            <w:r w:rsidRPr="46C89230">
              <w:rPr>
                <w:rFonts w:eastAsia="Inter Light"/>
              </w:rPr>
              <w:t>Non-</w:t>
            </w:r>
            <w:r w:rsidR="00E64136">
              <w:rPr>
                <w:rFonts w:eastAsia="Inter Light"/>
              </w:rPr>
              <w:t>e</w:t>
            </w:r>
            <w:r w:rsidRPr="46C89230">
              <w:rPr>
                <w:rFonts w:eastAsia="Inter Light"/>
              </w:rPr>
              <w:t>quity students</w:t>
            </w:r>
          </w:p>
        </w:tc>
        <w:tc>
          <w:tcPr>
            <w:tcW w:w="3163" w:type="dxa"/>
            <w:gridSpan w:val="3"/>
            <w:shd w:val="clear" w:color="auto" w:fill="78DED9" w:themeFill="accent1"/>
            <w:tcMar>
              <w:left w:w="108" w:type="dxa"/>
              <w:right w:w="108" w:type="dxa"/>
            </w:tcMar>
          </w:tcPr>
          <w:p w14:paraId="73FE831D" w14:textId="2ADFCDB2" w:rsidR="46C89230" w:rsidRDefault="46C89230" w:rsidP="00383CEA">
            <w:pPr>
              <w:pStyle w:val="Normal-Bold"/>
              <w:spacing w:after="0"/>
              <w:rPr>
                <w:rFonts w:eastAsia="Inter Light"/>
                <w:b w:val="0"/>
                <w:color w:val="000000"/>
              </w:rPr>
            </w:pPr>
            <w:r w:rsidRPr="46C89230">
              <w:rPr>
                <w:rFonts w:eastAsia="Inter Light"/>
              </w:rPr>
              <w:t>Equity students</w:t>
            </w:r>
          </w:p>
        </w:tc>
      </w:tr>
      <w:tr w:rsidR="46C89230" w14:paraId="629EB7B2" w14:textId="77777777" w:rsidTr="00F15E49">
        <w:trPr>
          <w:trHeight w:val="300"/>
        </w:trPr>
        <w:tc>
          <w:tcPr>
            <w:tcW w:w="2839" w:type="dxa"/>
            <w:vMerge/>
            <w:vAlign w:val="center"/>
          </w:tcPr>
          <w:p w14:paraId="34DA9E7D" w14:textId="77777777" w:rsidR="00640DA0" w:rsidRDefault="00640DA0" w:rsidP="00383CEA">
            <w:pPr>
              <w:pStyle w:val="Normal-Bold"/>
              <w:spacing w:after="0"/>
            </w:pPr>
          </w:p>
        </w:tc>
        <w:tc>
          <w:tcPr>
            <w:tcW w:w="769" w:type="dxa"/>
            <w:shd w:val="clear" w:color="auto" w:fill="78DED9" w:themeFill="accent1"/>
            <w:tcMar>
              <w:left w:w="108" w:type="dxa"/>
              <w:right w:w="108" w:type="dxa"/>
            </w:tcMar>
          </w:tcPr>
          <w:p w14:paraId="29E0862B" w14:textId="35128A67" w:rsidR="46C89230" w:rsidRPr="00B43A6C" w:rsidRDefault="46C89230" w:rsidP="00383CEA">
            <w:pPr>
              <w:pStyle w:val="Normal-Bold"/>
              <w:spacing w:after="0"/>
              <w:rPr>
                <w:rFonts w:eastAsia="Inter Light"/>
                <w:b w:val="0"/>
                <w:i/>
                <w:iCs/>
              </w:rPr>
            </w:pPr>
            <w:r w:rsidRPr="00B43A6C">
              <w:rPr>
                <w:rFonts w:eastAsia="Inter Light"/>
                <w:i/>
                <w:iCs/>
              </w:rPr>
              <w:t>N</w:t>
            </w:r>
          </w:p>
        </w:tc>
        <w:tc>
          <w:tcPr>
            <w:tcW w:w="1139" w:type="dxa"/>
            <w:shd w:val="clear" w:color="auto" w:fill="78DED9" w:themeFill="accent1"/>
            <w:tcMar>
              <w:left w:w="108" w:type="dxa"/>
              <w:right w:w="108" w:type="dxa"/>
            </w:tcMar>
          </w:tcPr>
          <w:p w14:paraId="30E44E6B" w14:textId="02DC9865" w:rsidR="46C89230" w:rsidRDefault="46C89230" w:rsidP="00383CEA">
            <w:pPr>
              <w:pStyle w:val="Normal-Bold"/>
              <w:spacing w:after="0"/>
              <w:rPr>
                <w:rFonts w:eastAsia="Inter Light"/>
                <w:b w:val="0"/>
              </w:rPr>
            </w:pPr>
            <w:r w:rsidRPr="46C89230">
              <w:rPr>
                <w:rFonts w:eastAsia="Inter Light"/>
              </w:rPr>
              <w:t>Success rate (%)</w:t>
            </w:r>
          </w:p>
        </w:tc>
        <w:tc>
          <w:tcPr>
            <w:tcW w:w="1265" w:type="dxa"/>
            <w:shd w:val="clear" w:color="auto" w:fill="78DED9" w:themeFill="accent1"/>
            <w:tcMar>
              <w:left w:w="108" w:type="dxa"/>
              <w:right w:w="108" w:type="dxa"/>
            </w:tcMar>
          </w:tcPr>
          <w:p w14:paraId="477880FC" w14:textId="28D5CA77" w:rsidR="46C89230" w:rsidRDefault="46C89230" w:rsidP="00383CEA">
            <w:pPr>
              <w:pStyle w:val="Normal-Bold"/>
              <w:spacing w:after="0"/>
              <w:rPr>
                <w:rFonts w:eastAsia="Inter Light"/>
                <w:b w:val="0"/>
              </w:rPr>
            </w:pPr>
            <w:r w:rsidRPr="46C89230">
              <w:rPr>
                <w:rFonts w:eastAsia="Inter Light"/>
              </w:rPr>
              <w:t>Retention rate (%)</w:t>
            </w:r>
          </w:p>
        </w:tc>
        <w:tc>
          <w:tcPr>
            <w:tcW w:w="740" w:type="dxa"/>
            <w:shd w:val="clear" w:color="auto" w:fill="78DED9" w:themeFill="accent1"/>
            <w:tcMar>
              <w:left w:w="108" w:type="dxa"/>
              <w:right w:w="108" w:type="dxa"/>
            </w:tcMar>
          </w:tcPr>
          <w:p w14:paraId="3C92600B" w14:textId="0A523897" w:rsidR="46C89230" w:rsidRPr="00B43A6C" w:rsidRDefault="46C89230" w:rsidP="00383CEA">
            <w:pPr>
              <w:pStyle w:val="Normal-Bold"/>
              <w:spacing w:after="0"/>
              <w:rPr>
                <w:rFonts w:eastAsia="Inter Light"/>
                <w:b w:val="0"/>
                <w:i/>
                <w:iCs/>
                <w:color w:val="000000"/>
              </w:rPr>
            </w:pPr>
            <w:r w:rsidRPr="00B43A6C">
              <w:rPr>
                <w:rFonts w:eastAsia="Inter Light"/>
                <w:i/>
                <w:iCs/>
              </w:rPr>
              <w:t>N</w:t>
            </w:r>
          </w:p>
        </w:tc>
        <w:tc>
          <w:tcPr>
            <w:tcW w:w="1144" w:type="dxa"/>
            <w:shd w:val="clear" w:color="auto" w:fill="78DED9" w:themeFill="accent1"/>
            <w:tcMar>
              <w:left w:w="108" w:type="dxa"/>
              <w:right w:w="108" w:type="dxa"/>
            </w:tcMar>
          </w:tcPr>
          <w:p w14:paraId="56AF7BD8" w14:textId="3171474D" w:rsidR="46C89230" w:rsidRDefault="46C89230" w:rsidP="00383CEA">
            <w:pPr>
              <w:pStyle w:val="Normal-Bold"/>
              <w:spacing w:after="0"/>
              <w:rPr>
                <w:rFonts w:eastAsia="Inter Light"/>
                <w:b w:val="0"/>
                <w:color w:val="000000"/>
              </w:rPr>
            </w:pPr>
            <w:r w:rsidRPr="46C89230">
              <w:rPr>
                <w:rFonts w:eastAsia="Inter Light"/>
              </w:rPr>
              <w:t>Success rate (%)</w:t>
            </w:r>
          </w:p>
        </w:tc>
        <w:tc>
          <w:tcPr>
            <w:tcW w:w="1279" w:type="dxa"/>
            <w:shd w:val="clear" w:color="auto" w:fill="78DED9" w:themeFill="accent1"/>
            <w:tcMar>
              <w:left w:w="108" w:type="dxa"/>
              <w:right w:w="108" w:type="dxa"/>
            </w:tcMar>
          </w:tcPr>
          <w:p w14:paraId="0E89181D" w14:textId="44903D72" w:rsidR="46C89230" w:rsidRDefault="46C89230" w:rsidP="00383CEA">
            <w:pPr>
              <w:pStyle w:val="Normal-Bold"/>
              <w:spacing w:after="0"/>
              <w:rPr>
                <w:rFonts w:eastAsia="Inter Light"/>
                <w:b w:val="0"/>
                <w:color w:val="000000"/>
              </w:rPr>
            </w:pPr>
            <w:r w:rsidRPr="46C89230">
              <w:rPr>
                <w:rFonts w:eastAsia="Inter Light"/>
              </w:rPr>
              <w:t>Retention rate (%)</w:t>
            </w:r>
          </w:p>
        </w:tc>
      </w:tr>
      <w:tr w:rsidR="001A3934" w14:paraId="0961DE83" w14:textId="77777777" w:rsidTr="00F15E49">
        <w:trPr>
          <w:trHeight w:val="300"/>
        </w:trPr>
        <w:tc>
          <w:tcPr>
            <w:tcW w:w="2839" w:type="dxa"/>
            <w:tcMar>
              <w:left w:w="108" w:type="dxa"/>
              <w:right w:w="108" w:type="dxa"/>
            </w:tcMar>
          </w:tcPr>
          <w:p w14:paraId="2F471E08" w14:textId="7C7CD13A" w:rsidR="46C89230" w:rsidRDefault="46C89230" w:rsidP="00383CEA">
            <w:pPr>
              <w:pStyle w:val="TableParagraph"/>
              <w:spacing w:after="0"/>
              <w:rPr>
                <w:rFonts w:eastAsia="Inter Light"/>
              </w:rPr>
            </w:pPr>
            <w:r w:rsidRPr="46C89230">
              <w:rPr>
                <w:rFonts w:eastAsia="Inter Light"/>
              </w:rPr>
              <w:t xml:space="preserve">In-school </w:t>
            </w:r>
            <w:r w:rsidR="00694FB5">
              <w:rPr>
                <w:rFonts w:eastAsia="Inter Light"/>
              </w:rPr>
              <w:t>e</w:t>
            </w:r>
            <w:r w:rsidRPr="46C89230">
              <w:rPr>
                <w:rFonts w:eastAsia="Inter Light"/>
              </w:rPr>
              <w:t xml:space="preserve">nabling </w:t>
            </w:r>
            <w:r w:rsidR="00A5066F">
              <w:rPr>
                <w:rFonts w:eastAsia="Inter Light"/>
              </w:rPr>
              <w:t>program</w:t>
            </w:r>
          </w:p>
        </w:tc>
        <w:tc>
          <w:tcPr>
            <w:tcW w:w="769" w:type="dxa"/>
            <w:tcMar>
              <w:left w:w="108" w:type="dxa"/>
              <w:right w:w="108" w:type="dxa"/>
            </w:tcMar>
          </w:tcPr>
          <w:p w14:paraId="417ED60D" w14:textId="1D9F1CCA" w:rsidR="46C89230" w:rsidRDefault="46C89230" w:rsidP="00383CEA">
            <w:pPr>
              <w:pStyle w:val="TableParagraph"/>
              <w:spacing w:after="0"/>
              <w:rPr>
                <w:rFonts w:eastAsia="Inter Light"/>
              </w:rPr>
            </w:pPr>
            <w:r w:rsidRPr="46C89230">
              <w:rPr>
                <w:rFonts w:eastAsia="Inter Light"/>
              </w:rPr>
              <w:t>379</w:t>
            </w:r>
          </w:p>
        </w:tc>
        <w:tc>
          <w:tcPr>
            <w:tcW w:w="1139" w:type="dxa"/>
            <w:tcMar>
              <w:left w:w="108" w:type="dxa"/>
              <w:right w:w="108" w:type="dxa"/>
            </w:tcMar>
          </w:tcPr>
          <w:p w14:paraId="1566066E" w14:textId="26F4879E" w:rsidR="46C89230" w:rsidRDefault="46C89230" w:rsidP="00383CEA">
            <w:pPr>
              <w:pStyle w:val="TableParagraph"/>
              <w:spacing w:after="0"/>
              <w:rPr>
                <w:rFonts w:eastAsia="Inter Light"/>
              </w:rPr>
            </w:pPr>
            <w:r w:rsidRPr="46C89230">
              <w:rPr>
                <w:rFonts w:eastAsia="Inter Light"/>
              </w:rPr>
              <w:t>79</w:t>
            </w:r>
          </w:p>
        </w:tc>
        <w:tc>
          <w:tcPr>
            <w:tcW w:w="1265" w:type="dxa"/>
            <w:tcMar>
              <w:left w:w="108" w:type="dxa"/>
              <w:right w:w="108" w:type="dxa"/>
            </w:tcMar>
          </w:tcPr>
          <w:p w14:paraId="1874E410" w14:textId="3E6EB1B1" w:rsidR="46C89230" w:rsidRDefault="46C89230" w:rsidP="00383CEA">
            <w:pPr>
              <w:pStyle w:val="TableParagraph"/>
              <w:spacing w:after="0"/>
              <w:rPr>
                <w:rFonts w:eastAsia="Inter Light"/>
              </w:rPr>
            </w:pPr>
            <w:r w:rsidRPr="46C89230">
              <w:rPr>
                <w:rFonts w:eastAsia="Inter Light"/>
              </w:rPr>
              <w:t>76</w:t>
            </w:r>
          </w:p>
        </w:tc>
        <w:tc>
          <w:tcPr>
            <w:tcW w:w="740" w:type="dxa"/>
            <w:shd w:val="clear" w:color="auto" w:fill="E7E6E6"/>
            <w:tcMar>
              <w:left w:w="108" w:type="dxa"/>
              <w:right w:w="108" w:type="dxa"/>
            </w:tcMar>
          </w:tcPr>
          <w:p w14:paraId="0CAE8FF4" w14:textId="73FE10CC" w:rsidR="46C89230" w:rsidRDefault="46C89230" w:rsidP="00383CEA">
            <w:pPr>
              <w:pStyle w:val="TableParagraph"/>
              <w:spacing w:after="0"/>
              <w:rPr>
                <w:rFonts w:eastAsia="Inter Light"/>
              </w:rPr>
            </w:pPr>
            <w:r w:rsidRPr="46C89230">
              <w:rPr>
                <w:rFonts w:eastAsia="Inter Light"/>
              </w:rPr>
              <w:t>282</w:t>
            </w:r>
          </w:p>
        </w:tc>
        <w:tc>
          <w:tcPr>
            <w:tcW w:w="1144" w:type="dxa"/>
            <w:shd w:val="clear" w:color="auto" w:fill="E7E6E6"/>
            <w:tcMar>
              <w:left w:w="108" w:type="dxa"/>
              <w:right w:w="108" w:type="dxa"/>
            </w:tcMar>
          </w:tcPr>
          <w:p w14:paraId="6C22E4C8" w14:textId="19878FC5" w:rsidR="46C89230" w:rsidRDefault="46C89230" w:rsidP="00383CEA">
            <w:pPr>
              <w:pStyle w:val="TableParagraph"/>
              <w:spacing w:after="0"/>
              <w:rPr>
                <w:rFonts w:eastAsia="Inter Light"/>
              </w:rPr>
            </w:pPr>
            <w:r w:rsidRPr="46C89230">
              <w:rPr>
                <w:rFonts w:eastAsia="Inter Light"/>
              </w:rPr>
              <w:t>73</w:t>
            </w:r>
          </w:p>
        </w:tc>
        <w:tc>
          <w:tcPr>
            <w:tcW w:w="1279" w:type="dxa"/>
            <w:shd w:val="clear" w:color="auto" w:fill="E7E6E6"/>
            <w:tcMar>
              <w:left w:w="108" w:type="dxa"/>
              <w:right w:w="108" w:type="dxa"/>
            </w:tcMar>
          </w:tcPr>
          <w:p w14:paraId="071B2E5E" w14:textId="3E0CAB3C" w:rsidR="46C89230" w:rsidRDefault="46C89230" w:rsidP="00383CEA">
            <w:pPr>
              <w:pStyle w:val="TableParagraph"/>
              <w:spacing w:after="0"/>
              <w:rPr>
                <w:rFonts w:eastAsia="Inter Light"/>
              </w:rPr>
            </w:pPr>
            <w:r w:rsidRPr="46C89230">
              <w:rPr>
                <w:rFonts w:eastAsia="Inter Light"/>
              </w:rPr>
              <w:t>73</w:t>
            </w:r>
          </w:p>
        </w:tc>
      </w:tr>
      <w:tr w:rsidR="00D22056" w14:paraId="7EAD452A" w14:textId="77777777" w:rsidTr="00F15E49">
        <w:trPr>
          <w:trHeight w:val="300"/>
        </w:trPr>
        <w:tc>
          <w:tcPr>
            <w:tcW w:w="2839" w:type="dxa"/>
            <w:tcMar>
              <w:left w:w="108" w:type="dxa"/>
              <w:right w:w="108" w:type="dxa"/>
            </w:tcMar>
          </w:tcPr>
          <w:p w14:paraId="427A4ACD" w14:textId="5B73932F" w:rsidR="46C89230" w:rsidRDefault="46C89230" w:rsidP="00383CEA">
            <w:pPr>
              <w:pStyle w:val="TableParagraph"/>
              <w:spacing w:after="0"/>
              <w:rPr>
                <w:rFonts w:eastAsia="Inter Light"/>
              </w:rPr>
            </w:pPr>
            <w:r w:rsidRPr="46C89230">
              <w:rPr>
                <w:rFonts w:eastAsia="Inter Light"/>
              </w:rPr>
              <w:t xml:space="preserve">Post-school </w:t>
            </w:r>
            <w:r w:rsidR="00E64136">
              <w:rPr>
                <w:rFonts w:eastAsia="Inter Light"/>
              </w:rPr>
              <w:t>e</w:t>
            </w:r>
            <w:r w:rsidRPr="46C89230">
              <w:rPr>
                <w:rFonts w:eastAsia="Inter Light"/>
              </w:rPr>
              <w:t xml:space="preserve">nabling </w:t>
            </w:r>
            <w:r w:rsidR="00A5066F">
              <w:rPr>
                <w:rFonts w:eastAsia="Inter Light"/>
              </w:rPr>
              <w:t>program</w:t>
            </w:r>
          </w:p>
        </w:tc>
        <w:tc>
          <w:tcPr>
            <w:tcW w:w="769" w:type="dxa"/>
            <w:tcMar>
              <w:left w:w="108" w:type="dxa"/>
              <w:right w:w="108" w:type="dxa"/>
            </w:tcMar>
          </w:tcPr>
          <w:p w14:paraId="1E90CEA7" w14:textId="0A40878F" w:rsidR="46C89230" w:rsidRDefault="46C89230" w:rsidP="00383CEA">
            <w:pPr>
              <w:pStyle w:val="TableParagraph"/>
              <w:spacing w:after="0"/>
              <w:rPr>
                <w:rFonts w:eastAsia="Inter Light"/>
              </w:rPr>
            </w:pPr>
            <w:r w:rsidRPr="46C89230">
              <w:rPr>
                <w:rFonts w:eastAsia="Inter Light"/>
              </w:rPr>
              <w:t>1225</w:t>
            </w:r>
          </w:p>
        </w:tc>
        <w:tc>
          <w:tcPr>
            <w:tcW w:w="1139" w:type="dxa"/>
            <w:tcMar>
              <w:left w:w="108" w:type="dxa"/>
              <w:right w:w="108" w:type="dxa"/>
            </w:tcMar>
          </w:tcPr>
          <w:p w14:paraId="1BF03D77" w14:textId="078753C0" w:rsidR="46C89230" w:rsidRDefault="46C89230" w:rsidP="00383CEA">
            <w:pPr>
              <w:pStyle w:val="TableParagraph"/>
              <w:spacing w:after="0"/>
              <w:rPr>
                <w:rFonts w:eastAsia="Inter Light"/>
              </w:rPr>
            </w:pPr>
            <w:r w:rsidRPr="46C89230">
              <w:rPr>
                <w:rFonts w:eastAsia="Inter Light"/>
              </w:rPr>
              <w:t>85</w:t>
            </w:r>
          </w:p>
        </w:tc>
        <w:tc>
          <w:tcPr>
            <w:tcW w:w="1265" w:type="dxa"/>
            <w:tcMar>
              <w:left w:w="108" w:type="dxa"/>
              <w:right w:w="108" w:type="dxa"/>
            </w:tcMar>
          </w:tcPr>
          <w:p w14:paraId="57952CDC" w14:textId="4070CFBF" w:rsidR="46C89230" w:rsidRDefault="46C89230" w:rsidP="00383CEA">
            <w:pPr>
              <w:pStyle w:val="TableParagraph"/>
              <w:spacing w:after="0"/>
              <w:rPr>
                <w:rFonts w:eastAsia="Inter Light"/>
              </w:rPr>
            </w:pPr>
            <w:r w:rsidRPr="46C89230">
              <w:rPr>
                <w:rFonts w:eastAsia="Inter Light"/>
              </w:rPr>
              <w:t>83</w:t>
            </w:r>
          </w:p>
        </w:tc>
        <w:tc>
          <w:tcPr>
            <w:tcW w:w="740" w:type="dxa"/>
            <w:shd w:val="clear" w:color="auto" w:fill="E7E6E6"/>
            <w:tcMar>
              <w:left w:w="108" w:type="dxa"/>
              <w:right w:w="108" w:type="dxa"/>
            </w:tcMar>
          </w:tcPr>
          <w:p w14:paraId="39B24B19" w14:textId="243BF56E" w:rsidR="46C89230" w:rsidRDefault="46C89230" w:rsidP="00383CEA">
            <w:pPr>
              <w:pStyle w:val="TableParagraph"/>
              <w:spacing w:after="0"/>
              <w:rPr>
                <w:rFonts w:eastAsia="Inter Light"/>
              </w:rPr>
            </w:pPr>
            <w:r w:rsidRPr="46C89230">
              <w:rPr>
                <w:rFonts w:eastAsia="Inter Light"/>
              </w:rPr>
              <w:t>1066</w:t>
            </w:r>
          </w:p>
        </w:tc>
        <w:tc>
          <w:tcPr>
            <w:tcW w:w="1144" w:type="dxa"/>
            <w:shd w:val="clear" w:color="auto" w:fill="E7E6E6"/>
            <w:tcMar>
              <w:left w:w="108" w:type="dxa"/>
              <w:right w:w="108" w:type="dxa"/>
            </w:tcMar>
          </w:tcPr>
          <w:p w14:paraId="7226811D" w14:textId="076A96DD" w:rsidR="46C89230" w:rsidRDefault="46C89230" w:rsidP="00383CEA">
            <w:pPr>
              <w:pStyle w:val="TableParagraph"/>
              <w:spacing w:after="0"/>
              <w:rPr>
                <w:rFonts w:eastAsia="Inter Light"/>
              </w:rPr>
            </w:pPr>
            <w:r w:rsidRPr="46C89230">
              <w:rPr>
                <w:rFonts w:eastAsia="Inter Light"/>
              </w:rPr>
              <w:t>79</w:t>
            </w:r>
          </w:p>
        </w:tc>
        <w:tc>
          <w:tcPr>
            <w:tcW w:w="1279" w:type="dxa"/>
            <w:shd w:val="clear" w:color="auto" w:fill="E7E6E6"/>
            <w:tcMar>
              <w:left w:w="108" w:type="dxa"/>
              <w:right w:w="108" w:type="dxa"/>
            </w:tcMar>
          </w:tcPr>
          <w:p w14:paraId="1B4740E6" w14:textId="122BAAA3" w:rsidR="46C89230" w:rsidRDefault="46C89230" w:rsidP="00383CEA">
            <w:pPr>
              <w:pStyle w:val="TableParagraph"/>
              <w:spacing w:after="0"/>
              <w:rPr>
                <w:rFonts w:eastAsia="Inter Light"/>
              </w:rPr>
            </w:pPr>
            <w:r w:rsidRPr="46C89230">
              <w:rPr>
                <w:rFonts w:eastAsia="Inter Light"/>
              </w:rPr>
              <w:t>81</w:t>
            </w:r>
          </w:p>
        </w:tc>
      </w:tr>
      <w:tr w:rsidR="00D22056" w14:paraId="52E5D24A" w14:textId="77777777" w:rsidTr="00F15E49">
        <w:trPr>
          <w:trHeight w:val="300"/>
        </w:trPr>
        <w:tc>
          <w:tcPr>
            <w:tcW w:w="2839" w:type="dxa"/>
            <w:tcMar>
              <w:left w:w="108" w:type="dxa"/>
              <w:right w:w="108" w:type="dxa"/>
            </w:tcMar>
          </w:tcPr>
          <w:p w14:paraId="4BDF417D" w14:textId="1CD3E544" w:rsidR="46C89230" w:rsidRDefault="46C89230" w:rsidP="00383CEA">
            <w:pPr>
              <w:pStyle w:val="TableParagraph"/>
              <w:spacing w:after="0"/>
              <w:rPr>
                <w:rFonts w:eastAsia="Inter Light"/>
              </w:rPr>
            </w:pPr>
            <w:r w:rsidRPr="46C89230">
              <w:rPr>
                <w:rFonts w:eastAsia="Inter Light"/>
              </w:rPr>
              <w:t>Recent school leaver (ATAR)</w:t>
            </w:r>
          </w:p>
        </w:tc>
        <w:tc>
          <w:tcPr>
            <w:tcW w:w="769" w:type="dxa"/>
            <w:tcMar>
              <w:left w:w="108" w:type="dxa"/>
              <w:right w:w="108" w:type="dxa"/>
            </w:tcMar>
          </w:tcPr>
          <w:p w14:paraId="45B591AE" w14:textId="249913C1" w:rsidR="46C89230" w:rsidRDefault="46C89230" w:rsidP="00383CEA">
            <w:pPr>
              <w:pStyle w:val="TableParagraph"/>
              <w:spacing w:after="0"/>
              <w:rPr>
                <w:rFonts w:eastAsia="Inter Light"/>
              </w:rPr>
            </w:pPr>
            <w:r w:rsidRPr="46C89230">
              <w:rPr>
                <w:rFonts w:eastAsia="Inter Light"/>
              </w:rPr>
              <w:t>2437</w:t>
            </w:r>
          </w:p>
        </w:tc>
        <w:tc>
          <w:tcPr>
            <w:tcW w:w="1139" w:type="dxa"/>
            <w:tcMar>
              <w:left w:w="108" w:type="dxa"/>
              <w:right w:w="108" w:type="dxa"/>
            </w:tcMar>
          </w:tcPr>
          <w:p w14:paraId="07E45059" w14:textId="7AB5115B" w:rsidR="46C89230" w:rsidRDefault="46C89230" w:rsidP="00383CEA">
            <w:pPr>
              <w:pStyle w:val="TableParagraph"/>
              <w:spacing w:after="0"/>
              <w:rPr>
                <w:rFonts w:eastAsia="Inter Light"/>
              </w:rPr>
            </w:pPr>
            <w:r w:rsidRPr="46C89230">
              <w:rPr>
                <w:rFonts w:eastAsia="Inter Light"/>
              </w:rPr>
              <w:t>90</w:t>
            </w:r>
          </w:p>
        </w:tc>
        <w:tc>
          <w:tcPr>
            <w:tcW w:w="1265" w:type="dxa"/>
            <w:tcMar>
              <w:left w:w="108" w:type="dxa"/>
              <w:right w:w="108" w:type="dxa"/>
            </w:tcMar>
          </w:tcPr>
          <w:p w14:paraId="0AFCF93A" w14:textId="68C7A857" w:rsidR="46C89230" w:rsidRDefault="46C89230" w:rsidP="00383CEA">
            <w:pPr>
              <w:pStyle w:val="TableParagraph"/>
              <w:spacing w:after="0"/>
              <w:rPr>
                <w:rFonts w:eastAsia="Inter Light"/>
              </w:rPr>
            </w:pPr>
            <w:r w:rsidRPr="46C89230">
              <w:rPr>
                <w:rFonts w:eastAsia="Inter Light"/>
              </w:rPr>
              <w:t>82</w:t>
            </w:r>
          </w:p>
        </w:tc>
        <w:tc>
          <w:tcPr>
            <w:tcW w:w="740" w:type="dxa"/>
            <w:shd w:val="clear" w:color="auto" w:fill="E7E6E6"/>
            <w:tcMar>
              <w:left w:w="108" w:type="dxa"/>
              <w:right w:w="108" w:type="dxa"/>
            </w:tcMar>
          </w:tcPr>
          <w:p w14:paraId="27C8F728" w14:textId="0E863498" w:rsidR="46C89230" w:rsidRDefault="46C89230" w:rsidP="00383CEA">
            <w:pPr>
              <w:pStyle w:val="TableParagraph"/>
              <w:spacing w:after="0"/>
              <w:rPr>
                <w:rFonts w:eastAsia="Inter Light"/>
              </w:rPr>
            </w:pPr>
            <w:r w:rsidRPr="46C89230">
              <w:rPr>
                <w:rFonts w:eastAsia="Inter Light"/>
              </w:rPr>
              <w:t>2550</w:t>
            </w:r>
          </w:p>
        </w:tc>
        <w:tc>
          <w:tcPr>
            <w:tcW w:w="1144" w:type="dxa"/>
            <w:shd w:val="clear" w:color="auto" w:fill="E7E6E6"/>
            <w:tcMar>
              <w:left w:w="108" w:type="dxa"/>
              <w:right w:w="108" w:type="dxa"/>
            </w:tcMar>
          </w:tcPr>
          <w:p w14:paraId="6ED05C2F" w14:textId="59F8D155" w:rsidR="46C89230" w:rsidRDefault="46C89230" w:rsidP="00383CEA">
            <w:pPr>
              <w:pStyle w:val="TableParagraph"/>
              <w:spacing w:after="0"/>
              <w:rPr>
                <w:rFonts w:eastAsia="Inter Light"/>
              </w:rPr>
            </w:pPr>
            <w:r w:rsidRPr="46C89230">
              <w:rPr>
                <w:rFonts w:eastAsia="Inter Light"/>
              </w:rPr>
              <w:t>86</w:t>
            </w:r>
          </w:p>
        </w:tc>
        <w:tc>
          <w:tcPr>
            <w:tcW w:w="1279" w:type="dxa"/>
            <w:shd w:val="clear" w:color="auto" w:fill="E7E6E6"/>
            <w:tcMar>
              <w:left w:w="108" w:type="dxa"/>
              <w:right w:w="108" w:type="dxa"/>
            </w:tcMar>
          </w:tcPr>
          <w:p w14:paraId="26CDF512" w14:textId="3314C61E" w:rsidR="46C89230" w:rsidRDefault="46C89230" w:rsidP="00383CEA">
            <w:pPr>
              <w:pStyle w:val="TableParagraph"/>
              <w:spacing w:after="0"/>
              <w:rPr>
                <w:rFonts w:eastAsia="Inter Light"/>
              </w:rPr>
            </w:pPr>
            <w:r w:rsidRPr="46C89230">
              <w:rPr>
                <w:rFonts w:eastAsia="Inter Light"/>
              </w:rPr>
              <w:t>77</w:t>
            </w:r>
          </w:p>
        </w:tc>
      </w:tr>
      <w:tr w:rsidR="00D22056" w14:paraId="5ED024E5" w14:textId="77777777" w:rsidTr="00F15E49">
        <w:trPr>
          <w:trHeight w:val="300"/>
        </w:trPr>
        <w:tc>
          <w:tcPr>
            <w:tcW w:w="2839" w:type="dxa"/>
            <w:tcMar>
              <w:left w:w="108" w:type="dxa"/>
              <w:right w:w="108" w:type="dxa"/>
            </w:tcMar>
          </w:tcPr>
          <w:p w14:paraId="1CA3A72B" w14:textId="392CE6EB" w:rsidR="46C89230" w:rsidRDefault="46C89230" w:rsidP="00383CEA">
            <w:pPr>
              <w:pStyle w:val="TableParagraph"/>
              <w:spacing w:after="0"/>
              <w:rPr>
                <w:rFonts w:eastAsia="Inter Light"/>
              </w:rPr>
            </w:pPr>
            <w:r w:rsidRPr="46C89230">
              <w:rPr>
                <w:rFonts w:eastAsia="Inter Light"/>
              </w:rPr>
              <w:t>Recent school leaver (non-ATAR)</w:t>
            </w:r>
          </w:p>
        </w:tc>
        <w:tc>
          <w:tcPr>
            <w:tcW w:w="769" w:type="dxa"/>
            <w:tcMar>
              <w:left w:w="108" w:type="dxa"/>
              <w:right w:w="108" w:type="dxa"/>
            </w:tcMar>
          </w:tcPr>
          <w:p w14:paraId="2305FCDC" w14:textId="1B00E255" w:rsidR="46C89230" w:rsidRDefault="46C89230" w:rsidP="00383CEA">
            <w:pPr>
              <w:pStyle w:val="TableParagraph"/>
              <w:spacing w:after="0"/>
              <w:rPr>
                <w:rFonts w:eastAsia="Inter Light"/>
              </w:rPr>
            </w:pPr>
            <w:r w:rsidRPr="46C89230">
              <w:rPr>
                <w:rFonts w:eastAsia="Inter Light"/>
              </w:rPr>
              <w:t>1858</w:t>
            </w:r>
          </w:p>
        </w:tc>
        <w:tc>
          <w:tcPr>
            <w:tcW w:w="1139" w:type="dxa"/>
            <w:tcMar>
              <w:left w:w="108" w:type="dxa"/>
              <w:right w:w="108" w:type="dxa"/>
            </w:tcMar>
          </w:tcPr>
          <w:p w14:paraId="6D30ACEA" w14:textId="70662FAC" w:rsidR="46C89230" w:rsidRDefault="46C89230" w:rsidP="00383CEA">
            <w:pPr>
              <w:pStyle w:val="TableParagraph"/>
              <w:spacing w:after="0"/>
              <w:rPr>
                <w:rFonts w:eastAsia="Inter Light"/>
              </w:rPr>
            </w:pPr>
            <w:r w:rsidRPr="46C89230">
              <w:rPr>
                <w:rFonts w:eastAsia="Inter Light"/>
              </w:rPr>
              <w:t>85</w:t>
            </w:r>
          </w:p>
        </w:tc>
        <w:tc>
          <w:tcPr>
            <w:tcW w:w="1265" w:type="dxa"/>
            <w:tcMar>
              <w:left w:w="108" w:type="dxa"/>
              <w:right w:w="108" w:type="dxa"/>
            </w:tcMar>
          </w:tcPr>
          <w:p w14:paraId="04FACC11" w14:textId="21CFBEB3" w:rsidR="46C89230" w:rsidRDefault="46C89230" w:rsidP="00383CEA">
            <w:pPr>
              <w:pStyle w:val="TableParagraph"/>
              <w:spacing w:after="0"/>
              <w:rPr>
                <w:rFonts w:eastAsia="Inter Light"/>
              </w:rPr>
            </w:pPr>
            <w:r w:rsidRPr="46C89230">
              <w:rPr>
                <w:rFonts w:eastAsia="Inter Light"/>
              </w:rPr>
              <w:t>74</w:t>
            </w:r>
          </w:p>
        </w:tc>
        <w:tc>
          <w:tcPr>
            <w:tcW w:w="740" w:type="dxa"/>
            <w:shd w:val="clear" w:color="auto" w:fill="E7E6E6"/>
            <w:tcMar>
              <w:left w:w="108" w:type="dxa"/>
              <w:right w:w="108" w:type="dxa"/>
            </w:tcMar>
          </w:tcPr>
          <w:p w14:paraId="4156EB7C" w14:textId="7AC1C40C" w:rsidR="46C89230" w:rsidRDefault="46C89230" w:rsidP="00383CEA">
            <w:pPr>
              <w:pStyle w:val="TableParagraph"/>
              <w:spacing w:after="0"/>
              <w:rPr>
                <w:rFonts w:eastAsia="Inter Light"/>
              </w:rPr>
            </w:pPr>
            <w:r w:rsidRPr="46C89230">
              <w:rPr>
                <w:rFonts w:eastAsia="Inter Light"/>
              </w:rPr>
              <w:t>2767</w:t>
            </w:r>
          </w:p>
        </w:tc>
        <w:tc>
          <w:tcPr>
            <w:tcW w:w="1144" w:type="dxa"/>
            <w:shd w:val="clear" w:color="auto" w:fill="E7E6E6"/>
            <w:tcMar>
              <w:left w:w="108" w:type="dxa"/>
              <w:right w:w="108" w:type="dxa"/>
            </w:tcMar>
          </w:tcPr>
          <w:p w14:paraId="572E1ADE" w14:textId="4CA1BD77" w:rsidR="46C89230" w:rsidRDefault="46C89230" w:rsidP="00383CEA">
            <w:pPr>
              <w:pStyle w:val="TableParagraph"/>
              <w:spacing w:after="0"/>
              <w:rPr>
                <w:rFonts w:eastAsia="Inter Light"/>
              </w:rPr>
            </w:pPr>
            <w:r w:rsidRPr="46C89230">
              <w:rPr>
                <w:rFonts w:eastAsia="Inter Light"/>
              </w:rPr>
              <w:t>82</w:t>
            </w:r>
          </w:p>
        </w:tc>
        <w:tc>
          <w:tcPr>
            <w:tcW w:w="1279" w:type="dxa"/>
            <w:shd w:val="clear" w:color="auto" w:fill="E7E6E6"/>
            <w:tcMar>
              <w:left w:w="108" w:type="dxa"/>
              <w:right w:w="108" w:type="dxa"/>
            </w:tcMar>
          </w:tcPr>
          <w:p w14:paraId="22E96227" w14:textId="1502AF4A" w:rsidR="46C89230" w:rsidRDefault="46C89230" w:rsidP="00383CEA">
            <w:pPr>
              <w:pStyle w:val="TableParagraph"/>
              <w:spacing w:after="0"/>
              <w:rPr>
                <w:rFonts w:eastAsia="Inter Light"/>
              </w:rPr>
            </w:pPr>
            <w:r w:rsidRPr="46C89230">
              <w:rPr>
                <w:rFonts w:eastAsia="Inter Light"/>
              </w:rPr>
              <w:t>76</w:t>
            </w:r>
          </w:p>
        </w:tc>
      </w:tr>
      <w:tr w:rsidR="00D22056" w14:paraId="01EDAB1C" w14:textId="77777777" w:rsidTr="00F15E49">
        <w:trPr>
          <w:trHeight w:val="300"/>
        </w:trPr>
        <w:tc>
          <w:tcPr>
            <w:tcW w:w="2839" w:type="dxa"/>
            <w:tcMar>
              <w:left w:w="108" w:type="dxa"/>
              <w:right w:w="108" w:type="dxa"/>
            </w:tcMar>
          </w:tcPr>
          <w:p w14:paraId="2E21D683" w14:textId="7BE24850" w:rsidR="46C89230" w:rsidRDefault="46C89230" w:rsidP="00383CEA">
            <w:pPr>
              <w:pStyle w:val="TableParagraph"/>
              <w:spacing w:after="0"/>
              <w:rPr>
                <w:rFonts w:eastAsia="Inter Light"/>
              </w:rPr>
            </w:pPr>
            <w:proofErr w:type="gramStart"/>
            <w:r w:rsidRPr="46C89230">
              <w:rPr>
                <w:rFonts w:eastAsia="Inter Light"/>
              </w:rPr>
              <w:t>Other</w:t>
            </w:r>
            <w:proofErr w:type="gramEnd"/>
            <w:r w:rsidRPr="46C89230">
              <w:rPr>
                <w:rFonts w:eastAsia="Inter Light"/>
              </w:rPr>
              <w:t xml:space="preserve"> provider </w:t>
            </w:r>
            <w:r w:rsidR="00E64136">
              <w:rPr>
                <w:rFonts w:eastAsia="Inter Light"/>
              </w:rPr>
              <w:t>e</w:t>
            </w:r>
            <w:r w:rsidRPr="46C89230">
              <w:rPr>
                <w:rFonts w:eastAsia="Inter Light"/>
              </w:rPr>
              <w:t xml:space="preserve">nabling </w:t>
            </w:r>
            <w:r w:rsidR="00A5066F">
              <w:rPr>
                <w:rFonts w:eastAsia="Inter Light"/>
              </w:rPr>
              <w:t>program</w:t>
            </w:r>
          </w:p>
        </w:tc>
        <w:tc>
          <w:tcPr>
            <w:tcW w:w="769" w:type="dxa"/>
            <w:tcMar>
              <w:left w:w="108" w:type="dxa"/>
              <w:right w:w="108" w:type="dxa"/>
            </w:tcMar>
          </w:tcPr>
          <w:p w14:paraId="25A19F56" w14:textId="39A545BE" w:rsidR="46C89230" w:rsidRDefault="46C89230" w:rsidP="00383CEA">
            <w:pPr>
              <w:pStyle w:val="TableParagraph"/>
              <w:spacing w:after="0"/>
              <w:rPr>
                <w:rFonts w:eastAsia="Inter Light"/>
              </w:rPr>
            </w:pPr>
            <w:r w:rsidRPr="46C89230">
              <w:rPr>
                <w:rFonts w:eastAsia="Inter Light"/>
              </w:rPr>
              <w:t>362</w:t>
            </w:r>
          </w:p>
        </w:tc>
        <w:tc>
          <w:tcPr>
            <w:tcW w:w="1139" w:type="dxa"/>
            <w:tcMar>
              <w:left w:w="108" w:type="dxa"/>
              <w:right w:w="108" w:type="dxa"/>
            </w:tcMar>
          </w:tcPr>
          <w:p w14:paraId="6FDBCC4C" w14:textId="6A1DF370" w:rsidR="46C89230" w:rsidRDefault="46C89230" w:rsidP="00383CEA">
            <w:pPr>
              <w:pStyle w:val="TableParagraph"/>
              <w:spacing w:after="0"/>
              <w:rPr>
                <w:rFonts w:eastAsia="Inter Light"/>
              </w:rPr>
            </w:pPr>
            <w:r w:rsidRPr="46C89230">
              <w:rPr>
                <w:rFonts w:eastAsia="Inter Light"/>
              </w:rPr>
              <w:t>79</w:t>
            </w:r>
          </w:p>
        </w:tc>
        <w:tc>
          <w:tcPr>
            <w:tcW w:w="1265" w:type="dxa"/>
            <w:tcMar>
              <w:left w:w="108" w:type="dxa"/>
              <w:right w:w="108" w:type="dxa"/>
            </w:tcMar>
          </w:tcPr>
          <w:p w14:paraId="6BBAB534" w14:textId="6AB576B7" w:rsidR="46C89230" w:rsidRDefault="46C89230" w:rsidP="00383CEA">
            <w:pPr>
              <w:pStyle w:val="TableParagraph"/>
              <w:spacing w:after="0"/>
              <w:rPr>
                <w:rFonts w:eastAsia="Inter Light"/>
              </w:rPr>
            </w:pPr>
            <w:r w:rsidRPr="46C89230">
              <w:rPr>
                <w:rFonts w:eastAsia="Inter Light"/>
              </w:rPr>
              <w:t>76</w:t>
            </w:r>
          </w:p>
        </w:tc>
        <w:tc>
          <w:tcPr>
            <w:tcW w:w="740" w:type="dxa"/>
            <w:shd w:val="clear" w:color="auto" w:fill="E7E6E6"/>
            <w:tcMar>
              <w:left w:w="108" w:type="dxa"/>
              <w:right w:w="108" w:type="dxa"/>
            </w:tcMar>
          </w:tcPr>
          <w:p w14:paraId="03FC9E0E" w14:textId="7A6EB98E" w:rsidR="46C89230" w:rsidRDefault="46C89230" w:rsidP="00383CEA">
            <w:pPr>
              <w:pStyle w:val="TableParagraph"/>
              <w:spacing w:after="0"/>
              <w:rPr>
                <w:rFonts w:eastAsia="Inter Light"/>
              </w:rPr>
            </w:pPr>
            <w:r w:rsidRPr="46C89230">
              <w:rPr>
                <w:rFonts w:eastAsia="Inter Light"/>
              </w:rPr>
              <w:t>469</w:t>
            </w:r>
          </w:p>
        </w:tc>
        <w:tc>
          <w:tcPr>
            <w:tcW w:w="1144" w:type="dxa"/>
            <w:shd w:val="clear" w:color="auto" w:fill="E7E6E6"/>
            <w:tcMar>
              <w:left w:w="108" w:type="dxa"/>
              <w:right w:w="108" w:type="dxa"/>
            </w:tcMar>
          </w:tcPr>
          <w:p w14:paraId="72D0C877" w14:textId="395BCB7D" w:rsidR="46C89230" w:rsidRDefault="46C89230" w:rsidP="00383CEA">
            <w:pPr>
              <w:pStyle w:val="TableParagraph"/>
              <w:spacing w:after="0"/>
              <w:rPr>
                <w:rFonts w:eastAsia="Inter Light"/>
              </w:rPr>
            </w:pPr>
            <w:r w:rsidRPr="46C89230">
              <w:rPr>
                <w:rFonts w:eastAsia="Inter Light"/>
              </w:rPr>
              <w:t>81</w:t>
            </w:r>
          </w:p>
        </w:tc>
        <w:tc>
          <w:tcPr>
            <w:tcW w:w="1279" w:type="dxa"/>
            <w:shd w:val="clear" w:color="auto" w:fill="E7E6E6"/>
            <w:tcMar>
              <w:left w:w="108" w:type="dxa"/>
              <w:right w:w="108" w:type="dxa"/>
            </w:tcMar>
          </w:tcPr>
          <w:p w14:paraId="51B2EE6D" w14:textId="61671C07" w:rsidR="46C89230" w:rsidRDefault="46C89230" w:rsidP="00383CEA">
            <w:pPr>
              <w:pStyle w:val="TableParagraph"/>
              <w:spacing w:after="0"/>
              <w:rPr>
                <w:rFonts w:eastAsia="Inter Light"/>
              </w:rPr>
            </w:pPr>
            <w:r w:rsidRPr="46C89230">
              <w:rPr>
                <w:rFonts w:eastAsia="Inter Light"/>
              </w:rPr>
              <w:t>80</w:t>
            </w:r>
          </w:p>
        </w:tc>
      </w:tr>
      <w:tr w:rsidR="00D22056" w14:paraId="5D97B305" w14:textId="77777777" w:rsidTr="00F15E49">
        <w:trPr>
          <w:trHeight w:val="405"/>
        </w:trPr>
        <w:tc>
          <w:tcPr>
            <w:tcW w:w="2839" w:type="dxa"/>
            <w:shd w:val="clear" w:color="auto" w:fill="D0CECE"/>
            <w:tcMar>
              <w:left w:w="108" w:type="dxa"/>
              <w:right w:w="108" w:type="dxa"/>
            </w:tcMar>
          </w:tcPr>
          <w:p w14:paraId="010E3EF3" w14:textId="3429A671" w:rsidR="46C89230" w:rsidRDefault="46C89230" w:rsidP="00383CEA">
            <w:pPr>
              <w:pStyle w:val="TableParagraph"/>
              <w:spacing w:after="0"/>
              <w:rPr>
                <w:rFonts w:eastAsia="Inter Light"/>
              </w:rPr>
            </w:pPr>
            <w:r w:rsidRPr="46C89230">
              <w:rPr>
                <w:rFonts w:eastAsia="Inter Light"/>
              </w:rPr>
              <w:t>All pathways</w:t>
            </w:r>
          </w:p>
        </w:tc>
        <w:tc>
          <w:tcPr>
            <w:tcW w:w="769" w:type="dxa"/>
            <w:shd w:val="clear" w:color="auto" w:fill="D0CECE"/>
            <w:tcMar>
              <w:left w:w="108" w:type="dxa"/>
              <w:right w:w="108" w:type="dxa"/>
            </w:tcMar>
          </w:tcPr>
          <w:p w14:paraId="69791BB2" w14:textId="1677DE51" w:rsidR="46C89230" w:rsidRDefault="46C89230" w:rsidP="00383CEA">
            <w:pPr>
              <w:pStyle w:val="TableParagraph"/>
              <w:spacing w:after="0"/>
              <w:rPr>
                <w:rFonts w:eastAsia="Inter Light"/>
              </w:rPr>
            </w:pPr>
            <w:r w:rsidRPr="46C89230">
              <w:rPr>
                <w:rFonts w:eastAsia="Inter Light"/>
              </w:rPr>
              <w:t>6261</w:t>
            </w:r>
          </w:p>
        </w:tc>
        <w:tc>
          <w:tcPr>
            <w:tcW w:w="1139" w:type="dxa"/>
            <w:shd w:val="clear" w:color="auto" w:fill="D0CECE"/>
            <w:tcMar>
              <w:left w:w="108" w:type="dxa"/>
              <w:right w:w="108" w:type="dxa"/>
            </w:tcMar>
          </w:tcPr>
          <w:p w14:paraId="44E0DF26" w14:textId="23A39BFE" w:rsidR="46C89230" w:rsidRDefault="46C89230" w:rsidP="00383CEA">
            <w:pPr>
              <w:pStyle w:val="TableParagraph"/>
              <w:spacing w:after="0"/>
              <w:rPr>
                <w:rFonts w:eastAsia="Inter Light"/>
              </w:rPr>
            </w:pPr>
            <w:r w:rsidRPr="46C89230">
              <w:rPr>
                <w:rFonts w:eastAsia="Inter Light"/>
              </w:rPr>
              <w:t>87</w:t>
            </w:r>
          </w:p>
        </w:tc>
        <w:tc>
          <w:tcPr>
            <w:tcW w:w="1265" w:type="dxa"/>
            <w:shd w:val="clear" w:color="auto" w:fill="D0CECE"/>
            <w:tcMar>
              <w:left w:w="108" w:type="dxa"/>
              <w:right w:w="108" w:type="dxa"/>
            </w:tcMar>
          </w:tcPr>
          <w:p w14:paraId="523177A2" w14:textId="64CB707C" w:rsidR="46C89230" w:rsidRDefault="46C89230" w:rsidP="00383CEA">
            <w:pPr>
              <w:pStyle w:val="TableParagraph"/>
              <w:spacing w:after="0"/>
              <w:rPr>
                <w:rFonts w:eastAsia="Inter Light"/>
              </w:rPr>
            </w:pPr>
            <w:r w:rsidRPr="46C89230">
              <w:rPr>
                <w:rFonts w:eastAsia="Inter Light"/>
              </w:rPr>
              <w:t>79</w:t>
            </w:r>
          </w:p>
        </w:tc>
        <w:tc>
          <w:tcPr>
            <w:tcW w:w="740" w:type="dxa"/>
            <w:shd w:val="clear" w:color="auto" w:fill="D0CECE"/>
            <w:tcMar>
              <w:left w:w="108" w:type="dxa"/>
              <w:right w:w="108" w:type="dxa"/>
            </w:tcMar>
          </w:tcPr>
          <w:p w14:paraId="27E0D8EB" w14:textId="738DC2C8" w:rsidR="46C89230" w:rsidRDefault="46C89230" w:rsidP="00383CEA">
            <w:pPr>
              <w:pStyle w:val="TableParagraph"/>
              <w:spacing w:after="0"/>
              <w:rPr>
                <w:rFonts w:eastAsia="Inter Light"/>
              </w:rPr>
            </w:pPr>
            <w:r w:rsidRPr="46C89230">
              <w:rPr>
                <w:rFonts w:eastAsia="Inter Light"/>
              </w:rPr>
              <w:t>7134</w:t>
            </w:r>
          </w:p>
        </w:tc>
        <w:tc>
          <w:tcPr>
            <w:tcW w:w="1144" w:type="dxa"/>
            <w:shd w:val="clear" w:color="auto" w:fill="D0CECE"/>
            <w:tcMar>
              <w:left w:w="108" w:type="dxa"/>
              <w:right w:w="108" w:type="dxa"/>
            </w:tcMar>
          </w:tcPr>
          <w:p w14:paraId="77220CE9" w14:textId="410969C3" w:rsidR="46C89230" w:rsidRDefault="46C89230" w:rsidP="00383CEA">
            <w:pPr>
              <w:pStyle w:val="TableParagraph"/>
              <w:spacing w:after="0"/>
              <w:rPr>
                <w:rFonts w:eastAsia="Inter Light"/>
              </w:rPr>
            </w:pPr>
            <w:r w:rsidRPr="46C89230">
              <w:rPr>
                <w:rFonts w:eastAsia="Inter Light"/>
              </w:rPr>
              <w:t>83</w:t>
            </w:r>
          </w:p>
        </w:tc>
        <w:tc>
          <w:tcPr>
            <w:tcW w:w="1279" w:type="dxa"/>
            <w:shd w:val="clear" w:color="auto" w:fill="D0CECE"/>
            <w:tcMar>
              <w:left w:w="108" w:type="dxa"/>
              <w:right w:w="108" w:type="dxa"/>
            </w:tcMar>
          </w:tcPr>
          <w:p w14:paraId="389FC36F" w14:textId="27AB3396" w:rsidR="46C89230" w:rsidRDefault="46C89230" w:rsidP="00383CEA">
            <w:pPr>
              <w:pStyle w:val="TableParagraph"/>
              <w:spacing w:after="0"/>
              <w:rPr>
                <w:rFonts w:eastAsia="Inter Light"/>
              </w:rPr>
            </w:pPr>
            <w:r w:rsidRPr="46C89230">
              <w:rPr>
                <w:rFonts w:eastAsia="Inter Light"/>
              </w:rPr>
              <w:t>77</w:t>
            </w:r>
          </w:p>
        </w:tc>
      </w:tr>
    </w:tbl>
    <w:p w14:paraId="36256371" w14:textId="77777777" w:rsidR="008C06EF" w:rsidRDefault="008C06EF" w:rsidP="00A32591">
      <w:pPr>
        <w:rPr>
          <w:rFonts w:eastAsia="Inter Light"/>
          <w:lang w:val="en-US"/>
        </w:rPr>
      </w:pPr>
    </w:p>
    <w:p w14:paraId="46C02003" w14:textId="77777777" w:rsidR="008769E1" w:rsidRDefault="008769E1" w:rsidP="008769E1">
      <w:pPr>
        <w:pStyle w:val="Normal-Bold"/>
      </w:pPr>
      <w:r>
        <w:t>Summary</w:t>
      </w:r>
    </w:p>
    <w:p w14:paraId="5398ED87" w14:textId="77777777" w:rsidR="008769E1" w:rsidRPr="005D2B89" w:rsidRDefault="008769E1" w:rsidP="008769E1">
      <w:r w:rsidRPr="005D2B89">
        <w:t>The quantitative student data collected as part of this study provides insight into the outcomes achieved by students who commence university via an ISEP compared to their peers who commence via other pathways.</w:t>
      </w:r>
    </w:p>
    <w:p w14:paraId="2CDD371A" w14:textId="77777777" w:rsidR="008769E1" w:rsidRPr="005D2B89" w:rsidRDefault="008769E1" w:rsidP="008769E1">
      <w:pPr>
        <w:pStyle w:val="ListParagraph"/>
        <w:numPr>
          <w:ilvl w:val="0"/>
          <w:numId w:val="32"/>
        </w:numPr>
        <w:ind w:left="606" w:hanging="425"/>
        <w:contextualSpacing w:val="0"/>
      </w:pPr>
      <w:r w:rsidRPr="005D2B89">
        <w:t>ISEPs can increase access to university for students from equity groups relative to other pathways, though institutional and contextual variability plays a part. At several institutions, the ISEP pathway had higher proportions of students from multiple equity groups commence university than other pathways.</w:t>
      </w:r>
    </w:p>
    <w:p w14:paraId="3D9798DE" w14:textId="77777777" w:rsidR="008769E1" w:rsidRPr="00FD0E6D" w:rsidRDefault="008769E1" w:rsidP="008769E1">
      <w:pPr>
        <w:pStyle w:val="ListParagraph"/>
        <w:numPr>
          <w:ilvl w:val="0"/>
          <w:numId w:val="32"/>
        </w:numPr>
        <w:ind w:left="606" w:hanging="425"/>
        <w:contextualSpacing w:val="0"/>
      </w:pPr>
      <w:r w:rsidRPr="005D2B89">
        <w:t>Once at university, students who enter via an ISEP are retained at rates comparable to other pathways, and retention for students from equity and non-equity groups within the ISEP pathway is similar</w:t>
      </w:r>
      <w:r>
        <w:t>,</w:t>
      </w:r>
      <w:r w:rsidRPr="005D2B89">
        <w:t xml:space="preserve"> suggesting that ISEPs help narrow retention disparities for equity groups.</w:t>
      </w:r>
      <w:r>
        <w:t xml:space="preserve"> </w:t>
      </w:r>
      <w:r w:rsidRPr="005D2B89">
        <w:t>The ATAR pathway had the largest gap between retention rates of students from equity and non-equity groups.</w:t>
      </w:r>
    </w:p>
    <w:p w14:paraId="7BD04DDE" w14:textId="77777777" w:rsidR="008769E1" w:rsidRPr="005D2B89" w:rsidRDefault="008769E1" w:rsidP="008769E1">
      <w:pPr>
        <w:pStyle w:val="ListParagraph"/>
        <w:numPr>
          <w:ilvl w:val="0"/>
          <w:numId w:val="32"/>
        </w:numPr>
        <w:ind w:left="606" w:hanging="425"/>
        <w:contextualSpacing w:val="0"/>
      </w:pPr>
      <w:r w:rsidRPr="005D2B89">
        <w:rPr>
          <w:rFonts w:eastAsiaTheme="minorEastAsia"/>
        </w:rPr>
        <w:t xml:space="preserve">Retention of students in equity groups is strong for students </w:t>
      </w:r>
      <w:r>
        <w:rPr>
          <w:rFonts w:eastAsiaTheme="minorEastAsia"/>
        </w:rPr>
        <w:t>who</w:t>
      </w:r>
      <w:r w:rsidRPr="005D2B89">
        <w:rPr>
          <w:rFonts w:eastAsiaTheme="minorEastAsia"/>
        </w:rPr>
        <w:t xml:space="preserve"> enter university via </w:t>
      </w:r>
      <w:r>
        <w:rPr>
          <w:rFonts w:eastAsiaTheme="minorEastAsia"/>
        </w:rPr>
        <w:t>e</w:t>
      </w:r>
      <w:r w:rsidRPr="005D2B89">
        <w:rPr>
          <w:rFonts w:eastAsiaTheme="minorEastAsia"/>
        </w:rPr>
        <w:t>nabling pathways. This finding is consistent with previous research (</w:t>
      </w:r>
      <w:r>
        <w:rPr>
          <w:rFonts w:eastAsiaTheme="minorEastAsia"/>
        </w:rPr>
        <w:t>Li et al. 2023)</w:t>
      </w:r>
    </w:p>
    <w:p w14:paraId="014839F5" w14:textId="77777777" w:rsidR="008769E1" w:rsidRPr="00FB708A" w:rsidRDefault="008769E1" w:rsidP="008769E1">
      <w:pPr>
        <w:pStyle w:val="ListParagraph"/>
        <w:numPr>
          <w:ilvl w:val="0"/>
          <w:numId w:val="32"/>
        </w:numPr>
        <w:ind w:left="606" w:hanging="425"/>
        <w:contextualSpacing w:val="0"/>
        <w:rPr>
          <w:lang w:val="en-US"/>
        </w:rPr>
      </w:pPr>
      <w:r w:rsidRPr="005D2B89">
        <w:t>Amongst students who entered university via an ISEP, the success rates of students from equity groups and non-equity groups were comparable, though lower than other pathways. Gaps in success rates between students from equity and non-equity groups exist across all pathways.</w:t>
      </w:r>
    </w:p>
    <w:p w14:paraId="13C26C2E" w14:textId="425CEBAB" w:rsidR="52935A30" w:rsidRPr="008769E1" w:rsidRDefault="008769E1" w:rsidP="52935A30">
      <w:r w:rsidRPr="00FB708A">
        <w:t>Overall, ISEPs widen access for students from equity groups. Once at university, these students demonstrate resilience and</w:t>
      </w:r>
      <w:r>
        <w:t xml:space="preserve"> persistence, despite lower success rates. </w:t>
      </w:r>
    </w:p>
    <w:p w14:paraId="146F39FB" w14:textId="61EB9662" w:rsidR="00626E1F" w:rsidRPr="0079608F" w:rsidRDefault="00626E1F" w:rsidP="00A32591">
      <w:pPr>
        <w:pStyle w:val="Heading2"/>
      </w:pPr>
      <w:bookmarkStart w:id="78" w:name="_Toc217162497"/>
      <w:bookmarkStart w:id="79" w:name="_Toc232766193"/>
      <w:r w:rsidRPr="0079608F">
        <w:lastRenderedPageBreak/>
        <w:t xml:space="preserve">Phase </w:t>
      </w:r>
      <w:r w:rsidR="00E87949">
        <w:t>t</w:t>
      </w:r>
      <w:r w:rsidR="00A32E00">
        <w:t>hree</w:t>
      </w:r>
      <w:r w:rsidRPr="0079608F">
        <w:t xml:space="preserve">: Student and </w:t>
      </w:r>
      <w:r w:rsidR="00E87949">
        <w:t>e</w:t>
      </w:r>
      <w:r w:rsidRPr="0079608F">
        <w:t xml:space="preserve">ducator </w:t>
      </w:r>
      <w:r w:rsidR="00E87949">
        <w:t>p</w:t>
      </w:r>
      <w:r w:rsidRPr="0079608F">
        <w:t>erspectives</w:t>
      </w:r>
      <w:bookmarkEnd w:id="78"/>
      <w:bookmarkEnd w:id="79"/>
    </w:p>
    <w:p w14:paraId="7AA57C08" w14:textId="6CB74E00" w:rsidR="7E99BACD" w:rsidRDefault="7E99BACD" w:rsidP="52935A30">
      <w:r>
        <w:t xml:space="preserve">Phase </w:t>
      </w:r>
      <w:r w:rsidR="00E87949">
        <w:t>t</w:t>
      </w:r>
      <w:r>
        <w:t xml:space="preserve">hree explored the perspectives of ISEPs and conceptualisation of success beyond academic measures from the perspective of students and </w:t>
      </w:r>
      <w:r w:rsidR="00E87949">
        <w:t>e</w:t>
      </w:r>
      <w:r>
        <w:t xml:space="preserve">ducators who had participated in ISEPs. Student perspectives were sought through a survey and </w:t>
      </w:r>
      <w:r w:rsidR="00DF79AB">
        <w:t>interviews,</w:t>
      </w:r>
      <w:r>
        <w:t xml:space="preserve"> and </w:t>
      </w:r>
      <w:r w:rsidR="00E87949">
        <w:t>e</w:t>
      </w:r>
      <w:r>
        <w:t>ducator perspectives were captured through interviews.</w:t>
      </w:r>
    </w:p>
    <w:p w14:paraId="258D60DC" w14:textId="790B9454" w:rsidR="00626E1F" w:rsidRPr="00C473BD" w:rsidRDefault="1A81EB38" w:rsidP="00A32591">
      <w:pPr>
        <w:pStyle w:val="Heading3"/>
        <w:rPr>
          <w:color w:val="6B3B57"/>
        </w:rPr>
      </w:pPr>
      <w:bookmarkStart w:id="80" w:name="_Toc217162498"/>
      <w:bookmarkStart w:id="81" w:name="_Toc232766194"/>
      <w:r w:rsidRPr="00C473BD">
        <w:rPr>
          <w:color w:val="6B3B57"/>
        </w:rPr>
        <w:t xml:space="preserve">Student perspective: </w:t>
      </w:r>
      <w:r w:rsidR="00DF5403" w:rsidRPr="00C473BD">
        <w:rPr>
          <w:color w:val="6B3B57"/>
        </w:rPr>
        <w:t xml:space="preserve">Quantitative </w:t>
      </w:r>
      <w:r w:rsidRPr="00C473BD">
        <w:rPr>
          <w:color w:val="6B3B57"/>
        </w:rPr>
        <w:t>s</w:t>
      </w:r>
      <w:r w:rsidR="303C0DD8" w:rsidRPr="00C473BD">
        <w:rPr>
          <w:color w:val="6B3B57"/>
        </w:rPr>
        <w:t>urvey response</w:t>
      </w:r>
      <w:r w:rsidR="2B9EE31F" w:rsidRPr="00C473BD">
        <w:rPr>
          <w:color w:val="6B3B57"/>
        </w:rPr>
        <w:t xml:space="preserve"> findings</w:t>
      </w:r>
      <w:bookmarkEnd w:id="80"/>
      <w:bookmarkEnd w:id="81"/>
    </w:p>
    <w:p w14:paraId="3F7C46EE" w14:textId="210EB07A" w:rsidR="003072D6" w:rsidRPr="000E06EE" w:rsidRDefault="61183467" w:rsidP="00A32591">
      <w:pPr>
        <w:rPr>
          <w:rFonts w:eastAsia="Inter Light"/>
        </w:rPr>
      </w:pPr>
      <w:r w:rsidRPr="1566079D">
        <w:rPr>
          <w:rFonts w:eastAsia="Inter Light"/>
        </w:rPr>
        <w:t>Quantitative data relating to student perspectives</w:t>
      </w:r>
      <w:r w:rsidR="00B59F05" w:rsidRPr="1566079D">
        <w:rPr>
          <w:rFonts w:eastAsia="Inter Light"/>
        </w:rPr>
        <w:t xml:space="preserve"> </w:t>
      </w:r>
      <w:r w:rsidRPr="1566079D">
        <w:rPr>
          <w:rFonts w:eastAsia="Inter Light"/>
        </w:rPr>
        <w:t>of the ISEP were collected via a survey</w:t>
      </w:r>
      <w:r w:rsidR="60799504" w:rsidRPr="1013515E">
        <w:rPr>
          <w:rFonts w:eastAsia="Inter Light"/>
        </w:rPr>
        <w:t xml:space="preserve">. </w:t>
      </w:r>
      <w:r w:rsidR="731D7DE3" w:rsidRPr="1013515E">
        <w:rPr>
          <w:rFonts w:eastAsia="Inter Light"/>
        </w:rPr>
        <w:t>Table</w:t>
      </w:r>
      <w:r w:rsidR="6493286B" w:rsidRPr="6064B41A">
        <w:rPr>
          <w:rFonts w:eastAsia="Inter Light"/>
        </w:rPr>
        <w:t xml:space="preserve"> </w:t>
      </w:r>
      <w:r w:rsidR="76CBDDE8" w:rsidRPr="658F4599">
        <w:rPr>
          <w:rFonts w:eastAsia="Inter Light"/>
        </w:rPr>
        <w:t>10</w:t>
      </w:r>
      <w:r w:rsidR="6493286B" w:rsidRPr="6064B41A">
        <w:rPr>
          <w:rFonts w:eastAsia="Inter Light"/>
        </w:rPr>
        <w:t xml:space="preserve"> shows the demographic characteristics of the </w:t>
      </w:r>
      <w:r w:rsidR="731D7DE3" w:rsidRPr="79D0F5DF">
        <w:rPr>
          <w:rFonts w:eastAsia="Inter Light"/>
        </w:rPr>
        <w:t xml:space="preserve">student survey </w:t>
      </w:r>
      <w:r w:rsidR="731D7DE3" w:rsidRPr="5BF6A625">
        <w:rPr>
          <w:rFonts w:eastAsia="Inter Light"/>
        </w:rPr>
        <w:t xml:space="preserve">respondents </w:t>
      </w:r>
      <w:r w:rsidR="731D7DE3" w:rsidRPr="75E2CFEF">
        <w:rPr>
          <w:rFonts w:eastAsia="Inter Light"/>
        </w:rPr>
        <w:t>(</w:t>
      </w:r>
      <w:r w:rsidR="731D7DE3" w:rsidRPr="00B43A6C">
        <w:rPr>
          <w:rFonts w:eastAsia="Inter Light"/>
          <w:i/>
          <w:iCs/>
        </w:rPr>
        <w:t>n</w:t>
      </w:r>
      <w:r w:rsidR="00F15E49">
        <w:rPr>
          <w:rFonts w:eastAsia="Inter Light"/>
        </w:rPr>
        <w:t xml:space="preserve"> </w:t>
      </w:r>
      <w:r w:rsidR="731D7DE3" w:rsidRPr="75E2CFEF">
        <w:rPr>
          <w:rFonts w:eastAsia="Inter Light"/>
        </w:rPr>
        <w:t>=</w:t>
      </w:r>
      <w:r w:rsidR="00F15E49">
        <w:rPr>
          <w:rFonts w:eastAsia="Inter Light"/>
        </w:rPr>
        <w:t xml:space="preserve"> </w:t>
      </w:r>
      <w:r w:rsidR="731D7DE3" w:rsidRPr="51C4220F">
        <w:rPr>
          <w:rFonts w:eastAsia="Inter Light"/>
        </w:rPr>
        <w:t>54).</w:t>
      </w:r>
      <w:r w:rsidR="6493286B" w:rsidRPr="6064B41A">
        <w:rPr>
          <w:rFonts w:eastAsia="Inter Light"/>
        </w:rPr>
        <w:t xml:space="preserve"> The mean age of respondents was 19 years and </w:t>
      </w:r>
      <w:r w:rsidR="00E87949">
        <w:rPr>
          <w:rFonts w:eastAsia="Inter Light"/>
        </w:rPr>
        <w:t xml:space="preserve">the </w:t>
      </w:r>
      <w:r w:rsidR="6493286B" w:rsidRPr="6064B41A">
        <w:rPr>
          <w:rFonts w:eastAsia="Inter Light"/>
        </w:rPr>
        <w:t>majority were female. Two-thirds of respondents identified as belonging to one or more equity groups. Of these equity subgroups, students commonly identified as being first</w:t>
      </w:r>
      <w:r w:rsidR="00E87949">
        <w:rPr>
          <w:rFonts w:eastAsia="Inter Light"/>
        </w:rPr>
        <w:t>-</w:t>
      </w:r>
      <w:r w:rsidR="6493286B" w:rsidRPr="6064B41A">
        <w:rPr>
          <w:rFonts w:eastAsia="Inter Light"/>
        </w:rPr>
        <w:t>in</w:t>
      </w:r>
      <w:r w:rsidR="00E87949">
        <w:rPr>
          <w:rFonts w:eastAsia="Inter Light"/>
        </w:rPr>
        <w:t>-</w:t>
      </w:r>
      <w:r w:rsidR="6493286B" w:rsidRPr="6064B41A">
        <w:rPr>
          <w:rFonts w:eastAsia="Inter Light"/>
        </w:rPr>
        <w:t>family to attend university (43%) and/or as having a mental health condition (35%).</w:t>
      </w:r>
    </w:p>
    <w:p w14:paraId="5770AA0C" w14:textId="77777777" w:rsidR="008C06EF" w:rsidRDefault="008C06EF" w:rsidP="00E62C97">
      <w:pPr>
        <w:pStyle w:val="TOCHeading"/>
        <w:rPr>
          <w:sz w:val="20"/>
          <w:szCs w:val="20"/>
        </w:rPr>
      </w:pPr>
    </w:p>
    <w:p w14:paraId="0EF5F5FF" w14:textId="2719E84F" w:rsidR="00F15E49" w:rsidRDefault="00F15E49">
      <w:pPr>
        <w:spacing w:line="259" w:lineRule="auto"/>
        <w:rPr>
          <w:rFonts w:eastAsia="Arial"/>
          <w:bCs/>
          <w:i/>
          <w:iCs/>
          <w:sz w:val="20"/>
          <w:szCs w:val="20"/>
        </w:rPr>
      </w:pPr>
      <w:r>
        <w:rPr>
          <w:sz w:val="20"/>
          <w:szCs w:val="20"/>
        </w:rPr>
        <w:br w:type="page"/>
      </w:r>
    </w:p>
    <w:p w14:paraId="517AF989" w14:textId="2719E84F" w:rsidR="6493286B" w:rsidRPr="00C473BD" w:rsidRDefault="6493286B" w:rsidP="00F15E49">
      <w:pPr>
        <w:pStyle w:val="TOCHeading"/>
      </w:pPr>
      <w:bookmarkStart w:id="82" w:name="_Toc232575179"/>
      <w:r w:rsidRPr="00C473BD">
        <w:lastRenderedPageBreak/>
        <w:t xml:space="preserve">Table </w:t>
      </w:r>
      <w:r w:rsidR="3F5537ED" w:rsidRPr="00C473BD">
        <w:t>10</w:t>
      </w:r>
      <w:r w:rsidR="008C06EF">
        <w:t>:</w:t>
      </w:r>
      <w:r w:rsidRPr="00C473BD">
        <w:t xml:space="preserve"> Demographics of </w:t>
      </w:r>
      <w:r w:rsidR="00A7122B" w:rsidRPr="00C473BD">
        <w:t xml:space="preserve">survey </w:t>
      </w:r>
      <w:r w:rsidRPr="00C473BD">
        <w:t>sample</w:t>
      </w:r>
      <w:bookmarkEnd w:id="82"/>
      <w:r w:rsidRPr="00C473BD">
        <w:t xml:space="preserve"> </w:t>
      </w:r>
    </w:p>
    <w:tbl>
      <w:tblPr>
        <w:tblW w:w="6583" w:type="dxa"/>
        <w:tblCellMar>
          <w:left w:w="10" w:type="dxa"/>
          <w:right w:w="10" w:type="dxa"/>
        </w:tblCellMar>
        <w:tblLook w:val="04A0" w:firstRow="1" w:lastRow="0" w:firstColumn="1" w:lastColumn="0" w:noHBand="0" w:noVBand="1"/>
      </w:tblPr>
      <w:tblGrid>
        <w:gridCol w:w="4123"/>
        <w:gridCol w:w="2460"/>
      </w:tblGrid>
      <w:tr w:rsidR="6EF8D965" w14:paraId="43AAFABD"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263A2B1" w14:textId="1C596847" w:rsidR="6EF8D965" w:rsidRDefault="6EF8D965" w:rsidP="00E62C97">
            <w:pPr>
              <w:pStyle w:val="Normal-Bold"/>
              <w:rPr>
                <w:rFonts w:eastAsia="Inter Light"/>
              </w:rPr>
            </w:pPr>
            <w:r w:rsidRPr="4710466D">
              <w:rPr>
                <w:rFonts w:eastAsia="Inter Light"/>
              </w:rPr>
              <w:t>Demographic characteristics</w:t>
            </w:r>
          </w:p>
        </w:tc>
        <w:tc>
          <w:tcPr>
            <w:tcW w:w="2460"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122E1605" w14:textId="3CAF1DBA" w:rsidR="6EF8D965" w:rsidRDefault="6EF8D965" w:rsidP="00E62C97">
            <w:pPr>
              <w:pStyle w:val="Normal-Bold"/>
              <w:rPr>
                <w:rFonts w:eastAsia="Inter Light"/>
              </w:rPr>
            </w:pPr>
            <w:r w:rsidRPr="4710466D">
              <w:rPr>
                <w:rFonts w:eastAsia="Inter Light"/>
              </w:rPr>
              <w:t xml:space="preserve">Frequency (%) </w:t>
            </w:r>
          </w:p>
        </w:tc>
      </w:tr>
      <w:tr w:rsidR="6EF8D965" w14:paraId="4DE32219"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28D47F0E" w14:textId="6609B756" w:rsidR="6EF8D965" w:rsidRDefault="6EF8D965" w:rsidP="00E62C97">
            <w:pPr>
              <w:pStyle w:val="TableParagraph"/>
              <w:rPr>
                <w:rFonts w:eastAsia="Inter Light"/>
              </w:rPr>
            </w:pPr>
            <w:r w:rsidRPr="6064B41A">
              <w:rPr>
                <w:rFonts w:eastAsia="Inter Light"/>
              </w:rPr>
              <w:t>Mean age, years*</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6DA30CE5" w14:textId="185B88E5" w:rsidR="6EF8D965" w:rsidRDefault="6EF8D965" w:rsidP="00E62C97">
            <w:pPr>
              <w:pStyle w:val="TableParagraph"/>
              <w:rPr>
                <w:rFonts w:eastAsia="Inter Light"/>
              </w:rPr>
            </w:pPr>
            <w:r w:rsidRPr="6064B41A">
              <w:rPr>
                <w:rFonts w:eastAsia="Inter Light"/>
              </w:rPr>
              <w:t>19.53 (1.88)</w:t>
            </w:r>
          </w:p>
        </w:tc>
      </w:tr>
      <w:tr w:rsidR="6EF8D965" w14:paraId="610F6ADE"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7F19A116" w14:textId="05814E0A" w:rsidR="6EF8D965" w:rsidRPr="00E87949" w:rsidRDefault="6EF8D965" w:rsidP="00E62C97">
            <w:pPr>
              <w:pStyle w:val="TableParagraph"/>
              <w:rPr>
                <w:rFonts w:eastAsia="Inter Light"/>
              </w:rPr>
            </w:pPr>
            <w:r w:rsidRPr="00E87949">
              <w:rPr>
                <w:rFonts w:eastAsia="Inter Light"/>
              </w:rPr>
              <w:t>Gender</w:t>
            </w:r>
          </w:p>
          <w:p w14:paraId="7869E05A" w14:textId="5A0B909A" w:rsidR="6EF8D965" w:rsidRDefault="6EF8D965" w:rsidP="00E62C97">
            <w:pPr>
              <w:pStyle w:val="TableParagraph"/>
              <w:rPr>
                <w:rFonts w:eastAsia="Inter Light"/>
              </w:rPr>
            </w:pPr>
            <w:r w:rsidRPr="6064B41A">
              <w:rPr>
                <w:rFonts w:eastAsia="Inter Light"/>
              </w:rPr>
              <w:t>Male</w:t>
            </w:r>
          </w:p>
          <w:p w14:paraId="5BEDAA26" w14:textId="67FED700" w:rsidR="6EF8D965" w:rsidRDefault="6EF8D965" w:rsidP="00E62C97">
            <w:pPr>
              <w:pStyle w:val="TableParagraph"/>
              <w:rPr>
                <w:rFonts w:eastAsia="Inter Light"/>
              </w:rPr>
            </w:pPr>
            <w:r w:rsidRPr="6064B41A">
              <w:rPr>
                <w:rFonts w:eastAsia="Inter Light"/>
              </w:rPr>
              <w:t>Female</w:t>
            </w:r>
          </w:p>
          <w:p w14:paraId="3AEC90DA" w14:textId="4B94FC94" w:rsidR="6EF8D965" w:rsidRDefault="6EF8D965" w:rsidP="00E62C97">
            <w:pPr>
              <w:pStyle w:val="TableParagraph"/>
              <w:rPr>
                <w:rFonts w:eastAsia="Inter Light"/>
              </w:rPr>
            </w:pPr>
            <w:r w:rsidRPr="6064B41A">
              <w:rPr>
                <w:rFonts w:eastAsia="Inter Light"/>
              </w:rPr>
              <w:t>Non-</w:t>
            </w:r>
            <w:r w:rsidR="00E87949">
              <w:rPr>
                <w:rFonts w:eastAsia="Inter Light"/>
              </w:rPr>
              <w:t>b</w:t>
            </w:r>
            <w:r w:rsidRPr="6064B41A">
              <w:rPr>
                <w:rFonts w:eastAsia="Inter Light"/>
              </w:rPr>
              <w:t>inary</w:t>
            </w:r>
          </w:p>
          <w:p w14:paraId="4534AEDB" w14:textId="23C0C4F0" w:rsidR="6EF8D965" w:rsidRDefault="6EF8D965" w:rsidP="00E62C97">
            <w:pPr>
              <w:pStyle w:val="TableParagraph"/>
              <w:rPr>
                <w:rFonts w:eastAsia="Inter Light"/>
              </w:rPr>
            </w:pPr>
            <w:r w:rsidRPr="6064B41A">
              <w:rPr>
                <w:rFonts w:eastAsia="Inter Light"/>
              </w:rPr>
              <w:t>Unknown</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650F76EB" w14:textId="71164DC6" w:rsidR="6EF8D965" w:rsidRDefault="6EF8D965" w:rsidP="00E62C97">
            <w:pPr>
              <w:pStyle w:val="TableParagraph"/>
              <w:rPr>
                <w:rFonts w:eastAsia="Inter Light"/>
              </w:rPr>
            </w:pPr>
            <w:r w:rsidRPr="6064B41A">
              <w:rPr>
                <w:rFonts w:eastAsia="Inter Light"/>
              </w:rPr>
              <w:t xml:space="preserve"> </w:t>
            </w:r>
          </w:p>
          <w:p w14:paraId="493DD76D" w14:textId="312261B4" w:rsidR="6EF8D965" w:rsidRDefault="6EF8D965" w:rsidP="00E62C97">
            <w:pPr>
              <w:pStyle w:val="TableParagraph"/>
              <w:rPr>
                <w:rFonts w:eastAsia="Inter Light"/>
              </w:rPr>
            </w:pPr>
            <w:r w:rsidRPr="6064B41A">
              <w:rPr>
                <w:rFonts w:eastAsia="Inter Light"/>
              </w:rPr>
              <w:t>11/54 (20%)</w:t>
            </w:r>
          </w:p>
          <w:p w14:paraId="1BBAFB86" w14:textId="285ED186" w:rsidR="6EF8D965" w:rsidRDefault="6EF8D965" w:rsidP="00E62C97">
            <w:pPr>
              <w:pStyle w:val="TableParagraph"/>
              <w:rPr>
                <w:rFonts w:eastAsia="Inter Light"/>
              </w:rPr>
            </w:pPr>
            <w:r w:rsidRPr="6064B41A">
              <w:rPr>
                <w:rFonts w:eastAsia="Inter Light"/>
              </w:rPr>
              <w:t>42/54 (78%)</w:t>
            </w:r>
          </w:p>
          <w:p w14:paraId="17A7E7F8" w14:textId="23B1BC45" w:rsidR="6EF8D965" w:rsidRDefault="6EF8D965" w:rsidP="00E62C97">
            <w:pPr>
              <w:pStyle w:val="TableParagraph"/>
              <w:rPr>
                <w:rFonts w:eastAsia="Inter Light"/>
              </w:rPr>
            </w:pPr>
            <w:r w:rsidRPr="6064B41A">
              <w:rPr>
                <w:rFonts w:eastAsia="Inter Light"/>
              </w:rPr>
              <w:t>0/54 (0%)</w:t>
            </w:r>
          </w:p>
          <w:p w14:paraId="4B3CAEA0" w14:textId="397BDE09" w:rsidR="6EF8D965" w:rsidRDefault="6EF8D965" w:rsidP="00E62C97">
            <w:pPr>
              <w:pStyle w:val="TableParagraph"/>
              <w:rPr>
                <w:rFonts w:eastAsia="Inter Light"/>
              </w:rPr>
            </w:pPr>
            <w:r w:rsidRPr="6064B41A">
              <w:rPr>
                <w:rFonts w:eastAsia="Inter Light"/>
              </w:rPr>
              <w:t>1/54 (2%)</w:t>
            </w:r>
          </w:p>
        </w:tc>
      </w:tr>
      <w:tr w:rsidR="6EF8D965" w14:paraId="1A6C936D"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3C1CA201" w14:textId="176F3E7E" w:rsidR="6EF8D965" w:rsidRDefault="6EF8D965" w:rsidP="00E62C97">
            <w:pPr>
              <w:pStyle w:val="TableParagraph"/>
              <w:rPr>
                <w:rFonts w:eastAsia="Inter Light"/>
              </w:rPr>
            </w:pPr>
            <w:r w:rsidRPr="6064B41A">
              <w:rPr>
                <w:rFonts w:eastAsia="Inter Light"/>
              </w:rPr>
              <w:t>Belong to one or more equity groups</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6A2AE166" w14:textId="17DE5E31" w:rsidR="6EF8D965" w:rsidRDefault="6EF8D965" w:rsidP="00E62C97">
            <w:pPr>
              <w:pStyle w:val="TableParagraph"/>
              <w:rPr>
                <w:rFonts w:eastAsia="Inter Light"/>
              </w:rPr>
            </w:pPr>
            <w:r w:rsidRPr="6064B41A">
              <w:rPr>
                <w:rFonts w:eastAsia="Inter Light"/>
              </w:rPr>
              <w:t>36/54 (67%)</w:t>
            </w:r>
          </w:p>
        </w:tc>
      </w:tr>
      <w:tr w:rsidR="6EF8D965" w14:paraId="155E4FDD"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5E132CD8" w14:textId="75ADB328" w:rsidR="6EF8D965" w:rsidRDefault="6EF8D965" w:rsidP="00E62C97">
            <w:pPr>
              <w:pStyle w:val="TableParagraph"/>
              <w:rPr>
                <w:rFonts w:eastAsia="Inter Light"/>
              </w:rPr>
            </w:pPr>
            <w:r w:rsidRPr="6064B41A">
              <w:rPr>
                <w:rFonts w:eastAsia="Inter Light"/>
              </w:rPr>
              <w:t>Aboriginal and/or Torres Strait Islander</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5598BA5E" w14:textId="46930C34" w:rsidR="6EF8D965" w:rsidRDefault="6EF8D965" w:rsidP="00E62C97">
            <w:pPr>
              <w:pStyle w:val="TableParagraph"/>
              <w:rPr>
                <w:rFonts w:eastAsia="Inter Light"/>
              </w:rPr>
            </w:pPr>
            <w:r w:rsidRPr="6064B41A">
              <w:rPr>
                <w:rFonts w:eastAsia="Inter Light"/>
              </w:rPr>
              <w:t>1/54 (2%)</w:t>
            </w:r>
          </w:p>
        </w:tc>
      </w:tr>
      <w:tr w:rsidR="6EF8D965" w14:paraId="425CDF9B"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2F2299F2" w14:textId="06A7F38F" w:rsidR="6EF8D965" w:rsidRDefault="6EF8D965" w:rsidP="00E62C97">
            <w:pPr>
              <w:pStyle w:val="TableParagraph"/>
              <w:rPr>
                <w:rFonts w:eastAsia="Inter Light"/>
              </w:rPr>
            </w:pPr>
            <w:r w:rsidRPr="6064B41A">
              <w:rPr>
                <w:rFonts w:eastAsia="Inter Light"/>
              </w:rPr>
              <w:t>First</w:t>
            </w:r>
            <w:r w:rsidR="00E87949">
              <w:rPr>
                <w:rFonts w:eastAsia="Inter Light"/>
              </w:rPr>
              <w:t>-</w:t>
            </w:r>
            <w:r w:rsidRPr="6064B41A">
              <w:rPr>
                <w:rFonts w:eastAsia="Inter Light"/>
              </w:rPr>
              <w:t>in</w:t>
            </w:r>
            <w:r w:rsidR="00E87949">
              <w:rPr>
                <w:rFonts w:eastAsia="Inter Light"/>
              </w:rPr>
              <w:t>-</w:t>
            </w:r>
            <w:r w:rsidRPr="6064B41A">
              <w:rPr>
                <w:rFonts w:eastAsia="Inter Light"/>
              </w:rPr>
              <w:t>family to attend university</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411AA103" w14:textId="28AAA79A" w:rsidR="6EF8D965" w:rsidRDefault="6EF8D965" w:rsidP="00E62C97">
            <w:pPr>
              <w:pStyle w:val="TableParagraph"/>
              <w:rPr>
                <w:rFonts w:eastAsia="Inter Light"/>
              </w:rPr>
            </w:pPr>
            <w:r w:rsidRPr="6064B41A">
              <w:rPr>
                <w:rFonts w:eastAsia="Inter Light"/>
              </w:rPr>
              <w:t>23/54 (43%)</w:t>
            </w:r>
          </w:p>
        </w:tc>
      </w:tr>
      <w:tr w:rsidR="6EF8D965" w14:paraId="1F28FA91"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08DB261B" w14:textId="012848E0" w:rsidR="6EF8D965" w:rsidRDefault="6EF8D965" w:rsidP="00E62C97">
            <w:pPr>
              <w:pStyle w:val="TableParagraph"/>
              <w:rPr>
                <w:rFonts w:eastAsia="Inter Light"/>
              </w:rPr>
            </w:pPr>
            <w:r w:rsidRPr="6064B41A">
              <w:rPr>
                <w:rFonts w:eastAsia="Inter Light"/>
              </w:rPr>
              <w:t>Disability or ongoing medical condition</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13AA5F56" w14:textId="2F6FD6D1" w:rsidR="6EF8D965" w:rsidRDefault="6EF8D965" w:rsidP="00E62C97">
            <w:pPr>
              <w:pStyle w:val="TableParagraph"/>
              <w:rPr>
                <w:rFonts w:eastAsia="Inter Light"/>
              </w:rPr>
            </w:pPr>
            <w:r w:rsidRPr="6064B41A">
              <w:rPr>
                <w:rFonts w:eastAsia="Inter Light"/>
              </w:rPr>
              <w:t>10/54 (19%)</w:t>
            </w:r>
          </w:p>
        </w:tc>
      </w:tr>
      <w:tr w:rsidR="6EF8D965" w14:paraId="3F6DDCC4"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41D7F0DD" w14:textId="4C105AC8" w:rsidR="6EF8D965" w:rsidRDefault="6EF8D965" w:rsidP="00E62C97">
            <w:pPr>
              <w:pStyle w:val="TableParagraph"/>
              <w:rPr>
                <w:rFonts w:eastAsia="Inter Light"/>
              </w:rPr>
            </w:pPr>
            <w:r w:rsidRPr="6064B41A">
              <w:rPr>
                <w:rFonts w:eastAsia="Inter Light"/>
              </w:rPr>
              <w:t>Mental health condition</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36702B13" w14:textId="784B3217" w:rsidR="6EF8D965" w:rsidRDefault="6EF8D965" w:rsidP="00E62C97">
            <w:pPr>
              <w:pStyle w:val="TableParagraph"/>
              <w:rPr>
                <w:rFonts w:eastAsia="Inter Light"/>
              </w:rPr>
            </w:pPr>
            <w:r w:rsidRPr="6064B41A">
              <w:rPr>
                <w:rFonts w:eastAsia="Inter Light"/>
              </w:rPr>
              <w:t>19/54 (35%)</w:t>
            </w:r>
          </w:p>
        </w:tc>
      </w:tr>
      <w:tr w:rsidR="6EF8D965" w14:paraId="6E5F859C"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0B2CA959" w14:textId="058FDA8D" w:rsidR="6EF8D965" w:rsidRDefault="6EF8D965" w:rsidP="00E62C97">
            <w:pPr>
              <w:pStyle w:val="TableParagraph"/>
              <w:rPr>
                <w:rFonts w:eastAsia="Inter Light"/>
              </w:rPr>
            </w:pPr>
            <w:r w:rsidRPr="6064B41A">
              <w:rPr>
                <w:rFonts w:eastAsia="Inter Light"/>
              </w:rPr>
              <w:t xml:space="preserve">Diagnosed neurodivergence </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2AC051E4" w14:textId="193954CD" w:rsidR="6EF8D965" w:rsidRDefault="6EF8D965" w:rsidP="00E62C97">
            <w:pPr>
              <w:pStyle w:val="TableParagraph"/>
              <w:rPr>
                <w:rFonts w:eastAsia="Inter Light"/>
              </w:rPr>
            </w:pPr>
            <w:r w:rsidRPr="6064B41A">
              <w:rPr>
                <w:rFonts w:eastAsia="Inter Light"/>
              </w:rPr>
              <w:t>10/54 (19%)</w:t>
            </w:r>
          </w:p>
        </w:tc>
      </w:tr>
      <w:tr w:rsidR="6EF8D965" w14:paraId="7BAE1355"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4228A539" w14:textId="53FD35B9" w:rsidR="6EF8D965" w:rsidRDefault="6EF8D965" w:rsidP="00E62C97">
            <w:pPr>
              <w:pStyle w:val="TableParagraph"/>
              <w:rPr>
                <w:rFonts w:eastAsia="Inter Light"/>
              </w:rPr>
            </w:pPr>
            <w:r w:rsidRPr="6064B41A">
              <w:rPr>
                <w:rFonts w:eastAsia="Inter Light"/>
              </w:rPr>
              <w:t>Living in a regional or remote location</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557300FF" w14:textId="0DFC8EA8" w:rsidR="6EF8D965" w:rsidRDefault="6EF8D965" w:rsidP="00E62C97">
            <w:pPr>
              <w:pStyle w:val="TableParagraph"/>
              <w:rPr>
                <w:rFonts w:eastAsia="Inter Light"/>
              </w:rPr>
            </w:pPr>
            <w:r w:rsidRPr="6064B41A">
              <w:rPr>
                <w:rFonts w:eastAsia="Inter Light"/>
              </w:rPr>
              <w:t>10/54 (19%)</w:t>
            </w:r>
          </w:p>
        </w:tc>
      </w:tr>
      <w:tr w:rsidR="6EF8D965" w14:paraId="6771A4E5"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40595E59" w14:textId="0A5916DA" w:rsidR="6EF8D965" w:rsidRDefault="6EF8D965" w:rsidP="00E62C97">
            <w:pPr>
              <w:pStyle w:val="TableParagraph"/>
              <w:rPr>
                <w:rFonts w:eastAsia="Inter Light"/>
              </w:rPr>
            </w:pPr>
            <w:r w:rsidRPr="6064B41A">
              <w:rPr>
                <w:rFonts w:eastAsia="Inter Light"/>
              </w:rPr>
              <w:t>Living in a low SES postcode</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641F9A24" w14:textId="3332576D" w:rsidR="6EF8D965" w:rsidRDefault="6EF8D965" w:rsidP="00E62C97">
            <w:pPr>
              <w:pStyle w:val="TableParagraph"/>
              <w:rPr>
                <w:rFonts w:eastAsia="Inter Light"/>
              </w:rPr>
            </w:pPr>
            <w:r w:rsidRPr="6064B41A">
              <w:rPr>
                <w:rFonts w:eastAsia="Inter Light"/>
              </w:rPr>
              <w:t>7/54 (13%)</w:t>
            </w:r>
          </w:p>
        </w:tc>
      </w:tr>
      <w:tr w:rsidR="6EF8D965" w14:paraId="5448C691"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1880DC21" w14:textId="2DDA8C1B" w:rsidR="6EF8D965" w:rsidRDefault="6EF8D965" w:rsidP="00E62C97">
            <w:pPr>
              <w:pStyle w:val="TableParagraph"/>
              <w:rPr>
                <w:rFonts w:eastAsia="Inter Light"/>
              </w:rPr>
            </w:pPr>
            <w:r w:rsidRPr="6064B41A">
              <w:rPr>
                <w:rFonts w:eastAsia="Inter Light"/>
              </w:rPr>
              <w:t>Re-located to attend university</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6284911F" w14:textId="5C9A3CEA" w:rsidR="6EF8D965" w:rsidRDefault="6EF8D965" w:rsidP="00E62C97">
            <w:pPr>
              <w:pStyle w:val="TableParagraph"/>
              <w:rPr>
                <w:rFonts w:eastAsia="Inter Light"/>
              </w:rPr>
            </w:pPr>
            <w:r w:rsidRPr="6064B41A">
              <w:rPr>
                <w:rFonts w:eastAsia="Inter Light"/>
              </w:rPr>
              <w:t>7/54 (13%)</w:t>
            </w:r>
          </w:p>
        </w:tc>
      </w:tr>
      <w:tr w:rsidR="6EF8D965" w14:paraId="5A5C7BD3" w14:textId="77777777" w:rsidTr="658F4599">
        <w:trPr>
          <w:trHeight w:val="300"/>
        </w:trPr>
        <w:tc>
          <w:tcPr>
            <w:tcW w:w="4123" w:type="dxa"/>
            <w:tcBorders>
              <w:top w:val="single" w:sz="8" w:space="0" w:color="auto"/>
              <w:left w:val="single" w:sz="8" w:space="0" w:color="auto"/>
              <w:bottom w:val="single" w:sz="8" w:space="0" w:color="auto"/>
              <w:right w:val="single" w:sz="8" w:space="0" w:color="auto"/>
            </w:tcBorders>
            <w:tcMar>
              <w:left w:w="108" w:type="dxa"/>
              <w:right w:w="108" w:type="dxa"/>
            </w:tcMar>
          </w:tcPr>
          <w:p w14:paraId="38134FD9" w14:textId="74376400" w:rsidR="6EF8D965" w:rsidRDefault="6EF8D965" w:rsidP="00E62C97">
            <w:pPr>
              <w:pStyle w:val="TableParagraph"/>
              <w:rPr>
                <w:rFonts w:eastAsia="Inter Light"/>
              </w:rPr>
            </w:pPr>
            <w:r w:rsidRPr="6064B41A">
              <w:rPr>
                <w:rFonts w:eastAsia="Inter Light"/>
              </w:rPr>
              <w:t xml:space="preserve">Enabling </w:t>
            </w:r>
            <w:r w:rsidR="00A43496">
              <w:rPr>
                <w:rFonts w:eastAsia="Inter Light"/>
              </w:rPr>
              <w:t>p</w:t>
            </w:r>
            <w:r w:rsidRPr="6064B41A">
              <w:rPr>
                <w:rFonts w:eastAsia="Inter Light"/>
              </w:rPr>
              <w:t>rogram completed</w:t>
            </w:r>
            <w:r w:rsidR="00E62C97">
              <w:rPr>
                <w:rFonts w:eastAsia="Inter Light"/>
              </w:rPr>
              <w:t>:</w:t>
            </w:r>
          </w:p>
          <w:p w14:paraId="4B5927DB" w14:textId="37F3DA3E" w:rsidR="6EF8D965" w:rsidRDefault="6EF8D965" w:rsidP="00E62C97">
            <w:pPr>
              <w:pStyle w:val="TableParagraph"/>
              <w:rPr>
                <w:rFonts w:eastAsia="Inter Light"/>
              </w:rPr>
            </w:pPr>
            <w:proofErr w:type="spellStart"/>
            <w:r w:rsidRPr="6064B41A">
              <w:rPr>
                <w:rFonts w:eastAsia="Inter Light"/>
              </w:rPr>
              <w:t>UniPrep</w:t>
            </w:r>
            <w:proofErr w:type="spellEnd"/>
            <w:r w:rsidRPr="6064B41A">
              <w:rPr>
                <w:rFonts w:eastAsia="Inter Light"/>
              </w:rPr>
              <w:t xml:space="preserve"> (ECU)</w:t>
            </w:r>
          </w:p>
          <w:p w14:paraId="38F4B1D4" w14:textId="12D1DDBD" w:rsidR="6EF8D965" w:rsidRDefault="6EF8D965" w:rsidP="00E62C97">
            <w:pPr>
              <w:pStyle w:val="TableParagraph"/>
              <w:rPr>
                <w:rFonts w:eastAsia="Inter Light"/>
              </w:rPr>
            </w:pPr>
            <w:proofErr w:type="spellStart"/>
            <w:r w:rsidRPr="6064B41A">
              <w:rPr>
                <w:rFonts w:eastAsia="Inter Light"/>
              </w:rPr>
              <w:t>FlexiTrack</w:t>
            </w:r>
            <w:proofErr w:type="spellEnd"/>
            <w:r w:rsidRPr="6064B41A">
              <w:rPr>
                <w:rFonts w:eastAsia="Inter Light"/>
              </w:rPr>
              <w:t xml:space="preserve"> High (MU)</w:t>
            </w:r>
          </w:p>
          <w:p w14:paraId="54ED7F96" w14:textId="6CA02F59" w:rsidR="6EF8D965" w:rsidRDefault="6EF8D965" w:rsidP="00E62C97">
            <w:pPr>
              <w:pStyle w:val="TableParagraph"/>
              <w:rPr>
                <w:rFonts w:eastAsia="Inter Light"/>
              </w:rPr>
            </w:pPr>
            <w:proofErr w:type="spellStart"/>
            <w:r w:rsidRPr="6064B41A">
              <w:rPr>
                <w:rFonts w:eastAsia="Inter Light"/>
              </w:rPr>
              <w:t>UniStart</w:t>
            </w:r>
            <w:proofErr w:type="spellEnd"/>
            <w:r w:rsidRPr="6064B41A">
              <w:rPr>
                <w:rFonts w:eastAsia="Inter Light"/>
              </w:rPr>
              <w:t xml:space="preserve"> (SCU)</w:t>
            </w:r>
          </w:p>
          <w:p w14:paraId="7C672331" w14:textId="32581A70" w:rsidR="6EF8D965" w:rsidRDefault="6EF8D965" w:rsidP="00E62C97">
            <w:pPr>
              <w:pStyle w:val="TableParagraph"/>
              <w:rPr>
                <w:rFonts w:eastAsia="Inter Light"/>
              </w:rPr>
            </w:pPr>
            <w:proofErr w:type="spellStart"/>
            <w:r w:rsidRPr="6064B41A">
              <w:rPr>
                <w:rFonts w:eastAsia="Inter Light"/>
              </w:rPr>
              <w:t>UniPrep</w:t>
            </w:r>
            <w:proofErr w:type="spellEnd"/>
            <w:r w:rsidRPr="6064B41A">
              <w:rPr>
                <w:rFonts w:eastAsia="Inter Light"/>
              </w:rPr>
              <w:t xml:space="preserve"> (</w:t>
            </w:r>
            <w:proofErr w:type="spellStart"/>
            <w:r w:rsidRPr="6064B41A">
              <w:rPr>
                <w:rFonts w:eastAsia="Inter Light"/>
              </w:rPr>
              <w:t>UniSQ</w:t>
            </w:r>
            <w:proofErr w:type="spellEnd"/>
            <w:r w:rsidRPr="6064B41A">
              <w:rPr>
                <w:rFonts w:eastAsia="Inter Light"/>
              </w:rPr>
              <w:t>)</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565168E2" w14:textId="765D3A98" w:rsidR="6EF8D965" w:rsidRDefault="6EF8D965" w:rsidP="00E62C97">
            <w:pPr>
              <w:pStyle w:val="TableParagraph"/>
              <w:rPr>
                <w:rFonts w:eastAsia="Inter Light"/>
              </w:rPr>
            </w:pPr>
            <w:r w:rsidRPr="6064B41A">
              <w:rPr>
                <w:rFonts w:eastAsia="Inter Light"/>
              </w:rPr>
              <w:t xml:space="preserve"> </w:t>
            </w:r>
          </w:p>
          <w:p w14:paraId="1C53934A" w14:textId="43ED4255" w:rsidR="6EF8D965" w:rsidRDefault="6EF8D965" w:rsidP="00E62C97">
            <w:pPr>
              <w:pStyle w:val="TableParagraph"/>
              <w:rPr>
                <w:rFonts w:eastAsia="Inter Light"/>
              </w:rPr>
            </w:pPr>
            <w:r w:rsidRPr="6064B41A">
              <w:rPr>
                <w:rFonts w:eastAsia="Inter Light"/>
              </w:rPr>
              <w:t>21/54 (39%)</w:t>
            </w:r>
          </w:p>
          <w:p w14:paraId="472F96C1" w14:textId="018C55B4" w:rsidR="6EF8D965" w:rsidRDefault="6EF8D965" w:rsidP="00E62C97">
            <w:pPr>
              <w:pStyle w:val="TableParagraph"/>
              <w:rPr>
                <w:rFonts w:eastAsia="Inter Light"/>
              </w:rPr>
            </w:pPr>
            <w:r w:rsidRPr="6064B41A">
              <w:rPr>
                <w:rFonts w:eastAsia="Inter Light"/>
              </w:rPr>
              <w:t>25/54 (</w:t>
            </w:r>
            <w:r w:rsidRPr="078954C6">
              <w:rPr>
                <w:rFonts w:eastAsia="Inter Light"/>
              </w:rPr>
              <w:t>4</w:t>
            </w:r>
            <w:r w:rsidR="2DD00942" w:rsidRPr="078954C6">
              <w:rPr>
                <w:rFonts w:eastAsia="Inter Light"/>
              </w:rPr>
              <w:t>6</w:t>
            </w:r>
            <w:r w:rsidRPr="6064B41A">
              <w:rPr>
                <w:rFonts w:eastAsia="Inter Light"/>
              </w:rPr>
              <w:t>%)</w:t>
            </w:r>
          </w:p>
          <w:p w14:paraId="753C42F0" w14:textId="3CD156F9" w:rsidR="6EF8D965" w:rsidRDefault="6EF8D965" w:rsidP="00E62C97">
            <w:pPr>
              <w:pStyle w:val="TableParagraph"/>
              <w:rPr>
                <w:rFonts w:eastAsia="Inter Light"/>
              </w:rPr>
            </w:pPr>
            <w:r w:rsidRPr="6064B41A">
              <w:rPr>
                <w:rFonts w:eastAsia="Inter Light"/>
              </w:rPr>
              <w:t>6/54 (11%)</w:t>
            </w:r>
          </w:p>
          <w:p w14:paraId="32D5A032" w14:textId="2B5A970E" w:rsidR="6EF8D965" w:rsidRDefault="6EF8D965" w:rsidP="00E62C97">
            <w:pPr>
              <w:pStyle w:val="TableParagraph"/>
              <w:rPr>
                <w:rFonts w:eastAsia="Inter Light"/>
              </w:rPr>
            </w:pPr>
            <w:r w:rsidRPr="6064B41A">
              <w:rPr>
                <w:rFonts w:eastAsia="Inter Light"/>
              </w:rPr>
              <w:t>2/54 (4%)</w:t>
            </w:r>
          </w:p>
        </w:tc>
      </w:tr>
    </w:tbl>
    <w:p w14:paraId="6C69C681" w14:textId="522F9781" w:rsidR="731D7DE3" w:rsidRDefault="6493286B" w:rsidP="00E62C97">
      <w:pPr>
        <w:pStyle w:val="TableNote"/>
        <w:rPr>
          <w:rFonts w:eastAsia="Inter Light"/>
        </w:rPr>
      </w:pPr>
      <w:r w:rsidRPr="63140940">
        <w:rPr>
          <w:rFonts w:eastAsia="Inter Light"/>
        </w:rPr>
        <w:t xml:space="preserve">*Continuous variable is expressed as mean with standard deviation. </w:t>
      </w:r>
    </w:p>
    <w:p w14:paraId="71E186C0" w14:textId="4D640767" w:rsidR="003072D6" w:rsidRDefault="6493286B" w:rsidP="00A32591">
      <w:pPr>
        <w:rPr>
          <w:rFonts w:eastAsia="Inter Light"/>
        </w:rPr>
      </w:pPr>
      <w:r w:rsidRPr="6064B41A">
        <w:rPr>
          <w:rFonts w:eastAsia="Inter Light"/>
        </w:rPr>
        <w:t xml:space="preserve">As seen in Figure </w:t>
      </w:r>
      <w:r w:rsidR="1F60B197" w:rsidRPr="176388A4">
        <w:rPr>
          <w:rFonts w:eastAsia="Inter Light"/>
        </w:rPr>
        <w:t>4</w:t>
      </w:r>
      <w:r w:rsidRPr="6064B41A">
        <w:rPr>
          <w:rFonts w:eastAsia="Inter Light"/>
        </w:rPr>
        <w:t xml:space="preserve">, </w:t>
      </w:r>
      <w:r w:rsidR="00B43A6C">
        <w:rPr>
          <w:rFonts w:eastAsia="Inter Light"/>
        </w:rPr>
        <w:t>28</w:t>
      </w:r>
      <w:r w:rsidRPr="6064B41A">
        <w:rPr>
          <w:rFonts w:eastAsia="Inter Light"/>
        </w:rPr>
        <w:t>% of all respondents identified as belonging to one equity subgroup and a further 3</w:t>
      </w:r>
      <w:r w:rsidR="00B43A6C">
        <w:rPr>
          <w:rFonts w:eastAsia="Inter Light"/>
        </w:rPr>
        <w:t>9</w:t>
      </w:r>
      <w:r w:rsidRPr="6064B41A">
        <w:rPr>
          <w:rFonts w:eastAsia="Inter Light"/>
        </w:rPr>
        <w:t xml:space="preserve">% identified as belonging to two or more equity subgroups. </w:t>
      </w:r>
      <w:r w:rsidR="05997A77" w:rsidRPr="7DE77E40">
        <w:rPr>
          <w:rFonts w:eastAsia="Inter Light"/>
        </w:rPr>
        <w:t>Students were also asked about their paid and unpaid commitments whil</w:t>
      </w:r>
      <w:r w:rsidR="00F52ECC">
        <w:rPr>
          <w:rFonts w:eastAsia="Inter Light"/>
        </w:rPr>
        <w:t>e</w:t>
      </w:r>
      <w:r w:rsidR="05997A77" w:rsidRPr="7DE77E40">
        <w:rPr>
          <w:rFonts w:eastAsia="Inter Light"/>
        </w:rPr>
        <w:t xml:space="preserve"> studying</w:t>
      </w:r>
      <w:r w:rsidR="2D2F36C4" w:rsidRPr="57A74A0E">
        <w:rPr>
          <w:rFonts w:eastAsia="Inter Light"/>
        </w:rPr>
        <w:t xml:space="preserve"> at undergraduate level. </w:t>
      </w:r>
      <w:r w:rsidR="2D2F36C4" w:rsidRPr="741B9290">
        <w:rPr>
          <w:rFonts w:eastAsia="Inter Light"/>
        </w:rPr>
        <w:t xml:space="preserve">Almost all (92%) students were engaged in paid employment at the time of the survey, with </w:t>
      </w:r>
      <w:r w:rsidR="14BC673F" w:rsidRPr="66F2A1BD">
        <w:rPr>
          <w:rFonts w:eastAsia="Inter Light"/>
        </w:rPr>
        <w:t>almost</w:t>
      </w:r>
      <w:r w:rsidR="14BC673F" w:rsidRPr="6216F9D7">
        <w:rPr>
          <w:rFonts w:eastAsia="Inter Light"/>
        </w:rPr>
        <w:t xml:space="preserve"> a fifth engaged in full-time paid work. </w:t>
      </w:r>
      <w:r w:rsidR="14BC673F" w:rsidRPr="3DE8094D">
        <w:rPr>
          <w:rFonts w:eastAsia="Inter Light"/>
        </w:rPr>
        <w:t>A smaller percentage (</w:t>
      </w:r>
      <w:r w:rsidR="5EDC264D" w:rsidRPr="3DE8094D">
        <w:rPr>
          <w:rFonts w:eastAsia="Inter Light"/>
        </w:rPr>
        <w:t>25</w:t>
      </w:r>
      <w:r w:rsidR="5EDC264D" w:rsidRPr="5E6D1788">
        <w:rPr>
          <w:rFonts w:eastAsia="Inter Light"/>
        </w:rPr>
        <w:t>%)</w:t>
      </w:r>
      <w:r w:rsidR="5EDC264D" w:rsidRPr="3DE8094D">
        <w:rPr>
          <w:rFonts w:eastAsia="Inter Light"/>
        </w:rPr>
        <w:t xml:space="preserve"> were engaged in caring commitments for </w:t>
      </w:r>
      <w:r w:rsidR="00A43496">
        <w:rPr>
          <w:rFonts w:eastAsia="Inter Light"/>
        </w:rPr>
        <w:t>six or more</w:t>
      </w:r>
      <w:r w:rsidR="5EDC264D" w:rsidRPr="3DE8094D">
        <w:rPr>
          <w:rFonts w:eastAsia="Inter Light"/>
        </w:rPr>
        <w:t xml:space="preserve"> hours per week.</w:t>
      </w:r>
    </w:p>
    <w:p w14:paraId="54190EDD" w14:textId="77777777" w:rsidR="008C06EF" w:rsidRDefault="008C06EF" w:rsidP="00E64E36">
      <w:pPr>
        <w:pStyle w:val="Figureheading"/>
        <w:rPr>
          <w:rFonts w:eastAsia="Inter Light"/>
          <w:sz w:val="20"/>
          <w:szCs w:val="20"/>
        </w:rPr>
      </w:pPr>
    </w:p>
    <w:p w14:paraId="47460B68" w14:textId="77777777" w:rsidR="008C06EF" w:rsidRDefault="008C06EF" w:rsidP="00E64E36">
      <w:pPr>
        <w:pStyle w:val="Figureheading"/>
        <w:rPr>
          <w:rFonts w:eastAsia="Inter Light"/>
          <w:sz w:val="20"/>
          <w:szCs w:val="20"/>
        </w:rPr>
      </w:pPr>
    </w:p>
    <w:p w14:paraId="10919E99" w14:textId="77777777" w:rsidR="008C06EF" w:rsidRDefault="008C06EF" w:rsidP="00E64E36">
      <w:pPr>
        <w:pStyle w:val="Figureheading"/>
        <w:rPr>
          <w:rFonts w:eastAsia="Inter Light"/>
          <w:sz w:val="20"/>
          <w:szCs w:val="20"/>
        </w:rPr>
      </w:pPr>
    </w:p>
    <w:p w14:paraId="271279ED" w14:textId="77777777" w:rsidR="008C06EF" w:rsidRDefault="008C06EF" w:rsidP="00E64E36">
      <w:pPr>
        <w:pStyle w:val="Figureheading"/>
        <w:rPr>
          <w:rFonts w:eastAsia="Inter Light"/>
          <w:sz w:val="20"/>
          <w:szCs w:val="20"/>
        </w:rPr>
      </w:pPr>
    </w:p>
    <w:p w14:paraId="3C956A57" w14:textId="77777777" w:rsidR="008C06EF" w:rsidRDefault="008C06EF" w:rsidP="00E64E36">
      <w:pPr>
        <w:pStyle w:val="Figureheading"/>
        <w:rPr>
          <w:rFonts w:eastAsia="Inter Light"/>
          <w:sz w:val="20"/>
          <w:szCs w:val="20"/>
        </w:rPr>
      </w:pPr>
    </w:p>
    <w:p w14:paraId="01D95290" w14:textId="5A5A06DE" w:rsidR="6493286B" w:rsidRPr="00A43496" w:rsidRDefault="6493286B" w:rsidP="00F15E49">
      <w:pPr>
        <w:pStyle w:val="Figureheading"/>
        <w:rPr>
          <w:rFonts w:eastAsia="Inter Light"/>
          <w:i w:val="0"/>
        </w:rPr>
      </w:pPr>
      <w:bookmarkStart w:id="83" w:name="_Toc232575187"/>
      <w:r w:rsidRPr="00C473BD">
        <w:rPr>
          <w:rFonts w:eastAsia="Inter Light"/>
        </w:rPr>
        <w:lastRenderedPageBreak/>
        <w:t xml:space="preserve">Figure </w:t>
      </w:r>
      <w:r w:rsidR="7D81167B" w:rsidRPr="00C473BD">
        <w:rPr>
          <w:rFonts w:eastAsia="Inter Light"/>
        </w:rPr>
        <w:t>4</w:t>
      </w:r>
      <w:r w:rsidR="008C06EF">
        <w:rPr>
          <w:rFonts w:eastAsia="Inter Light"/>
        </w:rPr>
        <w:t>:</w:t>
      </w:r>
      <w:r w:rsidRPr="00C473BD">
        <w:rPr>
          <w:rFonts w:eastAsia="Inter Light"/>
        </w:rPr>
        <w:t xml:space="preserve"> Number of equity </w:t>
      </w:r>
      <w:r w:rsidR="00B43A6C">
        <w:rPr>
          <w:rFonts w:eastAsia="Inter Light"/>
        </w:rPr>
        <w:t>sub</w:t>
      </w:r>
      <w:r w:rsidRPr="00C473BD">
        <w:rPr>
          <w:rFonts w:eastAsia="Inter Light"/>
        </w:rPr>
        <w:t>groups that students identified as belonging to (</w:t>
      </w:r>
      <w:r w:rsidRPr="00B43A6C">
        <w:rPr>
          <w:rFonts w:eastAsia="Inter Light"/>
          <w:i w:val="0"/>
          <w:iCs w:val="0"/>
        </w:rPr>
        <w:t>n</w:t>
      </w:r>
      <w:r w:rsidR="00F15E49">
        <w:rPr>
          <w:rFonts w:eastAsia="Inter Light"/>
        </w:rPr>
        <w:t xml:space="preserve"> </w:t>
      </w:r>
      <w:r w:rsidRPr="00C473BD">
        <w:rPr>
          <w:rFonts w:eastAsia="Inter Light"/>
        </w:rPr>
        <w:t>=</w:t>
      </w:r>
      <w:r w:rsidR="00F15E49">
        <w:rPr>
          <w:rFonts w:eastAsia="Inter Light"/>
        </w:rPr>
        <w:t xml:space="preserve"> </w:t>
      </w:r>
      <w:r w:rsidRPr="00C473BD">
        <w:rPr>
          <w:rFonts w:eastAsia="Inter Light"/>
        </w:rPr>
        <w:t>54)</w:t>
      </w:r>
      <w:bookmarkEnd w:id="83"/>
    </w:p>
    <w:p w14:paraId="0E5F7852" w14:textId="3B38AB60" w:rsidR="6493286B" w:rsidRDefault="6493286B" w:rsidP="00A32591">
      <w:r w:rsidRPr="6064B41A">
        <w:rPr>
          <w:rFonts w:eastAsia="Inter Light"/>
        </w:rPr>
        <w:t xml:space="preserve"> </w:t>
      </w:r>
      <w:r w:rsidR="0DAD830C">
        <w:rPr>
          <w:noProof/>
        </w:rPr>
        <w:drawing>
          <wp:inline distT="0" distB="0" distL="0" distR="0" wp14:anchorId="2050C1B0" wp14:editId="4F2F2DB7">
            <wp:extent cx="2699550" cy="1583809"/>
            <wp:effectExtent l="0" t="0" r="0" b="0"/>
            <wp:docPr id="139844638" name="drawing" descr="Figure 4. Number of equity groups that students identified as belonging to (n=54), with 33% of students identified as belonging to at least on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4638" name="drawing" descr="Figure 4. Number of equity groups that students identified as belonging to (n=54), with 33% of students identified as belonging to at least one group."/>
                    <pic:cNvPicPr/>
                  </pic:nvPicPr>
                  <pic:blipFill>
                    <a:blip r:embed="rId22">
                      <a:extLst>
                        <a:ext uri="{28A0092B-C50C-407E-A947-70E740481C1C}">
                          <a14:useLocalDpi xmlns:a14="http://schemas.microsoft.com/office/drawing/2010/main"/>
                        </a:ext>
                      </a:extLst>
                    </a:blip>
                    <a:stretch>
                      <a:fillRect/>
                    </a:stretch>
                  </pic:blipFill>
                  <pic:spPr>
                    <a:xfrm>
                      <a:off x="0" y="0"/>
                      <a:ext cx="2699550" cy="1583809"/>
                    </a:xfrm>
                    <a:prstGeom prst="rect">
                      <a:avLst/>
                    </a:prstGeom>
                  </pic:spPr>
                </pic:pic>
              </a:graphicData>
            </a:graphic>
          </wp:inline>
        </w:drawing>
      </w:r>
    </w:p>
    <w:p w14:paraId="6793A18A" w14:textId="4AC650FC" w:rsidR="208CB5BC" w:rsidRDefault="208CB5BC">
      <w:r w:rsidRPr="52935A30">
        <w:rPr>
          <w:rFonts w:eastAsia="Inter Light"/>
        </w:rPr>
        <w:t xml:space="preserve">As noted in the analysis of student demographics in </w:t>
      </w:r>
      <w:r w:rsidR="00A43496">
        <w:rPr>
          <w:rFonts w:eastAsia="Inter Light"/>
        </w:rPr>
        <w:t>p</w:t>
      </w:r>
      <w:r w:rsidRPr="52935A30">
        <w:rPr>
          <w:rFonts w:eastAsia="Inter Light"/>
        </w:rPr>
        <w:t xml:space="preserve">hase </w:t>
      </w:r>
      <w:r w:rsidR="00A43496">
        <w:rPr>
          <w:rFonts w:eastAsia="Inter Light"/>
        </w:rPr>
        <w:t>t</w:t>
      </w:r>
      <w:r w:rsidRPr="52935A30">
        <w:rPr>
          <w:rFonts w:eastAsia="Inter Light"/>
        </w:rPr>
        <w:t xml:space="preserve">wo, expanded definitions of equity-deserving groups provide a more fulsome picture of the cohorts enrolled in ISEPs. Of note here is the inclusion of first-in-family, with 43% of students within this grouping. Further, the way questions were asked within the survey in comparison </w:t>
      </w:r>
      <w:r w:rsidR="00F9255A">
        <w:rPr>
          <w:rFonts w:eastAsia="Inter Light"/>
        </w:rPr>
        <w:t xml:space="preserve">to </w:t>
      </w:r>
      <w:r w:rsidRPr="52935A30">
        <w:rPr>
          <w:rFonts w:eastAsia="Inter Light"/>
        </w:rPr>
        <w:t>the TSCI may have influenced responses, particularly in relation to disability, medical condition, mental health condition</w:t>
      </w:r>
      <w:r w:rsidR="009B5310">
        <w:rPr>
          <w:rFonts w:eastAsia="Inter Light"/>
        </w:rPr>
        <w:t>,</w:t>
      </w:r>
      <w:r w:rsidRPr="52935A30">
        <w:rPr>
          <w:rFonts w:eastAsia="Inter Light"/>
        </w:rPr>
        <w:t xml:space="preserve"> and neurodivergence. The demographics presented through the survey results are more in alignment with institutional understanding of the cohorts enrolled in ISEPs, and reflective in more mature data capture since the commencement of this project. It is also notable that participants of student surveys had all completed an ISEP and commenced an undergraduate degree.</w:t>
      </w:r>
    </w:p>
    <w:p w14:paraId="5D5FE4EF" w14:textId="3B632042" w:rsidR="208CB5BC" w:rsidRPr="00C473BD" w:rsidRDefault="208CB5BC" w:rsidP="001B4BED">
      <w:pPr>
        <w:pStyle w:val="Normal-Bold"/>
      </w:pPr>
      <w:r w:rsidRPr="00C473BD">
        <w:t>Student experience and preparedness</w:t>
      </w:r>
    </w:p>
    <w:p w14:paraId="1C79768B" w14:textId="1D869BFC" w:rsidR="6493286B" w:rsidRDefault="6493286B" w:rsidP="00A32591">
      <w:r w:rsidRPr="6064B41A">
        <w:rPr>
          <w:rFonts w:eastAsia="Inter Light"/>
        </w:rPr>
        <w:t xml:space="preserve">Students were asked to rate their enjoyment of the </w:t>
      </w:r>
      <w:r w:rsidRPr="662BA6C2">
        <w:rPr>
          <w:rFonts w:eastAsia="Inter Light"/>
        </w:rPr>
        <w:t>I</w:t>
      </w:r>
      <w:r w:rsidR="15519E60" w:rsidRPr="662BA6C2">
        <w:rPr>
          <w:rFonts w:eastAsia="Inter Light"/>
        </w:rPr>
        <w:t>SEP</w:t>
      </w:r>
      <w:r w:rsidRPr="6064B41A">
        <w:rPr>
          <w:rFonts w:eastAsia="Inter Light"/>
        </w:rPr>
        <w:t xml:space="preserve">, how confident they felt on their first day of university, whether </w:t>
      </w:r>
      <w:r w:rsidR="037F9874" w:rsidRPr="52935A30">
        <w:rPr>
          <w:rFonts w:eastAsia="Inter Light"/>
        </w:rPr>
        <w:t>they felt the ISEP</w:t>
      </w:r>
      <w:r w:rsidRPr="6064B41A">
        <w:rPr>
          <w:rFonts w:eastAsia="Inter Light"/>
        </w:rPr>
        <w:t xml:space="preserve"> improved familiarity with the university environment</w:t>
      </w:r>
      <w:r w:rsidR="009B5310">
        <w:rPr>
          <w:rFonts w:eastAsia="Inter Light"/>
        </w:rPr>
        <w:t>,</w:t>
      </w:r>
      <w:r w:rsidRPr="6064B41A">
        <w:rPr>
          <w:rFonts w:eastAsia="Inter Light"/>
        </w:rPr>
        <w:t xml:space="preserve"> and preparedness for university. Table </w:t>
      </w:r>
      <w:r w:rsidR="7F11FFFB" w:rsidRPr="658F4599">
        <w:rPr>
          <w:rFonts w:eastAsia="Inter Light"/>
        </w:rPr>
        <w:t>1</w:t>
      </w:r>
      <w:r w:rsidR="263EBCE2" w:rsidRPr="658F4599">
        <w:rPr>
          <w:rFonts w:eastAsia="Inter Light"/>
        </w:rPr>
        <w:t>1</w:t>
      </w:r>
      <w:r w:rsidRPr="6064B41A">
        <w:rPr>
          <w:rFonts w:eastAsia="Inter Light"/>
        </w:rPr>
        <w:t xml:space="preserve"> shows the mean rating (and SD) for all respondents, as well as a comparison between students from non-equity and equity groups. Generally, the mean rating was between </w:t>
      </w:r>
      <w:r w:rsidR="009B5310">
        <w:rPr>
          <w:rFonts w:eastAsia="Inter Light"/>
        </w:rPr>
        <w:t>“</w:t>
      </w:r>
      <w:r w:rsidRPr="6064B41A">
        <w:rPr>
          <w:rFonts w:eastAsia="Inter Light"/>
        </w:rPr>
        <w:t>neutral</w:t>
      </w:r>
      <w:r w:rsidR="009B5310">
        <w:rPr>
          <w:rFonts w:eastAsia="Inter Light"/>
        </w:rPr>
        <w:t>”</w:t>
      </w:r>
      <w:r w:rsidRPr="6064B41A">
        <w:rPr>
          <w:rFonts w:eastAsia="Inter Light"/>
        </w:rPr>
        <w:t xml:space="preserve"> and </w:t>
      </w:r>
      <w:r w:rsidR="009B5310">
        <w:rPr>
          <w:rFonts w:eastAsia="Inter Light"/>
        </w:rPr>
        <w:t>“</w:t>
      </w:r>
      <w:r w:rsidRPr="6064B41A">
        <w:rPr>
          <w:rFonts w:eastAsia="Inter Light"/>
        </w:rPr>
        <w:t>extremely</w:t>
      </w:r>
      <w:r w:rsidR="009B5310">
        <w:rPr>
          <w:rFonts w:eastAsia="Inter Light"/>
        </w:rPr>
        <w:t>”,</w:t>
      </w:r>
      <w:r w:rsidRPr="6064B41A">
        <w:rPr>
          <w:rFonts w:eastAsia="Inter Light"/>
        </w:rPr>
        <w:t xml:space="preserve"> indicating that students enjoyed their </w:t>
      </w:r>
      <w:r w:rsidRPr="32E882C8">
        <w:rPr>
          <w:rFonts w:eastAsia="Inter Light"/>
        </w:rPr>
        <w:t>I</w:t>
      </w:r>
      <w:r w:rsidR="08427B92" w:rsidRPr="32E882C8">
        <w:rPr>
          <w:rFonts w:eastAsia="Inter Light"/>
        </w:rPr>
        <w:t>SEP</w:t>
      </w:r>
      <w:r w:rsidRPr="6064B41A">
        <w:rPr>
          <w:rFonts w:eastAsia="Inter Light"/>
        </w:rPr>
        <w:t>, felt somewhat confident on their first day of university, gained some familiarity with the university environment</w:t>
      </w:r>
      <w:r w:rsidR="009B5310">
        <w:rPr>
          <w:rFonts w:eastAsia="Inter Light"/>
        </w:rPr>
        <w:t>,</w:t>
      </w:r>
      <w:r w:rsidRPr="6064B41A">
        <w:rPr>
          <w:rFonts w:eastAsia="Inter Light"/>
        </w:rPr>
        <w:t xml:space="preserve"> and felt prepared for university. Responses were </w:t>
      </w:r>
      <w:r w:rsidR="246040AB" w:rsidRPr="59F27201">
        <w:rPr>
          <w:rFonts w:eastAsia="Inter Light"/>
        </w:rPr>
        <w:t>most</w:t>
      </w:r>
      <w:r w:rsidR="731D7DE3" w:rsidRPr="59F27201">
        <w:rPr>
          <w:rFonts w:eastAsia="Inter Light"/>
        </w:rPr>
        <w:t>ly</w:t>
      </w:r>
      <w:r w:rsidRPr="6064B41A">
        <w:rPr>
          <w:rFonts w:eastAsia="Inter Light"/>
        </w:rPr>
        <w:t xml:space="preserve"> not </w:t>
      </w:r>
      <w:r w:rsidR="6B0E2B06" w:rsidRPr="4AEDEC2A">
        <w:rPr>
          <w:rFonts w:eastAsia="Inter Light"/>
        </w:rPr>
        <w:t>significantly</w:t>
      </w:r>
      <w:r w:rsidR="4311B2E6" w:rsidRPr="0F51EBA5">
        <w:rPr>
          <w:rFonts w:eastAsia="Inter Light"/>
        </w:rPr>
        <w:t xml:space="preserve"> </w:t>
      </w:r>
      <w:r w:rsidR="731D7DE3" w:rsidRPr="0F51EBA5">
        <w:rPr>
          <w:rFonts w:eastAsia="Inter Light"/>
        </w:rPr>
        <w:t>different</w:t>
      </w:r>
      <w:r w:rsidRPr="6064B41A">
        <w:rPr>
          <w:rFonts w:eastAsia="Inter Light"/>
        </w:rPr>
        <w:t xml:space="preserve"> when stratified by equity status, though students from equity groups rated familiarity with the university environment slightly lower than those from non-equity backgrounds. This may reflect the experience of students who did not complete a campus visit. For example, the regional and remote subgroup sit within the equity cohort and their mean rating of this question sat even lower at 5.63 (+/- SD of 3.54, n=10).</w:t>
      </w:r>
    </w:p>
    <w:p w14:paraId="33FEDE55" w14:textId="77777777" w:rsidR="008C06EF" w:rsidRDefault="008C06EF" w:rsidP="003D6DC2">
      <w:pPr>
        <w:pStyle w:val="TOCHeading"/>
        <w:rPr>
          <w:sz w:val="20"/>
          <w:szCs w:val="20"/>
        </w:rPr>
      </w:pPr>
    </w:p>
    <w:p w14:paraId="5A564315" w14:textId="77777777" w:rsidR="008C06EF" w:rsidRDefault="008C06EF" w:rsidP="003D6DC2">
      <w:pPr>
        <w:pStyle w:val="TOCHeading"/>
        <w:rPr>
          <w:sz w:val="20"/>
          <w:szCs w:val="20"/>
        </w:rPr>
      </w:pPr>
    </w:p>
    <w:p w14:paraId="69EBABE9" w14:textId="77777777" w:rsidR="008C06EF" w:rsidRDefault="008C06EF" w:rsidP="003D6DC2">
      <w:pPr>
        <w:pStyle w:val="TOCHeading"/>
        <w:rPr>
          <w:sz w:val="20"/>
          <w:szCs w:val="20"/>
        </w:rPr>
      </w:pPr>
    </w:p>
    <w:p w14:paraId="51DF1AEE" w14:textId="77777777" w:rsidR="008C06EF" w:rsidRDefault="008C06EF" w:rsidP="003D6DC2">
      <w:pPr>
        <w:pStyle w:val="TOCHeading"/>
        <w:rPr>
          <w:sz w:val="20"/>
          <w:szCs w:val="20"/>
        </w:rPr>
      </w:pPr>
    </w:p>
    <w:p w14:paraId="1434D392" w14:textId="77777777" w:rsidR="008C06EF" w:rsidRDefault="008C06EF" w:rsidP="003D6DC2">
      <w:pPr>
        <w:pStyle w:val="TOCHeading"/>
        <w:rPr>
          <w:sz w:val="20"/>
          <w:szCs w:val="20"/>
        </w:rPr>
      </w:pPr>
    </w:p>
    <w:p w14:paraId="6292CC81" w14:textId="77777777" w:rsidR="008C06EF" w:rsidRDefault="008C06EF" w:rsidP="003D6DC2">
      <w:pPr>
        <w:pStyle w:val="TOCHeading"/>
        <w:rPr>
          <w:sz w:val="20"/>
          <w:szCs w:val="20"/>
        </w:rPr>
      </w:pPr>
    </w:p>
    <w:p w14:paraId="37C11F19" w14:textId="77777777" w:rsidR="008C06EF" w:rsidRDefault="008C06EF" w:rsidP="003D6DC2">
      <w:pPr>
        <w:pStyle w:val="TOCHeading"/>
        <w:rPr>
          <w:sz w:val="20"/>
          <w:szCs w:val="20"/>
        </w:rPr>
      </w:pPr>
    </w:p>
    <w:p w14:paraId="68FDB7D7" w14:textId="77777777" w:rsidR="00F15E49" w:rsidRDefault="00F15E49">
      <w:pPr>
        <w:spacing w:line="259" w:lineRule="auto"/>
        <w:rPr>
          <w:rFonts w:eastAsia="Arial"/>
          <w:bCs/>
          <w:i/>
          <w:iCs/>
          <w:sz w:val="20"/>
          <w:szCs w:val="20"/>
        </w:rPr>
      </w:pPr>
      <w:r>
        <w:rPr>
          <w:sz w:val="20"/>
          <w:szCs w:val="20"/>
        </w:rPr>
        <w:br w:type="page"/>
      </w:r>
    </w:p>
    <w:p w14:paraId="72921A9D" w14:textId="501AD1A3" w:rsidR="6493286B" w:rsidRPr="000E6711" w:rsidRDefault="6493286B" w:rsidP="00F15E49">
      <w:pPr>
        <w:pStyle w:val="TOCHeading"/>
      </w:pPr>
      <w:bookmarkStart w:id="84" w:name="_Toc232575180"/>
      <w:r w:rsidRPr="000E6711">
        <w:lastRenderedPageBreak/>
        <w:t xml:space="preserve">Table </w:t>
      </w:r>
      <w:r w:rsidR="60CEAA9D" w:rsidRPr="000E6711">
        <w:t>1</w:t>
      </w:r>
      <w:r w:rsidR="20C75A3D" w:rsidRPr="000E6711">
        <w:t>1</w:t>
      </w:r>
      <w:r w:rsidR="008C06EF">
        <w:t>:</w:t>
      </w:r>
      <w:r w:rsidRPr="000E6711">
        <w:t xml:space="preserve"> Student mean ratings (+/- SD) of enjoyment, confidence, familiarity and preparation for university, as well as satisfaction with the </w:t>
      </w:r>
      <w:r w:rsidR="00694FB5">
        <w:t>in-school enabling programs</w:t>
      </w:r>
      <w:r w:rsidRPr="000E6711">
        <w:t xml:space="preserve"> on a 11-point Likert scale.</w:t>
      </w:r>
      <w:bookmarkEnd w:id="84"/>
    </w:p>
    <w:tbl>
      <w:tblPr>
        <w:tblW w:w="0" w:type="auto"/>
        <w:tblCellMar>
          <w:top w:w="68" w:type="dxa"/>
          <w:left w:w="68" w:type="dxa"/>
          <w:bottom w:w="68" w:type="dxa"/>
          <w:right w:w="68" w:type="dxa"/>
        </w:tblCellMar>
        <w:tblLook w:val="04A0" w:firstRow="1" w:lastRow="0" w:firstColumn="1" w:lastColumn="0" w:noHBand="0" w:noVBand="1"/>
      </w:tblPr>
      <w:tblGrid>
        <w:gridCol w:w="4367"/>
        <w:gridCol w:w="1585"/>
        <w:gridCol w:w="1523"/>
        <w:gridCol w:w="1531"/>
      </w:tblGrid>
      <w:tr w:rsidR="6EF8D965" w14:paraId="27BA40A5" w14:textId="77777777" w:rsidTr="00EF15B5">
        <w:trPr>
          <w:trHeight w:val="300"/>
        </w:trPr>
        <w:tc>
          <w:tcPr>
            <w:tcW w:w="4921"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6961EA84" w14:textId="2F1B108C" w:rsidR="6EF8D965" w:rsidRDefault="6EF8D965" w:rsidP="003D6DC2">
            <w:pPr>
              <w:pStyle w:val="Normal-Bold"/>
              <w:rPr>
                <w:rFonts w:eastAsia="Inter Light"/>
              </w:rPr>
            </w:pPr>
            <w:r w:rsidRPr="6064B41A">
              <w:rPr>
                <w:rFonts w:eastAsia="Inter Light"/>
              </w:rPr>
              <w:t>Survey questions</w:t>
            </w:r>
          </w:p>
        </w:tc>
        <w:tc>
          <w:tcPr>
            <w:tcW w:w="1594"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72DBC1E6" w14:textId="2FE931CF" w:rsidR="6EF8D965" w:rsidRDefault="6EF8D965" w:rsidP="003D6DC2">
            <w:pPr>
              <w:pStyle w:val="Normal-Bold"/>
              <w:rPr>
                <w:rFonts w:eastAsia="Inter Light"/>
              </w:rPr>
            </w:pPr>
            <w:r w:rsidRPr="6064B41A">
              <w:rPr>
                <w:rFonts w:eastAsia="Inter Light"/>
              </w:rPr>
              <w:t xml:space="preserve">All respondents </w:t>
            </w:r>
            <w:r>
              <w:rPr>
                <w:rFonts w:eastAsia="Inter Light"/>
                <w:b w:val="0"/>
              </w:rPr>
              <w:t>(</w:t>
            </w:r>
            <w:r w:rsidRPr="00B43A6C">
              <w:rPr>
                <w:rFonts w:eastAsia="Inter Light"/>
                <w:b w:val="0"/>
                <w:i/>
                <w:iCs/>
              </w:rPr>
              <w:t>n</w:t>
            </w:r>
            <w:r w:rsidR="00F15E49">
              <w:rPr>
                <w:rFonts w:eastAsia="Inter Light"/>
                <w:b w:val="0"/>
              </w:rPr>
              <w:t xml:space="preserve"> </w:t>
            </w:r>
            <w:r>
              <w:rPr>
                <w:rFonts w:eastAsia="Inter Light"/>
                <w:b w:val="0"/>
              </w:rPr>
              <w:t>=</w:t>
            </w:r>
            <w:r w:rsidR="00F15E49">
              <w:rPr>
                <w:rFonts w:eastAsia="Inter Light"/>
                <w:b w:val="0"/>
              </w:rPr>
              <w:t xml:space="preserve"> </w:t>
            </w:r>
            <w:r>
              <w:rPr>
                <w:rFonts w:eastAsia="Inter Light"/>
                <w:b w:val="0"/>
              </w:rPr>
              <w:t>41</w:t>
            </w:r>
            <w:r w:rsidR="00F15E49">
              <w:rPr>
                <w:rFonts w:eastAsia="Inter Light"/>
                <w:b w:val="0"/>
              </w:rPr>
              <w:t>–</w:t>
            </w:r>
            <w:r>
              <w:rPr>
                <w:rFonts w:eastAsia="Inter Light"/>
                <w:b w:val="0"/>
              </w:rPr>
              <w:t>48)</w:t>
            </w:r>
          </w:p>
        </w:tc>
        <w:tc>
          <w:tcPr>
            <w:tcW w:w="1653"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6C1F169" w14:textId="202892A4" w:rsidR="6EF8D965" w:rsidRDefault="6EF8D965" w:rsidP="003D6DC2">
            <w:pPr>
              <w:pStyle w:val="Normal-Bold"/>
              <w:rPr>
                <w:rFonts w:eastAsia="Inter Light"/>
              </w:rPr>
            </w:pPr>
            <w:r w:rsidRPr="6064B41A">
              <w:rPr>
                <w:rFonts w:eastAsia="Inter Light"/>
              </w:rPr>
              <w:t xml:space="preserve">Non-equity group </w:t>
            </w:r>
            <w:r w:rsidR="00F15E49">
              <w:rPr>
                <w:rFonts w:eastAsia="Inter Light"/>
              </w:rPr>
              <w:br/>
            </w:r>
            <w:r>
              <w:rPr>
                <w:rFonts w:eastAsia="Inter Light"/>
                <w:b w:val="0"/>
              </w:rPr>
              <w:t>(</w:t>
            </w:r>
            <w:r w:rsidRPr="00B43A6C">
              <w:rPr>
                <w:rFonts w:eastAsia="Inter Light"/>
                <w:b w:val="0"/>
                <w:i/>
                <w:iCs/>
              </w:rPr>
              <w:t>n</w:t>
            </w:r>
            <w:r w:rsidR="00F15E49">
              <w:rPr>
                <w:rFonts w:eastAsia="Inter Light"/>
                <w:b w:val="0"/>
              </w:rPr>
              <w:t xml:space="preserve"> </w:t>
            </w:r>
            <w:r>
              <w:rPr>
                <w:rFonts w:eastAsia="Inter Light"/>
                <w:b w:val="0"/>
              </w:rPr>
              <w:t>=</w:t>
            </w:r>
            <w:r w:rsidR="00F15E49">
              <w:rPr>
                <w:rFonts w:eastAsia="Inter Light"/>
                <w:b w:val="0"/>
              </w:rPr>
              <w:t xml:space="preserve"> </w:t>
            </w:r>
            <w:r>
              <w:rPr>
                <w:rFonts w:eastAsia="Inter Light"/>
                <w:b w:val="0"/>
              </w:rPr>
              <w:t>12</w:t>
            </w:r>
            <w:r w:rsidR="00F15E49">
              <w:rPr>
                <w:rFonts w:eastAsia="Inter Light"/>
                <w:b w:val="0"/>
              </w:rPr>
              <w:t>–</w:t>
            </w:r>
            <w:r>
              <w:rPr>
                <w:rFonts w:eastAsia="Inter Light"/>
                <w:b w:val="0"/>
              </w:rPr>
              <w:t>14)</w:t>
            </w:r>
          </w:p>
        </w:tc>
        <w:tc>
          <w:tcPr>
            <w:tcW w:w="1657"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7BCA4BA2" w14:textId="4F8E5925" w:rsidR="6EF8D965" w:rsidRPr="003D6DC2" w:rsidRDefault="6EF8D965" w:rsidP="00B14887">
            <w:pPr>
              <w:pStyle w:val="Normal-Bold"/>
              <w:rPr>
                <w:rFonts w:eastAsia="Inter Light"/>
              </w:rPr>
            </w:pPr>
            <w:r w:rsidRPr="6064B41A">
              <w:rPr>
                <w:rFonts w:eastAsia="Inter Light"/>
              </w:rPr>
              <w:t xml:space="preserve">Equity group </w:t>
            </w:r>
            <w:r w:rsidR="00B14887">
              <w:rPr>
                <w:rFonts w:eastAsia="Inter Light"/>
              </w:rPr>
              <w:br/>
            </w:r>
            <w:r w:rsidRPr="00B14887">
              <w:rPr>
                <w:rFonts w:eastAsia="Inter Light"/>
                <w:b w:val="0"/>
              </w:rPr>
              <w:t>(</w:t>
            </w:r>
            <w:r w:rsidRPr="00B43A6C">
              <w:rPr>
                <w:rFonts w:eastAsia="Inter Light"/>
                <w:b w:val="0"/>
                <w:i/>
                <w:iCs/>
              </w:rPr>
              <w:t>n</w:t>
            </w:r>
            <w:r w:rsidR="00F15E49">
              <w:rPr>
                <w:rFonts w:eastAsia="Inter Light"/>
                <w:b w:val="0"/>
              </w:rPr>
              <w:t xml:space="preserve"> </w:t>
            </w:r>
            <w:r w:rsidRPr="00B14887">
              <w:rPr>
                <w:rFonts w:eastAsia="Inter Light"/>
                <w:b w:val="0"/>
              </w:rPr>
              <w:t>= 29</w:t>
            </w:r>
            <w:r w:rsidR="00F15E49">
              <w:rPr>
                <w:rFonts w:eastAsia="Inter Light"/>
                <w:b w:val="0"/>
              </w:rPr>
              <w:t>–</w:t>
            </w:r>
            <w:r w:rsidRPr="00B14887">
              <w:rPr>
                <w:rFonts w:eastAsia="Inter Light"/>
                <w:b w:val="0"/>
              </w:rPr>
              <w:t>34)</w:t>
            </w:r>
          </w:p>
        </w:tc>
      </w:tr>
      <w:tr w:rsidR="6EF8D965" w14:paraId="50F40099" w14:textId="77777777" w:rsidTr="00EF15B5">
        <w:trPr>
          <w:trHeight w:val="300"/>
        </w:trPr>
        <w:tc>
          <w:tcPr>
            <w:tcW w:w="4921" w:type="dxa"/>
            <w:tcBorders>
              <w:top w:val="single" w:sz="8" w:space="0" w:color="auto"/>
              <w:left w:val="single" w:sz="8" w:space="0" w:color="auto"/>
              <w:bottom w:val="single" w:sz="8" w:space="0" w:color="auto"/>
              <w:right w:val="single" w:sz="8" w:space="0" w:color="auto"/>
            </w:tcBorders>
            <w:tcMar>
              <w:left w:w="108" w:type="dxa"/>
              <w:right w:w="108" w:type="dxa"/>
            </w:tcMar>
          </w:tcPr>
          <w:p w14:paraId="4134810C" w14:textId="4E3B31C7" w:rsidR="6EF8D965" w:rsidRDefault="6EF8D965" w:rsidP="003D6DC2">
            <w:pPr>
              <w:pStyle w:val="TableParagraph"/>
              <w:rPr>
                <w:rFonts w:eastAsia="Inter Light"/>
              </w:rPr>
            </w:pPr>
            <w:r w:rsidRPr="6064B41A">
              <w:rPr>
                <w:rFonts w:eastAsia="Inter Light"/>
              </w:rPr>
              <w:t xml:space="preserve">How much did you enjoy your </w:t>
            </w:r>
            <w:r w:rsidR="004B1A2E">
              <w:rPr>
                <w:rFonts w:eastAsia="Inter Light"/>
              </w:rPr>
              <w:t>ISEP</w:t>
            </w:r>
            <w:r w:rsidR="009B5310">
              <w:rPr>
                <w:rFonts w:eastAsia="Inter Light"/>
              </w:rPr>
              <w:t>s</w:t>
            </w:r>
            <w:r w:rsidRPr="6064B41A">
              <w:rPr>
                <w:rFonts w:eastAsia="Inter Light"/>
              </w:rPr>
              <w:t xml:space="preserve"> experience?</w:t>
            </w:r>
          </w:p>
        </w:tc>
        <w:tc>
          <w:tcPr>
            <w:tcW w:w="1594" w:type="dxa"/>
            <w:tcBorders>
              <w:top w:val="single" w:sz="8" w:space="0" w:color="auto"/>
              <w:left w:val="single" w:sz="8" w:space="0" w:color="auto"/>
              <w:bottom w:val="single" w:sz="8" w:space="0" w:color="auto"/>
              <w:right w:val="single" w:sz="8" w:space="0" w:color="auto"/>
            </w:tcBorders>
            <w:tcMar>
              <w:left w:w="108" w:type="dxa"/>
              <w:right w:w="108" w:type="dxa"/>
            </w:tcMar>
          </w:tcPr>
          <w:p w14:paraId="129412E5" w14:textId="7D8AC8DA" w:rsidR="6EF8D965" w:rsidRDefault="6EF8D965" w:rsidP="003D6DC2">
            <w:pPr>
              <w:pStyle w:val="TableParagraph"/>
              <w:rPr>
                <w:rFonts w:eastAsia="Inter Light"/>
              </w:rPr>
            </w:pPr>
            <w:r w:rsidRPr="6064B41A">
              <w:rPr>
                <w:rFonts w:eastAsia="Inter Light"/>
              </w:rPr>
              <w:t>7.79 (1.75)</w:t>
            </w:r>
          </w:p>
        </w:tc>
        <w:tc>
          <w:tcPr>
            <w:tcW w:w="1653" w:type="dxa"/>
            <w:tcBorders>
              <w:top w:val="single" w:sz="8" w:space="0" w:color="auto"/>
              <w:left w:val="single" w:sz="8" w:space="0" w:color="auto"/>
              <w:bottom w:val="single" w:sz="8" w:space="0" w:color="auto"/>
              <w:right w:val="single" w:sz="8" w:space="0" w:color="auto"/>
            </w:tcBorders>
            <w:tcMar>
              <w:left w:w="108" w:type="dxa"/>
              <w:right w:w="108" w:type="dxa"/>
            </w:tcMar>
          </w:tcPr>
          <w:p w14:paraId="1658AA4F" w14:textId="247F9537" w:rsidR="6EF8D965" w:rsidRDefault="6EF8D965" w:rsidP="003D6DC2">
            <w:pPr>
              <w:pStyle w:val="TableParagraph"/>
              <w:rPr>
                <w:rFonts w:eastAsia="Inter Light"/>
              </w:rPr>
            </w:pPr>
            <w:r w:rsidRPr="6064B41A">
              <w:rPr>
                <w:rFonts w:eastAsia="Inter Light"/>
              </w:rPr>
              <w:t>7.64 (1.34)</w:t>
            </w:r>
          </w:p>
        </w:tc>
        <w:tc>
          <w:tcPr>
            <w:tcW w:w="1657" w:type="dxa"/>
            <w:tcBorders>
              <w:top w:val="single" w:sz="8" w:space="0" w:color="auto"/>
              <w:left w:val="single" w:sz="8" w:space="0" w:color="auto"/>
              <w:bottom w:val="single" w:sz="8" w:space="0" w:color="auto"/>
              <w:right w:val="single" w:sz="8" w:space="0" w:color="auto"/>
            </w:tcBorders>
            <w:tcMar>
              <w:left w:w="108" w:type="dxa"/>
              <w:right w:w="108" w:type="dxa"/>
            </w:tcMar>
          </w:tcPr>
          <w:p w14:paraId="7CAE7372" w14:textId="3F08A533" w:rsidR="6EF8D965" w:rsidRDefault="6EF8D965" w:rsidP="003D6DC2">
            <w:pPr>
              <w:pStyle w:val="TableParagraph"/>
              <w:rPr>
                <w:rFonts w:eastAsia="Inter Light"/>
              </w:rPr>
            </w:pPr>
            <w:r w:rsidRPr="6064B41A">
              <w:rPr>
                <w:rFonts w:eastAsia="Inter Light"/>
              </w:rPr>
              <w:t>7.85 (1.91)</w:t>
            </w:r>
          </w:p>
        </w:tc>
      </w:tr>
      <w:tr w:rsidR="6EF8D965" w14:paraId="5ED44653" w14:textId="77777777" w:rsidTr="00EF15B5">
        <w:trPr>
          <w:trHeight w:val="300"/>
        </w:trPr>
        <w:tc>
          <w:tcPr>
            <w:tcW w:w="4921" w:type="dxa"/>
            <w:tcBorders>
              <w:top w:val="single" w:sz="8" w:space="0" w:color="auto"/>
              <w:left w:val="single" w:sz="8" w:space="0" w:color="auto"/>
              <w:bottom w:val="single" w:sz="8" w:space="0" w:color="auto"/>
              <w:right w:val="single" w:sz="8" w:space="0" w:color="auto"/>
            </w:tcBorders>
            <w:tcMar>
              <w:left w:w="108" w:type="dxa"/>
              <w:right w:w="108" w:type="dxa"/>
            </w:tcMar>
          </w:tcPr>
          <w:p w14:paraId="018B809C" w14:textId="3CC64EB4" w:rsidR="6EF8D965" w:rsidRDefault="6EF8D965" w:rsidP="003D6DC2">
            <w:pPr>
              <w:pStyle w:val="TableParagraph"/>
              <w:rPr>
                <w:rFonts w:eastAsia="Inter Light"/>
              </w:rPr>
            </w:pPr>
            <w:r w:rsidRPr="6064B41A">
              <w:rPr>
                <w:rFonts w:eastAsia="Inter Light"/>
              </w:rPr>
              <w:t>How confident did you feel on your first day of university?</w:t>
            </w:r>
          </w:p>
        </w:tc>
        <w:tc>
          <w:tcPr>
            <w:tcW w:w="1594" w:type="dxa"/>
            <w:tcBorders>
              <w:top w:val="single" w:sz="8" w:space="0" w:color="auto"/>
              <w:left w:val="single" w:sz="8" w:space="0" w:color="auto"/>
              <w:bottom w:val="single" w:sz="8" w:space="0" w:color="auto"/>
              <w:right w:val="single" w:sz="8" w:space="0" w:color="auto"/>
            </w:tcBorders>
            <w:tcMar>
              <w:left w:w="108" w:type="dxa"/>
              <w:right w:w="108" w:type="dxa"/>
            </w:tcMar>
          </w:tcPr>
          <w:p w14:paraId="35B7AC9A" w14:textId="3AC4D27F" w:rsidR="6EF8D965" w:rsidRDefault="6EF8D965" w:rsidP="003D6DC2">
            <w:pPr>
              <w:pStyle w:val="TableParagraph"/>
              <w:rPr>
                <w:rFonts w:eastAsia="Inter Light"/>
              </w:rPr>
            </w:pPr>
            <w:r w:rsidRPr="6064B41A">
              <w:rPr>
                <w:rFonts w:eastAsia="Inter Light"/>
              </w:rPr>
              <w:t>5.93 (2.25)</w:t>
            </w:r>
          </w:p>
        </w:tc>
        <w:tc>
          <w:tcPr>
            <w:tcW w:w="1653" w:type="dxa"/>
            <w:tcBorders>
              <w:top w:val="single" w:sz="8" w:space="0" w:color="auto"/>
              <w:left w:val="single" w:sz="8" w:space="0" w:color="auto"/>
              <w:bottom w:val="single" w:sz="8" w:space="0" w:color="auto"/>
              <w:right w:val="single" w:sz="8" w:space="0" w:color="auto"/>
            </w:tcBorders>
            <w:tcMar>
              <w:left w:w="108" w:type="dxa"/>
              <w:right w:w="108" w:type="dxa"/>
            </w:tcMar>
          </w:tcPr>
          <w:p w14:paraId="18AB7C37" w14:textId="652FD74F" w:rsidR="6EF8D965" w:rsidRDefault="6EF8D965" w:rsidP="003D6DC2">
            <w:pPr>
              <w:pStyle w:val="TableParagraph"/>
              <w:rPr>
                <w:rFonts w:eastAsia="Inter Light"/>
              </w:rPr>
            </w:pPr>
            <w:r w:rsidRPr="6064B41A">
              <w:rPr>
                <w:rFonts w:eastAsia="Inter Light"/>
              </w:rPr>
              <w:t>5.83 (2.33)</w:t>
            </w:r>
          </w:p>
        </w:tc>
        <w:tc>
          <w:tcPr>
            <w:tcW w:w="1657" w:type="dxa"/>
            <w:tcBorders>
              <w:top w:val="single" w:sz="8" w:space="0" w:color="auto"/>
              <w:left w:val="single" w:sz="8" w:space="0" w:color="auto"/>
              <w:bottom w:val="single" w:sz="8" w:space="0" w:color="auto"/>
              <w:right w:val="single" w:sz="8" w:space="0" w:color="auto"/>
            </w:tcBorders>
            <w:tcMar>
              <w:left w:w="108" w:type="dxa"/>
              <w:right w:w="108" w:type="dxa"/>
            </w:tcMar>
          </w:tcPr>
          <w:p w14:paraId="5AEB0F57" w14:textId="29E23652" w:rsidR="6EF8D965" w:rsidRDefault="6EF8D965" w:rsidP="003D6DC2">
            <w:pPr>
              <w:pStyle w:val="TableParagraph"/>
              <w:rPr>
                <w:rFonts w:eastAsia="Inter Light"/>
              </w:rPr>
            </w:pPr>
            <w:r w:rsidRPr="6064B41A">
              <w:rPr>
                <w:rFonts w:eastAsia="Inter Light"/>
              </w:rPr>
              <w:t>5.97 (2.26)</w:t>
            </w:r>
          </w:p>
        </w:tc>
      </w:tr>
      <w:tr w:rsidR="6EF8D965" w14:paraId="024AEB19" w14:textId="77777777" w:rsidTr="00EF15B5">
        <w:trPr>
          <w:trHeight w:val="300"/>
        </w:trPr>
        <w:tc>
          <w:tcPr>
            <w:tcW w:w="4921" w:type="dxa"/>
            <w:tcBorders>
              <w:top w:val="single" w:sz="8" w:space="0" w:color="auto"/>
              <w:left w:val="single" w:sz="8" w:space="0" w:color="auto"/>
              <w:bottom w:val="single" w:sz="8" w:space="0" w:color="auto"/>
              <w:right w:val="single" w:sz="8" w:space="0" w:color="auto"/>
            </w:tcBorders>
            <w:tcMar>
              <w:left w:w="108" w:type="dxa"/>
              <w:right w:w="108" w:type="dxa"/>
            </w:tcMar>
          </w:tcPr>
          <w:p w14:paraId="14BC1C77" w14:textId="5FEBC2B5" w:rsidR="6EF8D965" w:rsidRDefault="6EF8D965" w:rsidP="003D6DC2">
            <w:pPr>
              <w:pStyle w:val="TableParagraph"/>
              <w:rPr>
                <w:rFonts w:eastAsia="Inter Light"/>
              </w:rPr>
            </w:pPr>
            <w:r w:rsidRPr="6064B41A">
              <w:rPr>
                <w:rFonts w:eastAsia="Inter Light"/>
              </w:rPr>
              <w:t xml:space="preserve">If you participated in a campus experience visit during the </w:t>
            </w:r>
            <w:r w:rsidR="004B1A2E">
              <w:rPr>
                <w:rFonts w:eastAsia="Inter Light"/>
              </w:rPr>
              <w:t>ISEP</w:t>
            </w:r>
            <w:r w:rsidR="000E6711">
              <w:rPr>
                <w:rFonts w:eastAsia="Inter Light"/>
              </w:rPr>
              <w:t>s</w:t>
            </w:r>
            <w:r w:rsidRPr="6064B41A">
              <w:rPr>
                <w:rFonts w:eastAsia="Inter Light"/>
              </w:rPr>
              <w:t>, did it improve your familiarity with the university environment?</w:t>
            </w:r>
          </w:p>
        </w:tc>
        <w:tc>
          <w:tcPr>
            <w:tcW w:w="1594" w:type="dxa"/>
            <w:tcBorders>
              <w:top w:val="single" w:sz="8" w:space="0" w:color="auto"/>
              <w:left w:val="single" w:sz="8" w:space="0" w:color="auto"/>
              <w:bottom w:val="single" w:sz="8" w:space="0" w:color="auto"/>
              <w:right w:val="single" w:sz="8" w:space="0" w:color="auto"/>
            </w:tcBorders>
            <w:tcMar>
              <w:left w:w="108" w:type="dxa"/>
              <w:right w:w="108" w:type="dxa"/>
            </w:tcMar>
          </w:tcPr>
          <w:p w14:paraId="447F6B6F" w14:textId="34FD1ECF" w:rsidR="6EF8D965" w:rsidRDefault="6EF8D965" w:rsidP="003D6DC2">
            <w:pPr>
              <w:pStyle w:val="TableParagraph"/>
              <w:rPr>
                <w:rFonts w:eastAsia="Inter Light"/>
              </w:rPr>
            </w:pPr>
            <w:r w:rsidRPr="6064B41A">
              <w:rPr>
                <w:rFonts w:eastAsia="Inter Light"/>
              </w:rPr>
              <w:t>6.49 (2.84)</w:t>
            </w:r>
          </w:p>
        </w:tc>
        <w:tc>
          <w:tcPr>
            <w:tcW w:w="1653" w:type="dxa"/>
            <w:tcBorders>
              <w:top w:val="single" w:sz="8" w:space="0" w:color="auto"/>
              <w:left w:val="single" w:sz="8" w:space="0" w:color="auto"/>
              <w:bottom w:val="single" w:sz="8" w:space="0" w:color="auto"/>
              <w:right w:val="single" w:sz="8" w:space="0" w:color="auto"/>
            </w:tcBorders>
            <w:tcMar>
              <w:left w:w="108" w:type="dxa"/>
              <w:right w:w="108" w:type="dxa"/>
            </w:tcMar>
          </w:tcPr>
          <w:p w14:paraId="4FE34C9D" w14:textId="048BC6AC" w:rsidR="6EF8D965" w:rsidRDefault="6EF8D965" w:rsidP="003D6DC2">
            <w:pPr>
              <w:pStyle w:val="TableParagraph"/>
              <w:rPr>
                <w:rFonts w:eastAsia="Inter Light"/>
              </w:rPr>
            </w:pPr>
            <w:r w:rsidRPr="6064B41A">
              <w:rPr>
                <w:rFonts w:eastAsia="Inter Light"/>
              </w:rPr>
              <w:t>7.67 (1.30)</w:t>
            </w:r>
          </w:p>
        </w:tc>
        <w:tc>
          <w:tcPr>
            <w:tcW w:w="1657" w:type="dxa"/>
            <w:tcBorders>
              <w:top w:val="single" w:sz="8" w:space="0" w:color="auto"/>
              <w:left w:val="single" w:sz="8" w:space="0" w:color="auto"/>
              <w:bottom w:val="single" w:sz="8" w:space="0" w:color="auto"/>
              <w:right w:val="single" w:sz="8" w:space="0" w:color="auto"/>
            </w:tcBorders>
            <w:tcMar>
              <w:left w:w="108" w:type="dxa"/>
              <w:right w:w="108" w:type="dxa"/>
            </w:tcMar>
          </w:tcPr>
          <w:p w14:paraId="6CDE063D" w14:textId="03CFBF1B" w:rsidR="6EF8D965" w:rsidRDefault="6EF8D965" w:rsidP="003D6DC2">
            <w:pPr>
              <w:pStyle w:val="TableParagraph"/>
              <w:rPr>
                <w:rFonts w:eastAsia="Inter Light"/>
              </w:rPr>
            </w:pPr>
            <w:r w:rsidRPr="6064B41A">
              <w:rPr>
                <w:rFonts w:eastAsia="Inter Light"/>
              </w:rPr>
              <w:t>6.00 (3.16) *</w:t>
            </w:r>
          </w:p>
        </w:tc>
      </w:tr>
      <w:tr w:rsidR="6EF8D965" w14:paraId="6DEDC863" w14:textId="77777777" w:rsidTr="00EF15B5">
        <w:trPr>
          <w:trHeight w:val="300"/>
        </w:trPr>
        <w:tc>
          <w:tcPr>
            <w:tcW w:w="4921" w:type="dxa"/>
            <w:tcBorders>
              <w:top w:val="single" w:sz="8" w:space="0" w:color="auto"/>
              <w:left w:val="single" w:sz="8" w:space="0" w:color="auto"/>
              <w:bottom w:val="single" w:sz="8" w:space="0" w:color="auto"/>
              <w:right w:val="single" w:sz="8" w:space="0" w:color="auto"/>
            </w:tcBorders>
            <w:tcMar>
              <w:left w:w="108" w:type="dxa"/>
              <w:right w:w="108" w:type="dxa"/>
            </w:tcMar>
          </w:tcPr>
          <w:p w14:paraId="62DB94AE" w14:textId="5AC5F1C2" w:rsidR="6EF8D965" w:rsidRDefault="6EF8D965" w:rsidP="003D6DC2">
            <w:pPr>
              <w:pStyle w:val="TableParagraph"/>
              <w:rPr>
                <w:rFonts w:eastAsia="Inter Light"/>
              </w:rPr>
            </w:pPr>
            <w:r w:rsidRPr="6064B41A">
              <w:rPr>
                <w:rFonts w:eastAsia="Inter Light"/>
              </w:rPr>
              <w:t xml:space="preserve">How prepared did you feel for completing a university degree after completing the </w:t>
            </w:r>
            <w:r w:rsidR="004B1A2E">
              <w:rPr>
                <w:rFonts w:eastAsia="Inter Light"/>
              </w:rPr>
              <w:t>ISEP</w:t>
            </w:r>
            <w:r w:rsidR="000E6711">
              <w:rPr>
                <w:rFonts w:eastAsia="Inter Light"/>
              </w:rPr>
              <w:t>s</w:t>
            </w:r>
            <w:r w:rsidRPr="6064B41A">
              <w:rPr>
                <w:rFonts w:eastAsia="Inter Light"/>
              </w:rPr>
              <w:t>?</w:t>
            </w:r>
          </w:p>
        </w:tc>
        <w:tc>
          <w:tcPr>
            <w:tcW w:w="1594" w:type="dxa"/>
            <w:tcBorders>
              <w:top w:val="single" w:sz="8" w:space="0" w:color="auto"/>
              <w:left w:val="single" w:sz="8" w:space="0" w:color="auto"/>
              <w:bottom w:val="single" w:sz="8" w:space="0" w:color="auto"/>
              <w:right w:val="single" w:sz="8" w:space="0" w:color="auto"/>
            </w:tcBorders>
            <w:tcMar>
              <w:left w:w="108" w:type="dxa"/>
              <w:right w:w="108" w:type="dxa"/>
            </w:tcMar>
          </w:tcPr>
          <w:p w14:paraId="567C6FFC" w14:textId="3EB7F1DB" w:rsidR="6EF8D965" w:rsidRDefault="6EF8D965" w:rsidP="003D6DC2">
            <w:pPr>
              <w:pStyle w:val="TableParagraph"/>
              <w:rPr>
                <w:rFonts w:eastAsia="Inter Light"/>
              </w:rPr>
            </w:pPr>
            <w:r w:rsidRPr="6064B41A">
              <w:rPr>
                <w:rFonts w:eastAsia="Inter Light"/>
              </w:rPr>
              <w:t>7.33 (1.84)</w:t>
            </w:r>
          </w:p>
        </w:tc>
        <w:tc>
          <w:tcPr>
            <w:tcW w:w="1653" w:type="dxa"/>
            <w:tcBorders>
              <w:top w:val="single" w:sz="8" w:space="0" w:color="auto"/>
              <w:left w:val="single" w:sz="8" w:space="0" w:color="auto"/>
              <w:bottom w:val="single" w:sz="8" w:space="0" w:color="auto"/>
              <w:right w:val="single" w:sz="8" w:space="0" w:color="auto"/>
            </w:tcBorders>
            <w:tcMar>
              <w:left w:w="108" w:type="dxa"/>
              <w:right w:w="108" w:type="dxa"/>
            </w:tcMar>
          </w:tcPr>
          <w:p w14:paraId="748E93D1" w14:textId="0B3009B5" w:rsidR="6EF8D965" w:rsidRDefault="6EF8D965" w:rsidP="003D6DC2">
            <w:pPr>
              <w:pStyle w:val="TableParagraph"/>
              <w:rPr>
                <w:rFonts w:eastAsia="Inter Light"/>
              </w:rPr>
            </w:pPr>
            <w:r w:rsidRPr="6064B41A">
              <w:rPr>
                <w:rFonts w:eastAsia="Inter Light"/>
              </w:rPr>
              <w:t>7.33 (1.30)</w:t>
            </w:r>
          </w:p>
        </w:tc>
        <w:tc>
          <w:tcPr>
            <w:tcW w:w="1657" w:type="dxa"/>
            <w:tcBorders>
              <w:top w:val="single" w:sz="8" w:space="0" w:color="auto"/>
              <w:left w:val="single" w:sz="8" w:space="0" w:color="auto"/>
              <w:bottom w:val="single" w:sz="8" w:space="0" w:color="auto"/>
              <w:right w:val="single" w:sz="8" w:space="0" w:color="auto"/>
            </w:tcBorders>
            <w:tcMar>
              <w:left w:w="108" w:type="dxa"/>
              <w:right w:w="108" w:type="dxa"/>
            </w:tcMar>
          </w:tcPr>
          <w:p w14:paraId="7AF8DDEA" w14:textId="3AA3FA68" w:rsidR="6EF8D965" w:rsidRDefault="6EF8D965" w:rsidP="003D6DC2">
            <w:pPr>
              <w:pStyle w:val="TableParagraph"/>
              <w:rPr>
                <w:rFonts w:eastAsia="Inter Light"/>
              </w:rPr>
            </w:pPr>
            <w:r w:rsidRPr="6064B41A">
              <w:rPr>
                <w:rFonts w:eastAsia="Inter Light"/>
              </w:rPr>
              <w:t>7.32 (2.01)</w:t>
            </w:r>
          </w:p>
        </w:tc>
      </w:tr>
    </w:tbl>
    <w:p w14:paraId="0F9DFE0E" w14:textId="3A39C912" w:rsidR="6493286B" w:rsidRDefault="6493286B" w:rsidP="003D6DC2">
      <w:pPr>
        <w:pStyle w:val="TableNote"/>
        <w:rPr>
          <w:rFonts w:eastAsia="Inter Light"/>
        </w:rPr>
      </w:pPr>
      <w:r w:rsidRPr="1CF421F5">
        <w:rPr>
          <w:rFonts w:eastAsia="Inter Light"/>
        </w:rPr>
        <w:t>* Significant difference was detected via independent samples t-test comparing students from equity versus non-equity groups (p</w:t>
      </w:r>
      <w:r w:rsidR="00F15E49">
        <w:rPr>
          <w:rFonts w:eastAsia="Inter Light"/>
        </w:rPr>
        <w:t xml:space="preserve"> </w:t>
      </w:r>
      <w:r w:rsidRPr="1CF421F5">
        <w:rPr>
          <w:rFonts w:eastAsia="Inter Light"/>
        </w:rPr>
        <w:t>&lt;</w:t>
      </w:r>
      <w:r w:rsidR="00F15E49">
        <w:rPr>
          <w:rFonts w:eastAsia="Inter Light"/>
        </w:rPr>
        <w:t xml:space="preserve"> </w:t>
      </w:r>
      <w:r w:rsidRPr="1CF421F5">
        <w:rPr>
          <w:rFonts w:eastAsia="Inter Light"/>
        </w:rPr>
        <w:t>0.05).</w:t>
      </w:r>
    </w:p>
    <w:p w14:paraId="409DCDDB" w14:textId="6E0396C5" w:rsidR="731D7DE3" w:rsidRDefault="6493286B" w:rsidP="00A32591">
      <w:pPr>
        <w:rPr>
          <w:rFonts w:eastAsia="Inter Light"/>
        </w:rPr>
      </w:pPr>
      <w:r w:rsidRPr="6064B41A">
        <w:rPr>
          <w:rFonts w:eastAsia="Inter Light"/>
        </w:rPr>
        <w:t xml:space="preserve">Participants were </w:t>
      </w:r>
      <w:r w:rsidR="5662487E" w:rsidRPr="348512B4">
        <w:rPr>
          <w:rFonts w:eastAsia="Inter Light"/>
        </w:rPr>
        <w:t xml:space="preserve">also </w:t>
      </w:r>
      <w:r w:rsidR="731D7DE3" w:rsidRPr="348512B4">
        <w:rPr>
          <w:rFonts w:eastAsia="Inter Light"/>
        </w:rPr>
        <w:t>asked</w:t>
      </w:r>
      <w:r w:rsidRPr="6064B41A">
        <w:rPr>
          <w:rFonts w:eastAsia="Inter Light"/>
        </w:rPr>
        <w:t xml:space="preserve"> to rate how well the </w:t>
      </w:r>
      <w:r w:rsidR="4E572C08" w:rsidRPr="0FB46CC1">
        <w:rPr>
          <w:rFonts w:eastAsia="Inter Light"/>
        </w:rPr>
        <w:t>ISEP</w:t>
      </w:r>
      <w:r w:rsidRPr="6064B41A">
        <w:rPr>
          <w:rFonts w:eastAsia="Inter Light"/>
        </w:rPr>
        <w:t xml:space="preserve"> developed their skills such as time management, academic reading and writing, math</w:t>
      </w:r>
      <w:r w:rsidR="000E6711">
        <w:rPr>
          <w:rFonts w:eastAsia="Inter Light"/>
        </w:rPr>
        <w:t>ematics</w:t>
      </w:r>
      <w:r w:rsidRPr="6064B41A">
        <w:rPr>
          <w:rFonts w:eastAsia="Inter Light"/>
        </w:rPr>
        <w:t>, critical thinking, research</w:t>
      </w:r>
      <w:r w:rsidR="000E6711">
        <w:rPr>
          <w:rFonts w:eastAsia="Inter Light"/>
        </w:rPr>
        <w:t>,</w:t>
      </w:r>
      <w:r w:rsidRPr="6064B41A">
        <w:rPr>
          <w:rFonts w:eastAsia="Inter Light"/>
        </w:rPr>
        <w:t xml:space="preserve"> and referencing, as well as mindset and attitudes for university study. As shown in Table </w:t>
      </w:r>
      <w:r w:rsidR="081669D7" w:rsidRPr="658F4599">
        <w:rPr>
          <w:rFonts w:eastAsia="Inter Light"/>
        </w:rPr>
        <w:t>1</w:t>
      </w:r>
      <w:r w:rsidR="086E44DB" w:rsidRPr="658F4599">
        <w:rPr>
          <w:rFonts w:eastAsia="Inter Light"/>
        </w:rPr>
        <w:t>2</w:t>
      </w:r>
      <w:r w:rsidRPr="6064B41A">
        <w:rPr>
          <w:rFonts w:eastAsia="Inter Light"/>
        </w:rPr>
        <w:t xml:space="preserve">, mean ratings suggest students perceived the </w:t>
      </w:r>
      <w:r w:rsidR="682CEE8A" w:rsidRPr="4A5371FA">
        <w:rPr>
          <w:rFonts w:eastAsia="Inter Light"/>
        </w:rPr>
        <w:t xml:space="preserve">ISEP </w:t>
      </w:r>
      <w:r w:rsidRPr="4A5371FA">
        <w:rPr>
          <w:rFonts w:eastAsia="Inter Light"/>
        </w:rPr>
        <w:t>to</w:t>
      </w:r>
      <w:r w:rsidRPr="6064B41A">
        <w:rPr>
          <w:rFonts w:eastAsia="Inter Light"/>
        </w:rPr>
        <w:t xml:space="preserve"> have well- or very well-developed their academic skills such as writing, reading, critical thinking, use of technology, research, referencing</w:t>
      </w:r>
      <w:r w:rsidR="000E6711">
        <w:rPr>
          <w:rFonts w:eastAsia="Inter Light"/>
        </w:rPr>
        <w:t>,</w:t>
      </w:r>
      <w:r w:rsidRPr="6064B41A">
        <w:rPr>
          <w:rFonts w:eastAsia="Inter Light"/>
        </w:rPr>
        <w:t xml:space="preserve"> and a growth mindset. Development of some skills such as sitting exams, mathematics</w:t>
      </w:r>
      <w:r w:rsidR="000E6711">
        <w:rPr>
          <w:rFonts w:eastAsia="Inter Light"/>
        </w:rPr>
        <w:t>,</w:t>
      </w:r>
      <w:r w:rsidRPr="6064B41A">
        <w:rPr>
          <w:rFonts w:eastAsia="Inter Light"/>
        </w:rPr>
        <w:t xml:space="preserve"> and leadership tended to be rated more neutrally by students.</w:t>
      </w:r>
      <w:r w:rsidR="6F10FD8D" w:rsidRPr="2CB518BA">
        <w:rPr>
          <w:rFonts w:eastAsia="Inter Light"/>
        </w:rPr>
        <w:t xml:space="preserve"> </w:t>
      </w:r>
      <w:r w:rsidR="6F10FD8D" w:rsidRPr="05B7E9B5">
        <w:rPr>
          <w:rFonts w:eastAsia="Inter Light"/>
        </w:rPr>
        <w:t>When stratified by equity status, students from non-equity groups rated all skills (on average) as being well- or very well-developed, whil</w:t>
      </w:r>
      <w:r w:rsidR="00F52ECC">
        <w:rPr>
          <w:rFonts w:eastAsia="Inter Light"/>
        </w:rPr>
        <w:t>e</w:t>
      </w:r>
      <w:r w:rsidR="6F10FD8D" w:rsidRPr="05B7E9B5">
        <w:rPr>
          <w:rFonts w:eastAsia="Inter Light"/>
        </w:rPr>
        <w:t xml:space="preserve"> mean ratings by students from equity groups in some instances were lower. However, there were no statistically significant differences detected</w:t>
      </w:r>
      <w:r w:rsidR="00FC5873">
        <w:rPr>
          <w:rFonts w:eastAsia="Inter Light"/>
        </w:rPr>
        <w:t>,</w:t>
      </w:r>
      <w:r w:rsidR="6F10FD8D" w:rsidRPr="05B7E9B5">
        <w:rPr>
          <w:rFonts w:eastAsia="Inter Light"/>
        </w:rPr>
        <w:t xml:space="preserve"> </w:t>
      </w:r>
      <w:r w:rsidR="6F10FD8D" w:rsidRPr="6B757A0E">
        <w:rPr>
          <w:rFonts w:eastAsia="Inter Light"/>
        </w:rPr>
        <w:t xml:space="preserve">except </w:t>
      </w:r>
      <w:proofErr w:type="gramStart"/>
      <w:r w:rsidR="00FC5873">
        <w:rPr>
          <w:rFonts w:eastAsia="Inter Light"/>
        </w:rPr>
        <w:t xml:space="preserve">that </w:t>
      </w:r>
      <w:r w:rsidR="6F10FD8D" w:rsidRPr="6B757A0E">
        <w:rPr>
          <w:rFonts w:eastAsia="Inter Light"/>
        </w:rPr>
        <w:t>students</w:t>
      </w:r>
      <w:proofErr w:type="gramEnd"/>
      <w:r w:rsidR="6F10FD8D" w:rsidRPr="05B7E9B5">
        <w:rPr>
          <w:rFonts w:eastAsia="Inter Light"/>
        </w:rPr>
        <w:t xml:space="preserve"> from equity groups rated group work/collaboration skills as being significantly less developed by the ISEP compared to those from non-equity groups.</w:t>
      </w:r>
    </w:p>
    <w:p w14:paraId="4C3C88F6" w14:textId="37A835EC" w:rsidR="348512B4" w:rsidRDefault="348512B4" w:rsidP="00A32591">
      <w:pPr>
        <w:rPr>
          <w:rFonts w:eastAsia="Inter Light"/>
        </w:rPr>
      </w:pPr>
    </w:p>
    <w:p w14:paraId="11AD3D2E" w14:textId="77777777" w:rsidR="003072D6" w:rsidRDefault="003072D6" w:rsidP="00A32591">
      <w:pPr>
        <w:rPr>
          <w:rFonts w:eastAsia="Inter Light"/>
        </w:rPr>
      </w:pPr>
    </w:p>
    <w:p w14:paraId="4BA88556" w14:textId="77777777" w:rsidR="000E6711" w:rsidRDefault="000E6711" w:rsidP="003D6DC2">
      <w:pPr>
        <w:pStyle w:val="TOCHeading"/>
      </w:pPr>
    </w:p>
    <w:p w14:paraId="2C1F7C25" w14:textId="77777777" w:rsidR="000E6711" w:rsidRDefault="000E6711" w:rsidP="003D6DC2">
      <w:pPr>
        <w:pStyle w:val="TOCHeading"/>
        <w:rPr>
          <w:sz w:val="20"/>
          <w:szCs w:val="20"/>
        </w:rPr>
      </w:pPr>
    </w:p>
    <w:p w14:paraId="7C05878A" w14:textId="77777777" w:rsidR="008C06EF" w:rsidRDefault="008C06EF" w:rsidP="003D6DC2">
      <w:pPr>
        <w:pStyle w:val="TOCHeading"/>
        <w:rPr>
          <w:sz w:val="20"/>
          <w:szCs w:val="20"/>
        </w:rPr>
      </w:pPr>
    </w:p>
    <w:p w14:paraId="210CCDF2" w14:textId="77777777" w:rsidR="008C06EF" w:rsidRDefault="008C06EF" w:rsidP="003D6DC2">
      <w:pPr>
        <w:pStyle w:val="TOCHeading"/>
        <w:rPr>
          <w:sz w:val="20"/>
          <w:szCs w:val="20"/>
        </w:rPr>
      </w:pPr>
    </w:p>
    <w:p w14:paraId="1A293BAD" w14:textId="77777777" w:rsidR="008C06EF" w:rsidRDefault="008C06EF" w:rsidP="003D6DC2">
      <w:pPr>
        <w:pStyle w:val="TOCHeading"/>
        <w:rPr>
          <w:sz w:val="20"/>
          <w:szCs w:val="20"/>
        </w:rPr>
      </w:pPr>
    </w:p>
    <w:p w14:paraId="34204835" w14:textId="77777777" w:rsidR="008C06EF" w:rsidRDefault="008C06EF" w:rsidP="003D6DC2">
      <w:pPr>
        <w:pStyle w:val="TOCHeading"/>
        <w:rPr>
          <w:sz w:val="20"/>
          <w:szCs w:val="20"/>
        </w:rPr>
      </w:pPr>
    </w:p>
    <w:p w14:paraId="29EF244B" w14:textId="1ABBF8FB" w:rsidR="6493286B" w:rsidRPr="000E6711" w:rsidRDefault="6493286B" w:rsidP="00F15E49">
      <w:pPr>
        <w:pStyle w:val="TOCHeading"/>
      </w:pPr>
      <w:bookmarkStart w:id="85" w:name="_Toc232575181"/>
      <w:r w:rsidRPr="000E6711">
        <w:lastRenderedPageBreak/>
        <w:t xml:space="preserve">Table </w:t>
      </w:r>
      <w:r w:rsidR="44798057" w:rsidRPr="000E6711">
        <w:t>1</w:t>
      </w:r>
      <w:r w:rsidR="74AA37AB" w:rsidRPr="000E6711">
        <w:t>2</w:t>
      </w:r>
      <w:r w:rsidR="008C06EF">
        <w:t>:</w:t>
      </w:r>
      <w:r w:rsidRPr="000E6711">
        <w:t xml:space="preserve"> Student mean ratings (+/- SD) of how well the</w:t>
      </w:r>
      <w:r w:rsidR="00156FB8" w:rsidRPr="000E6711">
        <w:t xml:space="preserve"> </w:t>
      </w:r>
      <w:r w:rsidR="00694FB5">
        <w:t>in-school enabling programs</w:t>
      </w:r>
      <w:r w:rsidRPr="000E6711">
        <w:t xml:space="preserve"> developed their skills^</w:t>
      </w:r>
      <w:r w:rsidR="00E47E10">
        <w:t>.</w:t>
      </w:r>
      <w:bookmarkEnd w:id="85"/>
      <w:r w:rsidRPr="000E6711">
        <w:t xml:space="preserve"> </w:t>
      </w:r>
    </w:p>
    <w:tbl>
      <w:tblPr>
        <w:tblW w:w="0" w:type="auto"/>
        <w:tblCellMar>
          <w:top w:w="68" w:type="dxa"/>
          <w:left w:w="68" w:type="dxa"/>
          <w:bottom w:w="68" w:type="dxa"/>
          <w:right w:w="68" w:type="dxa"/>
        </w:tblCellMar>
        <w:tblLook w:val="04A0" w:firstRow="1" w:lastRow="0" w:firstColumn="1" w:lastColumn="0" w:noHBand="0" w:noVBand="1"/>
      </w:tblPr>
      <w:tblGrid>
        <w:gridCol w:w="3256"/>
        <w:gridCol w:w="1842"/>
        <w:gridCol w:w="1985"/>
        <w:gridCol w:w="1843"/>
      </w:tblGrid>
      <w:tr w:rsidR="6EF8D965" w14:paraId="0D880E39"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63BE35D" w14:textId="16801C32" w:rsidR="6EF8D965" w:rsidRDefault="6EF8D965" w:rsidP="003D6DC2">
            <w:pPr>
              <w:pStyle w:val="Normal-Bold"/>
              <w:rPr>
                <w:rFonts w:eastAsia="Inter Light"/>
              </w:rPr>
            </w:pPr>
            <w:r w:rsidRPr="6064B41A">
              <w:rPr>
                <w:rFonts w:eastAsia="Inter Light"/>
              </w:rPr>
              <w:t>Skill</w:t>
            </w:r>
          </w:p>
        </w:tc>
        <w:tc>
          <w:tcPr>
            <w:tcW w:w="1842"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7F717416" w14:textId="1DEE46E9" w:rsidR="6EF8D965" w:rsidRDefault="6EF8D965" w:rsidP="003D6DC2">
            <w:pPr>
              <w:pStyle w:val="Normal-Bold"/>
              <w:rPr>
                <w:rFonts w:eastAsia="Inter Light"/>
              </w:rPr>
            </w:pPr>
            <w:r w:rsidRPr="6064B41A">
              <w:rPr>
                <w:rFonts w:eastAsia="Inter Light"/>
              </w:rPr>
              <w:t xml:space="preserve">All respondents </w:t>
            </w:r>
            <w:r w:rsidR="00F15E49">
              <w:rPr>
                <w:rFonts w:eastAsia="Inter Light"/>
              </w:rPr>
              <w:br/>
            </w:r>
            <w:r>
              <w:rPr>
                <w:rFonts w:eastAsia="Inter Light"/>
                <w:b w:val="0"/>
              </w:rPr>
              <w:t>(</w:t>
            </w:r>
            <w:r w:rsidRPr="00B43A6C">
              <w:rPr>
                <w:rFonts w:eastAsia="Inter Light"/>
                <w:b w:val="0"/>
                <w:i/>
                <w:iCs/>
              </w:rPr>
              <w:t>n</w:t>
            </w:r>
            <w:r w:rsidR="00F15E49">
              <w:rPr>
                <w:rFonts w:eastAsia="Inter Light"/>
                <w:b w:val="0"/>
              </w:rPr>
              <w:t xml:space="preserve"> </w:t>
            </w:r>
            <w:r>
              <w:rPr>
                <w:rFonts w:eastAsia="Inter Light"/>
                <w:b w:val="0"/>
              </w:rPr>
              <w:t>=</w:t>
            </w:r>
            <w:r w:rsidR="00F15E49">
              <w:rPr>
                <w:rFonts w:eastAsia="Inter Light"/>
                <w:b w:val="0"/>
              </w:rPr>
              <w:t xml:space="preserve"> </w:t>
            </w:r>
            <w:r>
              <w:rPr>
                <w:rFonts w:eastAsia="Inter Light"/>
                <w:b w:val="0"/>
              </w:rPr>
              <w:t>47)</w:t>
            </w:r>
          </w:p>
        </w:tc>
        <w:tc>
          <w:tcPr>
            <w:tcW w:w="1985"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5BA7CB43" w14:textId="439E432A" w:rsidR="6EF8D965" w:rsidRDefault="6EF8D965" w:rsidP="003D6DC2">
            <w:pPr>
              <w:pStyle w:val="Normal-Bold"/>
              <w:rPr>
                <w:rFonts w:eastAsia="Inter Light"/>
              </w:rPr>
            </w:pPr>
            <w:r w:rsidRPr="6064B41A">
              <w:rPr>
                <w:rFonts w:eastAsia="Inter Light"/>
              </w:rPr>
              <w:t xml:space="preserve">Non-equity group </w:t>
            </w:r>
            <w:r w:rsidR="00F15E49">
              <w:rPr>
                <w:rFonts w:eastAsia="Inter Light"/>
                <w:b w:val="0"/>
              </w:rPr>
              <w:br/>
            </w:r>
            <w:r>
              <w:rPr>
                <w:rFonts w:eastAsia="Inter Light"/>
                <w:b w:val="0"/>
              </w:rPr>
              <w:t>(</w:t>
            </w:r>
            <w:r w:rsidRPr="00B43A6C">
              <w:rPr>
                <w:rFonts w:eastAsia="Inter Light"/>
                <w:b w:val="0"/>
                <w:i/>
                <w:iCs/>
              </w:rPr>
              <w:t>n</w:t>
            </w:r>
            <w:r w:rsidR="00F15E49">
              <w:rPr>
                <w:rFonts w:eastAsia="Inter Light"/>
                <w:b w:val="0"/>
              </w:rPr>
              <w:t xml:space="preserve"> </w:t>
            </w:r>
            <w:r>
              <w:rPr>
                <w:rFonts w:eastAsia="Inter Light"/>
                <w:b w:val="0"/>
              </w:rPr>
              <w:t>=</w:t>
            </w:r>
            <w:r w:rsidR="00F15E49">
              <w:rPr>
                <w:rFonts w:eastAsia="Inter Light"/>
                <w:b w:val="0"/>
              </w:rPr>
              <w:t xml:space="preserve"> </w:t>
            </w:r>
            <w:r>
              <w:rPr>
                <w:rFonts w:eastAsia="Inter Light"/>
                <w:b w:val="0"/>
              </w:rPr>
              <w:t>12</w:t>
            </w:r>
            <w:r w:rsidR="00F15E49">
              <w:rPr>
                <w:rFonts w:eastAsia="Inter Light"/>
                <w:b w:val="0"/>
              </w:rPr>
              <w:t>–</w:t>
            </w:r>
            <w:r>
              <w:rPr>
                <w:rFonts w:eastAsia="Inter Light"/>
                <w:b w:val="0"/>
              </w:rPr>
              <w:t>14)</w:t>
            </w:r>
          </w:p>
        </w:tc>
        <w:tc>
          <w:tcPr>
            <w:tcW w:w="1843"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89726DF" w14:textId="29838324" w:rsidR="6EF8D965" w:rsidRDefault="6EF8D965" w:rsidP="003D6DC2">
            <w:pPr>
              <w:pStyle w:val="Normal-Bold"/>
              <w:rPr>
                <w:rFonts w:eastAsia="Inter Light"/>
              </w:rPr>
            </w:pPr>
            <w:r w:rsidRPr="6064B41A">
              <w:rPr>
                <w:rFonts w:eastAsia="Inter Light"/>
              </w:rPr>
              <w:t xml:space="preserve">Equity group </w:t>
            </w:r>
            <w:r w:rsidR="00F15E49">
              <w:rPr>
                <w:rFonts w:eastAsia="Inter Light"/>
              </w:rPr>
              <w:br/>
            </w:r>
            <w:r>
              <w:rPr>
                <w:rFonts w:eastAsia="Inter Light"/>
                <w:b w:val="0"/>
              </w:rPr>
              <w:t>(</w:t>
            </w:r>
            <w:r w:rsidRPr="00B43A6C">
              <w:rPr>
                <w:rFonts w:eastAsia="Inter Light"/>
                <w:b w:val="0"/>
                <w:i/>
                <w:iCs/>
              </w:rPr>
              <w:t>n</w:t>
            </w:r>
            <w:r w:rsidR="00F15E49">
              <w:rPr>
                <w:rFonts w:eastAsia="Inter Light"/>
                <w:b w:val="0"/>
              </w:rPr>
              <w:t xml:space="preserve"> </w:t>
            </w:r>
            <w:r>
              <w:rPr>
                <w:rFonts w:eastAsia="Inter Light"/>
                <w:b w:val="0"/>
              </w:rPr>
              <w:t>= 29</w:t>
            </w:r>
            <w:r w:rsidR="00F15E49">
              <w:rPr>
                <w:rFonts w:eastAsia="Inter Light"/>
                <w:b w:val="0"/>
              </w:rPr>
              <w:t>–</w:t>
            </w:r>
            <w:r>
              <w:rPr>
                <w:rFonts w:eastAsia="Inter Light"/>
                <w:b w:val="0"/>
              </w:rPr>
              <w:t>34)</w:t>
            </w:r>
          </w:p>
        </w:tc>
      </w:tr>
      <w:tr w:rsidR="6EF8D965" w14:paraId="5CD3E7F3"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19D16C1C" w14:textId="2A8B61C4" w:rsidR="6EF8D965" w:rsidRDefault="6EF8D965" w:rsidP="003D6DC2">
            <w:pPr>
              <w:pStyle w:val="TableParagraph"/>
              <w:rPr>
                <w:rFonts w:eastAsia="Inter Light"/>
              </w:rPr>
            </w:pPr>
            <w:r w:rsidRPr="6064B41A">
              <w:rPr>
                <w:rFonts w:eastAsia="Inter Light"/>
              </w:rPr>
              <w:t>Time management</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54D6E8C3" w14:textId="63DBB0E1" w:rsidR="6EF8D965" w:rsidRDefault="6EF8D965" w:rsidP="003D6DC2">
            <w:pPr>
              <w:pStyle w:val="TableParagraph"/>
              <w:rPr>
                <w:rFonts w:eastAsia="Inter Light"/>
              </w:rPr>
            </w:pPr>
            <w:r w:rsidRPr="6064B41A">
              <w:rPr>
                <w:rFonts w:eastAsia="Inter Light"/>
              </w:rPr>
              <w:t>3.72 (1.26)</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5DA1BF83" w14:textId="327EF1F8" w:rsidR="6EF8D965" w:rsidRDefault="6EF8D965" w:rsidP="003D6DC2">
            <w:pPr>
              <w:pStyle w:val="TableParagraph"/>
              <w:rPr>
                <w:rFonts w:eastAsia="Inter Light"/>
              </w:rPr>
            </w:pPr>
            <w:r w:rsidRPr="6064B41A">
              <w:rPr>
                <w:rFonts w:eastAsia="Inter Light"/>
              </w:rPr>
              <w:t>3.85 (1.14)</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1B00735" w14:textId="3948927E" w:rsidR="6EF8D965" w:rsidRDefault="6EF8D965" w:rsidP="003D6DC2">
            <w:pPr>
              <w:pStyle w:val="TableParagraph"/>
              <w:rPr>
                <w:rFonts w:eastAsia="Inter Light"/>
              </w:rPr>
            </w:pPr>
            <w:r w:rsidRPr="6064B41A">
              <w:rPr>
                <w:rFonts w:eastAsia="Inter Light"/>
              </w:rPr>
              <w:t>3.68 (1.32)</w:t>
            </w:r>
          </w:p>
        </w:tc>
      </w:tr>
      <w:tr w:rsidR="6EF8D965" w14:paraId="730E8744"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1DCD1C50" w14:textId="68B18FCA" w:rsidR="6EF8D965" w:rsidRDefault="6EF8D965" w:rsidP="003D6DC2">
            <w:pPr>
              <w:pStyle w:val="TableParagraph"/>
              <w:rPr>
                <w:rFonts w:eastAsia="Inter Light"/>
              </w:rPr>
            </w:pPr>
            <w:r w:rsidRPr="6064B41A">
              <w:rPr>
                <w:rFonts w:eastAsia="Inter Light"/>
              </w:rPr>
              <w:t>Academic writing</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3F0AE802" w14:textId="3FB60B21" w:rsidR="6EF8D965" w:rsidRDefault="6EF8D965" w:rsidP="003D6DC2">
            <w:pPr>
              <w:pStyle w:val="TableParagraph"/>
              <w:rPr>
                <w:rFonts w:eastAsia="Inter Light"/>
              </w:rPr>
            </w:pPr>
            <w:r w:rsidRPr="6064B41A">
              <w:rPr>
                <w:rFonts w:eastAsia="Inter Light"/>
              </w:rPr>
              <w:t>4.51 (0.86)</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FC7E940" w14:textId="63C9222C" w:rsidR="6EF8D965" w:rsidRDefault="6EF8D965" w:rsidP="003D6DC2">
            <w:pPr>
              <w:pStyle w:val="TableParagraph"/>
              <w:rPr>
                <w:rFonts w:eastAsia="Inter Light"/>
              </w:rPr>
            </w:pPr>
            <w:r w:rsidRPr="6064B41A">
              <w:rPr>
                <w:rFonts w:eastAsia="Inter Light"/>
              </w:rPr>
              <w:t>4.62 (0.51)</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77B7FEEC" w14:textId="65200DD1" w:rsidR="6EF8D965" w:rsidRDefault="6EF8D965" w:rsidP="003D6DC2">
            <w:pPr>
              <w:pStyle w:val="TableParagraph"/>
              <w:rPr>
                <w:rFonts w:eastAsia="Inter Light"/>
              </w:rPr>
            </w:pPr>
            <w:r w:rsidRPr="6064B41A">
              <w:rPr>
                <w:rFonts w:eastAsia="Inter Light"/>
              </w:rPr>
              <w:t>4.47 (0.96)</w:t>
            </w:r>
          </w:p>
        </w:tc>
      </w:tr>
      <w:tr w:rsidR="6EF8D965" w14:paraId="4A44B6CB"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30A61770" w14:textId="359A93E6" w:rsidR="6EF8D965" w:rsidRDefault="6EF8D965" w:rsidP="003D6DC2">
            <w:pPr>
              <w:pStyle w:val="TableParagraph"/>
              <w:rPr>
                <w:rFonts w:eastAsia="Inter Light"/>
              </w:rPr>
            </w:pPr>
            <w:r w:rsidRPr="6064B41A">
              <w:rPr>
                <w:rFonts w:eastAsia="Inter Light"/>
              </w:rPr>
              <w:t>Academic reading</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783C61B4" w14:textId="573C899A" w:rsidR="6EF8D965" w:rsidRDefault="6EF8D965" w:rsidP="003D6DC2">
            <w:pPr>
              <w:pStyle w:val="TableParagraph"/>
              <w:rPr>
                <w:rFonts w:eastAsia="Inter Light"/>
              </w:rPr>
            </w:pPr>
            <w:r w:rsidRPr="6064B41A">
              <w:rPr>
                <w:rFonts w:eastAsia="Inter Light"/>
              </w:rPr>
              <w:t>4.43 (0.88)</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20067FD4" w14:textId="434F40DC" w:rsidR="6EF8D965" w:rsidRDefault="6EF8D965" w:rsidP="003D6DC2">
            <w:pPr>
              <w:pStyle w:val="TableParagraph"/>
              <w:rPr>
                <w:rFonts w:eastAsia="Inter Light"/>
              </w:rPr>
            </w:pPr>
            <w:r w:rsidRPr="6064B41A">
              <w:rPr>
                <w:rFonts w:eastAsia="Inter Light"/>
              </w:rPr>
              <w:t>4.69 (0.48)</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8DFE796" w14:textId="59786F98" w:rsidR="6EF8D965" w:rsidRDefault="6EF8D965" w:rsidP="003D6DC2">
            <w:pPr>
              <w:pStyle w:val="TableParagraph"/>
              <w:rPr>
                <w:rFonts w:eastAsia="Inter Light"/>
              </w:rPr>
            </w:pPr>
            <w:r w:rsidRPr="6064B41A">
              <w:rPr>
                <w:rFonts w:eastAsia="Inter Light"/>
              </w:rPr>
              <w:t>4.32 (0.98)</w:t>
            </w:r>
          </w:p>
        </w:tc>
      </w:tr>
      <w:tr w:rsidR="6EF8D965" w14:paraId="17FEF25E"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62A523DD" w14:textId="2F94B170" w:rsidR="6EF8D965" w:rsidRDefault="6EF8D965" w:rsidP="003D6DC2">
            <w:pPr>
              <w:pStyle w:val="TableParagraph"/>
              <w:rPr>
                <w:rFonts w:eastAsia="Inter Light"/>
              </w:rPr>
            </w:pPr>
            <w:r w:rsidRPr="6064B41A">
              <w:rPr>
                <w:rFonts w:eastAsia="Inter Light"/>
              </w:rPr>
              <w:t>Mathematics</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5FBA62C8" w14:textId="1CF1BBA5" w:rsidR="6EF8D965" w:rsidRDefault="6EF8D965" w:rsidP="003D6DC2">
            <w:pPr>
              <w:pStyle w:val="TableParagraph"/>
              <w:rPr>
                <w:rFonts w:eastAsia="Inter Light"/>
              </w:rPr>
            </w:pPr>
            <w:r w:rsidRPr="6064B41A">
              <w:rPr>
                <w:rFonts w:eastAsia="Inter Light"/>
              </w:rPr>
              <w:t>3.23 (1.19)</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23BA8266" w14:textId="105FE393" w:rsidR="6EF8D965" w:rsidRDefault="6EF8D965" w:rsidP="003D6DC2">
            <w:pPr>
              <w:pStyle w:val="TableParagraph"/>
              <w:rPr>
                <w:rFonts w:eastAsia="Inter Light"/>
              </w:rPr>
            </w:pPr>
            <w:r w:rsidRPr="6064B41A">
              <w:rPr>
                <w:rFonts w:eastAsia="Inter Light"/>
              </w:rPr>
              <w:t>3.67 (1.07)</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70C0ECD1" w14:textId="4FEC4303" w:rsidR="6EF8D965" w:rsidRDefault="6EF8D965" w:rsidP="003D6DC2">
            <w:pPr>
              <w:pStyle w:val="TableParagraph"/>
              <w:rPr>
                <w:rFonts w:eastAsia="Inter Light"/>
              </w:rPr>
            </w:pPr>
            <w:r w:rsidRPr="6064B41A">
              <w:rPr>
                <w:rFonts w:eastAsia="Inter Light"/>
              </w:rPr>
              <w:t>3.06 (1.21)</w:t>
            </w:r>
          </w:p>
        </w:tc>
      </w:tr>
      <w:tr w:rsidR="6EF8D965" w14:paraId="7814594B"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6387D521" w14:textId="6CD25737" w:rsidR="6EF8D965" w:rsidRDefault="6EF8D965" w:rsidP="003D6DC2">
            <w:pPr>
              <w:pStyle w:val="TableParagraph"/>
              <w:rPr>
                <w:rFonts w:eastAsia="Inter Light"/>
              </w:rPr>
            </w:pPr>
            <w:r w:rsidRPr="6064B41A">
              <w:rPr>
                <w:rFonts w:eastAsia="Inter Light"/>
              </w:rPr>
              <w:t>Critical thinking</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26519AEE" w14:textId="3E96CF33" w:rsidR="6EF8D965" w:rsidRDefault="6EF8D965" w:rsidP="003D6DC2">
            <w:pPr>
              <w:pStyle w:val="TableParagraph"/>
              <w:rPr>
                <w:rFonts w:eastAsia="Inter Light"/>
              </w:rPr>
            </w:pPr>
            <w:r w:rsidRPr="6064B41A">
              <w:rPr>
                <w:rFonts w:eastAsia="Inter Light"/>
              </w:rPr>
              <w:t>4.15 (1.08)</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7BDF3CF1" w14:textId="0BC69D49" w:rsidR="6EF8D965" w:rsidRDefault="6EF8D965" w:rsidP="003D6DC2">
            <w:pPr>
              <w:pStyle w:val="TableParagraph"/>
              <w:rPr>
                <w:rFonts w:eastAsia="Inter Light"/>
              </w:rPr>
            </w:pPr>
            <w:r w:rsidRPr="6064B41A">
              <w:rPr>
                <w:rFonts w:eastAsia="Inter Light"/>
              </w:rPr>
              <w:t>3.85 (1.21)</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262E761B" w14:textId="52D1ACE5" w:rsidR="6EF8D965" w:rsidRDefault="6EF8D965" w:rsidP="003D6DC2">
            <w:pPr>
              <w:pStyle w:val="TableParagraph"/>
              <w:rPr>
                <w:rFonts w:eastAsia="Inter Light"/>
              </w:rPr>
            </w:pPr>
            <w:r w:rsidRPr="6064B41A">
              <w:rPr>
                <w:rFonts w:eastAsia="Inter Light"/>
              </w:rPr>
              <w:t>4.26 (1.02)</w:t>
            </w:r>
          </w:p>
        </w:tc>
      </w:tr>
      <w:tr w:rsidR="6EF8D965" w14:paraId="1A6BE4EB"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370C14B2" w14:textId="35481B88" w:rsidR="6EF8D965" w:rsidRDefault="6EF8D965" w:rsidP="003D6DC2">
            <w:pPr>
              <w:pStyle w:val="TableParagraph"/>
              <w:rPr>
                <w:rFonts w:eastAsia="Inter Light"/>
              </w:rPr>
            </w:pPr>
            <w:r w:rsidRPr="6064B41A">
              <w:rPr>
                <w:rFonts w:eastAsia="Inter Light"/>
              </w:rPr>
              <w:t>Use of technology (e.g. learning management system)</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4F149A18" w14:textId="7A0A5E91" w:rsidR="6EF8D965" w:rsidRDefault="6EF8D965" w:rsidP="003D6DC2">
            <w:pPr>
              <w:pStyle w:val="TableParagraph"/>
              <w:rPr>
                <w:rFonts w:eastAsia="Inter Light"/>
              </w:rPr>
            </w:pPr>
            <w:r w:rsidRPr="6064B41A">
              <w:rPr>
                <w:rFonts w:eastAsia="Inter Light"/>
              </w:rPr>
              <w:t>4.49 (0.88)</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05B7502" w14:textId="3D52438F" w:rsidR="6EF8D965" w:rsidRDefault="6EF8D965" w:rsidP="003D6DC2">
            <w:pPr>
              <w:pStyle w:val="TableParagraph"/>
              <w:rPr>
                <w:rFonts w:eastAsia="Inter Light"/>
              </w:rPr>
            </w:pPr>
            <w:r w:rsidRPr="6064B41A">
              <w:rPr>
                <w:rFonts w:eastAsia="Inter Light"/>
              </w:rPr>
              <w:t>4.31 (0.95)</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8825927" w14:textId="18409426" w:rsidR="6EF8D965" w:rsidRDefault="6EF8D965" w:rsidP="003D6DC2">
            <w:pPr>
              <w:pStyle w:val="TableParagraph"/>
              <w:rPr>
                <w:rFonts w:eastAsia="Inter Light"/>
              </w:rPr>
            </w:pPr>
            <w:r w:rsidRPr="6064B41A">
              <w:rPr>
                <w:rFonts w:eastAsia="Inter Light"/>
              </w:rPr>
              <w:t>4.56 (0.86)</w:t>
            </w:r>
          </w:p>
        </w:tc>
      </w:tr>
      <w:tr w:rsidR="6EF8D965" w14:paraId="49D29D57"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6D1A97D8" w14:textId="75B79859" w:rsidR="6EF8D965" w:rsidRDefault="6EF8D965" w:rsidP="003D6DC2">
            <w:pPr>
              <w:pStyle w:val="TableParagraph"/>
              <w:rPr>
                <w:rFonts w:eastAsia="Inter Light"/>
              </w:rPr>
            </w:pPr>
            <w:r w:rsidRPr="6064B41A">
              <w:rPr>
                <w:rFonts w:eastAsia="Inter Light"/>
              </w:rPr>
              <w:t>Sitting exams</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1124D28F" w14:textId="692ABE21" w:rsidR="6EF8D965" w:rsidRDefault="6EF8D965" w:rsidP="003D6DC2">
            <w:pPr>
              <w:pStyle w:val="TableParagraph"/>
              <w:rPr>
                <w:rFonts w:eastAsia="Inter Light"/>
              </w:rPr>
            </w:pPr>
            <w:r w:rsidRPr="6064B41A">
              <w:rPr>
                <w:rFonts w:eastAsia="Inter Light"/>
              </w:rPr>
              <w:t>3.27 (1.30)</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1FDC8FAC" w14:textId="03996D33" w:rsidR="6EF8D965" w:rsidRDefault="6EF8D965" w:rsidP="003D6DC2">
            <w:pPr>
              <w:pStyle w:val="TableParagraph"/>
              <w:rPr>
                <w:rFonts w:eastAsia="Inter Light"/>
              </w:rPr>
            </w:pPr>
            <w:r w:rsidRPr="6064B41A">
              <w:rPr>
                <w:rFonts w:eastAsia="Inter Light"/>
              </w:rPr>
              <w:t>3.73 (1.19)</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883DA49" w14:textId="5BED0E21" w:rsidR="6EF8D965" w:rsidRDefault="6EF8D965" w:rsidP="003D6DC2">
            <w:pPr>
              <w:pStyle w:val="TableParagraph"/>
              <w:rPr>
                <w:rFonts w:eastAsia="Inter Light"/>
              </w:rPr>
            </w:pPr>
            <w:r w:rsidRPr="6064B41A">
              <w:rPr>
                <w:rFonts w:eastAsia="Inter Light"/>
              </w:rPr>
              <w:t>3.10 (1.32)</w:t>
            </w:r>
          </w:p>
        </w:tc>
      </w:tr>
      <w:tr w:rsidR="6EF8D965" w14:paraId="031556A2"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1B91002C" w14:textId="403F9203" w:rsidR="6EF8D965" w:rsidRDefault="6EF8D965" w:rsidP="003D6DC2">
            <w:pPr>
              <w:pStyle w:val="TableParagraph"/>
              <w:rPr>
                <w:rFonts w:eastAsia="Inter Light"/>
              </w:rPr>
            </w:pPr>
            <w:r w:rsidRPr="6064B41A">
              <w:rPr>
                <w:rFonts w:eastAsia="Inter Light"/>
              </w:rPr>
              <w:t>Research</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336B2B3" w14:textId="0CBF60DC" w:rsidR="6EF8D965" w:rsidRDefault="6EF8D965" w:rsidP="003D6DC2">
            <w:pPr>
              <w:pStyle w:val="TableParagraph"/>
              <w:rPr>
                <w:rFonts w:eastAsia="Inter Light"/>
              </w:rPr>
            </w:pPr>
            <w:r w:rsidRPr="6064B41A">
              <w:rPr>
                <w:rFonts w:eastAsia="Inter Light"/>
              </w:rPr>
              <w:t>4.47 (0.80)</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7867E6CA" w14:textId="38ABBCE7" w:rsidR="6EF8D965" w:rsidRDefault="6EF8D965" w:rsidP="003D6DC2">
            <w:pPr>
              <w:pStyle w:val="TableParagraph"/>
              <w:rPr>
                <w:rFonts w:eastAsia="Inter Light"/>
              </w:rPr>
            </w:pPr>
            <w:r w:rsidRPr="6064B41A">
              <w:rPr>
                <w:rFonts w:eastAsia="Inter Light"/>
              </w:rPr>
              <w:t>4.62 (0.51)</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50A9AD42" w14:textId="2050B10E" w:rsidR="6EF8D965" w:rsidRDefault="6EF8D965" w:rsidP="003D6DC2">
            <w:pPr>
              <w:pStyle w:val="TableParagraph"/>
              <w:rPr>
                <w:rFonts w:eastAsia="Inter Light"/>
              </w:rPr>
            </w:pPr>
            <w:r w:rsidRPr="6064B41A">
              <w:rPr>
                <w:rFonts w:eastAsia="Inter Light"/>
              </w:rPr>
              <w:t>4.41 (0.89)</w:t>
            </w:r>
          </w:p>
        </w:tc>
      </w:tr>
      <w:tr w:rsidR="6EF8D965" w14:paraId="428E7611"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3280FB5F" w14:textId="0289C897" w:rsidR="6EF8D965" w:rsidRDefault="6EF8D965" w:rsidP="003D6DC2">
            <w:pPr>
              <w:pStyle w:val="TableParagraph"/>
              <w:rPr>
                <w:rFonts w:eastAsia="Inter Light"/>
              </w:rPr>
            </w:pPr>
            <w:r w:rsidRPr="6064B41A">
              <w:rPr>
                <w:rFonts w:eastAsia="Inter Light"/>
              </w:rPr>
              <w:t>Referencing</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2BF1E44F" w14:textId="1FBC2646" w:rsidR="6EF8D965" w:rsidRDefault="6EF8D965" w:rsidP="003D6DC2">
            <w:pPr>
              <w:pStyle w:val="TableParagraph"/>
              <w:rPr>
                <w:rFonts w:eastAsia="Inter Light"/>
              </w:rPr>
            </w:pPr>
            <w:r w:rsidRPr="6064B41A">
              <w:rPr>
                <w:rFonts w:eastAsia="Inter Light"/>
              </w:rPr>
              <w:t>4.46 (0.89)</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22E02B57" w14:textId="266136F4" w:rsidR="6EF8D965" w:rsidRDefault="6EF8D965" w:rsidP="003D6DC2">
            <w:pPr>
              <w:pStyle w:val="TableParagraph"/>
              <w:rPr>
                <w:rFonts w:eastAsia="Inter Light"/>
              </w:rPr>
            </w:pPr>
            <w:r w:rsidRPr="6064B41A">
              <w:rPr>
                <w:rFonts w:eastAsia="Inter Light"/>
              </w:rPr>
              <w:t>4.69 (0.48)</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66514AC8" w14:textId="59365F74" w:rsidR="6EF8D965" w:rsidRDefault="6EF8D965" w:rsidP="003D6DC2">
            <w:pPr>
              <w:pStyle w:val="TableParagraph"/>
              <w:rPr>
                <w:rFonts w:eastAsia="Inter Light"/>
              </w:rPr>
            </w:pPr>
            <w:r w:rsidRPr="6064B41A">
              <w:rPr>
                <w:rFonts w:eastAsia="Inter Light"/>
              </w:rPr>
              <w:t>4.36 (0.99)</w:t>
            </w:r>
          </w:p>
        </w:tc>
      </w:tr>
      <w:tr w:rsidR="6EF8D965" w14:paraId="20CB2BC3"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349416CD" w14:textId="62C859D7" w:rsidR="6EF8D965" w:rsidRDefault="6EF8D965" w:rsidP="003D6DC2">
            <w:pPr>
              <w:pStyle w:val="TableParagraph"/>
              <w:rPr>
                <w:rFonts w:eastAsia="Inter Light"/>
              </w:rPr>
            </w:pPr>
            <w:r w:rsidRPr="6064B41A">
              <w:rPr>
                <w:rFonts w:eastAsia="Inter Light"/>
              </w:rPr>
              <w:t>Familiar with university systems and supports</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4FAAD570" w14:textId="3445F9E1" w:rsidR="6EF8D965" w:rsidRDefault="6EF8D965" w:rsidP="003D6DC2">
            <w:pPr>
              <w:pStyle w:val="TableParagraph"/>
              <w:rPr>
                <w:rFonts w:eastAsia="Inter Light"/>
              </w:rPr>
            </w:pPr>
            <w:r w:rsidRPr="6064B41A">
              <w:rPr>
                <w:rFonts w:eastAsia="Inter Light"/>
              </w:rPr>
              <w:t>4.19 (1.03)</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7ED7BE7B" w14:textId="38F4F0DF" w:rsidR="6EF8D965" w:rsidRDefault="6EF8D965" w:rsidP="003D6DC2">
            <w:pPr>
              <w:pStyle w:val="TableParagraph"/>
              <w:rPr>
                <w:rFonts w:eastAsia="Inter Light"/>
              </w:rPr>
            </w:pPr>
            <w:r w:rsidRPr="6064B41A">
              <w:rPr>
                <w:rFonts w:eastAsia="Inter Light"/>
              </w:rPr>
              <w:t>4.25 (0.87)</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C36DF8E" w14:textId="3ADA2786" w:rsidR="6EF8D965" w:rsidRDefault="6EF8D965" w:rsidP="003D6DC2">
            <w:pPr>
              <w:pStyle w:val="TableParagraph"/>
              <w:rPr>
                <w:rFonts w:eastAsia="Inter Light"/>
              </w:rPr>
            </w:pPr>
            <w:r w:rsidRPr="6064B41A">
              <w:rPr>
                <w:rFonts w:eastAsia="Inter Light"/>
              </w:rPr>
              <w:t>4.16 (1.10)</w:t>
            </w:r>
          </w:p>
        </w:tc>
      </w:tr>
      <w:tr w:rsidR="6EF8D965" w14:paraId="213B6487"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5C3A2BE7" w14:textId="6DD5976E" w:rsidR="6EF8D965" w:rsidRDefault="6EF8D965" w:rsidP="003D6DC2">
            <w:pPr>
              <w:pStyle w:val="TableParagraph"/>
              <w:rPr>
                <w:rFonts w:eastAsia="Inter Light"/>
              </w:rPr>
            </w:pPr>
            <w:r w:rsidRPr="6064B41A">
              <w:rPr>
                <w:rFonts w:eastAsia="Inter Light"/>
              </w:rPr>
              <w:t>Growth mindset</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1270FE15" w14:textId="18FDE080" w:rsidR="6EF8D965" w:rsidRDefault="6EF8D965" w:rsidP="003D6DC2">
            <w:pPr>
              <w:pStyle w:val="TableParagraph"/>
              <w:rPr>
                <w:rFonts w:eastAsia="Inter Light"/>
              </w:rPr>
            </w:pPr>
            <w:r w:rsidRPr="6064B41A">
              <w:rPr>
                <w:rFonts w:eastAsia="Inter Light"/>
              </w:rPr>
              <w:t>4.07 (0.95)</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3043937" w14:textId="47B0008A" w:rsidR="6EF8D965" w:rsidRDefault="6EF8D965" w:rsidP="003D6DC2">
            <w:pPr>
              <w:pStyle w:val="TableParagraph"/>
              <w:rPr>
                <w:rFonts w:eastAsia="Inter Light"/>
              </w:rPr>
            </w:pPr>
            <w:r w:rsidRPr="6064B41A">
              <w:rPr>
                <w:rFonts w:eastAsia="Inter Light"/>
              </w:rPr>
              <w:t>4.23 (0.72)</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6AE9B68E" w14:textId="003559FC" w:rsidR="6EF8D965" w:rsidRDefault="6EF8D965" w:rsidP="003D6DC2">
            <w:pPr>
              <w:pStyle w:val="TableParagraph"/>
              <w:rPr>
                <w:rFonts w:eastAsia="Inter Light"/>
              </w:rPr>
            </w:pPr>
            <w:r w:rsidRPr="6064B41A">
              <w:rPr>
                <w:rFonts w:eastAsia="Inter Light"/>
              </w:rPr>
              <w:t>4.00 (1.03)</w:t>
            </w:r>
          </w:p>
        </w:tc>
      </w:tr>
      <w:tr w:rsidR="6EF8D965" w14:paraId="7D2C2DF9"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488BC206" w14:textId="0A6F3531" w:rsidR="6EF8D965" w:rsidRDefault="6EF8D965" w:rsidP="003D6DC2">
            <w:pPr>
              <w:pStyle w:val="TableParagraph"/>
              <w:rPr>
                <w:rFonts w:eastAsia="Inter Light"/>
              </w:rPr>
            </w:pPr>
            <w:r w:rsidRPr="6064B41A">
              <w:rPr>
                <w:rFonts w:eastAsia="Inter Light"/>
              </w:rPr>
              <w:t>Group work / collaboration</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2D910E2C" w14:textId="66C5B958" w:rsidR="6EF8D965" w:rsidRDefault="6EF8D965" w:rsidP="003D6DC2">
            <w:pPr>
              <w:pStyle w:val="TableParagraph"/>
              <w:rPr>
                <w:rFonts w:eastAsia="Inter Light"/>
              </w:rPr>
            </w:pPr>
            <w:r w:rsidRPr="6064B41A">
              <w:rPr>
                <w:rFonts w:eastAsia="Inter Light"/>
              </w:rPr>
              <w:t>3.54 (1.21)</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2D786371" w14:textId="3C80CA72" w:rsidR="6EF8D965" w:rsidRDefault="6EF8D965" w:rsidP="003D6DC2">
            <w:pPr>
              <w:pStyle w:val="TableParagraph"/>
              <w:rPr>
                <w:rFonts w:eastAsia="Inter Light"/>
              </w:rPr>
            </w:pPr>
            <w:r w:rsidRPr="6064B41A">
              <w:rPr>
                <w:rFonts w:eastAsia="Inter Light"/>
              </w:rPr>
              <w:t>4.17 (0.72)</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5CD78733" w14:textId="25E0EE20" w:rsidR="6EF8D965" w:rsidRDefault="6EF8D965" w:rsidP="003D6DC2">
            <w:pPr>
              <w:pStyle w:val="TableParagraph"/>
              <w:rPr>
                <w:rFonts w:eastAsia="Inter Light"/>
              </w:rPr>
            </w:pPr>
            <w:r w:rsidRPr="6064B41A">
              <w:rPr>
                <w:rFonts w:eastAsia="Inter Light"/>
              </w:rPr>
              <w:t>3.28 (</w:t>
            </w:r>
            <w:proofErr w:type="gramStart"/>
            <w:r w:rsidRPr="6064B41A">
              <w:rPr>
                <w:rFonts w:eastAsia="Inter Light"/>
              </w:rPr>
              <w:t>1.28)*</w:t>
            </w:r>
            <w:proofErr w:type="gramEnd"/>
          </w:p>
        </w:tc>
      </w:tr>
      <w:tr w:rsidR="6EF8D965" w14:paraId="583CB208"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540F3996" w14:textId="7B5972F3" w:rsidR="6EF8D965" w:rsidRDefault="6EF8D965" w:rsidP="003D6DC2">
            <w:pPr>
              <w:pStyle w:val="TableParagraph"/>
              <w:rPr>
                <w:rFonts w:eastAsia="Inter Light"/>
              </w:rPr>
            </w:pPr>
            <w:r w:rsidRPr="6064B41A">
              <w:rPr>
                <w:rFonts w:eastAsia="Inter Light"/>
              </w:rPr>
              <w:t>Leadership</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03159C76" w14:textId="471FA9FE" w:rsidR="6EF8D965" w:rsidRDefault="6EF8D965" w:rsidP="003D6DC2">
            <w:pPr>
              <w:pStyle w:val="TableParagraph"/>
              <w:rPr>
                <w:rFonts w:eastAsia="Inter Light"/>
              </w:rPr>
            </w:pPr>
            <w:r w:rsidRPr="6064B41A">
              <w:rPr>
                <w:rFonts w:eastAsia="Inter Light"/>
              </w:rPr>
              <w:t>3.49 (1.18)</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30F35CD8" w14:textId="514E7B74" w:rsidR="6EF8D965" w:rsidRDefault="6EF8D965" w:rsidP="003D6DC2">
            <w:pPr>
              <w:pStyle w:val="TableParagraph"/>
              <w:rPr>
                <w:rFonts w:eastAsia="Inter Light"/>
              </w:rPr>
            </w:pPr>
            <w:r w:rsidRPr="6064B41A">
              <w:rPr>
                <w:rFonts w:eastAsia="Inter Light"/>
              </w:rPr>
              <w:t>3.92 (0.79)</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4DA57B57" w14:textId="0C660E76" w:rsidR="6EF8D965" w:rsidRDefault="6EF8D965" w:rsidP="003D6DC2">
            <w:pPr>
              <w:pStyle w:val="TableParagraph"/>
              <w:rPr>
                <w:rFonts w:eastAsia="Inter Light"/>
              </w:rPr>
            </w:pPr>
            <w:r w:rsidRPr="6064B41A">
              <w:rPr>
                <w:rFonts w:eastAsia="Inter Light"/>
              </w:rPr>
              <w:t>3.32 (1.27)</w:t>
            </w:r>
          </w:p>
        </w:tc>
      </w:tr>
      <w:tr w:rsidR="6EF8D965" w14:paraId="51AB17E9"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6D7DDA6E" w14:textId="354AD099" w:rsidR="6EF8D965" w:rsidRDefault="6EF8D965" w:rsidP="003D6DC2">
            <w:pPr>
              <w:pStyle w:val="TableParagraph"/>
              <w:rPr>
                <w:rFonts w:eastAsia="Inter Light"/>
              </w:rPr>
            </w:pPr>
            <w:r w:rsidRPr="6064B41A">
              <w:rPr>
                <w:rFonts w:eastAsia="Inter Light"/>
              </w:rPr>
              <w:t xml:space="preserve">Confidence / </w:t>
            </w:r>
            <w:r w:rsidR="00FC5873">
              <w:rPr>
                <w:rFonts w:eastAsia="Inter Light"/>
              </w:rPr>
              <w:t>s</w:t>
            </w:r>
            <w:r w:rsidRPr="6064B41A">
              <w:rPr>
                <w:rFonts w:eastAsia="Inter Light"/>
              </w:rPr>
              <w:t>elf-belief</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667BFFE6" w14:textId="696964AD" w:rsidR="6EF8D965" w:rsidRDefault="6EF8D965" w:rsidP="003D6DC2">
            <w:pPr>
              <w:pStyle w:val="TableParagraph"/>
              <w:rPr>
                <w:rFonts w:eastAsia="Inter Light"/>
              </w:rPr>
            </w:pPr>
            <w:r w:rsidRPr="6064B41A">
              <w:rPr>
                <w:rFonts w:eastAsia="Inter Light"/>
              </w:rPr>
              <w:t>3.78 (1.01)</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10C6B31" w14:textId="0E8729DC" w:rsidR="6EF8D965" w:rsidRDefault="6EF8D965" w:rsidP="003D6DC2">
            <w:pPr>
              <w:pStyle w:val="TableParagraph"/>
              <w:rPr>
                <w:rFonts w:eastAsia="Inter Light"/>
              </w:rPr>
            </w:pPr>
            <w:r w:rsidRPr="6064B41A">
              <w:rPr>
                <w:rFonts w:eastAsia="Inter Light"/>
              </w:rPr>
              <w:t>4.15 (0.69)</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71ED2FF7" w14:textId="6B760F9D" w:rsidR="6EF8D965" w:rsidRDefault="6EF8D965" w:rsidP="003D6DC2">
            <w:pPr>
              <w:pStyle w:val="TableParagraph"/>
              <w:rPr>
                <w:rFonts w:eastAsia="Inter Light"/>
              </w:rPr>
            </w:pPr>
            <w:r w:rsidRPr="6064B41A">
              <w:rPr>
                <w:rFonts w:eastAsia="Inter Light"/>
              </w:rPr>
              <w:t>3.64 (1.08)</w:t>
            </w:r>
          </w:p>
        </w:tc>
      </w:tr>
      <w:tr w:rsidR="6EF8D965" w14:paraId="49880380" w14:textId="77777777" w:rsidTr="00B14887">
        <w:trPr>
          <w:trHeight w:val="300"/>
        </w:trPr>
        <w:tc>
          <w:tcPr>
            <w:tcW w:w="3256" w:type="dxa"/>
            <w:tcBorders>
              <w:top w:val="single" w:sz="8" w:space="0" w:color="auto"/>
              <w:left w:val="single" w:sz="8" w:space="0" w:color="auto"/>
              <w:bottom w:val="single" w:sz="8" w:space="0" w:color="auto"/>
              <w:right w:val="single" w:sz="8" w:space="0" w:color="auto"/>
            </w:tcBorders>
            <w:tcMar>
              <w:left w:w="108" w:type="dxa"/>
              <w:right w:w="108" w:type="dxa"/>
            </w:tcMar>
          </w:tcPr>
          <w:p w14:paraId="2ED10EB3" w14:textId="53261DFB" w:rsidR="6EF8D965" w:rsidRDefault="6EF8D965" w:rsidP="003D6DC2">
            <w:pPr>
              <w:pStyle w:val="TableParagraph"/>
              <w:rPr>
                <w:rFonts w:eastAsia="Inter Light"/>
              </w:rPr>
            </w:pPr>
            <w:r w:rsidRPr="6064B41A">
              <w:rPr>
                <w:rFonts w:eastAsia="Inter Light"/>
              </w:rPr>
              <w:t>Discipline specific knowledge</w:t>
            </w:r>
          </w:p>
        </w:tc>
        <w:tc>
          <w:tcPr>
            <w:tcW w:w="1842"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6643F264" w14:textId="67CB82B1" w:rsidR="6EF8D965" w:rsidRDefault="6EF8D965" w:rsidP="003D6DC2">
            <w:pPr>
              <w:pStyle w:val="TableParagraph"/>
              <w:rPr>
                <w:rFonts w:eastAsia="Inter Light"/>
              </w:rPr>
            </w:pPr>
            <w:r w:rsidRPr="6064B41A">
              <w:rPr>
                <w:rFonts w:eastAsia="Inter Light"/>
              </w:rPr>
              <w:t>3.91 (0.86)</w:t>
            </w:r>
          </w:p>
        </w:tc>
        <w:tc>
          <w:tcPr>
            <w:tcW w:w="1985"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09A12372" w14:textId="1D7A952B" w:rsidR="6EF8D965" w:rsidRDefault="6EF8D965" w:rsidP="003D6DC2">
            <w:pPr>
              <w:pStyle w:val="TableParagraph"/>
              <w:rPr>
                <w:rFonts w:eastAsia="Inter Light"/>
              </w:rPr>
            </w:pPr>
            <w:r w:rsidRPr="6064B41A">
              <w:rPr>
                <w:rFonts w:eastAsia="Inter Light"/>
              </w:rPr>
              <w:t>4.08 (0.67)</w:t>
            </w:r>
          </w:p>
        </w:tc>
        <w:tc>
          <w:tcPr>
            <w:tcW w:w="1843" w:type="dxa"/>
            <w:tcBorders>
              <w:top w:val="single" w:sz="8" w:space="0" w:color="auto"/>
              <w:left w:val="single" w:sz="8" w:space="0" w:color="auto"/>
              <w:bottom w:val="single" w:sz="8" w:space="0" w:color="auto"/>
              <w:right w:val="single" w:sz="8" w:space="0" w:color="auto"/>
            </w:tcBorders>
            <w:shd w:val="clear" w:color="auto" w:fill="D0CECE"/>
            <w:tcMar>
              <w:left w:w="108" w:type="dxa"/>
              <w:right w:w="108" w:type="dxa"/>
            </w:tcMar>
          </w:tcPr>
          <w:p w14:paraId="6803D687" w14:textId="246D593F" w:rsidR="6EF8D965" w:rsidRDefault="6EF8D965" w:rsidP="003D6DC2">
            <w:pPr>
              <w:pStyle w:val="TableParagraph"/>
              <w:rPr>
                <w:rFonts w:eastAsia="Inter Light"/>
              </w:rPr>
            </w:pPr>
            <w:r w:rsidRPr="6064B41A">
              <w:rPr>
                <w:rFonts w:eastAsia="Inter Light"/>
              </w:rPr>
              <w:t>3.84 (0.92)</w:t>
            </w:r>
          </w:p>
        </w:tc>
      </w:tr>
    </w:tbl>
    <w:p w14:paraId="125DBB15" w14:textId="22C2C55B" w:rsidR="6493286B" w:rsidRDefault="6493286B" w:rsidP="003D6DC2">
      <w:pPr>
        <w:pStyle w:val="TableNote"/>
        <w:rPr>
          <w:rFonts w:eastAsia="Inter Light"/>
        </w:rPr>
      </w:pPr>
      <w:r w:rsidRPr="460FA97D">
        <w:rPr>
          <w:rFonts w:eastAsia="Inter Light"/>
        </w:rPr>
        <w:t xml:space="preserve">^Grey shading identifies mean ratings that round closest to the </w:t>
      </w:r>
      <w:r w:rsidR="00FC5873">
        <w:rPr>
          <w:rFonts w:eastAsia="Inter Light"/>
        </w:rPr>
        <w:t>“</w:t>
      </w:r>
      <w:r w:rsidRPr="460FA97D">
        <w:rPr>
          <w:rFonts w:eastAsia="Inter Light"/>
        </w:rPr>
        <w:t>well</w:t>
      </w:r>
      <w:r w:rsidR="00FC5873">
        <w:rPr>
          <w:rFonts w:eastAsia="Inter Light"/>
        </w:rPr>
        <w:t>”</w:t>
      </w:r>
      <w:r w:rsidRPr="460FA97D">
        <w:rPr>
          <w:rFonts w:eastAsia="Inter Light"/>
        </w:rPr>
        <w:t xml:space="preserve"> or </w:t>
      </w:r>
      <w:r w:rsidR="00FC5873">
        <w:rPr>
          <w:rFonts w:eastAsia="Inter Light"/>
        </w:rPr>
        <w:t>“</w:t>
      </w:r>
      <w:r w:rsidRPr="460FA97D">
        <w:rPr>
          <w:rFonts w:eastAsia="Inter Light"/>
        </w:rPr>
        <w:t>very well</w:t>
      </w:r>
      <w:r w:rsidR="00FC5873">
        <w:rPr>
          <w:rFonts w:eastAsia="Inter Light"/>
        </w:rPr>
        <w:t>”</w:t>
      </w:r>
      <w:r w:rsidRPr="460FA97D">
        <w:rPr>
          <w:rFonts w:eastAsia="Inter Light"/>
        </w:rPr>
        <w:t xml:space="preserve"> descriptors in the 5-point Likert scale.</w:t>
      </w:r>
    </w:p>
    <w:p w14:paraId="201D7EB9" w14:textId="008BAD6A" w:rsidR="6493286B" w:rsidRDefault="6493286B" w:rsidP="003D6DC2">
      <w:pPr>
        <w:pStyle w:val="TableNote"/>
      </w:pPr>
      <w:r w:rsidRPr="460FA97D">
        <w:rPr>
          <w:rFonts w:eastAsia="Inter Light"/>
        </w:rPr>
        <w:t>* Indicates that a significant difference was detected via independent samples t-test comparing students from equity versus non-equity groups (p</w:t>
      </w:r>
      <w:r w:rsidR="00F15E49">
        <w:rPr>
          <w:rFonts w:eastAsia="Inter Light"/>
        </w:rPr>
        <w:t xml:space="preserve"> </w:t>
      </w:r>
      <w:r w:rsidRPr="460FA97D">
        <w:rPr>
          <w:rFonts w:eastAsia="Inter Light"/>
        </w:rPr>
        <w:t>&lt;</w:t>
      </w:r>
      <w:r w:rsidR="00F15E49">
        <w:rPr>
          <w:rFonts w:eastAsia="Inter Light"/>
        </w:rPr>
        <w:t xml:space="preserve"> </w:t>
      </w:r>
      <w:r w:rsidRPr="460FA97D">
        <w:rPr>
          <w:rFonts w:eastAsia="Inter Light"/>
        </w:rPr>
        <w:t>0.05).</w:t>
      </w:r>
    </w:p>
    <w:p w14:paraId="7C4DB081" w14:textId="77777777" w:rsidR="008C06EF" w:rsidRDefault="008C06EF" w:rsidP="00A32591">
      <w:pPr>
        <w:rPr>
          <w:rFonts w:eastAsia="Inter Light"/>
        </w:rPr>
      </w:pPr>
    </w:p>
    <w:p w14:paraId="061DA1AB" w14:textId="77777777" w:rsidR="008C06EF" w:rsidRDefault="008C06EF" w:rsidP="00A32591">
      <w:pPr>
        <w:rPr>
          <w:rFonts w:eastAsia="Inter Light"/>
        </w:rPr>
      </w:pPr>
    </w:p>
    <w:p w14:paraId="76BE5584" w14:textId="77777777" w:rsidR="008C06EF" w:rsidRDefault="008C06EF" w:rsidP="00A32591">
      <w:pPr>
        <w:rPr>
          <w:rFonts w:eastAsia="Inter Light"/>
        </w:rPr>
      </w:pPr>
    </w:p>
    <w:p w14:paraId="4488DB34" w14:textId="183E4925" w:rsidR="6493286B" w:rsidRDefault="224797B5" w:rsidP="00A32591">
      <w:pPr>
        <w:rPr>
          <w:rFonts w:eastAsia="Inter Light"/>
        </w:rPr>
      </w:pPr>
      <w:r w:rsidRPr="296EF143">
        <w:rPr>
          <w:rFonts w:eastAsia="Inter Light"/>
        </w:rPr>
        <w:lastRenderedPageBreak/>
        <w:t xml:space="preserve">Next, students were asked about </w:t>
      </w:r>
      <w:r w:rsidRPr="0E2FCA32">
        <w:rPr>
          <w:rFonts w:eastAsia="Inter Light"/>
        </w:rPr>
        <w:t xml:space="preserve">how </w:t>
      </w:r>
      <w:r w:rsidRPr="296EF143">
        <w:rPr>
          <w:rFonts w:eastAsia="Inter Light"/>
        </w:rPr>
        <w:t xml:space="preserve">their </w:t>
      </w:r>
      <w:r w:rsidRPr="74E375F1">
        <w:rPr>
          <w:rFonts w:eastAsia="Inter Light"/>
        </w:rPr>
        <w:t>ISEP</w:t>
      </w:r>
      <w:r w:rsidRPr="0E2FCA32">
        <w:rPr>
          <w:rFonts w:eastAsia="Inter Light"/>
        </w:rPr>
        <w:t xml:space="preserve"> </w:t>
      </w:r>
      <w:r w:rsidRPr="10F0FA4C">
        <w:rPr>
          <w:rFonts w:eastAsia="Inter Light"/>
        </w:rPr>
        <w:t xml:space="preserve">shaped their </w:t>
      </w:r>
      <w:r w:rsidRPr="296EF143">
        <w:rPr>
          <w:rFonts w:eastAsia="Inter Light"/>
        </w:rPr>
        <w:t>perceptions of university and self.</w:t>
      </w:r>
      <w:r w:rsidRPr="694D646A">
        <w:rPr>
          <w:rFonts w:eastAsia="Inter Light"/>
        </w:rPr>
        <w:t xml:space="preserve"> </w:t>
      </w:r>
      <w:r w:rsidR="00FC5873">
        <w:rPr>
          <w:rFonts w:eastAsia="Inter Light"/>
        </w:rPr>
        <w:t xml:space="preserve">In total, </w:t>
      </w:r>
      <w:r w:rsidR="6493286B" w:rsidRPr="6064B41A">
        <w:rPr>
          <w:rFonts w:eastAsia="Inter Light"/>
        </w:rPr>
        <w:t xml:space="preserve">55% (26/47) </w:t>
      </w:r>
      <w:r w:rsidR="00FC5873">
        <w:rPr>
          <w:rFonts w:eastAsia="Inter Light"/>
        </w:rPr>
        <w:t xml:space="preserve">of </w:t>
      </w:r>
      <w:r w:rsidR="6493286B" w:rsidRPr="6064B41A">
        <w:rPr>
          <w:rFonts w:eastAsia="Inter Light"/>
        </w:rPr>
        <w:t>students indicated that the teaching, learning</w:t>
      </w:r>
      <w:r w:rsidR="00FC5873">
        <w:rPr>
          <w:rFonts w:eastAsia="Inter Light"/>
        </w:rPr>
        <w:t>,</w:t>
      </w:r>
      <w:r w:rsidR="6493286B" w:rsidRPr="6064B41A">
        <w:rPr>
          <w:rFonts w:eastAsia="Inter Light"/>
        </w:rPr>
        <w:t xml:space="preserve"> and other experiences in the </w:t>
      </w:r>
      <w:r w:rsidR="6493286B" w:rsidRPr="4270D3D8">
        <w:rPr>
          <w:rFonts w:eastAsia="Inter Light"/>
        </w:rPr>
        <w:t>I</w:t>
      </w:r>
      <w:r w:rsidR="0A339A9D" w:rsidRPr="4270D3D8">
        <w:rPr>
          <w:rFonts w:eastAsia="Inter Light"/>
        </w:rPr>
        <w:t>SEP</w:t>
      </w:r>
      <w:r w:rsidR="6493286B" w:rsidRPr="6064B41A">
        <w:rPr>
          <w:rFonts w:eastAsia="Inter Light"/>
        </w:rPr>
        <w:t xml:space="preserve"> </w:t>
      </w:r>
      <w:r w:rsidR="00F1038F">
        <w:rPr>
          <w:rFonts w:eastAsia="Inter Light"/>
        </w:rPr>
        <w:t>positively influenced</w:t>
      </w:r>
      <w:r w:rsidR="6493286B" w:rsidRPr="6064B41A">
        <w:rPr>
          <w:rFonts w:eastAsia="Inter Light"/>
        </w:rPr>
        <w:t xml:space="preserve"> their perceptions of university. </w:t>
      </w:r>
      <w:r w:rsidR="00FC5873">
        <w:rPr>
          <w:rFonts w:eastAsia="Inter Light"/>
        </w:rPr>
        <w:t xml:space="preserve">In addition, </w:t>
      </w:r>
      <w:r w:rsidR="6493286B" w:rsidRPr="6064B41A">
        <w:rPr>
          <w:rFonts w:eastAsia="Inter Light"/>
        </w:rPr>
        <w:t>90% (43/48) of respondents indicated that the program helped them to believe they could achieve success at university</w:t>
      </w:r>
      <w:r w:rsidR="007D741A">
        <w:rPr>
          <w:rFonts w:eastAsia="Inter Light"/>
        </w:rPr>
        <w:t>, and</w:t>
      </w:r>
      <w:r w:rsidR="6493286B" w:rsidRPr="6064B41A">
        <w:rPr>
          <w:rFonts w:eastAsia="Inter Light"/>
        </w:rPr>
        <w:t xml:space="preserve"> 83% (39/47) indicated that the expectations set by </w:t>
      </w:r>
      <w:r w:rsidR="007D741A">
        <w:rPr>
          <w:rFonts w:eastAsia="Inter Light"/>
        </w:rPr>
        <w:t xml:space="preserve">the </w:t>
      </w:r>
      <w:r w:rsidR="6493286B" w:rsidRPr="7808DA46">
        <w:rPr>
          <w:rFonts w:eastAsia="Inter Light"/>
        </w:rPr>
        <w:t>I</w:t>
      </w:r>
      <w:r w:rsidR="32572A06" w:rsidRPr="7808DA46">
        <w:rPr>
          <w:rFonts w:eastAsia="Inter Light"/>
        </w:rPr>
        <w:t>SEP</w:t>
      </w:r>
      <w:r w:rsidR="6493286B" w:rsidRPr="6064B41A">
        <w:rPr>
          <w:rFonts w:eastAsia="Inter Light"/>
        </w:rPr>
        <w:t xml:space="preserve"> were consistent with their actual university experience. Belonging to an equity group did not significantly influence the extent that student perceptions of university (ꭕ</w:t>
      </w:r>
      <w:r w:rsidR="6493286B" w:rsidRPr="6064B41A">
        <w:rPr>
          <w:rFonts w:eastAsia="Inter Light"/>
          <w:vertAlign w:val="superscript"/>
        </w:rPr>
        <w:t>2</w:t>
      </w:r>
      <w:r w:rsidR="6493286B" w:rsidRPr="6064B41A">
        <w:rPr>
          <w:rFonts w:eastAsia="Inter Light"/>
        </w:rPr>
        <w:t xml:space="preserve"> = 0.228. </w:t>
      </w:r>
      <w:proofErr w:type="spellStart"/>
      <w:r w:rsidR="6493286B" w:rsidRPr="6064B41A">
        <w:rPr>
          <w:rFonts w:eastAsia="Inter Light"/>
        </w:rPr>
        <w:t>df</w:t>
      </w:r>
      <w:proofErr w:type="spellEnd"/>
      <w:r w:rsidR="6493286B" w:rsidRPr="6064B41A">
        <w:rPr>
          <w:rFonts w:eastAsia="Inter Light"/>
        </w:rPr>
        <w:t xml:space="preserve"> = 1, p = 0.633, </w:t>
      </w:r>
      <w:r w:rsidR="6493286B" w:rsidRPr="00B43A6C">
        <w:rPr>
          <w:rFonts w:eastAsia="Inter Light"/>
          <w:i/>
          <w:iCs/>
        </w:rPr>
        <w:t>n</w:t>
      </w:r>
      <w:r w:rsidR="6493286B" w:rsidRPr="6064B41A">
        <w:rPr>
          <w:rFonts w:eastAsia="Inter Light"/>
        </w:rPr>
        <w:t xml:space="preserve"> = 47), self-belief (ꭕ</w:t>
      </w:r>
      <w:r w:rsidR="6493286B" w:rsidRPr="6064B41A">
        <w:rPr>
          <w:rFonts w:eastAsia="Inter Light"/>
          <w:vertAlign w:val="superscript"/>
        </w:rPr>
        <w:t>2</w:t>
      </w:r>
      <w:r w:rsidR="6493286B" w:rsidRPr="6064B41A">
        <w:rPr>
          <w:rFonts w:eastAsia="Inter Light"/>
        </w:rPr>
        <w:t xml:space="preserve"> = 0.227. </w:t>
      </w:r>
      <w:proofErr w:type="spellStart"/>
      <w:r w:rsidR="6493286B" w:rsidRPr="6064B41A">
        <w:rPr>
          <w:rFonts w:eastAsia="Inter Light"/>
        </w:rPr>
        <w:t>df</w:t>
      </w:r>
      <w:proofErr w:type="spellEnd"/>
      <w:r w:rsidR="6493286B" w:rsidRPr="6064B41A">
        <w:rPr>
          <w:rFonts w:eastAsia="Inter Light"/>
        </w:rPr>
        <w:t xml:space="preserve"> = 1, p = 0.634, n = 48), and expectations (ꭕ</w:t>
      </w:r>
      <w:r w:rsidR="6493286B" w:rsidRPr="6064B41A">
        <w:rPr>
          <w:rFonts w:eastAsia="Inter Light"/>
          <w:vertAlign w:val="superscript"/>
        </w:rPr>
        <w:t>2</w:t>
      </w:r>
      <w:r w:rsidR="6493286B" w:rsidRPr="6064B41A">
        <w:rPr>
          <w:rFonts w:eastAsia="Inter Light"/>
        </w:rPr>
        <w:t xml:space="preserve"> = 0.106. </w:t>
      </w:r>
      <w:proofErr w:type="spellStart"/>
      <w:r w:rsidR="6493286B" w:rsidRPr="6064B41A">
        <w:rPr>
          <w:rFonts w:eastAsia="Inter Light"/>
        </w:rPr>
        <w:t>df</w:t>
      </w:r>
      <w:proofErr w:type="spellEnd"/>
      <w:r w:rsidR="6493286B" w:rsidRPr="6064B41A">
        <w:rPr>
          <w:rFonts w:eastAsia="Inter Light"/>
        </w:rPr>
        <w:t xml:space="preserve"> = 1, p = 0.745, </w:t>
      </w:r>
      <w:r w:rsidR="6493286B" w:rsidRPr="00B43A6C">
        <w:rPr>
          <w:rFonts w:eastAsia="Inter Light"/>
          <w:i/>
          <w:iCs/>
        </w:rPr>
        <w:t>n</w:t>
      </w:r>
      <w:r w:rsidR="6493286B" w:rsidRPr="6064B41A">
        <w:rPr>
          <w:rFonts w:eastAsia="Inter Light"/>
        </w:rPr>
        <w:t xml:space="preserve"> = 47), were changed by the </w:t>
      </w:r>
      <w:r w:rsidR="007D741A">
        <w:rPr>
          <w:rFonts w:eastAsia="Inter Light"/>
        </w:rPr>
        <w:t>e</w:t>
      </w:r>
      <w:r w:rsidR="6493286B" w:rsidRPr="6064B41A">
        <w:rPr>
          <w:rFonts w:eastAsia="Inter Light"/>
        </w:rPr>
        <w:t xml:space="preserve">nabling program. </w:t>
      </w:r>
    </w:p>
    <w:p w14:paraId="6C96DB89" w14:textId="692289B1" w:rsidR="6493286B" w:rsidRDefault="2E99D7C7" w:rsidP="00A32591">
      <w:pPr>
        <w:rPr>
          <w:rFonts w:eastAsia="Inter Light"/>
        </w:rPr>
      </w:pPr>
      <w:r w:rsidRPr="2756B37D">
        <w:rPr>
          <w:rFonts w:eastAsia="Inter Light"/>
        </w:rPr>
        <w:t>Lastly, s</w:t>
      </w:r>
      <w:r w:rsidR="731D7DE3" w:rsidRPr="2756B37D">
        <w:rPr>
          <w:rFonts w:eastAsia="Inter Light"/>
        </w:rPr>
        <w:t>tudents</w:t>
      </w:r>
      <w:r w:rsidR="6493286B" w:rsidRPr="6064B41A">
        <w:rPr>
          <w:rFonts w:eastAsia="Inter Light"/>
        </w:rPr>
        <w:t xml:space="preserve"> were asked to rate how likely they would be to recommend the </w:t>
      </w:r>
      <w:r w:rsidR="66C998C2" w:rsidRPr="3D6EAE0D">
        <w:rPr>
          <w:rFonts w:eastAsia="Inter Light"/>
        </w:rPr>
        <w:t xml:space="preserve">ISEP </w:t>
      </w:r>
      <w:r w:rsidR="6493286B" w:rsidRPr="3D6EAE0D">
        <w:rPr>
          <w:rFonts w:eastAsia="Inter Light"/>
        </w:rPr>
        <w:t>to</w:t>
      </w:r>
      <w:r w:rsidR="6493286B" w:rsidRPr="6064B41A">
        <w:rPr>
          <w:rFonts w:eastAsia="Inter Light"/>
        </w:rPr>
        <w:t xml:space="preserve"> others and how satisfied they were overall with the program. As shown in Table </w:t>
      </w:r>
      <w:r w:rsidR="787AB250" w:rsidRPr="658F4599">
        <w:rPr>
          <w:rFonts w:eastAsia="Inter Light"/>
        </w:rPr>
        <w:t>1</w:t>
      </w:r>
      <w:r w:rsidR="2DADB183" w:rsidRPr="658F4599">
        <w:rPr>
          <w:rFonts w:eastAsia="Inter Light"/>
        </w:rPr>
        <w:t>3</w:t>
      </w:r>
      <w:r w:rsidR="6493286B" w:rsidRPr="6064B41A">
        <w:rPr>
          <w:rFonts w:eastAsia="Inter Light"/>
        </w:rPr>
        <w:t>, the mean student rating was high</w:t>
      </w:r>
      <w:r w:rsidR="007D741A">
        <w:rPr>
          <w:rFonts w:eastAsia="Inter Light"/>
        </w:rPr>
        <w:t>,</w:t>
      </w:r>
      <w:r w:rsidR="6493286B" w:rsidRPr="6064B41A">
        <w:rPr>
          <w:rFonts w:eastAsia="Inter Light"/>
        </w:rPr>
        <w:t xml:space="preserve"> indicating that overall, students were very satisfied and highly likely to recommend the </w:t>
      </w:r>
      <w:r w:rsidR="10E6BDA5" w:rsidRPr="3801A48C">
        <w:rPr>
          <w:rFonts w:eastAsia="Inter Light"/>
        </w:rPr>
        <w:t>ISEP</w:t>
      </w:r>
      <w:r w:rsidR="6493286B" w:rsidRPr="6064B41A">
        <w:rPr>
          <w:rFonts w:eastAsia="Inter Light"/>
        </w:rPr>
        <w:t xml:space="preserve"> to other senior secondary students. Satisfaction did not significantly differ by student equity status.</w:t>
      </w:r>
    </w:p>
    <w:p w14:paraId="721D11A2" w14:textId="25127A8A" w:rsidR="6493286B" w:rsidRPr="00136732" w:rsidRDefault="6493286B" w:rsidP="00F15E49">
      <w:pPr>
        <w:pStyle w:val="TOCHeading"/>
      </w:pPr>
      <w:bookmarkStart w:id="86" w:name="_Toc232575182"/>
      <w:r w:rsidRPr="00136732">
        <w:t xml:space="preserve">Table </w:t>
      </w:r>
      <w:r w:rsidR="7192B16D" w:rsidRPr="00136732">
        <w:t>1</w:t>
      </w:r>
      <w:r w:rsidR="4225EE41" w:rsidRPr="00136732">
        <w:t>3</w:t>
      </w:r>
      <w:r w:rsidR="008C06EF">
        <w:t>:</w:t>
      </w:r>
      <w:r w:rsidRPr="00136732">
        <w:t xml:space="preserve"> Mean student </w:t>
      </w:r>
      <w:r w:rsidRPr="00B43A6C">
        <w:t>satisfaction</w:t>
      </w:r>
      <w:r w:rsidRPr="00136732">
        <w:t xml:space="preserve"> with the </w:t>
      </w:r>
      <w:r w:rsidR="00694FB5">
        <w:t>in-school enabling programs</w:t>
      </w:r>
      <w:r w:rsidRPr="00136732">
        <w:t>^</w:t>
      </w:r>
      <w:r w:rsidR="00E47E10">
        <w:t>.</w:t>
      </w:r>
      <w:bookmarkEnd w:id="86"/>
    </w:p>
    <w:tbl>
      <w:tblPr>
        <w:tblW w:w="0" w:type="auto"/>
        <w:tblCellMar>
          <w:top w:w="68" w:type="dxa"/>
          <w:left w:w="68" w:type="dxa"/>
          <w:bottom w:w="68" w:type="dxa"/>
          <w:right w:w="68" w:type="dxa"/>
        </w:tblCellMar>
        <w:tblLook w:val="04A0" w:firstRow="1" w:lastRow="0" w:firstColumn="1" w:lastColumn="0" w:noHBand="0" w:noVBand="1"/>
      </w:tblPr>
      <w:tblGrid>
        <w:gridCol w:w="4312"/>
        <w:gridCol w:w="1613"/>
        <w:gridCol w:w="1546"/>
        <w:gridCol w:w="1535"/>
      </w:tblGrid>
      <w:tr w:rsidR="6EF8D965" w14:paraId="3A7E8786" w14:textId="77777777" w:rsidTr="00B14887">
        <w:trPr>
          <w:trHeight w:val="300"/>
        </w:trPr>
        <w:tc>
          <w:tcPr>
            <w:tcW w:w="4319"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4545595" w14:textId="21196327" w:rsidR="6EF8D965" w:rsidRDefault="6EF8D965" w:rsidP="003D6DC2">
            <w:pPr>
              <w:pStyle w:val="Normal-Bold"/>
              <w:rPr>
                <w:rFonts w:eastAsia="Inter Light"/>
              </w:rPr>
            </w:pPr>
            <w:r w:rsidRPr="6064B41A">
              <w:rPr>
                <w:rFonts w:eastAsia="Inter Light"/>
              </w:rPr>
              <w:t>Survey questions</w:t>
            </w:r>
          </w:p>
        </w:tc>
        <w:tc>
          <w:tcPr>
            <w:tcW w:w="1613"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CBD8A33" w14:textId="50F3D3AD" w:rsidR="6EF8D965" w:rsidRDefault="6EF8D965" w:rsidP="003D6DC2">
            <w:pPr>
              <w:pStyle w:val="Normal-Bold"/>
              <w:rPr>
                <w:rFonts w:eastAsia="Inter Light"/>
              </w:rPr>
            </w:pPr>
            <w:r w:rsidRPr="6064B41A">
              <w:rPr>
                <w:rFonts w:eastAsia="Inter Light"/>
              </w:rPr>
              <w:t xml:space="preserve">All respondents </w:t>
            </w:r>
            <w:r>
              <w:rPr>
                <w:rFonts w:eastAsia="Inter Light"/>
                <w:b w:val="0"/>
              </w:rPr>
              <w:t>(</w:t>
            </w:r>
            <w:r w:rsidRPr="00B43A6C">
              <w:rPr>
                <w:rFonts w:eastAsia="Inter Light"/>
                <w:b w:val="0"/>
                <w:i/>
                <w:iCs/>
              </w:rPr>
              <w:t>n</w:t>
            </w:r>
            <w:r w:rsidR="00F15E49">
              <w:rPr>
                <w:rFonts w:eastAsia="Inter Light"/>
                <w:b w:val="0"/>
              </w:rPr>
              <w:t xml:space="preserve"> </w:t>
            </w:r>
            <w:r>
              <w:rPr>
                <w:rFonts w:eastAsia="Inter Light"/>
                <w:b w:val="0"/>
              </w:rPr>
              <w:t>=</w:t>
            </w:r>
            <w:r w:rsidR="00F15E49">
              <w:rPr>
                <w:rFonts w:eastAsia="Inter Light"/>
                <w:b w:val="0"/>
              </w:rPr>
              <w:t xml:space="preserve"> </w:t>
            </w:r>
            <w:r>
              <w:rPr>
                <w:rFonts w:eastAsia="Inter Light"/>
                <w:b w:val="0"/>
              </w:rPr>
              <w:t>46</w:t>
            </w:r>
            <w:r w:rsidR="00F15E49">
              <w:rPr>
                <w:rFonts w:eastAsia="Inter Light"/>
                <w:b w:val="0"/>
              </w:rPr>
              <w:t>–</w:t>
            </w:r>
            <w:r>
              <w:rPr>
                <w:rFonts w:eastAsia="Inter Light"/>
                <w:b w:val="0"/>
              </w:rPr>
              <w:t>48)</w:t>
            </w:r>
          </w:p>
        </w:tc>
        <w:tc>
          <w:tcPr>
            <w:tcW w:w="1547"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70F9CE41" w14:textId="3BE3C790" w:rsidR="6EF8D965" w:rsidRPr="00B14887" w:rsidRDefault="6EF8D965" w:rsidP="003D6DC2">
            <w:pPr>
              <w:pStyle w:val="Normal-Bold"/>
            </w:pPr>
            <w:r w:rsidRPr="6064B41A">
              <w:rPr>
                <w:rFonts w:eastAsia="Inter Light"/>
              </w:rPr>
              <w:t>Non-</w:t>
            </w:r>
            <w:r w:rsidR="00136732">
              <w:rPr>
                <w:rFonts w:eastAsia="Inter Light"/>
              </w:rPr>
              <w:t>e</w:t>
            </w:r>
            <w:r w:rsidRPr="6064B41A">
              <w:rPr>
                <w:rFonts w:eastAsia="Inter Light"/>
              </w:rPr>
              <w:t xml:space="preserve">quity group </w:t>
            </w:r>
            <w:r w:rsidR="00B14887">
              <w:br/>
            </w:r>
            <w:r>
              <w:rPr>
                <w:rFonts w:eastAsia="Inter Light"/>
                <w:b w:val="0"/>
              </w:rPr>
              <w:t>(</w:t>
            </w:r>
            <w:r w:rsidRPr="00B43A6C">
              <w:rPr>
                <w:rFonts w:eastAsia="Inter Light"/>
                <w:b w:val="0"/>
                <w:i/>
                <w:iCs/>
              </w:rPr>
              <w:t>n</w:t>
            </w:r>
            <w:r w:rsidR="00F15E49">
              <w:rPr>
                <w:rFonts w:eastAsia="Inter Light"/>
                <w:b w:val="0"/>
              </w:rPr>
              <w:t xml:space="preserve"> </w:t>
            </w:r>
            <w:r>
              <w:rPr>
                <w:rFonts w:eastAsia="Inter Light"/>
                <w:b w:val="0"/>
              </w:rPr>
              <w:t>=</w:t>
            </w:r>
            <w:r w:rsidR="00F15E49">
              <w:rPr>
                <w:rFonts w:eastAsia="Inter Light"/>
                <w:b w:val="0"/>
              </w:rPr>
              <w:t xml:space="preserve"> </w:t>
            </w:r>
            <w:r>
              <w:rPr>
                <w:rFonts w:eastAsia="Inter Light"/>
                <w:b w:val="0"/>
              </w:rPr>
              <w:t>12</w:t>
            </w:r>
            <w:r w:rsidR="00F15E49">
              <w:rPr>
                <w:rFonts w:eastAsia="Inter Light"/>
                <w:b w:val="0"/>
              </w:rPr>
              <w:t>–</w:t>
            </w:r>
            <w:r>
              <w:rPr>
                <w:rFonts w:eastAsia="Inter Light"/>
                <w:b w:val="0"/>
              </w:rPr>
              <w:t>14)</w:t>
            </w:r>
          </w:p>
        </w:tc>
        <w:tc>
          <w:tcPr>
            <w:tcW w:w="1536" w:type="dxa"/>
            <w:tcBorders>
              <w:top w:val="single" w:sz="8" w:space="0" w:color="auto"/>
              <w:left w:val="single" w:sz="8" w:space="0" w:color="auto"/>
              <w:bottom w:val="single" w:sz="8" w:space="0" w:color="auto"/>
              <w:right w:val="single" w:sz="8" w:space="0" w:color="auto"/>
            </w:tcBorders>
            <w:shd w:val="clear" w:color="auto" w:fill="78DED9" w:themeFill="accent1"/>
            <w:tcMar>
              <w:left w:w="108" w:type="dxa"/>
              <w:right w:w="108" w:type="dxa"/>
            </w:tcMar>
          </w:tcPr>
          <w:p w14:paraId="432B0918" w14:textId="2C6BB46F" w:rsidR="6EF8D965" w:rsidRPr="00B14887" w:rsidRDefault="6EF8D965" w:rsidP="003D6DC2">
            <w:pPr>
              <w:pStyle w:val="Normal-Bold"/>
            </w:pPr>
            <w:r w:rsidRPr="6064B41A">
              <w:rPr>
                <w:rFonts w:eastAsia="Inter Light"/>
              </w:rPr>
              <w:t xml:space="preserve">Equity group </w:t>
            </w:r>
            <w:r w:rsidR="00B14887">
              <w:br/>
            </w:r>
            <w:r>
              <w:rPr>
                <w:rFonts w:eastAsia="Inter Light"/>
                <w:b w:val="0"/>
              </w:rPr>
              <w:t>(</w:t>
            </w:r>
            <w:r w:rsidRPr="00B43A6C">
              <w:rPr>
                <w:rFonts w:eastAsia="Inter Light"/>
                <w:b w:val="0"/>
                <w:i/>
                <w:iCs/>
              </w:rPr>
              <w:t>n</w:t>
            </w:r>
            <w:r w:rsidR="00F15E49">
              <w:rPr>
                <w:rFonts w:eastAsia="Inter Light"/>
                <w:b w:val="0"/>
              </w:rPr>
              <w:t xml:space="preserve"> </w:t>
            </w:r>
            <w:r>
              <w:rPr>
                <w:rFonts w:eastAsia="Inter Light"/>
                <w:b w:val="0"/>
              </w:rPr>
              <w:t>= 29</w:t>
            </w:r>
            <w:r w:rsidR="00F15E49">
              <w:rPr>
                <w:rFonts w:eastAsia="Inter Light"/>
                <w:b w:val="0"/>
              </w:rPr>
              <w:t>–</w:t>
            </w:r>
            <w:r>
              <w:rPr>
                <w:rFonts w:eastAsia="Inter Light"/>
                <w:b w:val="0"/>
              </w:rPr>
              <w:t>34)</w:t>
            </w:r>
          </w:p>
        </w:tc>
      </w:tr>
      <w:tr w:rsidR="6EF8D965" w14:paraId="30419DDB" w14:textId="77777777" w:rsidTr="00B14887">
        <w:trPr>
          <w:trHeight w:val="300"/>
        </w:trPr>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048D1576" w14:textId="3AF5C6FD" w:rsidR="6EF8D965" w:rsidRDefault="6EF8D965" w:rsidP="003D6DC2">
            <w:pPr>
              <w:pStyle w:val="TableParagraph"/>
              <w:rPr>
                <w:rFonts w:eastAsia="Inter Light"/>
              </w:rPr>
            </w:pPr>
            <w:r w:rsidRPr="6064B41A">
              <w:rPr>
                <w:rFonts w:eastAsia="Inter Light"/>
              </w:rPr>
              <w:t xml:space="preserve">How likely would you be to recommend the </w:t>
            </w:r>
            <w:r w:rsidR="004B1A2E">
              <w:rPr>
                <w:rFonts w:eastAsia="Inter Light"/>
              </w:rPr>
              <w:t>ISEP</w:t>
            </w:r>
            <w:r w:rsidRPr="6064B41A">
              <w:rPr>
                <w:rFonts w:eastAsia="Inter Light"/>
              </w:rPr>
              <w:t xml:space="preserve"> to others for their senior secondary studies?</w:t>
            </w:r>
          </w:p>
        </w:tc>
        <w:tc>
          <w:tcPr>
            <w:tcW w:w="1613" w:type="dxa"/>
            <w:tcBorders>
              <w:top w:val="single" w:sz="8" w:space="0" w:color="auto"/>
              <w:left w:val="single" w:sz="8" w:space="0" w:color="auto"/>
              <w:bottom w:val="single" w:sz="8" w:space="0" w:color="auto"/>
              <w:right w:val="single" w:sz="8" w:space="0" w:color="auto"/>
            </w:tcBorders>
            <w:tcMar>
              <w:left w:w="108" w:type="dxa"/>
              <w:right w:w="108" w:type="dxa"/>
            </w:tcMar>
          </w:tcPr>
          <w:p w14:paraId="366CA1FA" w14:textId="3F0064D8" w:rsidR="6EF8D965" w:rsidRDefault="6EF8D965" w:rsidP="003D6DC2">
            <w:pPr>
              <w:pStyle w:val="TableParagraph"/>
              <w:rPr>
                <w:rFonts w:eastAsia="Inter Light"/>
              </w:rPr>
            </w:pPr>
            <w:r w:rsidRPr="6064B41A">
              <w:rPr>
                <w:rFonts w:eastAsia="Inter Light"/>
              </w:rPr>
              <w:t>8.88 (1.75)</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65E1B5ED" w14:textId="0DAF3D50" w:rsidR="6EF8D965" w:rsidRDefault="6EF8D965" w:rsidP="003D6DC2">
            <w:pPr>
              <w:pStyle w:val="TableParagraph"/>
              <w:rPr>
                <w:rFonts w:eastAsia="Inter Light"/>
              </w:rPr>
            </w:pPr>
            <w:r w:rsidRPr="6064B41A">
              <w:rPr>
                <w:rFonts w:eastAsia="Inter Light"/>
              </w:rPr>
              <w:t>8.71 (1.33)</w:t>
            </w:r>
          </w:p>
        </w:tc>
        <w:tc>
          <w:tcPr>
            <w:tcW w:w="1536" w:type="dxa"/>
            <w:tcBorders>
              <w:top w:val="single" w:sz="8" w:space="0" w:color="auto"/>
              <w:left w:val="single" w:sz="8" w:space="0" w:color="auto"/>
              <w:bottom w:val="single" w:sz="8" w:space="0" w:color="auto"/>
              <w:right w:val="single" w:sz="8" w:space="0" w:color="auto"/>
            </w:tcBorders>
            <w:tcMar>
              <w:left w:w="108" w:type="dxa"/>
              <w:right w:w="108" w:type="dxa"/>
            </w:tcMar>
          </w:tcPr>
          <w:p w14:paraId="46EFC0CC" w14:textId="359E0119" w:rsidR="6EF8D965" w:rsidRDefault="6EF8D965" w:rsidP="003D6DC2">
            <w:pPr>
              <w:pStyle w:val="TableParagraph"/>
              <w:rPr>
                <w:rFonts w:eastAsia="Inter Light"/>
              </w:rPr>
            </w:pPr>
            <w:r w:rsidRPr="6064B41A">
              <w:rPr>
                <w:rFonts w:eastAsia="Inter Light"/>
              </w:rPr>
              <w:t>8.94 (1.91)</w:t>
            </w:r>
          </w:p>
        </w:tc>
      </w:tr>
      <w:tr w:rsidR="6EF8D965" w14:paraId="2C7ABB4D" w14:textId="77777777" w:rsidTr="00B14887">
        <w:trPr>
          <w:trHeight w:val="300"/>
        </w:trPr>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6EFA70D2" w14:textId="01DFA863" w:rsidR="6EF8D965" w:rsidRDefault="6EF8D965" w:rsidP="003D6DC2">
            <w:pPr>
              <w:pStyle w:val="TableParagraph"/>
              <w:rPr>
                <w:rFonts w:eastAsia="Inter Light"/>
              </w:rPr>
            </w:pPr>
            <w:r w:rsidRPr="6064B41A">
              <w:rPr>
                <w:rFonts w:eastAsia="Inter Light"/>
              </w:rPr>
              <w:t xml:space="preserve">Overall, how satisfied are you with the </w:t>
            </w:r>
            <w:r w:rsidR="004B1A2E">
              <w:rPr>
                <w:rFonts w:eastAsia="Inter Light"/>
              </w:rPr>
              <w:t>ISEP</w:t>
            </w:r>
            <w:r w:rsidRPr="6064B41A">
              <w:rPr>
                <w:rFonts w:eastAsia="Inter Light"/>
              </w:rPr>
              <w:t xml:space="preserve"> and its impact on your university transition and experience?</w:t>
            </w:r>
          </w:p>
        </w:tc>
        <w:tc>
          <w:tcPr>
            <w:tcW w:w="1613" w:type="dxa"/>
            <w:tcBorders>
              <w:top w:val="single" w:sz="8" w:space="0" w:color="auto"/>
              <w:left w:val="single" w:sz="8" w:space="0" w:color="auto"/>
              <w:bottom w:val="single" w:sz="8" w:space="0" w:color="auto"/>
              <w:right w:val="single" w:sz="8" w:space="0" w:color="auto"/>
            </w:tcBorders>
            <w:tcMar>
              <w:left w:w="108" w:type="dxa"/>
              <w:right w:w="108" w:type="dxa"/>
            </w:tcMar>
          </w:tcPr>
          <w:p w14:paraId="64AB5057" w14:textId="5211FA2B" w:rsidR="6EF8D965" w:rsidRDefault="6EF8D965" w:rsidP="003D6DC2">
            <w:pPr>
              <w:pStyle w:val="TableParagraph"/>
              <w:rPr>
                <w:rFonts w:eastAsia="Inter Light"/>
              </w:rPr>
            </w:pPr>
            <w:r w:rsidRPr="6064B41A">
              <w:rPr>
                <w:rFonts w:eastAsia="Inter Light"/>
              </w:rPr>
              <w:t>8.57 (1.68)</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6ACB0989" w14:textId="23851567" w:rsidR="6EF8D965" w:rsidRDefault="6EF8D965" w:rsidP="003D6DC2">
            <w:pPr>
              <w:pStyle w:val="TableParagraph"/>
              <w:rPr>
                <w:rFonts w:eastAsia="Inter Light"/>
              </w:rPr>
            </w:pPr>
            <w:r w:rsidRPr="6064B41A">
              <w:rPr>
                <w:rFonts w:eastAsia="Inter Light"/>
              </w:rPr>
              <w:t>9.00 (0.91)</w:t>
            </w:r>
          </w:p>
        </w:tc>
        <w:tc>
          <w:tcPr>
            <w:tcW w:w="1536" w:type="dxa"/>
            <w:tcBorders>
              <w:top w:val="single" w:sz="8" w:space="0" w:color="auto"/>
              <w:left w:val="single" w:sz="8" w:space="0" w:color="auto"/>
              <w:bottom w:val="single" w:sz="8" w:space="0" w:color="auto"/>
              <w:right w:val="single" w:sz="8" w:space="0" w:color="auto"/>
            </w:tcBorders>
            <w:tcMar>
              <w:left w:w="108" w:type="dxa"/>
              <w:right w:w="108" w:type="dxa"/>
            </w:tcMar>
          </w:tcPr>
          <w:p w14:paraId="46ADCC1F" w14:textId="128226B8" w:rsidR="6EF8D965" w:rsidRDefault="6EF8D965" w:rsidP="003D6DC2">
            <w:pPr>
              <w:pStyle w:val="TableParagraph"/>
              <w:rPr>
                <w:rFonts w:eastAsia="Inter Light"/>
              </w:rPr>
            </w:pPr>
            <w:r w:rsidRPr="6064B41A">
              <w:rPr>
                <w:rFonts w:eastAsia="Inter Light"/>
              </w:rPr>
              <w:t>8.39 (1.89)</w:t>
            </w:r>
          </w:p>
        </w:tc>
      </w:tr>
    </w:tbl>
    <w:p w14:paraId="10929640" w14:textId="1AA97310" w:rsidR="6493286B" w:rsidRDefault="6493286B" w:rsidP="003D6DC2">
      <w:pPr>
        <w:pStyle w:val="TableNote"/>
        <w:rPr>
          <w:rFonts w:eastAsia="Inter Light"/>
        </w:rPr>
      </w:pPr>
      <w:r w:rsidRPr="761F2C78">
        <w:rPr>
          <w:rFonts w:eastAsia="Inter Light"/>
        </w:rPr>
        <w:t>^ An 11-point Likert scale was used (10 = extremely satisfied or likely to recommend, 0 = not at all satisfied or likely to recommend). No significant differences were detected via independent samples t-test comparing students from equity versus non-equity groups (p</w:t>
      </w:r>
      <w:r w:rsidR="00F15E49">
        <w:rPr>
          <w:rFonts w:eastAsia="Inter Light"/>
        </w:rPr>
        <w:t xml:space="preserve"> </w:t>
      </w:r>
      <w:r w:rsidRPr="761F2C78">
        <w:rPr>
          <w:rFonts w:eastAsia="Inter Light"/>
        </w:rPr>
        <w:t>&lt;</w:t>
      </w:r>
      <w:r w:rsidR="00F15E49">
        <w:rPr>
          <w:rFonts w:eastAsia="Inter Light"/>
        </w:rPr>
        <w:t xml:space="preserve"> </w:t>
      </w:r>
      <w:r w:rsidRPr="761F2C78">
        <w:rPr>
          <w:rFonts w:eastAsia="Inter Light"/>
        </w:rPr>
        <w:t>0.05).</w:t>
      </w:r>
    </w:p>
    <w:p w14:paraId="3F50A6FF" w14:textId="68D5A15E" w:rsidR="00DF5403" w:rsidRDefault="2071077D" w:rsidP="00A32591">
      <w:pPr>
        <w:rPr>
          <w:rFonts w:eastAsia="Inter Light"/>
        </w:rPr>
      </w:pPr>
      <w:r w:rsidRPr="2B9A47C0">
        <w:rPr>
          <w:rFonts w:eastAsia="Inter Light"/>
        </w:rPr>
        <w:t xml:space="preserve">As part of this student survey, questionnaires </w:t>
      </w:r>
      <w:r w:rsidR="0226B129" w:rsidRPr="5CBD55BF">
        <w:rPr>
          <w:rFonts w:eastAsia="Inter Light"/>
        </w:rPr>
        <w:t xml:space="preserve">were </w:t>
      </w:r>
      <w:r w:rsidR="3F63770C" w:rsidRPr="63DE3D7E">
        <w:rPr>
          <w:rFonts w:eastAsia="Inter Light"/>
        </w:rPr>
        <w:t>included to measure</w:t>
      </w:r>
      <w:r w:rsidRPr="2B9A47C0">
        <w:rPr>
          <w:rFonts w:eastAsia="Inter Light"/>
        </w:rPr>
        <w:t xml:space="preserve"> resilience, belonging</w:t>
      </w:r>
      <w:r w:rsidR="00136732">
        <w:rPr>
          <w:rFonts w:eastAsia="Inter Light"/>
        </w:rPr>
        <w:t>,</w:t>
      </w:r>
      <w:r w:rsidRPr="2B9A47C0">
        <w:rPr>
          <w:rFonts w:eastAsia="Inter Light"/>
        </w:rPr>
        <w:t xml:space="preserve"> and wellbeing</w:t>
      </w:r>
      <w:r w:rsidRPr="63DE3D7E">
        <w:rPr>
          <w:rFonts w:eastAsia="Inter Light"/>
        </w:rPr>
        <w:t>.</w:t>
      </w:r>
      <w:r w:rsidRPr="2B9A47C0">
        <w:rPr>
          <w:rFonts w:eastAsia="Inter Light"/>
        </w:rPr>
        <w:t xml:space="preserve"> Internal reliability was found to be good for the BRS</w:t>
      </w:r>
      <w:r w:rsidRPr="4DC93823">
        <w:rPr>
          <w:rFonts w:eastAsia="Inter Light"/>
        </w:rPr>
        <w:t xml:space="preserve"> (Cronbach's α</w:t>
      </w:r>
      <w:r w:rsidR="1A80383E" w:rsidRPr="0C9241DB">
        <w:rPr>
          <w:rFonts w:eastAsia="Inter Light"/>
        </w:rPr>
        <w:t xml:space="preserve"> </w:t>
      </w:r>
      <w:r w:rsidRPr="0C9241DB">
        <w:rPr>
          <w:rFonts w:eastAsia="Inter Light"/>
        </w:rPr>
        <w:t>=</w:t>
      </w:r>
      <w:r w:rsidR="4877AF67" w:rsidRPr="0C9241DB">
        <w:rPr>
          <w:rFonts w:eastAsia="Inter Light"/>
        </w:rPr>
        <w:t xml:space="preserve"> </w:t>
      </w:r>
      <w:r w:rsidRPr="55AF1D3E">
        <w:rPr>
          <w:rFonts w:eastAsia="Inter Light"/>
        </w:rPr>
        <w:t>0</w:t>
      </w:r>
      <w:r w:rsidRPr="5B008B61">
        <w:rPr>
          <w:rFonts w:eastAsia="Inter Light"/>
        </w:rPr>
        <w:t>.806</w:t>
      </w:r>
      <w:r w:rsidR="30ED6404" w:rsidRPr="5B008B61">
        <w:rPr>
          <w:rFonts w:eastAsia="Inter Light"/>
        </w:rPr>
        <w:t>)</w:t>
      </w:r>
      <w:r w:rsidRPr="5B008B61">
        <w:rPr>
          <w:rFonts w:eastAsia="Inter Light"/>
        </w:rPr>
        <w:t>,</w:t>
      </w:r>
      <w:r w:rsidRPr="2B9A47C0">
        <w:rPr>
          <w:rFonts w:eastAsia="Inter Light"/>
        </w:rPr>
        <w:t xml:space="preserve"> the SWEMW</w:t>
      </w:r>
      <w:r w:rsidR="00B43A6C">
        <w:rPr>
          <w:rFonts w:eastAsia="Inter Light"/>
        </w:rPr>
        <w:t>B</w:t>
      </w:r>
      <w:r w:rsidRPr="2B9A47C0">
        <w:rPr>
          <w:rFonts w:eastAsia="Inter Light"/>
        </w:rPr>
        <w:t>S</w:t>
      </w:r>
      <w:r w:rsidR="4C19AA0F" w:rsidRPr="411D8960">
        <w:rPr>
          <w:rFonts w:eastAsia="Inter Light"/>
        </w:rPr>
        <w:t xml:space="preserve"> </w:t>
      </w:r>
      <w:r w:rsidR="4C19AA0F" w:rsidRPr="0F781BBF">
        <w:rPr>
          <w:rFonts w:eastAsia="Inter Light"/>
        </w:rPr>
        <w:t>(Cronbach's α</w:t>
      </w:r>
      <w:r w:rsidR="32189DE4" w:rsidRPr="0C9241DB">
        <w:rPr>
          <w:rFonts w:eastAsia="Inter Light"/>
        </w:rPr>
        <w:t xml:space="preserve"> </w:t>
      </w:r>
      <w:r w:rsidR="4C19AA0F" w:rsidRPr="0C9241DB">
        <w:rPr>
          <w:rFonts w:eastAsia="Inter Light"/>
        </w:rPr>
        <w:t>=</w:t>
      </w:r>
      <w:r w:rsidR="39377A60" w:rsidRPr="0C9241DB">
        <w:rPr>
          <w:rFonts w:eastAsia="Inter Light"/>
        </w:rPr>
        <w:t xml:space="preserve"> </w:t>
      </w:r>
      <w:r w:rsidR="4C19AA0F" w:rsidRPr="0F781BBF">
        <w:rPr>
          <w:rFonts w:eastAsia="Inter Light"/>
        </w:rPr>
        <w:t>0.</w:t>
      </w:r>
      <w:r w:rsidR="4C19AA0F" w:rsidRPr="25E17F9B">
        <w:rPr>
          <w:rFonts w:eastAsia="Inter Light"/>
        </w:rPr>
        <w:t>8</w:t>
      </w:r>
      <w:r w:rsidR="765270A2" w:rsidRPr="25E17F9B">
        <w:rPr>
          <w:rFonts w:eastAsia="Inter Light"/>
        </w:rPr>
        <w:t>35</w:t>
      </w:r>
      <w:r w:rsidR="4C19AA0F" w:rsidRPr="0F781BBF">
        <w:rPr>
          <w:rFonts w:eastAsia="Inter Light"/>
        </w:rPr>
        <w:t>)</w:t>
      </w:r>
      <w:r w:rsidRPr="0F781BBF">
        <w:rPr>
          <w:rFonts w:eastAsia="Inter Light"/>
        </w:rPr>
        <w:t>,</w:t>
      </w:r>
      <w:r w:rsidRPr="2B9A47C0">
        <w:rPr>
          <w:rFonts w:eastAsia="Inter Light"/>
        </w:rPr>
        <w:t xml:space="preserve"> and the Sense of Belonging Index</w:t>
      </w:r>
      <w:r w:rsidR="24FC31A6" w:rsidRPr="25E17F9B">
        <w:rPr>
          <w:rFonts w:eastAsia="Inter Light"/>
        </w:rPr>
        <w:t xml:space="preserve"> </w:t>
      </w:r>
      <w:r w:rsidR="24FC31A6" w:rsidRPr="02E9DD17">
        <w:rPr>
          <w:rFonts w:eastAsia="Inter Light"/>
        </w:rPr>
        <w:t>(Cronbach's α</w:t>
      </w:r>
      <w:r w:rsidR="24FC31A6" w:rsidRPr="0C9241DB">
        <w:rPr>
          <w:rFonts w:eastAsia="Inter Light"/>
        </w:rPr>
        <w:t> = </w:t>
      </w:r>
      <w:r w:rsidR="24FC31A6" w:rsidRPr="02E9DD17">
        <w:rPr>
          <w:rFonts w:eastAsia="Inter Light"/>
        </w:rPr>
        <w:t>0.</w:t>
      </w:r>
      <w:r w:rsidR="24FC31A6" w:rsidRPr="7B4EB16B">
        <w:rPr>
          <w:rFonts w:eastAsia="Inter Light"/>
        </w:rPr>
        <w:t>817</w:t>
      </w:r>
      <w:r w:rsidR="24FC31A6" w:rsidRPr="05396D7F">
        <w:rPr>
          <w:rFonts w:eastAsia="Inter Light"/>
        </w:rPr>
        <w:t>).</w:t>
      </w:r>
      <w:r w:rsidRPr="2B9A47C0">
        <w:rPr>
          <w:rFonts w:eastAsia="Inter Light"/>
        </w:rPr>
        <w:t xml:space="preserve"> </w:t>
      </w:r>
      <w:r w:rsidR="0B3B9541" w:rsidRPr="1F25665D">
        <w:rPr>
          <w:rFonts w:eastAsia="Inter Light"/>
        </w:rPr>
        <w:t xml:space="preserve">While mean wellbeing and belonging scores were slightly lower for </w:t>
      </w:r>
      <w:r w:rsidR="0B3B9541" w:rsidRPr="55809A18">
        <w:rPr>
          <w:rFonts w:eastAsia="Inter Light"/>
        </w:rPr>
        <w:t xml:space="preserve">students from equity backgrounds compared </w:t>
      </w:r>
      <w:r w:rsidR="0B3B9541" w:rsidRPr="63128976">
        <w:rPr>
          <w:rFonts w:eastAsia="Inter Light"/>
        </w:rPr>
        <w:t xml:space="preserve">to </w:t>
      </w:r>
      <w:r w:rsidR="0B3B9541" w:rsidRPr="0C409597">
        <w:rPr>
          <w:rFonts w:eastAsia="Inter Light"/>
        </w:rPr>
        <w:t xml:space="preserve">those not belonging to any equity groups, </w:t>
      </w:r>
      <w:r w:rsidR="18E0EFDF" w:rsidRPr="6BD8CA9A">
        <w:rPr>
          <w:rFonts w:eastAsia="Inter Light"/>
        </w:rPr>
        <w:t>there were</w:t>
      </w:r>
      <w:r w:rsidR="0B3B9541" w:rsidRPr="6BD8CA9A">
        <w:rPr>
          <w:rFonts w:eastAsia="Inter Light"/>
        </w:rPr>
        <w:t xml:space="preserve"> </w:t>
      </w:r>
      <w:r w:rsidR="0B3B9541" w:rsidRPr="0C409597">
        <w:rPr>
          <w:rFonts w:eastAsia="Inter Light"/>
        </w:rPr>
        <w:t>no significant</w:t>
      </w:r>
      <w:r w:rsidR="04A32D59" w:rsidRPr="0C409597">
        <w:rPr>
          <w:rFonts w:eastAsia="Inter Light"/>
        </w:rPr>
        <w:t xml:space="preserve"> differences detected at the 5% </w:t>
      </w:r>
      <w:r w:rsidR="04A32D59" w:rsidRPr="2A100961">
        <w:rPr>
          <w:rFonts w:eastAsia="Inter Light"/>
        </w:rPr>
        <w:t>confidence</w:t>
      </w:r>
      <w:r w:rsidR="04A32D59" w:rsidRPr="1CABEFF6">
        <w:rPr>
          <w:rFonts w:eastAsia="Inter Light"/>
        </w:rPr>
        <w:t xml:space="preserve"> </w:t>
      </w:r>
      <w:r w:rsidR="04A32D59" w:rsidRPr="0C409597">
        <w:rPr>
          <w:rFonts w:eastAsia="Inter Light"/>
        </w:rPr>
        <w:t>level</w:t>
      </w:r>
      <w:r w:rsidR="16A6D953" w:rsidRPr="46C2DAFC">
        <w:rPr>
          <w:rFonts w:eastAsia="Inter Light"/>
        </w:rPr>
        <w:t xml:space="preserve"> (Table </w:t>
      </w:r>
      <w:r w:rsidR="6B4AD293" w:rsidRPr="658F4599">
        <w:rPr>
          <w:rFonts w:eastAsia="Inter Light"/>
        </w:rPr>
        <w:t>1</w:t>
      </w:r>
      <w:r w:rsidR="3CFD1027" w:rsidRPr="658F4599">
        <w:rPr>
          <w:rFonts w:eastAsia="Inter Light"/>
        </w:rPr>
        <w:t>4</w:t>
      </w:r>
      <w:r w:rsidR="16A6D953" w:rsidRPr="46C2DAFC">
        <w:rPr>
          <w:rFonts w:eastAsia="Inter Light"/>
        </w:rPr>
        <w:t>)</w:t>
      </w:r>
      <w:r w:rsidR="04A32D59" w:rsidRPr="46C2DAFC">
        <w:rPr>
          <w:rFonts w:eastAsia="Inter Light"/>
        </w:rPr>
        <w:t>.</w:t>
      </w:r>
      <w:r w:rsidR="00E828D5" w:rsidRPr="00E828D5">
        <w:rPr>
          <w:rFonts w:ascii="Helvetica" w:eastAsiaTheme="minorHAnsi" w:hAnsi="Helvetica" w:cs="Helvetica"/>
          <w:sz w:val="24"/>
          <w:lang w:val="en-GB" w:eastAsia="en-US"/>
          <w14:ligatures w14:val="standardContextual"/>
        </w:rPr>
        <w:t xml:space="preserve"> </w:t>
      </w:r>
      <w:r w:rsidR="00E828D5" w:rsidRPr="00E828D5">
        <w:rPr>
          <w:rFonts w:eastAsia="Inter Light"/>
          <w:lang w:val="en-GB"/>
        </w:rPr>
        <w:t xml:space="preserve">Belonging was positively associated with measures of </w:t>
      </w:r>
      <w:r w:rsidR="00F62E27">
        <w:rPr>
          <w:rFonts w:eastAsia="Inter Light"/>
          <w:lang w:val="en-GB"/>
        </w:rPr>
        <w:t>w</w:t>
      </w:r>
      <w:r w:rsidR="00E828D5" w:rsidRPr="00E828D5">
        <w:rPr>
          <w:rFonts w:eastAsia="Inter Light"/>
          <w:lang w:val="en-GB"/>
        </w:rPr>
        <w:t>ellbeing (r</w:t>
      </w:r>
      <w:r w:rsidR="00F15E49">
        <w:rPr>
          <w:rFonts w:eastAsia="Inter Light"/>
          <w:lang w:val="en-GB"/>
        </w:rPr>
        <w:t xml:space="preserve"> </w:t>
      </w:r>
      <w:r w:rsidR="00E828D5" w:rsidRPr="00E828D5">
        <w:rPr>
          <w:rFonts w:eastAsia="Inter Light"/>
          <w:lang w:val="en-GB"/>
        </w:rPr>
        <w:t>=</w:t>
      </w:r>
      <w:r w:rsidR="00F15E49">
        <w:rPr>
          <w:rFonts w:eastAsia="Inter Light"/>
          <w:lang w:val="en-GB"/>
        </w:rPr>
        <w:t xml:space="preserve"> </w:t>
      </w:r>
      <w:r w:rsidR="00E828D5" w:rsidRPr="00E828D5">
        <w:rPr>
          <w:rFonts w:eastAsia="Inter Light"/>
          <w:lang w:val="en-GB"/>
        </w:rPr>
        <w:t>0.517, p</w:t>
      </w:r>
      <w:r w:rsidR="00F15E49">
        <w:rPr>
          <w:rFonts w:eastAsia="Inter Light"/>
          <w:lang w:val="en-GB"/>
        </w:rPr>
        <w:t xml:space="preserve"> </w:t>
      </w:r>
      <w:r w:rsidR="00E828D5" w:rsidRPr="00E828D5">
        <w:rPr>
          <w:rFonts w:eastAsia="Inter Light"/>
          <w:lang w:val="en-GB"/>
        </w:rPr>
        <w:t>&lt;</w:t>
      </w:r>
      <w:r w:rsidR="00F15E49">
        <w:rPr>
          <w:rFonts w:eastAsia="Inter Light"/>
          <w:lang w:val="en-GB"/>
        </w:rPr>
        <w:t xml:space="preserve"> </w:t>
      </w:r>
      <w:r w:rsidR="00E828D5" w:rsidRPr="00E828D5">
        <w:rPr>
          <w:rFonts w:eastAsia="Inter Light"/>
          <w:lang w:val="en-GB"/>
        </w:rPr>
        <w:t>0.001) and resilience (r</w:t>
      </w:r>
      <w:r w:rsidR="00F15E49">
        <w:rPr>
          <w:rFonts w:eastAsia="Inter Light"/>
          <w:lang w:val="en-GB"/>
        </w:rPr>
        <w:t xml:space="preserve"> </w:t>
      </w:r>
      <w:r w:rsidR="00E828D5" w:rsidRPr="00E828D5">
        <w:rPr>
          <w:rFonts w:eastAsia="Inter Light"/>
          <w:lang w:val="en-GB"/>
        </w:rPr>
        <w:t>=</w:t>
      </w:r>
      <w:r w:rsidR="00F15E49">
        <w:rPr>
          <w:rFonts w:eastAsia="Inter Light"/>
          <w:lang w:val="en-GB"/>
        </w:rPr>
        <w:t xml:space="preserve"> </w:t>
      </w:r>
      <w:r w:rsidR="00E828D5" w:rsidRPr="00E828D5">
        <w:rPr>
          <w:rFonts w:eastAsia="Inter Light"/>
          <w:lang w:val="en-GB"/>
        </w:rPr>
        <w:t>0.549, p</w:t>
      </w:r>
      <w:r w:rsidR="00F15E49">
        <w:rPr>
          <w:rFonts w:eastAsia="Inter Light"/>
          <w:lang w:val="en-GB"/>
        </w:rPr>
        <w:t xml:space="preserve"> </w:t>
      </w:r>
      <w:r w:rsidR="00E828D5" w:rsidRPr="00E828D5">
        <w:rPr>
          <w:rFonts w:eastAsia="Inter Light"/>
          <w:lang w:val="en-GB"/>
        </w:rPr>
        <w:t>&lt;</w:t>
      </w:r>
      <w:r w:rsidR="00F15E49">
        <w:rPr>
          <w:rFonts w:eastAsia="Inter Light"/>
          <w:lang w:val="en-GB"/>
        </w:rPr>
        <w:t xml:space="preserve"> </w:t>
      </w:r>
      <w:r w:rsidR="00E828D5" w:rsidRPr="00E828D5">
        <w:rPr>
          <w:rFonts w:eastAsia="Inter Light"/>
          <w:lang w:val="en-GB"/>
        </w:rPr>
        <w:t>0.001), as were resilience and wellbeing (r</w:t>
      </w:r>
      <w:r w:rsidR="00F15E49">
        <w:rPr>
          <w:rFonts w:eastAsia="Inter Light"/>
          <w:lang w:val="en-GB"/>
        </w:rPr>
        <w:t xml:space="preserve"> </w:t>
      </w:r>
      <w:r w:rsidR="00E828D5" w:rsidRPr="00E828D5">
        <w:rPr>
          <w:rFonts w:eastAsia="Inter Light"/>
          <w:lang w:val="en-GB"/>
        </w:rPr>
        <w:t>=</w:t>
      </w:r>
      <w:r w:rsidR="00F15E49">
        <w:rPr>
          <w:rFonts w:eastAsia="Inter Light"/>
          <w:lang w:val="en-GB"/>
        </w:rPr>
        <w:t xml:space="preserve"> </w:t>
      </w:r>
      <w:r w:rsidR="00E828D5" w:rsidRPr="00E828D5">
        <w:rPr>
          <w:rFonts w:eastAsia="Inter Light"/>
          <w:lang w:val="en-GB"/>
        </w:rPr>
        <w:t>0.473, p</w:t>
      </w:r>
      <w:r w:rsidR="00F15E49">
        <w:rPr>
          <w:rFonts w:eastAsia="Inter Light"/>
          <w:lang w:val="en-GB"/>
        </w:rPr>
        <w:t xml:space="preserve"> </w:t>
      </w:r>
      <w:r w:rsidR="00E828D5" w:rsidRPr="00E828D5">
        <w:rPr>
          <w:rFonts w:eastAsia="Inter Light"/>
          <w:lang w:val="en-GB"/>
        </w:rPr>
        <w:t>=</w:t>
      </w:r>
      <w:r w:rsidR="00F15E49">
        <w:rPr>
          <w:rFonts w:eastAsia="Inter Light"/>
          <w:lang w:val="en-GB"/>
        </w:rPr>
        <w:t xml:space="preserve"> </w:t>
      </w:r>
      <w:r w:rsidR="00E828D5" w:rsidRPr="00E828D5">
        <w:rPr>
          <w:rFonts w:eastAsia="Inter Light"/>
          <w:lang w:val="en-GB"/>
        </w:rPr>
        <w:t>0.001).</w:t>
      </w:r>
    </w:p>
    <w:p w14:paraId="19CA53EA" w14:textId="5F4378D7" w:rsidR="45BC7C1C" w:rsidRDefault="45BC7C1C" w:rsidP="00A32591">
      <w:pPr>
        <w:rPr>
          <w:rFonts w:eastAsia="Inter Light"/>
        </w:rPr>
      </w:pPr>
    </w:p>
    <w:p w14:paraId="5D325341" w14:textId="77777777" w:rsidR="00B14887" w:rsidRDefault="00B14887" w:rsidP="00A32591">
      <w:pPr>
        <w:rPr>
          <w:rFonts w:eastAsia="Inter Light"/>
        </w:rPr>
      </w:pPr>
    </w:p>
    <w:p w14:paraId="12108591" w14:textId="77777777" w:rsidR="00B14887" w:rsidRDefault="00B14887" w:rsidP="00A32591">
      <w:pPr>
        <w:rPr>
          <w:rFonts w:eastAsia="Inter Light"/>
        </w:rPr>
      </w:pPr>
    </w:p>
    <w:p w14:paraId="4F882F8B" w14:textId="77777777" w:rsidR="00136732" w:rsidRDefault="00136732" w:rsidP="003D6DC2">
      <w:pPr>
        <w:pStyle w:val="TOCHeading"/>
      </w:pPr>
    </w:p>
    <w:p w14:paraId="686F50F9" w14:textId="77777777" w:rsidR="008C06EF" w:rsidRDefault="008C06EF" w:rsidP="003D6DC2">
      <w:pPr>
        <w:pStyle w:val="TOCHeading"/>
      </w:pPr>
    </w:p>
    <w:p w14:paraId="06013FB5" w14:textId="519DA6BF" w:rsidR="00DF5403" w:rsidRPr="00C473BD" w:rsidRDefault="7128390A" w:rsidP="00F15E49">
      <w:pPr>
        <w:pStyle w:val="TOCHeading"/>
      </w:pPr>
      <w:bookmarkStart w:id="87" w:name="_Toc232575183"/>
      <w:r w:rsidRPr="00C473BD">
        <w:lastRenderedPageBreak/>
        <w:t xml:space="preserve">Table </w:t>
      </w:r>
      <w:r w:rsidR="08D5697A" w:rsidRPr="00C473BD">
        <w:t>1</w:t>
      </w:r>
      <w:r w:rsidR="006CD028" w:rsidRPr="00C473BD">
        <w:t>4</w:t>
      </w:r>
      <w:r w:rsidR="008C06EF">
        <w:t>:</w:t>
      </w:r>
      <w:r w:rsidRPr="00C473BD">
        <w:t xml:space="preserve"> Respondents’ mean total </w:t>
      </w:r>
      <w:r w:rsidRPr="00B43A6C">
        <w:t>scores</w:t>
      </w:r>
      <w:r w:rsidRPr="00C473BD">
        <w:t xml:space="preserve"> of resilience, mental wellbeing, and belonging</w:t>
      </w:r>
      <w:r w:rsidR="1B20D0A7" w:rsidRPr="00C473BD">
        <w:t>*</w:t>
      </w:r>
      <w:r w:rsidR="00E47E10">
        <w:t>.</w:t>
      </w:r>
      <w:bookmarkEnd w:id="87"/>
    </w:p>
    <w:tbl>
      <w:tblPr>
        <w:tblW w:w="9015" w:type="dxa"/>
        <w:tblBorders>
          <w:top w:val="single" w:sz="6" w:space="0" w:color="auto"/>
          <w:left w:val="single" w:sz="6" w:space="0" w:color="auto"/>
          <w:bottom w:val="single" w:sz="6" w:space="0" w:color="auto"/>
          <w:right w:val="single" w:sz="6" w:space="0" w:color="auto"/>
        </w:tblBorders>
        <w:tblCellMar>
          <w:top w:w="68" w:type="dxa"/>
          <w:left w:w="68" w:type="dxa"/>
          <w:bottom w:w="68" w:type="dxa"/>
          <w:right w:w="68" w:type="dxa"/>
        </w:tblCellMar>
        <w:tblLook w:val="04A0" w:firstRow="1" w:lastRow="0" w:firstColumn="1" w:lastColumn="0" w:noHBand="0" w:noVBand="1"/>
      </w:tblPr>
      <w:tblGrid>
        <w:gridCol w:w="1935"/>
        <w:gridCol w:w="1365"/>
        <w:gridCol w:w="1575"/>
        <w:gridCol w:w="1635"/>
        <w:gridCol w:w="1518"/>
        <w:gridCol w:w="987"/>
      </w:tblGrid>
      <w:tr w:rsidR="0D4C7E5E" w14:paraId="6F7BA052" w14:textId="0E779778" w:rsidTr="00B14887">
        <w:trPr>
          <w:trHeight w:val="300"/>
        </w:trPr>
        <w:tc>
          <w:tcPr>
            <w:tcW w:w="1935" w:type="dxa"/>
            <w:tcBorders>
              <w:top w:val="single" w:sz="8" w:space="0" w:color="auto"/>
              <w:left w:val="single" w:sz="8" w:space="0" w:color="auto"/>
              <w:bottom w:val="single" w:sz="8" w:space="0" w:color="auto"/>
              <w:right w:val="single" w:sz="8" w:space="0" w:color="auto"/>
            </w:tcBorders>
            <w:shd w:val="clear" w:color="auto" w:fill="78DED9" w:themeFill="accent1"/>
          </w:tcPr>
          <w:p w14:paraId="12EE37FB" w14:textId="25C653D8" w:rsidR="0D4C7E5E" w:rsidRDefault="0D4C7E5E" w:rsidP="003D6DC2">
            <w:pPr>
              <w:pStyle w:val="Normal-Bold"/>
            </w:pPr>
            <w:r w:rsidRPr="0D4C7E5E">
              <w:t xml:space="preserve">Scale </w:t>
            </w:r>
          </w:p>
        </w:tc>
        <w:tc>
          <w:tcPr>
            <w:tcW w:w="1365" w:type="dxa"/>
            <w:tcBorders>
              <w:top w:val="single" w:sz="8" w:space="0" w:color="auto"/>
              <w:left w:val="single" w:sz="8" w:space="0" w:color="auto"/>
              <w:bottom w:val="single" w:sz="8" w:space="0" w:color="auto"/>
              <w:right w:val="single" w:sz="8" w:space="0" w:color="auto"/>
            </w:tcBorders>
            <w:shd w:val="clear" w:color="auto" w:fill="78DED9" w:themeFill="accent1"/>
          </w:tcPr>
          <w:p w14:paraId="02E640F6" w14:textId="66E35255" w:rsidR="0D4C7E5E" w:rsidRDefault="0D4C7E5E" w:rsidP="003D6DC2">
            <w:pPr>
              <w:pStyle w:val="Normal-Bold"/>
            </w:pPr>
            <w:r w:rsidRPr="0D4C7E5E">
              <w:t xml:space="preserve">Construct </w:t>
            </w:r>
          </w:p>
        </w:tc>
        <w:tc>
          <w:tcPr>
            <w:tcW w:w="1575" w:type="dxa"/>
            <w:tcBorders>
              <w:top w:val="single" w:sz="8" w:space="0" w:color="auto"/>
              <w:left w:val="single" w:sz="8" w:space="0" w:color="auto"/>
              <w:bottom w:val="single" w:sz="8" w:space="0" w:color="auto"/>
              <w:right w:val="single" w:sz="8" w:space="0" w:color="auto"/>
            </w:tcBorders>
            <w:shd w:val="clear" w:color="auto" w:fill="78DED9" w:themeFill="accent1"/>
          </w:tcPr>
          <w:p w14:paraId="5B2A76A0" w14:textId="69FCE39C" w:rsidR="0D4C7E5E" w:rsidRDefault="0D4C7E5E" w:rsidP="003D6DC2">
            <w:pPr>
              <w:pStyle w:val="Normal-Bold"/>
            </w:pPr>
            <w:r w:rsidRPr="0D4C7E5E">
              <w:t xml:space="preserve">All respondents </w:t>
            </w:r>
            <w:r w:rsidRPr="003D6DC2">
              <w:rPr>
                <w:b w:val="0"/>
                <w:bCs w:val="0"/>
              </w:rPr>
              <w:t>(</w:t>
            </w:r>
            <w:r w:rsidR="003D6DC2" w:rsidRPr="00B43A6C">
              <w:rPr>
                <w:b w:val="0"/>
                <w:bCs w:val="0"/>
                <w:i/>
                <w:iCs/>
              </w:rPr>
              <w:t>n</w:t>
            </w:r>
            <w:r w:rsidR="00623DD1">
              <w:rPr>
                <w:b w:val="0"/>
                <w:bCs w:val="0"/>
              </w:rPr>
              <w:t xml:space="preserve"> </w:t>
            </w:r>
            <w:r w:rsidRPr="003D6DC2">
              <w:rPr>
                <w:b w:val="0"/>
                <w:bCs w:val="0"/>
              </w:rPr>
              <w:t>=</w:t>
            </w:r>
            <w:r w:rsidR="00623DD1">
              <w:rPr>
                <w:b w:val="0"/>
                <w:bCs w:val="0"/>
              </w:rPr>
              <w:t xml:space="preserve"> </w:t>
            </w:r>
            <w:r w:rsidRPr="003D6DC2">
              <w:rPr>
                <w:b w:val="0"/>
                <w:bCs w:val="0"/>
              </w:rPr>
              <w:t xml:space="preserve">44) </w:t>
            </w:r>
          </w:p>
        </w:tc>
        <w:tc>
          <w:tcPr>
            <w:tcW w:w="1635" w:type="dxa"/>
            <w:tcBorders>
              <w:top w:val="single" w:sz="8" w:space="0" w:color="auto"/>
              <w:left w:val="single" w:sz="8" w:space="0" w:color="auto"/>
              <w:bottom w:val="single" w:sz="8" w:space="0" w:color="auto"/>
              <w:right w:val="single" w:sz="8" w:space="0" w:color="auto"/>
            </w:tcBorders>
            <w:shd w:val="clear" w:color="auto" w:fill="78DED9" w:themeFill="accent1"/>
          </w:tcPr>
          <w:p w14:paraId="0F9CF178" w14:textId="1448973F" w:rsidR="0D4C7E5E" w:rsidRDefault="0D4C7E5E" w:rsidP="003D6DC2">
            <w:pPr>
              <w:pStyle w:val="Normal-Bold"/>
            </w:pPr>
            <w:r w:rsidRPr="0D4C7E5E">
              <w:t xml:space="preserve">Non-equity group </w:t>
            </w:r>
            <w:r w:rsidR="00623DD1">
              <w:br/>
            </w:r>
            <w:r w:rsidRPr="00DF38FC">
              <w:rPr>
                <w:b w:val="0"/>
                <w:bCs w:val="0"/>
              </w:rPr>
              <w:t>(</w:t>
            </w:r>
            <w:r w:rsidRPr="00DF38FC">
              <w:rPr>
                <w:b w:val="0"/>
                <w:bCs w:val="0"/>
                <w:i/>
              </w:rPr>
              <w:t>n</w:t>
            </w:r>
            <w:r w:rsidR="00623DD1">
              <w:rPr>
                <w:b w:val="0"/>
                <w:bCs w:val="0"/>
                <w:i/>
              </w:rPr>
              <w:t xml:space="preserve"> </w:t>
            </w:r>
            <w:r w:rsidRPr="00DF38FC">
              <w:rPr>
                <w:b w:val="0"/>
                <w:bCs w:val="0"/>
              </w:rPr>
              <w:t>=</w:t>
            </w:r>
            <w:r w:rsidR="00623DD1">
              <w:rPr>
                <w:b w:val="0"/>
                <w:bCs w:val="0"/>
              </w:rPr>
              <w:t xml:space="preserve"> </w:t>
            </w:r>
            <w:r w:rsidRPr="00DF38FC">
              <w:rPr>
                <w:b w:val="0"/>
                <w:bCs w:val="0"/>
              </w:rPr>
              <w:t>12)</w:t>
            </w:r>
            <w:r w:rsidRPr="0D4C7E5E">
              <w:t xml:space="preserve"> </w:t>
            </w:r>
          </w:p>
        </w:tc>
        <w:tc>
          <w:tcPr>
            <w:tcW w:w="1518" w:type="dxa"/>
            <w:tcBorders>
              <w:top w:val="single" w:sz="8" w:space="0" w:color="auto"/>
              <w:left w:val="single" w:sz="8" w:space="0" w:color="auto"/>
              <w:bottom w:val="single" w:sz="8" w:space="0" w:color="auto"/>
              <w:right w:val="single" w:sz="8" w:space="0" w:color="auto"/>
            </w:tcBorders>
            <w:shd w:val="clear" w:color="auto" w:fill="78DED9" w:themeFill="accent1"/>
          </w:tcPr>
          <w:p w14:paraId="12DED8D1" w14:textId="59133A7A" w:rsidR="0D4C7E5E" w:rsidRDefault="0D4C7E5E" w:rsidP="003D6DC2">
            <w:pPr>
              <w:pStyle w:val="Normal-Bold"/>
            </w:pPr>
            <w:r w:rsidRPr="0D4C7E5E">
              <w:t>Equity group</w:t>
            </w:r>
            <w:r w:rsidR="740AE052" w:rsidRPr="00DF38FC">
              <w:rPr>
                <w:b w:val="0"/>
                <w:bCs w:val="0"/>
              </w:rPr>
              <w:t xml:space="preserve"> </w:t>
            </w:r>
            <w:r w:rsidRPr="00DF38FC">
              <w:rPr>
                <w:b w:val="0"/>
                <w:bCs w:val="0"/>
              </w:rPr>
              <w:t>(</w:t>
            </w:r>
            <w:r w:rsidRPr="00DF38FC">
              <w:rPr>
                <w:b w:val="0"/>
                <w:bCs w:val="0"/>
                <w:i/>
              </w:rPr>
              <w:t>n</w:t>
            </w:r>
            <w:r w:rsidRPr="00DF38FC">
              <w:rPr>
                <w:b w:val="0"/>
                <w:bCs w:val="0"/>
              </w:rPr>
              <w:t xml:space="preserve">= 32) </w:t>
            </w:r>
          </w:p>
        </w:tc>
        <w:tc>
          <w:tcPr>
            <w:tcW w:w="987" w:type="dxa"/>
            <w:tcBorders>
              <w:top w:val="single" w:sz="8" w:space="0" w:color="auto"/>
              <w:left w:val="single" w:sz="8" w:space="0" w:color="auto"/>
              <w:bottom w:val="single" w:sz="8" w:space="0" w:color="auto"/>
              <w:right w:val="single" w:sz="8" w:space="0" w:color="auto"/>
            </w:tcBorders>
            <w:shd w:val="clear" w:color="auto" w:fill="78DED9" w:themeFill="accent1"/>
          </w:tcPr>
          <w:p w14:paraId="35BB0F66" w14:textId="3AAAFBC0" w:rsidR="592848D8" w:rsidRDefault="592848D8" w:rsidP="003D6DC2">
            <w:pPr>
              <w:pStyle w:val="Normal-Bold"/>
            </w:pPr>
            <w:r w:rsidRPr="704905A0">
              <w:t xml:space="preserve">P </w:t>
            </w:r>
            <w:r w:rsidRPr="32A7846C">
              <w:t>value</w:t>
            </w:r>
          </w:p>
        </w:tc>
      </w:tr>
      <w:tr w:rsidR="0D4C7E5E" w14:paraId="2BE7D4BB" w14:textId="28A10B32" w:rsidTr="00B14887">
        <w:trPr>
          <w:trHeight w:val="300"/>
        </w:trPr>
        <w:tc>
          <w:tcPr>
            <w:tcW w:w="1935" w:type="dxa"/>
            <w:tcBorders>
              <w:top w:val="single" w:sz="8" w:space="0" w:color="auto"/>
              <w:left w:val="single" w:sz="8" w:space="0" w:color="auto"/>
              <w:bottom w:val="single" w:sz="8" w:space="0" w:color="auto"/>
              <w:right w:val="single" w:sz="8" w:space="0" w:color="auto"/>
            </w:tcBorders>
          </w:tcPr>
          <w:p w14:paraId="307A4161" w14:textId="49FCFBE0" w:rsidR="0D4C7E5E" w:rsidRDefault="0D4C7E5E" w:rsidP="00DF38FC">
            <w:pPr>
              <w:pStyle w:val="TableParagraph"/>
            </w:pPr>
            <w:r w:rsidRPr="0D4C7E5E">
              <w:t xml:space="preserve">BRS </w:t>
            </w:r>
          </w:p>
        </w:tc>
        <w:tc>
          <w:tcPr>
            <w:tcW w:w="1365" w:type="dxa"/>
            <w:tcBorders>
              <w:top w:val="single" w:sz="8" w:space="0" w:color="auto"/>
              <w:left w:val="single" w:sz="8" w:space="0" w:color="auto"/>
              <w:bottom w:val="single" w:sz="8" w:space="0" w:color="auto"/>
              <w:right w:val="single" w:sz="8" w:space="0" w:color="auto"/>
            </w:tcBorders>
          </w:tcPr>
          <w:p w14:paraId="26A56A3C" w14:textId="275F5E3B" w:rsidR="0D4C7E5E" w:rsidRDefault="0D4C7E5E" w:rsidP="00DF38FC">
            <w:pPr>
              <w:pStyle w:val="TableParagraph"/>
            </w:pPr>
            <w:r w:rsidRPr="0D4C7E5E">
              <w:t xml:space="preserve">Resilience </w:t>
            </w:r>
          </w:p>
        </w:tc>
        <w:tc>
          <w:tcPr>
            <w:tcW w:w="1575" w:type="dxa"/>
            <w:tcBorders>
              <w:top w:val="single" w:sz="8" w:space="0" w:color="auto"/>
              <w:left w:val="single" w:sz="8" w:space="0" w:color="auto"/>
              <w:bottom w:val="single" w:sz="8" w:space="0" w:color="auto"/>
              <w:right w:val="single" w:sz="8" w:space="0" w:color="auto"/>
            </w:tcBorders>
          </w:tcPr>
          <w:p w14:paraId="07DF02FA" w14:textId="6D46562E" w:rsidR="0D4C7E5E" w:rsidRDefault="0D4C7E5E" w:rsidP="00DF38FC">
            <w:pPr>
              <w:pStyle w:val="TableParagraph"/>
            </w:pPr>
            <w:r w:rsidRPr="0D4C7E5E">
              <w:t xml:space="preserve">3.14 </w:t>
            </w:r>
            <w:r w:rsidR="5AF21964" w:rsidRPr="24FF77CB">
              <w:t>(</w:t>
            </w:r>
            <w:r w:rsidRPr="0D4C7E5E">
              <w:t>0.51</w:t>
            </w:r>
            <w:r w:rsidR="40A7F43F" w:rsidRPr="24FF77CB">
              <w:t>)</w:t>
            </w:r>
            <w:r w:rsidRPr="0D4C7E5E">
              <w:t xml:space="preserve"> </w:t>
            </w:r>
          </w:p>
        </w:tc>
        <w:tc>
          <w:tcPr>
            <w:tcW w:w="1635" w:type="dxa"/>
            <w:tcBorders>
              <w:top w:val="single" w:sz="8" w:space="0" w:color="auto"/>
              <w:left w:val="single" w:sz="8" w:space="0" w:color="auto"/>
              <w:bottom w:val="single" w:sz="8" w:space="0" w:color="auto"/>
              <w:right w:val="single" w:sz="8" w:space="0" w:color="auto"/>
            </w:tcBorders>
          </w:tcPr>
          <w:p w14:paraId="60FCFD61" w14:textId="14E94FB5" w:rsidR="0D4C7E5E" w:rsidRDefault="0D4C7E5E" w:rsidP="00DF38FC">
            <w:pPr>
              <w:pStyle w:val="TableParagraph"/>
            </w:pPr>
            <w:r w:rsidRPr="0D4C7E5E">
              <w:t xml:space="preserve">3.19 </w:t>
            </w:r>
            <w:r w:rsidR="495D93E2" w:rsidRPr="15F8C4A6">
              <w:t>(</w:t>
            </w:r>
            <w:r w:rsidRPr="0D4C7E5E">
              <w:t>0.39</w:t>
            </w:r>
            <w:r w:rsidR="738E5DF9" w:rsidRPr="0ECFFE29">
              <w:t>)</w:t>
            </w:r>
          </w:p>
        </w:tc>
        <w:tc>
          <w:tcPr>
            <w:tcW w:w="1518" w:type="dxa"/>
            <w:tcBorders>
              <w:top w:val="single" w:sz="8" w:space="0" w:color="auto"/>
              <w:left w:val="single" w:sz="8" w:space="0" w:color="auto"/>
              <w:bottom w:val="single" w:sz="8" w:space="0" w:color="auto"/>
              <w:right w:val="single" w:sz="8" w:space="0" w:color="auto"/>
            </w:tcBorders>
          </w:tcPr>
          <w:p w14:paraId="794E9404" w14:textId="1365ACE7" w:rsidR="0D4C7E5E" w:rsidRDefault="0D4C7E5E" w:rsidP="00DF38FC">
            <w:pPr>
              <w:pStyle w:val="TableParagraph"/>
            </w:pPr>
            <w:r w:rsidRPr="0D4C7E5E">
              <w:t>3.</w:t>
            </w:r>
            <w:r w:rsidR="23B97C3C" w:rsidRPr="3AB65396">
              <w:t>11</w:t>
            </w:r>
            <w:r w:rsidR="7A18549E" w:rsidRPr="3AB65396">
              <w:t xml:space="preserve"> (</w:t>
            </w:r>
            <w:r w:rsidR="23B97C3C" w:rsidRPr="3AB65396">
              <w:t>0</w:t>
            </w:r>
            <w:r w:rsidRPr="0D4C7E5E">
              <w:t>.56</w:t>
            </w:r>
            <w:r w:rsidR="139EAB58" w:rsidRPr="3AB65396">
              <w:t>)</w:t>
            </w:r>
            <w:r w:rsidRPr="0D4C7E5E">
              <w:t xml:space="preserve"> </w:t>
            </w:r>
          </w:p>
        </w:tc>
        <w:tc>
          <w:tcPr>
            <w:tcW w:w="987" w:type="dxa"/>
            <w:tcBorders>
              <w:top w:val="single" w:sz="8" w:space="0" w:color="auto"/>
              <w:left w:val="single" w:sz="8" w:space="0" w:color="auto"/>
              <w:bottom w:val="single" w:sz="8" w:space="0" w:color="auto"/>
              <w:right w:val="single" w:sz="8" w:space="0" w:color="auto"/>
            </w:tcBorders>
          </w:tcPr>
          <w:p w14:paraId="1AAC21DD" w14:textId="7F5C768D" w:rsidR="696C8249" w:rsidRDefault="06A3BDD8" w:rsidP="00DF38FC">
            <w:pPr>
              <w:pStyle w:val="TableParagraph"/>
            </w:pPr>
            <w:r w:rsidRPr="01003380">
              <w:t>0.</w:t>
            </w:r>
            <w:r w:rsidRPr="2A2FF624">
              <w:t>652</w:t>
            </w:r>
          </w:p>
        </w:tc>
      </w:tr>
      <w:tr w:rsidR="0D4C7E5E" w14:paraId="15DB83A3" w14:textId="372001EC" w:rsidTr="00B14887">
        <w:trPr>
          <w:trHeight w:val="300"/>
        </w:trPr>
        <w:tc>
          <w:tcPr>
            <w:tcW w:w="1935" w:type="dxa"/>
            <w:tcBorders>
              <w:top w:val="single" w:sz="8" w:space="0" w:color="auto"/>
              <w:left w:val="single" w:sz="8" w:space="0" w:color="auto"/>
              <w:bottom w:val="single" w:sz="8" w:space="0" w:color="auto"/>
              <w:right w:val="single" w:sz="8" w:space="0" w:color="auto"/>
            </w:tcBorders>
          </w:tcPr>
          <w:p w14:paraId="042EB5EE" w14:textId="198D90F2" w:rsidR="0D4C7E5E" w:rsidRDefault="0D4C7E5E" w:rsidP="00DF38FC">
            <w:pPr>
              <w:pStyle w:val="TableParagraph"/>
            </w:pPr>
            <w:r w:rsidRPr="0D4C7E5E">
              <w:t>SWEMW</w:t>
            </w:r>
            <w:r w:rsidR="00B43A6C">
              <w:t>B</w:t>
            </w:r>
            <w:r w:rsidRPr="0D4C7E5E">
              <w:t xml:space="preserve">S </w:t>
            </w:r>
          </w:p>
        </w:tc>
        <w:tc>
          <w:tcPr>
            <w:tcW w:w="1365" w:type="dxa"/>
            <w:tcBorders>
              <w:top w:val="single" w:sz="8" w:space="0" w:color="auto"/>
              <w:left w:val="single" w:sz="8" w:space="0" w:color="auto"/>
              <w:bottom w:val="single" w:sz="8" w:space="0" w:color="auto"/>
              <w:right w:val="single" w:sz="8" w:space="0" w:color="auto"/>
            </w:tcBorders>
          </w:tcPr>
          <w:p w14:paraId="0CF9135B" w14:textId="7A90284A" w:rsidR="0D4C7E5E" w:rsidRDefault="0D4C7E5E" w:rsidP="00DF38FC">
            <w:pPr>
              <w:pStyle w:val="TableParagraph"/>
            </w:pPr>
            <w:r w:rsidRPr="0D4C7E5E">
              <w:t xml:space="preserve">Mental </w:t>
            </w:r>
            <w:r w:rsidR="00E47E10">
              <w:t>w</w:t>
            </w:r>
            <w:r w:rsidRPr="0D4C7E5E">
              <w:t xml:space="preserve">ellbeing </w:t>
            </w:r>
          </w:p>
        </w:tc>
        <w:tc>
          <w:tcPr>
            <w:tcW w:w="1575" w:type="dxa"/>
            <w:tcBorders>
              <w:top w:val="single" w:sz="8" w:space="0" w:color="auto"/>
              <w:left w:val="single" w:sz="8" w:space="0" w:color="auto"/>
              <w:bottom w:val="single" w:sz="8" w:space="0" w:color="auto"/>
              <w:right w:val="single" w:sz="8" w:space="0" w:color="auto"/>
            </w:tcBorders>
          </w:tcPr>
          <w:p w14:paraId="51583FCC" w14:textId="0F360FA4" w:rsidR="0D4C7E5E" w:rsidRDefault="0D4C7E5E" w:rsidP="00DF38FC">
            <w:pPr>
              <w:pStyle w:val="TableParagraph"/>
            </w:pPr>
            <w:r w:rsidRPr="0D4C7E5E">
              <w:t>22.27</w:t>
            </w:r>
            <w:r w:rsidR="352AAA3A" w:rsidRPr="3809608E">
              <w:t xml:space="preserve"> (</w:t>
            </w:r>
            <w:r w:rsidRPr="0D4C7E5E">
              <w:t>5.18</w:t>
            </w:r>
            <w:r w:rsidR="6F8674AA" w:rsidRPr="1DB7CDA2">
              <w:t>)</w:t>
            </w:r>
          </w:p>
        </w:tc>
        <w:tc>
          <w:tcPr>
            <w:tcW w:w="1635" w:type="dxa"/>
            <w:tcBorders>
              <w:top w:val="single" w:sz="8" w:space="0" w:color="auto"/>
              <w:left w:val="single" w:sz="8" w:space="0" w:color="auto"/>
              <w:bottom w:val="single" w:sz="8" w:space="0" w:color="auto"/>
              <w:right w:val="single" w:sz="8" w:space="0" w:color="auto"/>
            </w:tcBorders>
          </w:tcPr>
          <w:p w14:paraId="55DF3409" w14:textId="67900647" w:rsidR="0D4C7E5E" w:rsidRDefault="0D4C7E5E" w:rsidP="00DF38FC">
            <w:pPr>
              <w:pStyle w:val="TableParagraph"/>
            </w:pPr>
            <w:r w:rsidRPr="0D4C7E5E">
              <w:t xml:space="preserve">24.58 </w:t>
            </w:r>
            <w:r w:rsidR="7C3069CB" w:rsidRPr="46F7DC9F">
              <w:t>(</w:t>
            </w:r>
            <w:r w:rsidRPr="0D4C7E5E">
              <w:t>5.38</w:t>
            </w:r>
            <w:r w:rsidR="0781771E" w:rsidRPr="7A29FEF2">
              <w:t>)</w:t>
            </w:r>
            <w:r w:rsidRPr="0D4C7E5E">
              <w:t xml:space="preserve"> </w:t>
            </w:r>
          </w:p>
        </w:tc>
        <w:tc>
          <w:tcPr>
            <w:tcW w:w="1518" w:type="dxa"/>
            <w:tcBorders>
              <w:top w:val="single" w:sz="8" w:space="0" w:color="auto"/>
              <w:left w:val="single" w:sz="8" w:space="0" w:color="auto"/>
              <w:bottom w:val="single" w:sz="8" w:space="0" w:color="auto"/>
              <w:right w:val="single" w:sz="8" w:space="0" w:color="auto"/>
            </w:tcBorders>
          </w:tcPr>
          <w:p w14:paraId="01D7E4A1" w14:textId="321BFBA6" w:rsidR="0D4C7E5E" w:rsidRDefault="0D4C7E5E" w:rsidP="00DF38FC">
            <w:pPr>
              <w:pStyle w:val="TableParagraph"/>
            </w:pPr>
            <w:r w:rsidRPr="0D4C7E5E">
              <w:t>21.41</w:t>
            </w:r>
            <w:r w:rsidR="37667790" w:rsidRPr="0C0D7C04">
              <w:t xml:space="preserve"> (</w:t>
            </w:r>
            <w:r w:rsidRPr="0D4C7E5E">
              <w:t>4.90</w:t>
            </w:r>
            <w:r w:rsidR="15D59197" w:rsidRPr="1C56F31D">
              <w:t>)</w:t>
            </w:r>
          </w:p>
        </w:tc>
        <w:tc>
          <w:tcPr>
            <w:tcW w:w="987" w:type="dxa"/>
            <w:tcBorders>
              <w:top w:val="single" w:sz="8" w:space="0" w:color="auto"/>
              <w:left w:val="single" w:sz="8" w:space="0" w:color="auto"/>
              <w:bottom w:val="single" w:sz="8" w:space="0" w:color="auto"/>
              <w:right w:val="single" w:sz="8" w:space="0" w:color="auto"/>
            </w:tcBorders>
          </w:tcPr>
          <w:p w14:paraId="7B6EA51B" w14:textId="4890FB2C" w:rsidR="696C8249" w:rsidRDefault="0696BBAD" w:rsidP="00DF38FC">
            <w:pPr>
              <w:pStyle w:val="TableParagraph"/>
            </w:pPr>
            <w:r w:rsidRPr="1F25665D">
              <w:t>0.069</w:t>
            </w:r>
          </w:p>
        </w:tc>
      </w:tr>
      <w:tr w:rsidR="0D4C7E5E" w14:paraId="53D886DC" w14:textId="20DCB002" w:rsidTr="00B14887">
        <w:trPr>
          <w:trHeight w:val="300"/>
        </w:trPr>
        <w:tc>
          <w:tcPr>
            <w:tcW w:w="1935" w:type="dxa"/>
            <w:tcBorders>
              <w:top w:val="single" w:sz="8" w:space="0" w:color="auto"/>
              <w:left w:val="single" w:sz="8" w:space="0" w:color="auto"/>
              <w:bottom w:val="single" w:sz="8" w:space="0" w:color="auto"/>
              <w:right w:val="single" w:sz="8" w:space="0" w:color="auto"/>
            </w:tcBorders>
          </w:tcPr>
          <w:p w14:paraId="22C847D4" w14:textId="1B390B1E" w:rsidR="0D4C7E5E" w:rsidRDefault="0D4C7E5E" w:rsidP="00DF38FC">
            <w:pPr>
              <w:pStyle w:val="TableParagraph"/>
            </w:pPr>
            <w:r w:rsidRPr="0D4C7E5E">
              <w:t>Sense of Belonging Index</w:t>
            </w:r>
          </w:p>
        </w:tc>
        <w:tc>
          <w:tcPr>
            <w:tcW w:w="1365" w:type="dxa"/>
            <w:tcBorders>
              <w:top w:val="single" w:sz="8" w:space="0" w:color="auto"/>
              <w:left w:val="single" w:sz="8" w:space="0" w:color="auto"/>
              <w:bottom w:val="single" w:sz="8" w:space="0" w:color="auto"/>
              <w:right w:val="single" w:sz="8" w:space="0" w:color="auto"/>
            </w:tcBorders>
          </w:tcPr>
          <w:p w14:paraId="4DE38CA8" w14:textId="5760D94E" w:rsidR="0D4C7E5E" w:rsidRDefault="0D4C7E5E" w:rsidP="00DF38FC">
            <w:pPr>
              <w:pStyle w:val="TableParagraph"/>
            </w:pPr>
            <w:r w:rsidRPr="0D4C7E5E">
              <w:t xml:space="preserve">Belonging </w:t>
            </w:r>
          </w:p>
        </w:tc>
        <w:tc>
          <w:tcPr>
            <w:tcW w:w="1575" w:type="dxa"/>
            <w:tcBorders>
              <w:top w:val="single" w:sz="8" w:space="0" w:color="auto"/>
              <w:left w:val="single" w:sz="8" w:space="0" w:color="auto"/>
              <w:bottom w:val="single" w:sz="8" w:space="0" w:color="auto"/>
              <w:right w:val="single" w:sz="8" w:space="0" w:color="auto"/>
            </w:tcBorders>
          </w:tcPr>
          <w:p w14:paraId="54C87785" w14:textId="4CF97551" w:rsidR="0D4C7E5E" w:rsidRDefault="0D4C7E5E" w:rsidP="00DF38FC">
            <w:pPr>
              <w:pStyle w:val="TableParagraph"/>
            </w:pPr>
            <w:r w:rsidRPr="0D4C7E5E">
              <w:t>17.45</w:t>
            </w:r>
            <w:r w:rsidR="26DE8FC8" w:rsidRPr="3D6EAE0D">
              <w:t xml:space="preserve"> (</w:t>
            </w:r>
            <w:r w:rsidRPr="0D4C7E5E">
              <w:t>3.63</w:t>
            </w:r>
            <w:r w:rsidR="71A8E94F" w:rsidRPr="5211AE24">
              <w:t>)</w:t>
            </w:r>
            <w:r w:rsidRPr="0D4C7E5E">
              <w:t xml:space="preserve"> </w:t>
            </w:r>
          </w:p>
        </w:tc>
        <w:tc>
          <w:tcPr>
            <w:tcW w:w="1635" w:type="dxa"/>
            <w:tcBorders>
              <w:top w:val="single" w:sz="8" w:space="0" w:color="auto"/>
              <w:left w:val="single" w:sz="8" w:space="0" w:color="auto"/>
              <w:bottom w:val="single" w:sz="8" w:space="0" w:color="auto"/>
              <w:right w:val="single" w:sz="8" w:space="0" w:color="auto"/>
            </w:tcBorders>
          </w:tcPr>
          <w:p w14:paraId="3D41D0A0" w14:textId="377F9200" w:rsidR="0D4C7E5E" w:rsidRDefault="0D4C7E5E" w:rsidP="00DF38FC">
            <w:pPr>
              <w:pStyle w:val="TableParagraph"/>
            </w:pPr>
            <w:r w:rsidRPr="0D4C7E5E">
              <w:t xml:space="preserve">18.75 </w:t>
            </w:r>
            <w:r w:rsidR="262B0950" w:rsidRPr="3801A48C">
              <w:t>(</w:t>
            </w:r>
            <w:r w:rsidRPr="0D4C7E5E">
              <w:t>2.76</w:t>
            </w:r>
            <w:r w:rsidR="564B8E0E" w:rsidRPr="3801A48C">
              <w:t>)</w:t>
            </w:r>
            <w:r w:rsidRPr="0D4C7E5E">
              <w:t xml:space="preserve"> </w:t>
            </w:r>
          </w:p>
        </w:tc>
        <w:tc>
          <w:tcPr>
            <w:tcW w:w="1518" w:type="dxa"/>
            <w:tcBorders>
              <w:top w:val="single" w:sz="8" w:space="0" w:color="auto"/>
              <w:left w:val="single" w:sz="8" w:space="0" w:color="auto"/>
              <w:bottom w:val="single" w:sz="8" w:space="0" w:color="auto"/>
              <w:right w:val="single" w:sz="8" w:space="0" w:color="auto"/>
            </w:tcBorders>
          </w:tcPr>
          <w:p w14:paraId="69935C1F" w14:textId="05AEDD44" w:rsidR="0D4C7E5E" w:rsidRDefault="0D4C7E5E" w:rsidP="00DF38FC">
            <w:pPr>
              <w:pStyle w:val="TableParagraph"/>
            </w:pPr>
            <w:r w:rsidRPr="0D4C7E5E">
              <w:t>16.97</w:t>
            </w:r>
            <w:r w:rsidR="733EB4B6" w:rsidRPr="12084239">
              <w:t xml:space="preserve"> (</w:t>
            </w:r>
            <w:r w:rsidRPr="0D4C7E5E">
              <w:t>3.83</w:t>
            </w:r>
            <w:r w:rsidR="31898FDE" w:rsidRPr="12084239">
              <w:t>)</w:t>
            </w:r>
            <w:r w:rsidRPr="0D4C7E5E">
              <w:t xml:space="preserve"> </w:t>
            </w:r>
          </w:p>
        </w:tc>
        <w:tc>
          <w:tcPr>
            <w:tcW w:w="987" w:type="dxa"/>
            <w:tcBorders>
              <w:top w:val="single" w:sz="8" w:space="0" w:color="auto"/>
              <w:left w:val="single" w:sz="8" w:space="0" w:color="auto"/>
              <w:bottom w:val="single" w:sz="8" w:space="0" w:color="auto"/>
              <w:right w:val="single" w:sz="8" w:space="0" w:color="auto"/>
            </w:tcBorders>
          </w:tcPr>
          <w:p w14:paraId="15D61C3C" w14:textId="62417722" w:rsidR="696C8249" w:rsidRDefault="43549C18" w:rsidP="00DF38FC">
            <w:pPr>
              <w:pStyle w:val="TableParagraph"/>
            </w:pPr>
            <w:r w:rsidRPr="1F25665D">
              <w:t>0.149</w:t>
            </w:r>
          </w:p>
        </w:tc>
      </w:tr>
    </w:tbl>
    <w:p w14:paraId="1DA2EC50" w14:textId="276C4979" w:rsidR="00DF5403" w:rsidRDefault="7128390A" w:rsidP="00DF38FC">
      <w:pPr>
        <w:pStyle w:val="TableNote"/>
        <w:rPr>
          <w:rFonts w:eastAsia="Inter Light"/>
        </w:rPr>
      </w:pPr>
      <w:r w:rsidRPr="4D1D98E4">
        <w:t xml:space="preserve"> </w:t>
      </w:r>
      <w:r w:rsidR="27FB4D4B" w:rsidRPr="4D1D98E4">
        <w:rPr>
          <w:rFonts w:eastAsia="Inter Light"/>
        </w:rPr>
        <w:t>*</w:t>
      </w:r>
      <w:r w:rsidR="3B43572A" w:rsidRPr="5100D982">
        <w:rPr>
          <w:rFonts w:eastAsia="Inter Light"/>
        </w:rPr>
        <w:t>S</w:t>
      </w:r>
      <w:r w:rsidR="5146A822" w:rsidRPr="5100D982">
        <w:rPr>
          <w:rFonts w:eastAsia="Inter Light"/>
        </w:rPr>
        <w:t>cores</w:t>
      </w:r>
      <w:r w:rsidR="5146A822" w:rsidRPr="7325EDF1">
        <w:rPr>
          <w:rFonts w:eastAsia="Inter Light"/>
        </w:rPr>
        <w:t xml:space="preserve"> </w:t>
      </w:r>
      <w:r w:rsidR="27FB4D4B" w:rsidRPr="2CF0DCB4">
        <w:rPr>
          <w:rFonts w:eastAsia="Inter Light"/>
        </w:rPr>
        <w:t>expressed</w:t>
      </w:r>
      <w:r w:rsidR="27FB4D4B" w:rsidRPr="4D1D98E4">
        <w:rPr>
          <w:rFonts w:eastAsia="Inter Light"/>
        </w:rPr>
        <w:t xml:space="preserve"> as mean with standard deviation</w:t>
      </w:r>
      <w:r w:rsidR="1084689E" w:rsidRPr="33D0C834">
        <w:rPr>
          <w:rFonts w:eastAsia="Inter Light"/>
        </w:rPr>
        <w:t xml:space="preserve"> in </w:t>
      </w:r>
      <w:r w:rsidR="1084689E" w:rsidRPr="20D6B6AD">
        <w:rPr>
          <w:rFonts w:eastAsia="Inter Light"/>
        </w:rPr>
        <w:t>brackets</w:t>
      </w:r>
      <w:r w:rsidR="27FB4D4B" w:rsidRPr="4D1D98E4">
        <w:rPr>
          <w:rFonts w:eastAsia="Inter Light"/>
        </w:rPr>
        <w:t>.</w:t>
      </w:r>
      <w:r w:rsidR="119D9EBA" w:rsidRPr="4D43CBD0">
        <w:rPr>
          <w:rFonts w:eastAsia="Inter Light"/>
        </w:rPr>
        <w:t xml:space="preserve"> </w:t>
      </w:r>
      <w:r w:rsidR="119D9EBA" w:rsidRPr="100B48DA">
        <w:rPr>
          <w:rFonts w:eastAsia="Inter Light"/>
        </w:rPr>
        <w:t xml:space="preserve">P-values test for differences in scores for students </w:t>
      </w:r>
      <w:r w:rsidR="119D9EBA" w:rsidRPr="16D98612">
        <w:rPr>
          <w:rFonts w:eastAsia="Inter Light"/>
        </w:rPr>
        <w:t>from equity versus non-equity groups.</w:t>
      </w:r>
    </w:p>
    <w:p w14:paraId="6E7DBC4F" w14:textId="3A33D8A0" w:rsidR="0067249A" w:rsidRDefault="009D2254" w:rsidP="00035EA4">
      <w:pPr>
        <w:spacing w:after="240"/>
        <w:rPr>
          <w:rFonts w:eastAsia="Inter Light"/>
        </w:rPr>
      </w:pPr>
      <w:r w:rsidRPr="009D2254">
        <w:rPr>
          <w:rFonts w:eastAsia="Inter Light"/>
        </w:rPr>
        <w:t>Quantitative measures of resilience, wellbeing</w:t>
      </w:r>
      <w:r w:rsidR="00136732">
        <w:rPr>
          <w:rFonts w:eastAsia="Inter Light"/>
        </w:rPr>
        <w:t>,</w:t>
      </w:r>
      <w:r w:rsidRPr="009D2254">
        <w:rPr>
          <w:rFonts w:eastAsia="Inter Light"/>
        </w:rPr>
        <w:t xml:space="preserve"> and belonging collected as part of this survey provided a more holistic view of student success and flourishing for this cohort of students</w:t>
      </w:r>
      <w:r w:rsidR="00F04D8A">
        <w:rPr>
          <w:rFonts w:eastAsia="Inter Light"/>
        </w:rPr>
        <w:t xml:space="preserve"> than </w:t>
      </w:r>
      <w:r w:rsidR="005B36BD">
        <w:rPr>
          <w:rFonts w:eastAsia="Inter Light"/>
        </w:rPr>
        <w:t>outcome data alone</w:t>
      </w:r>
      <w:r w:rsidRPr="009D2254">
        <w:rPr>
          <w:rFonts w:eastAsia="Inter Light"/>
        </w:rPr>
        <w:t>. A range of variation was identified in the instrument scores, however, importantly there were no significant differences between students from equity and non-equity groups in the scores for any of these measures. As equity group membership is a recognised mental health risk factor (</w:t>
      </w:r>
      <w:proofErr w:type="spellStart"/>
      <w:r w:rsidRPr="009D2254">
        <w:rPr>
          <w:rFonts w:eastAsia="Inter Light"/>
        </w:rPr>
        <w:t>Orygen</w:t>
      </w:r>
      <w:proofErr w:type="spellEnd"/>
      <w:r w:rsidRPr="009D2254">
        <w:rPr>
          <w:rFonts w:eastAsia="Inter Light"/>
        </w:rPr>
        <w:t>, 2017) and students who have a poorer sense of belonging, resilience</w:t>
      </w:r>
      <w:r w:rsidR="00E47E10">
        <w:rPr>
          <w:rFonts w:eastAsia="Inter Light"/>
        </w:rPr>
        <w:t>,</w:t>
      </w:r>
      <w:r w:rsidRPr="009D2254">
        <w:rPr>
          <w:rFonts w:eastAsia="Inter Light"/>
        </w:rPr>
        <w:t xml:space="preserve"> and wellbeing are more likely to consider dropping out (Soria &amp; Stubblefield, 2015; Eisenberg et al., 2016)</w:t>
      </w:r>
      <w:r w:rsidR="00E47E10">
        <w:rPr>
          <w:rFonts w:eastAsia="Inter Light"/>
        </w:rPr>
        <w:t>,</w:t>
      </w:r>
      <w:r w:rsidR="003548FC">
        <w:rPr>
          <w:rFonts w:eastAsia="Inter Light"/>
        </w:rPr>
        <w:t xml:space="preserve"> </w:t>
      </w:r>
      <w:r w:rsidR="009C4012">
        <w:rPr>
          <w:rFonts w:eastAsia="Inter Light"/>
        </w:rPr>
        <w:t>t</w:t>
      </w:r>
      <w:r w:rsidR="003019D8">
        <w:rPr>
          <w:rFonts w:eastAsia="Inter Light"/>
        </w:rPr>
        <w:t xml:space="preserve">hese results are an encouraging finding from the data </w:t>
      </w:r>
      <w:r w:rsidR="00D13713">
        <w:rPr>
          <w:rFonts w:eastAsia="Inter Light"/>
        </w:rPr>
        <w:t xml:space="preserve">and </w:t>
      </w:r>
      <w:r w:rsidR="005B36BD">
        <w:rPr>
          <w:rFonts w:eastAsia="Inter Light"/>
        </w:rPr>
        <w:t>are</w:t>
      </w:r>
      <w:r w:rsidR="005958F6">
        <w:rPr>
          <w:rFonts w:eastAsia="Inter Light"/>
        </w:rPr>
        <w:t xml:space="preserve"> in alignment with qualitative findings</w:t>
      </w:r>
      <w:r w:rsidR="005B36BD">
        <w:rPr>
          <w:rFonts w:eastAsia="Inter Light"/>
        </w:rPr>
        <w:t xml:space="preserve"> as discussed </w:t>
      </w:r>
      <w:r w:rsidR="00C2385E">
        <w:rPr>
          <w:rFonts w:eastAsia="Inter Light"/>
        </w:rPr>
        <w:t>in the next section</w:t>
      </w:r>
      <w:r w:rsidRPr="009D2254">
        <w:rPr>
          <w:rFonts w:eastAsia="Inter Light"/>
        </w:rPr>
        <w:t xml:space="preserve">. </w:t>
      </w:r>
    </w:p>
    <w:p w14:paraId="2D0077D5" w14:textId="77777777" w:rsidR="001B4BED" w:rsidRPr="001B4BED" w:rsidRDefault="001B4BED" w:rsidP="001B4BED">
      <w:pPr>
        <w:pStyle w:val="Normal-Bold"/>
        <w:rPr>
          <w:szCs w:val="22"/>
        </w:rPr>
      </w:pPr>
      <w:r w:rsidRPr="001B4BED">
        <w:rPr>
          <w:szCs w:val="22"/>
        </w:rPr>
        <w:t>Summary</w:t>
      </w:r>
    </w:p>
    <w:p w14:paraId="0601E8B2" w14:textId="77777777" w:rsidR="001B4BED" w:rsidRPr="005958F6" w:rsidRDefault="001B4BED" w:rsidP="001B4BED">
      <w:r w:rsidRPr="005958F6">
        <w:t>The</w:t>
      </w:r>
      <w:r>
        <w:t xml:space="preserve"> </w:t>
      </w:r>
      <w:r w:rsidRPr="005958F6">
        <w:t xml:space="preserve">quantitative student reflections captured via survey within this study provide insight into student perception of the effectiveness of ISEPs in preparation for university, as well as </w:t>
      </w:r>
      <w:r>
        <w:t xml:space="preserve">an </w:t>
      </w:r>
      <w:r w:rsidRPr="005958F6">
        <w:t>indication of wellbeing and flourishing once at university.</w:t>
      </w:r>
    </w:p>
    <w:p w14:paraId="12489EA1" w14:textId="77777777" w:rsidR="001B4BED" w:rsidRDefault="001B4BED" w:rsidP="001B4BED">
      <w:pPr>
        <w:pStyle w:val="ListParagraph"/>
        <w:numPr>
          <w:ilvl w:val="0"/>
          <w:numId w:val="32"/>
        </w:numPr>
        <w:ind w:left="606" w:hanging="425"/>
        <w:contextualSpacing w:val="0"/>
      </w:pPr>
      <w:r>
        <w:t>Students expressed very high satisfaction with ISEPs (mean satisfaction of 8.57/10) and likelihood to recommend the ISEP to other senior secondary students. There were no significant differences between students from equity and non-equity groups, suggesting that ISEPs are successfully meeting the needs of students enrolled.</w:t>
      </w:r>
    </w:p>
    <w:p w14:paraId="06FA2F2E" w14:textId="77777777" w:rsidR="001B4BED" w:rsidRPr="005958F6" w:rsidRDefault="001B4BED" w:rsidP="001B4BED">
      <w:pPr>
        <w:pStyle w:val="ListParagraph"/>
        <w:numPr>
          <w:ilvl w:val="0"/>
          <w:numId w:val="32"/>
        </w:numPr>
        <w:ind w:left="606" w:hanging="425"/>
        <w:contextualSpacing w:val="0"/>
        <w:rPr>
          <w:szCs w:val="22"/>
        </w:rPr>
      </w:pPr>
      <w:r>
        <w:t>In total, 90% of students said the ISEP helped them believe they could achieve success at university, and 83% said the program expectations matched the reality of university study. There were no significant differences between students from equity and n</w:t>
      </w:r>
      <w:r w:rsidRPr="005958F6">
        <w:t>on-equity groups.</w:t>
      </w:r>
    </w:p>
    <w:p w14:paraId="46F09D06" w14:textId="77777777" w:rsidR="001B4BED" w:rsidRPr="005958F6" w:rsidRDefault="001B4BED" w:rsidP="001B4BED">
      <w:pPr>
        <w:pStyle w:val="ListParagraph"/>
        <w:numPr>
          <w:ilvl w:val="0"/>
          <w:numId w:val="32"/>
        </w:numPr>
        <w:ind w:left="606" w:hanging="425"/>
        <w:contextualSpacing w:val="0"/>
        <w:rPr>
          <w:szCs w:val="22"/>
        </w:rPr>
      </w:pPr>
      <w:r>
        <w:t>Students felt the ISEP contributed strongly to building academic skills (such as academic writing and reading, and critical thinking) and a growth mindset.</w:t>
      </w:r>
    </w:p>
    <w:p w14:paraId="7D383163" w14:textId="17C4DA8E" w:rsidR="001B4BED" w:rsidRDefault="001B4BED" w:rsidP="001B4BED">
      <w:pPr>
        <w:spacing w:after="240"/>
        <w:rPr>
          <w:rFonts w:ascii="Segoe UI" w:hAnsi="Segoe UI" w:cs="Segoe UI"/>
          <w:sz w:val="21"/>
          <w:szCs w:val="21"/>
        </w:rPr>
      </w:pPr>
      <w:r>
        <w:t>Resilience</w:t>
      </w:r>
      <w:r w:rsidRPr="0067249A">
        <w:t>, wellbeing</w:t>
      </w:r>
      <w:r>
        <w:t>,</w:t>
      </w:r>
      <w:r w:rsidRPr="0067249A">
        <w:t xml:space="preserve"> and belonging</w:t>
      </w:r>
      <w:r>
        <w:t xml:space="preserve"> data provided a snapshot of student success and flourishing, and results showed that sense of wellbeing and flourishing at undergraduate study were similar for students from equity and non-equity groups.</w:t>
      </w:r>
    </w:p>
    <w:p w14:paraId="77EC85AE" w14:textId="02033A40" w:rsidR="005D5946" w:rsidRPr="00C473BD" w:rsidRDefault="04D9597E" w:rsidP="00A32591">
      <w:pPr>
        <w:pStyle w:val="Heading3"/>
        <w:rPr>
          <w:color w:val="6B3B57"/>
        </w:rPr>
      </w:pPr>
      <w:bookmarkStart w:id="88" w:name="_Toc217162499"/>
      <w:bookmarkStart w:id="89" w:name="_Toc232766195"/>
      <w:r w:rsidRPr="00C473BD">
        <w:rPr>
          <w:color w:val="6B3B57"/>
        </w:rPr>
        <w:lastRenderedPageBreak/>
        <w:t xml:space="preserve">Student and </w:t>
      </w:r>
      <w:r w:rsidR="00F355F6">
        <w:rPr>
          <w:color w:val="6B3B57"/>
        </w:rPr>
        <w:t>e</w:t>
      </w:r>
      <w:r w:rsidRPr="00C473BD">
        <w:rPr>
          <w:color w:val="6B3B57"/>
        </w:rPr>
        <w:t xml:space="preserve">ducator perspectives: </w:t>
      </w:r>
      <w:r w:rsidR="00605B37" w:rsidRPr="00C473BD">
        <w:rPr>
          <w:color w:val="6B3B57"/>
        </w:rPr>
        <w:t xml:space="preserve">Qualitative </w:t>
      </w:r>
      <w:r w:rsidR="469D7C3C" w:rsidRPr="00C473BD">
        <w:rPr>
          <w:color w:val="6B3B57"/>
        </w:rPr>
        <w:t xml:space="preserve">survey and interview </w:t>
      </w:r>
      <w:r w:rsidR="00605B37" w:rsidRPr="00C473BD">
        <w:rPr>
          <w:color w:val="6B3B57"/>
        </w:rPr>
        <w:t>findings</w:t>
      </w:r>
      <w:bookmarkEnd w:id="88"/>
      <w:bookmarkEnd w:id="89"/>
    </w:p>
    <w:p w14:paraId="2D63197E" w14:textId="7D5ABF4E" w:rsidR="005B1B5E" w:rsidRDefault="31352912" w:rsidP="00A32591">
      <w:r>
        <w:t>This section reports on t</w:t>
      </w:r>
      <w:r w:rsidR="004B71DA">
        <w:t xml:space="preserve">he findings for thematic analyses </w:t>
      </w:r>
      <w:r w:rsidR="2CDBE6C4">
        <w:t xml:space="preserve">of qualitative survey responses and interviews with students who had completed an ISEP and transitioned to university study, </w:t>
      </w:r>
      <w:r w:rsidR="005B5764">
        <w:t>as well as</w:t>
      </w:r>
      <w:r w:rsidR="2CDBE6C4">
        <w:t xml:space="preserve"> </w:t>
      </w:r>
      <w:r w:rsidR="3F566B30">
        <w:t>interview</w:t>
      </w:r>
      <w:r w:rsidR="1F6C3A78">
        <w:t>s</w:t>
      </w:r>
      <w:r w:rsidR="2CDBE6C4">
        <w:t xml:space="preserve"> with </w:t>
      </w:r>
      <w:r w:rsidR="00F355F6">
        <w:t>e</w:t>
      </w:r>
      <w:r w:rsidR="2CDBE6C4">
        <w:t xml:space="preserve">ducators </w:t>
      </w:r>
      <w:r w:rsidR="334C88B8">
        <w:t xml:space="preserve">in high schools </w:t>
      </w:r>
      <w:r w:rsidR="2CDBE6C4">
        <w:t xml:space="preserve">associated </w:t>
      </w:r>
      <w:r w:rsidR="00F355F6">
        <w:t>with</w:t>
      </w:r>
      <w:r w:rsidR="2CDBE6C4">
        <w:t xml:space="preserve"> ISEPs</w:t>
      </w:r>
      <w:r w:rsidR="004B71DA">
        <w:t>.</w:t>
      </w:r>
    </w:p>
    <w:p w14:paraId="4A897678" w14:textId="0C1F466C" w:rsidR="5E02B8F5" w:rsidRPr="00C473BD" w:rsidRDefault="17AC6377" w:rsidP="001B4BED">
      <w:pPr>
        <w:pStyle w:val="Normal-Bold"/>
      </w:pPr>
      <w:r w:rsidRPr="00C473BD">
        <w:t>S</w:t>
      </w:r>
      <w:r w:rsidR="6FA4D5FD" w:rsidRPr="00C473BD">
        <w:t>tudent s</w:t>
      </w:r>
      <w:r w:rsidRPr="00C473BD">
        <w:t>urvey findings</w:t>
      </w:r>
    </w:p>
    <w:p w14:paraId="6BEE46F7" w14:textId="37DBE5E2" w:rsidR="005B1B5E" w:rsidRPr="005B1B5E" w:rsidRDefault="00DF5403" w:rsidP="00A32591">
      <w:pPr>
        <w:rPr>
          <w:szCs w:val="22"/>
        </w:rPr>
      </w:pPr>
      <w:r w:rsidRPr="39F1A3D3">
        <w:rPr>
          <w:szCs w:val="22"/>
        </w:rPr>
        <w:t>A thematic analysis of the</w:t>
      </w:r>
      <w:r w:rsidR="00767268" w:rsidRPr="39F1A3D3">
        <w:rPr>
          <w:szCs w:val="22"/>
        </w:rPr>
        <w:t xml:space="preserve"> surve</w:t>
      </w:r>
      <w:r w:rsidR="00F8289A" w:rsidRPr="39F1A3D3">
        <w:rPr>
          <w:szCs w:val="22"/>
        </w:rPr>
        <w:t>y</w:t>
      </w:r>
      <w:r w:rsidRPr="39F1A3D3">
        <w:rPr>
          <w:szCs w:val="22"/>
        </w:rPr>
        <w:t xml:space="preserve"> qualitative responses identified two main themes</w:t>
      </w:r>
      <w:r w:rsidR="00C4588D">
        <w:rPr>
          <w:szCs w:val="22"/>
        </w:rPr>
        <w:t>:</w:t>
      </w:r>
      <w:r w:rsidRPr="39F1A3D3">
        <w:rPr>
          <w:szCs w:val="22"/>
        </w:rPr>
        <w:t xml:space="preserve"> </w:t>
      </w:r>
      <w:r w:rsidR="00C4588D">
        <w:rPr>
          <w:szCs w:val="22"/>
        </w:rPr>
        <w:t>“</w:t>
      </w:r>
      <w:r w:rsidR="00C4588D">
        <w:rPr>
          <w:iCs/>
          <w:szCs w:val="22"/>
        </w:rPr>
        <w:t>s</w:t>
      </w:r>
      <w:r w:rsidRPr="00C473BD">
        <w:rPr>
          <w:iCs/>
          <w:szCs w:val="22"/>
        </w:rPr>
        <w:t xml:space="preserve">tudents </w:t>
      </w:r>
      <w:r w:rsidR="00C4588D">
        <w:rPr>
          <w:iCs/>
          <w:szCs w:val="22"/>
        </w:rPr>
        <w:t>u</w:t>
      </w:r>
      <w:r w:rsidRPr="00C473BD">
        <w:rPr>
          <w:iCs/>
          <w:szCs w:val="22"/>
        </w:rPr>
        <w:t xml:space="preserve">nder </w:t>
      </w:r>
      <w:r w:rsidR="00C4588D">
        <w:rPr>
          <w:iCs/>
          <w:szCs w:val="22"/>
        </w:rPr>
        <w:t>d</w:t>
      </w:r>
      <w:r w:rsidRPr="00C473BD">
        <w:rPr>
          <w:iCs/>
          <w:szCs w:val="22"/>
        </w:rPr>
        <w:t>uress</w:t>
      </w:r>
      <w:r w:rsidR="00C4588D">
        <w:rPr>
          <w:iCs/>
          <w:szCs w:val="22"/>
        </w:rPr>
        <w:t>”</w:t>
      </w:r>
      <w:r w:rsidRPr="39F1A3D3">
        <w:rPr>
          <w:i/>
          <w:szCs w:val="22"/>
        </w:rPr>
        <w:t xml:space="preserve"> </w:t>
      </w:r>
      <w:r w:rsidRPr="39F1A3D3">
        <w:rPr>
          <w:szCs w:val="22"/>
        </w:rPr>
        <w:t xml:space="preserve">and </w:t>
      </w:r>
      <w:r w:rsidR="00C4588D">
        <w:rPr>
          <w:szCs w:val="22"/>
        </w:rPr>
        <w:t>“</w:t>
      </w:r>
      <w:r w:rsidR="00C4588D">
        <w:rPr>
          <w:iCs/>
          <w:szCs w:val="22"/>
        </w:rPr>
        <w:t>a</w:t>
      </w:r>
      <w:r w:rsidRPr="00C473BD">
        <w:rPr>
          <w:iCs/>
          <w:szCs w:val="22"/>
        </w:rPr>
        <w:t xml:space="preserve"> </w:t>
      </w:r>
      <w:r w:rsidR="00C4588D">
        <w:rPr>
          <w:iCs/>
          <w:szCs w:val="22"/>
        </w:rPr>
        <w:t>f</w:t>
      </w:r>
      <w:r w:rsidRPr="00C473BD">
        <w:rPr>
          <w:iCs/>
          <w:szCs w:val="22"/>
        </w:rPr>
        <w:t xml:space="preserve">lourishing </w:t>
      </w:r>
      <w:r w:rsidR="00C4588D">
        <w:rPr>
          <w:iCs/>
          <w:szCs w:val="22"/>
        </w:rPr>
        <w:t>p</w:t>
      </w:r>
      <w:r w:rsidRPr="00C473BD">
        <w:rPr>
          <w:iCs/>
          <w:szCs w:val="22"/>
        </w:rPr>
        <w:t>athway</w:t>
      </w:r>
      <w:r w:rsidR="00C4588D">
        <w:rPr>
          <w:iCs/>
          <w:szCs w:val="22"/>
        </w:rPr>
        <w:t>”</w:t>
      </w:r>
      <w:r w:rsidRPr="39F1A3D3">
        <w:rPr>
          <w:szCs w:val="22"/>
        </w:rPr>
        <w:t xml:space="preserve">, inclusive of several subthemes. There were two additional comments of note: </w:t>
      </w:r>
      <w:r w:rsidR="00C4588D">
        <w:rPr>
          <w:szCs w:val="22"/>
        </w:rPr>
        <w:t>“</w:t>
      </w:r>
      <w:r w:rsidRPr="39F1A3D3">
        <w:rPr>
          <w:szCs w:val="22"/>
        </w:rPr>
        <w:t>diversifying topics</w:t>
      </w:r>
      <w:r w:rsidR="00C4588D">
        <w:rPr>
          <w:szCs w:val="22"/>
        </w:rPr>
        <w:t>”</w:t>
      </w:r>
      <w:r w:rsidRPr="39F1A3D3">
        <w:rPr>
          <w:szCs w:val="22"/>
        </w:rPr>
        <w:t xml:space="preserve"> and </w:t>
      </w:r>
      <w:r w:rsidR="00C4588D">
        <w:rPr>
          <w:szCs w:val="22"/>
        </w:rPr>
        <w:t>“</w:t>
      </w:r>
      <w:r w:rsidRPr="39F1A3D3">
        <w:rPr>
          <w:szCs w:val="22"/>
        </w:rPr>
        <w:t>teacher selection</w:t>
      </w:r>
      <w:r w:rsidR="00C4588D">
        <w:rPr>
          <w:szCs w:val="22"/>
        </w:rPr>
        <w:t>”</w:t>
      </w:r>
      <w:r w:rsidRPr="39F1A3D3">
        <w:rPr>
          <w:szCs w:val="22"/>
        </w:rPr>
        <w:t xml:space="preserve">. </w:t>
      </w:r>
    </w:p>
    <w:p w14:paraId="1B08D2C1" w14:textId="43CC1140" w:rsidR="658F4599" w:rsidRDefault="28E6B27C" w:rsidP="658F4599">
      <w:pPr>
        <w:rPr>
          <w:i/>
          <w:color w:val="351C26" w:themeColor="text2"/>
          <w:szCs w:val="22"/>
        </w:rPr>
      </w:pPr>
      <w:r w:rsidRPr="39F1A3D3">
        <w:rPr>
          <w:szCs w:val="22"/>
        </w:rPr>
        <w:t xml:space="preserve">Students repeatedly told the story of being under duress in their educational setting before choosing an </w:t>
      </w:r>
      <w:r w:rsidR="00C4588D">
        <w:rPr>
          <w:szCs w:val="22"/>
        </w:rPr>
        <w:t>e</w:t>
      </w:r>
      <w:r w:rsidR="03449A66" w:rsidRPr="39F1A3D3">
        <w:rPr>
          <w:szCs w:val="22"/>
        </w:rPr>
        <w:t>nabling</w:t>
      </w:r>
      <w:r w:rsidRPr="39F1A3D3">
        <w:rPr>
          <w:szCs w:val="22"/>
        </w:rPr>
        <w:t xml:space="preserve"> pathway. Thirty-five responses across the six questions described the varied forms of duress that impacted </w:t>
      </w:r>
      <w:r w:rsidR="00C4588D">
        <w:rPr>
          <w:szCs w:val="22"/>
        </w:rPr>
        <w:t>students’</w:t>
      </w:r>
      <w:r w:rsidRPr="39F1A3D3">
        <w:rPr>
          <w:szCs w:val="22"/>
        </w:rPr>
        <w:t xml:space="preserve"> wellbeing prior to the commencement of the program, which additionally influenced their reason for enrolment. This duress fell into three subthemes</w:t>
      </w:r>
      <w:r w:rsidR="00C4588D">
        <w:rPr>
          <w:szCs w:val="22"/>
        </w:rPr>
        <w:t>:</w:t>
      </w:r>
      <w:r w:rsidRPr="39F1A3D3">
        <w:rPr>
          <w:szCs w:val="22"/>
        </w:rPr>
        <w:t xml:space="preserve"> </w:t>
      </w:r>
      <w:r w:rsidR="00C4588D">
        <w:rPr>
          <w:szCs w:val="22"/>
        </w:rPr>
        <w:t>“</w:t>
      </w:r>
      <w:r w:rsidRPr="39F1A3D3">
        <w:rPr>
          <w:szCs w:val="22"/>
        </w:rPr>
        <w:t>ATAR struggle</w:t>
      </w:r>
      <w:r w:rsidR="00C4588D">
        <w:rPr>
          <w:szCs w:val="22"/>
        </w:rPr>
        <w:t>”</w:t>
      </w:r>
      <w:r w:rsidRPr="39F1A3D3">
        <w:rPr>
          <w:szCs w:val="22"/>
        </w:rPr>
        <w:t xml:space="preserve">, </w:t>
      </w:r>
      <w:r w:rsidR="00C4588D">
        <w:rPr>
          <w:szCs w:val="22"/>
        </w:rPr>
        <w:t>“</w:t>
      </w:r>
      <w:r w:rsidRPr="39F1A3D3">
        <w:rPr>
          <w:szCs w:val="22"/>
        </w:rPr>
        <w:t>health</w:t>
      </w:r>
      <w:r w:rsidR="00C4588D">
        <w:rPr>
          <w:szCs w:val="22"/>
        </w:rPr>
        <w:t>”,</w:t>
      </w:r>
      <w:r w:rsidRPr="39F1A3D3">
        <w:rPr>
          <w:szCs w:val="22"/>
        </w:rPr>
        <w:t xml:space="preserve"> and </w:t>
      </w:r>
      <w:r w:rsidR="00C4588D">
        <w:rPr>
          <w:szCs w:val="22"/>
        </w:rPr>
        <w:t>“</w:t>
      </w:r>
      <w:r w:rsidRPr="39F1A3D3">
        <w:rPr>
          <w:szCs w:val="22"/>
        </w:rPr>
        <w:t>external pressures</w:t>
      </w:r>
      <w:r w:rsidR="00C4588D">
        <w:rPr>
          <w:szCs w:val="22"/>
        </w:rPr>
        <w:t>”</w:t>
      </w:r>
      <w:r w:rsidRPr="39F1A3D3">
        <w:rPr>
          <w:szCs w:val="22"/>
        </w:rPr>
        <w:t xml:space="preserve">. </w:t>
      </w:r>
      <w:r w:rsidR="7C744016" w:rsidRPr="39F1A3D3">
        <w:rPr>
          <w:szCs w:val="22"/>
        </w:rPr>
        <w:t>ATAR struggle was the dominant subtheme, with 25 students mentioning ATAR as a stressor for such reasons as workload</w:t>
      </w:r>
      <w:r w:rsidR="00C4588D">
        <w:rPr>
          <w:szCs w:val="22"/>
        </w:rPr>
        <w:t xml:space="preserve"> and</w:t>
      </w:r>
      <w:r w:rsidR="7C744016" w:rsidRPr="39F1A3D3">
        <w:rPr>
          <w:szCs w:val="22"/>
        </w:rPr>
        <w:t xml:space="preserve"> failing grades</w:t>
      </w:r>
      <w:r w:rsidR="00C4588D">
        <w:rPr>
          <w:szCs w:val="22"/>
        </w:rPr>
        <w:t>.</w:t>
      </w:r>
      <w:r w:rsidR="7C744016" w:rsidRPr="39F1A3D3">
        <w:rPr>
          <w:szCs w:val="22"/>
        </w:rPr>
        <w:t xml:space="preserve"> </w:t>
      </w:r>
      <w:r w:rsidR="00C4588D">
        <w:rPr>
          <w:szCs w:val="22"/>
        </w:rPr>
        <w:t>O</w:t>
      </w:r>
      <w:r w:rsidR="601DA0A7" w:rsidRPr="39F1A3D3">
        <w:rPr>
          <w:szCs w:val="22"/>
        </w:rPr>
        <w:t>n</w:t>
      </w:r>
      <w:r w:rsidR="413E6130" w:rsidRPr="39F1A3D3">
        <w:rPr>
          <w:szCs w:val="22"/>
        </w:rPr>
        <w:t>e student</w:t>
      </w:r>
      <w:r w:rsidR="7C744016" w:rsidRPr="39F1A3D3">
        <w:rPr>
          <w:szCs w:val="22"/>
        </w:rPr>
        <w:t xml:space="preserve"> noted</w:t>
      </w:r>
      <w:r w:rsidR="00C4588D">
        <w:rPr>
          <w:szCs w:val="22"/>
        </w:rPr>
        <w:t>:</w:t>
      </w:r>
      <w:r w:rsidR="7C744016" w:rsidRPr="39F1A3D3">
        <w:rPr>
          <w:szCs w:val="22"/>
        </w:rPr>
        <w:t xml:space="preserve"> “I struggled a lot with ATAR</w:t>
      </w:r>
      <w:r w:rsidR="005B5764">
        <w:rPr>
          <w:szCs w:val="22"/>
        </w:rPr>
        <w:t>;</w:t>
      </w:r>
      <w:r w:rsidR="7C744016" w:rsidRPr="39F1A3D3">
        <w:rPr>
          <w:szCs w:val="22"/>
        </w:rPr>
        <w:t xml:space="preserve"> I did well in classes and assignments but fell through with the exams” </w:t>
      </w:r>
      <w:r w:rsidR="23C7D1EE" w:rsidRPr="39F1A3D3">
        <w:rPr>
          <w:szCs w:val="22"/>
        </w:rPr>
        <w:t>(SS 8)</w:t>
      </w:r>
      <w:r w:rsidR="00C4588D">
        <w:rPr>
          <w:szCs w:val="22"/>
        </w:rPr>
        <w:t>.</w:t>
      </w:r>
      <w:r w:rsidR="7C744016" w:rsidRPr="39F1A3D3">
        <w:rPr>
          <w:szCs w:val="22"/>
        </w:rPr>
        <w:t xml:space="preserve"> </w:t>
      </w:r>
      <w:r w:rsidR="00C4588D">
        <w:rPr>
          <w:szCs w:val="22"/>
        </w:rPr>
        <w:t>A</w:t>
      </w:r>
      <w:r w:rsidR="4709526A" w:rsidRPr="39F1A3D3">
        <w:rPr>
          <w:szCs w:val="22"/>
        </w:rPr>
        <w:t>nother stated</w:t>
      </w:r>
      <w:r w:rsidR="00C4588D">
        <w:rPr>
          <w:szCs w:val="22"/>
        </w:rPr>
        <w:t>:</w:t>
      </w:r>
      <w:r w:rsidR="7C744016" w:rsidRPr="39F1A3D3">
        <w:rPr>
          <w:szCs w:val="22"/>
        </w:rPr>
        <w:t xml:space="preserve"> “I dropped out of ATAR due to stress and poor mental health</w:t>
      </w:r>
      <w:r w:rsidR="0022491D">
        <w:rPr>
          <w:szCs w:val="22"/>
        </w:rPr>
        <w:t>,</w:t>
      </w:r>
      <w:r w:rsidR="7C744016" w:rsidRPr="39F1A3D3">
        <w:rPr>
          <w:szCs w:val="22"/>
        </w:rPr>
        <w:t xml:space="preserve"> but I still wanted to attend university</w:t>
      </w:r>
      <w:r w:rsidR="43E2869B" w:rsidRPr="39F1A3D3">
        <w:rPr>
          <w:szCs w:val="22"/>
        </w:rPr>
        <w:t>”</w:t>
      </w:r>
      <w:r w:rsidR="7C744016" w:rsidRPr="39F1A3D3">
        <w:rPr>
          <w:szCs w:val="22"/>
        </w:rPr>
        <w:t xml:space="preserve"> (</w:t>
      </w:r>
      <w:r w:rsidR="03072293" w:rsidRPr="39F1A3D3">
        <w:rPr>
          <w:szCs w:val="22"/>
        </w:rPr>
        <w:t>SS</w:t>
      </w:r>
      <w:r w:rsidR="7C744016" w:rsidRPr="39F1A3D3">
        <w:rPr>
          <w:szCs w:val="22"/>
        </w:rPr>
        <w:t xml:space="preserve"> 19)</w:t>
      </w:r>
      <w:r w:rsidR="69A4A5D2" w:rsidRPr="39F1A3D3">
        <w:rPr>
          <w:szCs w:val="22"/>
        </w:rPr>
        <w:t xml:space="preserve">. </w:t>
      </w:r>
      <w:r w:rsidR="3726E7DA" w:rsidRPr="39F1A3D3">
        <w:rPr>
          <w:szCs w:val="22"/>
        </w:rPr>
        <w:t>Duress also included health and wellbeing stressors such as mental or physical illness</w:t>
      </w:r>
      <w:r w:rsidR="00C4588D">
        <w:rPr>
          <w:szCs w:val="22"/>
        </w:rPr>
        <w:t>,</w:t>
      </w:r>
      <w:r w:rsidR="3726E7DA" w:rsidRPr="39F1A3D3">
        <w:rPr>
          <w:szCs w:val="22"/>
        </w:rPr>
        <w:t xml:space="preserve"> with 10 students noting that this impacted the decision for program enrolment. For example</w:t>
      </w:r>
      <w:r w:rsidR="00C4588D">
        <w:rPr>
          <w:szCs w:val="22"/>
        </w:rPr>
        <w:t>, one student stated:</w:t>
      </w:r>
      <w:r w:rsidR="3726E7DA" w:rsidRPr="39F1A3D3">
        <w:rPr>
          <w:szCs w:val="22"/>
        </w:rPr>
        <w:t xml:space="preserve"> “I was studying </w:t>
      </w:r>
      <w:r w:rsidR="00C4588D">
        <w:rPr>
          <w:szCs w:val="22"/>
        </w:rPr>
        <w:t>five</w:t>
      </w:r>
      <w:r w:rsidR="3726E7DA" w:rsidRPr="39F1A3D3">
        <w:rPr>
          <w:szCs w:val="22"/>
        </w:rPr>
        <w:t xml:space="preserve"> ATAR subjects and waiting for an ADHD assessment. As the </w:t>
      </w:r>
      <w:r w:rsidR="00C4588D">
        <w:rPr>
          <w:szCs w:val="22"/>
        </w:rPr>
        <w:t>five</w:t>
      </w:r>
      <w:r w:rsidR="3726E7DA" w:rsidRPr="39F1A3D3">
        <w:rPr>
          <w:szCs w:val="22"/>
        </w:rPr>
        <w:t xml:space="preserve"> ATARs had been challenging with undiagnosed ADHD (diagnosed and medicated at the end of </w:t>
      </w:r>
      <w:r w:rsidR="0022491D">
        <w:rPr>
          <w:szCs w:val="22"/>
        </w:rPr>
        <w:t>Y</w:t>
      </w:r>
      <w:r w:rsidR="3726E7DA" w:rsidRPr="39F1A3D3">
        <w:rPr>
          <w:szCs w:val="22"/>
        </w:rPr>
        <w:t>ear 12), I found [</w:t>
      </w:r>
      <w:r w:rsidR="03166840" w:rsidRPr="39F1A3D3">
        <w:rPr>
          <w:szCs w:val="22"/>
        </w:rPr>
        <w:t>the ISEP</w:t>
      </w:r>
      <w:r w:rsidR="3726E7DA" w:rsidRPr="39F1A3D3">
        <w:rPr>
          <w:szCs w:val="22"/>
        </w:rPr>
        <w:t>] more effective</w:t>
      </w:r>
      <w:r w:rsidR="005B5764">
        <w:rPr>
          <w:szCs w:val="22"/>
        </w:rPr>
        <w:t>…</w:t>
      </w:r>
      <w:r w:rsidR="3726E7DA" w:rsidRPr="39F1A3D3">
        <w:rPr>
          <w:szCs w:val="22"/>
        </w:rPr>
        <w:t>as the learning was a lot more practical</w:t>
      </w:r>
      <w:r w:rsidR="0022491D">
        <w:rPr>
          <w:szCs w:val="22"/>
        </w:rPr>
        <w:t>,</w:t>
      </w:r>
      <w:r w:rsidR="3726E7DA" w:rsidRPr="39F1A3D3">
        <w:rPr>
          <w:szCs w:val="22"/>
        </w:rPr>
        <w:t xml:space="preserve"> and the learning and content felt more in-depth</w:t>
      </w:r>
      <w:r w:rsidR="0022491D">
        <w:rPr>
          <w:szCs w:val="22"/>
        </w:rPr>
        <w:t>.</w:t>
      </w:r>
      <w:r w:rsidR="3726E7DA" w:rsidRPr="39F1A3D3">
        <w:rPr>
          <w:szCs w:val="22"/>
        </w:rPr>
        <w:t xml:space="preserve"> </w:t>
      </w:r>
      <w:r w:rsidR="0022491D">
        <w:rPr>
          <w:szCs w:val="22"/>
        </w:rPr>
        <w:t>T</w:t>
      </w:r>
      <w:r w:rsidR="3726E7DA" w:rsidRPr="39F1A3D3">
        <w:rPr>
          <w:szCs w:val="22"/>
        </w:rPr>
        <w:t>hat challenged me but also helped me learn better”</w:t>
      </w:r>
      <w:r w:rsidR="1B06F475" w:rsidRPr="39F1A3D3">
        <w:rPr>
          <w:szCs w:val="22"/>
        </w:rPr>
        <w:t xml:space="preserve"> </w:t>
      </w:r>
      <w:r w:rsidR="3726E7DA" w:rsidRPr="39F1A3D3">
        <w:rPr>
          <w:szCs w:val="22"/>
        </w:rPr>
        <w:t>(</w:t>
      </w:r>
      <w:r w:rsidR="03072293" w:rsidRPr="39F1A3D3">
        <w:rPr>
          <w:szCs w:val="22"/>
        </w:rPr>
        <w:t>SS</w:t>
      </w:r>
      <w:r w:rsidR="3726E7DA" w:rsidRPr="39F1A3D3">
        <w:rPr>
          <w:szCs w:val="22"/>
        </w:rPr>
        <w:t xml:space="preserve"> 2).</w:t>
      </w:r>
      <w:r w:rsidR="4C468EE4" w:rsidRPr="39F1A3D3">
        <w:rPr>
          <w:szCs w:val="22"/>
        </w:rPr>
        <w:t xml:space="preserve"> </w:t>
      </w:r>
      <w:r w:rsidR="1BE2D9B9" w:rsidRPr="39F1A3D3">
        <w:rPr>
          <w:szCs w:val="22"/>
        </w:rPr>
        <w:t>Another expressed that they “struggled with ATAR” and the “stress levels were affecting me because of ATAR” (SS</w:t>
      </w:r>
      <w:r w:rsidR="00623DD1">
        <w:rPr>
          <w:szCs w:val="22"/>
        </w:rPr>
        <w:t xml:space="preserve"> </w:t>
      </w:r>
      <w:r w:rsidR="1BE2D9B9" w:rsidRPr="39F1A3D3">
        <w:rPr>
          <w:szCs w:val="22"/>
        </w:rPr>
        <w:t>49). Similar stress was reflected in the response</w:t>
      </w:r>
      <w:r w:rsidR="0022491D">
        <w:rPr>
          <w:szCs w:val="22"/>
        </w:rPr>
        <w:t>:</w:t>
      </w:r>
      <w:r w:rsidR="1BE2D9B9" w:rsidRPr="39F1A3D3">
        <w:rPr>
          <w:szCs w:val="22"/>
        </w:rPr>
        <w:t xml:space="preserve"> “I chose my </w:t>
      </w:r>
      <w:r w:rsidR="00543D51" w:rsidRPr="39F1A3D3">
        <w:rPr>
          <w:szCs w:val="22"/>
        </w:rPr>
        <w:t>[</w:t>
      </w:r>
      <w:r w:rsidR="0032209B" w:rsidRPr="39F1A3D3">
        <w:rPr>
          <w:szCs w:val="22"/>
        </w:rPr>
        <w:t>ISEP</w:t>
      </w:r>
      <w:r w:rsidR="00543D51" w:rsidRPr="39F1A3D3">
        <w:rPr>
          <w:szCs w:val="22"/>
        </w:rPr>
        <w:t>]</w:t>
      </w:r>
      <w:r w:rsidR="1BE2D9B9" w:rsidRPr="39F1A3D3">
        <w:rPr>
          <w:szCs w:val="22"/>
        </w:rPr>
        <w:t xml:space="preserve"> because I was unsure and worried that I would </w:t>
      </w:r>
      <w:r w:rsidR="005F105F">
        <w:rPr>
          <w:szCs w:val="22"/>
        </w:rPr>
        <w:t xml:space="preserve">not </w:t>
      </w:r>
      <w:r w:rsidR="1BE2D9B9" w:rsidRPr="39F1A3D3">
        <w:rPr>
          <w:szCs w:val="22"/>
        </w:rPr>
        <w:t>be able to maintain a 70</w:t>
      </w:r>
      <w:r w:rsidR="0022491D">
        <w:rPr>
          <w:szCs w:val="22"/>
        </w:rPr>
        <w:t>-</w:t>
      </w:r>
      <w:r w:rsidR="1BE2D9B9" w:rsidRPr="39F1A3D3">
        <w:rPr>
          <w:szCs w:val="22"/>
        </w:rPr>
        <w:t xml:space="preserve">point ATAR if I continued with </w:t>
      </w:r>
      <w:r w:rsidR="0022491D">
        <w:rPr>
          <w:szCs w:val="22"/>
        </w:rPr>
        <w:t>four</w:t>
      </w:r>
      <w:r w:rsidR="1BE2D9B9" w:rsidRPr="39F1A3D3">
        <w:rPr>
          <w:szCs w:val="22"/>
        </w:rPr>
        <w:t xml:space="preserve"> ATAR classes in </w:t>
      </w:r>
      <w:r w:rsidR="0022491D">
        <w:rPr>
          <w:szCs w:val="22"/>
        </w:rPr>
        <w:t>Y</w:t>
      </w:r>
      <w:r w:rsidR="1BE2D9B9" w:rsidRPr="39F1A3D3">
        <w:rPr>
          <w:szCs w:val="22"/>
        </w:rPr>
        <w:t>ear 12” (SS</w:t>
      </w:r>
      <w:r w:rsidR="00623DD1">
        <w:rPr>
          <w:szCs w:val="22"/>
        </w:rPr>
        <w:t xml:space="preserve"> </w:t>
      </w:r>
      <w:r w:rsidR="1BE2D9B9" w:rsidRPr="39F1A3D3">
        <w:rPr>
          <w:szCs w:val="22"/>
        </w:rPr>
        <w:t xml:space="preserve">45). </w:t>
      </w:r>
      <w:r w:rsidR="5AAA79B8" w:rsidRPr="39F1A3D3">
        <w:rPr>
          <w:szCs w:val="22"/>
        </w:rPr>
        <w:t>Other external life challenges</w:t>
      </w:r>
      <w:r w:rsidR="0022491D">
        <w:rPr>
          <w:szCs w:val="22"/>
        </w:rPr>
        <w:t>,</w:t>
      </w:r>
      <w:r w:rsidR="5AAA79B8" w:rsidRPr="39F1A3D3">
        <w:rPr>
          <w:szCs w:val="22"/>
        </w:rPr>
        <w:t xml:space="preserve"> such as work </w:t>
      </w:r>
      <w:r w:rsidR="0022491D">
        <w:rPr>
          <w:szCs w:val="22"/>
        </w:rPr>
        <w:t>and</w:t>
      </w:r>
      <w:r w:rsidR="5AAA79B8" w:rsidRPr="39F1A3D3">
        <w:rPr>
          <w:szCs w:val="22"/>
        </w:rPr>
        <w:t xml:space="preserve"> sporting commitments</w:t>
      </w:r>
      <w:r w:rsidR="0022491D">
        <w:rPr>
          <w:szCs w:val="22"/>
        </w:rPr>
        <w:t>,</w:t>
      </w:r>
      <w:r w:rsidR="5AAA79B8" w:rsidRPr="39F1A3D3">
        <w:rPr>
          <w:szCs w:val="22"/>
        </w:rPr>
        <w:t xml:space="preserve"> competed with time required </w:t>
      </w:r>
      <w:r w:rsidR="5AAA79B8" w:rsidRPr="00543D51">
        <w:rPr>
          <w:szCs w:val="22"/>
        </w:rPr>
        <w:t>for ATAR.</w:t>
      </w:r>
      <w:r w:rsidR="5AAA79B8" w:rsidRPr="00543D51">
        <w:rPr>
          <w:i/>
          <w:iCs/>
          <w:color w:val="351C26" w:themeColor="text2"/>
          <w:szCs w:val="22"/>
        </w:rPr>
        <w:t xml:space="preserve"> </w:t>
      </w:r>
      <w:r w:rsidR="5AAA79B8" w:rsidRPr="00543D51">
        <w:rPr>
          <w:color w:val="351C26" w:themeColor="text2"/>
          <w:szCs w:val="22"/>
        </w:rPr>
        <w:t>T</w:t>
      </w:r>
      <w:r w:rsidR="5AAA79B8" w:rsidRPr="00543D51">
        <w:rPr>
          <w:szCs w:val="22"/>
        </w:rPr>
        <w:t>he</w:t>
      </w:r>
      <w:r w:rsidR="5AAA79B8" w:rsidRPr="39F1A3D3">
        <w:rPr>
          <w:szCs w:val="22"/>
        </w:rPr>
        <w:t xml:space="preserve"> thread throughout responses was that ATAR</w:t>
      </w:r>
      <w:r w:rsidR="0022491D">
        <w:rPr>
          <w:szCs w:val="22"/>
        </w:rPr>
        <w:t>,</w:t>
      </w:r>
      <w:r w:rsidR="5AAA79B8" w:rsidRPr="39F1A3D3">
        <w:rPr>
          <w:szCs w:val="22"/>
        </w:rPr>
        <w:t xml:space="preserve"> as </w:t>
      </w:r>
      <w:r w:rsidR="0022491D">
        <w:rPr>
          <w:szCs w:val="22"/>
        </w:rPr>
        <w:t xml:space="preserve">a </w:t>
      </w:r>
      <w:r w:rsidR="5AAA79B8" w:rsidRPr="39F1A3D3">
        <w:rPr>
          <w:szCs w:val="22"/>
        </w:rPr>
        <w:t>condition for university entrance</w:t>
      </w:r>
      <w:r w:rsidR="0022491D">
        <w:rPr>
          <w:szCs w:val="22"/>
        </w:rPr>
        <w:t>,</w:t>
      </w:r>
      <w:r w:rsidR="5AAA79B8" w:rsidRPr="39F1A3D3">
        <w:rPr>
          <w:szCs w:val="22"/>
        </w:rPr>
        <w:t xml:space="preserve"> was pressurising when </w:t>
      </w:r>
      <w:r w:rsidR="00025F4F" w:rsidRPr="39F1A3D3">
        <w:rPr>
          <w:szCs w:val="22"/>
        </w:rPr>
        <w:t>students</w:t>
      </w:r>
      <w:r w:rsidR="5AAA79B8" w:rsidRPr="39F1A3D3">
        <w:rPr>
          <w:szCs w:val="22"/>
        </w:rPr>
        <w:t xml:space="preserve"> were aspirational but not thriving in the ATAR model.</w:t>
      </w:r>
    </w:p>
    <w:p w14:paraId="097A6CC6" w14:textId="4BA2EDAA" w:rsidR="00DB332C" w:rsidRDefault="0022491D" w:rsidP="00543D51">
      <w:pPr>
        <w:rPr>
          <w:szCs w:val="22"/>
        </w:rPr>
      </w:pPr>
      <w:r>
        <w:rPr>
          <w:iCs/>
          <w:szCs w:val="22"/>
        </w:rPr>
        <w:t>“</w:t>
      </w:r>
      <w:r w:rsidR="00543D51" w:rsidRPr="00C473BD">
        <w:rPr>
          <w:iCs/>
          <w:szCs w:val="22"/>
        </w:rPr>
        <w:t xml:space="preserve">A </w:t>
      </w:r>
      <w:r>
        <w:rPr>
          <w:iCs/>
          <w:szCs w:val="22"/>
        </w:rPr>
        <w:t>f</w:t>
      </w:r>
      <w:r w:rsidR="00543D51" w:rsidRPr="00C473BD">
        <w:rPr>
          <w:iCs/>
          <w:szCs w:val="22"/>
        </w:rPr>
        <w:t xml:space="preserve">lourishing </w:t>
      </w:r>
      <w:r>
        <w:rPr>
          <w:iCs/>
          <w:szCs w:val="22"/>
        </w:rPr>
        <w:t>p</w:t>
      </w:r>
      <w:r w:rsidR="00543D51" w:rsidRPr="00C473BD">
        <w:rPr>
          <w:iCs/>
          <w:szCs w:val="22"/>
        </w:rPr>
        <w:t>athway</w:t>
      </w:r>
      <w:r>
        <w:rPr>
          <w:iCs/>
          <w:szCs w:val="22"/>
        </w:rPr>
        <w:t>”</w:t>
      </w:r>
      <w:r w:rsidR="00543D51" w:rsidRPr="39F1A3D3">
        <w:rPr>
          <w:szCs w:val="22"/>
        </w:rPr>
        <w:t xml:space="preserve"> contained responses demonstrating how students thrived academically, socially, and emotionally, acknowledging growth, confidence, and empowerment. </w:t>
      </w:r>
      <w:r w:rsidR="00DB332C" w:rsidRPr="39F1A3D3">
        <w:rPr>
          <w:szCs w:val="22"/>
        </w:rPr>
        <w:t>Throughout the analysis of this theme, three subthemes were identified</w:t>
      </w:r>
      <w:r w:rsidR="00B46C35" w:rsidRPr="39F1A3D3">
        <w:rPr>
          <w:szCs w:val="22"/>
        </w:rPr>
        <w:t xml:space="preserve"> as contributing to a flourishing pathway</w:t>
      </w:r>
      <w:r w:rsidR="00DB332C" w:rsidRPr="39F1A3D3">
        <w:rPr>
          <w:szCs w:val="22"/>
        </w:rPr>
        <w:t xml:space="preserve">: </w:t>
      </w:r>
      <w:r w:rsidR="0076763E">
        <w:rPr>
          <w:szCs w:val="22"/>
        </w:rPr>
        <w:t>“</w:t>
      </w:r>
      <w:r w:rsidR="0076763E">
        <w:rPr>
          <w:iCs/>
          <w:szCs w:val="22"/>
        </w:rPr>
        <w:t>t</w:t>
      </w:r>
      <w:r w:rsidR="00DB332C" w:rsidRPr="00C473BD">
        <w:rPr>
          <w:iCs/>
          <w:szCs w:val="22"/>
        </w:rPr>
        <w:t>he</w:t>
      </w:r>
      <w:r w:rsidR="00DB332C" w:rsidRPr="0076763E">
        <w:rPr>
          <w:iCs/>
          <w:szCs w:val="22"/>
        </w:rPr>
        <w:t xml:space="preserve"> </w:t>
      </w:r>
      <w:r w:rsidR="0076763E">
        <w:rPr>
          <w:iCs/>
          <w:szCs w:val="22"/>
        </w:rPr>
        <w:t>e</w:t>
      </w:r>
      <w:r w:rsidR="00DB332C" w:rsidRPr="00C473BD">
        <w:rPr>
          <w:iCs/>
          <w:szCs w:val="22"/>
        </w:rPr>
        <w:t xml:space="preserve">mpowered </w:t>
      </w:r>
      <w:r w:rsidR="0076763E">
        <w:rPr>
          <w:iCs/>
          <w:szCs w:val="22"/>
        </w:rPr>
        <w:t>s</w:t>
      </w:r>
      <w:r w:rsidR="00DB332C" w:rsidRPr="00C473BD">
        <w:rPr>
          <w:iCs/>
          <w:szCs w:val="22"/>
        </w:rPr>
        <w:t>tudent</w:t>
      </w:r>
      <w:r w:rsidR="0076763E">
        <w:rPr>
          <w:iCs/>
          <w:szCs w:val="22"/>
        </w:rPr>
        <w:t>”</w:t>
      </w:r>
      <w:r w:rsidR="00DB332C" w:rsidRPr="00C473BD">
        <w:rPr>
          <w:iCs/>
          <w:szCs w:val="22"/>
        </w:rPr>
        <w:t xml:space="preserve">, </w:t>
      </w:r>
      <w:r w:rsidR="0076763E">
        <w:rPr>
          <w:iCs/>
          <w:szCs w:val="22"/>
        </w:rPr>
        <w:t>“c</w:t>
      </w:r>
      <w:r w:rsidR="00DB332C" w:rsidRPr="00C473BD">
        <w:rPr>
          <w:iCs/>
          <w:szCs w:val="22"/>
        </w:rPr>
        <w:t xml:space="preserve">onfident </w:t>
      </w:r>
      <w:r w:rsidR="0076763E">
        <w:rPr>
          <w:iCs/>
          <w:szCs w:val="22"/>
        </w:rPr>
        <w:t>p</w:t>
      </w:r>
      <w:r w:rsidR="00DB332C" w:rsidRPr="00C473BD">
        <w:rPr>
          <w:iCs/>
          <w:szCs w:val="22"/>
        </w:rPr>
        <w:t>athway</w:t>
      </w:r>
      <w:r w:rsidR="0076763E">
        <w:rPr>
          <w:iCs/>
          <w:szCs w:val="22"/>
        </w:rPr>
        <w:t>”,</w:t>
      </w:r>
      <w:r w:rsidR="00DB332C" w:rsidRPr="00C473BD">
        <w:rPr>
          <w:iCs/>
          <w:szCs w:val="22"/>
        </w:rPr>
        <w:t xml:space="preserve"> and </w:t>
      </w:r>
      <w:r w:rsidR="0076763E">
        <w:rPr>
          <w:iCs/>
          <w:szCs w:val="22"/>
        </w:rPr>
        <w:t>“u</w:t>
      </w:r>
      <w:r w:rsidR="00DB332C" w:rsidRPr="00C473BD">
        <w:rPr>
          <w:iCs/>
          <w:szCs w:val="22"/>
        </w:rPr>
        <w:t xml:space="preserve">nderstanding </w:t>
      </w:r>
      <w:r w:rsidR="0076763E">
        <w:rPr>
          <w:iCs/>
          <w:szCs w:val="22"/>
        </w:rPr>
        <w:t>u</w:t>
      </w:r>
      <w:r w:rsidR="00DB332C" w:rsidRPr="00C473BD">
        <w:rPr>
          <w:iCs/>
          <w:szCs w:val="22"/>
        </w:rPr>
        <w:t xml:space="preserve">niversity </w:t>
      </w:r>
      <w:r w:rsidR="0076763E">
        <w:rPr>
          <w:iCs/>
          <w:szCs w:val="22"/>
        </w:rPr>
        <w:t>c</w:t>
      </w:r>
      <w:r w:rsidR="00DB332C" w:rsidRPr="00C473BD">
        <w:rPr>
          <w:iCs/>
          <w:szCs w:val="22"/>
        </w:rPr>
        <w:t>ulture</w:t>
      </w:r>
      <w:r w:rsidR="0076763E">
        <w:rPr>
          <w:iCs/>
          <w:szCs w:val="22"/>
        </w:rPr>
        <w:t>”</w:t>
      </w:r>
      <w:r w:rsidR="00DB332C" w:rsidRPr="39F1A3D3">
        <w:rPr>
          <w:szCs w:val="22"/>
        </w:rPr>
        <w:t xml:space="preserve">. Thirty-six responses described the socio-emotional attributes and academic skills developed through participation in an ISEP, and </w:t>
      </w:r>
      <w:r w:rsidR="0076763E">
        <w:rPr>
          <w:szCs w:val="22"/>
        </w:rPr>
        <w:t>35</w:t>
      </w:r>
      <w:r w:rsidR="00DB332C" w:rsidRPr="39F1A3D3">
        <w:rPr>
          <w:szCs w:val="22"/>
        </w:rPr>
        <w:t xml:space="preserve"> references captured how the ISEP created a confident pathway for students, sponsoring aspiration through preparation. </w:t>
      </w:r>
    </w:p>
    <w:p w14:paraId="4DE8489A" w14:textId="043412C3" w:rsidR="00551ABD" w:rsidRPr="00457C6B" w:rsidRDefault="0C956020" w:rsidP="00B43A6C">
      <w:pPr>
        <w:rPr>
          <w:szCs w:val="22"/>
        </w:rPr>
      </w:pPr>
      <w:r>
        <w:t xml:space="preserve">Qualitative responses in </w:t>
      </w:r>
      <w:r w:rsidR="005B5764">
        <w:t>“a</w:t>
      </w:r>
      <w:r w:rsidRPr="00C473BD">
        <w:t xml:space="preserve"> </w:t>
      </w:r>
      <w:r w:rsidR="005B5764">
        <w:t>f</w:t>
      </w:r>
      <w:r w:rsidRPr="00C473BD">
        <w:t xml:space="preserve">lourishing </w:t>
      </w:r>
      <w:r w:rsidR="005B5764">
        <w:t>p</w:t>
      </w:r>
      <w:r w:rsidRPr="00C473BD">
        <w:t>athway</w:t>
      </w:r>
      <w:r w:rsidR="005B5764">
        <w:t>”</w:t>
      </w:r>
      <w:r w:rsidRPr="005B5764">
        <w:t xml:space="preserve"> </w:t>
      </w:r>
      <w:r>
        <w:t>highlight</w:t>
      </w:r>
      <w:r w:rsidR="00AE1BCB">
        <w:t>ed</w:t>
      </w:r>
      <w:r>
        <w:t xml:space="preserve"> that it was the accessibility and design of ISEPs that alleviated ATAR-related stress and fostered socio-emotional recovery during senior schooling, with benefits extending into university </w:t>
      </w:r>
      <w:r w:rsidR="1DD789EE">
        <w:t>life. The</w:t>
      </w:r>
      <w:r w:rsidR="161A0DD0">
        <w:t xml:space="preserve"> first </w:t>
      </w:r>
      <w:r w:rsidR="00AE1BCB">
        <w:t>sub</w:t>
      </w:r>
      <w:r w:rsidR="161A0DD0">
        <w:t>theme</w:t>
      </w:r>
      <w:r w:rsidR="00AE1BCB">
        <w:t>,</w:t>
      </w:r>
      <w:r w:rsidR="161A0DD0">
        <w:t xml:space="preserve"> </w:t>
      </w:r>
      <w:r w:rsidR="00AE1BCB">
        <w:t>“</w:t>
      </w:r>
      <w:r w:rsidR="161A0DD0">
        <w:t xml:space="preserve">the </w:t>
      </w:r>
      <w:r w:rsidR="00AE1BCB">
        <w:t>e</w:t>
      </w:r>
      <w:r w:rsidR="161A0DD0" w:rsidRPr="00C473BD">
        <w:t xml:space="preserve">mpowered </w:t>
      </w:r>
      <w:r w:rsidR="00AE1BCB">
        <w:t>s</w:t>
      </w:r>
      <w:r w:rsidR="161A0DD0" w:rsidRPr="00C473BD">
        <w:t>tudent</w:t>
      </w:r>
      <w:r w:rsidR="00AE1BCB">
        <w:t>”,</w:t>
      </w:r>
      <w:r w:rsidR="161A0DD0">
        <w:t xml:space="preserve"> highlighted students’</w:t>
      </w:r>
      <w:r w:rsidR="121A3920">
        <w:t xml:space="preserve"> development of self-efficacy</w:t>
      </w:r>
      <w:r w:rsidR="3B7AB765">
        <w:t>. T</w:t>
      </w:r>
      <w:r w:rsidR="4C1B2DD5">
        <w:t xml:space="preserve">he word </w:t>
      </w:r>
      <w:r w:rsidR="00AB6589">
        <w:lastRenderedPageBreak/>
        <w:t>“</w:t>
      </w:r>
      <w:r w:rsidR="4C1B2DD5">
        <w:t>confident/confidence</w:t>
      </w:r>
      <w:r w:rsidR="00AB6589">
        <w:t>”</w:t>
      </w:r>
      <w:r w:rsidR="4C1B2DD5">
        <w:t xml:space="preserve"> </w:t>
      </w:r>
      <w:r w:rsidR="00AE1BCB">
        <w:t xml:space="preserve">was </w:t>
      </w:r>
      <w:r w:rsidR="4C1B2DD5">
        <w:t xml:space="preserve">mentioned 15 times, </w:t>
      </w:r>
      <w:r w:rsidR="00B43A6C">
        <w:t xml:space="preserve">highlighting </w:t>
      </w:r>
      <w:r w:rsidR="4C1B2DD5">
        <w:t xml:space="preserve">the extent to which the programs expanded </w:t>
      </w:r>
      <w:r w:rsidR="00AE1BCB">
        <w:t>students’</w:t>
      </w:r>
      <w:r w:rsidR="4C1B2DD5">
        <w:t xml:space="preserve"> skillsets and knowledge, specifically academic writing and referencing</w:t>
      </w:r>
      <w:r>
        <w:t xml:space="preserve">. </w:t>
      </w:r>
      <w:r w:rsidR="30EB422A">
        <w:t xml:space="preserve">Students </w:t>
      </w:r>
      <w:r w:rsidR="3B7AB765">
        <w:t xml:space="preserve">also </w:t>
      </w:r>
      <w:r w:rsidR="30EB422A">
        <w:t xml:space="preserve">gained empowerment through the explicit guidance on academic expectations, which developed their understanding and confidence in participating in the university culture. One student noted that “[the program] explained exactly what universities expect of you” (SS 25). Responses repeatedly noted how this gave them confidence in their transition: “It gave me an understanding of how university </w:t>
      </w:r>
      <w:proofErr w:type="gramStart"/>
      <w:r w:rsidR="30EB422A">
        <w:t>works</w:t>
      </w:r>
      <w:proofErr w:type="gramEnd"/>
      <w:r w:rsidR="30EB422A">
        <w:t xml:space="preserve"> and I felt more confident that I would be able to achieve success as I had prior knowledge” (SS 21). This sense of readiness made "starting my undergraduate degree less daunting as I already had an idea of what was expected of me” (SS 24).</w:t>
      </w:r>
      <w:r w:rsidR="4C1B2DD5">
        <w:t xml:space="preserve"> </w:t>
      </w:r>
      <w:r w:rsidR="00AE1BCB">
        <w:t>Respondents</w:t>
      </w:r>
      <w:r w:rsidR="38B143E2">
        <w:t xml:space="preserve"> </w:t>
      </w:r>
      <w:r w:rsidR="00BE5C6C">
        <w:t>reported</w:t>
      </w:r>
      <w:r w:rsidR="38B143E2">
        <w:t xml:space="preserve"> the ISEP foster</w:t>
      </w:r>
      <w:r w:rsidR="00BE5C6C">
        <w:t>ed</w:t>
      </w:r>
      <w:r w:rsidR="38B143E2">
        <w:t xml:space="preserve"> growth and </w:t>
      </w:r>
      <w:proofErr w:type="gramStart"/>
      <w:r w:rsidR="38B143E2">
        <w:t xml:space="preserve">capability, </w:t>
      </w:r>
      <w:r w:rsidR="00BE5C6C">
        <w:t>and</w:t>
      </w:r>
      <w:proofErr w:type="gramEnd"/>
      <w:r w:rsidR="38B143E2">
        <w:t xml:space="preserve"> saw successes in the program as signifiers for future success at university, </w:t>
      </w:r>
      <w:r w:rsidR="00BE5C6C">
        <w:t>as opposed to</w:t>
      </w:r>
      <w:r w:rsidR="38B143E2">
        <w:t xml:space="preserve"> surviving </w:t>
      </w:r>
      <w:r w:rsidR="00BE5C6C">
        <w:t xml:space="preserve">the </w:t>
      </w:r>
      <w:r w:rsidR="38B143E2">
        <w:t xml:space="preserve">educational challenges of ATAR. </w:t>
      </w:r>
      <w:r w:rsidR="00F6507E">
        <w:t xml:space="preserve">One respondent said, </w:t>
      </w:r>
      <w:r w:rsidR="00551ABD" w:rsidRPr="00B43A6C">
        <w:rPr>
          <w:rStyle w:val="QuoteChar"/>
          <w:i w:val="0"/>
          <w:iCs/>
          <w:color w:val="auto"/>
          <w:sz w:val="22"/>
          <w:szCs w:val="22"/>
        </w:rPr>
        <w:t xml:space="preserve">“I felt that the enabling program enabled me to gain a sense of confidence to succeed in university as the different assignments and feedback </w:t>
      </w:r>
      <w:r w:rsidR="00BE5C6C" w:rsidRPr="00B43A6C">
        <w:rPr>
          <w:rStyle w:val="QuoteChar"/>
          <w:i w:val="0"/>
          <w:iCs/>
          <w:color w:val="auto"/>
          <w:sz w:val="22"/>
          <w:szCs w:val="22"/>
        </w:rPr>
        <w:t>were</w:t>
      </w:r>
      <w:r w:rsidR="00551ABD" w:rsidRPr="00B43A6C">
        <w:rPr>
          <w:rStyle w:val="QuoteChar"/>
          <w:i w:val="0"/>
          <w:iCs/>
          <w:color w:val="auto"/>
          <w:sz w:val="22"/>
          <w:szCs w:val="22"/>
        </w:rPr>
        <w:t xml:space="preserve"> well laid out”</w:t>
      </w:r>
      <w:r w:rsidR="00551ABD" w:rsidRPr="00C473BD">
        <w:rPr>
          <w:i/>
          <w:szCs w:val="22"/>
        </w:rPr>
        <w:t> </w:t>
      </w:r>
      <w:r w:rsidR="00551ABD" w:rsidRPr="39F1A3D3">
        <w:rPr>
          <w:szCs w:val="22"/>
        </w:rPr>
        <w:t>(SS 11).</w:t>
      </w:r>
    </w:p>
    <w:p w14:paraId="63361E06" w14:textId="0B40678D" w:rsidR="00551ABD" w:rsidRDefault="00551ABD" w:rsidP="00551ABD">
      <w:pPr>
        <w:rPr>
          <w:szCs w:val="22"/>
        </w:rPr>
      </w:pPr>
      <w:r w:rsidRPr="39F1A3D3">
        <w:rPr>
          <w:szCs w:val="22"/>
        </w:rPr>
        <w:t>Another student expressed</w:t>
      </w:r>
      <w:r w:rsidR="00BE5C6C">
        <w:rPr>
          <w:szCs w:val="22"/>
        </w:rPr>
        <w:t>:</w:t>
      </w:r>
      <w:r w:rsidRPr="39F1A3D3">
        <w:rPr>
          <w:szCs w:val="22"/>
        </w:rPr>
        <w:t xml:space="preserve"> “I felt confident that if I could succeed in [</w:t>
      </w:r>
      <w:r w:rsidR="00BE5C6C">
        <w:rPr>
          <w:szCs w:val="22"/>
        </w:rPr>
        <w:t xml:space="preserve">the </w:t>
      </w:r>
      <w:r w:rsidRPr="39F1A3D3">
        <w:rPr>
          <w:szCs w:val="22"/>
        </w:rPr>
        <w:t xml:space="preserve">ISEP] I could transfer my skills into university tasks”. </w:t>
      </w:r>
    </w:p>
    <w:p w14:paraId="73C72046" w14:textId="3147573F" w:rsidR="00551ABD" w:rsidRDefault="328424FA" w:rsidP="00551ABD">
      <w:r>
        <w:t xml:space="preserve">Students </w:t>
      </w:r>
      <w:r w:rsidR="0C956020">
        <w:t xml:space="preserve">also </w:t>
      </w:r>
      <w:r>
        <w:t xml:space="preserve">saw </w:t>
      </w:r>
      <w:r w:rsidR="5ABFAEED">
        <w:t xml:space="preserve">ISEPs as a </w:t>
      </w:r>
      <w:r w:rsidR="00BE5C6C">
        <w:t>“c</w:t>
      </w:r>
      <w:r w:rsidR="5ABFAEED" w:rsidRPr="00C473BD">
        <w:t xml:space="preserve">onfident </w:t>
      </w:r>
      <w:r w:rsidR="00BE5C6C">
        <w:t>p</w:t>
      </w:r>
      <w:r w:rsidR="5ABFAEED" w:rsidRPr="00C473BD">
        <w:t>athway</w:t>
      </w:r>
      <w:r w:rsidR="00BE5C6C">
        <w:t>”</w:t>
      </w:r>
      <w:r w:rsidR="3B7AB765">
        <w:t xml:space="preserve"> to university</w:t>
      </w:r>
      <w:r w:rsidR="5ABFAEED">
        <w:t xml:space="preserve">, </w:t>
      </w:r>
      <w:r w:rsidR="38B143E2">
        <w:t>as opposed to</w:t>
      </w:r>
      <w:r w:rsidR="06696E47">
        <w:t xml:space="preserve"> the uncertainty of</w:t>
      </w:r>
      <w:r w:rsidR="38B143E2">
        <w:t xml:space="preserve"> ATAR</w:t>
      </w:r>
      <w:r w:rsidR="6B1F905B">
        <w:t>.</w:t>
      </w:r>
      <w:r w:rsidR="6B1F905B" w:rsidRPr="07AD5326">
        <w:rPr>
          <w:rFonts w:ascii="Aptos" w:hAnsi="Aptos" w:cs="Segoe UI"/>
          <w:sz w:val="24"/>
        </w:rPr>
        <w:t xml:space="preserve"> </w:t>
      </w:r>
      <w:r w:rsidR="6B1F905B">
        <w:t>Responses showed the programs offered reassurance </w:t>
      </w:r>
      <w:r w:rsidR="3B7AB765">
        <w:t xml:space="preserve">and clarity, as </w:t>
      </w:r>
      <w:r w:rsidR="6B1F905B">
        <w:t>one student explained: “I was also informed about what the enabling program would be like</w:t>
      </w:r>
      <w:r w:rsidR="00BE5C6C">
        <w:t>,</w:t>
      </w:r>
      <w:r w:rsidR="6B1F905B">
        <w:t xml:space="preserve"> and that if I passed</w:t>
      </w:r>
      <w:r w:rsidR="00783C6C">
        <w:t>,</w:t>
      </w:r>
      <w:r w:rsidR="6B1F905B">
        <w:t> I would get the equivalent of a 70</w:t>
      </w:r>
      <w:r w:rsidR="00BE5C6C">
        <w:t>-</w:t>
      </w:r>
      <w:r w:rsidR="6B1F905B">
        <w:t>point ATAR. The enabling program sounded fun to me</w:t>
      </w:r>
      <w:r w:rsidR="00783C6C">
        <w:t>,</w:t>
      </w:r>
      <w:r w:rsidR="6B1F905B">
        <w:t xml:space="preserve"> so I decided to do it and keep an ATAR that would help me get into my desired course” (SS 45).  </w:t>
      </w:r>
      <w:r w:rsidR="53A10F64">
        <w:t>Another student noted</w:t>
      </w:r>
      <w:r w:rsidR="00783C6C">
        <w:t>:</w:t>
      </w:r>
      <w:r w:rsidR="6B1F905B">
        <w:t> “</w:t>
      </w:r>
      <w:r w:rsidR="00783C6C">
        <w:t xml:space="preserve">[I] </w:t>
      </w:r>
      <w:r w:rsidR="6B1F905B">
        <w:t>had external factors hindering my education, and I was advised to enter the program</w:t>
      </w:r>
      <w:r w:rsidR="00783C6C">
        <w:t>.</w:t>
      </w:r>
      <w:r w:rsidR="6B1F905B">
        <w:t> </w:t>
      </w:r>
      <w:r w:rsidR="00783C6C">
        <w:t>T</w:t>
      </w:r>
      <w:r w:rsidR="6B1F905B">
        <w:t>he experience was totally different from normal schooling and </w:t>
      </w:r>
      <w:proofErr w:type="gramStart"/>
      <w:r w:rsidR="6B1F905B">
        <w:t>actually better</w:t>
      </w:r>
      <w:proofErr w:type="gramEnd"/>
      <w:r w:rsidR="6B1F905B">
        <w:t> prepared me for </w:t>
      </w:r>
      <w:proofErr w:type="spellStart"/>
      <w:r w:rsidR="6B1F905B">
        <w:t>uni</w:t>
      </w:r>
      <w:proofErr w:type="spellEnd"/>
      <w:r w:rsidR="6B1F905B">
        <w:t>”</w:t>
      </w:r>
      <w:r w:rsidR="53A10F64">
        <w:t xml:space="preserve"> (SS 48)</w:t>
      </w:r>
      <w:r w:rsidR="3B7AB765">
        <w:t>.</w:t>
      </w:r>
      <w:r w:rsidR="6B1F905B">
        <w:t> </w:t>
      </w:r>
      <w:r w:rsidR="00783C6C">
        <w:t xml:space="preserve">One </w:t>
      </w:r>
      <w:r w:rsidR="38B143E2">
        <w:t xml:space="preserve">student now enrolled in a </w:t>
      </w:r>
      <w:proofErr w:type="spellStart"/>
      <w:proofErr w:type="gramStart"/>
      <w:r w:rsidR="38B143E2">
        <w:t>Masters</w:t>
      </w:r>
      <w:proofErr w:type="spellEnd"/>
      <w:proofErr w:type="gramEnd"/>
      <w:r w:rsidR="38B143E2">
        <w:t xml:space="preserve"> program</w:t>
      </w:r>
      <w:r w:rsidR="00783C6C">
        <w:t>, who</w:t>
      </w:r>
      <w:r w:rsidR="53A10F64">
        <w:t xml:space="preserve"> had</w:t>
      </w:r>
      <w:r w:rsidR="38B143E2">
        <w:t xml:space="preserve"> failed maths in </w:t>
      </w:r>
      <w:r w:rsidR="00783C6C">
        <w:t>Y</w:t>
      </w:r>
      <w:r w:rsidR="38B143E2">
        <w:t>ear 11 and did not think university was for them</w:t>
      </w:r>
      <w:r w:rsidR="00783C6C">
        <w:t>,</w:t>
      </w:r>
      <w:r w:rsidR="38B143E2">
        <w:t xml:space="preserve"> state</w:t>
      </w:r>
      <w:r w:rsidR="00783C6C">
        <w:t>d</w:t>
      </w:r>
      <w:r w:rsidR="38B143E2">
        <w:t>:</w:t>
      </w:r>
    </w:p>
    <w:p w14:paraId="392E12D8" w14:textId="60258AAD" w:rsidR="00551ABD" w:rsidRDefault="00551ABD" w:rsidP="00551ABD">
      <w:pPr>
        <w:ind w:left="567" w:right="567"/>
        <w:rPr>
          <w:szCs w:val="22"/>
        </w:rPr>
      </w:pPr>
      <w:r w:rsidRPr="00B43A6C">
        <w:rPr>
          <w:rStyle w:val="QuoteChar"/>
          <w:i w:val="0"/>
          <w:iCs/>
          <w:color w:val="auto"/>
          <w:sz w:val="22"/>
          <w:szCs w:val="22"/>
        </w:rPr>
        <w:t>As cheesy as it sounds</w:t>
      </w:r>
      <w:r w:rsidR="00783C6C" w:rsidRPr="00B43A6C">
        <w:rPr>
          <w:rStyle w:val="QuoteChar"/>
          <w:i w:val="0"/>
          <w:iCs/>
          <w:color w:val="auto"/>
          <w:sz w:val="22"/>
          <w:szCs w:val="22"/>
        </w:rPr>
        <w:t>,</w:t>
      </w:r>
      <w:r w:rsidRPr="00B43A6C">
        <w:rPr>
          <w:rStyle w:val="QuoteChar"/>
          <w:i w:val="0"/>
          <w:iCs/>
          <w:color w:val="auto"/>
          <w:sz w:val="22"/>
          <w:szCs w:val="22"/>
        </w:rPr>
        <w:t xml:space="preserve"> this course was one of the best things </w:t>
      </w:r>
      <w:r w:rsidR="00783C6C" w:rsidRPr="00B43A6C">
        <w:rPr>
          <w:rStyle w:val="QuoteChar"/>
          <w:i w:val="0"/>
          <w:iCs/>
          <w:color w:val="auto"/>
          <w:sz w:val="22"/>
          <w:szCs w:val="22"/>
        </w:rPr>
        <w:t xml:space="preserve">[that] </w:t>
      </w:r>
      <w:r w:rsidRPr="00B43A6C">
        <w:rPr>
          <w:rStyle w:val="QuoteChar"/>
          <w:i w:val="0"/>
          <w:iCs/>
          <w:color w:val="auto"/>
          <w:sz w:val="22"/>
          <w:szCs w:val="22"/>
        </w:rPr>
        <w:t>ever happened to me. Since then</w:t>
      </w:r>
      <w:r w:rsidR="00783C6C" w:rsidRPr="00B43A6C">
        <w:rPr>
          <w:rStyle w:val="QuoteChar"/>
          <w:i w:val="0"/>
          <w:iCs/>
          <w:color w:val="auto"/>
          <w:sz w:val="22"/>
          <w:szCs w:val="22"/>
        </w:rPr>
        <w:t>,</w:t>
      </w:r>
      <w:r w:rsidRPr="00B43A6C">
        <w:rPr>
          <w:rStyle w:val="QuoteChar"/>
          <w:i w:val="0"/>
          <w:iCs/>
          <w:color w:val="auto"/>
          <w:sz w:val="22"/>
          <w:szCs w:val="22"/>
        </w:rPr>
        <w:t xml:space="preserve"> I have encou</w:t>
      </w:r>
      <w:r w:rsidR="00B43A6C">
        <w:rPr>
          <w:rStyle w:val="QuoteChar"/>
          <w:i w:val="0"/>
          <w:iCs/>
          <w:color w:val="auto"/>
          <w:sz w:val="22"/>
          <w:szCs w:val="22"/>
        </w:rPr>
        <w:t>rag</w:t>
      </w:r>
      <w:r w:rsidRPr="00B43A6C">
        <w:rPr>
          <w:rStyle w:val="QuoteChar"/>
          <w:i w:val="0"/>
          <w:iCs/>
          <w:color w:val="auto"/>
          <w:sz w:val="22"/>
          <w:szCs w:val="22"/>
        </w:rPr>
        <w:t>ed 14 people to do [it], including my partner who did the course and is a psychologist now</w:t>
      </w:r>
      <w:r w:rsidR="00783C6C" w:rsidRPr="00B43A6C">
        <w:rPr>
          <w:rStyle w:val="QuoteChar"/>
          <w:i w:val="0"/>
          <w:iCs/>
          <w:color w:val="auto"/>
          <w:sz w:val="22"/>
          <w:szCs w:val="22"/>
        </w:rPr>
        <w:t>,</w:t>
      </w:r>
      <w:r w:rsidRPr="00B43A6C">
        <w:rPr>
          <w:rStyle w:val="QuoteChar"/>
          <w:i w:val="0"/>
          <w:iCs/>
          <w:color w:val="auto"/>
          <w:sz w:val="22"/>
          <w:szCs w:val="22"/>
        </w:rPr>
        <w:t xml:space="preserve"> and my sister who is a </w:t>
      </w:r>
      <w:proofErr w:type="gramStart"/>
      <w:r w:rsidRPr="00B43A6C">
        <w:rPr>
          <w:rStyle w:val="QuoteChar"/>
          <w:i w:val="0"/>
          <w:iCs/>
          <w:color w:val="auto"/>
          <w:sz w:val="22"/>
          <w:szCs w:val="22"/>
        </w:rPr>
        <w:t>school teacher</w:t>
      </w:r>
      <w:proofErr w:type="gramEnd"/>
      <w:r w:rsidRPr="00B43A6C">
        <w:rPr>
          <w:rStyle w:val="QuoteChar"/>
          <w:i w:val="0"/>
          <w:iCs/>
          <w:color w:val="auto"/>
          <w:sz w:val="22"/>
          <w:szCs w:val="22"/>
        </w:rPr>
        <w:t xml:space="preserve"> in one of the best schools in WA.</w:t>
      </w:r>
      <w:r w:rsidRPr="00B43A6C">
        <w:rPr>
          <w:i/>
          <w:iCs/>
          <w:szCs w:val="22"/>
        </w:rPr>
        <w:t xml:space="preserve"> </w:t>
      </w:r>
      <w:r w:rsidRPr="39F1A3D3">
        <w:rPr>
          <w:szCs w:val="22"/>
        </w:rPr>
        <w:t>(SS 7)</w:t>
      </w:r>
    </w:p>
    <w:p w14:paraId="5D229C58" w14:textId="2EB409C4" w:rsidR="008B1BC3" w:rsidRDefault="002645D6" w:rsidP="00FC4B5D">
      <w:pPr>
        <w:rPr>
          <w:szCs w:val="22"/>
        </w:rPr>
      </w:pPr>
      <w:r w:rsidRPr="39F1A3D3">
        <w:rPr>
          <w:szCs w:val="22"/>
        </w:rPr>
        <w:t xml:space="preserve">The </w:t>
      </w:r>
      <w:r w:rsidR="00297699" w:rsidRPr="39F1A3D3">
        <w:rPr>
          <w:szCs w:val="22"/>
        </w:rPr>
        <w:t>final</w:t>
      </w:r>
      <w:r w:rsidRPr="39F1A3D3">
        <w:rPr>
          <w:szCs w:val="22"/>
        </w:rPr>
        <w:t xml:space="preserve"> subtheme</w:t>
      </w:r>
      <w:r w:rsidR="00783C6C">
        <w:rPr>
          <w:szCs w:val="22"/>
        </w:rPr>
        <w:t>,</w:t>
      </w:r>
      <w:r w:rsidR="00297699" w:rsidRPr="39F1A3D3">
        <w:rPr>
          <w:szCs w:val="22"/>
        </w:rPr>
        <w:t xml:space="preserve"> </w:t>
      </w:r>
      <w:r w:rsidR="00783C6C">
        <w:rPr>
          <w:iCs/>
          <w:szCs w:val="22"/>
        </w:rPr>
        <w:t>“u</w:t>
      </w:r>
      <w:r w:rsidR="00297699" w:rsidRPr="00C473BD">
        <w:rPr>
          <w:iCs/>
          <w:szCs w:val="22"/>
        </w:rPr>
        <w:t xml:space="preserve">nderstanding </w:t>
      </w:r>
      <w:r w:rsidR="00783C6C">
        <w:rPr>
          <w:iCs/>
          <w:szCs w:val="22"/>
        </w:rPr>
        <w:t>u</w:t>
      </w:r>
      <w:r w:rsidR="00297699" w:rsidRPr="00C473BD">
        <w:rPr>
          <w:iCs/>
          <w:szCs w:val="22"/>
        </w:rPr>
        <w:t xml:space="preserve">niversity </w:t>
      </w:r>
      <w:r w:rsidR="00783C6C">
        <w:rPr>
          <w:iCs/>
          <w:szCs w:val="22"/>
        </w:rPr>
        <w:t>c</w:t>
      </w:r>
      <w:r w:rsidR="00297699" w:rsidRPr="00C473BD">
        <w:rPr>
          <w:iCs/>
          <w:szCs w:val="22"/>
        </w:rPr>
        <w:t>ulture</w:t>
      </w:r>
      <w:r w:rsidR="00783C6C">
        <w:rPr>
          <w:iCs/>
          <w:szCs w:val="22"/>
        </w:rPr>
        <w:t>”</w:t>
      </w:r>
      <w:r w:rsidR="00783C6C">
        <w:rPr>
          <w:szCs w:val="22"/>
        </w:rPr>
        <w:t>,</w:t>
      </w:r>
      <w:r w:rsidR="00ED42E3">
        <w:rPr>
          <w:szCs w:val="22"/>
        </w:rPr>
        <w:t xml:space="preserve"> </w:t>
      </w:r>
      <w:r w:rsidR="00780011">
        <w:rPr>
          <w:szCs w:val="22"/>
        </w:rPr>
        <w:t>contained student descriptions of</w:t>
      </w:r>
      <w:r w:rsidR="00ED42E3" w:rsidRPr="00ED42E3">
        <w:rPr>
          <w:szCs w:val="22"/>
        </w:rPr>
        <w:t xml:space="preserve"> </w:t>
      </w:r>
      <w:r w:rsidR="00780011">
        <w:rPr>
          <w:szCs w:val="22"/>
        </w:rPr>
        <w:t xml:space="preserve">ISEPs as </w:t>
      </w:r>
      <w:r w:rsidR="00ED42E3" w:rsidRPr="00ED42E3">
        <w:rPr>
          <w:szCs w:val="22"/>
        </w:rPr>
        <w:t>“a preview into university culture” (</w:t>
      </w:r>
      <w:r w:rsidR="00907EF0">
        <w:rPr>
          <w:szCs w:val="22"/>
        </w:rPr>
        <w:t>SS</w:t>
      </w:r>
      <w:r w:rsidR="00ED42E3" w:rsidRPr="00ED42E3">
        <w:rPr>
          <w:szCs w:val="22"/>
        </w:rPr>
        <w:t xml:space="preserve"> 7), </w:t>
      </w:r>
      <w:r w:rsidR="00780011">
        <w:rPr>
          <w:szCs w:val="22"/>
        </w:rPr>
        <w:t>emphasising</w:t>
      </w:r>
      <w:r w:rsidR="00ED42E3" w:rsidRPr="00ED42E3">
        <w:rPr>
          <w:szCs w:val="22"/>
        </w:rPr>
        <w:t xml:space="preserve"> the value of foundational </w:t>
      </w:r>
      <w:r w:rsidR="00C22891">
        <w:rPr>
          <w:szCs w:val="22"/>
        </w:rPr>
        <w:t>academic skills. One student</w:t>
      </w:r>
      <w:r w:rsidR="00C22891" w:rsidRPr="00C22891">
        <w:rPr>
          <w:szCs w:val="22"/>
        </w:rPr>
        <w:t xml:space="preserve"> noted</w:t>
      </w:r>
      <w:r w:rsidR="00783C6C">
        <w:rPr>
          <w:szCs w:val="22"/>
        </w:rPr>
        <w:t>:</w:t>
      </w:r>
      <w:r w:rsidR="00C22891" w:rsidRPr="00C22891">
        <w:rPr>
          <w:szCs w:val="22"/>
        </w:rPr>
        <w:t xml:space="preserve"> “</w:t>
      </w:r>
      <w:r w:rsidR="00783C6C">
        <w:rPr>
          <w:szCs w:val="22"/>
        </w:rPr>
        <w:t>I</w:t>
      </w:r>
      <w:r w:rsidR="00C22891" w:rsidRPr="00C22891">
        <w:rPr>
          <w:szCs w:val="22"/>
        </w:rPr>
        <w:t>t gave me more faith in myself and my writing ability” (</w:t>
      </w:r>
      <w:r w:rsidR="00C22891">
        <w:rPr>
          <w:szCs w:val="22"/>
        </w:rPr>
        <w:t>SS</w:t>
      </w:r>
      <w:r w:rsidR="00C22891" w:rsidRPr="00C22891">
        <w:rPr>
          <w:szCs w:val="22"/>
        </w:rPr>
        <w:t xml:space="preserve"> 8)</w:t>
      </w:r>
      <w:r w:rsidR="00780011">
        <w:rPr>
          <w:szCs w:val="22"/>
        </w:rPr>
        <w:t>, while</w:t>
      </w:r>
      <w:r w:rsidR="00C22891" w:rsidRPr="00C22891">
        <w:rPr>
          <w:szCs w:val="22"/>
        </w:rPr>
        <w:t xml:space="preserve"> another </w:t>
      </w:r>
      <w:r w:rsidR="00780011">
        <w:rPr>
          <w:szCs w:val="22"/>
        </w:rPr>
        <w:t xml:space="preserve">similarly </w:t>
      </w:r>
      <w:r w:rsidR="001B1C39">
        <w:rPr>
          <w:szCs w:val="22"/>
        </w:rPr>
        <w:t>stated</w:t>
      </w:r>
      <w:r w:rsidR="00783C6C">
        <w:rPr>
          <w:szCs w:val="22"/>
        </w:rPr>
        <w:t>:</w:t>
      </w:r>
      <w:r w:rsidR="00780011">
        <w:rPr>
          <w:szCs w:val="22"/>
        </w:rPr>
        <w:t xml:space="preserve"> </w:t>
      </w:r>
      <w:r w:rsidR="00C22891" w:rsidRPr="00C22891">
        <w:rPr>
          <w:szCs w:val="22"/>
        </w:rPr>
        <w:t>“</w:t>
      </w:r>
      <w:r w:rsidR="00783C6C">
        <w:rPr>
          <w:szCs w:val="22"/>
        </w:rPr>
        <w:t>I</w:t>
      </w:r>
      <w:r w:rsidR="00C22891" w:rsidRPr="00C22891">
        <w:rPr>
          <w:szCs w:val="22"/>
        </w:rPr>
        <w:t>t taught me how to do things like academic writing and referencing</w:t>
      </w:r>
      <w:r w:rsidR="001B1C39">
        <w:rPr>
          <w:szCs w:val="22"/>
        </w:rPr>
        <w:t>,</w:t>
      </w:r>
      <w:r w:rsidR="00C22891" w:rsidRPr="00C22891">
        <w:rPr>
          <w:szCs w:val="22"/>
        </w:rPr>
        <w:t xml:space="preserve"> which was probably what I was most nervous about” (</w:t>
      </w:r>
      <w:r w:rsidR="00C22891">
        <w:rPr>
          <w:szCs w:val="22"/>
        </w:rPr>
        <w:t>SS</w:t>
      </w:r>
      <w:r w:rsidR="00C22891" w:rsidRPr="00C22891">
        <w:rPr>
          <w:szCs w:val="22"/>
        </w:rPr>
        <w:t xml:space="preserve"> 27). </w:t>
      </w:r>
      <w:r w:rsidR="00C22891">
        <w:rPr>
          <w:szCs w:val="22"/>
        </w:rPr>
        <w:t xml:space="preserve">Students repeatedly acknowledged </w:t>
      </w:r>
      <w:r w:rsidR="00F751AC">
        <w:rPr>
          <w:szCs w:val="22"/>
        </w:rPr>
        <w:t>that learning about</w:t>
      </w:r>
      <w:r w:rsidR="00C22891">
        <w:rPr>
          <w:szCs w:val="22"/>
        </w:rPr>
        <w:t xml:space="preserve"> </w:t>
      </w:r>
      <w:r w:rsidR="00F751AC">
        <w:rPr>
          <w:szCs w:val="22"/>
        </w:rPr>
        <w:t>elements</w:t>
      </w:r>
      <w:r w:rsidR="00C22891">
        <w:rPr>
          <w:szCs w:val="22"/>
        </w:rPr>
        <w:t xml:space="preserve"> </w:t>
      </w:r>
      <w:r w:rsidR="001B1C39">
        <w:rPr>
          <w:szCs w:val="22"/>
        </w:rPr>
        <w:t xml:space="preserve">of </w:t>
      </w:r>
      <w:r w:rsidR="00C22891">
        <w:rPr>
          <w:szCs w:val="22"/>
        </w:rPr>
        <w:t xml:space="preserve">university </w:t>
      </w:r>
      <w:r w:rsidR="00780011">
        <w:rPr>
          <w:szCs w:val="22"/>
        </w:rPr>
        <w:t>culture</w:t>
      </w:r>
      <w:r w:rsidR="00C22891">
        <w:rPr>
          <w:szCs w:val="22"/>
        </w:rPr>
        <w:t xml:space="preserve"> </w:t>
      </w:r>
      <w:r w:rsidR="00F751AC">
        <w:rPr>
          <w:szCs w:val="22"/>
        </w:rPr>
        <w:t xml:space="preserve">and its systems also </w:t>
      </w:r>
      <w:r w:rsidR="00C22891">
        <w:rPr>
          <w:szCs w:val="22"/>
        </w:rPr>
        <w:t>supported their</w:t>
      </w:r>
      <w:r w:rsidR="00B36AC1">
        <w:rPr>
          <w:szCs w:val="22"/>
        </w:rPr>
        <w:t xml:space="preserve"> </w:t>
      </w:r>
      <w:r w:rsidR="00C22891">
        <w:rPr>
          <w:szCs w:val="22"/>
        </w:rPr>
        <w:t>transition</w:t>
      </w:r>
      <w:r w:rsidR="00F751AC">
        <w:rPr>
          <w:szCs w:val="22"/>
        </w:rPr>
        <w:t xml:space="preserve"> to undergraduate study</w:t>
      </w:r>
      <w:r w:rsidR="00C22891">
        <w:rPr>
          <w:szCs w:val="22"/>
        </w:rPr>
        <w:t>. For example</w:t>
      </w:r>
      <w:r w:rsidR="00F751AC">
        <w:rPr>
          <w:szCs w:val="22"/>
        </w:rPr>
        <w:t>, one student noted</w:t>
      </w:r>
      <w:r w:rsidR="001B1C39">
        <w:rPr>
          <w:szCs w:val="22"/>
        </w:rPr>
        <w:t>:</w:t>
      </w:r>
      <w:r w:rsidR="00ED42E3" w:rsidRPr="00ED42E3">
        <w:rPr>
          <w:szCs w:val="22"/>
        </w:rPr>
        <w:t> “</w:t>
      </w:r>
      <w:r w:rsidR="001B1C39">
        <w:rPr>
          <w:szCs w:val="22"/>
        </w:rPr>
        <w:t>H</w:t>
      </w:r>
      <w:r w:rsidR="00ED42E3" w:rsidRPr="00ED42E3">
        <w:rPr>
          <w:szCs w:val="22"/>
        </w:rPr>
        <w:t>aving that slight head start gave me so much ease (</w:t>
      </w:r>
      <w:r w:rsidR="00623DD1">
        <w:rPr>
          <w:szCs w:val="22"/>
        </w:rPr>
        <w:t>for example</w:t>
      </w:r>
      <w:r w:rsidR="00ED42E3" w:rsidRPr="00ED42E3">
        <w:rPr>
          <w:szCs w:val="22"/>
        </w:rPr>
        <w:t>, knowing how to operate the websites, how to reference, and research topics appropriately)”</w:t>
      </w:r>
      <w:r w:rsidR="001B1C39">
        <w:rPr>
          <w:szCs w:val="22"/>
        </w:rPr>
        <w:t>;</w:t>
      </w:r>
      <w:r w:rsidR="00CF3BB4">
        <w:rPr>
          <w:szCs w:val="22"/>
        </w:rPr>
        <w:t xml:space="preserve"> </w:t>
      </w:r>
      <w:r w:rsidR="00F751AC">
        <w:rPr>
          <w:szCs w:val="22"/>
        </w:rPr>
        <w:t>they also</w:t>
      </w:r>
      <w:r w:rsidR="00C22891">
        <w:rPr>
          <w:szCs w:val="22"/>
        </w:rPr>
        <w:t xml:space="preserve"> </w:t>
      </w:r>
      <w:r w:rsidR="00F751AC">
        <w:rPr>
          <w:szCs w:val="22"/>
        </w:rPr>
        <w:t>reflected that</w:t>
      </w:r>
      <w:r w:rsidR="00ED42E3" w:rsidRPr="00ED42E3">
        <w:rPr>
          <w:szCs w:val="22"/>
        </w:rPr>
        <w:t xml:space="preserve"> </w:t>
      </w:r>
      <w:r w:rsidR="00F751AC">
        <w:rPr>
          <w:szCs w:val="22"/>
        </w:rPr>
        <w:t>the ISEP</w:t>
      </w:r>
      <w:r w:rsidR="00ED42E3" w:rsidRPr="00ED42E3">
        <w:rPr>
          <w:szCs w:val="22"/>
        </w:rPr>
        <w:t xml:space="preserve"> made them “confident in using university systems and self-management”</w:t>
      </w:r>
      <w:r w:rsidR="00C22891">
        <w:rPr>
          <w:szCs w:val="22"/>
        </w:rPr>
        <w:t xml:space="preserve"> (SS 6)</w:t>
      </w:r>
      <w:r w:rsidR="00ED42E3" w:rsidRPr="00ED42E3">
        <w:rPr>
          <w:szCs w:val="22"/>
        </w:rPr>
        <w:t>.</w:t>
      </w:r>
      <w:r w:rsidR="00C22891">
        <w:rPr>
          <w:szCs w:val="22"/>
        </w:rPr>
        <w:t xml:space="preserve"> </w:t>
      </w:r>
    </w:p>
    <w:p w14:paraId="79F91D38" w14:textId="77777777" w:rsidR="00623DD1" w:rsidRDefault="00623DD1">
      <w:pPr>
        <w:spacing w:line="259" w:lineRule="auto"/>
        <w:rPr>
          <w:b/>
          <w:bCs/>
          <w:iCs/>
          <w:color w:val="6B3B57"/>
          <w:sz w:val="24"/>
          <w:szCs w:val="36"/>
          <w:lang w:val="en-GB"/>
        </w:rPr>
      </w:pPr>
      <w:r>
        <w:br w:type="page"/>
      </w:r>
    </w:p>
    <w:p w14:paraId="604B6683" w14:textId="0037DBD5" w:rsidR="007A152B" w:rsidRPr="00C473BD" w:rsidRDefault="5C9F0181" w:rsidP="001B4BED">
      <w:pPr>
        <w:pStyle w:val="Normal-Bold"/>
      </w:pPr>
      <w:r w:rsidRPr="00C473BD">
        <w:lastRenderedPageBreak/>
        <w:t>Student interview findings</w:t>
      </w:r>
    </w:p>
    <w:p w14:paraId="60497632" w14:textId="505874E9" w:rsidR="00C173AE" w:rsidRPr="007A5C4A" w:rsidRDefault="00E74152" w:rsidP="00A32591">
      <w:pPr>
        <w:rPr>
          <w:rFonts w:eastAsiaTheme="minorEastAsia"/>
          <w:szCs w:val="22"/>
        </w:rPr>
      </w:pPr>
      <w:r w:rsidRPr="39F1A3D3">
        <w:rPr>
          <w:szCs w:val="22"/>
        </w:rPr>
        <w:t>When analysing</w:t>
      </w:r>
      <w:r w:rsidR="0CBC4D50" w:rsidRPr="39F1A3D3">
        <w:rPr>
          <w:szCs w:val="22"/>
        </w:rPr>
        <w:t xml:space="preserve"> s</w:t>
      </w:r>
      <w:r w:rsidR="00C173AE" w:rsidRPr="39F1A3D3">
        <w:rPr>
          <w:szCs w:val="22"/>
        </w:rPr>
        <w:t>tudent interview</w:t>
      </w:r>
      <w:r w:rsidRPr="39F1A3D3">
        <w:rPr>
          <w:szCs w:val="22"/>
        </w:rPr>
        <w:t xml:space="preserve"> responses, similar themes </w:t>
      </w:r>
      <w:r w:rsidR="008B1BC3" w:rsidRPr="39F1A3D3">
        <w:rPr>
          <w:szCs w:val="22"/>
        </w:rPr>
        <w:t xml:space="preserve">to </w:t>
      </w:r>
      <w:r w:rsidR="001B1C39">
        <w:rPr>
          <w:szCs w:val="22"/>
        </w:rPr>
        <w:t xml:space="preserve">those of </w:t>
      </w:r>
      <w:r w:rsidR="008B1BC3" w:rsidRPr="39F1A3D3">
        <w:rPr>
          <w:szCs w:val="22"/>
        </w:rPr>
        <w:t xml:space="preserve">the student survey </w:t>
      </w:r>
      <w:r w:rsidRPr="39F1A3D3">
        <w:rPr>
          <w:szCs w:val="22"/>
        </w:rPr>
        <w:t xml:space="preserve">were identified: </w:t>
      </w:r>
      <w:r w:rsidR="001B1C39">
        <w:rPr>
          <w:szCs w:val="22"/>
        </w:rPr>
        <w:t>“</w:t>
      </w:r>
      <w:r w:rsidR="00C173AE" w:rsidRPr="00C473BD">
        <w:rPr>
          <w:iCs/>
          <w:szCs w:val="22"/>
        </w:rPr>
        <w:t>ATAR struggle</w:t>
      </w:r>
      <w:r w:rsidR="001B1C39">
        <w:rPr>
          <w:iCs/>
          <w:szCs w:val="22"/>
        </w:rPr>
        <w:t>”</w:t>
      </w:r>
      <w:r w:rsidR="00C173AE" w:rsidRPr="001B1C39">
        <w:rPr>
          <w:iCs/>
          <w:szCs w:val="22"/>
        </w:rPr>
        <w:t xml:space="preserve">, </w:t>
      </w:r>
      <w:r w:rsidR="001B1C39">
        <w:rPr>
          <w:iCs/>
          <w:szCs w:val="22"/>
        </w:rPr>
        <w:t>“</w:t>
      </w:r>
      <w:r w:rsidR="001B1C39" w:rsidRPr="00B43A6C">
        <w:rPr>
          <w:iCs/>
          <w:szCs w:val="22"/>
        </w:rPr>
        <w:t>u</w:t>
      </w:r>
      <w:r w:rsidR="251969C6" w:rsidRPr="00B43A6C">
        <w:rPr>
          <w:iCs/>
          <w:szCs w:val="22"/>
        </w:rPr>
        <w:t xml:space="preserve">niversity </w:t>
      </w:r>
      <w:r w:rsidR="001B1C39" w:rsidRPr="00B43A6C">
        <w:rPr>
          <w:iCs/>
          <w:szCs w:val="22"/>
        </w:rPr>
        <w:t>a</w:t>
      </w:r>
      <w:r w:rsidR="251969C6" w:rsidRPr="00B43A6C">
        <w:rPr>
          <w:iCs/>
          <w:szCs w:val="22"/>
        </w:rPr>
        <w:t xml:space="preserve">spiration </w:t>
      </w:r>
      <w:r w:rsidR="00C173AE" w:rsidRPr="00B43A6C">
        <w:rPr>
          <w:iCs/>
          <w:szCs w:val="22"/>
        </w:rPr>
        <w:t xml:space="preserve">in </w:t>
      </w:r>
      <w:r w:rsidR="001B1C39" w:rsidRPr="00B43A6C">
        <w:rPr>
          <w:iCs/>
          <w:szCs w:val="22"/>
        </w:rPr>
        <w:t>n</w:t>
      </w:r>
      <w:r w:rsidR="00C173AE" w:rsidRPr="00B43A6C">
        <w:rPr>
          <w:iCs/>
          <w:szCs w:val="22"/>
        </w:rPr>
        <w:t xml:space="preserve">eed of </w:t>
      </w:r>
      <w:r w:rsidR="001B1C39" w:rsidRPr="00B43A6C">
        <w:rPr>
          <w:iCs/>
          <w:szCs w:val="22"/>
        </w:rPr>
        <w:t>p</w:t>
      </w:r>
      <w:r w:rsidR="00C173AE" w:rsidRPr="00B43A6C">
        <w:rPr>
          <w:iCs/>
          <w:szCs w:val="22"/>
        </w:rPr>
        <w:t>athway</w:t>
      </w:r>
      <w:r w:rsidR="001B1C39">
        <w:rPr>
          <w:iCs/>
          <w:szCs w:val="22"/>
        </w:rPr>
        <w:t>”</w:t>
      </w:r>
      <w:r w:rsidR="432329D6" w:rsidRPr="001B1C39">
        <w:rPr>
          <w:iCs/>
          <w:szCs w:val="22"/>
        </w:rPr>
        <w:t xml:space="preserve">, and </w:t>
      </w:r>
      <w:r w:rsidR="001B1C39">
        <w:rPr>
          <w:iCs/>
          <w:szCs w:val="22"/>
        </w:rPr>
        <w:t>“</w:t>
      </w:r>
      <w:r w:rsidR="001B1C39" w:rsidRPr="00B43A6C">
        <w:rPr>
          <w:iCs/>
          <w:szCs w:val="22"/>
        </w:rPr>
        <w:t>a</w:t>
      </w:r>
      <w:r w:rsidR="00C173AE" w:rsidRPr="00B43A6C">
        <w:rPr>
          <w:iCs/>
          <w:szCs w:val="22"/>
        </w:rPr>
        <w:t xml:space="preserve">cademic </w:t>
      </w:r>
      <w:r w:rsidR="001B1C39" w:rsidRPr="00B43A6C">
        <w:rPr>
          <w:iCs/>
          <w:szCs w:val="22"/>
        </w:rPr>
        <w:t>s</w:t>
      </w:r>
      <w:r w:rsidR="00C173AE" w:rsidRPr="00B43A6C">
        <w:rPr>
          <w:iCs/>
          <w:szCs w:val="22"/>
        </w:rPr>
        <w:t xml:space="preserve">kill and </w:t>
      </w:r>
      <w:r w:rsidR="001B1C39" w:rsidRPr="00B43A6C">
        <w:rPr>
          <w:iCs/>
          <w:szCs w:val="22"/>
        </w:rPr>
        <w:t>k</w:t>
      </w:r>
      <w:r w:rsidR="00C173AE" w:rsidRPr="00B43A6C">
        <w:rPr>
          <w:iCs/>
          <w:szCs w:val="22"/>
        </w:rPr>
        <w:t xml:space="preserve">nowledge </w:t>
      </w:r>
      <w:r w:rsidR="001B1C39" w:rsidRPr="00B43A6C">
        <w:rPr>
          <w:iCs/>
          <w:szCs w:val="22"/>
        </w:rPr>
        <w:t>d</w:t>
      </w:r>
      <w:r w:rsidR="00C173AE" w:rsidRPr="00B43A6C">
        <w:rPr>
          <w:iCs/>
          <w:szCs w:val="22"/>
        </w:rPr>
        <w:t>evelopment</w:t>
      </w:r>
      <w:r w:rsidR="001B1C39">
        <w:rPr>
          <w:iCs/>
          <w:szCs w:val="22"/>
        </w:rPr>
        <w:t>”</w:t>
      </w:r>
      <w:r w:rsidR="00C173AE" w:rsidRPr="001B1C39">
        <w:rPr>
          <w:iCs/>
          <w:szCs w:val="22"/>
        </w:rPr>
        <w:t>.</w:t>
      </w:r>
      <w:r w:rsidR="00D45AAD" w:rsidRPr="39F1A3D3">
        <w:rPr>
          <w:rFonts w:eastAsiaTheme="minorEastAsia"/>
          <w:szCs w:val="22"/>
        </w:rPr>
        <w:t xml:space="preserve"> </w:t>
      </w:r>
      <w:r w:rsidR="00F12438" w:rsidRPr="39F1A3D3">
        <w:rPr>
          <w:rFonts w:eastAsiaTheme="minorEastAsia"/>
          <w:szCs w:val="22"/>
        </w:rPr>
        <w:t xml:space="preserve">ATAR was referred to 21 times in the interviews, and all </w:t>
      </w:r>
      <w:r w:rsidR="000724B6" w:rsidRPr="39F1A3D3">
        <w:rPr>
          <w:rFonts w:eastAsiaTheme="minorEastAsia"/>
          <w:szCs w:val="22"/>
        </w:rPr>
        <w:t xml:space="preserve">responses referred to the negative impacts of ATAR such as stress, workload, and grades/failing. </w:t>
      </w:r>
      <w:r w:rsidR="4E27012C" w:rsidRPr="39F1A3D3">
        <w:rPr>
          <w:rFonts w:eastAsiaTheme="minorEastAsia"/>
          <w:szCs w:val="22"/>
        </w:rPr>
        <w:t>The responses overwhelmingly showed that university aspiration was already present, with five out of the six students commencing an ATAR pathway</w:t>
      </w:r>
      <w:r w:rsidR="007A078F">
        <w:rPr>
          <w:rFonts w:eastAsiaTheme="minorEastAsia"/>
          <w:szCs w:val="22"/>
        </w:rPr>
        <w:t>,</w:t>
      </w:r>
      <w:r w:rsidR="4E27012C" w:rsidRPr="39F1A3D3">
        <w:rPr>
          <w:rFonts w:eastAsiaTheme="minorEastAsia"/>
          <w:szCs w:val="22"/>
        </w:rPr>
        <w:t xml:space="preserve"> and the sixth student’s refugee status impacting on ATAR enrolment. </w:t>
      </w:r>
      <w:r w:rsidR="000724B6" w:rsidRPr="39F1A3D3">
        <w:rPr>
          <w:rFonts w:eastAsiaTheme="minorEastAsia"/>
          <w:szCs w:val="22"/>
        </w:rPr>
        <w:t xml:space="preserve">For example, </w:t>
      </w:r>
    </w:p>
    <w:p w14:paraId="78A98B4F" w14:textId="437AFEBF" w:rsidR="00B25F65" w:rsidRPr="00EA6AA7" w:rsidRDefault="000724B6" w:rsidP="00EA6AA7">
      <w:pPr>
        <w:ind w:left="567" w:right="567"/>
        <w:rPr>
          <w:szCs w:val="22"/>
        </w:rPr>
      </w:pPr>
      <w:r w:rsidRPr="00B43A6C">
        <w:rPr>
          <w:rStyle w:val="QuoteChar"/>
          <w:i w:val="0"/>
          <w:iCs/>
          <w:color w:val="auto"/>
          <w:sz w:val="22"/>
          <w:szCs w:val="22"/>
        </w:rPr>
        <w:t>A</w:t>
      </w:r>
      <w:r w:rsidR="115283A5" w:rsidRPr="00B43A6C">
        <w:rPr>
          <w:rStyle w:val="QuoteChar"/>
          <w:i w:val="0"/>
          <w:iCs/>
          <w:color w:val="auto"/>
          <w:sz w:val="22"/>
          <w:szCs w:val="22"/>
        </w:rPr>
        <w:t>TAR</w:t>
      </w:r>
      <w:r w:rsidRPr="00B43A6C">
        <w:rPr>
          <w:rStyle w:val="QuoteChar"/>
          <w:rFonts w:eastAsiaTheme="minorEastAsia"/>
          <w:i w:val="0"/>
          <w:iCs/>
          <w:color w:val="auto"/>
          <w:sz w:val="22"/>
          <w:szCs w:val="22"/>
        </w:rPr>
        <w:t xml:space="preserve"> didn't work out for me very well. It's not that it </w:t>
      </w:r>
      <w:r w:rsidR="00B43A6C">
        <w:rPr>
          <w:rStyle w:val="QuoteChar"/>
          <w:rFonts w:eastAsiaTheme="minorEastAsia"/>
          <w:i w:val="0"/>
          <w:iCs/>
          <w:color w:val="auto"/>
          <w:sz w:val="22"/>
          <w:szCs w:val="22"/>
        </w:rPr>
        <w:t>is</w:t>
      </w:r>
      <w:r w:rsidR="00B43A6C" w:rsidRPr="00B43A6C">
        <w:rPr>
          <w:rStyle w:val="QuoteChar"/>
          <w:rFonts w:eastAsiaTheme="minorEastAsia"/>
          <w:i w:val="0"/>
          <w:iCs/>
          <w:color w:val="auto"/>
          <w:sz w:val="22"/>
          <w:szCs w:val="22"/>
        </w:rPr>
        <w:t xml:space="preserve"> </w:t>
      </w:r>
      <w:r w:rsidRPr="00B43A6C">
        <w:rPr>
          <w:rStyle w:val="QuoteChar"/>
          <w:rFonts w:eastAsiaTheme="minorEastAsia"/>
          <w:i w:val="0"/>
          <w:iCs/>
          <w:color w:val="auto"/>
          <w:sz w:val="22"/>
          <w:szCs w:val="22"/>
        </w:rPr>
        <w:t xml:space="preserve">a bad thing, it was more my ability to handle stress at the timeframe. </w:t>
      </w:r>
      <w:r w:rsidR="007A078F" w:rsidRPr="00B43A6C">
        <w:rPr>
          <w:rStyle w:val="QuoteChar"/>
          <w:rFonts w:eastAsiaTheme="minorEastAsia"/>
          <w:i w:val="0"/>
          <w:iCs/>
          <w:color w:val="auto"/>
          <w:sz w:val="22"/>
          <w:szCs w:val="22"/>
        </w:rPr>
        <w:t>[I] c</w:t>
      </w:r>
      <w:r w:rsidRPr="00B43A6C">
        <w:rPr>
          <w:rStyle w:val="QuoteChar"/>
          <w:rFonts w:eastAsiaTheme="minorEastAsia"/>
          <w:i w:val="0"/>
          <w:iCs/>
          <w:color w:val="auto"/>
          <w:sz w:val="22"/>
          <w:szCs w:val="22"/>
        </w:rPr>
        <w:t xml:space="preserve">ouldn't handle all of it at once, so my grades weren't showing what I could </w:t>
      </w:r>
      <w:proofErr w:type="gramStart"/>
      <w:r w:rsidRPr="00B43A6C">
        <w:rPr>
          <w:rStyle w:val="QuoteChar"/>
          <w:rFonts w:eastAsiaTheme="minorEastAsia"/>
          <w:i w:val="0"/>
          <w:iCs/>
          <w:color w:val="auto"/>
          <w:sz w:val="22"/>
          <w:szCs w:val="22"/>
        </w:rPr>
        <w:t>actually do</w:t>
      </w:r>
      <w:proofErr w:type="gramEnd"/>
      <w:r w:rsidRPr="00B43A6C">
        <w:rPr>
          <w:rStyle w:val="QuoteChar"/>
          <w:rFonts w:eastAsiaTheme="minorEastAsia"/>
          <w:i w:val="0"/>
          <w:iCs/>
          <w:color w:val="auto"/>
          <w:sz w:val="22"/>
          <w:szCs w:val="22"/>
        </w:rPr>
        <w:t>. [</w:t>
      </w:r>
      <w:r w:rsidR="007A078F" w:rsidRPr="00B43A6C">
        <w:rPr>
          <w:rStyle w:val="QuoteChar"/>
          <w:rFonts w:eastAsiaTheme="minorEastAsia"/>
          <w:i w:val="0"/>
          <w:iCs/>
          <w:color w:val="auto"/>
          <w:sz w:val="22"/>
          <w:szCs w:val="22"/>
        </w:rPr>
        <w:t>T</w:t>
      </w:r>
      <w:r w:rsidRPr="00B43A6C">
        <w:rPr>
          <w:rStyle w:val="QuoteChar"/>
          <w:rFonts w:eastAsiaTheme="minorEastAsia"/>
          <w:i w:val="0"/>
          <w:iCs/>
          <w:color w:val="auto"/>
          <w:sz w:val="22"/>
          <w:szCs w:val="22"/>
        </w:rPr>
        <w:t xml:space="preserve">he </w:t>
      </w:r>
      <w:r w:rsidR="576151D4" w:rsidRPr="00B43A6C">
        <w:rPr>
          <w:rStyle w:val="QuoteChar"/>
          <w:i w:val="0"/>
          <w:iCs/>
          <w:color w:val="auto"/>
          <w:sz w:val="22"/>
          <w:szCs w:val="22"/>
        </w:rPr>
        <w:t>ISEP</w:t>
      </w:r>
      <w:r w:rsidRPr="00B43A6C">
        <w:rPr>
          <w:rStyle w:val="QuoteChar"/>
          <w:rFonts w:eastAsiaTheme="minorEastAsia"/>
          <w:i w:val="0"/>
          <w:iCs/>
          <w:color w:val="auto"/>
          <w:sz w:val="22"/>
          <w:szCs w:val="22"/>
        </w:rPr>
        <w:t>] was a great program that still allowed me to show my performance level of work and get me through to university</w:t>
      </w:r>
      <w:r w:rsidR="00623DD1">
        <w:rPr>
          <w:rStyle w:val="QuoteChar"/>
          <w:rFonts w:eastAsiaTheme="minorEastAsia"/>
          <w:i w:val="0"/>
          <w:iCs/>
          <w:color w:val="auto"/>
          <w:sz w:val="22"/>
          <w:szCs w:val="22"/>
        </w:rPr>
        <w:t>.</w:t>
      </w:r>
      <w:r w:rsidRPr="007A078F">
        <w:rPr>
          <w:rFonts w:eastAsiaTheme="minorEastAsia"/>
          <w:szCs w:val="22"/>
        </w:rPr>
        <w:t xml:space="preserve"> </w:t>
      </w:r>
      <w:r w:rsidRPr="39F1A3D3">
        <w:rPr>
          <w:rFonts w:eastAsiaTheme="minorEastAsia"/>
          <w:szCs w:val="22"/>
        </w:rPr>
        <w:t>(</w:t>
      </w:r>
      <w:r w:rsidR="000D587B" w:rsidRPr="39F1A3D3">
        <w:rPr>
          <w:rFonts w:eastAsiaTheme="minorEastAsia"/>
          <w:szCs w:val="22"/>
        </w:rPr>
        <w:t>SI</w:t>
      </w:r>
      <w:r w:rsidRPr="39F1A3D3">
        <w:rPr>
          <w:rFonts w:eastAsiaTheme="minorEastAsia"/>
          <w:szCs w:val="22"/>
        </w:rPr>
        <w:t xml:space="preserve"> 003) </w:t>
      </w:r>
    </w:p>
    <w:p w14:paraId="6F3AA38A" w14:textId="69FF74E3" w:rsidR="00457C6B" w:rsidRPr="00457C6B" w:rsidRDefault="66BB1374" w:rsidP="00B43A6C">
      <w:pPr>
        <w:rPr>
          <w:szCs w:val="22"/>
        </w:rPr>
      </w:pPr>
      <w:r w:rsidRPr="39F1A3D3">
        <w:rPr>
          <w:rFonts w:eastAsiaTheme="minorEastAsia"/>
          <w:szCs w:val="22"/>
        </w:rPr>
        <w:t xml:space="preserve">Students had experienced subject failure or underperforming in ATAR subjects, </w:t>
      </w:r>
      <w:r w:rsidR="00F12438" w:rsidRPr="39F1A3D3">
        <w:rPr>
          <w:rFonts w:eastAsiaTheme="minorEastAsia"/>
          <w:szCs w:val="22"/>
        </w:rPr>
        <w:t>with</w:t>
      </w:r>
      <w:r w:rsidRPr="39F1A3D3">
        <w:rPr>
          <w:rFonts w:eastAsiaTheme="minorEastAsia"/>
          <w:szCs w:val="22"/>
        </w:rPr>
        <w:t xml:space="preserve"> some no longer </w:t>
      </w:r>
      <w:r w:rsidR="00F12438" w:rsidRPr="39F1A3D3">
        <w:rPr>
          <w:rFonts w:eastAsiaTheme="minorEastAsia"/>
          <w:szCs w:val="22"/>
        </w:rPr>
        <w:t>managing</w:t>
      </w:r>
      <w:r w:rsidRPr="39F1A3D3">
        <w:rPr>
          <w:rFonts w:eastAsiaTheme="minorEastAsia"/>
          <w:szCs w:val="22"/>
        </w:rPr>
        <w:t xml:space="preserve"> the “excess stress” (SI 002). </w:t>
      </w:r>
      <w:r w:rsidR="00AD5E30" w:rsidRPr="39F1A3D3">
        <w:rPr>
          <w:rFonts w:eastAsiaTheme="minorEastAsia"/>
          <w:szCs w:val="22"/>
        </w:rPr>
        <w:t>One</w:t>
      </w:r>
      <w:r w:rsidRPr="39F1A3D3">
        <w:rPr>
          <w:rFonts w:eastAsiaTheme="minorEastAsia"/>
          <w:szCs w:val="22"/>
        </w:rPr>
        <w:t xml:space="preserve"> student noted that when the</w:t>
      </w:r>
      <w:r w:rsidR="007A078F">
        <w:rPr>
          <w:rFonts w:eastAsiaTheme="minorEastAsia"/>
          <w:szCs w:val="22"/>
        </w:rPr>
        <w:t>ir</w:t>
      </w:r>
      <w:r w:rsidRPr="39F1A3D3">
        <w:rPr>
          <w:rFonts w:eastAsiaTheme="minorEastAsia"/>
          <w:szCs w:val="22"/>
        </w:rPr>
        <w:t xml:space="preserve"> teachers recognised their ATAR grades were not going well</w:t>
      </w:r>
      <w:r w:rsidR="00AD5E30" w:rsidRPr="39F1A3D3">
        <w:rPr>
          <w:rFonts w:eastAsiaTheme="minorEastAsia"/>
          <w:szCs w:val="22"/>
        </w:rPr>
        <w:t xml:space="preserve"> and they </w:t>
      </w:r>
      <w:r w:rsidR="005C1D9A" w:rsidRPr="39F1A3D3">
        <w:rPr>
          <w:rFonts w:eastAsiaTheme="minorEastAsia"/>
          <w:szCs w:val="22"/>
        </w:rPr>
        <w:t xml:space="preserve">were </w:t>
      </w:r>
      <w:r w:rsidR="00AD5E30" w:rsidRPr="39F1A3D3">
        <w:rPr>
          <w:rFonts w:eastAsiaTheme="minorEastAsia"/>
          <w:szCs w:val="22"/>
        </w:rPr>
        <w:t>struggling</w:t>
      </w:r>
      <w:r w:rsidR="00623DD1">
        <w:rPr>
          <w:rFonts w:eastAsiaTheme="minorEastAsia"/>
          <w:szCs w:val="22"/>
        </w:rPr>
        <w:t xml:space="preserve">, </w:t>
      </w:r>
      <w:r w:rsidR="008838EF" w:rsidRPr="00B43A6C">
        <w:rPr>
          <w:rStyle w:val="QuoteChar"/>
          <w:rFonts w:eastAsiaTheme="minorEastAsia"/>
          <w:i w:val="0"/>
          <w:iCs/>
          <w:color w:val="auto"/>
          <w:sz w:val="22"/>
          <w:szCs w:val="22"/>
        </w:rPr>
        <w:t>“</w:t>
      </w:r>
      <w:r w:rsidR="00623DD1">
        <w:rPr>
          <w:rStyle w:val="QuoteChar"/>
          <w:rFonts w:eastAsiaTheme="minorEastAsia"/>
          <w:i w:val="0"/>
          <w:iCs/>
          <w:color w:val="auto"/>
          <w:sz w:val="22"/>
          <w:szCs w:val="22"/>
        </w:rPr>
        <w:t>t</w:t>
      </w:r>
      <w:r w:rsidRPr="00B43A6C">
        <w:rPr>
          <w:rStyle w:val="QuoteChar"/>
          <w:rFonts w:eastAsiaTheme="minorEastAsia"/>
          <w:i w:val="0"/>
          <w:iCs/>
          <w:color w:val="auto"/>
          <w:sz w:val="22"/>
          <w:szCs w:val="22"/>
        </w:rPr>
        <w:t xml:space="preserve">hey </w:t>
      </w:r>
      <w:r w:rsidR="005C1D9A" w:rsidRPr="00B43A6C">
        <w:rPr>
          <w:rStyle w:val="QuoteChar"/>
          <w:rFonts w:eastAsiaTheme="minorEastAsia"/>
          <w:i w:val="0"/>
          <w:iCs/>
          <w:color w:val="auto"/>
          <w:sz w:val="22"/>
          <w:szCs w:val="22"/>
        </w:rPr>
        <w:t>[</w:t>
      </w:r>
      <w:r w:rsidR="00CB7A8F" w:rsidRPr="00B43A6C">
        <w:rPr>
          <w:rStyle w:val="QuoteChar"/>
          <w:rFonts w:eastAsiaTheme="minorEastAsia"/>
          <w:i w:val="0"/>
          <w:iCs/>
          <w:color w:val="auto"/>
          <w:sz w:val="22"/>
          <w:szCs w:val="22"/>
        </w:rPr>
        <w:t xml:space="preserve">a teacher] </w:t>
      </w:r>
      <w:r w:rsidRPr="00B43A6C">
        <w:rPr>
          <w:rStyle w:val="QuoteChar"/>
          <w:rFonts w:eastAsiaTheme="minorEastAsia"/>
          <w:i w:val="0"/>
          <w:iCs/>
          <w:color w:val="auto"/>
          <w:sz w:val="22"/>
          <w:szCs w:val="22"/>
        </w:rPr>
        <w:t xml:space="preserve">brought up the option of [the ISEP] as a program that my high school offered for me to participate in so I could continue my dream of going to </w:t>
      </w:r>
      <w:proofErr w:type="spellStart"/>
      <w:r w:rsidRPr="00B43A6C">
        <w:rPr>
          <w:rStyle w:val="QuoteChar"/>
          <w:rFonts w:eastAsiaTheme="minorEastAsia"/>
          <w:i w:val="0"/>
          <w:iCs/>
          <w:color w:val="auto"/>
          <w:sz w:val="22"/>
          <w:szCs w:val="22"/>
        </w:rPr>
        <w:t>uni</w:t>
      </w:r>
      <w:proofErr w:type="spellEnd"/>
      <w:r w:rsidR="008838EF" w:rsidRPr="00B43A6C">
        <w:rPr>
          <w:rStyle w:val="QuoteChar"/>
          <w:i w:val="0"/>
          <w:iCs/>
          <w:color w:val="auto"/>
          <w:sz w:val="22"/>
          <w:szCs w:val="22"/>
        </w:rPr>
        <w:t>”</w:t>
      </w:r>
      <w:r w:rsidR="00AD5E30" w:rsidRPr="00C473BD">
        <w:rPr>
          <w:rStyle w:val="QuoteChar"/>
          <w:color w:val="auto"/>
          <w:sz w:val="22"/>
          <w:szCs w:val="22"/>
        </w:rPr>
        <w:t xml:space="preserve"> </w:t>
      </w:r>
      <w:r w:rsidRPr="39F1A3D3">
        <w:rPr>
          <w:rFonts w:eastAsiaTheme="minorEastAsia"/>
          <w:szCs w:val="22"/>
        </w:rPr>
        <w:t>(SI 003).</w:t>
      </w:r>
    </w:p>
    <w:p w14:paraId="0770FA9E" w14:textId="08342094" w:rsidR="00B25F65" w:rsidRDefault="00AD5E30" w:rsidP="45B91BAB">
      <w:pPr>
        <w:rPr>
          <w:rFonts w:eastAsiaTheme="minorEastAsia"/>
          <w:szCs w:val="22"/>
        </w:rPr>
      </w:pPr>
      <w:r w:rsidRPr="39F1A3D3">
        <w:rPr>
          <w:rFonts w:eastAsiaTheme="minorEastAsia"/>
          <w:szCs w:val="22"/>
        </w:rPr>
        <w:t>All the responses highlighted how access to an ISEP facilitated university ambitions, after struggles with ATAR.</w:t>
      </w:r>
    </w:p>
    <w:p w14:paraId="1D890ED8" w14:textId="0F7F7435" w:rsidR="658F4599" w:rsidRDefault="202CF9A3" w:rsidP="45B91BAB">
      <w:pPr>
        <w:rPr>
          <w:rFonts w:eastAsiaTheme="minorEastAsia"/>
        </w:rPr>
      </w:pPr>
      <w:proofErr w:type="gramStart"/>
      <w:r w:rsidRPr="6710034E">
        <w:rPr>
          <w:rFonts w:eastAsiaTheme="minorEastAsia"/>
        </w:rPr>
        <w:t>Similar to</w:t>
      </w:r>
      <w:proofErr w:type="gramEnd"/>
      <w:r w:rsidRPr="6710034E">
        <w:rPr>
          <w:rFonts w:eastAsiaTheme="minorEastAsia"/>
        </w:rPr>
        <w:t xml:space="preserve"> </w:t>
      </w:r>
      <w:r w:rsidR="00B31889" w:rsidRPr="6710034E">
        <w:rPr>
          <w:rFonts w:eastAsiaTheme="minorEastAsia"/>
        </w:rPr>
        <w:t xml:space="preserve">the subthemes of </w:t>
      </w:r>
      <w:r w:rsidR="007A078F">
        <w:rPr>
          <w:rFonts w:eastAsiaTheme="minorEastAsia"/>
        </w:rPr>
        <w:t>“</w:t>
      </w:r>
      <w:r w:rsidR="007A078F">
        <w:rPr>
          <w:rFonts w:eastAsiaTheme="minorEastAsia"/>
          <w:iCs/>
        </w:rPr>
        <w:t>c</w:t>
      </w:r>
      <w:r w:rsidR="00B31889" w:rsidRPr="00C473BD">
        <w:rPr>
          <w:rFonts w:eastAsiaTheme="minorEastAsia"/>
          <w:iCs/>
        </w:rPr>
        <w:t xml:space="preserve">onfident </w:t>
      </w:r>
      <w:r w:rsidR="007A078F">
        <w:rPr>
          <w:rFonts w:eastAsiaTheme="minorEastAsia"/>
          <w:iCs/>
        </w:rPr>
        <w:t>p</w:t>
      </w:r>
      <w:r w:rsidR="00B31889" w:rsidRPr="00C473BD">
        <w:rPr>
          <w:rFonts w:eastAsiaTheme="minorEastAsia"/>
          <w:iCs/>
        </w:rPr>
        <w:t>athway</w:t>
      </w:r>
      <w:r w:rsidR="007A078F">
        <w:rPr>
          <w:rFonts w:eastAsiaTheme="minorEastAsia"/>
          <w:iCs/>
        </w:rPr>
        <w:t>”</w:t>
      </w:r>
      <w:r w:rsidR="00B31889" w:rsidRPr="4AE23816">
        <w:rPr>
          <w:rFonts w:eastAsiaTheme="minorEastAsia"/>
          <w:i/>
        </w:rPr>
        <w:t xml:space="preserve"> </w:t>
      </w:r>
      <w:r w:rsidR="00B31889" w:rsidRPr="6710034E">
        <w:rPr>
          <w:rFonts w:eastAsiaTheme="minorEastAsia"/>
        </w:rPr>
        <w:t xml:space="preserve">and </w:t>
      </w:r>
      <w:r w:rsidR="007A078F">
        <w:rPr>
          <w:rFonts w:eastAsiaTheme="minorEastAsia"/>
        </w:rPr>
        <w:t>“u</w:t>
      </w:r>
      <w:r w:rsidR="00145166" w:rsidRPr="00C473BD">
        <w:rPr>
          <w:rFonts w:eastAsiaTheme="minorEastAsia"/>
        </w:rPr>
        <w:t xml:space="preserve">nderstanding </w:t>
      </w:r>
      <w:r w:rsidR="007A078F">
        <w:rPr>
          <w:rFonts w:eastAsiaTheme="minorEastAsia"/>
        </w:rPr>
        <w:t>u</w:t>
      </w:r>
      <w:r w:rsidR="00145166" w:rsidRPr="00C473BD">
        <w:rPr>
          <w:rFonts w:eastAsiaTheme="minorEastAsia"/>
        </w:rPr>
        <w:t xml:space="preserve">niversity </w:t>
      </w:r>
      <w:r w:rsidR="007A078F">
        <w:rPr>
          <w:rFonts w:eastAsiaTheme="minorEastAsia"/>
        </w:rPr>
        <w:t>c</w:t>
      </w:r>
      <w:r w:rsidR="00145166" w:rsidRPr="00C473BD">
        <w:rPr>
          <w:rFonts w:eastAsiaTheme="minorEastAsia"/>
        </w:rPr>
        <w:t>ulture</w:t>
      </w:r>
      <w:r w:rsidR="007A078F">
        <w:rPr>
          <w:rFonts w:eastAsiaTheme="minorEastAsia"/>
        </w:rPr>
        <w:t>” identified</w:t>
      </w:r>
      <w:r w:rsidR="00145166" w:rsidRPr="4AE23816">
        <w:rPr>
          <w:rFonts w:eastAsiaTheme="minorEastAsia"/>
          <w:i/>
        </w:rPr>
        <w:t xml:space="preserve"> </w:t>
      </w:r>
      <w:r w:rsidR="00145166" w:rsidRPr="6710034E">
        <w:rPr>
          <w:rFonts w:eastAsiaTheme="minorEastAsia"/>
        </w:rPr>
        <w:t xml:space="preserve">in the survey thematic analysis of </w:t>
      </w:r>
      <w:r w:rsidR="007A078F">
        <w:rPr>
          <w:rFonts w:eastAsiaTheme="minorEastAsia"/>
        </w:rPr>
        <w:t>“</w:t>
      </w:r>
      <w:r w:rsidR="007A078F">
        <w:rPr>
          <w:rFonts w:eastAsiaTheme="minorEastAsia"/>
          <w:iCs/>
        </w:rPr>
        <w:t>a</w:t>
      </w:r>
      <w:r w:rsidR="00145166" w:rsidRPr="00C473BD">
        <w:rPr>
          <w:rFonts w:eastAsiaTheme="minorEastAsia"/>
          <w:iCs/>
        </w:rPr>
        <w:t xml:space="preserve"> </w:t>
      </w:r>
      <w:r w:rsidR="007A078F">
        <w:rPr>
          <w:rFonts w:eastAsiaTheme="minorEastAsia"/>
          <w:iCs/>
        </w:rPr>
        <w:t>f</w:t>
      </w:r>
      <w:r w:rsidR="00145166" w:rsidRPr="00C473BD">
        <w:rPr>
          <w:rFonts w:eastAsiaTheme="minorEastAsia"/>
          <w:iCs/>
        </w:rPr>
        <w:t xml:space="preserve">lourishing </w:t>
      </w:r>
      <w:r w:rsidR="007A078F">
        <w:rPr>
          <w:rFonts w:eastAsiaTheme="minorEastAsia"/>
          <w:iCs/>
        </w:rPr>
        <w:t>p</w:t>
      </w:r>
      <w:r w:rsidR="00145166" w:rsidRPr="00C473BD">
        <w:rPr>
          <w:rFonts w:eastAsiaTheme="minorEastAsia"/>
          <w:iCs/>
        </w:rPr>
        <w:t>athway</w:t>
      </w:r>
      <w:r w:rsidR="007A078F">
        <w:rPr>
          <w:rFonts w:eastAsiaTheme="minorEastAsia"/>
          <w:iCs/>
        </w:rPr>
        <w:t>”</w:t>
      </w:r>
      <w:r w:rsidR="480D88C0" w:rsidRPr="4AE23816">
        <w:rPr>
          <w:rFonts w:eastAsiaTheme="minorEastAsia"/>
          <w:i/>
          <w:iCs/>
        </w:rPr>
        <w:t xml:space="preserve">, </w:t>
      </w:r>
      <w:r w:rsidR="480D88C0" w:rsidRPr="4AE23816">
        <w:rPr>
          <w:rFonts w:eastAsiaTheme="minorEastAsia"/>
        </w:rPr>
        <w:t xml:space="preserve">themes of confidence and empowerment through skills developed emerged </w:t>
      </w:r>
      <w:r w:rsidR="00275873">
        <w:rPr>
          <w:rFonts w:eastAsiaTheme="minorEastAsia"/>
        </w:rPr>
        <w:t>during the</w:t>
      </w:r>
      <w:r w:rsidR="480D88C0" w:rsidRPr="4AE23816">
        <w:rPr>
          <w:rFonts w:eastAsiaTheme="minorEastAsia"/>
        </w:rPr>
        <w:t xml:space="preserve"> interviews</w:t>
      </w:r>
      <w:r w:rsidR="00145166" w:rsidRPr="4AE23816">
        <w:rPr>
          <w:rFonts w:eastAsiaTheme="minorEastAsia"/>
        </w:rPr>
        <w:t>.</w:t>
      </w:r>
      <w:r w:rsidR="00145166" w:rsidRPr="6710034E">
        <w:rPr>
          <w:rFonts w:eastAsiaTheme="minorEastAsia"/>
        </w:rPr>
        <w:t xml:space="preserve"> In the theme of </w:t>
      </w:r>
      <w:r w:rsidR="00275873">
        <w:rPr>
          <w:iCs/>
        </w:rPr>
        <w:t>“a</w:t>
      </w:r>
      <w:r w:rsidR="00145166" w:rsidRPr="00C473BD">
        <w:rPr>
          <w:iCs/>
        </w:rPr>
        <w:t xml:space="preserve">cademic </w:t>
      </w:r>
      <w:r w:rsidR="00275873">
        <w:rPr>
          <w:iCs/>
        </w:rPr>
        <w:t>s</w:t>
      </w:r>
      <w:r w:rsidR="00145166" w:rsidRPr="00C473BD">
        <w:rPr>
          <w:iCs/>
        </w:rPr>
        <w:t xml:space="preserve">kill and </w:t>
      </w:r>
      <w:r w:rsidR="00275873">
        <w:rPr>
          <w:iCs/>
        </w:rPr>
        <w:t>k</w:t>
      </w:r>
      <w:r w:rsidR="00145166" w:rsidRPr="00C473BD">
        <w:rPr>
          <w:iCs/>
        </w:rPr>
        <w:t xml:space="preserve">nowledge </w:t>
      </w:r>
      <w:r w:rsidR="00275873">
        <w:rPr>
          <w:iCs/>
        </w:rPr>
        <w:t>d</w:t>
      </w:r>
      <w:r w:rsidR="00145166" w:rsidRPr="00C473BD">
        <w:rPr>
          <w:iCs/>
        </w:rPr>
        <w:t>evelopment</w:t>
      </w:r>
      <w:r w:rsidR="00275873">
        <w:rPr>
          <w:iCs/>
        </w:rPr>
        <w:t>”,</w:t>
      </w:r>
      <w:r w:rsidR="00145166" w:rsidRPr="6710034E">
        <w:rPr>
          <w:rFonts w:eastAsiaTheme="minorEastAsia"/>
        </w:rPr>
        <w:t xml:space="preserve"> students</w:t>
      </w:r>
      <w:r w:rsidR="00B31889" w:rsidRPr="6710034E">
        <w:rPr>
          <w:rFonts w:eastAsiaTheme="minorEastAsia"/>
        </w:rPr>
        <w:t xml:space="preserve"> </w:t>
      </w:r>
      <w:r w:rsidR="00B25F65" w:rsidRPr="6710034E">
        <w:rPr>
          <w:rFonts w:eastAsiaTheme="minorEastAsia"/>
        </w:rPr>
        <w:t>noted</w:t>
      </w:r>
      <w:r w:rsidRPr="6710034E">
        <w:rPr>
          <w:rFonts w:eastAsiaTheme="minorEastAsia"/>
        </w:rPr>
        <w:t xml:space="preserve"> </w:t>
      </w:r>
      <w:r w:rsidR="008405C1" w:rsidRPr="6710034E">
        <w:rPr>
          <w:rFonts w:eastAsiaTheme="minorEastAsia"/>
        </w:rPr>
        <w:t>that</w:t>
      </w:r>
      <w:r w:rsidR="00145166" w:rsidRPr="6710034E">
        <w:rPr>
          <w:rFonts w:eastAsiaTheme="minorEastAsia"/>
        </w:rPr>
        <w:t xml:space="preserve"> the ISEP </w:t>
      </w:r>
      <w:r w:rsidR="008405C1" w:rsidRPr="6710034E">
        <w:rPr>
          <w:rFonts w:eastAsiaTheme="minorEastAsia"/>
        </w:rPr>
        <w:t>developed practical abilities</w:t>
      </w:r>
      <w:r w:rsidR="00275873">
        <w:rPr>
          <w:rFonts w:eastAsiaTheme="minorEastAsia"/>
        </w:rPr>
        <w:t>,</w:t>
      </w:r>
      <w:r w:rsidR="008405C1" w:rsidRPr="6710034E">
        <w:rPr>
          <w:rFonts w:eastAsiaTheme="minorEastAsia"/>
        </w:rPr>
        <w:t xml:space="preserve"> </w:t>
      </w:r>
      <w:r w:rsidR="00FD7458" w:rsidRPr="6710034E">
        <w:rPr>
          <w:rFonts w:eastAsiaTheme="minorEastAsia"/>
        </w:rPr>
        <w:t xml:space="preserve">particularly </w:t>
      </w:r>
      <w:r w:rsidR="008405C1" w:rsidRPr="6710034E">
        <w:rPr>
          <w:rFonts w:eastAsiaTheme="minorEastAsia"/>
        </w:rPr>
        <w:t xml:space="preserve">in </w:t>
      </w:r>
      <w:r w:rsidR="00FD7458" w:rsidRPr="6710034E">
        <w:rPr>
          <w:rFonts w:eastAsiaTheme="minorEastAsia"/>
        </w:rPr>
        <w:t>referencing, academic writing, and research, as well as independent learning and time</w:t>
      </w:r>
      <w:r w:rsidR="00275873">
        <w:rPr>
          <w:rFonts w:eastAsiaTheme="minorEastAsia"/>
        </w:rPr>
        <w:t xml:space="preserve"> </w:t>
      </w:r>
      <w:r w:rsidR="00FD7458" w:rsidRPr="6710034E">
        <w:rPr>
          <w:rFonts w:eastAsiaTheme="minorEastAsia"/>
        </w:rPr>
        <w:t>management skills</w:t>
      </w:r>
      <w:r w:rsidR="00226C45" w:rsidRPr="6710034E">
        <w:rPr>
          <w:rFonts w:eastAsiaTheme="minorEastAsia"/>
        </w:rPr>
        <w:t xml:space="preserve">, which gave them confidence in their abilities to </w:t>
      </w:r>
      <w:r w:rsidR="005D671E" w:rsidRPr="6710034E">
        <w:rPr>
          <w:rFonts w:eastAsiaTheme="minorEastAsia"/>
        </w:rPr>
        <w:t>be successful at university</w:t>
      </w:r>
      <w:r w:rsidR="00FD7458" w:rsidRPr="6710034E">
        <w:rPr>
          <w:rFonts w:eastAsiaTheme="minorEastAsia"/>
        </w:rPr>
        <w:t xml:space="preserve">. </w:t>
      </w:r>
      <w:r w:rsidR="00BD224B" w:rsidRPr="6710034E">
        <w:rPr>
          <w:rFonts w:eastAsiaTheme="minorEastAsia"/>
        </w:rPr>
        <w:t xml:space="preserve">Understanding university </w:t>
      </w:r>
      <w:r w:rsidR="00623DD1">
        <w:rPr>
          <w:rFonts w:eastAsiaTheme="minorEastAsia"/>
        </w:rPr>
        <w:t>a</w:t>
      </w:r>
      <w:r w:rsidR="00BD224B" w:rsidRPr="6710034E">
        <w:rPr>
          <w:rFonts w:eastAsiaTheme="minorEastAsia"/>
        </w:rPr>
        <w:t xml:space="preserve">ssignment “structure” and level of essay writing were highlighted as important to their progression (SI 001, </w:t>
      </w:r>
      <w:r w:rsidR="00BD224B" w:rsidRPr="406EF581">
        <w:rPr>
          <w:rFonts w:eastAsiaTheme="minorEastAsia"/>
        </w:rPr>
        <w:t>SI</w:t>
      </w:r>
      <w:r w:rsidR="3370F57E" w:rsidRPr="406EF581">
        <w:rPr>
          <w:rFonts w:eastAsiaTheme="minorEastAsia"/>
        </w:rPr>
        <w:t xml:space="preserve"> </w:t>
      </w:r>
      <w:r w:rsidR="00BD224B" w:rsidRPr="406EF581">
        <w:rPr>
          <w:rFonts w:eastAsiaTheme="minorEastAsia"/>
        </w:rPr>
        <w:t>002, SI</w:t>
      </w:r>
      <w:r w:rsidR="3595BB1D" w:rsidRPr="406EF581">
        <w:rPr>
          <w:rFonts w:eastAsiaTheme="minorEastAsia"/>
        </w:rPr>
        <w:t xml:space="preserve"> </w:t>
      </w:r>
      <w:r w:rsidR="00BD224B" w:rsidRPr="406EF581">
        <w:rPr>
          <w:rFonts w:eastAsiaTheme="minorEastAsia"/>
        </w:rPr>
        <w:t>003).</w:t>
      </w:r>
      <w:r w:rsidR="00BD224B" w:rsidRPr="6710034E">
        <w:rPr>
          <w:rFonts w:eastAsiaTheme="minorEastAsia"/>
        </w:rPr>
        <w:t xml:space="preserve"> T</w:t>
      </w:r>
      <w:r w:rsidR="008405C1" w:rsidRPr="6710034E">
        <w:rPr>
          <w:rFonts w:eastAsiaTheme="minorEastAsia"/>
        </w:rPr>
        <w:t>he</w:t>
      </w:r>
      <w:r w:rsidR="00A06308" w:rsidRPr="6710034E">
        <w:rPr>
          <w:rFonts w:eastAsiaTheme="minorEastAsia"/>
        </w:rPr>
        <w:t xml:space="preserve"> skills of</w:t>
      </w:r>
      <w:r w:rsidR="008405C1" w:rsidRPr="6710034E">
        <w:rPr>
          <w:rFonts w:eastAsiaTheme="minorEastAsia"/>
        </w:rPr>
        <w:t xml:space="preserve"> referencing, like </w:t>
      </w:r>
      <w:r w:rsidR="00A03334" w:rsidRPr="6710034E">
        <w:rPr>
          <w:rFonts w:eastAsiaTheme="minorEastAsia"/>
        </w:rPr>
        <w:t>in</w:t>
      </w:r>
      <w:r w:rsidR="008405C1" w:rsidRPr="6710034E">
        <w:rPr>
          <w:rFonts w:eastAsiaTheme="minorEastAsia"/>
        </w:rPr>
        <w:t xml:space="preserve"> survey</w:t>
      </w:r>
      <w:r w:rsidR="00A03334" w:rsidRPr="6710034E">
        <w:rPr>
          <w:rFonts w:eastAsiaTheme="minorEastAsia"/>
        </w:rPr>
        <w:t xml:space="preserve"> responses</w:t>
      </w:r>
      <w:r w:rsidR="008405C1" w:rsidRPr="6710034E">
        <w:rPr>
          <w:rFonts w:eastAsiaTheme="minorEastAsia"/>
        </w:rPr>
        <w:t xml:space="preserve">, was </w:t>
      </w:r>
      <w:r w:rsidR="00A06308" w:rsidRPr="6710034E">
        <w:rPr>
          <w:rFonts w:eastAsiaTheme="minorEastAsia"/>
        </w:rPr>
        <w:t xml:space="preserve">repeatedly </w:t>
      </w:r>
      <w:r w:rsidR="00AC0B2E" w:rsidRPr="6710034E">
        <w:rPr>
          <w:rFonts w:eastAsiaTheme="minorEastAsia"/>
        </w:rPr>
        <w:t>commented on</w:t>
      </w:r>
      <w:r w:rsidR="007E6792" w:rsidRPr="6710034E">
        <w:rPr>
          <w:rFonts w:eastAsiaTheme="minorEastAsia"/>
        </w:rPr>
        <w:t xml:space="preserve">. </w:t>
      </w:r>
      <w:r w:rsidR="4A948563" w:rsidRPr="6710034E">
        <w:rPr>
          <w:rFonts w:eastAsiaTheme="minorEastAsia"/>
        </w:rPr>
        <w:t xml:space="preserve">One </w:t>
      </w:r>
      <w:r w:rsidR="6F97C2E9" w:rsidRPr="6710034E">
        <w:rPr>
          <w:rFonts w:eastAsiaTheme="minorEastAsia"/>
        </w:rPr>
        <w:t>student</w:t>
      </w:r>
      <w:r w:rsidR="4A948563" w:rsidRPr="6710034E">
        <w:rPr>
          <w:rFonts w:eastAsiaTheme="minorEastAsia"/>
        </w:rPr>
        <w:t xml:space="preserve"> noted:</w:t>
      </w:r>
    </w:p>
    <w:p w14:paraId="0FD03836" w14:textId="7D171E5B" w:rsidR="658F4599" w:rsidRPr="00457C6B" w:rsidRDefault="4A948563" w:rsidP="00CB7A8F">
      <w:pPr>
        <w:ind w:left="567" w:right="567"/>
        <w:rPr>
          <w:i/>
          <w:color w:val="7B4158" w:themeColor="text2" w:themeTint="BF"/>
          <w:szCs w:val="22"/>
        </w:rPr>
      </w:pPr>
      <w:r w:rsidRPr="00B43A6C">
        <w:rPr>
          <w:rFonts w:eastAsiaTheme="minorEastAsia"/>
          <w:iCs/>
          <w:szCs w:val="22"/>
        </w:rPr>
        <w:t>I really like how much they focus on referencing in the enabling program</w:t>
      </w:r>
      <w:r w:rsidR="00275873" w:rsidRPr="00B43A6C">
        <w:rPr>
          <w:rFonts w:eastAsiaTheme="minorEastAsia"/>
          <w:iCs/>
          <w:szCs w:val="22"/>
        </w:rPr>
        <w:t>,</w:t>
      </w:r>
      <w:r w:rsidRPr="00B43A6C">
        <w:rPr>
          <w:rFonts w:eastAsiaTheme="minorEastAsia"/>
          <w:iCs/>
          <w:szCs w:val="22"/>
        </w:rPr>
        <w:t xml:space="preserve"> because a lot of people who I talked to had just come out of high school </w:t>
      </w:r>
      <w:r w:rsidR="00275873" w:rsidRPr="00B43A6C">
        <w:rPr>
          <w:rFonts w:eastAsiaTheme="minorEastAsia"/>
          <w:iCs/>
          <w:szCs w:val="22"/>
        </w:rPr>
        <w:t>[and]</w:t>
      </w:r>
      <w:r w:rsidRPr="00B43A6C">
        <w:rPr>
          <w:rFonts w:eastAsiaTheme="minorEastAsia"/>
          <w:iCs/>
          <w:szCs w:val="22"/>
        </w:rPr>
        <w:t xml:space="preserve"> had no idea with a lot of that stuff</w:t>
      </w:r>
      <w:r w:rsidR="00623DD1">
        <w:rPr>
          <w:rFonts w:eastAsiaTheme="minorEastAsia"/>
          <w:iCs/>
          <w:szCs w:val="22"/>
        </w:rPr>
        <w:t xml:space="preserve"> </w:t>
      </w:r>
      <w:r w:rsidRPr="00B43A6C">
        <w:rPr>
          <w:rFonts w:eastAsiaTheme="minorEastAsia"/>
          <w:iCs/>
          <w:szCs w:val="22"/>
        </w:rPr>
        <w:t>…</w:t>
      </w:r>
      <w:r w:rsidR="00623DD1">
        <w:rPr>
          <w:rFonts w:eastAsiaTheme="minorEastAsia"/>
          <w:iCs/>
          <w:szCs w:val="22"/>
        </w:rPr>
        <w:t xml:space="preserve"> </w:t>
      </w:r>
      <w:r w:rsidRPr="00B43A6C">
        <w:rPr>
          <w:rFonts w:eastAsiaTheme="minorEastAsia"/>
          <w:iCs/>
          <w:szCs w:val="22"/>
        </w:rPr>
        <w:t>I think the enabling programming gave me a lot more confidence to start university.</w:t>
      </w:r>
      <w:r w:rsidR="61E2713E" w:rsidRPr="00C473BD">
        <w:rPr>
          <w:rFonts w:eastAsiaTheme="minorEastAsia"/>
          <w:i/>
          <w:szCs w:val="22"/>
        </w:rPr>
        <w:t xml:space="preserve"> </w:t>
      </w:r>
      <w:r w:rsidR="61E2713E" w:rsidRPr="39F1A3D3">
        <w:rPr>
          <w:rFonts w:eastAsiaTheme="minorEastAsia"/>
          <w:color w:val="351C26" w:themeColor="text2"/>
          <w:szCs w:val="22"/>
        </w:rPr>
        <w:t>(SI 005)</w:t>
      </w:r>
      <w:r w:rsidR="7A74A12B" w:rsidRPr="39F1A3D3">
        <w:rPr>
          <w:i/>
          <w:color w:val="351C26" w:themeColor="text2"/>
          <w:szCs w:val="22"/>
        </w:rPr>
        <w:t xml:space="preserve"> </w:t>
      </w:r>
    </w:p>
    <w:p w14:paraId="2FE30DEA" w14:textId="2536ABC5" w:rsidR="658F4599" w:rsidRDefault="7A74A12B" w:rsidP="45B91BAB">
      <w:pPr>
        <w:rPr>
          <w:rFonts w:eastAsia="Arial"/>
          <w:color w:val="000000"/>
          <w:szCs w:val="22"/>
          <w:lang w:val="en-US"/>
        </w:rPr>
      </w:pPr>
      <w:r w:rsidRPr="39F1A3D3">
        <w:rPr>
          <w:szCs w:val="22"/>
        </w:rPr>
        <w:t xml:space="preserve">Many </w:t>
      </w:r>
      <w:r w:rsidR="7592D0F3" w:rsidRPr="39F1A3D3">
        <w:rPr>
          <w:szCs w:val="22"/>
        </w:rPr>
        <w:t>respon</w:t>
      </w:r>
      <w:r w:rsidR="00275873">
        <w:rPr>
          <w:szCs w:val="22"/>
        </w:rPr>
        <w:t>dents</w:t>
      </w:r>
      <w:r w:rsidR="7592D0F3" w:rsidRPr="39F1A3D3">
        <w:rPr>
          <w:szCs w:val="22"/>
        </w:rPr>
        <w:t xml:space="preserve"> similarly noted </w:t>
      </w:r>
      <w:r w:rsidRPr="39F1A3D3">
        <w:rPr>
          <w:szCs w:val="22"/>
        </w:rPr>
        <w:t>that</w:t>
      </w:r>
      <w:r w:rsidR="0D7DC651" w:rsidRPr="39F1A3D3">
        <w:rPr>
          <w:szCs w:val="22"/>
        </w:rPr>
        <w:t xml:space="preserve"> the skills and knowledge learned in the</w:t>
      </w:r>
      <w:r w:rsidRPr="39F1A3D3">
        <w:rPr>
          <w:szCs w:val="22"/>
        </w:rPr>
        <w:t xml:space="preserve"> </w:t>
      </w:r>
      <w:r w:rsidR="4D97DA1B" w:rsidRPr="39F1A3D3">
        <w:rPr>
          <w:szCs w:val="22"/>
        </w:rPr>
        <w:t>ISEP</w:t>
      </w:r>
      <w:r w:rsidRPr="39F1A3D3">
        <w:rPr>
          <w:szCs w:val="22"/>
        </w:rPr>
        <w:t xml:space="preserve"> positioned them ahead of peers who had not undertaken </w:t>
      </w:r>
      <w:r w:rsidR="00AE5262">
        <w:rPr>
          <w:szCs w:val="22"/>
        </w:rPr>
        <w:t>a</w:t>
      </w:r>
      <w:r w:rsidRPr="39F1A3D3">
        <w:rPr>
          <w:szCs w:val="22"/>
        </w:rPr>
        <w:t xml:space="preserve"> program,</w:t>
      </w:r>
      <w:r w:rsidRPr="39F1A3D3">
        <w:rPr>
          <w:rFonts w:eastAsia="Arial"/>
          <w:color w:val="000000"/>
          <w:szCs w:val="22"/>
        </w:rPr>
        <w:t xml:space="preserve"> as one student expressed:</w:t>
      </w:r>
    </w:p>
    <w:p w14:paraId="5CE403A4" w14:textId="2898B83C" w:rsidR="658F4599" w:rsidRPr="00457C6B" w:rsidRDefault="7A74A12B" w:rsidP="002A7B46">
      <w:pPr>
        <w:ind w:left="567" w:right="567"/>
        <w:rPr>
          <w:szCs w:val="22"/>
        </w:rPr>
      </w:pPr>
      <w:r w:rsidRPr="00B43A6C">
        <w:rPr>
          <w:rFonts w:eastAsia="Arial"/>
          <w:iCs/>
          <w:szCs w:val="22"/>
        </w:rPr>
        <w:t xml:space="preserve">It </w:t>
      </w:r>
      <w:proofErr w:type="gramStart"/>
      <w:r w:rsidRPr="00B43A6C">
        <w:rPr>
          <w:rFonts w:eastAsia="Arial"/>
          <w:iCs/>
          <w:szCs w:val="22"/>
        </w:rPr>
        <w:t>definitely felt</w:t>
      </w:r>
      <w:proofErr w:type="gramEnd"/>
      <w:r w:rsidRPr="00B43A6C">
        <w:rPr>
          <w:rFonts w:eastAsia="Arial"/>
          <w:iCs/>
          <w:szCs w:val="22"/>
        </w:rPr>
        <w:t xml:space="preserve"> like I had a bit of a step up</w:t>
      </w:r>
      <w:r w:rsidR="00623DD1">
        <w:rPr>
          <w:rFonts w:eastAsia="Arial"/>
          <w:iCs/>
          <w:szCs w:val="22"/>
        </w:rPr>
        <w:t xml:space="preserve"> </w:t>
      </w:r>
      <w:r w:rsidRPr="00B43A6C">
        <w:rPr>
          <w:rFonts w:eastAsia="Arial"/>
          <w:iCs/>
          <w:szCs w:val="22"/>
        </w:rPr>
        <w:t>…</w:t>
      </w:r>
      <w:r w:rsidR="00623DD1">
        <w:rPr>
          <w:rFonts w:eastAsia="Arial"/>
          <w:iCs/>
          <w:szCs w:val="22"/>
        </w:rPr>
        <w:t xml:space="preserve"> </w:t>
      </w:r>
      <w:r w:rsidRPr="00B43A6C">
        <w:rPr>
          <w:rFonts w:eastAsia="Arial"/>
          <w:iCs/>
          <w:szCs w:val="22"/>
        </w:rPr>
        <w:t>compared to those who didn’t maybe do a bridging program</w:t>
      </w:r>
      <w:r w:rsidR="00AE5262" w:rsidRPr="00B43A6C">
        <w:rPr>
          <w:rFonts w:eastAsia="Arial"/>
          <w:iCs/>
          <w:szCs w:val="22"/>
        </w:rPr>
        <w:t>,</w:t>
      </w:r>
      <w:r w:rsidRPr="00B43A6C">
        <w:rPr>
          <w:rFonts w:eastAsia="Arial"/>
          <w:iCs/>
          <w:szCs w:val="22"/>
        </w:rPr>
        <w:t xml:space="preserve"> having that prior knowledge</w:t>
      </w:r>
      <w:r w:rsidR="00AE5262" w:rsidRPr="00B43A6C">
        <w:rPr>
          <w:rFonts w:eastAsia="Arial"/>
          <w:iCs/>
          <w:szCs w:val="22"/>
        </w:rPr>
        <w:t>,</w:t>
      </w:r>
      <w:r w:rsidRPr="00B43A6C">
        <w:rPr>
          <w:rFonts w:eastAsia="Arial"/>
          <w:iCs/>
          <w:szCs w:val="22"/>
        </w:rPr>
        <w:t xml:space="preserve"> because</w:t>
      </w:r>
      <w:r w:rsidR="00623DD1">
        <w:rPr>
          <w:rFonts w:eastAsia="Arial"/>
          <w:iCs/>
          <w:szCs w:val="22"/>
        </w:rPr>
        <w:t xml:space="preserve"> </w:t>
      </w:r>
      <w:r w:rsidR="00AE5262" w:rsidRPr="00B43A6C">
        <w:rPr>
          <w:rFonts w:eastAsia="Arial"/>
          <w:iCs/>
          <w:szCs w:val="22"/>
        </w:rPr>
        <w:t>…</w:t>
      </w:r>
      <w:r w:rsidR="00623DD1">
        <w:rPr>
          <w:rFonts w:eastAsia="Arial"/>
          <w:iCs/>
          <w:szCs w:val="22"/>
        </w:rPr>
        <w:t xml:space="preserve"> </w:t>
      </w:r>
      <w:r w:rsidRPr="00B43A6C">
        <w:rPr>
          <w:rFonts w:eastAsia="Arial"/>
          <w:iCs/>
          <w:szCs w:val="22"/>
        </w:rPr>
        <w:t xml:space="preserve">going into that first year of </w:t>
      </w:r>
      <w:proofErr w:type="spellStart"/>
      <w:r w:rsidR="00AE5262" w:rsidRPr="00B43A6C">
        <w:rPr>
          <w:rFonts w:eastAsia="Arial"/>
          <w:iCs/>
          <w:szCs w:val="22"/>
        </w:rPr>
        <w:t>u</w:t>
      </w:r>
      <w:r w:rsidRPr="00B43A6C">
        <w:rPr>
          <w:rFonts w:eastAsia="Arial"/>
          <w:iCs/>
          <w:szCs w:val="22"/>
        </w:rPr>
        <w:t>ni</w:t>
      </w:r>
      <w:proofErr w:type="spellEnd"/>
      <w:r w:rsidR="00AE5262" w:rsidRPr="00B43A6C">
        <w:rPr>
          <w:rFonts w:eastAsia="Arial"/>
          <w:iCs/>
          <w:szCs w:val="22"/>
        </w:rPr>
        <w:t>,</w:t>
      </w:r>
      <w:r w:rsidRPr="00B43A6C">
        <w:rPr>
          <w:rFonts w:eastAsia="Arial"/>
          <w:iCs/>
          <w:szCs w:val="22"/>
        </w:rPr>
        <w:t xml:space="preserve"> I had knowledge, I had information that others around me might not</w:t>
      </w:r>
      <w:r w:rsidR="00AD5E30" w:rsidRPr="00B43A6C">
        <w:rPr>
          <w:rFonts w:eastAsia="Arial"/>
          <w:iCs/>
          <w:szCs w:val="22"/>
        </w:rPr>
        <w:t>.</w:t>
      </w:r>
      <w:r w:rsidRPr="00C473BD">
        <w:rPr>
          <w:rFonts w:eastAsia="Arial"/>
          <w:szCs w:val="22"/>
        </w:rPr>
        <w:t xml:space="preserve"> </w:t>
      </w:r>
      <w:r w:rsidRPr="39F1A3D3">
        <w:rPr>
          <w:rFonts w:eastAsia="Arial"/>
          <w:color w:val="000000"/>
          <w:szCs w:val="22"/>
        </w:rPr>
        <w:t>(SI</w:t>
      </w:r>
      <w:r w:rsidR="52737039" w:rsidRPr="39F1A3D3">
        <w:rPr>
          <w:rFonts w:eastAsia="Arial"/>
          <w:color w:val="000000"/>
          <w:szCs w:val="22"/>
        </w:rPr>
        <w:t xml:space="preserve"> </w:t>
      </w:r>
      <w:r w:rsidRPr="39F1A3D3">
        <w:rPr>
          <w:rFonts w:eastAsia="Arial"/>
          <w:color w:val="000000"/>
          <w:szCs w:val="22"/>
        </w:rPr>
        <w:t>003)</w:t>
      </w:r>
    </w:p>
    <w:p w14:paraId="0B4AA33F" w14:textId="306794CD" w:rsidR="00B14887" w:rsidRDefault="4BE4C884" w:rsidP="45B91BAB">
      <w:pPr>
        <w:rPr>
          <w:rFonts w:eastAsiaTheme="minorEastAsia"/>
        </w:rPr>
      </w:pPr>
      <w:r w:rsidRPr="39F1A3D3">
        <w:rPr>
          <w:rFonts w:eastAsia="Arial"/>
        </w:rPr>
        <w:t xml:space="preserve">The interviews </w:t>
      </w:r>
      <w:r w:rsidR="0079679E">
        <w:rPr>
          <w:rFonts w:eastAsia="Arial"/>
        </w:rPr>
        <w:t>reinforced</w:t>
      </w:r>
      <w:r w:rsidR="00106652">
        <w:rPr>
          <w:rFonts w:eastAsia="Arial"/>
        </w:rPr>
        <w:t xml:space="preserve"> the </w:t>
      </w:r>
      <w:r w:rsidR="00106652" w:rsidRPr="39F1A3D3">
        <w:rPr>
          <w:rFonts w:eastAsia="Arial"/>
        </w:rPr>
        <w:t xml:space="preserve">quantitative and qualitative findings </w:t>
      </w:r>
      <w:r w:rsidR="00665E06">
        <w:rPr>
          <w:rFonts w:eastAsia="Arial"/>
        </w:rPr>
        <w:t>from</w:t>
      </w:r>
      <w:r w:rsidR="00106652" w:rsidRPr="39F1A3D3">
        <w:rPr>
          <w:rFonts w:eastAsia="Arial"/>
        </w:rPr>
        <w:t xml:space="preserve"> the surveys</w:t>
      </w:r>
      <w:r w:rsidR="004C147C">
        <w:rPr>
          <w:rFonts w:eastAsia="Arial"/>
        </w:rPr>
        <w:t>,</w:t>
      </w:r>
      <w:r w:rsidR="00623DD1">
        <w:rPr>
          <w:rFonts w:eastAsia="Arial"/>
        </w:rPr>
        <w:t xml:space="preserve"> </w:t>
      </w:r>
      <w:r w:rsidR="009E2DA1">
        <w:rPr>
          <w:rFonts w:eastAsia="Arial"/>
        </w:rPr>
        <w:t>namely</w:t>
      </w:r>
      <w:r w:rsidR="00106652">
        <w:rPr>
          <w:rFonts w:eastAsia="Arial"/>
        </w:rPr>
        <w:t xml:space="preserve"> </w:t>
      </w:r>
      <w:r w:rsidR="00106652" w:rsidRPr="39F1A3D3">
        <w:rPr>
          <w:rFonts w:eastAsia="Arial"/>
        </w:rPr>
        <w:t>that students felt the</w:t>
      </w:r>
      <w:r w:rsidRPr="39F1A3D3">
        <w:rPr>
          <w:rFonts w:eastAsia="Arial"/>
        </w:rPr>
        <w:t xml:space="preserve"> </w:t>
      </w:r>
      <w:r w:rsidR="00AD5E30" w:rsidRPr="39F1A3D3">
        <w:rPr>
          <w:rFonts w:eastAsia="Arial"/>
        </w:rPr>
        <w:t xml:space="preserve">academic </w:t>
      </w:r>
      <w:r w:rsidRPr="39F1A3D3">
        <w:rPr>
          <w:rFonts w:eastAsia="Arial"/>
        </w:rPr>
        <w:t xml:space="preserve">skills and knowledge, as well as </w:t>
      </w:r>
      <w:r w:rsidR="0098765E">
        <w:rPr>
          <w:rFonts w:eastAsia="Arial"/>
        </w:rPr>
        <w:t xml:space="preserve">the </w:t>
      </w:r>
      <w:r w:rsidR="001B23BC" w:rsidRPr="39F1A3D3">
        <w:rPr>
          <w:rFonts w:eastAsia="Arial"/>
        </w:rPr>
        <w:t>familiarisation</w:t>
      </w:r>
      <w:r w:rsidR="00344961" w:rsidRPr="39F1A3D3">
        <w:rPr>
          <w:rFonts w:eastAsia="Arial"/>
        </w:rPr>
        <w:t xml:space="preserve"> </w:t>
      </w:r>
      <w:r w:rsidR="00106652" w:rsidRPr="39F1A3D3">
        <w:rPr>
          <w:rFonts w:eastAsia="Arial"/>
        </w:rPr>
        <w:t>with</w:t>
      </w:r>
      <w:r w:rsidR="00344961" w:rsidRPr="39F1A3D3">
        <w:rPr>
          <w:rFonts w:eastAsia="Arial"/>
        </w:rPr>
        <w:t xml:space="preserve"> </w:t>
      </w:r>
      <w:r w:rsidR="005F68B0" w:rsidRPr="39F1A3D3">
        <w:rPr>
          <w:rFonts w:eastAsia="Arial"/>
        </w:rPr>
        <w:lastRenderedPageBreak/>
        <w:t>university systems</w:t>
      </w:r>
      <w:r w:rsidR="0098765E">
        <w:rPr>
          <w:rFonts w:eastAsia="Arial"/>
        </w:rPr>
        <w:t>,</w:t>
      </w:r>
      <w:r w:rsidR="00106652" w:rsidRPr="39F1A3D3">
        <w:rPr>
          <w:rFonts w:eastAsia="Arial"/>
        </w:rPr>
        <w:t xml:space="preserve"> </w:t>
      </w:r>
      <w:r w:rsidR="00E74152" w:rsidRPr="39F1A3D3">
        <w:rPr>
          <w:rFonts w:eastAsia="Arial"/>
        </w:rPr>
        <w:t xml:space="preserve">gained in the ISEP </w:t>
      </w:r>
      <w:r w:rsidR="00AC14D5">
        <w:rPr>
          <w:rFonts w:eastAsia="Arial"/>
        </w:rPr>
        <w:t>were</w:t>
      </w:r>
      <w:r w:rsidR="005F68B0" w:rsidRPr="39F1A3D3">
        <w:rPr>
          <w:rFonts w:eastAsia="Arial"/>
        </w:rPr>
        <w:t xml:space="preserve"> </w:t>
      </w:r>
      <w:r w:rsidR="00706395">
        <w:rPr>
          <w:rFonts w:eastAsia="Arial"/>
        </w:rPr>
        <w:t xml:space="preserve">instrumental in </w:t>
      </w:r>
      <w:r w:rsidR="00E74152" w:rsidRPr="39F1A3D3">
        <w:rPr>
          <w:rFonts w:eastAsia="Arial"/>
        </w:rPr>
        <w:t>building</w:t>
      </w:r>
      <w:r w:rsidR="001B7E41" w:rsidRPr="39F1A3D3">
        <w:rPr>
          <w:rFonts w:eastAsia="Arial"/>
        </w:rPr>
        <w:t xml:space="preserve"> c</w:t>
      </w:r>
      <w:r w:rsidR="001B23BC" w:rsidRPr="39F1A3D3">
        <w:rPr>
          <w:rFonts w:eastAsia="Arial"/>
        </w:rPr>
        <w:t>onfidence</w:t>
      </w:r>
      <w:r w:rsidR="00237D2F">
        <w:rPr>
          <w:rFonts w:eastAsia="Arial"/>
        </w:rPr>
        <w:t xml:space="preserve"> and</w:t>
      </w:r>
      <w:r w:rsidR="00E74152">
        <w:rPr>
          <w:rFonts w:eastAsia="Arial"/>
        </w:rPr>
        <w:t xml:space="preserve"> </w:t>
      </w:r>
      <w:r w:rsidR="00E74152" w:rsidRPr="39F1A3D3">
        <w:rPr>
          <w:rFonts w:eastAsia="Arial"/>
        </w:rPr>
        <w:t xml:space="preserve">aiding their </w:t>
      </w:r>
      <w:r w:rsidRPr="39F1A3D3">
        <w:rPr>
          <w:rFonts w:eastAsia="Arial"/>
        </w:rPr>
        <w:t xml:space="preserve">transition </w:t>
      </w:r>
      <w:r w:rsidR="00E74152" w:rsidRPr="39F1A3D3">
        <w:rPr>
          <w:rFonts w:eastAsia="Arial"/>
        </w:rPr>
        <w:t>into</w:t>
      </w:r>
      <w:r w:rsidRPr="39F1A3D3">
        <w:rPr>
          <w:rFonts w:eastAsia="Arial"/>
        </w:rPr>
        <w:t xml:space="preserve"> university. </w:t>
      </w:r>
      <w:r w:rsidR="00AD5E30" w:rsidRPr="39F1A3D3">
        <w:rPr>
          <w:rFonts w:eastAsia="Arial"/>
        </w:rPr>
        <w:t>E</w:t>
      </w:r>
      <w:r w:rsidRPr="39F1A3D3">
        <w:rPr>
          <w:rFonts w:eastAsia="Arial"/>
        </w:rPr>
        <w:t xml:space="preserve">ducator interviews </w:t>
      </w:r>
      <w:r w:rsidR="445D63ED" w:rsidRPr="39F1A3D3">
        <w:rPr>
          <w:rFonts w:eastAsia="Arial"/>
        </w:rPr>
        <w:t>also reiterated these sentiments.</w:t>
      </w:r>
    </w:p>
    <w:p w14:paraId="646B4C4F" w14:textId="1CCBA20D" w:rsidR="00F77B8F" w:rsidRPr="00C473BD" w:rsidRDefault="7D3963D5" w:rsidP="001B4BED">
      <w:pPr>
        <w:pStyle w:val="Normal-Bold"/>
      </w:pPr>
      <w:r w:rsidRPr="00C473BD">
        <w:t>Educator interview findings</w:t>
      </w:r>
    </w:p>
    <w:p w14:paraId="2B8EC6C5" w14:textId="68FF8CDC" w:rsidR="002536E3" w:rsidRPr="002536E3" w:rsidRDefault="5183802E" w:rsidP="00A32591">
      <w:r>
        <w:t xml:space="preserve">Reflections from the </w:t>
      </w:r>
      <w:r w:rsidR="004C147C">
        <w:t>14</w:t>
      </w:r>
      <w:r>
        <w:t xml:space="preserve"> educator interviews highlighted an understanding of </w:t>
      </w:r>
      <w:r w:rsidR="24878BD8">
        <w:t>ISEPs</w:t>
      </w:r>
      <w:r>
        <w:t xml:space="preserve"> as a commitment to equity and providing access to university. Central to these discussions were five key themes: </w:t>
      </w:r>
      <w:r w:rsidR="00CD5151">
        <w:t>“n</w:t>
      </w:r>
      <w:r w:rsidRPr="00C473BD">
        <w:t xml:space="preserve">avigating </w:t>
      </w:r>
      <w:r w:rsidR="00CD5151">
        <w:t>k</w:t>
      </w:r>
      <w:r w:rsidRPr="00C473BD">
        <w:t xml:space="preserve">nowledge and </w:t>
      </w:r>
      <w:r w:rsidR="00CD5151">
        <w:t>a</w:t>
      </w:r>
      <w:r w:rsidRPr="00C473BD">
        <w:t xml:space="preserve">ssumptions </w:t>
      </w:r>
      <w:r w:rsidR="00CD5151">
        <w:t>a</w:t>
      </w:r>
      <w:r w:rsidRPr="00C473BD">
        <w:t xml:space="preserve">bout </w:t>
      </w:r>
      <w:r w:rsidR="00CD5151">
        <w:t>p</w:t>
      </w:r>
      <w:r w:rsidRPr="00C473BD">
        <w:t xml:space="preserve">rogram </w:t>
      </w:r>
      <w:r w:rsidR="00CD5151">
        <w:t>r</w:t>
      </w:r>
      <w:r w:rsidRPr="00C473BD">
        <w:t>igour</w:t>
      </w:r>
      <w:r w:rsidR="00CD5151">
        <w:t>”</w:t>
      </w:r>
      <w:r w:rsidRPr="00CD5151">
        <w:t xml:space="preserve">; </w:t>
      </w:r>
      <w:r w:rsidR="00CD5151">
        <w:t>“b</w:t>
      </w:r>
      <w:r w:rsidRPr="00C473BD">
        <w:t xml:space="preserve">reaking </w:t>
      </w:r>
      <w:r w:rsidR="00CD5151">
        <w:t>d</w:t>
      </w:r>
      <w:r w:rsidRPr="00C473BD">
        <w:t xml:space="preserve">own </w:t>
      </w:r>
      <w:r w:rsidR="00CD5151">
        <w:t>b</w:t>
      </w:r>
      <w:r w:rsidRPr="00C473BD">
        <w:t>arriers</w:t>
      </w:r>
      <w:r w:rsidR="00CD5151">
        <w:t xml:space="preserve"> to</w:t>
      </w:r>
      <w:r w:rsidRPr="00C473BD">
        <w:t xml:space="preserve"> </w:t>
      </w:r>
      <w:r w:rsidR="00CD5151">
        <w:t>a</w:t>
      </w:r>
      <w:r w:rsidRPr="00C473BD">
        <w:t>ccess</w:t>
      </w:r>
      <w:r w:rsidR="00CD5151">
        <w:t>”</w:t>
      </w:r>
      <w:r w:rsidRPr="00CD5151">
        <w:t>; </w:t>
      </w:r>
      <w:r w:rsidR="00CD5151">
        <w:t>“t</w:t>
      </w:r>
      <w:r w:rsidRPr="00C473BD">
        <w:t xml:space="preserve">ransformative </w:t>
      </w:r>
      <w:r w:rsidR="00CD5151">
        <w:t>s</w:t>
      </w:r>
      <w:r w:rsidRPr="00C473BD">
        <w:t xml:space="preserve">tudent </w:t>
      </w:r>
      <w:r w:rsidR="00CD5151">
        <w:t>e</w:t>
      </w:r>
      <w:r w:rsidRPr="00C473BD">
        <w:t>xperiences</w:t>
      </w:r>
      <w:r w:rsidR="00CD5151">
        <w:t>”</w:t>
      </w:r>
      <w:r w:rsidRPr="00C473BD">
        <w:t>; </w:t>
      </w:r>
      <w:r w:rsidR="00CD5151">
        <w:t>“a</w:t>
      </w:r>
      <w:r w:rsidRPr="00C473BD">
        <w:t xml:space="preserve">cademic </w:t>
      </w:r>
      <w:r w:rsidR="00CD5151">
        <w:t>s</w:t>
      </w:r>
      <w:r w:rsidRPr="00C473BD">
        <w:t xml:space="preserve">kill </w:t>
      </w:r>
      <w:r w:rsidR="00CD5151">
        <w:t>d</w:t>
      </w:r>
      <w:r w:rsidRPr="00C473BD">
        <w:t xml:space="preserve">evelopment and </w:t>
      </w:r>
      <w:r w:rsidR="00CD5151">
        <w:t>l</w:t>
      </w:r>
      <w:r w:rsidRPr="00C473BD">
        <w:t xml:space="preserve">iteracies for </w:t>
      </w:r>
      <w:r w:rsidR="00CD5151">
        <w:t>u</w:t>
      </w:r>
      <w:r w:rsidRPr="00C473BD">
        <w:t>niversity</w:t>
      </w:r>
      <w:r w:rsidR="00CD5151">
        <w:t>”</w:t>
      </w:r>
      <w:r w:rsidRPr="00CD5151">
        <w:t>; and </w:t>
      </w:r>
      <w:r w:rsidR="00CD5151">
        <w:t>“s</w:t>
      </w:r>
      <w:r w:rsidRPr="00C473BD">
        <w:t xml:space="preserve">tructural </w:t>
      </w:r>
      <w:r w:rsidR="00CD5151">
        <w:t>c</w:t>
      </w:r>
      <w:r w:rsidRPr="00C473BD">
        <w:t xml:space="preserve">hallenges in </w:t>
      </w:r>
      <w:r w:rsidR="00CD5151">
        <w:t>s</w:t>
      </w:r>
      <w:r w:rsidRPr="00C473BD">
        <w:t xml:space="preserve">enior </w:t>
      </w:r>
      <w:r w:rsidR="00CD5151">
        <w:t>s</w:t>
      </w:r>
      <w:r w:rsidRPr="00C473BD">
        <w:t>chool</w:t>
      </w:r>
      <w:r w:rsidR="00CD5151">
        <w:t>”</w:t>
      </w:r>
      <w:r w:rsidRPr="00C473BD">
        <w:t>.</w:t>
      </w:r>
      <w:r>
        <w:t xml:space="preserve"> These responses offer insight into how educators teaching the programs view </w:t>
      </w:r>
      <w:r w:rsidR="24878BD8">
        <w:t>ISEPs</w:t>
      </w:r>
      <w:r>
        <w:t xml:space="preserve"> as responsive, inclusive approaches for student access to higher education.</w:t>
      </w:r>
      <w:r w:rsidR="6B31E6E7">
        <w:t xml:space="preserve"> </w:t>
      </w:r>
    </w:p>
    <w:p w14:paraId="3639CF6D" w14:textId="61F07577" w:rsidR="002536E3" w:rsidRPr="002536E3" w:rsidRDefault="3FCCD0FF" w:rsidP="00A32591">
      <w:r>
        <w:t xml:space="preserve">The theme of </w:t>
      </w:r>
      <w:r w:rsidR="00CD5151">
        <w:t>“n</w:t>
      </w:r>
      <w:r w:rsidRPr="00C473BD">
        <w:t xml:space="preserve">avigating </w:t>
      </w:r>
      <w:r w:rsidR="00CD5151">
        <w:t>k</w:t>
      </w:r>
      <w:r w:rsidRPr="00C473BD">
        <w:t xml:space="preserve">nowledge and </w:t>
      </w:r>
      <w:r w:rsidR="00CD5151">
        <w:t>a</w:t>
      </w:r>
      <w:r w:rsidRPr="00C473BD">
        <w:t xml:space="preserve">ssumptions </w:t>
      </w:r>
      <w:r w:rsidR="00CD5151">
        <w:t>a</w:t>
      </w:r>
      <w:r w:rsidRPr="00C473BD">
        <w:t xml:space="preserve">bout </w:t>
      </w:r>
      <w:r w:rsidR="00CD5151">
        <w:t>p</w:t>
      </w:r>
      <w:r w:rsidRPr="00C473BD">
        <w:t xml:space="preserve">rogram </w:t>
      </w:r>
      <w:r w:rsidR="00CD5151">
        <w:t>r</w:t>
      </w:r>
      <w:r w:rsidRPr="00C473BD">
        <w:t>igour</w:t>
      </w:r>
      <w:r w:rsidR="00CD5151">
        <w:t>”</w:t>
      </w:r>
      <w:r w:rsidR="150C0824">
        <w:t xml:space="preserve"> </w:t>
      </w:r>
      <w:r>
        <w:t>was identified</w:t>
      </w:r>
      <w:r w:rsidR="186E6DD6">
        <w:t xml:space="preserve"> </w:t>
      </w:r>
      <w:r>
        <w:t xml:space="preserve">as </w:t>
      </w:r>
      <w:r w:rsidR="75E9F825">
        <w:t xml:space="preserve">responses </w:t>
      </w:r>
      <w:r w:rsidR="5B9CEAB6">
        <w:t xml:space="preserve">highlighted </w:t>
      </w:r>
      <w:r w:rsidR="186E6DD6">
        <w:t xml:space="preserve">that misconceptions about </w:t>
      </w:r>
      <w:r w:rsidR="00CD5151">
        <w:t>e</w:t>
      </w:r>
      <w:r w:rsidR="186E6DD6">
        <w:t>nabling programs persist</w:t>
      </w:r>
      <w:r w:rsidR="00CD5151">
        <w:t>ed</w:t>
      </w:r>
      <w:r w:rsidR="6E536C61">
        <w:t xml:space="preserve"> in school communities</w:t>
      </w:r>
      <w:r w:rsidR="5B9CEAB6">
        <w:t xml:space="preserve">. </w:t>
      </w:r>
      <w:r w:rsidR="150C0824">
        <w:t>Educators referred to</w:t>
      </w:r>
      <w:r w:rsidR="5B9CEAB6">
        <w:t xml:space="preserve"> </w:t>
      </w:r>
      <w:r w:rsidR="25435547">
        <w:t>parent</w:t>
      </w:r>
      <w:r w:rsidR="330E150D">
        <w:t>al</w:t>
      </w:r>
      <w:r w:rsidR="25435547">
        <w:t xml:space="preserve"> lack of understanding of program rigour and outcomes</w:t>
      </w:r>
      <w:r w:rsidR="186E6DD6">
        <w:t>, often due to limited awareness and entrenched assumptions</w:t>
      </w:r>
      <w:r w:rsidR="25435547">
        <w:t xml:space="preserve">. </w:t>
      </w:r>
      <w:r w:rsidR="29EF2A3E">
        <w:t>Educators felt s</w:t>
      </w:r>
      <w:r w:rsidR="186E6DD6">
        <w:t xml:space="preserve">ome </w:t>
      </w:r>
      <w:r w:rsidR="6E536C61">
        <w:t xml:space="preserve">students </w:t>
      </w:r>
      <w:r w:rsidR="186E6DD6">
        <w:t>view</w:t>
      </w:r>
      <w:r w:rsidR="25435547">
        <w:t>ed</w:t>
      </w:r>
      <w:r w:rsidR="186E6DD6">
        <w:t xml:space="preserve"> </w:t>
      </w:r>
      <w:r w:rsidR="00CD5151">
        <w:t>ISEPs</w:t>
      </w:r>
      <w:r w:rsidR="186E6DD6">
        <w:t xml:space="preserve"> as “a bit of a shortcut” (EI</w:t>
      </w:r>
      <w:r w:rsidR="77821F58">
        <w:t xml:space="preserve"> </w:t>
      </w:r>
      <w:r w:rsidR="186E6DD6">
        <w:t>012)</w:t>
      </w:r>
      <w:r w:rsidR="25435547">
        <w:t xml:space="preserve"> to university </w:t>
      </w:r>
      <w:r w:rsidR="002900FA">
        <w:t>(</w:t>
      </w:r>
      <w:r w:rsidR="25435547">
        <w:t xml:space="preserve">rather than waiting for </w:t>
      </w:r>
      <w:r w:rsidR="002900FA">
        <w:t xml:space="preserve">a </w:t>
      </w:r>
      <w:r w:rsidR="25435547">
        <w:t xml:space="preserve">post-school </w:t>
      </w:r>
      <w:r w:rsidR="00CD5151">
        <w:t>e</w:t>
      </w:r>
      <w:r w:rsidR="480FA952">
        <w:t>nabling</w:t>
      </w:r>
      <w:r w:rsidR="00CD5151">
        <w:t xml:space="preserve"> program</w:t>
      </w:r>
      <w:r w:rsidR="002900FA">
        <w:t>)</w:t>
      </w:r>
      <w:r w:rsidR="186E6DD6">
        <w:t xml:space="preserve"> or </w:t>
      </w:r>
      <w:r w:rsidR="002900FA">
        <w:t xml:space="preserve">a </w:t>
      </w:r>
      <w:r w:rsidR="186E6DD6">
        <w:t>“backup plan” (EI</w:t>
      </w:r>
      <w:r w:rsidR="7C707467">
        <w:t xml:space="preserve"> </w:t>
      </w:r>
      <w:r w:rsidR="186E6DD6">
        <w:t>004), while others acknowledge them as “a safety net” (EI</w:t>
      </w:r>
      <w:r w:rsidR="370039FC">
        <w:t xml:space="preserve"> </w:t>
      </w:r>
      <w:r w:rsidR="186E6DD6">
        <w:t>011). These attitudes are reinforced by the dominance of ATAR as “the best way to be prepared for university” (EI</w:t>
      </w:r>
      <w:r w:rsidR="6EA8F292">
        <w:t xml:space="preserve"> </w:t>
      </w:r>
      <w:r w:rsidR="186E6DD6">
        <w:t>009), creating pressure on students and families</w:t>
      </w:r>
      <w:r w:rsidR="002900FA">
        <w:t>,</w:t>
      </w:r>
      <w:r w:rsidR="186E6DD6">
        <w:t xml:space="preserve"> and fostering scepticism among some teachers </w:t>
      </w:r>
      <w:r w:rsidR="37703CE9">
        <w:t>teaching into ATAR</w:t>
      </w:r>
      <w:r w:rsidR="186E6DD6">
        <w:t xml:space="preserve"> who “feel a bit threatened” (EI</w:t>
      </w:r>
      <w:r w:rsidR="4F2C14C9">
        <w:t xml:space="preserve"> </w:t>
      </w:r>
      <w:r w:rsidR="186E6DD6">
        <w:t xml:space="preserve">005). Despite this, educators emphasised that </w:t>
      </w:r>
      <w:r w:rsidR="3C284726">
        <w:t>ISEPs</w:t>
      </w:r>
      <w:r w:rsidR="186E6DD6">
        <w:t xml:space="preserve"> are rigorous, highlighting the need for “greater education on what these programs can offer young people” (EI</w:t>
      </w:r>
      <w:r w:rsidR="7F12CCAD">
        <w:t xml:space="preserve"> </w:t>
      </w:r>
      <w:r w:rsidR="186E6DD6">
        <w:t>002).</w:t>
      </w:r>
      <w:r w:rsidR="44333409">
        <w:t xml:space="preserve"> </w:t>
      </w:r>
    </w:p>
    <w:p w14:paraId="440EF3F2" w14:textId="072055FC" w:rsidR="002A392C" w:rsidRDefault="720BBE96" w:rsidP="00A32591">
      <w:r>
        <w:t>T</w:t>
      </w:r>
      <w:r w:rsidR="150C0824">
        <w:t xml:space="preserve">he theme of </w:t>
      </w:r>
      <w:r w:rsidR="002900FA">
        <w:t>“</w:t>
      </w:r>
      <w:r w:rsidR="002900FA" w:rsidRPr="00B43A6C">
        <w:t>b</w:t>
      </w:r>
      <w:r w:rsidR="150C0824" w:rsidRPr="00B43A6C">
        <w:t xml:space="preserve">reaking </w:t>
      </w:r>
      <w:r w:rsidR="002900FA" w:rsidRPr="00B43A6C">
        <w:t>d</w:t>
      </w:r>
      <w:r w:rsidR="150C0824" w:rsidRPr="00B43A6C">
        <w:t xml:space="preserve">own </w:t>
      </w:r>
      <w:r w:rsidR="002900FA" w:rsidRPr="00B43A6C">
        <w:t>b</w:t>
      </w:r>
      <w:r w:rsidR="150C0824" w:rsidRPr="00B43A6C">
        <w:t xml:space="preserve">arriers </w:t>
      </w:r>
      <w:r w:rsidR="002900FA" w:rsidRPr="00B43A6C">
        <w:t>to a</w:t>
      </w:r>
      <w:r w:rsidR="150C0824" w:rsidRPr="00B43A6C">
        <w:t>ccess</w:t>
      </w:r>
      <w:r w:rsidR="002900FA" w:rsidRPr="00B43A6C">
        <w:t>”</w:t>
      </w:r>
      <w:r w:rsidR="150C0824">
        <w:t xml:space="preserve"> </w:t>
      </w:r>
      <w:r w:rsidR="3ED1967D">
        <w:t>highlighted significant barriers to university access, particularly for first-generation and regional students</w:t>
      </w:r>
      <w:r w:rsidR="150C0824">
        <w:t>. E</w:t>
      </w:r>
      <w:r w:rsidR="3ED1967D">
        <w:t xml:space="preserve">ducators </w:t>
      </w:r>
      <w:r w:rsidR="150C0824">
        <w:t>noted</w:t>
      </w:r>
      <w:r w:rsidR="3ED1967D">
        <w:t xml:space="preserve"> that</w:t>
      </w:r>
      <w:r w:rsidR="34D5F689">
        <w:t xml:space="preserve"> </w:t>
      </w:r>
      <w:r w:rsidR="44333409">
        <w:t>ISEPs</w:t>
      </w:r>
      <w:r w:rsidR="3ED1967D">
        <w:t xml:space="preserve"> </w:t>
      </w:r>
      <w:r w:rsidR="34D5F689">
        <w:t>play an important role</w:t>
      </w:r>
      <w:r w:rsidR="3ED1967D">
        <w:t xml:space="preserve"> in </w:t>
      </w:r>
      <w:r w:rsidR="6E1E968F">
        <w:t xml:space="preserve">connecting students </w:t>
      </w:r>
      <w:r w:rsidR="7827696A">
        <w:t>when university is</w:t>
      </w:r>
      <w:r w:rsidR="3ED1967D">
        <w:t xml:space="preserve"> “a long way away” (EI</w:t>
      </w:r>
      <w:r w:rsidR="23FCAD2D">
        <w:t xml:space="preserve"> </w:t>
      </w:r>
      <w:r w:rsidR="3ED1967D">
        <w:t xml:space="preserve">011). </w:t>
      </w:r>
      <w:r w:rsidR="44333409">
        <w:t>ISEPs</w:t>
      </w:r>
      <w:r w:rsidR="3ED1967D">
        <w:t xml:space="preserve"> were described as “opening up doors” for students who “never really thought university was in their pathway at all” (EI</w:t>
      </w:r>
      <w:r>
        <w:t xml:space="preserve"> </w:t>
      </w:r>
      <w:r w:rsidR="3ED1967D">
        <w:t>010), especially for those who are disengaged or face physical, neurological, or mental health challenges (EI</w:t>
      </w:r>
      <w:r w:rsidR="08956B2F">
        <w:t xml:space="preserve"> </w:t>
      </w:r>
      <w:r w:rsidR="3ED1967D">
        <w:t>005). Educators stressed the</w:t>
      </w:r>
      <w:r w:rsidR="44333409">
        <w:t xml:space="preserve"> presence and</w:t>
      </w:r>
      <w:r w:rsidR="3ED1967D">
        <w:t xml:space="preserve"> importance of clear, welcoming communication from universities to dispel misinformation</w:t>
      </w:r>
      <w:r w:rsidR="002900FA">
        <w:t>,</w:t>
      </w:r>
      <w:r w:rsidR="3ED1967D">
        <w:t xml:space="preserve"> and emphasised that these programs break cycles of disadvantage, foster confidence, and create opportunities for groups such as refugee students</w:t>
      </w:r>
      <w:r w:rsidR="5D96381F">
        <w:t>.</w:t>
      </w:r>
    </w:p>
    <w:p w14:paraId="0BA0C7E0" w14:textId="0B4FBDFC" w:rsidR="00C1224F" w:rsidRPr="00C1224F" w:rsidRDefault="002A392C" w:rsidP="00A32591">
      <w:r>
        <w:t xml:space="preserve">As well as providing access, </w:t>
      </w:r>
      <w:r w:rsidR="006A647E">
        <w:t xml:space="preserve">and in alignment with </w:t>
      </w:r>
      <w:r>
        <w:t xml:space="preserve">the thematic findings from students, </w:t>
      </w:r>
      <w:r w:rsidR="002900FA">
        <w:t>“t</w:t>
      </w:r>
      <w:r w:rsidRPr="00D62486">
        <w:t xml:space="preserve">ransformative </w:t>
      </w:r>
      <w:r w:rsidR="002900FA">
        <w:t>s</w:t>
      </w:r>
      <w:r w:rsidRPr="00D62486">
        <w:t xml:space="preserve">tudent </w:t>
      </w:r>
      <w:r w:rsidR="002900FA">
        <w:t>e</w:t>
      </w:r>
      <w:r w:rsidRPr="00D62486">
        <w:t>xperiences</w:t>
      </w:r>
      <w:r w:rsidR="002900FA">
        <w:t>”</w:t>
      </w:r>
      <w:r>
        <w:t xml:space="preserve"> </w:t>
      </w:r>
      <w:r w:rsidR="00B93E0D">
        <w:t>was an identified theme in this data set. Educators</w:t>
      </w:r>
      <w:r w:rsidR="003B77B5" w:rsidRPr="003B77B5">
        <w:t xml:space="preserve"> </w:t>
      </w:r>
      <w:r w:rsidR="00B93E0D">
        <w:t xml:space="preserve">commonly saw </w:t>
      </w:r>
      <w:r w:rsidR="00C51D84">
        <w:t>ISEPs as</w:t>
      </w:r>
      <w:r w:rsidR="008F25AB">
        <w:t xml:space="preserve"> boosting</w:t>
      </w:r>
      <w:r w:rsidR="003B77B5" w:rsidRPr="003B77B5">
        <w:t xml:space="preserve"> students’ confidence, motivation, and self-efficacy, helping to break down “initial fear around university or tertiary study” (</w:t>
      </w:r>
      <w:r w:rsidR="003B77B5">
        <w:t>EI</w:t>
      </w:r>
      <w:r w:rsidR="5456DA8E">
        <w:t xml:space="preserve"> </w:t>
      </w:r>
      <w:r w:rsidR="003B77B5">
        <w:t>001</w:t>
      </w:r>
      <w:r w:rsidR="003B77B5" w:rsidRPr="003B77B5">
        <w:t xml:space="preserve">) and </w:t>
      </w:r>
      <w:r w:rsidR="00CD6266">
        <w:t>foster</w:t>
      </w:r>
      <w:r w:rsidR="003B77B5" w:rsidRPr="003B77B5">
        <w:t xml:space="preserve"> “self-esteem and confidence”</w:t>
      </w:r>
      <w:r w:rsidR="002900FA">
        <w:t>,</w:t>
      </w:r>
      <w:r w:rsidR="003B77B5" w:rsidRPr="003B77B5">
        <w:t xml:space="preserve"> with benefits extending to “other areas of their life” (</w:t>
      </w:r>
      <w:r w:rsidR="003B77B5">
        <w:t>EI</w:t>
      </w:r>
      <w:r w:rsidR="475AF429">
        <w:t xml:space="preserve"> </w:t>
      </w:r>
      <w:r w:rsidR="003B77B5">
        <w:t>002).</w:t>
      </w:r>
      <w:r w:rsidR="003B77B5" w:rsidRPr="003B77B5">
        <w:t xml:space="preserve"> Many students were “chuffed and surprised at how capable they were” (</w:t>
      </w:r>
      <w:r w:rsidR="003B77B5">
        <w:t>EI</w:t>
      </w:r>
      <w:r w:rsidR="5DF53082">
        <w:t xml:space="preserve"> </w:t>
      </w:r>
      <w:r w:rsidR="003B77B5">
        <w:t>011</w:t>
      </w:r>
      <w:r w:rsidR="003B77B5" w:rsidRPr="003B77B5">
        <w:t>), showing “growth” in academic maturity and responsibility (</w:t>
      </w:r>
      <w:r w:rsidR="003B77B5">
        <w:t>EI</w:t>
      </w:r>
      <w:r w:rsidR="466FA1F3">
        <w:t xml:space="preserve"> </w:t>
      </w:r>
      <w:r w:rsidR="003B77B5">
        <w:t>001</w:t>
      </w:r>
      <w:r w:rsidR="003B77B5" w:rsidRPr="003B77B5">
        <w:t>)</w:t>
      </w:r>
      <w:r w:rsidR="00CD6266">
        <w:t xml:space="preserve">. Responses also highlighted </w:t>
      </w:r>
      <w:r w:rsidR="00DD4C39">
        <w:t>that</w:t>
      </w:r>
      <w:r w:rsidR="00CD6266">
        <w:t xml:space="preserve"> ISEP</w:t>
      </w:r>
      <w:r w:rsidR="00DD4C39">
        <w:t>s</w:t>
      </w:r>
      <w:r w:rsidR="003B77B5" w:rsidRPr="003B77B5">
        <w:t xml:space="preserve"> </w:t>
      </w:r>
      <w:r w:rsidR="00CD6266">
        <w:t>built</w:t>
      </w:r>
      <w:r w:rsidR="003B77B5" w:rsidRPr="003B77B5">
        <w:t xml:space="preserve"> resilience </w:t>
      </w:r>
      <w:r w:rsidR="00CD6266">
        <w:t>and</w:t>
      </w:r>
      <w:r w:rsidR="003B77B5" w:rsidRPr="003B77B5">
        <w:t xml:space="preserve"> </w:t>
      </w:r>
      <w:r w:rsidR="00CD6266">
        <w:t>developed</w:t>
      </w:r>
      <w:r w:rsidR="003B77B5" w:rsidRPr="003B77B5">
        <w:t xml:space="preserve"> </w:t>
      </w:r>
      <w:r w:rsidR="00DD4C39">
        <w:t xml:space="preserve">the </w:t>
      </w:r>
      <w:r w:rsidR="00CD6266">
        <w:t>belief</w:t>
      </w:r>
      <w:r w:rsidR="003B77B5" w:rsidRPr="003B77B5">
        <w:t xml:space="preserve"> </w:t>
      </w:r>
      <w:r w:rsidR="00CD6266">
        <w:t>in students</w:t>
      </w:r>
      <w:r w:rsidR="003B77B5" w:rsidRPr="003B77B5">
        <w:t xml:space="preserve"> </w:t>
      </w:r>
      <w:r w:rsidR="00CD6266">
        <w:t>that they belonged</w:t>
      </w:r>
      <w:r w:rsidR="003B77B5" w:rsidRPr="003B77B5">
        <w:t xml:space="preserve"> in higher education</w:t>
      </w:r>
      <w:r w:rsidR="00CD6266">
        <w:t xml:space="preserve">. One educator observed </w:t>
      </w:r>
      <w:r w:rsidR="003B77B5" w:rsidRPr="003B77B5">
        <w:t>a “direct correlation between engagement” and improved results, putting students</w:t>
      </w:r>
      <w:r w:rsidR="00CD6266">
        <w:t xml:space="preserve"> ahead of their</w:t>
      </w:r>
      <w:r w:rsidR="003B77B5" w:rsidRPr="003B77B5">
        <w:t xml:space="preserve"> “peers who are doing ATAR” (</w:t>
      </w:r>
      <w:r w:rsidR="003B77B5">
        <w:t>EI</w:t>
      </w:r>
      <w:r w:rsidR="358968BB">
        <w:t xml:space="preserve"> </w:t>
      </w:r>
      <w:r w:rsidR="003B77B5">
        <w:t>002).</w:t>
      </w:r>
      <w:r w:rsidR="004C016E">
        <w:t xml:space="preserve"> </w:t>
      </w:r>
    </w:p>
    <w:p w14:paraId="30BAA374" w14:textId="28310882" w:rsidR="000D1AE0" w:rsidRPr="00C1224F" w:rsidRDefault="00D23B85" w:rsidP="00B43A6C">
      <w:r>
        <w:t xml:space="preserve">Educator interviews, </w:t>
      </w:r>
      <w:proofErr w:type="gramStart"/>
      <w:r w:rsidR="008A13FA">
        <w:t>similar to</w:t>
      </w:r>
      <w:proofErr w:type="gramEnd"/>
      <w:r w:rsidR="008A13FA">
        <w:t xml:space="preserve"> student thematic findings,</w:t>
      </w:r>
      <w:r w:rsidR="00C1224F" w:rsidRPr="00C1224F">
        <w:t xml:space="preserve"> highlighted </w:t>
      </w:r>
      <w:r w:rsidR="00DD4C39">
        <w:t>“a</w:t>
      </w:r>
      <w:r w:rsidR="00CD6266" w:rsidRPr="00D62486">
        <w:t xml:space="preserve">cademic </w:t>
      </w:r>
      <w:r w:rsidR="00DD4C39">
        <w:t>s</w:t>
      </w:r>
      <w:r w:rsidR="00CD6266" w:rsidRPr="00D62486">
        <w:t xml:space="preserve">kill </w:t>
      </w:r>
      <w:r w:rsidR="00DD4C39">
        <w:t>d</w:t>
      </w:r>
      <w:r w:rsidR="00CD6266" w:rsidRPr="00D62486">
        <w:t xml:space="preserve">evelopment and </w:t>
      </w:r>
      <w:r w:rsidR="00DD4C39">
        <w:t>l</w:t>
      </w:r>
      <w:r w:rsidR="00CD6266" w:rsidRPr="00D62486">
        <w:t xml:space="preserve">iteracies for </w:t>
      </w:r>
      <w:r w:rsidR="00DD4C39">
        <w:t>u</w:t>
      </w:r>
      <w:r w:rsidR="00CD6266" w:rsidRPr="00D62486">
        <w:t>niversity</w:t>
      </w:r>
      <w:r w:rsidR="00DD4C39">
        <w:t>”</w:t>
      </w:r>
      <w:r w:rsidR="00CD6266" w:rsidRPr="00C1224F">
        <w:t xml:space="preserve"> </w:t>
      </w:r>
      <w:r w:rsidR="00C1224F" w:rsidRPr="00C1224F">
        <w:t>as a core</w:t>
      </w:r>
      <w:r w:rsidR="00CD6266">
        <w:t xml:space="preserve"> theme and</w:t>
      </w:r>
      <w:r w:rsidR="00C1224F" w:rsidRPr="00C1224F">
        <w:t xml:space="preserve"> benefit of </w:t>
      </w:r>
      <w:r w:rsidR="00CD6266">
        <w:t xml:space="preserve">ISEPs. </w:t>
      </w:r>
      <w:r w:rsidR="00DD4C39">
        <w:t>Educators n</w:t>
      </w:r>
      <w:r w:rsidR="00CD6266">
        <w:t>ot</w:t>
      </w:r>
      <w:r w:rsidR="00DD4C39">
        <w:t>ed</w:t>
      </w:r>
      <w:r w:rsidR="00CD6266">
        <w:t xml:space="preserve"> that </w:t>
      </w:r>
      <w:r w:rsidR="00C1224F" w:rsidRPr="00C1224F">
        <w:t xml:space="preserve">students </w:t>
      </w:r>
      <w:r w:rsidR="00CD6266">
        <w:t>developed</w:t>
      </w:r>
      <w:r w:rsidR="00C1224F" w:rsidRPr="00C1224F">
        <w:t xml:space="preserve"> essential skills like “referencing, academic writing, study habits, and goal setting” alongside strategies such as</w:t>
      </w:r>
      <w:r w:rsidR="00B60875">
        <w:t xml:space="preserve"> “</w:t>
      </w:r>
      <w:r w:rsidR="00C1224F" w:rsidRPr="00C1224F">
        <w:t xml:space="preserve">growth mindset and time </w:t>
      </w:r>
      <w:r w:rsidR="00C1224F" w:rsidRPr="00C1224F">
        <w:lastRenderedPageBreak/>
        <w:t>management”</w:t>
      </w:r>
      <w:r w:rsidR="00CD6266" w:rsidRPr="00CD6266">
        <w:t xml:space="preserve"> </w:t>
      </w:r>
      <w:r w:rsidR="00CD6266" w:rsidRPr="00C1224F">
        <w:t>(</w:t>
      </w:r>
      <w:r w:rsidR="00CD6266">
        <w:t>EI 003</w:t>
      </w:r>
      <w:r w:rsidR="00CD6266" w:rsidRPr="00C1224F">
        <w:t>)</w:t>
      </w:r>
      <w:r w:rsidR="00CD6266">
        <w:t xml:space="preserve">. </w:t>
      </w:r>
      <w:r w:rsidR="00C1224F" w:rsidRPr="00C1224F">
        <w:t>Exposure to university systems and expectations, including assessment standards and campus resources, helped demystify higher education and gave students “a leg up on some of their contemporaries” compared to the ATAR pathway (</w:t>
      </w:r>
      <w:r w:rsidR="00C1224F">
        <w:t>EI</w:t>
      </w:r>
      <w:r w:rsidR="6A53405F">
        <w:t xml:space="preserve"> </w:t>
      </w:r>
      <w:r w:rsidR="00C1224F">
        <w:t xml:space="preserve">012). </w:t>
      </w:r>
      <w:r w:rsidR="00DD4C39">
        <w:rPr>
          <w:color w:val="351C26" w:themeColor="text1"/>
        </w:rPr>
        <w:t>As o</w:t>
      </w:r>
      <w:r w:rsidR="00AC294E" w:rsidRPr="008A13FA">
        <w:rPr>
          <w:color w:val="351C26" w:themeColor="text1"/>
        </w:rPr>
        <w:t>ne educator sum</w:t>
      </w:r>
      <w:r w:rsidR="00DD4C39">
        <w:rPr>
          <w:color w:val="351C26" w:themeColor="text1"/>
        </w:rPr>
        <w:t>med</w:t>
      </w:r>
      <w:r w:rsidR="00AC294E" w:rsidRPr="008A13FA">
        <w:rPr>
          <w:color w:val="351C26" w:themeColor="text1"/>
        </w:rPr>
        <w:t xml:space="preserve"> it up</w:t>
      </w:r>
      <w:r w:rsidR="005529D5">
        <w:rPr>
          <w:color w:val="351C26" w:themeColor="text1"/>
        </w:rPr>
        <w:t>,</w:t>
      </w:r>
      <w:r w:rsidR="00AC294E" w:rsidRPr="008A13FA">
        <w:rPr>
          <w:i/>
          <w:iCs/>
          <w:color w:val="351C26" w:themeColor="text1"/>
        </w:rPr>
        <w:t xml:space="preserve"> </w:t>
      </w:r>
      <w:r w:rsidR="00AC294E" w:rsidRPr="00B43A6C">
        <w:rPr>
          <w:iCs/>
        </w:rPr>
        <w:t>“It’s just amazing where they</w:t>
      </w:r>
      <w:r w:rsidR="00DD4C39" w:rsidRPr="00B43A6C">
        <w:rPr>
          <w:iCs/>
        </w:rPr>
        <w:t xml:space="preserve"> [students]</w:t>
      </w:r>
      <w:r w:rsidR="00AC294E" w:rsidRPr="00B43A6C">
        <w:rPr>
          <w:iCs/>
        </w:rPr>
        <w:t xml:space="preserve"> go</w:t>
      </w:r>
      <w:r w:rsidR="00DD4C39" w:rsidRPr="00B43A6C">
        <w:rPr>
          <w:iCs/>
        </w:rPr>
        <w:t>—</w:t>
      </w:r>
      <w:r w:rsidR="00AC294E" w:rsidRPr="00B43A6C">
        <w:rPr>
          <w:iCs/>
        </w:rPr>
        <w:t>and it’s only three terms</w:t>
      </w:r>
      <w:r w:rsidR="00DD4C39" w:rsidRPr="00B43A6C">
        <w:rPr>
          <w:iCs/>
        </w:rPr>
        <w:t>—</w:t>
      </w:r>
      <w:r w:rsidR="00AC294E" w:rsidRPr="00B43A6C">
        <w:rPr>
          <w:iCs/>
        </w:rPr>
        <w:t>from where they start”</w:t>
      </w:r>
      <w:r w:rsidR="00AC294E" w:rsidRPr="00D62486">
        <w:t xml:space="preserve"> </w:t>
      </w:r>
      <w:r w:rsidR="00AC294E">
        <w:t>(EI</w:t>
      </w:r>
      <w:r w:rsidR="000B0EA0">
        <w:t xml:space="preserve"> </w:t>
      </w:r>
      <w:r w:rsidR="00AC294E">
        <w:t>001)</w:t>
      </w:r>
      <w:r w:rsidR="005529D5">
        <w:t>.</w:t>
      </w:r>
    </w:p>
    <w:p w14:paraId="4051FF54" w14:textId="7C2024F0" w:rsidR="00AC294E" w:rsidRDefault="1E84A5AE" w:rsidP="00A32591">
      <w:r>
        <w:t>According to educators,</w:t>
      </w:r>
      <w:r w:rsidR="00C1224F">
        <w:t xml:space="preserve"> </w:t>
      </w:r>
      <w:r>
        <w:t>ISEPs</w:t>
      </w:r>
      <w:r w:rsidR="00C1224F" w:rsidRPr="00C1224F">
        <w:t xml:space="preserve"> not only build competence through scaffolding and feedback</w:t>
      </w:r>
      <w:r w:rsidR="00DD4C39">
        <w:t>,</w:t>
      </w:r>
      <w:r w:rsidR="00C1224F" w:rsidRPr="00C1224F">
        <w:t xml:space="preserve"> but foster confidence and </w:t>
      </w:r>
      <w:r w:rsidR="00C1224F" w:rsidRPr="008A13FA">
        <w:rPr>
          <w:color w:val="351C26" w:themeColor="text1"/>
        </w:rPr>
        <w:t>preparedness for an adult learning environment, breaking down barriers and reducing anxiety about university life.</w:t>
      </w:r>
      <w:r w:rsidR="0C046C95" w:rsidRPr="008A13FA">
        <w:rPr>
          <w:color w:val="351C26" w:themeColor="text1"/>
        </w:rPr>
        <w:t xml:space="preserve"> </w:t>
      </w:r>
    </w:p>
    <w:p w14:paraId="32FFA6FE" w14:textId="1E2EDBAC" w:rsidR="000D1AE0" w:rsidRDefault="002F47E5" w:rsidP="00EB02E4">
      <w:r>
        <w:t>Despite the benefits, e</w:t>
      </w:r>
      <w:r w:rsidRPr="002F47E5">
        <w:t xml:space="preserve">ducator interviews revealed structural challenges in implementing </w:t>
      </w:r>
      <w:r w:rsidR="6E76D453">
        <w:t>ISEPs</w:t>
      </w:r>
      <w:r w:rsidRPr="002F47E5">
        <w:t xml:space="preserve">, </w:t>
      </w:r>
      <w:r w:rsidR="00DD4C39">
        <w:t xml:space="preserve">as seen </w:t>
      </w:r>
      <w:r w:rsidR="00CD6266">
        <w:t xml:space="preserve">in the final theme of </w:t>
      </w:r>
      <w:r w:rsidR="00DD4C39" w:rsidRPr="00DD4C39">
        <w:t>“</w:t>
      </w:r>
      <w:r w:rsidR="00DD4C39" w:rsidRPr="00B43A6C">
        <w:t>s</w:t>
      </w:r>
      <w:r w:rsidR="00CD6266" w:rsidRPr="00B43A6C">
        <w:t xml:space="preserve">tructural </w:t>
      </w:r>
      <w:r w:rsidR="00DD4C39" w:rsidRPr="00B43A6C">
        <w:t>c</w:t>
      </w:r>
      <w:r w:rsidR="00CD6266" w:rsidRPr="00B43A6C">
        <w:t xml:space="preserve">hallenges in </w:t>
      </w:r>
      <w:r w:rsidR="00DD4C39" w:rsidRPr="00B43A6C">
        <w:t>s</w:t>
      </w:r>
      <w:r w:rsidR="00CD6266" w:rsidRPr="00B43A6C">
        <w:t xml:space="preserve">enior </w:t>
      </w:r>
      <w:r w:rsidR="00DD4C39" w:rsidRPr="00B43A6C">
        <w:t>s</w:t>
      </w:r>
      <w:r w:rsidR="00CD6266" w:rsidRPr="00B43A6C">
        <w:t>chool</w:t>
      </w:r>
      <w:r w:rsidR="00DD4C39" w:rsidRPr="00B43A6C">
        <w:t>”</w:t>
      </w:r>
      <w:r w:rsidR="00CD6266" w:rsidRPr="00DD4C39">
        <w:t xml:space="preserve">. </w:t>
      </w:r>
      <w:r w:rsidR="00CD6266">
        <w:t xml:space="preserve">Responses referred to the </w:t>
      </w:r>
      <w:r w:rsidRPr="002F47E5">
        <w:t xml:space="preserve">difficulties </w:t>
      </w:r>
      <w:r w:rsidR="00CD6266">
        <w:t xml:space="preserve">in </w:t>
      </w:r>
      <w:r w:rsidRPr="002F47E5">
        <w:t>aligning school and university systems, interruptions from school events, and the need to adapt content for diverse contexts, which “takes more time and effort and investment to contextualise” (</w:t>
      </w:r>
      <w:r>
        <w:t>EI</w:t>
      </w:r>
      <w:r w:rsidR="62F82825">
        <w:t xml:space="preserve"> </w:t>
      </w:r>
      <w:r>
        <w:t>002).</w:t>
      </w:r>
      <w:r w:rsidRPr="002F47E5">
        <w:t xml:space="preserve"> </w:t>
      </w:r>
      <w:r w:rsidR="001D0FE5">
        <w:t>Educators</w:t>
      </w:r>
      <w:r w:rsidRPr="002F47E5">
        <w:t xml:space="preserve"> highlighted the importance of additional training and support to manage the steep learning curve, noting</w:t>
      </w:r>
      <w:r w:rsidR="00643623">
        <w:t xml:space="preserve"> the need to</w:t>
      </w:r>
      <w:r w:rsidRPr="002F47E5">
        <w:t xml:space="preserve"> “</w:t>
      </w:r>
      <w:r w:rsidR="00643623">
        <w:t>[find]</w:t>
      </w:r>
      <w:r w:rsidRPr="002F47E5">
        <w:t xml:space="preserve"> the time to learn the modules before I teach” and requesting “a little bit more support” (</w:t>
      </w:r>
      <w:r>
        <w:t>EI</w:t>
      </w:r>
      <w:r w:rsidR="6469496F">
        <w:t xml:space="preserve"> </w:t>
      </w:r>
      <w:r>
        <w:t>004, EI</w:t>
      </w:r>
      <w:r w:rsidR="40210C9E">
        <w:t xml:space="preserve"> </w:t>
      </w:r>
      <w:r>
        <w:t>006</w:t>
      </w:r>
      <w:r w:rsidRPr="002F47E5">
        <w:t>)</w:t>
      </w:r>
      <w:r w:rsidR="00643623">
        <w:t>.</w:t>
      </w:r>
      <w:r w:rsidRPr="002F47E5">
        <w:t xml:space="preserve"> </w:t>
      </w:r>
      <w:r w:rsidR="00643623">
        <w:t>S</w:t>
      </w:r>
      <w:r w:rsidRPr="002F47E5">
        <w:t>ocio-economic factors such as “poverty in this town” and students needing to work (</w:t>
      </w:r>
      <w:r>
        <w:t>EI</w:t>
      </w:r>
      <w:r w:rsidR="75BF3699">
        <w:t xml:space="preserve"> </w:t>
      </w:r>
      <w:r>
        <w:t>011</w:t>
      </w:r>
      <w:r w:rsidRPr="002F47E5">
        <w:t xml:space="preserve">) further complicated delivery. Despite these challenges, educators acknowledged universities’ responsiveness and adaptability, emphasising that </w:t>
      </w:r>
      <w:r w:rsidR="49A6484D">
        <w:t xml:space="preserve">a partnership model with </w:t>
      </w:r>
      <w:r w:rsidRPr="002F47E5">
        <w:t>sustained support for teachers and contextual flexibility are critical for program success.</w:t>
      </w:r>
    </w:p>
    <w:p w14:paraId="773FF984" w14:textId="77777777" w:rsidR="001B4BED" w:rsidRPr="001B4BED" w:rsidRDefault="001B4BED" w:rsidP="001B4BED">
      <w:pPr>
        <w:pStyle w:val="Normal-Bold"/>
        <w:rPr>
          <w:szCs w:val="22"/>
        </w:rPr>
      </w:pPr>
      <w:r w:rsidRPr="001B4BED">
        <w:rPr>
          <w:szCs w:val="22"/>
        </w:rPr>
        <w:t xml:space="preserve">Synthesis </w:t>
      </w:r>
    </w:p>
    <w:p w14:paraId="6C542C12" w14:textId="77777777" w:rsidR="001B4BED" w:rsidRDefault="001B4BED" w:rsidP="001B4BED">
      <w:r>
        <w:t>The three data sets (student survey, student interviews, and educator interviews) were distilled into three superordinate themes:</w:t>
      </w:r>
      <w:r w:rsidRPr="00297EC2">
        <w:t xml:space="preserve"> </w:t>
      </w:r>
      <w:r>
        <w:t>“</w:t>
      </w:r>
      <w:r>
        <w:rPr>
          <w:iCs/>
        </w:rPr>
        <w:t>a</w:t>
      </w:r>
      <w:r w:rsidRPr="00D62486">
        <w:rPr>
          <w:iCs/>
        </w:rPr>
        <w:t xml:space="preserve">ccess and </w:t>
      </w:r>
      <w:r>
        <w:rPr>
          <w:iCs/>
        </w:rPr>
        <w:t>o</w:t>
      </w:r>
      <w:r w:rsidRPr="00D62486">
        <w:rPr>
          <w:iCs/>
        </w:rPr>
        <w:t>pportunities</w:t>
      </w:r>
      <w:r>
        <w:rPr>
          <w:iCs/>
        </w:rPr>
        <w:t>”</w:t>
      </w:r>
      <w:r w:rsidRPr="00D62486">
        <w:rPr>
          <w:iCs/>
        </w:rPr>
        <w:t xml:space="preserve">, </w:t>
      </w:r>
      <w:r>
        <w:rPr>
          <w:iCs/>
        </w:rPr>
        <w:t>“u</w:t>
      </w:r>
      <w:r w:rsidRPr="00D62486">
        <w:rPr>
          <w:iCs/>
        </w:rPr>
        <w:t xml:space="preserve">niversity </w:t>
      </w:r>
      <w:r>
        <w:rPr>
          <w:iCs/>
        </w:rPr>
        <w:t>a</w:t>
      </w:r>
      <w:r w:rsidRPr="00D62486">
        <w:rPr>
          <w:iCs/>
        </w:rPr>
        <w:t xml:space="preserve">cculturation and </w:t>
      </w:r>
      <w:r>
        <w:rPr>
          <w:iCs/>
        </w:rPr>
        <w:t>p</w:t>
      </w:r>
      <w:r w:rsidRPr="00D62486">
        <w:rPr>
          <w:iCs/>
        </w:rPr>
        <w:t>reparedness</w:t>
      </w:r>
      <w:r>
        <w:rPr>
          <w:iCs/>
        </w:rPr>
        <w:t>”,</w:t>
      </w:r>
      <w:r w:rsidRPr="00D62486">
        <w:rPr>
          <w:iCs/>
        </w:rPr>
        <w:t xml:space="preserve"> </w:t>
      </w:r>
      <w:r w:rsidRPr="00970AA9">
        <w:rPr>
          <w:iCs/>
        </w:rPr>
        <w:t>and</w:t>
      </w:r>
      <w:r w:rsidRPr="00D62486">
        <w:rPr>
          <w:iCs/>
        </w:rPr>
        <w:t xml:space="preserve"> </w:t>
      </w:r>
      <w:r>
        <w:rPr>
          <w:iCs/>
        </w:rPr>
        <w:t>“s</w:t>
      </w:r>
      <w:r w:rsidRPr="00D62486">
        <w:rPr>
          <w:iCs/>
        </w:rPr>
        <w:t>ocio-</w:t>
      </w:r>
      <w:r>
        <w:rPr>
          <w:iCs/>
        </w:rPr>
        <w:t>e</w:t>
      </w:r>
      <w:r w:rsidRPr="00D62486">
        <w:rPr>
          <w:iCs/>
        </w:rPr>
        <w:t xml:space="preserve">motional </w:t>
      </w:r>
      <w:r>
        <w:rPr>
          <w:iCs/>
        </w:rPr>
        <w:t>j</w:t>
      </w:r>
      <w:r w:rsidRPr="00D62486">
        <w:rPr>
          <w:iCs/>
        </w:rPr>
        <w:t xml:space="preserve">ourney and </w:t>
      </w:r>
      <w:r>
        <w:rPr>
          <w:iCs/>
        </w:rPr>
        <w:t>w</w:t>
      </w:r>
      <w:r w:rsidRPr="00D62486">
        <w:rPr>
          <w:iCs/>
        </w:rPr>
        <w:t>ellbeing</w:t>
      </w:r>
      <w:r>
        <w:rPr>
          <w:iCs/>
        </w:rPr>
        <w:t>”</w:t>
      </w:r>
      <w:r w:rsidRPr="00970AA9">
        <w:rPr>
          <w:iCs/>
        </w:rPr>
        <w:t>.</w:t>
      </w:r>
      <w:r>
        <w:t xml:space="preserve"> </w:t>
      </w:r>
    </w:p>
    <w:p w14:paraId="742B96C3" w14:textId="77777777" w:rsidR="001B4BED" w:rsidRDefault="001B4BED" w:rsidP="001B4BED">
      <w:r>
        <w:t xml:space="preserve">The first superordinate theme, </w:t>
      </w:r>
      <w:r>
        <w:rPr>
          <w:i/>
          <w:iCs/>
        </w:rPr>
        <w:t>“</w:t>
      </w:r>
      <w:r>
        <w:t>a</w:t>
      </w:r>
      <w:r w:rsidRPr="00D62486">
        <w:t xml:space="preserve">ccess and </w:t>
      </w:r>
      <w:r>
        <w:t>o</w:t>
      </w:r>
      <w:r w:rsidRPr="00D62486">
        <w:t>pportunities</w:t>
      </w:r>
      <w:r>
        <w:t>”,</w:t>
      </w:r>
      <w:r w:rsidRPr="07AD5326">
        <w:rPr>
          <w:i/>
          <w:iCs/>
        </w:rPr>
        <w:t xml:space="preserve"> </w:t>
      </w:r>
      <w:r>
        <w:t xml:space="preserve">highlighted how both students and educators saw ISEPs as dismantling systemic barriers and breaking cycles of disadvantage by offering a pathway to higher education for students who were first-in-family, living in a regional or remote area, or disadvantaged by the ATAR system or other life factors (such as health or external factors). It was also highlighted that </w:t>
      </w:r>
      <w:proofErr w:type="gramStart"/>
      <w:r>
        <w:t>in order to</w:t>
      </w:r>
      <w:proofErr w:type="gramEnd"/>
      <w:r>
        <w:t xml:space="preserve"> maintain ISEPs as an effective opportunity, universities must remain responsive, adaptable, and provide ongoing educator support. </w:t>
      </w:r>
    </w:p>
    <w:p w14:paraId="4743AA28" w14:textId="77777777" w:rsidR="001B4BED" w:rsidRDefault="001B4BED" w:rsidP="001B4BED">
      <w:r>
        <w:t>The second superordinate theme, “</w:t>
      </w:r>
      <w:r>
        <w:rPr>
          <w:iCs/>
        </w:rPr>
        <w:t>u</w:t>
      </w:r>
      <w:r w:rsidRPr="00D62486">
        <w:rPr>
          <w:iCs/>
        </w:rPr>
        <w:t xml:space="preserve">niversity </w:t>
      </w:r>
      <w:r>
        <w:rPr>
          <w:iCs/>
        </w:rPr>
        <w:t>a</w:t>
      </w:r>
      <w:r w:rsidRPr="00D62486">
        <w:rPr>
          <w:iCs/>
        </w:rPr>
        <w:t xml:space="preserve">cculturation and </w:t>
      </w:r>
      <w:r>
        <w:rPr>
          <w:iCs/>
        </w:rPr>
        <w:t>p</w:t>
      </w:r>
      <w:r w:rsidRPr="00D62486">
        <w:rPr>
          <w:iCs/>
        </w:rPr>
        <w:t>reparedness</w:t>
      </w:r>
      <w:r>
        <w:rPr>
          <w:iCs/>
        </w:rPr>
        <w:t>”,</w:t>
      </w:r>
      <w:r>
        <w:t xml:space="preserve"> was overwhelmingly repeated through the three data sets. Students reported </w:t>
      </w:r>
      <w:r w:rsidRPr="003B60AE">
        <w:t>gain</w:t>
      </w:r>
      <w:r>
        <w:t>s</w:t>
      </w:r>
      <w:r w:rsidRPr="003B60AE">
        <w:t xml:space="preserve"> </w:t>
      </w:r>
      <w:r>
        <w:t xml:space="preserve">in </w:t>
      </w:r>
      <w:r w:rsidRPr="003B60AE">
        <w:t xml:space="preserve">academic literacies </w:t>
      </w:r>
      <w:r>
        <w:t xml:space="preserve">such as </w:t>
      </w:r>
      <w:r w:rsidRPr="003B60AE">
        <w:t>referencing, writing, research</w:t>
      </w:r>
      <w:r>
        <w:t xml:space="preserve"> skills, and critical thinking,</w:t>
      </w:r>
      <w:r w:rsidRPr="003B60AE">
        <w:t xml:space="preserve"> </w:t>
      </w:r>
      <w:r>
        <w:t xml:space="preserve">as well as </w:t>
      </w:r>
      <w:r w:rsidRPr="003B60AE">
        <w:t xml:space="preserve">familiarity with university systems </w:t>
      </w:r>
      <w:r>
        <w:t>such as learning management systems, grading systems, and university websites. The development of both academic and cultural understanding of university eased the student</w:t>
      </w:r>
      <w:r w:rsidRPr="003B60AE">
        <w:t xml:space="preserve"> transition</w:t>
      </w:r>
      <w:r>
        <w:t xml:space="preserve">, building confidence and readiness. </w:t>
      </w:r>
    </w:p>
    <w:p w14:paraId="01E79E7A" w14:textId="09E388FE" w:rsidR="00840341" w:rsidRDefault="001B4BED" w:rsidP="001B4BED">
      <w:r>
        <w:t>The final superordinate theme, “</w:t>
      </w:r>
      <w:r>
        <w:rPr>
          <w:iCs/>
        </w:rPr>
        <w:t>s</w:t>
      </w:r>
      <w:r w:rsidRPr="00D62486">
        <w:rPr>
          <w:iCs/>
        </w:rPr>
        <w:t>ocio-</w:t>
      </w:r>
      <w:r>
        <w:rPr>
          <w:iCs/>
        </w:rPr>
        <w:t>e</w:t>
      </w:r>
      <w:r w:rsidRPr="00D62486">
        <w:rPr>
          <w:iCs/>
        </w:rPr>
        <w:t xml:space="preserve">motional </w:t>
      </w:r>
      <w:r>
        <w:rPr>
          <w:iCs/>
        </w:rPr>
        <w:t>j</w:t>
      </w:r>
      <w:r w:rsidRPr="00D62486">
        <w:rPr>
          <w:iCs/>
        </w:rPr>
        <w:t xml:space="preserve">ourney and </w:t>
      </w:r>
      <w:r>
        <w:rPr>
          <w:iCs/>
        </w:rPr>
        <w:t>w</w:t>
      </w:r>
      <w:r w:rsidRPr="00D62486">
        <w:rPr>
          <w:iCs/>
        </w:rPr>
        <w:t>ellbeing</w:t>
      </w:r>
      <w:r>
        <w:rPr>
          <w:iCs/>
        </w:rPr>
        <w:t>”</w:t>
      </w:r>
      <w:r>
        <w:t>, demonstrated that ISEPs supported</w:t>
      </w:r>
      <w:r w:rsidRPr="003B60AE">
        <w:t xml:space="preserve"> students</w:t>
      </w:r>
      <w:r>
        <w:t>’ socio-emotional state by shifting them from a</w:t>
      </w:r>
      <w:r w:rsidRPr="003B60AE">
        <w:t xml:space="preserve"> stress</w:t>
      </w:r>
      <w:r>
        <w:t>ful and disempowering educational experience to a confident pathway. The ISEP reduced</w:t>
      </w:r>
      <w:r w:rsidRPr="003B60AE">
        <w:t xml:space="preserve"> ATAR-related anxiety</w:t>
      </w:r>
      <w:r>
        <w:t xml:space="preserve"> and built </w:t>
      </w:r>
      <w:r w:rsidRPr="003B60AE">
        <w:t xml:space="preserve">confidence </w:t>
      </w:r>
      <w:r>
        <w:t xml:space="preserve">in academic skills and knowledge, as well as </w:t>
      </w:r>
      <w:r w:rsidRPr="003B60AE">
        <w:t xml:space="preserve">self-efficacy, </w:t>
      </w:r>
      <w:r>
        <w:t>in terms of students’ ability to progress to university.</w:t>
      </w:r>
    </w:p>
    <w:p w14:paraId="7AC67BE7" w14:textId="4DFF4A74" w:rsidR="00C17167" w:rsidRDefault="009D6D47" w:rsidP="00A32591">
      <w:pPr>
        <w:pStyle w:val="Heading1"/>
      </w:pPr>
      <w:bookmarkStart w:id="90" w:name="_Toc217162500"/>
      <w:bookmarkStart w:id="91" w:name="_Toc232766196"/>
      <w:r w:rsidRPr="0079608F">
        <w:lastRenderedPageBreak/>
        <w:t>Discussion</w:t>
      </w:r>
      <w:bookmarkEnd w:id="90"/>
      <w:bookmarkEnd w:id="91"/>
    </w:p>
    <w:p w14:paraId="727B275D" w14:textId="2B9638C5" w:rsidR="00AD3F24" w:rsidRPr="00D62486" w:rsidRDefault="00AD3F24" w:rsidP="00F6507E">
      <w:pPr>
        <w:pStyle w:val="Quote"/>
        <w:jc w:val="center"/>
        <w:rPr>
          <w:rFonts w:eastAsiaTheme="minorEastAsia"/>
          <w:color w:val="auto"/>
          <w:sz w:val="22"/>
          <w:szCs w:val="22"/>
          <w:lang w:eastAsia="en-US"/>
        </w:rPr>
      </w:pPr>
      <w:r w:rsidRPr="00D62486">
        <w:rPr>
          <w:rFonts w:eastAsiaTheme="minorEastAsia"/>
          <w:color w:val="auto"/>
          <w:sz w:val="22"/>
          <w:szCs w:val="22"/>
        </w:rPr>
        <w:t xml:space="preserve">Yes, we want students to go to university, </w:t>
      </w:r>
      <w:r w:rsidR="00F6507E">
        <w:rPr>
          <w:rFonts w:eastAsiaTheme="minorEastAsia"/>
          <w:color w:val="auto"/>
          <w:sz w:val="22"/>
          <w:szCs w:val="22"/>
        </w:rPr>
        <w:br/>
      </w:r>
      <w:r w:rsidRPr="00D62486">
        <w:rPr>
          <w:rFonts w:eastAsiaTheme="minorEastAsia"/>
          <w:color w:val="auto"/>
          <w:sz w:val="22"/>
          <w:szCs w:val="22"/>
        </w:rPr>
        <w:t>but we want them to be better prepared</w:t>
      </w:r>
      <w:r w:rsidR="00C34201" w:rsidRPr="00D62486">
        <w:rPr>
          <w:rFonts w:eastAsiaTheme="minorEastAsia"/>
          <w:color w:val="auto"/>
          <w:sz w:val="22"/>
          <w:szCs w:val="22"/>
        </w:rPr>
        <w:t>.</w:t>
      </w:r>
    </w:p>
    <w:p w14:paraId="7B082B1D" w14:textId="3D0C9D42" w:rsidR="00AD3F24" w:rsidRPr="00F6507E" w:rsidRDefault="00F6507E" w:rsidP="00F80576">
      <w:pPr>
        <w:jc w:val="right"/>
        <w:rPr>
          <w:rFonts w:eastAsiaTheme="minorEastAsia"/>
          <w:sz w:val="20"/>
          <w:szCs w:val="22"/>
          <w:lang w:eastAsia="en-US"/>
        </w:rPr>
      </w:pPr>
      <w:r w:rsidRPr="00F6507E">
        <w:rPr>
          <w:rFonts w:eastAsiaTheme="minorEastAsia"/>
          <w:sz w:val="20"/>
          <w:szCs w:val="22"/>
        </w:rPr>
        <w:t>–</w:t>
      </w:r>
      <w:r w:rsidR="00600FEA" w:rsidRPr="00F6507E">
        <w:rPr>
          <w:rFonts w:eastAsiaTheme="minorEastAsia"/>
          <w:sz w:val="20"/>
          <w:szCs w:val="22"/>
        </w:rPr>
        <w:t xml:space="preserve">Tony Buti, WA </w:t>
      </w:r>
      <w:r w:rsidR="00AD3F24" w:rsidRPr="00F6507E">
        <w:rPr>
          <w:rFonts w:eastAsiaTheme="minorEastAsia"/>
          <w:sz w:val="20"/>
          <w:szCs w:val="22"/>
        </w:rPr>
        <w:t>Minister</w:t>
      </w:r>
      <w:r w:rsidR="00600FEA" w:rsidRPr="00F6507E">
        <w:rPr>
          <w:rFonts w:eastAsiaTheme="minorEastAsia"/>
          <w:sz w:val="20"/>
          <w:szCs w:val="22"/>
        </w:rPr>
        <w:t xml:space="preserve"> for Tertiary and International Education</w:t>
      </w:r>
      <w:r w:rsidR="00AD3F24" w:rsidRPr="00F6507E">
        <w:rPr>
          <w:rFonts w:eastAsiaTheme="minorEastAsia"/>
          <w:sz w:val="20"/>
          <w:szCs w:val="22"/>
        </w:rPr>
        <w:t xml:space="preserve"> </w:t>
      </w:r>
      <w:r w:rsidR="00776E9C" w:rsidRPr="00F6507E">
        <w:rPr>
          <w:rFonts w:eastAsiaTheme="minorEastAsia"/>
          <w:sz w:val="20"/>
          <w:szCs w:val="22"/>
        </w:rPr>
        <w:t>(</w:t>
      </w:r>
      <w:r w:rsidR="00AD3F24" w:rsidRPr="00F6507E">
        <w:rPr>
          <w:rFonts w:eastAsiaTheme="minorEastAsia"/>
          <w:sz w:val="20"/>
          <w:szCs w:val="22"/>
        </w:rPr>
        <w:t>2023</w:t>
      </w:r>
      <w:r w:rsidR="00776E9C" w:rsidRPr="00F6507E">
        <w:rPr>
          <w:rFonts w:eastAsiaTheme="minorEastAsia"/>
          <w:sz w:val="20"/>
          <w:szCs w:val="22"/>
        </w:rPr>
        <w:t>)</w:t>
      </w:r>
    </w:p>
    <w:p w14:paraId="061EB9D9" w14:textId="0843A2C1" w:rsidR="53B0D851" w:rsidRDefault="7122A6CC" w:rsidP="07AD5326">
      <w:pPr>
        <w:rPr>
          <w:rFonts w:eastAsiaTheme="minorEastAsia"/>
          <w:lang w:eastAsia="en-US"/>
        </w:rPr>
      </w:pPr>
      <w:r w:rsidRPr="07AD5326">
        <w:rPr>
          <w:rFonts w:eastAsiaTheme="minorEastAsia"/>
        </w:rPr>
        <w:t xml:space="preserve">The </w:t>
      </w:r>
      <w:r w:rsidR="3154578B" w:rsidRPr="07AD5326">
        <w:rPr>
          <w:rFonts w:eastAsiaTheme="minorEastAsia"/>
        </w:rPr>
        <w:t>deficit</w:t>
      </w:r>
      <w:r w:rsidRPr="07AD5326">
        <w:rPr>
          <w:rFonts w:eastAsiaTheme="minorEastAsia"/>
        </w:rPr>
        <w:t xml:space="preserve"> rhetoric that </w:t>
      </w:r>
      <w:r w:rsidR="5E0D34E3" w:rsidRPr="07AD5326">
        <w:rPr>
          <w:rFonts w:eastAsiaTheme="minorEastAsia"/>
        </w:rPr>
        <w:t xml:space="preserve">has </w:t>
      </w:r>
      <w:r w:rsidR="339F9F92" w:rsidRPr="07AD5326">
        <w:rPr>
          <w:rFonts w:eastAsiaTheme="minorEastAsia"/>
        </w:rPr>
        <w:t>en</w:t>
      </w:r>
      <w:r w:rsidR="5E0D34E3" w:rsidRPr="07AD5326">
        <w:rPr>
          <w:rFonts w:eastAsiaTheme="minorEastAsia"/>
        </w:rPr>
        <w:t xml:space="preserve">circled </w:t>
      </w:r>
      <w:r w:rsidR="00CB3158">
        <w:rPr>
          <w:rFonts w:eastAsiaTheme="minorEastAsia"/>
        </w:rPr>
        <w:t>ISEPs</w:t>
      </w:r>
      <w:r w:rsidR="0402F8B5" w:rsidRPr="07AD5326">
        <w:rPr>
          <w:rFonts w:eastAsiaTheme="minorEastAsia"/>
        </w:rPr>
        <w:t xml:space="preserve"> in recent year</w:t>
      </w:r>
      <w:r w:rsidR="247FF9D0" w:rsidRPr="07AD5326">
        <w:rPr>
          <w:rFonts w:eastAsiaTheme="minorEastAsia"/>
        </w:rPr>
        <w:t xml:space="preserve">s </w:t>
      </w:r>
      <w:r w:rsidR="0402F8B5" w:rsidRPr="07AD5326">
        <w:rPr>
          <w:rFonts w:eastAsiaTheme="minorEastAsia"/>
        </w:rPr>
        <w:t xml:space="preserve">has </w:t>
      </w:r>
      <w:r w:rsidR="50849ED9" w:rsidRPr="07AD5326">
        <w:rPr>
          <w:rFonts w:eastAsiaTheme="minorEastAsia"/>
        </w:rPr>
        <w:t xml:space="preserve">focused on </w:t>
      </w:r>
      <w:r w:rsidR="3154578B" w:rsidRPr="07AD5326">
        <w:rPr>
          <w:rFonts w:eastAsiaTheme="minorEastAsia"/>
        </w:rPr>
        <w:t>an</w:t>
      </w:r>
      <w:r w:rsidR="02F1E167" w:rsidRPr="07AD5326">
        <w:rPr>
          <w:rFonts w:eastAsiaTheme="minorEastAsia"/>
        </w:rPr>
        <w:t xml:space="preserve"> unfounded belief that </w:t>
      </w:r>
      <w:r w:rsidR="00CB3158">
        <w:rPr>
          <w:rFonts w:eastAsiaTheme="minorEastAsia"/>
        </w:rPr>
        <w:t>they</w:t>
      </w:r>
      <w:r w:rsidR="3154578B" w:rsidRPr="07AD5326">
        <w:rPr>
          <w:rFonts w:eastAsiaTheme="minorEastAsia"/>
        </w:rPr>
        <w:t xml:space="preserve"> </w:t>
      </w:r>
      <w:r w:rsidR="407D0D51" w:rsidRPr="07AD5326">
        <w:rPr>
          <w:rFonts w:eastAsiaTheme="minorEastAsia"/>
        </w:rPr>
        <w:t xml:space="preserve">are </w:t>
      </w:r>
      <w:r w:rsidR="5EF0B03C" w:rsidRPr="07AD5326">
        <w:rPr>
          <w:rFonts w:eastAsiaTheme="minorEastAsia"/>
        </w:rPr>
        <w:t>easy</w:t>
      </w:r>
      <w:r w:rsidR="7069F770" w:rsidRPr="07AD5326">
        <w:rPr>
          <w:rFonts w:eastAsiaTheme="minorEastAsia"/>
        </w:rPr>
        <w:t xml:space="preserve"> pathways</w:t>
      </w:r>
      <w:r w:rsidR="5EF0B03C" w:rsidRPr="07AD5326">
        <w:rPr>
          <w:rFonts w:eastAsiaTheme="minorEastAsia"/>
        </w:rPr>
        <w:t xml:space="preserve">, </w:t>
      </w:r>
      <w:r w:rsidR="407D0D51" w:rsidRPr="07AD5326">
        <w:rPr>
          <w:rFonts w:eastAsiaTheme="minorEastAsia"/>
        </w:rPr>
        <w:t>not rigorous</w:t>
      </w:r>
      <w:r w:rsidR="00CB3158">
        <w:rPr>
          <w:rFonts w:eastAsiaTheme="minorEastAsia"/>
        </w:rPr>
        <w:t>,</w:t>
      </w:r>
      <w:r w:rsidR="5EF0B03C" w:rsidRPr="07AD5326">
        <w:rPr>
          <w:rFonts w:eastAsiaTheme="minorEastAsia"/>
        </w:rPr>
        <w:t xml:space="preserve"> </w:t>
      </w:r>
      <w:r w:rsidR="589F6580" w:rsidRPr="07AD5326">
        <w:rPr>
          <w:rFonts w:eastAsiaTheme="minorEastAsia"/>
        </w:rPr>
        <w:t xml:space="preserve">and the reason </w:t>
      </w:r>
      <w:r w:rsidR="5EF0B03C" w:rsidRPr="07AD5326">
        <w:rPr>
          <w:rFonts w:eastAsiaTheme="minorEastAsia"/>
        </w:rPr>
        <w:t>ATAR participation is falling</w:t>
      </w:r>
      <w:r w:rsidR="3154578B" w:rsidRPr="07AD5326">
        <w:rPr>
          <w:rFonts w:eastAsiaTheme="minorEastAsia"/>
        </w:rPr>
        <w:t xml:space="preserve">. </w:t>
      </w:r>
      <w:r w:rsidR="550F4980" w:rsidRPr="07AD5326">
        <w:rPr>
          <w:rFonts w:eastAsiaTheme="minorEastAsia"/>
        </w:rPr>
        <w:t>In public discourse</w:t>
      </w:r>
      <w:r w:rsidR="00CB3158">
        <w:rPr>
          <w:rFonts w:eastAsiaTheme="minorEastAsia"/>
        </w:rPr>
        <w:t>,</w:t>
      </w:r>
      <w:r w:rsidR="5EF0B03C" w:rsidRPr="07AD5326">
        <w:rPr>
          <w:rFonts w:eastAsiaTheme="minorEastAsia"/>
        </w:rPr>
        <w:t xml:space="preserve"> ATAR </w:t>
      </w:r>
      <w:r w:rsidR="550F4980" w:rsidRPr="07AD5326">
        <w:rPr>
          <w:rFonts w:eastAsiaTheme="minorEastAsia"/>
        </w:rPr>
        <w:t>remains</w:t>
      </w:r>
      <w:r w:rsidR="5EF0B03C" w:rsidRPr="07AD5326">
        <w:rPr>
          <w:rFonts w:eastAsiaTheme="minorEastAsia"/>
        </w:rPr>
        <w:t xml:space="preserve"> the bastion of </w:t>
      </w:r>
      <w:r w:rsidR="247FF9D0" w:rsidRPr="07AD5326">
        <w:rPr>
          <w:rFonts w:eastAsiaTheme="minorEastAsia"/>
        </w:rPr>
        <w:t xml:space="preserve">preparation </w:t>
      </w:r>
      <w:r w:rsidR="3DBE0A93" w:rsidRPr="07AD5326">
        <w:rPr>
          <w:rFonts w:eastAsiaTheme="minorEastAsia"/>
        </w:rPr>
        <w:t>for higher education. However, as this project and recent literature in the field suggests</w:t>
      </w:r>
      <w:r w:rsidR="710A2648" w:rsidRPr="07AD5326">
        <w:rPr>
          <w:rFonts w:eastAsiaTheme="minorEastAsia"/>
        </w:rPr>
        <w:t>,</w:t>
      </w:r>
      <w:r w:rsidR="3DBE0A93" w:rsidRPr="07AD5326">
        <w:rPr>
          <w:rFonts w:eastAsiaTheme="minorEastAsia"/>
        </w:rPr>
        <w:t xml:space="preserve"> ATAR</w:t>
      </w:r>
      <w:r w:rsidR="00CB3158">
        <w:rPr>
          <w:rFonts w:eastAsiaTheme="minorEastAsia"/>
        </w:rPr>
        <w:t xml:space="preserve"> itself</w:t>
      </w:r>
      <w:r w:rsidR="3DBE0A93" w:rsidRPr="07AD5326">
        <w:rPr>
          <w:rFonts w:eastAsiaTheme="minorEastAsia"/>
        </w:rPr>
        <w:t xml:space="preserve"> is the reason ATAR </w:t>
      </w:r>
      <w:r w:rsidR="21F5428D" w:rsidRPr="07AD5326">
        <w:rPr>
          <w:rFonts w:eastAsiaTheme="minorEastAsia"/>
        </w:rPr>
        <w:t>participation is failing</w:t>
      </w:r>
      <w:r w:rsidR="140CF9A7" w:rsidRPr="07AD5326">
        <w:rPr>
          <w:rFonts w:eastAsiaTheme="minorEastAsia"/>
        </w:rPr>
        <w:t>.</w:t>
      </w:r>
      <w:r w:rsidR="21F5428D" w:rsidRPr="07AD5326">
        <w:rPr>
          <w:rFonts w:eastAsiaTheme="minorEastAsia"/>
        </w:rPr>
        <w:t xml:space="preserve"> </w:t>
      </w:r>
      <w:r w:rsidR="56B30CB0" w:rsidRPr="07AD5326">
        <w:rPr>
          <w:rFonts w:eastAsiaTheme="minorEastAsia"/>
        </w:rPr>
        <w:t>I</w:t>
      </w:r>
      <w:r w:rsidR="21F5428D" w:rsidRPr="07AD5326">
        <w:rPr>
          <w:rFonts w:eastAsiaTheme="minorEastAsia"/>
        </w:rPr>
        <w:t xml:space="preserve">ts </w:t>
      </w:r>
      <w:r w:rsidR="550F4980" w:rsidRPr="07AD5326">
        <w:rPr>
          <w:rFonts w:eastAsiaTheme="minorEastAsia"/>
        </w:rPr>
        <w:t>restrictive</w:t>
      </w:r>
      <w:r w:rsidR="0D60FB6D" w:rsidRPr="07AD5326">
        <w:rPr>
          <w:rFonts w:eastAsiaTheme="minorEastAsia"/>
        </w:rPr>
        <w:t xml:space="preserve"> pedagogical</w:t>
      </w:r>
      <w:r w:rsidR="73DBD99E" w:rsidRPr="07AD5326">
        <w:rPr>
          <w:rFonts w:eastAsiaTheme="minorEastAsia"/>
        </w:rPr>
        <w:t xml:space="preserve"> model, </w:t>
      </w:r>
      <w:r w:rsidR="5076F6C3" w:rsidRPr="07AD5326">
        <w:rPr>
          <w:rFonts w:eastAsiaTheme="minorEastAsia"/>
        </w:rPr>
        <w:t xml:space="preserve">limited </w:t>
      </w:r>
      <w:r w:rsidR="517B499C" w:rsidRPr="07AD5326">
        <w:rPr>
          <w:rFonts w:eastAsiaTheme="minorEastAsia"/>
        </w:rPr>
        <w:t>provision</w:t>
      </w:r>
      <w:r w:rsidR="61A8FF3C" w:rsidRPr="07AD5326">
        <w:rPr>
          <w:rFonts w:eastAsiaTheme="minorEastAsia"/>
        </w:rPr>
        <w:t xml:space="preserve"> to regional</w:t>
      </w:r>
      <w:r w:rsidR="0FEDB23F" w:rsidRPr="07AD5326">
        <w:rPr>
          <w:rFonts w:eastAsiaTheme="minorEastAsia"/>
        </w:rPr>
        <w:t xml:space="preserve"> </w:t>
      </w:r>
      <w:r w:rsidR="140CF9A7" w:rsidRPr="07AD5326">
        <w:rPr>
          <w:rFonts w:eastAsiaTheme="minorEastAsia"/>
        </w:rPr>
        <w:t>and remote students</w:t>
      </w:r>
      <w:r w:rsidR="5076F6C3" w:rsidRPr="07AD5326">
        <w:rPr>
          <w:rFonts w:eastAsiaTheme="minorEastAsia"/>
        </w:rPr>
        <w:t>, high</w:t>
      </w:r>
      <w:r w:rsidR="31F872D3" w:rsidRPr="07AD5326">
        <w:rPr>
          <w:rFonts w:eastAsiaTheme="minorEastAsia"/>
        </w:rPr>
        <w:t xml:space="preserve"> </w:t>
      </w:r>
      <w:r w:rsidR="5076F6C3" w:rsidRPr="07AD5326">
        <w:rPr>
          <w:rFonts w:eastAsiaTheme="minorEastAsia"/>
        </w:rPr>
        <w:t>school streaming processes</w:t>
      </w:r>
      <w:r w:rsidR="009B231E">
        <w:rPr>
          <w:rFonts w:eastAsiaTheme="minorEastAsia"/>
        </w:rPr>
        <w:t>,</w:t>
      </w:r>
      <w:r w:rsidR="5076F6C3" w:rsidRPr="07AD5326">
        <w:rPr>
          <w:rFonts w:eastAsiaTheme="minorEastAsia"/>
        </w:rPr>
        <w:t xml:space="preserve"> and </w:t>
      </w:r>
      <w:r w:rsidR="002B311C">
        <w:rPr>
          <w:rFonts w:eastAsiaTheme="minorEastAsia"/>
        </w:rPr>
        <w:t xml:space="preserve">what </w:t>
      </w:r>
      <w:proofErr w:type="spellStart"/>
      <w:r w:rsidR="002B311C">
        <w:rPr>
          <w:rFonts w:eastAsiaTheme="minorEastAsia"/>
        </w:rPr>
        <w:t>Patfield</w:t>
      </w:r>
      <w:proofErr w:type="spellEnd"/>
      <w:r w:rsidR="009B231E">
        <w:rPr>
          <w:rFonts w:eastAsiaTheme="minorEastAsia"/>
        </w:rPr>
        <w:t xml:space="preserve"> refers to as a </w:t>
      </w:r>
      <w:r w:rsidR="00341A7B">
        <w:rPr>
          <w:rFonts w:eastAsiaTheme="minorEastAsia"/>
        </w:rPr>
        <w:t>“mysterious scaling</w:t>
      </w:r>
      <w:r w:rsidR="009B231E">
        <w:rPr>
          <w:rFonts w:eastAsiaTheme="minorEastAsia"/>
        </w:rPr>
        <w:t xml:space="preserve"> process</w:t>
      </w:r>
      <w:r w:rsidR="00341A7B">
        <w:rPr>
          <w:rFonts w:eastAsiaTheme="minorEastAsia"/>
        </w:rPr>
        <w:t>”</w:t>
      </w:r>
      <w:r w:rsidR="5076F6C3" w:rsidRPr="07AD5326">
        <w:rPr>
          <w:rFonts w:eastAsiaTheme="minorEastAsia"/>
        </w:rPr>
        <w:t xml:space="preserve"> </w:t>
      </w:r>
      <w:r w:rsidR="002B311C" w:rsidRPr="07AD5326">
        <w:rPr>
          <w:rFonts w:eastAsiaTheme="minorEastAsia"/>
        </w:rPr>
        <w:t>(2024</w:t>
      </w:r>
      <w:r w:rsidR="009B231E">
        <w:rPr>
          <w:rFonts w:eastAsiaTheme="minorEastAsia"/>
        </w:rPr>
        <w:t>, p.18</w:t>
      </w:r>
      <w:r w:rsidR="002B311C" w:rsidRPr="07AD5326">
        <w:rPr>
          <w:rFonts w:eastAsiaTheme="minorEastAsia"/>
        </w:rPr>
        <w:t>)</w:t>
      </w:r>
      <w:r w:rsidR="5076F6C3" w:rsidRPr="07AD5326">
        <w:rPr>
          <w:rFonts w:eastAsiaTheme="minorEastAsia"/>
        </w:rPr>
        <w:t xml:space="preserve">, </w:t>
      </w:r>
      <w:r w:rsidR="79966E03" w:rsidRPr="07AD5326">
        <w:rPr>
          <w:rFonts w:eastAsiaTheme="minorEastAsia"/>
        </w:rPr>
        <w:t>privilege</w:t>
      </w:r>
      <w:r w:rsidR="517B499C" w:rsidRPr="07AD5326">
        <w:rPr>
          <w:rFonts w:eastAsiaTheme="minorEastAsia"/>
        </w:rPr>
        <w:t>s</w:t>
      </w:r>
      <w:r w:rsidR="140CF9A7" w:rsidRPr="07AD5326">
        <w:rPr>
          <w:rFonts w:eastAsiaTheme="minorEastAsia"/>
        </w:rPr>
        <w:t xml:space="preserve"> </w:t>
      </w:r>
      <w:r w:rsidR="2DDB121F" w:rsidRPr="07AD5326">
        <w:rPr>
          <w:rFonts w:eastAsiaTheme="minorEastAsia"/>
        </w:rPr>
        <w:t>high ICSEA schools</w:t>
      </w:r>
      <w:r w:rsidR="7CABE195" w:rsidRPr="07AD5326">
        <w:rPr>
          <w:rFonts w:eastAsiaTheme="minorEastAsia"/>
        </w:rPr>
        <w:t xml:space="preserve"> </w:t>
      </w:r>
      <w:r w:rsidR="517B499C" w:rsidRPr="07AD5326">
        <w:rPr>
          <w:rFonts w:eastAsiaTheme="minorEastAsia"/>
        </w:rPr>
        <w:t xml:space="preserve">and those students who fit </w:t>
      </w:r>
      <w:r w:rsidR="367ABA31" w:rsidRPr="07AD5326">
        <w:rPr>
          <w:rFonts w:eastAsiaTheme="minorEastAsia"/>
        </w:rPr>
        <w:t>a</w:t>
      </w:r>
      <w:r w:rsidR="5D2D9FB8" w:rsidRPr="07AD5326">
        <w:rPr>
          <w:rFonts w:eastAsiaTheme="minorEastAsia"/>
        </w:rPr>
        <w:t xml:space="preserve"> rigid mould. This </w:t>
      </w:r>
      <w:r w:rsidR="752EC367" w:rsidRPr="07AD5326">
        <w:rPr>
          <w:rFonts w:eastAsiaTheme="minorEastAsia"/>
        </w:rPr>
        <w:t>has</w:t>
      </w:r>
      <w:r w:rsidR="56B30CB0" w:rsidRPr="07AD5326">
        <w:rPr>
          <w:rFonts w:eastAsiaTheme="minorEastAsia"/>
        </w:rPr>
        <w:t xml:space="preserve"> resulted in </w:t>
      </w:r>
      <w:r w:rsidR="5D2D9FB8" w:rsidRPr="07AD5326">
        <w:rPr>
          <w:rFonts w:eastAsiaTheme="minorEastAsia"/>
        </w:rPr>
        <w:t>an ever</w:t>
      </w:r>
      <w:r w:rsidR="5C9DBE13" w:rsidRPr="07AD5326">
        <w:rPr>
          <w:rFonts w:eastAsiaTheme="minorEastAsia"/>
        </w:rPr>
        <w:t>-</w:t>
      </w:r>
      <w:r w:rsidR="5D2D9FB8" w:rsidRPr="07AD5326">
        <w:rPr>
          <w:rFonts w:eastAsiaTheme="minorEastAsia"/>
        </w:rPr>
        <w:t>widening gap of aspiring</w:t>
      </w:r>
      <w:r w:rsidR="56B30CB0" w:rsidRPr="07AD5326">
        <w:rPr>
          <w:rFonts w:eastAsiaTheme="minorEastAsia"/>
        </w:rPr>
        <w:t xml:space="preserve"> students </w:t>
      </w:r>
      <w:r w:rsidR="616279DE" w:rsidRPr="07AD5326">
        <w:rPr>
          <w:rFonts w:eastAsiaTheme="minorEastAsia"/>
        </w:rPr>
        <w:t xml:space="preserve">who have attempted ATAR and </w:t>
      </w:r>
      <w:r w:rsidR="3EB73C70" w:rsidRPr="07AD5326">
        <w:rPr>
          <w:rFonts w:eastAsiaTheme="minorEastAsia"/>
        </w:rPr>
        <w:t xml:space="preserve">struggled, or </w:t>
      </w:r>
      <w:r w:rsidR="5D2D9FB8" w:rsidRPr="07AD5326">
        <w:rPr>
          <w:rFonts w:eastAsiaTheme="minorEastAsia"/>
        </w:rPr>
        <w:t>who</w:t>
      </w:r>
      <w:r w:rsidR="587A53C9" w:rsidRPr="07AD5326">
        <w:rPr>
          <w:rFonts w:eastAsiaTheme="minorEastAsia"/>
        </w:rPr>
        <w:t xml:space="preserve"> </w:t>
      </w:r>
      <w:r w:rsidR="152A2C08" w:rsidRPr="07AD5326">
        <w:rPr>
          <w:rFonts w:eastAsiaTheme="minorEastAsia"/>
        </w:rPr>
        <w:t>could not attempt</w:t>
      </w:r>
      <w:r w:rsidR="587A53C9" w:rsidRPr="07AD5326">
        <w:rPr>
          <w:rFonts w:eastAsiaTheme="minorEastAsia"/>
        </w:rPr>
        <w:t xml:space="preserve"> it because of its </w:t>
      </w:r>
      <w:r w:rsidR="5D2D9FB8" w:rsidRPr="07AD5326">
        <w:rPr>
          <w:rFonts w:eastAsiaTheme="minorEastAsia"/>
        </w:rPr>
        <w:t>limitations</w:t>
      </w:r>
      <w:r w:rsidR="587A53C9" w:rsidRPr="07AD5326">
        <w:rPr>
          <w:rFonts w:eastAsiaTheme="minorEastAsia"/>
        </w:rPr>
        <w:t xml:space="preserve">. </w:t>
      </w:r>
      <w:r w:rsidR="00CB3158">
        <w:rPr>
          <w:rFonts w:eastAsiaTheme="minorEastAsia"/>
        </w:rPr>
        <w:t>T</w:t>
      </w:r>
      <w:r w:rsidR="5E063270" w:rsidRPr="07AD5326">
        <w:rPr>
          <w:rFonts w:eastAsiaTheme="minorEastAsia"/>
        </w:rPr>
        <w:t xml:space="preserve">hose </w:t>
      </w:r>
      <w:r w:rsidR="00CB3158">
        <w:rPr>
          <w:rFonts w:eastAsiaTheme="minorEastAsia"/>
        </w:rPr>
        <w:t>whom</w:t>
      </w:r>
      <w:r w:rsidR="5E063270" w:rsidRPr="07AD5326">
        <w:rPr>
          <w:rFonts w:eastAsiaTheme="minorEastAsia"/>
        </w:rPr>
        <w:t xml:space="preserve"> </w:t>
      </w:r>
      <w:r w:rsidR="00CB3158">
        <w:rPr>
          <w:rFonts w:eastAsiaTheme="minorEastAsia"/>
        </w:rPr>
        <w:t>ATAR</w:t>
      </w:r>
      <w:r w:rsidR="5E063270" w:rsidRPr="07AD5326">
        <w:rPr>
          <w:rFonts w:eastAsiaTheme="minorEastAsia"/>
        </w:rPr>
        <w:t xml:space="preserve"> </w:t>
      </w:r>
      <w:r w:rsidR="06CC710A" w:rsidRPr="07AD5326">
        <w:rPr>
          <w:rFonts w:eastAsiaTheme="minorEastAsia"/>
        </w:rPr>
        <w:t>has not</w:t>
      </w:r>
      <w:r w:rsidR="5D2D9FB8" w:rsidRPr="07AD5326">
        <w:rPr>
          <w:rFonts w:eastAsiaTheme="minorEastAsia"/>
        </w:rPr>
        <w:t>,</w:t>
      </w:r>
      <w:r w:rsidR="06CC710A" w:rsidRPr="07AD5326">
        <w:rPr>
          <w:rFonts w:eastAsiaTheme="minorEastAsia"/>
        </w:rPr>
        <w:t xml:space="preserve"> and currently does not serve</w:t>
      </w:r>
      <w:r w:rsidR="5D2D9FB8" w:rsidRPr="07AD5326">
        <w:rPr>
          <w:rFonts w:eastAsiaTheme="minorEastAsia"/>
        </w:rPr>
        <w:t>,</w:t>
      </w:r>
      <w:r w:rsidR="06CC710A" w:rsidRPr="07AD5326">
        <w:rPr>
          <w:rFonts w:eastAsiaTheme="minorEastAsia"/>
        </w:rPr>
        <w:t xml:space="preserve"> </w:t>
      </w:r>
      <w:r w:rsidR="29CA4CAE" w:rsidRPr="07AD5326">
        <w:rPr>
          <w:rFonts w:eastAsiaTheme="minorEastAsia"/>
        </w:rPr>
        <w:t xml:space="preserve">are left with a non-confident pathway. </w:t>
      </w:r>
      <w:r w:rsidR="688B9F94" w:rsidRPr="07AD5326">
        <w:rPr>
          <w:rFonts w:eastAsiaTheme="minorEastAsia"/>
        </w:rPr>
        <w:t>In response to the secondary sector</w:t>
      </w:r>
      <w:r w:rsidR="00C34201">
        <w:rPr>
          <w:rFonts w:eastAsiaTheme="minorEastAsia"/>
        </w:rPr>
        <w:t>’</w:t>
      </w:r>
      <w:r w:rsidR="688B9F94" w:rsidRPr="07AD5326">
        <w:rPr>
          <w:rFonts w:eastAsiaTheme="minorEastAsia"/>
        </w:rPr>
        <w:t>s call to arms</w:t>
      </w:r>
      <w:r w:rsidR="5A60E827" w:rsidRPr="07AD5326">
        <w:rPr>
          <w:rFonts w:eastAsiaTheme="minorEastAsia"/>
        </w:rPr>
        <w:t xml:space="preserve">, </w:t>
      </w:r>
      <w:r w:rsidR="378B7CC6" w:rsidRPr="07AD5326">
        <w:rPr>
          <w:rFonts w:eastAsiaTheme="minorEastAsia"/>
        </w:rPr>
        <w:t>universities</w:t>
      </w:r>
      <w:r w:rsidR="5A60E827" w:rsidRPr="07AD5326">
        <w:rPr>
          <w:rFonts w:eastAsiaTheme="minorEastAsia"/>
        </w:rPr>
        <w:t xml:space="preserve"> designed</w:t>
      </w:r>
      <w:r w:rsidR="688B9F94" w:rsidRPr="07AD5326">
        <w:rPr>
          <w:rFonts w:eastAsiaTheme="minorEastAsia"/>
        </w:rPr>
        <w:t xml:space="preserve"> </w:t>
      </w:r>
      <w:r w:rsidR="5A60E827" w:rsidRPr="07AD5326">
        <w:rPr>
          <w:rFonts w:eastAsiaTheme="minorEastAsia"/>
        </w:rPr>
        <w:t>ISEPs that centre student</w:t>
      </w:r>
      <w:r w:rsidR="7B6D36BD" w:rsidRPr="07AD5326">
        <w:rPr>
          <w:rFonts w:eastAsiaTheme="minorEastAsia"/>
        </w:rPr>
        <w:t xml:space="preserve"> flourishing</w:t>
      </w:r>
      <w:r w:rsidR="5A60E827" w:rsidRPr="07AD5326">
        <w:rPr>
          <w:rFonts w:eastAsiaTheme="minorEastAsia"/>
        </w:rPr>
        <w:t xml:space="preserve"> both academically and socio-emotionally</w:t>
      </w:r>
      <w:r w:rsidR="7B6D36BD" w:rsidRPr="07AD5326">
        <w:rPr>
          <w:rFonts w:eastAsiaTheme="minorEastAsia"/>
        </w:rPr>
        <w:t>. Yet,</w:t>
      </w:r>
      <w:r w:rsidR="1CFCAFA9" w:rsidRPr="07AD5326">
        <w:rPr>
          <w:rFonts w:eastAsiaTheme="minorEastAsia"/>
        </w:rPr>
        <w:t xml:space="preserve"> </w:t>
      </w:r>
      <w:r w:rsidR="7BDE87CA" w:rsidRPr="07AD5326">
        <w:rPr>
          <w:rFonts w:eastAsiaTheme="minorEastAsia"/>
        </w:rPr>
        <w:t xml:space="preserve">since </w:t>
      </w:r>
      <w:r w:rsidR="00C34201">
        <w:rPr>
          <w:rFonts w:eastAsiaTheme="minorEastAsia"/>
        </w:rPr>
        <w:t xml:space="preserve">the inception of </w:t>
      </w:r>
      <w:r w:rsidR="5A60E827" w:rsidRPr="07AD5326">
        <w:rPr>
          <w:rFonts w:eastAsiaTheme="minorEastAsia"/>
        </w:rPr>
        <w:t>ISEPs</w:t>
      </w:r>
      <w:r w:rsidR="00C34201">
        <w:rPr>
          <w:rFonts w:eastAsiaTheme="minorEastAsia"/>
        </w:rPr>
        <w:t>,</w:t>
      </w:r>
      <w:r w:rsidR="7BDE87CA" w:rsidRPr="07AD5326">
        <w:rPr>
          <w:rFonts w:eastAsiaTheme="minorEastAsia"/>
        </w:rPr>
        <w:t xml:space="preserve"> </w:t>
      </w:r>
      <w:r w:rsidR="25814204" w:rsidRPr="07AD5326">
        <w:rPr>
          <w:rFonts w:eastAsiaTheme="minorEastAsia"/>
        </w:rPr>
        <w:t xml:space="preserve">universities have had to </w:t>
      </w:r>
      <w:r w:rsidR="39E26CAC" w:rsidRPr="07AD5326">
        <w:rPr>
          <w:rFonts w:eastAsiaTheme="minorEastAsia"/>
        </w:rPr>
        <w:t xml:space="preserve">extinguish </w:t>
      </w:r>
      <w:r w:rsidR="378B7CC6" w:rsidRPr="07AD5326">
        <w:rPr>
          <w:rFonts w:eastAsiaTheme="minorEastAsia"/>
        </w:rPr>
        <w:t>prevailing</w:t>
      </w:r>
      <w:r w:rsidR="39E26CAC" w:rsidRPr="07AD5326">
        <w:rPr>
          <w:rFonts w:eastAsiaTheme="minorEastAsia"/>
        </w:rPr>
        <w:t xml:space="preserve"> flames of </w:t>
      </w:r>
      <w:r w:rsidR="25814204" w:rsidRPr="07AD5326">
        <w:rPr>
          <w:rFonts w:eastAsiaTheme="minorEastAsia"/>
        </w:rPr>
        <w:t>doubt</w:t>
      </w:r>
      <w:r w:rsidR="378B7CC6" w:rsidRPr="07AD5326">
        <w:rPr>
          <w:rFonts w:eastAsiaTheme="minorEastAsia"/>
        </w:rPr>
        <w:t xml:space="preserve"> </w:t>
      </w:r>
      <w:r w:rsidR="448CF5BD" w:rsidRPr="07AD5326">
        <w:rPr>
          <w:rFonts w:eastAsiaTheme="minorEastAsia"/>
        </w:rPr>
        <w:t xml:space="preserve">over their </w:t>
      </w:r>
      <w:r w:rsidR="262A72B3" w:rsidRPr="07AD5326">
        <w:rPr>
          <w:rFonts w:eastAsiaTheme="minorEastAsia"/>
        </w:rPr>
        <w:t>rigour</w:t>
      </w:r>
      <w:r w:rsidR="25814204" w:rsidRPr="07AD5326">
        <w:rPr>
          <w:rFonts w:eastAsiaTheme="minorEastAsia"/>
        </w:rPr>
        <w:t xml:space="preserve">. </w:t>
      </w:r>
      <w:r w:rsidR="378B7CC6" w:rsidRPr="07AD5326">
        <w:rPr>
          <w:rFonts w:eastAsiaTheme="minorEastAsia"/>
        </w:rPr>
        <w:t>Government departments supported by media</w:t>
      </w:r>
      <w:r w:rsidR="03702BA4" w:rsidRPr="07AD5326">
        <w:rPr>
          <w:rFonts w:eastAsiaTheme="minorEastAsia"/>
        </w:rPr>
        <w:t xml:space="preserve"> have sought to dismantle these programs with the same intensity used to undermine disadvantaged non-ATAR students, perpetuating the </w:t>
      </w:r>
      <w:r w:rsidR="3A369220" w:rsidRPr="07AD5326">
        <w:rPr>
          <w:rFonts w:eastAsiaTheme="minorEastAsia"/>
        </w:rPr>
        <w:t>sentiment</w:t>
      </w:r>
      <w:r w:rsidR="03702BA4" w:rsidRPr="07AD5326">
        <w:rPr>
          <w:rFonts w:eastAsiaTheme="minorEastAsia"/>
        </w:rPr>
        <w:t xml:space="preserve"> that </w:t>
      </w:r>
      <w:r w:rsidR="152A2C08" w:rsidRPr="07AD5326">
        <w:rPr>
          <w:rFonts w:eastAsiaTheme="minorEastAsia"/>
        </w:rPr>
        <w:t>so-called “alternative pathways”</w:t>
      </w:r>
      <w:r w:rsidR="03702BA4" w:rsidRPr="07AD5326">
        <w:rPr>
          <w:rFonts w:eastAsiaTheme="minorEastAsia"/>
        </w:rPr>
        <w:t xml:space="preserve"> are simply </w:t>
      </w:r>
      <w:r w:rsidR="443A32DD" w:rsidRPr="07AD5326">
        <w:rPr>
          <w:rFonts w:eastAsiaTheme="minorEastAsia"/>
        </w:rPr>
        <w:t>“</w:t>
      </w:r>
      <w:r w:rsidR="03702BA4" w:rsidRPr="07AD5326">
        <w:rPr>
          <w:rFonts w:eastAsiaTheme="minorEastAsia"/>
        </w:rPr>
        <w:t>not good enough</w:t>
      </w:r>
      <w:r w:rsidR="443A32DD" w:rsidRPr="07AD5326">
        <w:rPr>
          <w:rFonts w:eastAsiaTheme="minorEastAsia"/>
        </w:rPr>
        <w:t>”</w:t>
      </w:r>
      <w:r w:rsidR="7D620916" w:rsidRPr="07AD5326">
        <w:rPr>
          <w:rFonts w:eastAsiaTheme="minorEastAsia"/>
        </w:rPr>
        <w:t>.</w:t>
      </w:r>
    </w:p>
    <w:p w14:paraId="691F1E28" w14:textId="20A5F0DF" w:rsidR="53B0D851" w:rsidRDefault="00F529AE" w:rsidP="53B0D851">
      <w:pPr>
        <w:rPr>
          <w:rFonts w:eastAsiaTheme="minorEastAsia"/>
        </w:rPr>
      </w:pPr>
      <w:r w:rsidRPr="658F4599">
        <w:rPr>
          <w:rFonts w:eastAsiaTheme="minorEastAsia"/>
        </w:rPr>
        <w:t xml:space="preserve">However, this </w:t>
      </w:r>
      <w:r w:rsidR="001B1D08" w:rsidRPr="658F4599">
        <w:rPr>
          <w:rFonts w:eastAsiaTheme="minorEastAsia"/>
        </w:rPr>
        <w:t>cross-</w:t>
      </w:r>
      <w:r w:rsidR="00691596" w:rsidRPr="658F4599">
        <w:rPr>
          <w:rFonts w:eastAsiaTheme="minorEastAsia"/>
        </w:rPr>
        <w:t xml:space="preserve">institutional </w:t>
      </w:r>
      <w:r w:rsidR="001B1D08" w:rsidRPr="658F4599">
        <w:rPr>
          <w:rFonts w:eastAsiaTheme="minorEastAsia"/>
        </w:rPr>
        <w:t xml:space="preserve">multiphase project </w:t>
      </w:r>
      <w:r w:rsidR="00F732D4" w:rsidRPr="658F4599">
        <w:rPr>
          <w:rFonts w:eastAsiaTheme="minorEastAsia"/>
        </w:rPr>
        <w:t xml:space="preserve">has </w:t>
      </w:r>
      <w:r w:rsidR="002F3A38" w:rsidRPr="658F4599">
        <w:rPr>
          <w:rFonts w:eastAsiaTheme="minorEastAsia"/>
        </w:rPr>
        <w:t>revealed</w:t>
      </w:r>
      <w:r w:rsidR="00F732D4" w:rsidRPr="658F4599">
        <w:rPr>
          <w:rFonts w:eastAsiaTheme="minorEastAsia"/>
        </w:rPr>
        <w:t xml:space="preserve"> </w:t>
      </w:r>
      <w:r w:rsidR="007E0F43" w:rsidRPr="658F4599">
        <w:rPr>
          <w:rFonts w:eastAsiaTheme="minorEastAsia"/>
        </w:rPr>
        <w:t xml:space="preserve">the </w:t>
      </w:r>
      <w:r w:rsidR="00F732D4" w:rsidRPr="658F4599">
        <w:rPr>
          <w:rFonts w:eastAsiaTheme="minorEastAsia"/>
        </w:rPr>
        <w:t>opposite</w:t>
      </w:r>
      <w:r w:rsidR="007E0F43" w:rsidRPr="658F4599">
        <w:rPr>
          <w:rFonts w:eastAsiaTheme="minorEastAsia"/>
        </w:rPr>
        <w:t xml:space="preserve"> is true</w:t>
      </w:r>
      <w:r w:rsidR="00F732D4" w:rsidRPr="658F4599">
        <w:rPr>
          <w:rFonts w:eastAsiaTheme="minorEastAsia"/>
        </w:rPr>
        <w:t xml:space="preserve">. </w:t>
      </w:r>
      <w:r w:rsidR="002B5AB6" w:rsidRPr="658F4599">
        <w:rPr>
          <w:rFonts w:eastAsiaTheme="minorEastAsia"/>
        </w:rPr>
        <w:t xml:space="preserve">This </w:t>
      </w:r>
      <w:r w:rsidR="000F78F1" w:rsidRPr="658F4599">
        <w:rPr>
          <w:rFonts w:eastAsiaTheme="minorEastAsia"/>
        </w:rPr>
        <w:t>discussion is the final phase in this project,</w:t>
      </w:r>
      <w:r w:rsidR="007E0F43" w:rsidRPr="658F4599">
        <w:rPr>
          <w:rFonts w:eastAsiaTheme="minorEastAsia"/>
        </w:rPr>
        <w:t xml:space="preserve"> synthesising the overall findings from </w:t>
      </w:r>
      <w:r w:rsidR="00C34201">
        <w:rPr>
          <w:rFonts w:eastAsiaTheme="minorEastAsia"/>
        </w:rPr>
        <w:t>p</w:t>
      </w:r>
      <w:r w:rsidR="007E0F43" w:rsidRPr="658F4599">
        <w:rPr>
          <w:rFonts w:eastAsiaTheme="minorEastAsia"/>
        </w:rPr>
        <w:t xml:space="preserve">hases </w:t>
      </w:r>
      <w:r w:rsidR="00C34201">
        <w:rPr>
          <w:rFonts w:eastAsiaTheme="minorEastAsia"/>
        </w:rPr>
        <w:t>o</w:t>
      </w:r>
      <w:r w:rsidR="007E0F43" w:rsidRPr="658F4599">
        <w:rPr>
          <w:rFonts w:eastAsiaTheme="minorEastAsia"/>
        </w:rPr>
        <w:t xml:space="preserve">ne to </w:t>
      </w:r>
      <w:r w:rsidR="00C34201">
        <w:rPr>
          <w:rFonts w:eastAsiaTheme="minorEastAsia"/>
        </w:rPr>
        <w:t>t</w:t>
      </w:r>
      <w:r w:rsidR="007E0F43" w:rsidRPr="658F4599">
        <w:rPr>
          <w:rFonts w:eastAsiaTheme="minorEastAsia"/>
        </w:rPr>
        <w:t>hree.</w:t>
      </w:r>
      <w:r w:rsidR="00F732D4" w:rsidRPr="658F4599">
        <w:rPr>
          <w:rFonts w:eastAsiaTheme="minorEastAsia"/>
        </w:rPr>
        <w:t xml:space="preserve"> </w:t>
      </w:r>
      <w:r w:rsidR="00F55D05" w:rsidRPr="658F4599">
        <w:rPr>
          <w:rFonts w:eastAsiaTheme="minorEastAsia"/>
        </w:rPr>
        <w:t>T</w:t>
      </w:r>
      <w:r w:rsidR="47B60F28" w:rsidRPr="658F4599">
        <w:rPr>
          <w:rFonts w:eastAsiaTheme="minorEastAsia"/>
        </w:rPr>
        <w:t>his synthesis demonstrates</w:t>
      </w:r>
      <w:r w:rsidR="00C34201">
        <w:rPr>
          <w:rFonts w:eastAsiaTheme="minorEastAsia"/>
        </w:rPr>
        <w:t>,</w:t>
      </w:r>
      <w:r w:rsidR="47B60F28" w:rsidRPr="658F4599">
        <w:rPr>
          <w:rFonts w:eastAsiaTheme="minorEastAsia"/>
        </w:rPr>
        <w:t xml:space="preserve"> through </w:t>
      </w:r>
      <w:r w:rsidR="4D90314B" w:rsidRPr="658F4599">
        <w:rPr>
          <w:rFonts w:eastAsiaTheme="minorEastAsia"/>
        </w:rPr>
        <w:t>quantitative</w:t>
      </w:r>
      <w:r w:rsidR="47B60F28" w:rsidRPr="658F4599">
        <w:rPr>
          <w:rFonts w:eastAsiaTheme="minorEastAsia"/>
        </w:rPr>
        <w:t xml:space="preserve"> data, as well as student and educator voice</w:t>
      </w:r>
      <w:r w:rsidR="00C34201">
        <w:rPr>
          <w:rFonts w:eastAsiaTheme="minorEastAsia"/>
        </w:rPr>
        <w:t>s</w:t>
      </w:r>
      <w:r w:rsidR="47B60F28" w:rsidRPr="658F4599">
        <w:rPr>
          <w:rFonts w:eastAsiaTheme="minorEastAsia"/>
        </w:rPr>
        <w:t>, that ISEPs provide confident pathway</w:t>
      </w:r>
      <w:r w:rsidR="00C34201">
        <w:rPr>
          <w:rFonts w:eastAsiaTheme="minorEastAsia"/>
        </w:rPr>
        <w:t>s</w:t>
      </w:r>
      <w:r w:rsidR="47B60F28" w:rsidRPr="658F4599">
        <w:rPr>
          <w:rFonts w:eastAsiaTheme="minorEastAsia"/>
        </w:rPr>
        <w:t xml:space="preserve"> into undergraduate study. </w:t>
      </w:r>
      <w:r w:rsidR="06AE767C" w:rsidRPr="658F4599">
        <w:rPr>
          <w:rFonts w:eastAsiaTheme="minorEastAsia"/>
        </w:rPr>
        <w:t>This is achieved by offering underserved students a rigorous, well-designed program that combines academic and cultural preparation, building self-efficacy for successful transition to</w:t>
      </w:r>
      <w:r w:rsidR="00C34201">
        <w:rPr>
          <w:rFonts w:eastAsiaTheme="minorEastAsia"/>
        </w:rPr>
        <w:t>,</w:t>
      </w:r>
      <w:r w:rsidR="06AE767C" w:rsidRPr="658F4599">
        <w:rPr>
          <w:rFonts w:eastAsiaTheme="minorEastAsia"/>
        </w:rPr>
        <w:t xml:space="preserve"> and achievement in</w:t>
      </w:r>
      <w:r w:rsidR="00C34201">
        <w:rPr>
          <w:rFonts w:eastAsiaTheme="minorEastAsia"/>
        </w:rPr>
        <w:t>,</w:t>
      </w:r>
      <w:r w:rsidR="06AE767C" w:rsidRPr="658F4599">
        <w:rPr>
          <w:rFonts w:eastAsiaTheme="minorEastAsia"/>
        </w:rPr>
        <w:t xml:space="preserve"> undergraduate study.</w:t>
      </w:r>
    </w:p>
    <w:p w14:paraId="39871C9F" w14:textId="24D86056" w:rsidR="0069174C" w:rsidRPr="007B1D9D" w:rsidRDefault="0069174C" w:rsidP="00A32591">
      <w:pPr>
        <w:pStyle w:val="Heading2"/>
      </w:pPr>
      <w:bookmarkStart w:id="92" w:name="_Toc217162501"/>
      <w:bookmarkStart w:id="93" w:name="_Toc232766197"/>
      <w:r w:rsidRPr="007B1D9D">
        <w:t>A</w:t>
      </w:r>
      <w:r w:rsidR="00202F68">
        <w:t xml:space="preserve">ccess to university for </w:t>
      </w:r>
      <w:r w:rsidR="001B7745">
        <w:t>the underserved</w:t>
      </w:r>
      <w:bookmarkEnd w:id="92"/>
      <w:bookmarkEnd w:id="93"/>
    </w:p>
    <w:p w14:paraId="6188AAD5" w14:textId="20EB8ACB" w:rsidR="00EE3B84" w:rsidRDefault="5F2F9EDA" w:rsidP="53B0D851">
      <w:r w:rsidRPr="07AD5326">
        <w:rPr>
          <w:rFonts w:eastAsiaTheme="minorEastAsia"/>
        </w:rPr>
        <w:t xml:space="preserve">An aim of this project was to identify </w:t>
      </w:r>
      <w:r w:rsidR="7B847DAC" w:rsidRPr="07AD5326">
        <w:rPr>
          <w:rFonts w:eastAsiaTheme="minorEastAsia"/>
        </w:rPr>
        <w:t>how ISEPs are designed across Australia</w:t>
      </w:r>
      <w:r w:rsidR="00C34201">
        <w:rPr>
          <w:rFonts w:eastAsiaTheme="minorEastAsia"/>
        </w:rPr>
        <w:t>,</w:t>
      </w:r>
      <w:r w:rsidR="7B847DAC" w:rsidRPr="07AD5326">
        <w:rPr>
          <w:rFonts w:eastAsiaTheme="minorEastAsia"/>
        </w:rPr>
        <w:t xml:space="preserve"> and </w:t>
      </w:r>
      <w:r w:rsidR="00802B98" w:rsidRPr="07AD5326">
        <w:rPr>
          <w:rFonts w:eastAsiaTheme="minorEastAsia"/>
        </w:rPr>
        <w:t>if the</w:t>
      </w:r>
      <w:r w:rsidR="53064852" w:rsidRPr="07AD5326">
        <w:rPr>
          <w:rFonts w:eastAsiaTheme="minorEastAsia"/>
        </w:rPr>
        <w:t>se programs</w:t>
      </w:r>
      <w:r w:rsidR="00802B98" w:rsidRPr="07AD5326">
        <w:rPr>
          <w:rFonts w:eastAsiaTheme="minorEastAsia"/>
        </w:rPr>
        <w:t xml:space="preserve"> are </w:t>
      </w:r>
      <w:r w:rsidR="2D9B65EE" w:rsidRPr="07AD5326">
        <w:rPr>
          <w:rFonts w:eastAsiaTheme="minorEastAsia"/>
        </w:rPr>
        <w:t>supporting</w:t>
      </w:r>
      <w:r w:rsidR="7B847DAC" w:rsidRPr="07AD5326">
        <w:rPr>
          <w:rFonts w:eastAsiaTheme="minorEastAsia"/>
        </w:rPr>
        <w:t xml:space="preserve"> students from priority groups (</w:t>
      </w:r>
      <w:r w:rsidR="00C34201">
        <w:rPr>
          <w:rFonts w:eastAsiaTheme="minorEastAsia"/>
        </w:rPr>
        <w:t>for example,</w:t>
      </w:r>
      <w:r w:rsidR="2D9B65EE" w:rsidRPr="07AD5326">
        <w:rPr>
          <w:rFonts w:eastAsiaTheme="minorEastAsia"/>
        </w:rPr>
        <w:t xml:space="preserve"> </w:t>
      </w:r>
      <w:r w:rsidR="7B847DAC" w:rsidRPr="07AD5326">
        <w:rPr>
          <w:rFonts w:eastAsiaTheme="minorEastAsia"/>
        </w:rPr>
        <w:t>equity, first</w:t>
      </w:r>
      <w:r w:rsidR="00C34201">
        <w:rPr>
          <w:rFonts w:eastAsiaTheme="minorEastAsia"/>
        </w:rPr>
        <w:t>-</w:t>
      </w:r>
      <w:r w:rsidR="7B847DAC" w:rsidRPr="07AD5326">
        <w:rPr>
          <w:rFonts w:eastAsiaTheme="minorEastAsia"/>
        </w:rPr>
        <w:t>in</w:t>
      </w:r>
      <w:r w:rsidR="00C34201">
        <w:rPr>
          <w:rFonts w:eastAsiaTheme="minorEastAsia"/>
        </w:rPr>
        <w:t>-</w:t>
      </w:r>
      <w:r w:rsidR="7B847DAC" w:rsidRPr="07AD5326">
        <w:rPr>
          <w:rFonts w:eastAsiaTheme="minorEastAsia"/>
        </w:rPr>
        <w:t>family</w:t>
      </w:r>
      <w:r w:rsidR="00C34201">
        <w:rPr>
          <w:rFonts w:eastAsiaTheme="minorEastAsia"/>
        </w:rPr>
        <w:t>,</w:t>
      </w:r>
      <w:r w:rsidR="54D7F1D1" w:rsidRPr="07AD5326">
        <w:rPr>
          <w:rFonts w:eastAsiaTheme="minorEastAsia"/>
        </w:rPr>
        <w:t xml:space="preserve"> </w:t>
      </w:r>
      <w:r w:rsidR="00C34201">
        <w:rPr>
          <w:rFonts w:eastAsiaTheme="minorEastAsia"/>
        </w:rPr>
        <w:t>and so on</w:t>
      </w:r>
      <w:r w:rsidR="54D7F1D1" w:rsidRPr="07AD5326">
        <w:rPr>
          <w:rFonts w:eastAsiaTheme="minorEastAsia"/>
        </w:rPr>
        <w:t xml:space="preserve">) </w:t>
      </w:r>
      <w:r w:rsidR="00C34201">
        <w:rPr>
          <w:rFonts w:eastAsiaTheme="minorEastAsia"/>
        </w:rPr>
        <w:t xml:space="preserve">to </w:t>
      </w:r>
      <w:r w:rsidR="2D9B65EE" w:rsidRPr="07AD5326">
        <w:rPr>
          <w:rFonts w:eastAsiaTheme="minorEastAsia"/>
        </w:rPr>
        <w:t xml:space="preserve">successfully transition into university. </w:t>
      </w:r>
      <w:r w:rsidR="54D7F1D1" w:rsidRPr="07AD5326">
        <w:rPr>
          <w:rFonts w:eastAsiaTheme="minorEastAsia"/>
        </w:rPr>
        <w:t>The</w:t>
      </w:r>
      <w:r w:rsidR="5958B834" w:rsidRPr="07AD5326">
        <w:rPr>
          <w:rFonts w:eastAsiaTheme="minorEastAsia"/>
        </w:rPr>
        <w:t xml:space="preserve"> b</w:t>
      </w:r>
      <w:r w:rsidR="712F20E0" w:rsidRPr="07AD5326">
        <w:rPr>
          <w:rFonts w:eastAsiaTheme="minorEastAsia"/>
        </w:rPr>
        <w:t xml:space="preserve">enchmarking revealed that all </w:t>
      </w:r>
      <w:r w:rsidR="33997AE4" w:rsidRPr="07AD5326">
        <w:rPr>
          <w:rFonts w:eastAsiaTheme="minorEastAsia"/>
        </w:rPr>
        <w:t>ISEPs</w:t>
      </w:r>
      <w:r w:rsidR="00243B0F" w:rsidRPr="07AD5326">
        <w:rPr>
          <w:rFonts w:eastAsiaTheme="minorEastAsia"/>
        </w:rPr>
        <w:t xml:space="preserve"> </w:t>
      </w:r>
      <w:r w:rsidR="5830F27F" w:rsidRPr="07AD5326">
        <w:rPr>
          <w:rFonts w:eastAsiaTheme="minorEastAsia"/>
        </w:rPr>
        <w:t>target specific cohorts</w:t>
      </w:r>
      <w:r w:rsidR="12BC2DB9" w:rsidRPr="07AD5326">
        <w:rPr>
          <w:rFonts w:eastAsiaTheme="minorEastAsia"/>
        </w:rPr>
        <w:t xml:space="preserve"> from equity groups</w:t>
      </w:r>
      <w:r w:rsidR="5830F27F" w:rsidRPr="07AD5326">
        <w:rPr>
          <w:rFonts w:eastAsiaTheme="minorEastAsia"/>
        </w:rPr>
        <w:t xml:space="preserve">, primarily regional and remote, or equity </w:t>
      </w:r>
      <w:r w:rsidR="1B20E040" w:rsidRPr="07AD5326">
        <w:rPr>
          <w:rFonts w:eastAsiaTheme="minorEastAsia"/>
        </w:rPr>
        <w:t xml:space="preserve">(low ICSEA) </w:t>
      </w:r>
      <w:r w:rsidR="5830F27F" w:rsidRPr="07AD5326">
        <w:rPr>
          <w:rFonts w:eastAsiaTheme="minorEastAsia"/>
        </w:rPr>
        <w:t>schools.</w:t>
      </w:r>
      <w:r w:rsidR="1A8C7B58" w:rsidRPr="07AD5326">
        <w:rPr>
          <w:rFonts w:eastAsiaTheme="minorEastAsia"/>
        </w:rPr>
        <w:t xml:space="preserve"> </w:t>
      </w:r>
      <w:r w:rsidR="5E51DF06" w:rsidRPr="07AD5326">
        <w:rPr>
          <w:rFonts w:eastAsiaTheme="minorEastAsia"/>
        </w:rPr>
        <w:t>Q</w:t>
      </w:r>
      <w:r w:rsidR="2FA90A08" w:rsidRPr="07AD5326">
        <w:rPr>
          <w:rFonts w:eastAsiaTheme="minorEastAsia"/>
        </w:rPr>
        <w:t xml:space="preserve">uantitative data </w:t>
      </w:r>
      <w:r w:rsidR="5E51DF06" w:rsidRPr="07AD5326">
        <w:rPr>
          <w:rFonts w:eastAsiaTheme="minorEastAsia"/>
        </w:rPr>
        <w:t>highlighted</w:t>
      </w:r>
      <w:r w:rsidR="7897D2E3" w:rsidRPr="07AD5326">
        <w:rPr>
          <w:rFonts w:eastAsiaTheme="minorEastAsia"/>
        </w:rPr>
        <w:t xml:space="preserve"> that 41% of enrolled ISEP students were from an equity cohort</w:t>
      </w:r>
      <w:r w:rsidR="00C34201">
        <w:rPr>
          <w:rFonts w:eastAsiaTheme="minorEastAsia"/>
        </w:rPr>
        <w:t>;</w:t>
      </w:r>
      <w:r w:rsidR="2C953883" w:rsidRPr="07AD5326">
        <w:rPr>
          <w:rFonts w:eastAsiaTheme="minorEastAsia"/>
        </w:rPr>
        <w:t xml:space="preserve"> t</w:t>
      </w:r>
      <w:r w:rsidR="1769A2C1" w:rsidRPr="07AD5326">
        <w:rPr>
          <w:rFonts w:eastAsiaTheme="minorEastAsia"/>
        </w:rPr>
        <w:t>his include</w:t>
      </w:r>
      <w:r w:rsidR="00C34201">
        <w:rPr>
          <w:rFonts w:eastAsiaTheme="minorEastAsia"/>
        </w:rPr>
        <w:t>d</w:t>
      </w:r>
      <w:r w:rsidR="1769A2C1" w:rsidRPr="07AD5326">
        <w:rPr>
          <w:rFonts w:eastAsiaTheme="minorEastAsia"/>
        </w:rPr>
        <w:t xml:space="preserve"> 19% of students who were</w:t>
      </w:r>
      <w:r w:rsidR="00C34201">
        <w:rPr>
          <w:rFonts w:eastAsiaTheme="minorEastAsia"/>
        </w:rPr>
        <w:t xml:space="preserve"> living in</w:t>
      </w:r>
      <w:r w:rsidR="1769A2C1" w:rsidRPr="07AD5326">
        <w:rPr>
          <w:rFonts w:eastAsiaTheme="minorEastAsia"/>
        </w:rPr>
        <w:t xml:space="preserve"> regional or remote </w:t>
      </w:r>
      <w:r w:rsidR="00C34201">
        <w:rPr>
          <w:rFonts w:eastAsiaTheme="minorEastAsia"/>
        </w:rPr>
        <w:t xml:space="preserve">areas </w:t>
      </w:r>
      <w:r w:rsidR="68948836" w:rsidRPr="07AD5326">
        <w:rPr>
          <w:rFonts w:eastAsiaTheme="minorEastAsia"/>
        </w:rPr>
        <w:t>who</w:t>
      </w:r>
      <w:r w:rsidR="2C953883" w:rsidRPr="07AD5326">
        <w:rPr>
          <w:rFonts w:eastAsiaTheme="minorEastAsia"/>
        </w:rPr>
        <w:t>,</w:t>
      </w:r>
      <w:r w:rsidR="68948836" w:rsidRPr="07AD5326">
        <w:rPr>
          <w:rFonts w:eastAsiaTheme="minorEastAsia"/>
        </w:rPr>
        <w:t xml:space="preserve"> without the pathway</w:t>
      </w:r>
      <w:r w:rsidR="2C953883" w:rsidRPr="07AD5326">
        <w:rPr>
          <w:rFonts w:eastAsiaTheme="minorEastAsia"/>
        </w:rPr>
        <w:t>,</w:t>
      </w:r>
      <w:r w:rsidR="68948836" w:rsidRPr="07AD5326">
        <w:rPr>
          <w:rFonts w:eastAsiaTheme="minorEastAsia"/>
        </w:rPr>
        <w:t xml:space="preserve"> may have had to</w:t>
      </w:r>
      <w:r w:rsidR="486E65B3" w:rsidRPr="07AD5326">
        <w:rPr>
          <w:rFonts w:eastAsiaTheme="minorEastAsia"/>
        </w:rPr>
        <w:t xml:space="preserve"> wait for</w:t>
      </w:r>
      <w:r w:rsidR="4D2B8F98" w:rsidRPr="07AD5326">
        <w:rPr>
          <w:rFonts w:eastAsiaTheme="minorEastAsia"/>
        </w:rPr>
        <w:t xml:space="preserve"> post-secondary </w:t>
      </w:r>
      <w:r w:rsidR="486E65B3" w:rsidRPr="07AD5326">
        <w:rPr>
          <w:rFonts w:eastAsiaTheme="minorEastAsia"/>
        </w:rPr>
        <w:t>pathways due to limited access to ATAR</w:t>
      </w:r>
      <w:r w:rsidR="1A18B532" w:rsidRPr="07AD5326">
        <w:rPr>
          <w:rFonts w:eastAsiaTheme="minorEastAsia"/>
        </w:rPr>
        <w:t>.</w:t>
      </w:r>
      <w:r w:rsidR="7661A76E" w:rsidRPr="07AD5326">
        <w:rPr>
          <w:rFonts w:eastAsiaTheme="minorEastAsia"/>
        </w:rPr>
        <w:t xml:space="preserve"> </w:t>
      </w:r>
      <w:r w:rsidR="00DA652B">
        <w:rPr>
          <w:rFonts w:eastAsiaTheme="minorEastAsia"/>
        </w:rPr>
        <w:t>O</w:t>
      </w:r>
      <w:r w:rsidR="7661A76E">
        <w:t xml:space="preserve">ne educator remarked they were </w:t>
      </w:r>
      <w:r w:rsidR="00DA652B">
        <w:t xml:space="preserve">working at </w:t>
      </w:r>
      <w:r w:rsidR="7661A76E">
        <w:t xml:space="preserve">a public school supporting marginalised students </w:t>
      </w:r>
      <w:r w:rsidR="00DA652B">
        <w:t>that</w:t>
      </w:r>
      <w:r w:rsidR="7661A76E">
        <w:t xml:space="preserve"> didn’t “have the facilities here to provide a full ATAR program” (EI</w:t>
      </w:r>
      <w:r w:rsidR="5142BC4D">
        <w:t xml:space="preserve"> </w:t>
      </w:r>
      <w:r w:rsidR="7661A76E">
        <w:t xml:space="preserve">012). </w:t>
      </w:r>
      <w:r w:rsidR="1A18B532" w:rsidRPr="07AD5326">
        <w:rPr>
          <w:rFonts w:eastAsiaTheme="minorEastAsia"/>
        </w:rPr>
        <w:t>Additionally,</w:t>
      </w:r>
      <w:r w:rsidR="5FF96A5F" w:rsidRPr="07AD5326">
        <w:rPr>
          <w:rFonts w:eastAsiaTheme="minorEastAsia"/>
        </w:rPr>
        <w:t xml:space="preserve"> </w:t>
      </w:r>
      <w:r w:rsidR="067D30F7" w:rsidRPr="07AD5326">
        <w:rPr>
          <w:rFonts w:eastAsiaTheme="minorEastAsia"/>
        </w:rPr>
        <w:t>quantitative</w:t>
      </w:r>
      <w:r w:rsidR="1A18B532" w:rsidRPr="07AD5326">
        <w:rPr>
          <w:rFonts w:eastAsiaTheme="minorEastAsia"/>
        </w:rPr>
        <w:t xml:space="preserve"> data</w:t>
      </w:r>
      <w:r w:rsidR="5FF96A5F" w:rsidRPr="07AD5326">
        <w:rPr>
          <w:rFonts w:eastAsiaTheme="minorEastAsia"/>
        </w:rPr>
        <w:t xml:space="preserve"> underestimates the proportion of students from equity cohorts </w:t>
      </w:r>
      <w:r w:rsidR="00DA652B">
        <w:rPr>
          <w:rFonts w:eastAsiaTheme="minorEastAsia"/>
        </w:rPr>
        <w:t xml:space="preserve">who are </w:t>
      </w:r>
      <w:r w:rsidR="5FF96A5F" w:rsidRPr="07AD5326">
        <w:rPr>
          <w:rFonts w:eastAsiaTheme="minorEastAsia"/>
        </w:rPr>
        <w:t>enrolled</w:t>
      </w:r>
      <w:r w:rsidR="0086049C">
        <w:rPr>
          <w:rFonts w:eastAsiaTheme="minorEastAsia"/>
        </w:rPr>
        <w:t xml:space="preserve"> in an ISEP</w:t>
      </w:r>
      <w:r w:rsidR="00DA652B">
        <w:rPr>
          <w:rFonts w:eastAsiaTheme="minorEastAsia"/>
        </w:rPr>
        <w:t>,</w:t>
      </w:r>
      <w:r w:rsidR="5FF96A5F" w:rsidRPr="07AD5326">
        <w:rPr>
          <w:rFonts w:eastAsiaTheme="minorEastAsia"/>
        </w:rPr>
        <w:t xml:space="preserve"> </w:t>
      </w:r>
      <w:r w:rsidR="00DA652B">
        <w:rPr>
          <w:rFonts w:eastAsiaTheme="minorEastAsia"/>
        </w:rPr>
        <w:t xml:space="preserve">as </w:t>
      </w:r>
      <w:r w:rsidR="5FF96A5F" w:rsidRPr="07AD5326">
        <w:rPr>
          <w:rFonts w:eastAsiaTheme="minorEastAsia"/>
        </w:rPr>
        <w:t xml:space="preserve">the government-defined equity groups </w:t>
      </w:r>
      <w:r w:rsidR="5FF96A5F" w:rsidRPr="07AD5326">
        <w:rPr>
          <w:rFonts w:eastAsiaTheme="minorEastAsia"/>
        </w:rPr>
        <w:lastRenderedPageBreak/>
        <w:t xml:space="preserve">do not </w:t>
      </w:r>
      <w:r w:rsidR="744BAA14" w:rsidRPr="07AD5326">
        <w:rPr>
          <w:rFonts w:eastAsiaTheme="minorEastAsia"/>
        </w:rPr>
        <w:t xml:space="preserve">capture </w:t>
      </w:r>
      <w:r w:rsidR="1CBA7BE2" w:rsidRPr="07AD5326">
        <w:rPr>
          <w:rFonts w:eastAsiaTheme="minorEastAsia"/>
        </w:rPr>
        <w:t>students</w:t>
      </w:r>
      <w:r w:rsidR="5FF96A5F" w:rsidRPr="07AD5326">
        <w:rPr>
          <w:rFonts w:eastAsiaTheme="minorEastAsia"/>
        </w:rPr>
        <w:t xml:space="preserve"> </w:t>
      </w:r>
      <w:r w:rsidR="744BAA14" w:rsidRPr="07AD5326">
        <w:rPr>
          <w:rFonts w:eastAsiaTheme="minorEastAsia"/>
        </w:rPr>
        <w:t>recognised as</w:t>
      </w:r>
      <w:r w:rsidR="5FF96A5F" w:rsidRPr="07AD5326">
        <w:rPr>
          <w:rFonts w:eastAsiaTheme="minorEastAsia"/>
        </w:rPr>
        <w:t xml:space="preserve"> experiencing educational disadvantage, such as carers, first-in-family, refugees</w:t>
      </w:r>
      <w:r w:rsidR="00DA652B">
        <w:rPr>
          <w:rFonts w:eastAsiaTheme="minorEastAsia"/>
        </w:rPr>
        <w:t>,</w:t>
      </w:r>
      <w:r w:rsidR="744BAA14" w:rsidRPr="07AD5326">
        <w:rPr>
          <w:rFonts w:eastAsiaTheme="minorEastAsia"/>
        </w:rPr>
        <w:t xml:space="preserve"> or</w:t>
      </w:r>
      <w:r w:rsidR="5FF96A5F" w:rsidRPr="07AD5326">
        <w:rPr>
          <w:rFonts w:eastAsiaTheme="minorEastAsia"/>
        </w:rPr>
        <w:t xml:space="preserve"> students in out-of-home care</w:t>
      </w:r>
      <w:r w:rsidR="631EB2DE" w:rsidRPr="07AD5326">
        <w:rPr>
          <w:rFonts w:eastAsiaTheme="minorEastAsia"/>
        </w:rPr>
        <w:t xml:space="preserve">. </w:t>
      </w:r>
      <w:r w:rsidR="290877FB" w:rsidRPr="07AD5326">
        <w:rPr>
          <w:rFonts w:eastAsiaTheme="minorEastAsia"/>
        </w:rPr>
        <w:t xml:space="preserve">One </w:t>
      </w:r>
      <w:r w:rsidR="107A31C6" w:rsidRPr="07AD5326">
        <w:rPr>
          <w:rFonts w:eastAsiaTheme="minorEastAsia"/>
        </w:rPr>
        <w:t>respondent</w:t>
      </w:r>
      <w:r w:rsidR="39ADADEB" w:rsidRPr="07AD5326">
        <w:rPr>
          <w:rFonts w:eastAsiaTheme="minorEastAsia"/>
        </w:rPr>
        <w:t xml:space="preserve"> noted:</w:t>
      </w:r>
    </w:p>
    <w:p w14:paraId="73C3A798" w14:textId="1FA3FEE0" w:rsidR="00EE3B84" w:rsidRDefault="5B155AAB" w:rsidP="0026308C">
      <w:pPr>
        <w:ind w:left="567" w:right="567"/>
      </w:pPr>
      <w:r w:rsidRPr="00B43A6C">
        <w:rPr>
          <w:rStyle w:val="QuoteChar"/>
          <w:rFonts w:eastAsiaTheme="minorEastAsia"/>
          <w:i w:val="0"/>
          <w:iCs/>
          <w:color w:val="auto"/>
          <w:sz w:val="22"/>
          <w:szCs w:val="22"/>
        </w:rPr>
        <w:t xml:space="preserve">I was a refugee and my </w:t>
      </w:r>
      <w:r w:rsidR="0036140B" w:rsidRPr="00B43A6C">
        <w:rPr>
          <w:rStyle w:val="QuoteChar"/>
          <w:rFonts w:eastAsiaTheme="minorEastAsia"/>
          <w:i w:val="0"/>
          <w:iCs/>
          <w:color w:val="auto"/>
          <w:sz w:val="22"/>
          <w:szCs w:val="22"/>
        </w:rPr>
        <w:t>Y</w:t>
      </w:r>
      <w:r w:rsidRPr="00B43A6C">
        <w:rPr>
          <w:rStyle w:val="QuoteChar"/>
          <w:rFonts w:eastAsiaTheme="minorEastAsia"/>
          <w:i w:val="0"/>
          <w:iCs/>
          <w:color w:val="auto"/>
          <w:sz w:val="22"/>
          <w:szCs w:val="22"/>
        </w:rPr>
        <w:t xml:space="preserve">ear 12 </w:t>
      </w:r>
      <w:r w:rsidR="00DA652B" w:rsidRPr="00B43A6C">
        <w:rPr>
          <w:rStyle w:val="QuoteChar"/>
          <w:rFonts w:eastAsiaTheme="minorEastAsia"/>
          <w:i w:val="0"/>
          <w:iCs/>
          <w:color w:val="auto"/>
          <w:sz w:val="22"/>
          <w:szCs w:val="22"/>
        </w:rPr>
        <w:t xml:space="preserve">[qualifications] </w:t>
      </w:r>
      <w:r w:rsidRPr="00B43A6C">
        <w:rPr>
          <w:rStyle w:val="QuoteChar"/>
          <w:rFonts w:eastAsiaTheme="minorEastAsia"/>
          <w:i w:val="0"/>
          <w:iCs/>
          <w:color w:val="auto"/>
          <w:sz w:val="22"/>
          <w:szCs w:val="22"/>
        </w:rPr>
        <w:t xml:space="preserve">were not accepted in Australia. I did the </w:t>
      </w:r>
      <w:r w:rsidR="00DA652B" w:rsidRPr="00B43A6C">
        <w:rPr>
          <w:rStyle w:val="QuoteChar"/>
          <w:rFonts w:eastAsiaTheme="minorEastAsia"/>
          <w:i w:val="0"/>
          <w:iCs/>
          <w:color w:val="auto"/>
          <w:sz w:val="22"/>
          <w:szCs w:val="22"/>
        </w:rPr>
        <w:t xml:space="preserve">[ISEP] </w:t>
      </w:r>
      <w:r w:rsidRPr="00B43A6C">
        <w:rPr>
          <w:rStyle w:val="QuoteChar"/>
          <w:rFonts w:eastAsiaTheme="minorEastAsia"/>
          <w:i w:val="0"/>
          <w:iCs/>
          <w:color w:val="auto"/>
          <w:sz w:val="22"/>
          <w:szCs w:val="22"/>
        </w:rPr>
        <w:t>course and went straight to [university] and studied biomedical science as my undergraduate. After my undergrad degree</w:t>
      </w:r>
      <w:r w:rsidR="00DA652B" w:rsidRPr="00B43A6C">
        <w:rPr>
          <w:rStyle w:val="QuoteChar"/>
          <w:rFonts w:eastAsiaTheme="minorEastAsia"/>
          <w:i w:val="0"/>
          <w:iCs/>
          <w:color w:val="auto"/>
          <w:sz w:val="22"/>
          <w:szCs w:val="22"/>
        </w:rPr>
        <w:t>,</w:t>
      </w:r>
      <w:r w:rsidRPr="00B43A6C">
        <w:rPr>
          <w:rStyle w:val="QuoteChar"/>
          <w:rFonts w:eastAsiaTheme="minorEastAsia"/>
          <w:i w:val="0"/>
          <w:iCs/>
          <w:color w:val="auto"/>
          <w:sz w:val="22"/>
          <w:szCs w:val="22"/>
        </w:rPr>
        <w:t xml:space="preserve"> I went on to do a </w:t>
      </w:r>
      <w:r w:rsidR="0036140B" w:rsidRPr="00B43A6C">
        <w:rPr>
          <w:rStyle w:val="QuoteChar"/>
          <w:rFonts w:eastAsiaTheme="minorEastAsia"/>
          <w:i w:val="0"/>
          <w:iCs/>
          <w:color w:val="auto"/>
          <w:sz w:val="22"/>
          <w:szCs w:val="22"/>
        </w:rPr>
        <w:t>G</w:t>
      </w:r>
      <w:r w:rsidRPr="00B43A6C">
        <w:rPr>
          <w:rStyle w:val="QuoteChar"/>
          <w:rFonts w:eastAsiaTheme="minorEastAsia"/>
          <w:i w:val="0"/>
          <w:iCs/>
          <w:color w:val="auto"/>
          <w:sz w:val="22"/>
          <w:szCs w:val="22"/>
        </w:rPr>
        <w:t xml:space="preserve">raduate </w:t>
      </w:r>
      <w:r w:rsidR="0036140B" w:rsidRPr="00B43A6C">
        <w:rPr>
          <w:rStyle w:val="QuoteChar"/>
          <w:rFonts w:eastAsiaTheme="minorEastAsia"/>
          <w:i w:val="0"/>
          <w:iCs/>
          <w:color w:val="auto"/>
          <w:sz w:val="22"/>
          <w:szCs w:val="22"/>
        </w:rPr>
        <w:t>D</w:t>
      </w:r>
      <w:r w:rsidRPr="00B43A6C">
        <w:rPr>
          <w:rStyle w:val="QuoteChar"/>
          <w:rFonts w:eastAsiaTheme="minorEastAsia"/>
          <w:i w:val="0"/>
          <w:iCs/>
          <w:color w:val="auto"/>
          <w:sz w:val="22"/>
          <w:szCs w:val="22"/>
        </w:rPr>
        <w:t xml:space="preserve">iploma in Electrical </w:t>
      </w:r>
      <w:r w:rsidR="00DA652B" w:rsidRPr="00B43A6C">
        <w:rPr>
          <w:rStyle w:val="QuoteChar"/>
          <w:rFonts w:eastAsiaTheme="minorEastAsia"/>
          <w:i w:val="0"/>
          <w:iCs/>
          <w:color w:val="auto"/>
          <w:sz w:val="22"/>
          <w:szCs w:val="22"/>
        </w:rPr>
        <w:t>E</w:t>
      </w:r>
      <w:r w:rsidRPr="00B43A6C">
        <w:rPr>
          <w:rStyle w:val="QuoteChar"/>
          <w:rFonts w:eastAsiaTheme="minorEastAsia"/>
          <w:i w:val="0"/>
          <w:iCs/>
          <w:color w:val="auto"/>
          <w:sz w:val="22"/>
          <w:szCs w:val="22"/>
        </w:rPr>
        <w:t xml:space="preserve">ngineering and now have one semester left on my </w:t>
      </w:r>
      <w:proofErr w:type="gramStart"/>
      <w:r w:rsidRPr="00B43A6C">
        <w:rPr>
          <w:rStyle w:val="QuoteChar"/>
          <w:rFonts w:eastAsiaTheme="minorEastAsia"/>
          <w:i w:val="0"/>
          <w:iCs/>
          <w:color w:val="auto"/>
          <w:sz w:val="22"/>
          <w:szCs w:val="22"/>
        </w:rPr>
        <w:t>Master</w:t>
      </w:r>
      <w:r w:rsidR="0036140B" w:rsidRPr="00B43A6C">
        <w:rPr>
          <w:rStyle w:val="QuoteChar"/>
          <w:rFonts w:eastAsiaTheme="minorEastAsia"/>
          <w:i w:val="0"/>
          <w:iCs/>
          <w:color w:val="auto"/>
          <w:sz w:val="22"/>
          <w:szCs w:val="22"/>
        </w:rPr>
        <w:t>’</w:t>
      </w:r>
      <w:r w:rsidRPr="00B43A6C">
        <w:rPr>
          <w:rStyle w:val="QuoteChar"/>
          <w:rFonts w:eastAsiaTheme="minorEastAsia"/>
          <w:i w:val="0"/>
          <w:iCs/>
          <w:color w:val="auto"/>
          <w:sz w:val="22"/>
          <w:szCs w:val="22"/>
        </w:rPr>
        <w:t>s</w:t>
      </w:r>
      <w:proofErr w:type="gramEnd"/>
      <w:r w:rsidRPr="00B43A6C">
        <w:rPr>
          <w:rStyle w:val="QuoteChar"/>
          <w:rFonts w:eastAsiaTheme="minorEastAsia"/>
          <w:i w:val="0"/>
          <w:iCs/>
          <w:color w:val="auto"/>
          <w:sz w:val="22"/>
          <w:szCs w:val="22"/>
        </w:rPr>
        <w:t xml:space="preserve"> degree</w:t>
      </w:r>
      <w:r w:rsidR="0026308C" w:rsidRPr="00B43A6C">
        <w:rPr>
          <w:rStyle w:val="QuoteChar"/>
          <w:rFonts w:eastAsiaTheme="minorEastAsia"/>
          <w:i w:val="0"/>
          <w:iCs/>
          <w:color w:val="auto"/>
          <w:sz w:val="22"/>
          <w:szCs w:val="22"/>
        </w:rPr>
        <w:t>.</w:t>
      </w:r>
      <w:r w:rsidR="0026308C" w:rsidRPr="00D62486">
        <w:rPr>
          <w:rStyle w:val="QuoteChar"/>
          <w:rFonts w:eastAsiaTheme="minorEastAsia"/>
          <w:color w:val="auto"/>
          <w:sz w:val="22"/>
          <w:szCs w:val="22"/>
        </w:rPr>
        <w:t xml:space="preserve"> </w:t>
      </w:r>
      <w:r w:rsidRPr="658F4599">
        <w:rPr>
          <w:rFonts w:eastAsiaTheme="minorEastAsia"/>
        </w:rPr>
        <w:t>(SS</w:t>
      </w:r>
      <w:r w:rsidR="0026308C">
        <w:rPr>
          <w:rFonts w:eastAsiaTheme="minorEastAsia"/>
        </w:rPr>
        <w:t xml:space="preserve"> </w:t>
      </w:r>
      <w:r w:rsidRPr="658F4599">
        <w:rPr>
          <w:rFonts w:eastAsiaTheme="minorEastAsia"/>
        </w:rPr>
        <w:t>6)</w:t>
      </w:r>
    </w:p>
    <w:p w14:paraId="79659FC9" w14:textId="7901CEAF" w:rsidR="00EE3B84" w:rsidRDefault="00D226D2" w:rsidP="00170417">
      <w:pPr>
        <w:rPr>
          <w:rFonts w:eastAsiaTheme="minorEastAsia"/>
          <w:lang w:eastAsia="en-US"/>
        </w:rPr>
      </w:pPr>
      <w:r w:rsidRPr="45B91BAB">
        <w:rPr>
          <w:rFonts w:eastAsiaTheme="minorEastAsia"/>
        </w:rPr>
        <w:t xml:space="preserve">The student survey findings </w:t>
      </w:r>
      <w:r w:rsidR="001B7745" w:rsidRPr="45B91BAB">
        <w:rPr>
          <w:rFonts w:eastAsiaTheme="minorEastAsia"/>
        </w:rPr>
        <w:t xml:space="preserve">also </w:t>
      </w:r>
      <w:r w:rsidRPr="45B91BAB">
        <w:rPr>
          <w:rFonts w:eastAsiaTheme="minorEastAsia"/>
        </w:rPr>
        <w:t>highlighted 43% of students were first-</w:t>
      </w:r>
      <w:r w:rsidR="00BD69BB" w:rsidRPr="45B91BAB">
        <w:rPr>
          <w:rFonts w:eastAsiaTheme="minorEastAsia"/>
        </w:rPr>
        <w:t>i</w:t>
      </w:r>
      <w:r w:rsidRPr="45B91BAB">
        <w:rPr>
          <w:rFonts w:eastAsiaTheme="minorEastAsia"/>
        </w:rPr>
        <w:t>n-family</w:t>
      </w:r>
      <w:r w:rsidR="00635677" w:rsidRPr="45B91BAB">
        <w:rPr>
          <w:rFonts w:eastAsiaTheme="minorEastAsia"/>
        </w:rPr>
        <w:t xml:space="preserve"> </w:t>
      </w:r>
      <w:r w:rsidR="00436A4F" w:rsidRPr="45B91BAB">
        <w:rPr>
          <w:rFonts w:eastAsiaTheme="minorEastAsia"/>
        </w:rPr>
        <w:t>to at</w:t>
      </w:r>
      <w:r w:rsidR="00E439BF" w:rsidRPr="45B91BAB">
        <w:rPr>
          <w:rFonts w:eastAsiaTheme="minorEastAsia"/>
        </w:rPr>
        <w:t xml:space="preserve">tend </w:t>
      </w:r>
      <w:r w:rsidR="00D90C30" w:rsidRPr="45B91BAB">
        <w:rPr>
          <w:rFonts w:eastAsiaTheme="minorEastAsia"/>
        </w:rPr>
        <w:t xml:space="preserve">university. </w:t>
      </w:r>
      <w:r w:rsidR="001040A9" w:rsidRPr="45B91BAB">
        <w:rPr>
          <w:rFonts w:eastAsiaTheme="minorEastAsia"/>
        </w:rPr>
        <w:t xml:space="preserve">These respondents had articulated directly from high school to university via an ISEP and belonged to one or more equity groups, underscoring the program’s role in widening participation. </w:t>
      </w:r>
      <w:r w:rsidR="006E43A1">
        <w:rPr>
          <w:rFonts w:eastAsia="Arial"/>
          <w:color w:val="000000"/>
        </w:rPr>
        <w:t>These quantitative findings</w:t>
      </w:r>
      <w:r w:rsidR="00F02711">
        <w:rPr>
          <w:rFonts w:eastAsia="Arial"/>
          <w:color w:val="000000"/>
        </w:rPr>
        <w:t xml:space="preserve"> </w:t>
      </w:r>
      <w:r w:rsidR="006E43A1">
        <w:rPr>
          <w:rFonts w:eastAsia="Arial"/>
          <w:color w:val="000000"/>
        </w:rPr>
        <w:t>are</w:t>
      </w:r>
      <w:r w:rsidR="00F02711">
        <w:rPr>
          <w:rFonts w:eastAsia="Arial"/>
          <w:color w:val="000000"/>
        </w:rPr>
        <w:t xml:space="preserve"> supported </w:t>
      </w:r>
      <w:r w:rsidR="006626F6">
        <w:rPr>
          <w:rFonts w:eastAsia="Arial"/>
          <w:color w:val="000000"/>
        </w:rPr>
        <w:t xml:space="preserve">in the </w:t>
      </w:r>
      <w:r w:rsidR="001E55AB">
        <w:rPr>
          <w:rFonts w:eastAsia="Arial"/>
          <w:color w:val="000000"/>
        </w:rPr>
        <w:t>synthesis</w:t>
      </w:r>
      <w:r w:rsidR="006626F6">
        <w:rPr>
          <w:rFonts w:eastAsia="Arial"/>
          <w:color w:val="000000"/>
        </w:rPr>
        <w:t xml:space="preserve"> of qualit</w:t>
      </w:r>
      <w:r w:rsidR="001E55AB">
        <w:rPr>
          <w:rFonts w:eastAsia="Arial"/>
          <w:color w:val="000000"/>
        </w:rPr>
        <w:t>ative</w:t>
      </w:r>
      <w:r w:rsidR="006626F6">
        <w:rPr>
          <w:rFonts w:eastAsia="Arial"/>
          <w:color w:val="000000"/>
        </w:rPr>
        <w:t xml:space="preserve"> </w:t>
      </w:r>
      <w:r w:rsidR="007B7899">
        <w:rPr>
          <w:rFonts w:eastAsia="Arial"/>
          <w:color w:val="000000"/>
        </w:rPr>
        <w:t>th</w:t>
      </w:r>
      <w:r w:rsidR="006626F6">
        <w:rPr>
          <w:rFonts w:eastAsia="Arial"/>
          <w:color w:val="000000"/>
        </w:rPr>
        <w:t>e</w:t>
      </w:r>
      <w:r w:rsidR="007B7899">
        <w:rPr>
          <w:rFonts w:eastAsia="Arial"/>
          <w:color w:val="000000"/>
        </w:rPr>
        <w:t xml:space="preserve">matic </w:t>
      </w:r>
      <w:r w:rsidR="001E55AB">
        <w:rPr>
          <w:rFonts w:eastAsia="Arial"/>
          <w:color w:val="000000"/>
        </w:rPr>
        <w:t xml:space="preserve">findings first </w:t>
      </w:r>
      <w:r w:rsidR="594F59C9" w:rsidRPr="45B91BAB">
        <w:rPr>
          <w:rFonts w:eastAsia="Arial"/>
          <w:color w:val="000000"/>
        </w:rPr>
        <w:t xml:space="preserve">superordinate theme of </w:t>
      </w:r>
      <w:r w:rsidR="0036140B">
        <w:rPr>
          <w:rFonts w:eastAsia="Arial"/>
          <w:color w:val="000000"/>
        </w:rPr>
        <w:t>“a</w:t>
      </w:r>
      <w:r w:rsidR="594F59C9" w:rsidRPr="00D62486">
        <w:rPr>
          <w:rFonts w:eastAsia="Arial"/>
          <w:color w:val="000000"/>
        </w:rPr>
        <w:t xml:space="preserve">ccess and </w:t>
      </w:r>
      <w:r w:rsidR="0036140B">
        <w:rPr>
          <w:rFonts w:eastAsia="Arial"/>
          <w:color w:val="000000"/>
        </w:rPr>
        <w:t>o</w:t>
      </w:r>
      <w:r w:rsidR="594F59C9" w:rsidRPr="00D62486">
        <w:rPr>
          <w:rFonts w:eastAsia="Arial"/>
          <w:color w:val="000000"/>
        </w:rPr>
        <w:t>pportunity</w:t>
      </w:r>
      <w:r w:rsidR="0036140B">
        <w:rPr>
          <w:rFonts w:eastAsia="Arial"/>
          <w:color w:val="000000"/>
        </w:rPr>
        <w:t>”</w:t>
      </w:r>
      <w:r w:rsidR="00DC1AAC">
        <w:rPr>
          <w:rFonts w:eastAsia="Arial"/>
          <w:color w:val="000000"/>
        </w:rPr>
        <w:t xml:space="preserve">, where </w:t>
      </w:r>
      <w:r w:rsidR="007B7899">
        <w:rPr>
          <w:rFonts w:eastAsia="Arial"/>
          <w:color w:val="000000"/>
        </w:rPr>
        <w:t>respondents repeatedly shared</w:t>
      </w:r>
      <w:r w:rsidR="00DB76D3">
        <w:rPr>
          <w:rFonts w:eastAsia="Arial"/>
          <w:color w:val="000000"/>
        </w:rPr>
        <w:t xml:space="preserve"> how</w:t>
      </w:r>
      <w:r w:rsidR="00DB76D3">
        <w:rPr>
          <w:rFonts w:eastAsiaTheme="minorEastAsia"/>
        </w:rPr>
        <w:t xml:space="preserve"> </w:t>
      </w:r>
      <w:r w:rsidR="00757576" w:rsidRPr="45B91BAB">
        <w:rPr>
          <w:rFonts w:eastAsiaTheme="minorEastAsia"/>
        </w:rPr>
        <w:t xml:space="preserve">ISEPs </w:t>
      </w:r>
      <w:r w:rsidR="00DB76D3">
        <w:rPr>
          <w:rFonts w:eastAsiaTheme="minorEastAsia"/>
        </w:rPr>
        <w:t>provide</w:t>
      </w:r>
      <w:r w:rsidR="007B7899">
        <w:rPr>
          <w:rFonts w:eastAsiaTheme="minorEastAsia"/>
        </w:rPr>
        <w:t xml:space="preserve">d </w:t>
      </w:r>
      <w:r w:rsidR="00B31343">
        <w:rPr>
          <w:rFonts w:eastAsiaTheme="minorEastAsia"/>
        </w:rPr>
        <w:t>students</w:t>
      </w:r>
      <w:r w:rsidR="00DB76D3">
        <w:rPr>
          <w:rFonts w:eastAsiaTheme="minorEastAsia"/>
        </w:rPr>
        <w:t xml:space="preserve"> </w:t>
      </w:r>
      <w:r w:rsidR="00A31A31">
        <w:rPr>
          <w:rFonts w:eastAsiaTheme="minorEastAsia"/>
        </w:rPr>
        <w:t xml:space="preserve">a </w:t>
      </w:r>
      <w:r w:rsidR="000D1AE0">
        <w:rPr>
          <w:rFonts w:eastAsiaTheme="minorEastAsia"/>
        </w:rPr>
        <w:t>pathway</w:t>
      </w:r>
      <w:r w:rsidR="00DB76D3">
        <w:rPr>
          <w:rFonts w:eastAsiaTheme="minorEastAsia"/>
        </w:rPr>
        <w:t xml:space="preserve"> </w:t>
      </w:r>
      <w:r w:rsidR="00A31A31">
        <w:rPr>
          <w:rFonts w:eastAsiaTheme="minorEastAsia"/>
        </w:rPr>
        <w:t xml:space="preserve">into university who otherwise would not have had one during secondary </w:t>
      </w:r>
      <w:r w:rsidR="0013126E">
        <w:rPr>
          <w:rFonts w:eastAsiaTheme="minorEastAsia"/>
        </w:rPr>
        <w:t>schooling</w:t>
      </w:r>
      <w:r w:rsidR="00132505">
        <w:rPr>
          <w:rFonts w:eastAsiaTheme="minorEastAsia"/>
        </w:rPr>
        <w:t xml:space="preserve">, particularly </w:t>
      </w:r>
      <w:r w:rsidR="006F2082">
        <w:rPr>
          <w:rFonts w:eastAsiaTheme="minorEastAsia"/>
        </w:rPr>
        <w:t>students</w:t>
      </w:r>
      <w:r w:rsidR="00132505">
        <w:rPr>
          <w:rFonts w:eastAsiaTheme="minorEastAsia"/>
        </w:rPr>
        <w:t xml:space="preserve"> from equity groups. </w:t>
      </w:r>
      <w:r w:rsidR="002231DE" w:rsidRPr="45B91BAB">
        <w:rPr>
          <w:rFonts w:eastAsiaTheme="minorEastAsia"/>
        </w:rPr>
        <w:t xml:space="preserve"> </w:t>
      </w:r>
    </w:p>
    <w:p w14:paraId="58AF8E6D" w14:textId="2EC5887A" w:rsidR="002B355F" w:rsidRPr="00EE3B84" w:rsidRDefault="0013126E" w:rsidP="00A32591">
      <w:pPr>
        <w:rPr>
          <w:rFonts w:eastAsiaTheme="minorEastAsia"/>
          <w:lang w:val="en-US"/>
        </w:rPr>
      </w:pPr>
      <w:r>
        <w:rPr>
          <w:rFonts w:eastAsiaTheme="minorEastAsia"/>
        </w:rPr>
        <w:t>Finally, b</w:t>
      </w:r>
      <w:r w:rsidR="00EE3B84" w:rsidRPr="658F4599">
        <w:rPr>
          <w:rFonts w:eastAsiaTheme="minorEastAsia"/>
        </w:rPr>
        <w:t xml:space="preserve">enchmarking </w:t>
      </w:r>
      <w:r w:rsidR="63C40C2B" w:rsidRPr="658F4599">
        <w:rPr>
          <w:rFonts w:eastAsiaTheme="minorEastAsia"/>
        </w:rPr>
        <w:t xml:space="preserve">ISEPs </w:t>
      </w:r>
      <w:r w:rsidR="382E25BC" w:rsidRPr="658F4599">
        <w:rPr>
          <w:rFonts w:eastAsiaTheme="minorEastAsia"/>
        </w:rPr>
        <w:t>highlighted</w:t>
      </w:r>
      <w:r w:rsidR="00EE3B84" w:rsidRPr="658F4599">
        <w:rPr>
          <w:rFonts w:eastAsiaTheme="minorEastAsia"/>
        </w:rPr>
        <w:t xml:space="preserve"> that </w:t>
      </w:r>
      <w:r w:rsidR="5ABDB486" w:rsidRPr="658F4599">
        <w:rPr>
          <w:rFonts w:eastAsiaTheme="minorEastAsia"/>
        </w:rPr>
        <w:t>the most effective ISEPs had</w:t>
      </w:r>
      <w:r w:rsidR="00EE3B84" w:rsidRPr="658F4599">
        <w:rPr>
          <w:rFonts w:eastAsiaTheme="minorEastAsia"/>
        </w:rPr>
        <w:t xml:space="preserve"> a strong partnership model between the schools and universities</w:t>
      </w:r>
      <w:r w:rsidR="00D46225">
        <w:rPr>
          <w:rFonts w:eastAsiaTheme="minorEastAsia"/>
        </w:rPr>
        <w:t>.</w:t>
      </w:r>
      <w:r w:rsidR="00EE3B84" w:rsidRPr="658F4599">
        <w:rPr>
          <w:rFonts w:eastAsiaTheme="minorEastAsia"/>
        </w:rPr>
        <w:t xml:space="preserve"> This is in alignment with Nieuwoudt and Jones’ assertion that “the needs of this </w:t>
      </w:r>
      <w:r w:rsidR="0036140B">
        <w:rPr>
          <w:rFonts w:eastAsiaTheme="minorEastAsia"/>
        </w:rPr>
        <w:t>e</w:t>
      </w:r>
      <w:r w:rsidR="004B0B65">
        <w:rPr>
          <w:rFonts w:eastAsiaTheme="minorEastAsia"/>
        </w:rPr>
        <w:t>nabling</w:t>
      </w:r>
      <w:r w:rsidR="00EE3B84" w:rsidRPr="658F4599">
        <w:rPr>
          <w:rFonts w:eastAsiaTheme="minorEastAsia"/>
        </w:rPr>
        <w:t xml:space="preserve"> cohort necessitate strong partnerships and connections between universities and schools”</w:t>
      </w:r>
      <w:r w:rsidR="005529D5">
        <w:rPr>
          <w:rFonts w:eastAsiaTheme="minorEastAsia"/>
        </w:rPr>
        <w:t xml:space="preserve"> </w:t>
      </w:r>
      <w:r w:rsidR="005529D5" w:rsidRPr="658F4599">
        <w:rPr>
          <w:rFonts w:eastAsiaTheme="minorEastAsia"/>
        </w:rPr>
        <w:t>(2025, p. 119)</w:t>
      </w:r>
      <w:r w:rsidR="00EE3B84" w:rsidRPr="658F4599">
        <w:rPr>
          <w:rFonts w:eastAsiaTheme="minorEastAsia"/>
        </w:rPr>
        <w:t xml:space="preserve"> as part of an </w:t>
      </w:r>
      <w:r w:rsidR="0036140B">
        <w:rPr>
          <w:rFonts w:eastAsiaTheme="minorEastAsia"/>
        </w:rPr>
        <w:t>e</w:t>
      </w:r>
      <w:r w:rsidR="00EE3B84" w:rsidRPr="658F4599">
        <w:rPr>
          <w:rFonts w:eastAsiaTheme="minorEastAsia"/>
        </w:rPr>
        <w:t xml:space="preserve">nabling transition pedagogy that suits the context of ISEPs and </w:t>
      </w:r>
      <w:r w:rsidR="0005439E">
        <w:rPr>
          <w:rFonts w:eastAsiaTheme="minorEastAsia"/>
        </w:rPr>
        <w:t xml:space="preserve">is responsive to </w:t>
      </w:r>
      <w:r w:rsidR="00EE3B84" w:rsidRPr="658F4599">
        <w:rPr>
          <w:rFonts w:eastAsiaTheme="minorEastAsia"/>
        </w:rPr>
        <w:t xml:space="preserve">the needs of the students. The strong ISEP partnership model creates a sustainable bridge in the “third” or liminal space of transition </w:t>
      </w:r>
      <w:r w:rsidR="0036140B">
        <w:rPr>
          <w:rFonts w:eastAsiaTheme="minorEastAsia"/>
        </w:rPr>
        <w:t>in which</w:t>
      </w:r>
      <w:r w:rsidR="00EE3B84" w:rsidRPr="658F4599">
        <w:rPr>
          <w:rFonts w:eastAsiaTheme="minorEastAsia"/>
        </w:rPr>
        <w:t xml:space="preserve"> ISEPs exist (</w:t>
      </w:r>
      <w:proofErr w:type="spellStart"/>
      <w:r w:rsidR="00EE3B84" w:rsidRPr="658F4599">
        <w:rPr>
          <w:rFonts w:eastAsiaTheme="minorEastAsia"/>
        </w:rPr>
        <w:t>Tenakov</w:t>
      </w:r>
      <w:proofErr w:type="spellEnd"/>
      <w:r w:rsidR="00EE3B84" w:rsidRPr="658F4599">
        <w:rPr>
          <w:rFonts w:eastAsiaTheme="minorEastAsia"/>
        </w:rPr>
        <w:t xml:space="preserve"> &amp; Attree 2023; Nieuwoudt &amp; Jones 2025), which is of </w:t>
      </w:r>
      <w:r w:rsidR="17560FC6" w:rsidRPr="658F4599">
        <w:rPr>
          <w:rFonts w:eastAsiaTheme="minorEastAsia"/>
        </w:rPr>
        <w:t>importance</w:t>
      </w:r>
      <w:r w:rsidR="00EE3B84" w:rsidRPr="658F4599">
        <w:rPr>
          <w:rFonts w:eastAsiaTheme="minorEastAsia"/>
        </w:rPr>
        <w:t xml:space="preserve"> for </w:t>
      </w:r>
      <w:r w:rsidR="0036140B">
        <w:rPr>
          <w:rFonts w:eastAsiaTheme="minorEastAsia"/>
        </w:rPr>
        <w:t xml:space="preserve">a </w:t>
      </w:r>
      <w:r w:rsidR="00EE3B84" w:rsidRPr="658F4599">
        <w:rPr>
          <w:rFonts w:eastAsiaTheme="minorEastAsia"/>
        </w:rPr>
        <w:t>successful and smooth transitio</w:t>
      </w:r>
      <w:r w:rsidR="0005439E">
        <w:rPr>
          <w:rFonts w:eastAsiaTheme="minorEastAsia"/>
        </w:rPr>
        <w:t>n</w:t>
      </w:r>
      <w:r w:rsidR="00EE3B84" w:rsidRPr="658F4599">
        <w:rPr>
          <w:rFonts w:eastAsiaTheme="minorEastAsia"/>
        </w:rPr>
        <w:t>.</w:t>
      </w:r>
      <w:r w:rsidR="002231DE" w:rsidRPr="658F4599">
        <w:rPr>
          <w:rFonts w:eastAsiaTheme="minorEastAsia"/>
        </w:rPr>
        <w:t xml:space="preserve"> </w:t>
      </w:r>
    </w:p>
    <w:p w14:paraId="03D8A5E8" w14:textId="131FF9DF" w:rsidR="00632A5D" w:rsidRPr="00632A5D" w:rsidRDefault="00632A5D" w:rsidP="00A32591">
      <w:pPr>
        <w:pStyle w:val="Heading2"/>
        <w:rPr>
          <w:lang w:val="en-US"/>
        </w:rPr>
      </w:pPr>
      <w:bookmarkStart w:id="94" w:name="_Toc217162502"/>
      <w:bookmarkStart w:id="95" w:name="_Toc232766198"/>
      <w:r>
        <w:t xml:space="preserve">A </w:t>
      </w:r>
      <w:r w:rsidR="00C64155">
        <w:t>quality</w:t>
      </w:r>
      <w:r>
        <w:t xml:space="preserve"> pathway to university</w:t>
      </w:r>
      <w:bookmarkEnd w:id="94"/>
      <w:bookmarkEnd w:id="95"/>
    </w:p>
    <w:p w14:paraId="3945D534" w14:textId="75A74C87" w:rsidR="008E173E" w:rsidRPr="00A24228" w:rsidRDefault="41A21DD9" w:rsidP="75F1D0A8">
      <w:pPr>
        <w:rPr>
          <w:rFonts w:eastAsia="Arial"/>
        </w:rPr>
      </w:pPr>
      <w:r>
        <w:t xml:space="preserve">As established, there is a prevailing misconception in public discourse that ISEPs lack rigour or quality preparation for university. </w:t>
      </w:r>
      <w:r w:rsidR="2FD4113B">
        <w:t>In contrast, b</w:t>
      </w:r>
      <w:r w:rsidR="24D78B94">
        <w:t>enchmarking, as well as survey and interview findings</w:t>
      </w:r>
      <w:r w:rsidR="630F22F5">
        <w:t>,</w:t>
      </w:r>
      <w:r w:rsidR="24D78B94">
        <w:t xml:space="preserve"> highlighted the </w:t>
      </w:r>
      <w:r w:rsidR="4084059E">
        <w:t>multiple</w:t>
      </w:r>
      <w:r w:rsidR="24D78B94">
        <w:t xml:space="preserve"> </w:t>
      </w:r>
      <w:r w:rsidR="082BFB82">
        <w:t xml:space="preserve">facets of </w:t>
      </w:r>
      <w:r w:rsidR="4693D758">
        <w:t xml:space="preserve">ISEP </w:t>
      </w:r>
      <w:r w:rsidR="082BFB82">
        <w:t>rigour</w:t>
      </w:r>
      <w:r w:rsidR="3C8D5BBC">
        <w:t xml:space="preserve">. </w:t>
      </w:r>
      <w:r w:rsidR="315EE35D">
        <w:t>Firstly, b</w:t>
      </w:r>
      <w:r w:rsidR="00F173FC">
        <w:t>enchmarking highlighte</w:t>
      </w:r>
      <w:r w:rsidR="020E94AC">
        <w:t>d</w:t>
      </w:r>
      <w:r w:rsidR="00F173FC">
        <w:t xml:space="preserve"> alignment with</w:t>
      </w:r>
      <w:r w:rsidR="081AD271">
        <w:t xml:space="preserve"> the broader </w:t>
      </w:r>
      <w:r w:rsidR="0036140B">
        <w:t>e</w:t>
      </w:r>
      <w:r w:rsidR="081AD271">
        <w:t>nabling sector</w:t>
      </w:r>
      <w:r w:rsidR="5A11F0E9">
        <w:t xml:space="preserve">, </w:t>
      </w:r>
      <w:r w:rsidR="425D4DFC">
        <w:t>showing all</w:t>
      </w:r>
      <w:r w:rsidR="081AD271">
        <w:t xml:space="preserve"> </w:t>
      </w:r>
      <w:r w:rsidR="35A6A618">
        <w:t>program</w:t>
      </w:r>
      <w:r w:rsidR="605876DE">
        <w:t>s were</w:t>
      </w:r>
      <w:r w:rsidR="081AD271">
        <w:t xml:space="preserve"> aligned to C</w:t>
      </w:r>
      <w:r w:rsidR="79312371">
        <w:t>LOs</w:t>
      </w:r>
      <w:r w:rsidR="081AD271">
        <w:t xml:space="preserve"> outlined by NAEEA</w:t>
      </w:r>
      <w:r w:rsidR="119C8FED">
        <w:t>, b</w:t>
      </w:r>
      <w:r w:rsidR="3CD8ECA8">
        <w:t xml:space="preserve">ut recognised that ISEP CLOs also </w:t>
      </w:r>
      <w:r w:rsidR="0036140B">
        <w:t>must</w:t>
      </w:r>
      <w:r w:rsidR="3CD8ECA8">
        <w:t xml:space="preserve"> remain responsive to the senior school context and socio-emotional needs of the cohorts.</w:t>
      </w:r>
      <w:r w:rsidR="3CD8ECA8" w:rsidRPr="07AD5326">
        <w:rPr>
          <w:lang w:val="en-US"/>
        </w:rPr>
        <w:t xml:space="preserve"> </w:t>
      </w:r>
      <w:r w:rsidR="081AD271">
        <w:t xml:space="preserve">Alignment to </w:t>
      </w:r>
      <w:r w:rsidR="3CD8ECA8">
        <w:t xml:space="preserve">the </w:t>
      </w:r>
      <w:r w:rsidR="081AD271">
        <w:t xml:space="preserve">NAEEA </w:t>
      </w:r>
      <w:r w:rsidR="3CD8ECA8">
        <w:t xml:space="preserve">CLOs </w:t>
      </w:r>
      <w:r w:rsidR="00F173FC">
        <w:t>demonstrates quality assurance in outcomes and is</w:t>
      </w:r>
      <w:r w:rsidR="081AD271">
        <w:t xml:space="preserve"> </w:t>
      </w:r>
      <w:r w:rsidR="00A87CD5">
        <w:t xml:space="preserve">a </w:t>
      </w:r>
      <w:r w:rsidR="081AD271">
        <w:t xml:space="preserve">recommendation of the Davis et al. (2023) benchmarking report for post-secondary </w:t>
      </w:r>
      <w:r w:rsidR="008F0697">
        <w:t>e</w:t>
      </w:r>
      <w:r w:rsidR="081AD271">
        <w:t xml:space="preserve">nabling programs, understood </w:t>
      </w:r>
      <w:proofErr w:type="gramStart"/>
      <w:r w:rsidR="081AD271">
        <w:t>sector</w:t>
      </w:r>
      <w:r w:rsidR="008F0697">
        <w:t>-</w:t>
      </w:r>
      <w:r w:rsidR="081AD271">
        <w:t>wide</w:t>
      </w:r>
      <w:proofErr w:type="gramEnd"/>
      <w:r w:rsidR="081AD271">
        <w:t xml:space="preserve"> as important with the absence of an AQF level for surety of purpose, rigor</w:t>
      </w:r>
      <w:r w:rsidR="008F0697">
        <w:t>,</w:t>
      </w:r>
      <w:r w:rsidR="081AD271">
        <w:t xml:space="preserve"> and portability. </w:t>
      </w:r>
      <w:r w:rsidR="3CD8ECA8">
        <w:t>Moreover</w:t>
      </w:r>
      <w:r w:rsidR="72F42A00">
        <w:t>, b</w:t>
      </w:r>
      <w:r w:rsidR="7413D314">
        <w:t xml:space="preserve">enchmarking </w:t>
      </w:r>
      <w:r w:rsidR="4A0E267E">
        <w:t>th</w:t>
      </w:r>
      <w:r w:rsidR="36F67C5E">
        <w:t>e</w:t>
      </w:r>
      <w:r w:rsidR="4A0E267E">
        <w:t xml:space="preserve"> </w:t>
      </w:r>
      <w:r w:rsidR="53F85AB4">
        <w:t>program</w:t>
      </w:r>
      <w:r w:rsidR="172FD157">
        <w:t>s’</w:t>
      </w:r>
      <w:r w:rsidR="53F85AB4">
        <w:t xml:space="preserve"> design </w:t>
      </w:r>
      <w:r w:rsidR="7F1D9236">
        <w:t xml:space="preserve">further </w:t>
      </w:r>
      <w:r w:rsidR="7413D314">
        <w:t xml:space="preserve">demonstrated </w:t>
      </w:r>
      <w:r w:rsidR="56DE92F0">
        <w:t xml:space="preserve">ISEP </w:t>
      </w:r>
      <w:r w:rsidR="7F1D9236">
        <w:t>rigour</w:t>
      </w:r>
      <w:r w:rsidR="673222CA">
        <w:t xml:space="preserve"> </w:t>
      </w:r>
      <w:r w:rsidR="7F1D9236">
        <w:t xml:space="preserve">with </w:t>
      </w:r>
      <w:r w:rsidR="7413D314">
        <w:t xml:space="preserve">strong alignment </w:t>
      </w:r>
      <w:r w:rsidR="6FDE0772">
        <w:t>program</w:t>
      </w:r>
      <w:r w:rsidR="0EC1C73F">
        <w:t xml:space="preserve"> </w:t>
      </w:r>
      <w:r w:rsidR="081AD271">
        <w:t>structure</w:t>
      </w:r>
      <w:r w:rsidR="008F0697">
        <w:t>.</w:t>
      </w:r>
      <w:r w:rsidR="081AD271">
        <w:t xml:space="preserve"> </w:t>
      </w:r>
      <w:r w:rsidR="008F0697">
        <w:t>O</w:t>
      </w:r>
      <w:r w:rsidR="081AD271">
        <w:t xml:space="preserve">f </w:t>
      </w:r>
      <w:r w:rsidR="089CC46C">
        <w:t>note was the</w:t>
      </w:r>
      <w:r w:rsidR="081AD271">
        <w:t xml:space="preserve"> </w:t>
      </w:r>
      <w:r w:rsidR="7413D314">
        <w:t xml:space="preserve">highly </w:t>
      </w:r>
      <w:r w:rsidR="081AD271">
        <w:t>scaffolded curriculum of academic skills, knowledge, and assessment.</w:t>
      </w:r>
      <w:r w:rsidR="7413D314">
        <w:t xml:space="preserve"> </w:t>
      </w:r>
      <w:r w:rsidR="1B57AF64">
        <w:t xml:space="preserve">When collecting </w:t>
      </w:r>
      <w:r w:rsidR="3CD8ECA8">
        <w:t>educator perspectives about ISEPs</w:t>
      </w:r>
      <w:r w:rsidR="1FD191C2">
        <w:t xml:space="preserve">, </w:t>
      </w:r>
      <w:r w:rsidR="008F0697">
        <w:t>respondents</w:t>
      </w:r>
      <w:r w:rsidR="1FD191C2">
        <w:t xml:space="preserve"> </w:t>
      </w:r>
      <w:r w:rsidR="548C5BE9">
        <w:t>repeatedly</w:t>
      </w:r>
      <w:r w:rsidR="68F06240">
        <w:t xml:space="preserve"> commented on </w:t>
      </w:r>
      <w:r w:rsidR="0AD91287">
        <w:t>how</w:t>
      </w:r>
      <w:r w:rsidR="1BEC0ACB">
        <w:t xml:space="preserve"> scaffolding</w:t>
      </w:r>
      <w:r w:rsidR="68F06240" w:rsidRPr="07AD5326">
        <w:rPr>
          <w:rFonts w:eastAsia="Arial"/>
        </w:rPr>
        <w:t xml:space="preserve"> </w:t>
      </w:r>
      <w:r w:rsidR="787FBD11" w:rsidRPr="07AD5326">
        <w:rPr>
          <w:rFonts w:eastAsia="Arial"/>
        </w:rPr>
        <w:t xml:space="preserve">contributed to </w:t>
      </w:r>
      <w:r w:rsidR="68F06240" w:rsidRPr="07AD5326">
        <w:rPr>
          <w:rFonts w:eastAsia="Arial"/>
        </w:rPr>
        <w:t>student academic growth in the program</w:t>
      </w:r>
      <w:r w:rsidR="008F0697">
        <w:rPr>
          <w:rFonts w:eastAsia="Arial"/>
        </w:rPr>
        <w:t>:</w:t>
      </w:r>
      <w:r w:rsidR="68F06240" w:rsidRPr="07AD5326">
        <w:rPr>
          <w:rFonts w:eastAsia="Arial"/>
        </w:rPr>
        <w:t xml:space="preserve"> </w:t>
      </w:r>
    </w:p>
    <w:p w14:paraId="2B82B2C0" w14:textId="2EFDF326" w:rsidR="008E173E" w:rsidRPr="004C2231" w:rsidRDefault="5C6D063C" w:rsidP="004C2231">
      <w:pPr>
        <w:ind w:left="567" w:right="567"/>
        <w:rPr>
          <w:rFonts w:eastAsia="Arial"/>
          <w:szCs w:val="22"/>
        </w:rPr>
      </w:pPr>
      <w:r w:rsidRPr="00B43A6C">
        <w:rPr>
          <w:rStyle w:val="QuoteChar"/>
          <w:rFonts w:eastAsia="Arial"/>
          <w:i w:val="0"/>
          <w:iCs/>
          <w:color w:val="auto"/>
          <w:sz w:val="22"/>
          <w:szCs w:val="22"/>
        </w:rPr>
        <w:t>It's so well scaffolded and it's amazing what they produce. It blows my mind every time</w:t>
      </w:r>
      <w:r w:rsidR="005529D5">
        <w:rPr>
          <w:rStyle w:val="QuoteChar"/>
          <w:rFonts w:eastAsia="Arial"/>
          <w:i w:val="0"/>
          <w:iCs/>
          <w:color w:val="auto"/>
          <w:sz w:val="22"/>
          <w:szCs w:val="22"/>
        </w:rPr>
        <w:t xml:space="preserve"> </w:t>
      </w:r>
      <w:r w:rsidR="008F0697" w:rsidRPr="00B43A6C">
        <w:rPr>
          <w:rStyle w:val="QuoteChar"/>
          <w:rFonts w:eastAsia="Arial"/>
          <w:i w:val="0"/>
          <w:iCs/>
          <w:color w:val="auto"/>
          <w:sz w:val="22"/>
          <w:szCs w:val="22"/>
        </w:rPr>
        <w:t>…</w:t>
      </w:r>
      <w:r w:rsidR="005529D5">
        <w:rPr>
          <w:rStyle w:val="QuoteChar"/>
          <w:rFonts w:eastAsia="Arial"/>
          <w:i w:val="0"/>
          <w:iCs/>
          <w:color w:val="auto"/>
          <w:sz w:val="22"/>
          <w:szCs w:val="22"/>
        </w:rPr>
        <w:t xml:space="preserve"> </w:t>
      </w:r>
      <w:r w:rsidRPr="00B43A6C">
        <w:rPr>
          <w:rStyle w:val="QuoteChar"/>
          <w:rFonts w:eastAsia="Arial"/>
          <w:i w:val="0"/>
          <w:iCs/>
          <w:color w:val="auto"/>
          <w:sz w:val="22"/>
          <w:szCs w:val="22"/>
        </w:rPr>
        <w:t>because I get to see aspects of their work when they want me to have a look at it. And you look at it and go</w:t>
      </w:r>
      <w:r w:rsidR="008F0697" w:rsidRPr="00B43A6C">
        <w:rPr>
          <w:rStyle w:val="QuoteChar"/>
          <w:rFonts w:eastAsia="Arial"/>
          <w:i w:val="0"/>
          <w:iCs/>
          <w:color w:val="auto"/>
          <w:sz w:val="22"/>
          <w:szCs w:val="22"/>
        </w:rPr>
        <w:t>,</w:t>
      </w:r>
      <w:r w:rsidRPr="00B43A6C">
        <w:rPr>
          <w:rStyle w:val="QuoteChar"/>
          <w:rFonts w:eastAsia="Arial"/>
          <w:i w:val="0"/>
          <w:iCs/>
          <w:color w:val="auto"/>
          <w:sz w:val="22"/>
          <w:szCs w:val="22"/>
        </w:rPr>
        <w:t xml:space="preserve"> </w:t>
      </w:r>
      <w:r w:rsidR="003D60C0" w:rsidRPr="00B43A6C">
        <w:rPr>
          <w:rStyle w:val="QuoteChar"/>
          <w:rFonts w:eastAsia="Arial"/>
          <w:i w:val="0"/>
          <w:iCs/>
          <w:color w:val="auto"/>
          <w:sz w:val="22"/>
          <w:szCs w:val="22"/>
        </w:rPr>
        <w:t>‘</w:t>
      </w:r>
      <w:r w:rsidR="008F0697" w:rsidRPr="00B43A6C">
        <w:rPr>
          <w:rStyle w:val="QuoteChar"/>
          <w:rFonts w:eastAsia="Arial"/>
          <w:i w:val="0"/>
          <w:iCs/>
          <w:color w:val="auto"/>
          <w:sz w:val="22"/>
          <w:szCs w:val="22"/>
        </w:rPr>
        <w:t>w</w:t>
      </w:r>
      <w:r w:rsidRPr="00B43A6C">
        <w:rPr>
          <w:rStyle w:val="QuoteChar"/>
          <w:rFonts w:eastAsia="Arial"/>
          <w:i w:val="0"/>
          <w:iCs/>
          <w:color w:val="auto"/>
          <w:sz w:val="22"/>
          <w:szCs w:val="22"/>
        </w:rPr>
        <w:t>ow</w:t>
      </w:r>
      <w:r w:rsidR="003C7A93" w:rsidRPr="00B43A6C">
        <w:rPr>
          <w:rStyle w:val="QuoteChar"/>
          <w:rFonts w:eastAsia="Arial"/>
          <w:i w:val="0"/>
          <w:iCs/>
          <w:color w:val="auto"/>
          <w:sz w:val="22"/>
          <w:szCs w:val="22"/>
        </w:rPr>
        <w:t>.</w:t>
      </w:r>
      <w:r w:rsidR="003D60C0" w:rsidRPr="00B43A6C">
        <w:rPr>
          <w:rStyle w:val="QuoteChar"/>
          <w:rFonts w:eastAsia="Arial"/>
          <w:i w:val="0"/>
          <w:iCs/>
          <w:color w:val="auto"/>
          <w:sz w:val="22"/>
          <w:szCs w:val="22"/>
        </w:rPr>
        <w:t>’</w:t>
      </w:r>
      <w:r w:rsidRPr="00B43A6C">
        <w:rPr>
          <w:rFonts w:eastAsia="Arial"/>
          <w:i/>
          <w:iCs/>
          <w:szCs w:val="22"/>
        </w:rPr>
        <w:t xml:space="preserve"> </w:t>
      </w:r>
      <w:r w:rsidR="48899937" w:rsidRPr="004C2231">
        <w:rPr>
          <w:rFonts w:eastAsia="Arial"/>
          <w:szCs w:val="22"/>
        </w:rPr>
        <w:t>(EI</w:t>
      </w:r>
      <w:r w:rsidR="004C2231">
        <w:rPr>
          <w:rFonts w:eastAsia="Arial"/>
          <w:szCs w:val="22"/>
        </w:rPr>
        <w:t xml:space="preserve"> </w:t>
      </w:r>
      <w:r w:rsidR="48899937" w:rsidRPr="004C2231">
        <w:rPr>
          <w:rFonts w:eastAsia="Arial"/>
          <w:szCs w:val="22"/>
        </w:rPr>
        <w:t>001)</w:t>
      </w:r>
    </w:p>
    <w:p w14:paraId="3CE973F1" w14:textId="28F43384" w:rsidR="005D4C86" w:rsidRDefault="68F06240" w:rsidP="07AD5326">
      <w:pPr>
        <w:rPr>
          <w:color w:val="000000"/>
        </w:rPr>
      </w:pPr>
      <w:r w:rsidRPr="07AD5326">
        <w:rPr>
          <w:rFonts w:eastAsia="Arial"/>
        </w:rPr>
        <w:lastRenderedPageBreak/>
        <w:t xml:space="preserve">Similarly, </w:t>
      </w:r>
      <w:r w:rsidR="008876E4">
        <w:rPr>
          <w:rFonts w:eastAsia="Arial"/>
        </w:rPr>
        <w:t>e</w:t>
      </w:r>
      <w:r w:rsidR="0CF712E5" w:rsidRPr="07AD5326">
        <w:rPr>
          <w:rFonts w:eastAsia="Arial"/>
        </w:rPr>
        <w:t>ducator</w:t>
      </w:r>
      <w:r w:rsidRPr="07AD5326">
        <w:rPr>
          <w:rFonts w:eastAsia="Arial"/>
        </w:rPr>
        <w:t xml:space="preserve"> responses also recognised </w:t>
      </w:r>
      <w:r w:rsidR="1FD191C2" w:rsidRPr="07AD5326">
        <w:rPr>
          <w:rFonts w:eastAsia="Arial"/>
        </w:rPr>
        <w:t>the strength of ISEPs</w:t>
      </w:r>
      <w:r w:rsidRPr="07AD5326">
        <w:rPr>
          <w:rFonts w:eastAsia="Arial"/>
        </w:rPr>
        <w:t xml:space="preserve"> </w:t>
      </w:r>
      <w:r w:rsidR="008876E4">
        <w:rPr>
          <w:rFonts w:eastAsia="Arial"/>
        </w:rPr>
        <w:t xml:space="preserve">in </w:t>
      </w:r>
      <w:r w:rsidRPr="07AD5326">
        <w:rPr>
          <w:rFonts w:eastAsia="Arial"/>
        </w:rPr>
        <w:t>teaching</w:t>
      </w:r>
      <w:r w:rsidR="0C7B643B" w:rsidRPr="07AD5326">
        <w:rPr>
          <w:rFonts w:eastAsia="Arial"/>
        </w:rPr>
        <w:t xml:space="preserve"> core</w:t>
      </w:r>
      <w:r w:rsidRPr="07AD5326">
        <w:rPr>
          <w:rFonts w:eastAsia="Arial"/>
        </w:rPr>
        <w:t xml:space="preserve"> academic skills</w:t>
      </w:r>
      <w:r w:rsidR="796EDC8A" w:rsidRPr="07AD5326">
        <w:rPr>
          <w:rFonts w:eastAsia="Arial"/>
        </w:rPr>
        <w:t xml:space="preserve"> such as </w:t>
      </w:r>
      <w:r w:rsidR="319E2E63" w:rsidRPr="07AD5326">
        <w:rPr>
          <w:rFonts w:eastAsia="Arial"/>
        </w:rPr>
        <w:t>academic research</w:t>
      </w:r>
      <w:r w:rsidR="34ACAD52" w:rsidRPr="07AD5326">
        <w:rPr>
          <w:rFonts w:eastAsia="Arial"/>
        </w:rPr>
        <w:t>, referencing</w:t>
      </w:r>
      <w:r w:rsidR="008876E4">
        <w:rPr>
          <w:rFonts w:eastAsia="Arial"/>
        </w:rPr>
        <w:t>,</w:t>
      </w:r>
      <w:r w:rsidR="545E9825" w:rsidRPr="07AD5326">
        <w:rPr>
          <w:rFonts w:eastAsia="Arial"/>
        </w:rPr>
        <w:t xml:space="preserve"> an</w:t>
      </w:r>
      <w:r w:rsidR="545E9825">
        <w:t>d writing</w:t>
      </w:r>
      <w:r w:rsidR="008876E4">
        <w:t>,</w:t>
      </w:r>
      <w:r w:rsidR="44646E76">
        <w:t xml:space="preserve"> </w:t>
      </w:r>
      <w:r w:rsidR="545E9825">
        <w:t>rai</w:t>
      </w:r>
      <w:r w:rsidR="299DDCA6">
        <w:t>sing</w:t>
      </w:r>
      <w:r w:rsidR="05414407">
        <w:t xml:space="preserve"> </w:t>
      </w:r>
      <w:r w:rsidR="7695585A">
        <w:t>the</w:t>
      </w:r>
      <w:r w:rsidR="545E9825">
        <w:t xml:space="preserve"> </w:t>
      </w:r>
      <w:r w:rsidR="319E2E63">
        <w:t xml:space="preserve">academic standard </w:t>
      </w:r>
      <w:r w:rsidR="7695585A">
        <w:t>of students</w:t>
      </w:r>
      <w:r w:rsidR="008876E4">
        <w:t>’</w:t>
      </w:r>
      <w:r w:rsidR="7695585A">
        <w:t xml:space="preserve"> work </w:t>
      </w:r>
      <w:r w:rsidR="319E2E63">
        <w:t xml:space="preserve">not just in the programs but in other subjects as well. </w:t>
      </w:r>
      <w:r w:rsidR="6A6B5AA7">
        <w:t xml:space="preserve">Students also saw this </w:t>
      </w:r>
      <w:r w:rsidR="2506CF41">
        <w:t xml:space="preserve">development of core academic skills as important to </w:t>
      </w:r>
      <w:r w:rsidR="4A961FEF">
        <w:t xml:space="preserve">their </w:t>
      </w:r>
      <w:r w:rsidR="2506CF41">
        <w:t>successful transition</w:t>
      </w:r>
      <w:r w:rsidR="008876E4">
        <w:t>,</w:t>
      </w:r>
      <w:r w:rsidR="2506CF41">
        <w:t xml:space="preserve"> </w:t>
      </w:r>
      <w:r w:rsidR="201569AB">
        <w:t xml:space="preserve">as </w:t>
      </w:r>
      <w:r w:rsidR="7BBAB9EA">
        <w:t>synthesised</w:t>
      </w:r>
      <w:r w:rsidR="201569AB">
        <w:t xml:space="preserve"> </w:t>
      </w:r>
      <w:r w:rsidR="7BBAB9EA">
        <w:t xml:space="preserve">in the </w:t>
      </w:r>
      <w:r w:rsidR="20BC1ED2">
        <w:t xml:space="preserve">thematic </w:t>
      </w:r>
      <w:r w:rsidR="7BBAB9EA">
        <w:t xml:space="preserve">findings </w:t>
      </w:r>
      <w:r w:rsidR="7C4B958E">
        <w:t>superordinate</w:t>
      </w:r>
      <w:r w:rsidR="4ED1830F">
        <w:t xml:space="preserve"> theme of </w:t>
      </w:r>
      <w:r w:rsidR="008876E4">
        <w:t>“u</w:t>
      </w:r>
      <w:r w:rsidR="4ED1830F" w:rsidRPr="00D62486">
        <w:t xml:space="preserve">niversity </w:t>
      </w:r>
      <w:r w:rsidR="008876E4">
        <w:t>a</w:t>
      </w:r>
      <w:r w:rsidR="4ED1830F" w:rsidRPr="00D62486">
        <w:t xml:space="preserve">cculturation and </w:t>
      </w:r>
      <w:r w:rsidR="008876E4">
        <w:t>p</w:t>
      </w:r>
      <w:r w:rsidR="4ED1830F" w:rsidRPr="00D62486">
        <w:t>reparedness</w:t>
      </w:r>
      <w:r w:rsidR="008876E4">
        <w:t>”</w:t>
      </w:r>
      <w:r w:rsidR="20BC1ED2" w:rsidRPr="00D62486">
        <w:t>.</w:t>
      </w:r>
      <w:r w:rsidR="20BC1ED2" w:rsidRPr="07AD5326">
        <w:rPr>
          <w:color w:val="000000"/>
        </w:rPr>
        <w:t xml:space="preserve"> </w:t>
      </w:r>
    </w:p>
    <w:p w14:paraId="2E78B1B6" w14:textId="16B6D285" w:rsidR="008E173E" w:rsidRPr="00A05865" w:rsidRDefault="32519926" w:rsidP="008E173E">
      <w:r>
        <w:t>As established</w:t>
      </w:r>
      <w:r w:rsidR="714C6094">
        <w:t>,</w:t>
      </w:r>
      <w:r>
        <w:t xml:space="preserve"> </w:t>
      </w:r>
      <w:r w:rsidR="10C1DC54">
        <w:t xml:space="preserve">ISEPs </w:t>
      </w:r>
      <w:r w:rsidR="485F530A">
        <w:t xml:space="preserve">widen access for </w:t>
      </w:r>
      <w:r w:rsidR="10C1DC54">
        <w:t>students from equity groups</w:t>
      </w:r>
      <w:r w:rsidR="485F530A">
        <w:t>,</w:t>
      </w:r>
      <w:r w:rsidR="293B1A3D">
        <w:t xml:space="preserve"> but </w:t>
      </w:r>
      <w:r w:rsidR="79E58D8A">
        <w:t xml:space="preserve">also provide a quality preparatory pathway (design and delivery) into higher education. This </w:t>
      </w:r>
      <w:r w:rsidR="3F63F9EE">
        <w:t>is</w:t>
      </w:r>
      <w:r>
        <w:t xml:space="preserve"> demonstrate</w:t>
      </w:r>
      <w:r w:rsidR="79E58D8A">
        <w:t>d</w:t>
      </w:r>
      <w:r w:rsidR="485F530A">
        <w:t xml:space="preserve"> </w:t>
      </w:r>
      <w:r>
        <w:t xml:space="preserve">with retention of </w:t>
      </w:r>
      <w:r w:rsidR="00191433">
        <w:t xml:space="preserve">undergraduate </w:t>
      </w:r>
      <w:r>
        <w:t>students</w:t>
      </w:r>
      <w:r w:rsidR="485F530A">
        <w:t xml:space="preserve"> </w:t>
      </w:r>
      <w:r w:rsidR="79E58D8A">
        <w:t xml:space="preserve">at </w:t>
      </w:r>
      <w:r w:rsidR="485F530A">
        <w:t>near</w:t>
      </w:r>
      <w:r w:rsidR="00191433">
        <w:rPr>
          <w:rFonts w:ascii="Cambria Math" w:hAnsi="Cambria Math" w:cs="Cambria Math"/>
        </w:rPr>
        <w:t xml:space="preserve"> </w:t>
      </w:r>
      <w:r w:rsidR="485F530A">
        <w:t>parity with their peers</w:t>
      </w:r>
      <w:r w:rsidR="42EB88DA">
        <w:t>.</w:t>
      </w:r>
      <w:r w:rsidR="79E58D8A">
        <w:t xml:space="preserve"> </w:t>
      </w:r>
      <w:r w:rsidR="04AC32D8">
        <w:t>ISEP graduates enrolled at</w:t>
      </w:r>
      <w:r w:rsidR="05F22688">
        <w:t xml:space="preserve"> ECU and MU</w:t>
      </w:r>
      <w:r w:rsidR="00191433">
        <w:t>—</w:t>
      </w:r>
      <w:r w:rsidR="4D4D9927">
        <w:t xml:space="preserve">the </w:t>
      </w:r>
      <w:r>
        <w:t xml:space="preserve">two </w:t>
      </w:r>
      <w:r w:rsidR="4D4D9927">
        <w:t>longest</w:t>
      </w:r>
      <w:r w:rsidR="00191433">
        <w:t>-</w:t>
      </w:r>
      <w:r w:rsidR="10C1DC54">
        <w:t>running</w:t>
      </w:r>
      <w:r w:rsidR="4D4D9927">
        <w:t xml:space="preserve"> programs</w:t>
      </w:r>
      <w:r w:rsidR="00191433">
        <w:t>—</w:t>
      </w:r>
      <w:r w:rsidR="4D4D9927">
        <w:t>are</w:t>
      </w:r>
      <w:r w:rsidR="05F22688">
        <w:t xml:space="preserve"> retained at approximately 79–83%</w:t>
      </w:r>
      <w:r>
        <w:t xml:space="preserve">, which </w:t>
      </w:r>
      <w:r w:rsidR="42EB88DA">
        <w:t xml:space="preserve">is </w:t>
      </w:r>
      <w:r w:rsidR="411D2C0B">
        <w:t xml:space="preserve">comparable to </w:t>
      </w:r>
      <w:r w:rsidR="00191433">
        <w:t xml:space="preserve">the retention rate of </w:t>
      </w:r>
      <w:r w:rsidR="23DA3141">
        <w:t>the</w:t>
      </w:r>
      <w:r w:rsidR="03EC0F67">
        <w:t xml:space="preserve">ir </w:t>
      </w:r>
      <w:r w:rsidR="00191433">
        <w:t xml:space="preserve">non-equity group </w:t>
      </w:r>
      <w:r w:rsidR="411D2C0B">
        <w:t xml:space="preserve">peers. </w:t>
      </w:r>
      <w:r w:rsidR="1E046B97">
        <w:t xml:space="preserve">Given the commitment to equity, </w:t>
      </w:r>
      <w:r>
        <w:t>ISEP</w:t>
      </w:r>
      <w:r w:rsidR="38B689CD">
        <w:t>s</w:t>
      </w:r>
      <w:r w:rsidR="1E046B97">
        <w:t xml:space="preserve"> focused on accessibility and inclusivity. </w:t>
      </w:r>
      <w:r w:rsidR="1231B24A">
        <w:t>Educators r</w:t>
      </w:r>
      <w:r w:rsidR="1E4CEE3F">
        <w:t>ecognised the supportive nature of ISEPs</w:t>
      </w:r>
      <w:r w:rsidR="00191433">
        <w:t>,</w:t>
      </w:r>
      <w:r w:rsidR="1E4CEE3F">
        <w:t xml:space="preserve"> noting they were opening doors </w:t>
      </w:r>
      <w:r w:rsidR="1231B24A">
        <w:t xml:space="preserve">for “young people who are disengaged” or those with </w:t>
      </w:r>
      <w:r w:rsidR="4DBD808E">
        <w:t>“</w:t>
      </w:r>
      <w:r w:rsidR="1231B24A">
        <w:t>physical, neurological, or mental health challenges</w:t>
      </w:r>
      <w:r w:rsidR="4DBD808E">
        <w:t>”</w:t>
      </w:r>
      <w:r w:rsidR="1231B24A">
        <w:t xml:space="preserve"> (EI</w:t>
      </w:r>
      <w:r w:rsidR="784FD955">
        <w:t xml:space="preserve"> </w:t>
      </w:r>
      <w:r w:rsidR="1231B24A">
        <w:t>005)</w:t>
      </w:r>
      <w:r w:rsidR="4DBD808E">
        <w:t>. Educators recognised how ISEPs allowed</w:t>
      </w:r>
      <w:r w:rsidR="6A4346A2">
        <w:t xml:space="preserve"> space in program design to be responsive to need</w:t>
      </w:r>
      <w:r w:rsidR="00191433">
        <w:t>s</w:t>
      </w:r>
      <w:r w:rsidR="6A4346A2">
        <w:t xml:space="preserve"> such as additional classes or support</w:t>
      </w:r>
      <w:r w:rsidR="1231B24A">
        <w:t>.</w:t>
      </w:r>
      <w:r w:rsidR="1E046B97">
        <w:t xml:space="preserve"> All programs also had quality assurance mechanisms</w:t>
      </w:r>
      <w:r w:rsidR="23AD5907">
        <w:t>,</w:t>
      </w:r>
      <w:r w:rsidR="1E046B97">
        <w:t xml:space="preserve"> </w:t>
      </w:r>
      <w:r w:rsidR="74BCB393">
        <w:t>such as moderation and academic integrity process</w:t>
      </w:r>
      <w:r w:rsidR="1E046B97">
        <w:t xml:space="preserve"> led by the university</w:t>
      </w:r>
      <w:r w:rsidR="7E760B96">
        <w:t>,</w:t>
      </w:r>
      <w:r w:rsidR="1E046B97">
        <w:t xml:space="preserve"> to uphold the integrity and quality of program design and </w:t>
      </w:r>
      <w:r w:rsidR="5F2DF788">
        <w:t xml:space="preserve">final </w:t>
      </w:r>
      <w:r w:rsidR="1E046B97">
        <w:t>outcomes.</w:t>
      </w:r>
      <w:r w:rsidR="0DE689DE">
        <w:t xml:space="preserve"> </w:t>
      </w:r>
      <w:r w:rsidR="2B3DEBEC">
        <w:t>The typology of models, identified in the benchmarking, recognised the similarities in program purpose, design</w:t>
      </w:r>
      <w:r w:rsidR="003D4744">
        <w:t>,</w:t>
      </w:r>
      <w:r w:rsidR="2B3DEBEC">
        <w:t xml:space="preserve"> and quality assurance, with differences in partnership model and delivery methods in schools. </w:t>
      </w:r>
      <w:r w:rsidR="1708C5D8">
        <w:t xml:space="preserve">ECU and SCU integrated ISEPs into school timetables with high school teachers, MU adopted a collaborative approach with teachers and university tutors, and </w:t>
      </w:r>
      <w:proofErr w:type="spellStart"/>
      <w:r w:rsidR="1708C5D8">
        <w:t>UniSQ</w:t>
      </w:r>
      <w:proofErr w:type="spellEnd"/>
      <w:r w:rsidR="1708C5D8">
        <w:t xml:space="preserve"> offered a flexible online model with </w:t>
      </w:r>
      <w:r w:rsidR="4AD45491">
        <w:t xml:space="preserve">university </w:t>
      </w:r>
      <w:r w:rsidR="1708C5D8">
        <w:t>tutor support, including options for home-schooled students. </w:t>
      </w:r>
      <w:r w:rsidR="7503CA2D">
        <w:t>While similar</w:t>
      </w:r>
      <w:r w:rsidR="003D4744">
        <w:t>,</w:t>
      </w:r>
      <w:r w:rsidR="7503CA2D">
        <w:t xml:space="preserve"> </w:t>
      </w:r>
      <w:r w:rsidR="4A95A0B8">
        <w:t>t</w:t>
      </w:r>
      <w:r w:rsidR="1708C5D8">
        <w:t>hese distinctions highlight the contextual nature of ISEPs, where universities have been responsive to the needs of their local communities.</w:t>
      </w:r>
    </w:p>
    <w:p w14:paraId="3CBE37F4" w14:textId="7AF07A82" w:rsidR="0017637E" w:rsidRPr="0006579C" w:rsidRDefault="6B9F68D9" w:rsidP="00A32591">
      <w:r w:rsidRPr="07AD5326">
        <w:rPr>
          <w:color w:val="000000"/>
        </w:rPr>
        <w:t>Finally, the quality</w:t>
      </w:r>
      <w:r w:rsidRPr="07AD5326">
        <w:rPr>
          <w:rFonts w:ascii="Segoe UI" w:hAnsi="Segoe UI" w:cs="Segoe UI"/>
          <w:color w:val="000000"/>
          <w:sz w:val="21"/>
          <w:szCs w:val="21"/>
        </w:rPr>
        <w:t xml:space="preserve"> </w:t>
      </w:r>
      <w:r>
        <w:t>of the programs as pathway</w:t>
      </w:r>
      <w:r w:rsidR="003D4744">
        <w:t>s</w:t>
      </w:r>
      <w:r>
        <w:t xml:space="preserve"> is reflected in the quantitative outcomes data, with high success (87%) and strong completion (79%) rates, </w:t>
      </w:r>
      <w:r w:rsidR="003D4744">
        <w:t>and</w:t>
      </w:r>
      <w:r>
        <w:t xml:space="preserve"> 50% of students </w:t>
      </w:r>
      <w:proofErr w:type="gramStart"/>
      <w:r>
        <w:t>continuing on</w:t>
      </w:r>
      <w:proofErr w:type="gramEnd"/>
      <w:r>
        <w:t xml:space="preserve"> to undergraduate study at their partner university within </w:t>
      </w:r>
      <w:r w:rsidR="003D4744">
        <w:t>one-to-two</w:t>
      </w:r>
      <w:r>
        <w:t xml:space="preserve"> years. ISEP entrants were retained from first to second year</w:t>
      </w:r>
      <w:r w:rsidR="5F775864">
        <w:t xml:space="preserve"> </w:t>
      </w:r>
      <w:r>
        <w:t xml:space="preserve">at 75%, comparable to </w:t>
      </w:r>
      <w:r w:rsidR="5F775864">
        <w:t xml:space="preserve">students on </w:t>
      </w:r>
      <w:r>
        <w:t>non-ATAR (76%) and other</w:t>
      </w:r>
      <w:r w:rsidR="003D4744">
        <w:t xml:space="preserve"> </w:t>
      </w:r>
      <w:r>
        <w:t xml:space="preserve">provider </w:t>
      </w:r>
      <w:r w:rsidR="003D4744">
        <w:t>e</w:t>
      </w:r>
      <w:r w:rsidR="6CFB2FD4">
        <w:t>nabling</w:t>
      </w:r>
      <w:r>
        <w:t xml:space="preserve"> </w:t>
      </w:r>
      <w:r w:rsidR="0002497F">
        <w:t>program</w:t>
      </w:r>
      <w:r w:rsidR="5F775864">
        <w:t xml:space="preserve"> </w:t>
      </w:r>
      <w:r>
        <w:t>(76%)</w:t>
      </w:r>
      <w:r w:rsidR="5F775864">
        <w:t xml:space="preserve"> pathways</w:t>
      </w:r>
      <w:r>
        <w:t xml:space="preserve">, </w:t>
      </w:r>
      <w:r w:rsidR="003D4744">
        <w:t xml:space="preserve">and </w:t>
      </w:r>
      <w:r>
        <w:t xml:space="preserve">close to </w:t>
      </w:r>
      <w:r w:rsidR="5F775864">
        <w:t xml:space="preserve">those on </w:t>
      </w:r>
      <w:r>
        <w:t>ATAR (79%)</w:t>
      </w:r>
      <w:r w:rsidR="5F775864">
        <w:t xml:space="preserve"> pathways</w:t>
      </w:r>
      <w:r>
        <w:t xml:space="preserve">, while </w:t>
      </w:r>
      <w:r w:rsidR="5F775864">
        <w:t xml:space="preserve">retention of students from </w:t>
      </w:r>
      <w:r>
        <w:t xml:space="preserve">post-school </w:t>
      </w:r>
      <w:r w:rsidR="003D4744">
        <w:t>e</w:t>
      </w:r>
      <w:r w:rsidR="6CFB2FD4">
        <w:t>nabling</w:t>
      </w:r>
      <w:r>
        <w:t xml:space="preserve"> </w:t>
      </w:r>
      <w:r w:rsidR="5F775864">
        <w:t>pathway</w:t>
      </w:r>
      <w:r w:rsidR="003D4744">
        <w:t>s</w:t>
      </w:r>
      <w:r w:rsidR="5F775864">
        <w:t xml:space="preserve"> </w:t>
      </w:r>
      <w:r>
        <w:t xml:space="preserve">was highest at 82%. Undergraduate success </w:t>
      </w:r>
      <w:r w:rsidR="00B43A6C">
        <w:t xml:space="preserve">for ISEP graduates </w:t>
      </w:r>
      <w:r>
        <w:t xml:space="preserve">was </w:t>
      </w:r>
      <w:r w:rsidR="008E42FF">
        <w:t>on</w:t>
      </w:r>
      <w:r>
        <w:t xml:space="preserve"> average 76%, with ECU at 83% and SCU at 78%, and overall performance was </w:t>
      </w:r>
      <w:proofErr w:type="gramStart"/>
      <w:r>
        <w:t>similar to</w:t>
      </w:r>
      <w:proofErr w:type="gramEnd"/>
      <w:r>
        <w:t xml:space="preserve"> post-school </w:t>
      </w:r>
      <w:r w:rsidR="008E42FF">
        <w:t>e</w:t>
      </w:r>
      <w:r>
        <w:t>nabling, with a retention/success ratio close to 1.</w:t>
      </w:r>
      <w:r w:rsidR="5FB43A05">
        <w:t xml:space="preserve"> </w:t>
      </w:r>
      <w:r w:rsidR="1743EA96">
        <w:t>Quantitative outcomes data indicates programs with the highest retention and success rates, after accounting for differences in enrolment numbers, are those that are well established and incorporate classes within the school timetable. This is an important finding for schools and universities when planning, designing, implementing, and reviewing ISEPs in their institutions.</w:t>
      </w:r>
    </w:p>
    <w:p w14:paraId="4391E5BB" w14:textId="03996E8F" w:rsidR="00FC65D7" w:rsidRPr="00F80576" w:rsidRDefault="00C64155" w:rsidP="00A32591">
      <w:pPr>
        <w:pStyle w:val="Heading2"/>
        <w:rPr>
          <w:lang w:val="en-US"/>
        </w:rPr>
      </w:pPr>
      <w:bookmarkStart w:id="96" w:name="_Toc217162503"/>
      <w:bookmarkStart w:id="97" w:name="_Toc232766199"/>
      <w:r>
        <w:t>A confident pathway to university</w:t>
      </w:r>
      <w:bookmarkEnd w:id="96"/>
      <w:bookmarkEnd w:id="97"/>
    </w:p>
    <w:p w14:paraId="2B8C46CE" w14:textId="214DF07D" w:rsidR="0057421A" w:rsidRPr="003510E5" w:rsidRDefault="005D4C86" w:rsidP="53B0D851">
      <w:pPr>
        <w:rPr>
          <w:sz w:val="20"/>
          <w:szCs w:val="20"/>
        </w:rPr>
      </w:pPr>
      <w:r w:rsidRPr="0077405E">
        <w:t xml:space="preserve">A final aim of this project was to assess if </w:t>
      </w:r>
      <w:r w:rsidR="00A36B2C">
        <w:t>ISEPs</w:t>
      </w:r>
      <w:r w:rsidRPr="0077405E">
        <w:t xml:space="preserve"> adequately prepare students for the transition to undergraduate study.</w:t>
      </w:r>
      <w:r w:rsidRPr="009804BD">
        <w:t xml:space="preserve"> </w:t>
      </w:r>
      <w:r w:rsidR="00696F3F">
        <w:t>Survey L</w:t>
      </w:r>
      <w:r w:rsidR="00696F3F" w:rsidRPr="0077405E">
        <w:t>ikert-scale responses indicated high levels of enjoyment and satisfaction with the ISEP, alongside strong perceptions of preparedness for university.</w:t>
      </w:r>
      <w:r w:rsidR="00696F3F">
        <w:t xml:space="preserve"> </w:t>
      </w:r>
      <w:r w:rsidR="007841BE">
        <w:t xml:space="preserve">A significant finding from </w:t>
      </w:r>
      <w:r w:rsidR="002F0AB4">
        <w:t xml:space="preserve">the qualitative data in this project was </w:t>
      </w:r>
      <w:r w:rsidR="00B55BEC">
        <w:t xml:space="preserve">student and educator recognition of </w:t>
      </w:r>
      <w:r w:rsidR="7FAF53A1">
        <w:t xml:space="preserve">the role that </w:t>
      </w:r>
      <w:r w:rsidR="00B55BEC">
        <w:t xml:space="preserve">ISEPs </w:t>
      </w:r>
      <w:r w:rsidR="00D62A85">
        <w:t>play</w:t>
      </w:r>
      <w:r w:rsidR="2615FFCA">
        <w:t xml:space="preserve"> as a</w:t>
      </w:r>
      <w:r w:rsidR="00B55BEC">
        <w:t xml:space="preserve"> confident pathway to university</w:t>
      </w:r>
      <w:r w:rsidR="4E6F4C27">
        <w:t xml:space="preserve"> in </w:t>
      </w:r>
      <w:r w:rsidR="4E6F4C27">
        <w:lastRenderedPageBreak/>
        <w:t>senior school</w:t>
      </w:r>
      <w:r w:rsidR="00B55BEC">
        <w:t>.</w:t>
      </w:r>
      <w:r w:rsidR="00D114F0">
        <w:t xml:space="preserve"> </w:t>
      </w:r>
      <w:r w:rsidR="00D62A85">
        <w:t>S</w:t>
      </w:r>
      <w:r w:rsidR="00396A28">
        <w:t>tudent survey</w:t>
      </w:r>
      <w:r w:rsidR="00D62A85">
        <w:t xml:space="preserve"> responses</w:t>
      </w:r>
      <w:r w:rsidR="00396A28">
        <w:t xml:space="preserve"> showed that </w:t>
      </w:r>
      <w:r w:rsidR="0014360C" w:rsidRPr="0077405E">
        <w:t xml:space="preserve">focus and teaching of academic skills and knowledge was positively supporting </w:t>
      </w:r>
      <w:r w:rsidR="00396A28">
        <w:t>student</w:t>
      </w:r>
      <w:r w:rsidR="0014360C" w:rsidRPr="0077405E">
        <w:t xml:space="preserve"> success in undergraduate study. </w:t>
      </w:r>
      <w:r w:rsidR="003510E5">
        <w:t xml:space="preserve">As synthesised in </w:t>
      </w:r>
      <w:r w:rsidR="00736CE8">
        <w:t>the superordinate theme</w:t>
      </w:r>
      <w:r w:rsidR="00736CE8" w:rsidRPr="00736CE8">
        <w:t xml:space="preserve"> </w:t>
      </w:r>
      <w:r w:rsidR="00736CE8">
        <w:t>of “u</w:t>
      </w:r>
      <w:r w:rsidR="003510E5" w:rsidRPr="00D62486">
        <w:t xml:space="preserve">niversity </w:t>
      </w:r>
      <w:r w:rsidR="00736CE8">
        <w:t>a</w:t>
      </w:r>
      <w:r w:rsidR="003510E5" w:rsidRPr="00D62486">
        <w:t xml:space="preserve">cculturation and </w:t>
      </w:r>
      <w:r w:rsidR="00736CE8">
        <w:rPr>
          <w:szCs w:val="22"/>
        </w:rPr>
        <w:t>p</w:t>
      </w:r>
      <w:r w:rsidR="003510E5" w:rsidRPr="00D62486">
        <w:rPr>
          <w:szCs w:val="22"/>
        </w:rPr>
        <w:t>reparedness</w:t>
      </w:r>
      <w:r w:rsidR="00736CE8">
        <w:rPr>
          <w:szCs w:val="22"/>
        </w:rPr>
        <w:t>”,</w:t>
      </w:r>
      <w:r w:rsidR="003510E5">
        <w:t xml:space="preserve"> qualitive responses confirmed that</w:t>
      </w:r>
      <w:r w:rsidR="2B542F20">
        <w:t xml:space="preserve"> </w:t>
      </w:r>
      <w:r w:rsidR="4B0BB572">
        <w:t xml:space="preserve">alongside the development of </w:t>
      </w:r>
      <w:r w:rsidR="2B542F20">
        <w:t xml:space="preserve">academic skills, familiarity with university systems and clarity around academic </w:t>
      </w:r>
      <w:proofErr w:type="gramStart"/>
      <w:r w:rsidR="2B542F20">
        <w:t>standards built</w:t>
      </w:r>
      <w:proofErr w:type="gramEnd"/>
      <w:r w:rsidR="2B542F20">
        <w:t xml:space="preserve"> confidence and prepared </w:t>
      </w:r>
      <w:r w:rsidR="007A10A5">
        <w:t>students</w:t>
      </w:r>
      <w:r w:rsidR="2B542F20">
        <w:t xml:space="preserve"> for success in their undergraduate studies. Students described the program as a preview </w:t>
      </w:r>
      <w:r w:rsidR="009804BD">
        <w:t>of</w:t>
      </w:r>
      <w:r w:rsidR="2B542F20">
        <w:t xml:space="preserve"> </w:t>
      </w:r>
      <w:r w:rsidR="009804BD">
        <w:t xml:space="preserve">university </w:t>
      </w:r>
      <w:r w:rsidR="2B542F20">
        <w:t>and emphasised the value of foundational knowledge</w:t>
      </w:r>
      <w:r w:rsidR="003510E5">
        <w:t xml:space="preserve">. </w:t>
      </w:r>
      <w:r w:rsidR="526C29B7">
        <w:t>S</w:t>
      </w:r>
      <w:r w:rsidR="5C3AB7C6">
        <w:t xml:space="preserve">tudents recognised </w:t>
      </w:r>
      <w:r w:rsidR="526C29B7">
        <w:t xml:space="preserve">that the </w:t>
      </w:r>
      <w:r w:rsidR="3960956D">
        <w:t>confidence gained in the ISEPs</w:t>
      </w:r>
      <w:r w:rsidR="78623764">
        <w:t xml:space="preserve"> “humanis</w:t>
      </w:r>
      <w:r w:rsidR="00F86E4B">
        <w:t>ing</w:t>
      </w:r>
      <w:r w:rsidR="78623764">
        <w:t xml:space="preserve"> the university”</w:t>
      </w:r>
      <w:r w:rsidR="00F86E4B">
        <w:t xml:space="preserve"> (SS 48)</w:t>
      </w:r>
      <w:r w:rsidR="00736CE8">
        <w:t>,</w:t>
      </w:r>
      <w:r w:rsidR="78623764">
        <w:t xml:space="preserve"> </w:t>
      </w:r>
      <w:r w:rsidR="00736CE8">
        <w:t>made</w:t>
      </w:r>
      <w:r w:rsidR="78623764">
        <w:t xml:space="preserve"> it feel</w:t>
      </w:r>
      <w:r w:rsidR="6FF51F16">
        <w:t xml:space="preserve"> </w:t>
      </w:r>
      <w:r w:rsidR="4805B67C">
        <w:t xml:space="preserve">like </w:t>
      </w:r>
      <w:r w:rsidR="00736CE8">
        <w:t>higher education</w:t>
      </w:r>
      <w:r w:rsidR="4805B67C">
        <w:t xml:space="preserve"> was “not something to be frightened of”</w:t>
      </w:r>
      <w:r w:rsidR="00384CA2">
        <w:t xml:space="preserve"> (SS</w:t>
      </w:r>
      <w:r w:rsidR="005529D5">
        <w:t xml:space="preserve"> </w:t>
      </w:r>
      <w:r w:rsidR="00384CA2">
        <w:t>51)</w:t>
      </w:r>
      <w:r w:rsidR="526C29B7">
        <w:t xml:space="preserve">. </w:t>
      </w:r>
      <w:r w:rsidR="422E3EFC">
        <w:t>These comments suggest</w:t>
      </w:r>
      <w:r w:rsidR="00736CE8">
        <w:t>ed</w:t>
      </w:r>
      <w:r w:rsidR="422E3EFC">
        <w:t xml:space="preserve"> that </w:t>
      </w:r>
      <w:r w:rsidR="6AEE9382">
        <w:t xml:space="preserve">ISEPs </w:t>
      </w:r>
      <w:r w:rsidR="5099195D">
        <w:t xml:space="preserve">built self-efficacy and </w:t>
      </w:r>
      <w:r w:rsidR="00FC65D7">
        <w:t>develop</w:t>
      </w:r>
      <w:r w:rsidR="6E4F7CA7">
        <w:t>ed students</w:t>
      </w:r>
      <w:r w:rsidR="00736CE8">
        <w:t>’</w:t>
      </w:r>
      <w:r w:rsidR="00FC65D7">
        <w:t xml:space="preserve"> </w:t>
      </w:r>
      <w:r w:rsidR="0041707B">
        <w:t>sense of belonging</w:t>
      </w:r>
      <w:r w:rsidR="611562DD">
        <w:t xml:space="preserve"> at university</w:t>
      </w:r>
      <w:r w:rsidR="38D4AACF">
        <w:t>,</w:t>
      </w:r>
      <w:r w:rsidR="00FC65D7">
        <w:t xml:space="preserve"> supporting wellbeing and flourishing during the transition to university.</w:t>
      </w:r>
      <w:r w:rsidR="00E34C24" w:rsidRPr="00E34C24">
        <w:t xml:space="preserve"> </w:t>
      </w:r>
      <w:r w:rsidR="30C3F9FD">
        <w:t>S</w:t>
      </w:r>
      <w:r w:rsidR="22D8403F">
        <w:t>tudents’</w:t>
      </w:r>
      <w:r w:rsidR="00FC65D7">
        <w:t xml:space="preserve"> satisfaction with the ISE</w:t>
      </w:r>
      <w:r w:rsidR="00696F3F">
        <w:t>P</w:t>
      </w:r>
      <w:r w:rsidR="00FC65D7">
        <w:t xml:space="preserve"> was positively associated with measures of resilience and wellbeing, and their narratives reflected experiences of thriving socially and emotionally in higher education. </w:t>
      </w:r>
    </w:p>
    <w:p w14:paraId="436A8DA7" w14:textId="6EA954DC" w:rsidR="004927A2" w:rsidRDefault="6E6550E1" w:rsidP="00A32591">
      <w:r>
        <w:t xml:space="preserve">When returning to </w:t>
      </w:r>
      <w:r w:rsidR="0722619C">
        <w:t>the</w:t>
      </w:r>
      <w:r w:rsidR="3F8E9539">
        <w:t xml:space="preserve"> previously identified “</w:t>
      </w:r>
      <w:r>
        <w:t>broader</w:t>
      </w:r>
      <w:r w:rsidR="2CAE2DC0">
        <w:t xml:space="preserve">” </w:t>
      </w:r>
      <w:r>
        <w:t>markers of success</w:t>
      </w:r>
      <w:r w:rsidR="002420D4">
        <w:t>—</w:t>
      </w:r>
      <w:r>
        <w:t>sense of belonging and self-efficacy</w:t>
      </w:r>
      <w:r w:rsidR="002420D4">
        <w:t>—</w:t>
      </w:r>
      <w:r w:rsidR="0141B1EB">
        <w:t>the</w:t>
      </w:r>
      <w:r>
        <w:t xml:space="preserve"> findings across </w:t>
      </w:r>
      <w:r w:rsidR="1E0285B2">
        <w:t xml:space="preserve">all data </w:t>
      </w:r>
      <w:r w:rsidR="5A14906F">
        <w:t xml:space="preserve">sets </w:t>
      </w:r>
      <w:r w:rsidR="1BDF0214">
        <w:t>demonstrate</w:t>
      </w:r>
      <w:r>
        <w:t xml:space="preserve"> that ISEP graduates </w:t>
      </w:r>
      <w:r w:rsidR="7180655C">
        <w:t xml:space="preserve">exhibit </w:t>
      </w:r>
      <w:r>
        <w:t>these markers</w:t>
      </w:r>
      <w:r w:rsidR="5A14906F">
        <w:t xml:space="preserve">, hence the final superordinate theme of </w:t>
      </w:r>
      <w:r w:rsidR="004927A2">
        <w:t>“s</w:t>
      </w:r>
      <w:r w:rsidR="5A14906F" w:rsidRPr="00D62486">
        <w:t>ocio-</w:t>
      </w:r>
      <w:r w:rsidR="004927A2">
        <w:t>e</w:t>
      </w:r>
      <w:r w:rsidR="5A14906F" w:rsidRPr="00D62486">
        <w:t xml:space="preserve">motional </w:t>
      </w:r>
      <w:r w:rsidR="004927A2">
        <w:t>j</w:t>
      </w:r>
      <w:r w:rsidR="5A14906F" w:rsidRPr="00D62486">
        <w:t xml:space="preserve">ourney and </w:t>
      </w:r>
      <w:r w:rsidR="004927A2">
        <w:t>w</w:t>
      </w:r>
      <w:r w:rsidR="5A14906F" w:rsidRPr="00D62486">
        <w:t>ellbeing</w:t>
      </w:r>
      <w:r w:rsidR="004927A2">
        <w:t>”</w:t>
      </w:r>
      <w:r>
        <w:t xml:space="preserve">. While these </w:t>
      </w:r>
      <w:r w:rsidR="004927A2">
        <w:t>“</w:t>
      </w:r>
      <w:r w:rsidR="784DBEC0">
        <w:t>wellbeing</w:t>
      </w:r>
      <w:r w:rsidR="004927A2">
        <w:t>”</w:t>
      </w:r>
      <w:r w:rsidR="784DBEC0">
        <w:t xml:space="preserve"> </w:t>
      </w:r>
      <w:r>
        <w:t xml:space="preserve">markers deviate from dominant institutional and government </w:t>
      </w:r>
      <w:r w:rsidR="131ABE96">
        <w:t xml:space="preserve">neoliberal </w:t>
      </w:r>
      <w:r>
        <w:t>metrics of student success,</w:t>
      </w:r>
      <w:r w:rsidR="32B3F812">
        <w:t xml:space="preserve"> </w:t>
      </w:r>
      <w:r>
        <w:t>these broader markers capture “personal, socio-cultural</w:t>
      </w:r>
      <w:r w:rsidR="004927A2">
        <w:t>,</w:t>
      </w:r>
      <w:r>
        <w:t xml:space="preserve"> and structural” dimensions of achievement (Baker et al., 202</w:t>
      </w:r>
      <w:r w:rsidR="3278D8A3">
        <w:t>0</w:t>
      </w:r>
      <w:r>
        <w:t>; Maclaurin et al., 2024; Rubin et al., 2022, p. 4).</w:t>
      </w:r>
      <w:r w:rsidR="6F9E84F0">
        <w:t xml:space="preserve"> </w:t>
      </w:r>
      <w:r w:rsidR="4876FE6A">
        <w:t xml:space="preserve">The </w:t>
      </w:r>
      <w:r w:rsidR="004927A2">
        <w:t xml:space="preserve">superordinate </w:t>
      </w:r>
      <w:r w:rsidR="4876FE6A">
        <w:t xml:space="preserve">theme of </w:t>
      </w:r>
      <w:r w:rsidR="004927A2">
        <w:t>“s</w:t>
      </w:r>
      <w:r w:rsidR="784DBEC0" w:rsidRPr="00D62486">
        <w:t>ocio-</w:t>
      </w:r>
      <w:r w:rsidR="004927A2">
        <w:t>e</w:t>
      </w:r>
      <w:r w:rsidR="784DBEC0" w:rsidRPr="00D62486">
        <w:t xml:space="preserve">motional </w:t>
      </w:r>
      <w:r w:rsidR="004927A2">
        <w:t>j</w:t>
      </w:r>
      <w:r w:rsidR="784DBEC0" w:rsidRPr="00D62486">
        <w:t xml:space="preserve">ourney and </w:t>
      </w:r>
      <w:r w:rsidR="004927A2">
        <w:t>w</w:t>
      </w:r>
      <w:r w:rsidR="784DBEC0" w:rsidRPr="00D62486">
        <w:t>ellbeing</w:t>
      </w:r>
      <w:r w:rsidR="004927A2">
        <w:t>”</w:t>
      </w:r>
      <w:r w:rsidR="784DBEC0">
        <w:t xml:space="preserve"> </w:t>
      </w:r>
      <w:r w:rsidR="6B225AA5">
        <w:t xml:space="preserve">showed how the ISEP changed student perceptions of university, </w:t>
      </w:r>
      <w:r w:rsidR="4876FE6A">
        <w:t xml:space="preserve">as they gained both a sense of belonging and built self-efficacy. Students </w:t>
      </w:r>
      <w:r w:rsidR="522989D0">
        <w:t xml:space="preserve">shared how completing the ISEP made </w:t>
      </w:r>
      <w:r w:rsidR="0722619C">
        <w:t>them</w:t>
      </w:r>
      <w:r w:rsidR="522989D0">
        <w:t xml:space="preserve"> </w:t>
      </w:r>
      <w:r w:rsidR="6B225AA5">
        <w:t xml:space="preserve">believe they could succeed at university </w:t>
      </w:r>
      <w:r w:rsidR="522989D0">
        <w:t>because</w:t>
      </w:r>
      <w:r w:rsidR="6B225AA5">
        <w:t xml:space="preserve"> the </w:t>
      </w:r>
      <w:r w:rsidR="522989D0">
        <w:t xml:space="preserve">knowledge and </w:t>
      </w:r>
      <w:r w:rsidR="6B225AA5">
        <w:t xml:space="preserve">expectations set by the programs </w:t>
      </w:r>
      <w:r w:rsidR="522989D0">
        <w:t>was</w:t>
      </w:r>
      <w:r w:rsidR="6B225AA5">
        <w:t xml:space="preserve"> congruent with actual university experience. </w:t>
      </w:r>
      <w:r w:rsidR="71FAFCF8">
        <w:t>Notably</w:t>
      </w:r>
      <w:r w:rsidR="004927A2">
        <w:t>,</w:t>
      </w:r>
      <w:r w:rsidR="71FAFCF8">
        <w:t xml:space="preserve"> there</w:t>
      </w:r>
      <w:r>
        <w:t xml:space="preserve"> w</w:t>
      </w:r>
      <w:r w:rsidR="535D1446">
        <w:t>as</w:t>
      </w:r>
      <w:r w:rsidR="6B225AA5">
        <w:t xml:space="preserve"> no significant differences in the Likert ratings between </w:t>
      </w:r>
      <w:r w:rsidR="522989D0">
        <w:t>students from</w:t>
      </w:r>
      <w:r w:rsidR="6B225AA5">
        <w:t xml:space="preserve"> equity (including neurodivergent) and non-equity </w:t>
      </w:r>
      <w:r w:rsidR="522989D0">
        <w:t>groups</w:t>
      </w:r>
      <w:r w:rsidR="6B225AA5">
        <w:t>. This data suggests ISEP</w:t>
      </w:r>
      <w:r w:rsidR="1051B61E">
        <w:t>s</w:t>
      </w:r>
      <w:r w:rsidR="6B225AA5">
        <w:t xml:space="preserve"> meet diverse student need</w:t>
      </w:r>
      <w:r w:rsidR="522989D0">
        <w:t>s</w:t>
      </w:r>
      <w:r w:rsidR="004927A2">
        <w:t xml:space="preserve"> and</w:t>
      </w:r>
      <w:r w:rsidR="6B225AA5">
        <w:t xml:space="preserve"> equip students with the skills, knowledge</w:t>
      </w:r>
      <w:r w:rsidR="004927A2">
        <w:t>,</w:t>
      </w:r>
      <w:r w:rsidR="6B225AA5">
        <w:t xml:space="preserve"> and confidence to participate in university</w:t>
      </w:r>
      <w:r>
        <w:t xml:space="preserve">. </w:t>
      </w:r>
      <w:proofErr w:type="gramStart"/>
      <w:r w:rsidR="7AE339D5">
        <w:t>Similar to</w:t>
      </w:r>
      <w:proofErr w:type="gramEnd"/>
      <w:r w:rsidR="6B225AA5">
        <w:t xml:space="preserve"> post-secondary </w:t>
      </w:r>
      <w:r w:rsidR="004927A2">
        <w:t>e</w:t>
      </w:r>
      <w:r w:rsidR="6B225AA5">
        <w:t xml:space="preserve">nabling </w:t>
      </w:r>
      <w:r w:rsidR="3DFE4482">
        <w:t>p</w:t>
      </w:r>
      <w:r w:rsidR="6B225AA5">
        <w:t xml:space="preserve">rograms (Crawford, 2014; Syme et al., 2022; Taylor et al., 2020), </w:t>
      </w:r>
      <w:r w:rsidR="70C3E258">
        <w:t xml:space="preserve">project findings </w:t>
      </w:r>
      <w:r w:rsidR="6B225AA5">
        <w:t>suggest ISEPs deliver broader benefits including transformative learning</w:t>
      </w:r>
      <w:r w:rsidR="004927A2">
        <w:t xml:space="preserve"> opportunities, enhanced self-confidence, and self-belief, which can also impact quantitative student success and retention.</w:t>
      </w:r>
    </w:p>
    <w:p w14:paraId="14442287" w14:textId="6E95690D" w:rsidR="00B96108" w:rsidRPr="00535E51" w:rsidRDefault="24EE0BA6" w:rsidP="53B0D851">
      <w:pPr>
        <w:rPr>
          <w:rFonts w:eastAsia="Arial"/>
        </w:rPr>
      </w:pPr>
      <w:r w:rsidRPr="52935A30">
        <w:rPr>
          <w:rFonts w:eastAsia="Arial"/>
        </w:rPr>
        <w:t>ISEP</w:t>
      </w:r>
      <w:r w:rsidR="00746937">
        <w:rPr>
          <w:rFonts w:eastAsia="Arial"/>
        </w:rPr>
        <w:t>s</w:t>
      </w:r>
      <w:r w:rsidRPr="52935A30">
        <w:rPr>
          <w:rFonts w:eastAsia="Arial"/>
        </w:rPr>
        <w:t xml:space="preserve"> effectively provid</w:t>
      </w:r>
      <w:r w:rsidR="0041090B">
        <w:rPr>
          <w:rFonts w:eastAsia="Arial"/>
        </w:rPr>
        <w:t>e</w:t>
      </w:r>
      <w:r w:rsidRPr="52935A30">
        <w:rPr>
          <w:rFonts w:eastAsia="Arial"/>
        </w:rPr>
        <w:t xml:space="preserve"> a confident pathway </w:t>
      </w:r>
      <w:r w:rsidR="0085593B">
        <w:rPr>
          <w:rFonts w:eastAsia="Arial"/>
        </w:rPr>
        <w:t xml:space="preserve">to university </w:t>
      </w:r>
      <w:r w:rsidRPr="52935A30">
        <w:rPr>
          <w:rFonts w:eastAsia="Arial"/>
        </w:rPr>
        <w:t>for students who do</w:t>
      </w:r>
      <w:r w:rsidR="58AC134E" w:rsidRPr="52935A30">
        <w:rPr>
          <w:rFonts w:eastAsia="Arial"/>
        </w:rPr>
        <w:t xml:space="preserve"> not</w:t>
      </w:r>
      <w:r w:rsidRPr="52935A30">
        <w:rPr>
          <w:rFonts w:eastAsia="Arial"/>
        </w:rPr>
        <w:t xml:space="preserve"> have access to, or are not thriving in, the ATAR system</w:t>
      </w:r>
      <w:r w:rsidR="34B05667" w:rsidRPr="52935A30">
        <w:rPr>
          <w:rFonts w:eastAsia="Arial"/>
        </w:rPr>
        <w:t>, particularly those from equity and disadvantaged backgrounds</w:t>
      </w:r>
      <w:r w:rsidRPr="52935A30">
        <w:rPr>
          <w:rFonts w:eastAsia="Arial"/>
        </w:rPr>
        <w:t xml:space="preserve">. </w:t>
      </w:r>
      <w:r w:rsidR="00535E51" w:rsidRPr="00535E51">
        <w:rPr>
          <w:rFonts w:eastAsia="Arial"/>
        </w:rPr>
        <w:t xml:space="preserve">This project provides critical evidence at a time when the Australian </w:t>
      </w:r>
      <w:r w:rsidR="0085593B">
        <w:rPr>
          <w:rFonts w:eastAsia="Arial"/>
        </w:rPr>
        <w:t>G</w:t>
      </w:r>
      <w:r w:rsidR="00535E51" w:rsidRPr="00535E51">
        <w:rPr>
          <w:rFonts w:eastAsia="Arial"/>
        </w:rPr>
        <w:t>overnment is calling for more students</w:t>
      </w:r>
      <w:r w:rsidR="00F04511">
        <w:rPr>
          <w:rFonts w:eastAsia="Arial"/>
        </w:rPr>
        <w:t xml:space="preserve">, particularly those </w:t>
      </w:r>
      <w:r w:rsidR="0085593B">
        <w:rPr>
          <w:rFonts w:eastAsia="Arial"/>
        </w:rPr>
        <w:t xml:space="preserve">who have been </w:t>
      </w:r>
      <w:r w:rsidR="00F04511">
        <w:rPr>
          <w:rFonts w:eastAsia="Arial"/>
        </w:rPr>
        <w:t>historically underrepresented,</w:t>
      </w:r>
      <w:r w:rsidR="00535E51" w:rsidRPr="00535E51">
        <w:rPr>
          <w:rFonts w:eastAsia="Arial"/>
        </w:rPr>
        <w:t xml:space="preserve"> to enter higher education through nuanced, responsive pathways, and when the sector is seeking greater transparency on ISEP effectiveness and success.</w:t>
      </w:r>
      <w:r w:rsidR="00535E51">
        <w:rPr>
          <w:rFonts w:eastAsia="Arial"/>
        </w:rPr>
        <w:t xml:space="preserve"> The data shared in this report</w:t>
      </w:r>
      <w:r w:rsidR="42F11CBD" w:rsidRPr="52935A30">
        <w:rPr>
          <w:rFonts w:eastAsia="Arial"/>
        </w:rPr>
        <w:t xml:space="preserve"> show</w:t>
      </w:r>
      <w:r w:rsidR="00535E51">
        <w:rPr>
          <w:rFonts w:eastAsia="Arial"/>
        </w:rPr>
        <w:t>s</w:t>
      </w:r>
      <w:r w:rsidR="42F11CBD" w:rsidRPr="52935A30">
        <w:rPr>
          <w:rFonts w:eastAsia="Arial"/>
        </w:rPr>
        <w:t xml:space="preserve"> that these students achieve success comparable to </w:t>
      </w:r>
      <w:r w:rsidR="0085593B">
        <w:rPr>
          <w:rFonts w:eastAsia="Arial"/>
        </w:rPr>
        <w:t xml:space="preserve">their </w:t>
      </w:r>
      <w:r w:rsidR="42F11CBD" w:rsidRPr="52935A30">
        <w:rPr>
          <w:rFonts w:eastAsia="Arial"/>
        </w:rPr>
        <w:t xml:space="preserve">post-secondary </w:t>
      </w:r>
      <w:r w:rsidR="0085593B">
        <w:rPr>
          <w:rFonts w:eastAsia="Arial"/>
        </w:rPr>
        <w:t>e</w:t>
      </w:r>
      <w:r w:rsidR="42F11CBD" w:rsidRPr="52935A30">
        <w:rPr>
          <w:rFonts w:eastAsia="Arial"/>
        </w:rPr>
        <w:t xml:space="preserve">nabling peers and </w:t>
      </w:r>
      <w:r w:rsidR="00535E51">
        <w:rPr>
          <w:rFonts w:eastAsia="Arial"/>
        </w:rPr>
        <w:t xml:space="preserve">additionally </w:t>
      </w:r>
      <w:r w:rsidR="42F11CBD" w:rsidRPr="52935A30">
        <w:rPr>
          <w:rFonts w:eastAsia="Arial"/>
        </w:rPr>
        <w:t>report strong wellbeing and resilience</w:t>
      </w:r>
      <w:r w:rsidRPr="52935A30">
        <w:rPr>
          <w:rFonts w:eastAsia="Arial"/>
        </w:rPr>
        <w:t xml:space="preserve">. </w:t>
      </w:r>
      <w:r w:rsidR="0085593B">
        <w:rPr>
          <w:rFonts w:eastAsia="Arial"/>
        </w:rPr>
        <w:t>The f</w:t>
      </w:r>
      <w:r w:rsidR="00535E51">
        <w:rPr>
          <w:rFonts w:eastAsia="Arial"/>
        </w:rPr>
        <w:t xml:space="preserve">indings show </w:t>
      </w:r>
      <w:r w:rsidR="0450798D" w:rsidRPr="52935A30">
        <w:rPr>
          <w:rFonts w:eastAsia="Arial"/>
        </w:rPr>
        <w:t xml:space="preserve">ISEPs build self-efficacy </w:t>
      </w:r>
      <w:r w:rsidR="08CA5A3F" w:rsidRPr="52935A30">
        <w:rPr>
          <w:rFonts w:eastAsia="Arial"/>
        </w:rPr>
        <w:t xml:space="preserve">and a sense of belonging </w:t>
      </w:r>
      <w:r w:rsidR="0450798D" w:rsidRPr="52935A30">
        <w:rPr>
          <w:rFonts w:eastAsia="Arial"/>
        </w:rPr>
        <w:t xml:space="preserve">for students </w:t>
      </w:r>
      <w:r w:rsidR="00535E51">
        <w:rPr>
          <w:rFonts w:eastAsia="Arial"/>
        </w:rPr>
        <w:t>previously facing educational struggles</w:t>
      </w:r>
      <w:r w:rsidR="00CB512A">
        <w:rPr>
          <w:rFonts w:eastAsia="Arial"/>
        </w:rPr>
        <w:t xml:space="preserve"> with, or access to, ATAR,</w:t>
      </w:r>
      <w:r w:rsidR="0450798D" w:rsidRPr="52935A30">
        <w:rPr>
          <w:rFonts w:eastAsia="Arial"/>
        </w:rPr>
        <w:t xml:space="preserve"> and foster confidence in their ability to succeed at university</w:t>
      </w:r>
      <w:r w:rsidRPr="52935A30">
        <w:rPr>
          <w:rFonts w:eastAsia="Arial"/>
        </w:rPr>
        <w:t>.</w:t>
      </w:r>
      <w:r w:rsidR="609A8110" w:rsidRPr="52935A30">
        <w:rPr>
          <w:rFonts w:eastAsia="Arial"/>
          <w:color w:val="000000"/>
        </w:rPr>
        <w:t xml:space="preserve"> As one educator </w:t>
      </w:r>
      <w:r w:rsidR="0085593B">
        <w:rPr>
          <w:rFonts w:eastAsia="Arial"/>
          <w:color w:val="000000"/>
        </w:rPr>
        <w:t>stated</w:t>
      </w:r>
      <w:r w:rsidR="00E905A9">
        <w:rPr>
          <w:rFonts w:eastAsia="Arial"/>
          <w:color w:val="000000"/>
        </w:rPr>
        <w:t>:</w:t>
      </w:r>
    </w:p>
    <w:p w14:paraId="79F79446" w14:textId="77777777" w:rsidR="00035EA4" w:rsidRDefault="00035EA4">
      <w:pPr>
        <w:spacing w:line="259" w:lineRule="auto"/>
        <w:rPr>
          <w:rStyle w:val="QuoteChar"/>
          <w:rFonts w:eastAsia="Arial"/>
          <w:i w:val="0"/>
          <w:iCs/>
          <w:color w:val="auto"/>
          <w:sz w:val="22"/>
          <w:szCs w:val="22"/>
        </w:rPr>
      </w:pPr>
      <w:r>
        <w:rPr>
          <w:rStyle w:val="QuoteChar"/>
          <w:rFonts w:eastAsia="Arial"/>
          <w:i w:val="0"/>
          <w:iCs/>
          <w:color w:val="auto"/>
          <w:sz w:val="22"/>
          <w:szCs w:val="22"/>
        </w:rPr>
        <w:br w:type="page"/>
      </w:r>
    </w:p>
    <w:p w14:paraId="5C1FB678" w14:textId="40D5D080" w:rsidR="00B96108" w:rsidRDefault="5E16688F" w:rsidP="00E905A9">
      <w:pPr>
        <w:ind w:left="567" w:right="567"/>
        <w:rPr>
          <w:rFonts w:eastAsia="Arial"/>
          <w:color w:val="000000"/>
        </w:rPr>
      </w:pPr>
      <w:r w:rsidRPr="00B43A6C">
        <w:rPr>
          <w:rStyle w:val="QuoteChar"/>
          <w:rFonts w:eastAsia="Arial"/>
          <w:i w:val="0"/>
          <w:iCs/>
          <w:color w:val="auto"/>
          <w:sz w:val="22"/>
          <w:szCs w:val="22"/>
        </w:rPr>
        <w:lastRenderedPageBreak/>
        <w:t>I don't understand why all schools don't have the opportunity for it</w:t>
      </w:r>
      <w:r w:rsidR="0085593B" w:rsidRPr="00B43A6C">
        <w:rPr>
          <w:rStyle w:val="QuoteChar"/>
          <w:rFonts w:eastAsia="Arial"/>
          <w:i w:val="0"/>
          <w:iCs/>
          <w:color w:val="auto"/>
          <w:sz w:val="22"/>
          <w:szCs w:val="22"/>
        </w:rPr>
        <w:t xml:space="preserve"> [ISEPs],</w:t>
      </w:r>
      <w:r w:rsidRPr="00B43A6C">
        <w:rPr>
          <w:rStyle w:val="QuoteChar"/>
          <w:rFonts w:eastAsia="Arial"/>
          <w:i w:val="0"/>
          <w:iCs/>
          <w:color w:val="auto"/>
          <w:sz w:val="22"/>
          <w:szCs w:val="22"/>
        </w:rPr>
        <w:t xml:space="preserve"> because I've just found it to be so enlightening </w:t>
      </w:r>
      <w:proofErr w:type="gramStart"/>
      <w:r w:rsidRPr="00B43A6C">
        <w:rPr>
          <w:rStyle w:val="QuoteChar"/>
          <w:rFonts w:eastAsia="Arial"/>
          <w:i w:val="0"/>
          <w:iCs/>
          <w:color w:val="auto"/>
          <w:sz w:val="22"/>
          <w:szCs w:val="22"/>
        </w:rPr>
        <w:t>in regards to</w:t>
      </w:r>
      <w:proofErr w:type="gramEnd"/>
      <w:r w:rsidRPr="00B43A6C">
        <w:rPr>
          <w:rStyle w:val="QuoteChar"/>
          <w:rFonts w:eastAsia="Arial"/>
          <w:i w:val="0"/>
          <w:iCs/>
          <w:color w:val="auto"/>
          <w:sz w:val="22"/>
          <w:szCs w:val="22"/>
        </w:rPr>
        <w:t xml:space="preserve"> how kids can learn </w:t>
      </w:r>
      <w:proofErr w:type="gramStart"/>
      <w:r w:rsidRPr="00B43A6C">
        <w:rPr>
          <w:rStyle w:val="QuoteChar"/>
          <w:rFonts w:eastAsia="Arial"/>
          <w:i w:val="0"/>
          <w:iCs/>
          <w:color w:val="auto"/>
          <w:sz w:val="22"/>
          <w:szCs w:val="22"/>
        </w:rPr>
        <w:t xml:space="preserve">in </w:t>
      </w:r>
      <w:r w:rsidR="27EC5C51" w:rsidRPr="00B43A6C">
        <w:rPr>
          <w:rStyle w:val="QuoteChar"/>
          <w:rFonts w:eastAsia="Arial"/>
          <w:i w:val="0"/>
          <w:iCs/>
          <w:color w:val="auto"/>
          <w:sz w:val="22"/>
          <w:szCs w:val="22"/>
        </w:rPr>
        <w:t>r</w:t>
      </w:r>
      <w:r w:rsidRPr="00B43A6C">
        <w:rPr>
          <w:rStyle w:val="QuoteChar"/>
          <w:rFonts w:eastAsia="Arial"/>
          <w:i w:val="0"/>
          <w:iCs/>
          <w:color w:val="auto"/>
          <w:sz w:val="22"/>
          <w:szCs w:val="22"/>
        </w:rPr>
        <w:t>egards to</w:t>
      </w:r>
      <w:proofErr w:type="gramEnd"/>
      <w:r w:rsidRPr="00B43A6C">
        <w:rPr>
          <w:rStyle w:val="QuoteChar"/>
          <w:rFonts w:eastAsia="Arial"/>
          <w:i w:val="0"/>
          <w:iCs/>
          <w:color w:val="auto"/>
          <w:sz w:val="22"/>
          <w:szCs w:val="22"/>
        </w:rPr>
        <w:t xml:space="preserve"> preparation. These courses for university preparation are just amazing.</w:t>
      </w:r>
      <w:r w:rsidRPr="00B43A6C">
        <w:rPr>
          <w:rFonts w:eastAsia="Arial"/>
          <w:i/>
          <w:iCs/>
        </w:rPr>
        <w:t xml:space="preserve"> </w:t>
      </w:r>
      <w:r w:rsidRPr="658F4599">
        <w:rPr>
          <w:rFonts w:eastAsia="Arial"/>
          <w:color w:val="000000"/>
        </w:rPr>
        <w:t>(EI001)</w:t>
      </w:r>
    </w:p>
    <w:p w14:paraId="55C24C4D" w14:textId="1BA5C9CE" w:rsidR="00B96108" w:rsidRDefault="00EA7E7D" w:rsidP="00CB512A">
      <w:pPr>
        <w:rPr>
          <w:rFonts w:eastAsia="Arial"/>
        </w:rPr>
      </w:pPr>
      <w:r w:rsidRPr="658F4599">
        <w:rPr>
          <w:rFonts w:eastAsia="Arial"/>
        </w:rPr>
        <w:t>In summary</w:t>
      </w:r>
      <w:r w:rsidR="62E0B2BA" w:rsidRPr="658F4599">
        <w:rPr>
          <w:rFonts w:eastAsia="Arial"/>
        </w:rPr>
        <w:t>:</w:t>
      </w:r>
      <w:r w:rsidRPr="658F4599">
        <w:rPr>
          <w:rFonts w:eastAsia="Arial"/>
        </w:rPr>
        <w:t xml:space="preserve"> </w:t>
      </w:r>
      <w:r w:rsidR="00B14887">
        <w:rPr>
          <w:rFonts w:eastAsia="Arial"/>
        </w:rPr>
        <w:t>ISEPs</w:t>
      </w:r>
      <w:r w:rsidR="00BA357B">
        <w:rPr>
          <w:rFonts w:eastAsia="Arial"/>
        </w:rPr>
        <w:t xml:space="preserve"> are not </w:t>
      </w:r>
      <w:r w:rsidR="007D39FE">
        <w:rPr>
          <w:rFonts w:eastAsia="Arial"/>
        </w:rPr>
        <w:t>“</w:t>
      </w:r>
      <w:r w:rsidR="00BA357B">
        <w:rPr>
          <w:rFonts w:eastAsia="Arial"/>
        </w:rPr>
        <w:t>alternative</w:t>
      </w:r>
      <w:r w:rsidR="007D39FE">
        <w:rPr>
          <w:rFonts w:eastAsia="Arial"/>
        </w:rPr>
        <w:t>”</w:t>
      </w:r>
      <w:r w:rsidR="0085593B">
        <w:rPr>
          <w:rFonts w:eastAsia="Arial"/>
        </w:rPr>
        <w:t>;</w:t>
      </w:r>
      <w:r w:rsidR="00BA357B">
        <w:rPr>
          <w:rFonts w:eastAsia="Arial"/>
        </w:rPr>
        <w:t xml:space="preserve"> </w:t>
      </w:r>
      <w:r w:rsidR="0085593B">
        <w:rPr>
          <w:rFonts w:eastAsia="Arial"/>
        </w:rPr>
        <w:t>they</w:t>
      </w:r>
      <w:r w:rsidR="00BA357B">
        <w:rPr>
          <w:rFonts w:eastAsia="Arial"/>
        </w:rPr>
        <w:t xml:space="preserve"> are </w:t>
      </w:r>
      <w:r w:rsidR="007D39FE">
        <w:rPr>
          <w:rFonts w:eastAsia="Arial"/>
        </w:rPr>
        <w:t>an effective pathway to university, and</w:t>
      </w:r>
      <w:r w:rsidR="6BCA3E4C" w:rsidRPr="658F4599">
        <w:rPr>
          <w:rFonts w:eastAsia="Arial"/>
        </w:rPr>
        <w:t xml:space="preserve"> like </w:t>
      </w:r>
      <w:r w:rsidR="00B14887">
        <w:rPr>
          <w:rFonts w:eastAsia="Arial"/>
        </w:rPr>
        <w:t>the</w:t>
      </w:r>
      <w:r w:rsidR="6BCA3E4C" w:rsidRPr="658F4599">
        <w:rPr>
          <w:rFonts w:eastAsia="Arial"/>
        </w:rPr>
        <w:t xml:space="preserve"> students</w:t>
      </w:r>
      <w:r w:rsidR="00B14887">
        <w:rPr>
          <w:rFonts w:eastAsia="Arial"/>
        </w:rPr>
        <w:t xml:space="preserve"> enrolled within</w:t>
      </w:r>
      <w:r w:rsidR="6BCA3E4C" w:rsidRPr="658F4599">
        <w:rPr>
          <w:rFonts w:eastAsia="Arial"/>
        </w:rPr>
        <w:t>,</w:t>
      </w:r>
      <w:r w:rsidRPr="658F4599">
        <w:rPr>
          <w:rFonts w:eastAsia="Arial"/>
        </w:rPr>
        <w:t xml:space="preserve"> are “good enough”.</w:t>
      </w:r>
      <w:r w:rsidR="205DFE9A" w:rsidRPr="658F4599">
        <w:rPr>
          <w:rFonts w:eastAsia="Arial"/>
        </w:rPr>
        <w:t xml:space="preserve"> </w:t>
      </w:r>
    </w:p>
    <w:p w14:paraId="0AFB66CC" w14:textId="77777777" w:rsidR="0085593B" w:rsidRDefault="0085593B" w:rsidP="00CB512A">
      <w:pPr>
        <w:rPr>
          <w:rFonts w:eastAsia="Arial"/>
        </w:rPr>
      </w:pPr>
    </w:p>
    <w:p w14:paraId="3B1DA3E7" w14:textId="77777777" w:rsidR="0085593B" w:rsidRDefault="0085593B" w:rsidP="00CB512A">
      <w:pPr>
        <w:rPr>
          <w:rFonts w:eastAsia="Arial"/>
        </w:rPr>
      </w:pPr>
    </w:p>
    <w:p w14:paraId="0C7B2268" w14:textId="77777777" w:rsidR="0085593B" w:rsidRDefault="0085593B" w:rsidP="00CB512A">
      <w:pPr>
        <w:rPr>
          <w:rFonts w:eastAsia="Arial"/>
        </w:rPr>
      </w:pPr>
    </w:p>
    <w:p w14:paraId="5F80FA8D" w14:textId="77777777" w:rsidR="0085593B" w:rsidRDefault="0085593B" w:rsidP="00CB512A">
      <w:pPr>
        <w:rPr>
          <w:rFonts w:eastAsia="Arial"/>
        </w:rPr>
      </w:pPr>
    </w:p>
    <w:p w14:paraId="0046536B" w14:textId="77777777" w:rsidR="0085593B" w:rsidRDefault="0085593B" w:rsidP="00CB512A">
      <w:pPr>
        <w:rPr>
          <w:rFonts w:eastAsia="Arial"/>
        </w:rPr>
      </w:pPr>
    </w:p>
    <w:p w14:paraId="519461F4" w14:textId="77777777" w:rsidR="0085593B" w:rsidRDefault="0085593B" w:rsidP="00CB512A">
      <w:pPr>
        <w:rPr>
          <w:rFonts w:eastAsia="Arial"/>
        </w:rPr>
      </w:pPr>
    </w:p>
    <w:p w14:paraId="67885C6C" w14:textId="77777777" w:rsidR="0085593B" w:rsidRDefault="0085593B" w:rsidP="00CB512A">
      <w:pPr>
        <w:rPr>
          <w:rFonts w:eastAsia="Arial"/>
        </w:rPr>
      </w:pPr>
    </w:p>
    <w:p w14:paraId="280EB34F" w14:textId="77777777" w:rsidR="0085593B" w:rsidRDefault="0085593B" w:rsidP="00CB512A">
      <w:pPr>
        <w:rPr>
          <w:rFonts w:eastAsia="Arial"/>
        </w:rPr>
      </w:pPr>
    </w:p>
    <w:p w14:paraId="3CB5F83E" w14:textId="77777777" w:rsidR="0085593B" w:rsidRDefault="0085593B" w:rsidP="00CB512A">
      <w:pPr>
        <w:rPr>
          <w:rFonts w:eastAsia="Arial"/>
        </w:rPr>
      </w:pPr>
    </w:p>
    <w:p w14:paraId="3BD1C543" w14:textId="77777777" w:rsidR="0085593B" w:rsidRDefault="0085593B" w:rsidP="00CB512A">
      <w:pPr>
        <w:rPr>
          <w:rFonts w:eastAsia="Arial"/>
        </w:rPr>
      </w:pPr>
    </w:p>
    <w:p w14:paraId="38128BD7" w14:textId="77777777" w:rsidR="0085593B" w:rsidRDefault="0085593B" w:rsidP="00CB512A">
      <w:pPr>
        <w:rPr>
          <w:rFonts w:eastAsia="Arial"/>
        </w:rPr>
      </w:pPr>
    </w:p>
    <w:p w14:paraId="26A5BBA5" w14:textId="77777777" w:rsidR="0085593B" w:rsidRDefault="0085593B" w:rsidP="00CB512A">
      <w:pPr>
        <w:rPr>
          <w:rFonts w:eastAsia="Arial"/>
        </w:rPr>
      </w:pPr>
    </w:p>
    <w:p w14:paraId="09E26C26" w14:textId="77777777" w:rsidR="0085593B" w:rsidRDefault="0085593B" w:rsidP="00CB512A">
      <w:pPr>
        <w:rPr>
          <w:rFonts w:eastAsia="Arial"/>
        </w:rPr>
      </w:pPr>
    </w:p>
    <w:p w14:paraId="7C97ADD9" w14:textId="77777777" w:rsidR="0085593B" w:rsidRDefault="0085593B" w:rsidP="00CB512A">
      <w:pPr>
        <w:rPr>
          <w:rFonts w:eastAsia="Arial"/>
        </w:rPr>
      </w:pPr>
    </w:p>
    <w:p w14:paraId="1EB249F0" w14:textId="77777777" w:rsidR="0085593B" w:rsidRDefault="0085593B" w:rsidP="00CB512A">
      <w:pPr>
        <w:rPr>
          <w:rFonts w:eastAsia="Arial"/>
        </w:rPr>
      </w:pPr>
    </w:p>
    <w:p w14:paraId="50415D96" w14:textId="77777777" w:rsidR="0085593B" w:rsidRDefault="0085593B" w:rsidP="00CB512A">
      <w:pPr>
        <w:rPr>
          <w:rFonts w:eastAsia="Arial"/>
        </w:rPr>
      </w:pPr>
    </w:p>
    <w:p w14:paraId="5D5C33C8" w14:textId="77777777" w:rsidR="0085593B" w:rsidRDefault="0085593B" w:rsidP="00CB512A">
      <w:pPr>
        <w:rPr>
          <w:rFonts w:eastAsia="Arial"/>
        </w:rPr>
      </w:pPr>
    </w:p>
    <w:p w14:paraId="73600671" w14:textId="77777777" w:rsidR="0085593B" w:rsidRDefault="0085593B" w:rsidP="00CB512A">
      <w:pPr>
        <w:rPr>
          <w:rFonts w:eastAsia="Arial"/>
        </w:rPr>
      </w:pPr>
    </w:p>
    <w:p w14:paraId="71BA161E" w14:textId="77777777" w:rsidR="0085593B" w:rsidRDefault="0085593B" w:rsidP="00CB512A">
      <w:pPr>
        <w:rPr>
          <w:rFonts w:eastAsia="Arial"/>
        </w:rPr>
      </w:pPr>
    </w:p>
    <w:p w14:paraId="58C25726" w14:textId="77777777" w:rsidR="0085593B" w:rsidRDefault="0085593B" w:rsidP="00CB512A">
      <w:pPr>
        <w:rPr>
          <w:rFonts w:eastAsia="Arial"/>
        </w:rPr>
      </w:pPr>
    </w:p>
    <w:p w14:paraId="618487A2" w14:textId="77777777" w:rsidR="0085593B" w:rsidRDefault="0085593B" w:rsidP="00CB512A">
      <w:pPr>
        <w:rPr>
          <w:rFonts w:eastAsia="Arial"/>
        </w:rPr>
      </w:pPr>
    </w:p>
    <w:p w14:paraId="7BFD8328" w14:textId="77777777" w:rsidR="0085593B" w:rsidRDefault="0085593B" w:rsidP="00CB512A">
      <w:pPr>
        <w:rPr>
          <w:rFonts w:eastAsia="Arial"/>
        </w:rPr>
      </w:pPr>
    </w:p>
    <w:p w14:paraId="4CF84C72" w14:textId="77777777" w:rsidR="0085593B" w:rsidRDefault="0085593B" w:rsidP="00CB512A">
      <w:pPr>
        <w:rPr>
          <w:rFonts w:eastAsia="Arial"/>
          <w:color w:val="000000"/>
        </w:rPr>
      </w:pPr>
    </w:p>
    <w:p w14:paraId="5C3D679B" w14:textId="77777777" w:rsidR="0085593B" w:rsidRPr="00CB512A" w:rsidRDefault="0085593B" w:rsidP="00CB512A">
      <w:pPr>
        <w:rPr>
          <w:rFonts w:eastAsia="Arial"/>
          <w:color w:val="000000"/>
        </w:rPr>
      </w:pPr>
    </w:p>
    <w:p w14:paraId="79413E92" w14:textId="1BB5682B" w:rsidR="009D6D47" w:rsidRPr="0079608F" w:rsidRDefault="009D6D47" w:rsidP="00A32591">
      <w:pPr>
        <w:pStyle w:val="Heading1"/>
      </w:pPr>
      <w:bookmarkStart w:id="98" w:name="_Toc217162504"/>
      <w:bookmarkStart w:id="99" w:name="_Toc232766200"/>
      <w:r w:rsidRPr="0079608F">
        <w:lastRenderedPageBreak/>
        <w:t>Conclusion</w:t>
      </w:r>
      <w:bookmarkEnd w:id="98"/>
      <w:bookmarkEnd w:id="99"/>
      <w:r w:rsidR="000877B9">
        <w:t xml:space="preserve"> </w:t>
      </w:r>
    </w:p>
    <w:p w14:paraId="7C3AE702" w14:textId="0B4FBDF9" w:rsidR="00B66E01" w:rsidRPr="00B67975" w:rsidRDefault="2AF4A836" w:rsidP="00A32591">
      <w:r>
        <w:t>This project provides the first comprehensive, cross-institutional benchmarking and analysis of ISEPs in Australia, offering critical insights into their structure, purpose, and impact. The findings demonstrate that ISEPs are academically rigorous, aligned with</w:t>
      </w:r>
      <w:r w:rsidR="6667D3C9">
        <w:t xml:space="preserve"> </w:t>
      </w:r>
      <w:r>
        <w:t xml:space="preserve">broader </w:t>
      </w:r>
      <w:r w:rsidR="00BC00D7">
        <w:t>e</w:t>
      </w:r>
      <w:r>
        <w:t>nabling education principles, and responsive to the diverse needs of senior secondary students</w:t>
      </w:r>
      <w:r w:rsidR="5A68977D">
        <w:t xml:space="preserve">, </w:t>
      </w:r>
      <w:r>
        <w:t>particularly those from equity cohorts. Through strong university-school partnerships, scaffolded curricul</w:t>
      </w:r>
      <w:r w:rsidR="46E24875">
        <w:t>um</w:t>
      </w:r>
      <w:r w:rsidR="5F880098">
        <w:t>, academic skill development</w:t>
      </w:r>
      <w:r w:rsidR="46E24875">
        <w:t xml:space="preserve"> and assessment</w:t>
      </w:r>
      <w:r>
        <w:t xml:space="preserve">, </w:t>
      </w:r>
      <w:r w:rsidR="00BC00D7">
        <w:t>and</w:t>
      </w:r>
      <w:r w:rsidR="70BFF99D">
        <w:t xml:space="preserve"> acculturation </w:t>
      </w:r>
      <w:r w:rsidR="5F880098">
        <w:t>to university systems and expectations</w:t>
      </w:r>
      <w:r>
        <w:t>, these programs create accessible pathways to higher education for students who may not thrive in traditional ATAR-based systems.</w:t>
      </w:r>
    </w:p>
    <w:p w14:paraId="36A0B084" w14:textId="3E8592AA" w:rsidR="00B67975" w:rsidRDefault="2AF4A836" w:rsidP="00A32591">
      <w:r>
        <w:t xml:space="preserve">Quantitative data revealed high completion and success rates within ISEPs and comparable retention outcomes at undergraduate level, underscoring their effectiveness as a preparatory pathway. </w:t>
      </w:r>
      <w:r w:rsidR="098729BC">
        <w:t xml:space="preserve">Quantitative </w:t>
      </w:r>
      <w:r w:rsidR="3D38C364">
        <w:t>data</w:t>
      </w:r>
      <w:r w:rsidR="098729BC">
        <w:t xml:space="preserve"> also demonstrated that students from equity groups who completed an ISEP had similar undergraduate retention rates to </w:t>
      </w:r>
      <w:r w:rsidR="06AEB72F">
        <w:t xml:space="preserve">those </w:t>
      </w:r>
      <w:r w:rsidR="00BC00D7">
        <w:t xml:space="preserve">who were </w:t>
      </w:r>
      <w:r w:rsidR="098729BC">
        <w:t>no</w:t>
      </w:r>
      <w:r w:rsidR="06AEB72F">
        <w:t>t in an equity group</w:t>
      </w:r>
      <w:r w:rsidR="098729BC">
        <w:t xml:space="preserve">. This suggests that ISEPs effectively prepare students for the transition to higher education, mitigating some of the disadvantages students </w:t>
      </w:r>
      <w:r w:rsidR="511AF703">
        <w:t xml:space="preserve">from equity groups </w:t>
      </w:r>
      <w:r w:rsidR="098729BC">
        <w:t xml:space="preserve">typically face in first-year university. </w:t>
      </w:r>
      <w:r>
        <w:t>Qualitative findings highlighted the transformative socio-emotional benefits for students</w:t>
      </w:r>
      <w:r w:rsidR="79F11D3F">
        <w:t xml:space="preserve"> </w:t>
      </w:r>
      <w:r w:rsidR="00BC00D7">
        <w:t xml:space="preserve">who </w:t>
      </w:r>
      <w:r w:rsidR="79F11D3F">
        <w:t>had struggled</w:t>
      </w:r>
      <w:r w:rsidR="63BD1DD9">
        <w:t xml:space="preserve"> in</w:t>
      </w:r>
      <w:r w:rsidR="79F11D3F">
        <w:t>, or not had access to</w:t>
      </w:r>
      <w:r w:rsidR="63BD1DD9">
        <w:t>,</w:t>
      </w:r>
      <w:r w:rsidR="79F11D3F">
        <w:t xml:space="preserve"> ATAR</w:t>
      </w:r>
      <w:r w:rsidR="00BC00D7">
        <w:t>;</w:t>
      </w:r>
      <w:r>
        <w:t xml:space="preserve"> </w:t>
      </w:r>
      <w:r w:rsidR="79F11D3F">
        <w:t>th</w:t>
      </w:r>
      <w:r w:rsidR="00BC00D7">
        <w:t>ese</w:t>
      </w:r>
      <w:r w:rsidR="79F11D3F">
        <w:t xml:space="preserve"> included</w:t>
      </w:r>
      <w:r>
        <w:t xml:space="preserve"> increased confidence, resilience, and a sense of belonging, alongside the development of essential academic literacies. </w:t>
      </w:r>
      <w:r w:rsidR="03D558A0">
        <w:t>By offering a rigorous, university-recognised pathway within senior schooling, ISEPs dismantle structural barriers and create opportunities for students</w:t>
      </w:r>
      <w:r w:rsidR="06AEB72F">
        <w:t xml:space="preserve">, such as those from equity groups, </w:t>
      </w:r>
      <w:r w:rsidR="03D558A0">
        <w:t>who might otherwise be excluded from higher education</w:t>
      </w:r>
      <w:r w:rsidR="06AEB72F">
        <w:t xml:space="preserve">. </w:t>
      </w:r>
      <w:r>
        <w:t>Educator perspectives reinforced the value of these programs in dismantling systemic barriers</w:t>
      </w:r>
      <w:r w:rsidR="06AEB72F">
        <w:t>, building academic skills and confidence</w:t>
      </w:r>
      <w:r>
        <w:t xml:space="preserve"> and fostering aspiration</w:t>
      </w:r>
      <w:r w:rsidR="06AEB72F">
        <w:t xml:space="preserve">. </w:t>
      </w:r>
      <w:r w:rsidR="69B6B9AC">
        <w:t xml:space="preserve">Educators </w:t>
      </w:r>
      <w:r w:rsidR="06AEB72F">
        <w:t>additionally identified</w:t>
      </w:r>
      <w:r>
        <w:t xml:space="preserve"> structural challenges</w:t>
      </w:r>
      <w:r w:rsidR="06AEB72F">
        <w:t xml:space="preserve"> with program implementation in the school system</w:t>
      </w:r>
      <w:r>
        <w:t xml:space="preserve"> that require ongoing support and contextual flexibility.</w:t>
      </w:r>
    </w:p>
    <w:p w14:paraId="6FD3B490" w14:textId="58650EAD" w:rsidR="004A4D96" w:rsidRPr="00B67975" w:rsidRDefault="00B67975" w:rsidP="00A32591">
      <w:r w:rsidRPr="00B67975">
        <w:t xml:space="preserve">Despite </w:t>
      </w:r>
      <w:r w:rsidR="00B66E01">
        <w:t>ISEP</w:t>
      </w:r>
      <w:r w:rsidRPr="00B67975">
        <w:t xml:space="preserve"> strengths</w:t>
      </w:r>
      <w:r w:rsidR="00B66E01">
        <w:t xml:space="preserve"> and success</w:t>
      </w:r>
      <w:r w:rsidR="00436968">
        <w:t>es</w:t>
      </w:r>
      <w:r w:rsidRPr="00B67975">
        <w:t>, the project identified areas for improvement, including the need for consistent data tracking across institutions, enhanced transition support into later years of undergraduate study, and further research into expanded measures of success beyond grades and retention. Recommendations call for sector-wide collaboration to standardise learning outcomes, strengthen partnerships</w:t>
      </w:r>
      <w:r w:rsidR="00B66E01">
        <w:t xml:space="preserve"> with further educator support</w:t>
      </w:r>
      <w:r w:rsidRPr="00B67975">
        <w:t>, and refine pedagogical approaches tailored to high school contexts, while maintaining flexibility to meet local needs.</w:t>
      </w:r>
      <w:r w:rsidR="004A4D96">
        <w:t xml:space="preserve"> It should also be recognised that s</w:t>
      </w:r>
      <w:r w:rsidR="004A4D96" w:rsidRPr="00DD619C">
        <w:t>tudents may complete ISEP</w:t>
      </w:r>
      <w:r w:rsidR="00436968">
        <w:t>s</w:t>
      </w:r>
      <w:r w:rsidR="004A4D96" w:rsidRPr="00DD619C">
        <w:t xml:space="preserve"> for reasons beyond university entry, such as proving their capability, earning senior secondary credits, exploring university as a fit, or building confidence for future opportunities. Even if they choose not to attend university, this “positive attrition” leaves </w:t>
      </w:r>
      <w:r w:rsidR="367A29C5" w:rsidRPr="704516EC">
        <w:t>students</w:t>
      </w:r>
      <w:r w:rsidR="004A4D96" w:rsidRPr="00DD619C">
        <w:t xml:space="preserve"> with greater agency, informed decision-making, and expanded career and study prospects.</w:t>
      </w:r>
    </w:p>
    <w:p w14:paraId="72D80249" w14:textId="626A14F3" w:rsidR="00B96108" w:rsidRDefault="2AF4A836" w:rsidP="000D1AE0">
      <w:r>
        <w:t xml:space="preserve">In alignment with the ambitions of the Australian Universities Accord, ISEPs represent a </w:t>
      </w:r>
      <w:r w:rsidR="63BD1DD9">
        <w:t>key</w:t>
      </w:r>
      <w:r>
        <w:t xml:space="preserve"> mechanism for widening participation and addressing educational inequity. By embedding rigorous, supportive pathways within senior schooling, these programs not only prepare students academically but also empower them socially and emotionally to succeed in higher education. Continued investment, research, and policy recognition will be essential to sustain and scale these initiatives, ensuring that all students</w:t>
      </w:r>
      <w:r w:rsidR="63BD1DD9">
        <w:t xml:space="preserve">, </w:t>
      </w:r>
      <w:r>
        <w:t xml:space="preserve">regardless of </w:t>
      </w:r>
      <w:r w:rsidR="63BD1DD9">
        <w:t xml:space="preserve">background, </w:t>
      </w:r>
      <w:r>
        <w:t>have equitable access to university and the opportunity to flourish.</w:t>
      </w:r>
      <w:r>
        <w:br w:type="page"/>
      </w:r>
    </w:p>
    <w:p w14:paraId="469776B7" w14:textId="0B3F9DD1" w:rsidR="009D6D47" w:rsidRPr="0079608F" w:rsidRDefault="009D6D47" w:rsidP="00A32591">
      <w:pPr>
        <w:pStyle w:val="Heading1"/>
      </w:pPr>
      <w:bookmarkStart w:id="100" w:name="_Toc217162505"/>
      <w:bookmarkStart w:id="101" w:name="_Toc232766201"/>
      <w:r w:rsidRPr="5A84EF46">
        <w:lastRenderedPageBreak/>
        <w:t>References</w:t>
      </w:r>
      <w:bookmarkEnd w:id="100"/>
      <w:bookmarkEnd w:id="101"/>
    </w:p>
    <w:p w14:paraId="6A749927" w14:textId="33C69C52" w:rsidR="00795656" w:rsidRPr="00F042A6" w:rsidRDefault="4F8A87E5" w:rsidP="00F80576">
      <w:pPr>
        <w:ind w:left="426" w:hanging="426"/>
        <w:rPr>
          <w:color w:val="493D2A" w:themeColor="background1" w:themeShade="40"/>
        </w:rPr>
      </w:pPr>
      <w:r w:rsidRPr="00F042A6">
        <w:rPr>
          <w:rFonts w:eastAsia="Arial"/>
          <w:color w:val="493D2A" w:themeColor="background1" w:themeShade="40"/>
        </w:rPr>
        <w:t xml:space="preserve">Australian Bureau of Statistics. (2023). Socio-Economic Indexes for Areas (SEIFA), Australia. </w:t>
      </w:r>
      <w:hyperlink r:id="rId23">
        <w:r w:rsidRPr="005529D5">
          <w:rPr>
            <w:rStyle w:val="Hyperlink"/>
            <w:rFonts w:eastAsia="Arial"/>
          </w:rPr>
          <w:t>https://www.abs.gov.au/statistics/people/people-and-communities/socio-economic-indexes-areas-seifa-australia/latest-release</w:t>
        </w:r>
      </w:hyperlink>
    </w:p>
    <w:p w14:paraId="01477AD7" w14:textId="13917F74" w:rsidR="00795656" w:rsidRPr="00F042A6" w:rsidRDefault="4F8A87E5" w:rsidP="00F80576">
      <w:pPr>
        <w:ind w:left="426" w:hanging="426"/>
        <w:rPr>
          <w:color w:val="493D2A" w:themeColor="background1" w:themeShade="40"/>
        </w:rPr>
      </w:pPr>
      <w:r w:rsidRPr="00F042A6">
        <w:rPr>
          <w:rFonts w:eastAsia="Arial"/>
          <w:color w:val="493D2A" w:themeColor="background1" w:themeShade="40"/>
        </w:rPr>
        <w:t>Australian Government. (2025a). Tertiary Collection of Student Information: Non-</w:t>
      </w:r>
      <w:proofErr w:type="gramStart"/>
      <w:r w:rsidRPr="00F042A6">
        <w:rPr>
          <w:rFonts w:eastAsia="Arial"/>
          <w:color w:val="493D2A" w:themeColor="background1" w:themeShade="40"/>
        </w:rPr>
        <w:t>English speaking</w:t>
      </w:r>
      <w:proofErr w:type="gramEnd"/>
      <w:r w:rsidRPr="00F042A6">
        <w:rPr>
          <w:rFonts w:eastAsia="Arial"/>
          <w:color w:val="493D2A" w:themeColor="background1" w:themeShade="40"/>
        </w:rPr>
        <w:t xml:space="preserve"> background. </w:t>
      </w:r>
      <w:hyperlink r:id="rId24">
        <w:r w:rsidRPr="005529D5">
          <w:rPr>
            <w:rStyle w:val="Hyperlink"/>
            <w:rFonts w:eastAsia="Arial"/>
          </w:rPr>
          <w:t>https://www.tcsisupport.gov.au/glossary/glossaryterm/Non-English%20speaking%20background</w:t>
        </w:r>
      </w:hyperlink>
    </w:p>
    <w:p w14:paraId="286D43B8" w14:textId="702565A9" w:rsidR="00795656" w:rsidRPr="00F042A6" w:rsidRDefault="4F8A87E5" w:rsidP="00F80576">
      <w:pPr>
        <w:ind w:left="426" w:hanging="426"/>
        <w:rPr>
          <w:color w:val="493D2A" w:themeColor="background1" w:themeShade="40"/>
        </w:rPr>
      </w:pPr>
      <w:r w:rsidRPr="00F042A6">
        <w:rPr>
          <w:rFonts w:eastAsia="Arial"/>
          <w:color w:val="493D2A" w:themeColor="background1" w:themeShade="40"/>
        </w:rPr>
        <w:t xml:space="preserve">Australian Government. (2025b). Tertiary Collection of Student Information: Regional and remote – Australian Statistical Geography Standard (ASGS) measure. </w:t>
      </w:r>
      <w:hyperlink r:id="rId25">
        <w:r w:rsidRPr="005529D5">
          <w:rPr>
            <w:rStyle w:val="Hyperlink"/>
            <w:rFonts w:eastAsia="Arial"/>
          </w:rPr>
          <w:t>https://www.tcsisupport.gov.au/glossary/glossaryterm/Regional%20and%20remote%20-%20Australian%20Statistical%20Geography%20Standard%20%28ASGS%29%20measure</w:t>
        </w:r>
      </w:hyperlink>
    </w:p>
    <w:p w14:paraId="5789CD4A" w14:textId="269EAD09" w:rsidR="00795656" w:rsidRPr="00F042A6" w:rsidRDefault="4F8A87E5" w:rsidP="00F80576">
      <w:pPr>
        <w:ind w:left="426" w:hanging="426"/>
        <w:rPr>
          <w:color w:val="493D2A" w:themeColor="background1" w:themeShade="40"/>
        </w:rPr>
      </w:pPr>
      <w:r w:rsidRPr="00F042A6">
        <w:rPr>
          <w:rFonts w:eastAsia="Arial"/>
          <w:color w:val="493D2A" w:themeColor="background1" w:themeShade="40"/>
        </w:rPr>
        <w:t xml:space="preserve">Australian Government. (2025c). Tertiary Collection of Student Information: Disability. </w:t>
      </w:r>
      <w:hyperlink r:id="rId26">
        <w:r w:rsidRPr="005529D5">
          <w:rPr>
            <w:rStyle w:val="Hyperlink"/>
            <w:rFonts w:eastAsia="Arial"/>
          </w:rPr>
          <w:t>https://www.tcsisupport.gov.au/glossary/glossaryterm/Disability</w:t>
        </w:r>
      </w:hyperlink>
    </w:p>
    <w:p w14:paraId="5C73BBF4" w14:textId="2B8B1745" w:rsidR="00795656" w:rsidRPr="00F042A6" w:rsidRDefault="4F8A87E5" w:rsidP="00F80576">
      <w:pPr>
        <w:ind w:left="426" w:hanging="426"/>
        <w:rPr>
          <w:color w:val="493D2A" w:themeColor="background1" w:themeShade="40"/>
        </w:rPr>
      </w:pPr>
      <w:r w:rsidRPr="00F042A6">
        <w:rPr>
          <w:rFonts w:eastAsia="Arial"/>
          <w:color w:val="493D2A" w:themeColor="background1" w:themeShade="40"/>
        </w:rPr>
        <w:t xml:space="preserve">Australian Government. (2025d). Tertiary Collection of Student Information: Element E316 – Aboriginal and Torres Strait Islander code. </w:t>
      </w:r>
      <w:hyperlink r:id="rId27">
        <w:r w:rsidRPr="005529D5">
          <w:rPr>
            <w:rStyle w:val="Hyperlink"/>
            <w:rFonts w:eastAsia="Arial"/>
          </w:rPr>
          <w:t>https://www.tcsisupport.gov.au/element/316</w:t>
        </w:r>
      </w:hyperlink>
    </w:p>
    <w:p w14:paraId="30051079" w14:textId="461DEF6B" w:rsidR="00795656" w:rsidRPr="00F042A6" w:rsidRDefault="4F8A87E5" w:rsidP="00F80576">
      <w:pPr>
        <w:ind w:left="426" w:hanging="426"/>
        <w:rPr>
          <w:color w:val="493D2A" w:themeColor="background1" w:themeShade="40"/>
        </w:rPr>
      </w:pPr>
      <w:r w:rsidRPr="00F042A6">
        <w:rPr>
          <w:rFonts w:eastAsia="Arial"/>
          <w:color w:val="493D2A" w:themeColor="background1" w:themeShade="40"/>
        </w:rPr>
        <w:t xml:space="preserve">Australian Government. (2025d). Tertiary Collection of Student Information: Success Rate </w:t>
      </w:r>
      <w:hyperlink r:id="rId28">
        <w:r w:rsidRPr="005529D5">
          <w:rPr>
            <w:rStyle w:val="Hyperlink"/>
            <w:rFonts w:eastAsia="Arial"/>
          </w:rPr>
          <w:t>https://www.tcsisupport.gov.au/glossary/glossaryterm/Success%20rate</w:t>
        </w:r>
      </w:hyperlink>
    </w:p>
    <w:p w14:paraId="33020735" w14:textId="43165B95" w:rsidR="00795656" w:rsidRPr="00F042A6" w:rsidRDefault="4F8A87E5" w:rsidP="00F80576">
      <w:pPr>
        <w:ind w:left="426" w:hanging="426"/>
        <w:rPr>
          <w:color w:val="493D2A" w:themeColor="background1" w:themeShade="40"/>
        </w:rPr>
      </w:pPr>
      <w:r w:rsidRPr="00F042A6">
        <w:rPr>
          <w:rFonts w:eastAsia="Arial"/>
          <w:color w:val="493D2A" w:themeColor="background1" w:themeShade="40"/>
        </w:rPr>
        <w:t xml:space="preserve">Australian Government. (2025f). Tertiary Collection of Student Information: Retention rate. </w:t>
      </w:r>
      <w:hyperlink r:id="rId29">
        <w:r w:rsidRPr="005529D5">
          <w:rPr>
            <w:rStyle w:val="Hyperlink"/>
            <w:rFonts w:eastAsia="Arial"/>
          </w:rPr>
          <w:t>https://www.tcsisupport.gov.au/glossary/glossaryterm/Retention%20rate</w:t>
        </w:r>
      </w:hyperlink>
    </w:p>
    <w:p w14:paraId="08E1D5C4" w14:textId="2CAB3534" w:rsidR="00487605" w:rsidRPr="00F042A6" w:rsidRDefault="00487605" w:rsidP="00F80576">
      <w:pPr>
        <w:ind w:left="426" w:hanging="426"/>
        <w:rPr>
          <w:rFonts w:eastAsia="Arial"/>
          <w:color w:val="493D2A" w:themeColor="background1" w:themeShade="40"/>
        </w:rPr>
      </w:pPr>
      <w:r w:rsidRPr="00F042A6">
        <w:rPr>
          <w:rFonts w:eastAsia="Arial"/>
          <w:color w:val="493D2A" w:themeColor="background1" w:themeShade="40"/>
        </w:rPr>
        <w:t xml:space="preserve">Baker, S., </w:t>
      </w:r>
      <w:proofErr w:type="spellStart"/>
      <w:r w:rsidRPr="00F042A6">
        <w:rPr>
          <w:rFonts w:eastAsia="Arial"/>
          <w:color w:val="493D2A" w:themeColor="background1" w:themeShade="40"/>
        </w:rPr>
        <w:t>Ulpen</w:t>
      </w:r>
      <w:proofErr w:type="spellEnd"/>
      <w:r w:rsidRPr="00F042A6">
        <w:rPr>
          <w:rFonts w:eastAsia="Arial"/>
          <w:color w:val="493D2A" w:themeColor="background1" w:themeShade="40"/>
        </w:rPr>
        <w:t>, T. &amp; Irwin, E.L. (202</w:t>
      </w:r>
      <w:r w:rsidR="0058074B" w:rsidRPr="00F042A6">
        <w:rPr>
          <w:rFonts w:eastAsia="Arial"/>
          <w:color w:val="493D2A" w:themeColor="background1" w:themeShade="40"/>
        </w:rPr>
        <w:t>0</w:t>
      </w:r>
      <w:r w:rsidRPr="00F042A6">
        <w:rPr>
          <w:rFonts w:eastAsia="Arial"/>
          <w:color w:val="493D2A" w:themeColor="background1" w:themeShade="40"/>
        </w:rPr>
        <w:t xml:space="preserve">) A viable equity mechanism for all? Exploring the diversity of entry requirements and supports in Australian enabling education, Higher Education Research &amp; Development, 40(5), 932-946. </w:t>
      </w:r>
      <w:r w:rsidR="004D2708" w:rsidRPr="005529D5">
        <w:rPr>
          <w:rStyle w:val="Hyperlink"/>
          <w:rFonts w:eastAsia="Arial"/>
        </w:rPr>
        <w:t>htt</w:t>
      </w:r>
      <w:r w:rsidR="0058074B" w:rsidRPr="005529D5">
        <w:rPr>
          <w:rStyle w:val="Hyperlink"/>
          <w:rFonts w:eastAsia="Arial"/>
        </w:rPr>
        <w:t>ps://doi.org/</w:t>
      </w:r>
      <w:hyperlink r:id="rId30" w:tgtFrame="_blank" w:history="1">
        <w:r w:rsidR="00B97345" w:rsidRPr="005529D5">
          <w:rPr>
            <w:rStyle w:val="Hyperlink"/>
            <w:rFonts w:eastAsia="Arial"/>
          </w:rPr>
          <w:t>10.1080/07294360.2020.1801600</w:t>
        </w:r>
      </w:hyperlink>
    </w:p>
    <w:p w14:paraId="7ACCAAD1" w14:textId="63190ADE" w:rsidR="00795656" w:rsidRPr="00F042A6" w:rsidRDefault="2F9A0BC7" w:rsidP="00F80576">
      <w:pPr>
        <w:ind w:left="426" w:hanging="426"/>
        <w:rPr>
          <w:rFonts w:eastAsia="Arial"/>
          <w:color w:val="493D2A" w:themeColor="background1" w:themeShade="40"/>
        </w:rPr>
      </w:pPr>
      <w:r w:rsidRPr="00F042A6">
        <w:rPr>
          <w:rFonts w:eastAsia="Arial"/>
          <w:color w:val="493D2A" w:themeColor="background1" w:themeShade="40"/>
        </w:rPr>
        <w:t xml:space="preserve">Bandura, A. (1997). </w:t>
      </w:r>
      <w:r w:rsidRPr="00F042A6">
        <w:rPr>
          <w:rFonts w:eastAsia="Arial"/>
          <w:i/>
          <w:iCs/>
          <w:color w:val="493D2A" w:themeColor="background1" w:themeShade="40"/>
        </w:rPr>
        <w:t>Self-efficacy: The exercise of control.</w:t>
      </w:r>
      <w:r w:rsidRPr="00F042A6">
        <w:rPr>
          <w:rFonts w:eastAsia="Arial"/>
          <w:color w:val="493D2A" w:themeColor="background1" w:themeShade="40"/>
        </w:rPr>
        <w:t xml:space="preserve"> W.H. Freeman and Company.</w:t>
      </w:r>
    </w:p>
    <w:p w14:paraId="6BDBC03A" w14:textId="3B0ED8EA" w:rsidR="12DB9C8C" w:rsidRPr="00F042A6" w:rsidRDefault="12DB9C8C" w:rsidP="00F80576">
      <w:pPr>
        <w:ind w:left="426" w:hanging="426"/>
        <w:rPr>
          <w:color w:val="493D2A" w:themeColor="background1" w:themeShade="40"/>
        </w:rPr>
      </w:pPr>
      <w:r w:rsidRPr="00F042A6">
        <w:rPr>
          <w:rFonts w:eastAsia="Arial"/>
          <w:color w:val="493D2A" w:themeColor="background1" w:themeShade="40"/>
        </w:rPr>
        <w:t xml:space="preserve">Bridges, A. (2023). WA Education Minister concerned more students skipping ATAR to avoid stress. ABC News. </w:t>
      </w:r>
      <w:hyperlink r:id="rId31">
        <w:r w:rsidRPr="005529D5">
          <w:rPr>
            <w:rStyle w:val="Hyperlink"/>
            <w:rFonts w:eastAsia="Arial"/>
          </w:rPr>
          <w:t>https://www.abc.net.au/news/2023-01-13/education-minister-students-skipping-atar-alternative-pathways/101853466</w:t>
        </w:r>
      </w:hyperlink>
    </w:p>
    <w:p w14:paraId="086EAF01" w14:textId="1C0FDD9B" w:rsidR="31D6001E" w:rsidRPr="00F042A6" w:rsidRDefault="31D6001E" w:rsidP="00F80576">
      <w:pPr>
        <w:ind w:left="426" w:hanging="426"/>
        <w:rPr>
          <w:color w:val="493D2A" w:themeColor="background1" w:themeShade="40"/>
        </w:rPr>
      </w:pPr>
      <w:r w:rsidRPr="00F042A6">
        <w:rPr>
          <w:color w:val="493D2A" w:themeColor="background1" w:themeShade="40"/>
        </w:rPr>
        <w:t xml:space="preserve">Cantwell, R., Archer, J., &amp; Bourke, S. (2001). A comparison of the academic experiences and achievement of university students entering by traditional and non-traditional means. </w:t>
      </w:r>
      <w:r w:rsidRPr="00F042A6">
        <w:rPr>
          <w:i/>
          <w:color w:val="493D2A" w:themeColor="background1" w:themeShade="40"/>
        </w:rPr>
        <w:t>Assessment &amp; Evaluation in Higher Education</w:t>
      </w:r>
      <w:r w:rsidRPr="00F042A6">
        <w:rPr>
          <w:color w:val="493D2A" w:themeColor="background1" w:themeShade="40"/>
        </w:rPr>
        <w:t xml:space="preserve">, </w:t>
      </w:r>
      <w:r w:rsidRPr="00F042A6">
        <w:rPr>
          <w:i/>
          <w:color w:val="493D2A" w:themeColor="background1" w:themeShade="40"/>
        </w:rPr>
        <w:t>26</w:t>
      </w:r>
      <w:r w:rsidRPr="00F042A6">
        <w:rPr>
          <w:color w:val="493D2A" w:themeColor="background1" w:themeShade="40"/>
        </w:rPr>
        <w:t xml:space="preserve">(3), 221-234. </w:t>
      </w:r>
      <w:hyperlink r:id="rId32">
        <w:r w:rsidRPr="005529D5">
          <w:rPr>
            <w:rStyle w:val="Hyperlink"/>
          </w:rPr>
          <w:t>https://doi.org/10.1080/02602930120052387</w:t>
        </w:r>
      </w:hyperlink>
    </w:p>
    <w:p w14:paraId="09841646" w14:textId="7394EEE7" w:rsidR="1344A39C" w:rsidRPr="00F042A6" w:rsidRDefault="1344A39C" w:rsidP="00F80576">
      <w:pPr>
        <w:ind w:left="426" w:hanging="426"/>
        <w:rPr>
          <w:color w:val="493D2A" w:themeColor="background1" w:themeShade="40"/>
        </w:rPr>
      </w:pPr>
      <w:r w:rsidRPr="00F042A6">
        <w:rPr>
          <w:rFonts w:eastAsia="Arial"/>
          <w:color w:val="493D2A" w:themeColor="background1" w:themeShade="40"/>
        </w:rPr>
        <w:t xml:space="preserve">Carey, A. (2023). Principals urge education authorities to scrap ATAR. </w:t>
      </w:r>
      <w:r w:rsidRPr="00F042A6">
        <w:rPr>
          <w:rFonts w:eastAsia="Arial"/>
          <w:i/>
          <w:color w:val="493D2A" w:themeColor="background1" w:themeShade="40"/>
        </w:rPr>
        <w:t>The Age.</w:t>
      </w:r>
      <w:r w:rsidR="005529D5">
        <w:rPr>
          <w:rFonts w:eastAsia="Arial"/>
          <w:i/>
          <w:color w:val="493D2A" w:themeColor="background1" w:themeShade="40"/>
        </w:rPr>
        <w:t xml:space="preserve"> </w:t>
      </w:r>
      <w:hyperlink r:id="rId33" w:history="1">
        <w:r w:rsidR="005529D5" w:rsidRPr="001D6820">
          <w:rPr>
            <w:rStyle w:val="Hyperlink"/>
            <w:rFonts w:eastAsia="Arial"/>
          </w:rPr>
          <w:t>https://www.theage.com.au/national/victoria/principals-urge-education-authorities-to-scrap-atar-20230208-p5cirv.htm</w:t>
        </w:r>
      </w:hyperlink>
      <w:r w:rsidRPr="00F042A6">
        <w:rPr>
          <w:color w:val="493D2A" w:themeColor="background1" w:themeShade="40"/>
        </w:rPr>
        <w:t xml:space="preserve"> </w:t>
      </w:r>
    </w:p>
    <w:p w14:paraId="54037EE0" w14:textId="02F7E79B" w:rsidR="31D6001E" w:rsidRPr="00F042A6" w:rsidRDefault="31D6001E" w:rsidP="00F80576">
      <w:pPr>
        <w:ind w:left="426" w:hanging="426"/>
        <w:rPr>
          <w:color w:val="493D2A" w:themeColor="background1" w:themeShade="40"/>
        </w:rPr>
      </w:pPr>
      <w:r w:rsidRPr="00F042A6">
        <w:rPr>
          <w:color w:val="493D2A" w:themeColor="background1" w:themeShade="40"/>
        </w:rPr>
        <w:t xml:space="preserve">Chesters, J., &amp; Watson, L. (2016). Staying power: The effect of pathway into university on student achievement and attrition. </w:t>
      </w:r>
      <w:r w:rsidRPr="00F042A6">
        <w:rPr>
          <w:i/>
          <w:color w:val="493D2A" w:themeColor="background1" w:themeShade="40"/>
        </w:rPr>
        <w:t>Australian Journal of Adult Learning</w:t>
      </w:r>
      <w:r w:rsidRPr="00F042A6">
        <w:rPr>
          <w:color w:val="493D2A" w:themeColor="background1" w:themeShade="40"/>
        </w:rPr>
        <w:t xml:space="preserve">, </w:t>
      </w:r>
      <w:r w:rsidRPr="00F042A6">
        <w:rPr>
          <w:i/>
          <w:color w:val="493D2A" w:themeColor="background1" w:themeShade="40"/>
        </w:rPr>
        <w:t>56</w:t>
      </w:r>
      <w:r w:rsidRPr="00F042A6">
        <w:rPr>
          <w:color w:val="493D2A" w:themeColor="background1" w:themeShade="40"/>
        </w:rPr>
        <w:t xml:space="preserve">(2), 225-249. </w:t>
      </w:r>
    </w:p>
    <w:p w14:paraId="0FDD5C5D" w14:textId="42A9B0FE" w:rsidR="002723EA" w:rsidRPr="00F042A6" w:rsidRDefault="31D6001E" w:rsidP="002723EA">
      <w:pPr>
        <w:ind w:left="426" w:hanging="426"/>
        <w:rPr>
          <w:color w:val="493D2A" w:themeColor="background1" w:themeShade="40"/>
        </w:rPr>
      </w:pPr>
      <w:r w:rsidRPr="00F042A6">
        <w:rPr>
          <w:color w:val="493D2A" w:themeColor="background1" w:themeShade="40"/>
        </w:rPr>
        <w:lastRenderedPageBreak/>
        <w:t xml:space="preserve">Crawford, N. (2014). Practical and profound: multi-layered benefits of a university enabling program and implications for higher education. </w:t>
      </w:r>
      <w:r w:rsidRPr="00F042A6">
        <w:rPr>
          <w:i/>
          <w:iCs/>
          <w:color w:val="493D2A" w:themeColor="background1" w:themeShade="40"/>
        </w:rPr>
        <w:t>International Studies in Widening Participation</w:t>
      </w:r>
      <w:r w:rsidRPr="00F042A6">
        <w:rPr>
          <w:color w:val="493D2A" w:themeColor="background1" w:themeShade="40"/>
        </w:rPr>
        <w:t xml:space="preserve">, </w:t>
      </w:r>
      <w:r w:rsidRPr="00F042A6">
        <w:rPr>
          <w:i/>
          <w:iCs/>
          <w:color w:val="493D2A" w:themeColor="background1" w:themeShade="40"/>
        </w:rPr>
        <w:t>1</w:t>
      </w:r>
      <w:r w:rsidRPr="00F042A6">
        <w:rPr>
          <w:color w:val="493D2A" w:themeColor="background1" w:themeShade="40"/>
        </w:rPr>
        <w:t>(2), 15-30.</w:t>
      </w:r>
      <w:r w:rsidR="00144ADC" w:rsidRPr="00F042A6">
        <w:rPr>
          <w:color w:val="493D2A" w:themeColor="background1" w:themeShade="40"/>
        </w:rPr>
        <w:t xml:space="preserve"> </w:t>
      </w:r>
    </w:p>
    <w:p w14:paraId="6BECC256" w14:textId="5AE7B445" w:rsidR="00727831" w:rsidRPr="00F042A6" w:rsidRDefault="00727831" w:rsidP="002723EA">
      <w:pPr>
        <w:ind w:left="426" w:hanging="426"/>
        <w:rPr>
          <w:color w:val="493D2A" w:themeColor="background1" w:themeShade="40"/>
        </w:rPr>
      </w:pPr>
      <w:r w:rsidRPr="00F042A6">
        <w:rPr>
          <w:color w:val="493D2A" w:themeColor="background1" w:themeShade="40"/>
        </w:rPr>
        <w:t>Crisp, D., Albrecht, S. &amp; Rickwood, D. Comparing the mental health of Australian university students with that of young people who are not in higher education. </w:t>
      </w:r>
      <w:r w:rsidRPr="00F042A6">
        <w:rPr>
          <w:i/>
          <w:iCs/>
          <w:color w:val="493D2A" w:themeColor="background1" w:themeShade="40"/>
        </w:rPr>
        <w:t xml:space="preserve">High Education </w:t>
      </w:r>
      <w:r w:rsidRPr="00F042A6">
        <w:rPr>
          <w:color w:val="493D2A" w:themeColor="background1" w:themeShade="40"/>
        </w:rPr>
        <w:t xml:space="preserve">(2025). </w:t>
      </w:r>
      <w:hyperlink r:id="rId34" w:history="1">
        <w:r w:rsidRPr="005529D5">
          <w:rPr>
            <w:rStyle w:val="Hyperlink"/>
          </w:rPr>
          <w:t>https://doi.org/10.1007/s10734-025-01401-7</w:t>
        </w:r>
      </w:hyperlink>
    </w:p>
    <w:p w14:paraId="7D118BF5" w14:textId="59966FC0" w:rsidR="001273A5" w:rsidRPr="00F042A6" w:rsidRDefault="65D62652" w:rsidP="002723EA">
      <w:pPr>
        <w:ind w:left="426" w:hanging="426"/>
        <w:rPr>
          <w:rFonts w:eastAsia="Arial"/>
          <w:color w:val="493D2A" w:themeColor="background1" w:themeShade="40"/>
        </w:rPr>
      </w:pPr>
      <w:r w:rsidRPr="00F042A6">
        <w:rPr>
          <w:color w:val="493D2A" w:themeColor="background1" w:themeShade="40"/>
        </w:rPr>
        <w:t xml:space="preserve">Daly, A., </w:t>
      </w:r>
      <w:proofErr w:type="spellStart"/>
      <w:r w:rsidRPr="00F042A6">
        <w:rPr>
          <w:color w:val="493D2A" w:themeColor="background1" w:themeShade="40"/>
        </w:rPr>
        <w:t>Dhondea</w:t>
      </w:r>
      <w:r w:rsidRPr="00F042A6">
        <w:rPr>
          <w:rFonts w:ascii="Cambria Math" w:hAnsi="Cambria Math" w:cs="Cambria Math"/>
          <w:color w:val="493D2A" w:themeColor="background1" w:themeShade="40"/>
        </w:rPr>
        <w:t>‑</w:t>
      </w:r>
      <w:r w:rsidRPr="00F042A6">
        <w:rPr>
          <w:color w:val="493D2A" w:themeColor="background1" w:themeShade="40"/>
        </w:rPr>
        <w:t>Tenakov</w:t>
      </w:r>
      <w:proofErr w:type="spellEnd"/>
      <w:r w:rsidRPr="00F042A6">
        <w:rPr>
          <w:color w:val="493D2A" w:themeColor="background1" w:themeShade="40"/>
        </w:rPr>
        <w:t xml:space="preserve">, S., Rogers, H., </w:t>
      </w:r>
      <w:proofErr w:type="spellStart"/>
      <w:r w:rsidRPr="00F042A6">
        <w:rPr>
          <w:color w:val="493D2A" w:themeColor="background1" w:themeShade="40"/>
        </w:rPr>
        <w:t>Loddo</w:t>
      </w:r>
      <w:proofErr w:type="spellEnd"/>
      <w:r w:rsidRPr="00F042A6">
        <w:rPr>
          <w:color w:val="493D2A" w:themeColor="background1" w:themeShade="40"/>
        </w:rPr>
        <w:t>, C., Nieuwoudt, J., Gibson, S., Darney, S., &amp; Sturniolo</w:t>
      </w:r>
      <w:r w:rsidRPr="00F042A6">
        <w:rPr>
          <w:rFonts w:ascii="Cambria Math" w:hAnsi="Cambria Math" w:cs="Cambria Math"/>
          <w:color w:val="493D2A" w:themeColor="background1" w:themeShade="40"/>
        </w:rPr>
        <w:t>‑</w:t>
      </w:r>
      <w:r w:rsidRPr="00F042A6">
        <w:rPr>
          <w:color w:val="493D2A" w:themeColor="background1" w:themeShade="40"/>
        </w:rPr>
        <w:t>Baker, R. (2025). Strengthening transitions to higher education: The role and impact of in</w:t>
      </w:r>
      <w:r w:rsidRPr="00F042A6">
        <w:rPr>
          <w:rFonts w:ascii="Cambria Math" w:hAnsi="Cambria Math" w:cs="Cambria Math"/>
          <w:color w:val="493D2A" w:themeColor="background1" w:themeShade="40"/>
        </w:rPr>
        <w:t>‑</w:t>
      </w:r>
      <w:r w:rsidRPr="00F042A6">
        <w:rPr>
          <w:color w:val="493D2A" w:themeColor="background1" w:themeShade="40"/>
        </w:rPr>
        <w:t xml:space="preserve">school university enabling programs. </w:t>
      </w:r>
      <w:hyperlink r:id="rId35">
        <w:r w:rsidRPr="005529D5">
          <w:rPr>
            <w:rStyle w:val="Hyperlink"/>
          </w:rPr>
          <w:t>https://unistars.org/papers/STUDENTSUCCESS2025/10C.pdf</w:t>
        </w:r>
      </w:hyperlink>
    </w:p>
    <w:p w14:paraId="57107725" w14:textId="497FD449" w:rsidR="00260C4D" w:rsidRPr="00F042A6" w:rsidRDefault="5697C36D" w:rsidP="00F80576">
      <w:pPr>
        <w:ind w:left="426" w:hanging="426"/>
        <w:rPr>
          <w:color w:val="493D2A" w:themeColor="background1" w:themeShade="40"/>
        </w:rPr>
      </w:pPr>
      <w:r w:rsidRPr="00F042A6">
        <w:rPr>
          <w:color w:val="493D2A" w:themeColor="background1" w:themeShade="40"/>
        </w:rPr>
        <w:t>Davis, C., Syme, S., Cook, C., Dempster, S., Duffy, L., Hattam, S., Lambrinidis, G., Lawson, K., &amp; Levy, Stuart, L. (2023</w:t>
      </w:r>
      <w:r w:rsidR="7A4F802D" w:rsidRPr="00F042A6">
        <w:rPr>
          <w:color w:val="493D2A" w:themeColor="background1" w:themeShade="40"/>
        </w:rPr>
        <w:t>a</w:t>
      </w:r>
      <w:r w:rsidRPr="00F042A6">
        <w:rPr>
          <w:color w:val="493D2A" w:themeColor="background1" w:themeShade="40"/>
        </w:rPr>
        <w:t xml:space="preserve">). Report on benchmarking of enabling courses across Australia to the National Association of Enabling Educators of Australia (NAEEA). </w:t>
      </w:r>
      <w:hyperlink r:id="rId36">
        <w:r w:rsidRPr="005529D5">
          <w:rPr>
            <w:rStyle w:val="Hyperlink"/>
          </w:rPr>
          <w:t>https://enablingeducators.org/wp-content/uploads/2023/03/Report-on-Benchmarking-of-Enabling-Programs-Across-Australia-2023.pdf</w:t>
        </w:r>
      </w:hyperlink>
    </w:p>
    <w:p w14:paraId="3E375317" w14:textId="609F2D77" w:rsidR="00207062" w:rsidRPr="00F042A6" w:rsidRDefault="00207062" w:rsidP="00207062">
      <w:pPr>
        <w:ind w:left="426" w:hanging="426"/>
        <w:rPr>
          <w:color w:val="493D2A" w:themeColor="background1" w:themeShade="40"/>
        </w:rPr>
      </w:pPr>
      <w:r w:rsidRPr="00F042A6">
        <w:rPr>
          <w:color w:val="493D2A" w:themeColor="background1" w:themeShade="40"/>
        </w:rPr>
        <w:t xml:space="preserve">Davis, C. (2023b). Enabling Education in Australia: Emerging Themes and Shared Understandings. In: Bull, D., Green, J.H., </w:t>
      </w:r>
      <w:proofErr w:type="spellStart"/>
      <w:r w:rsidRPr="00F042A6">
        <w:rPr>
          <w:color w:val="493D2A" w:themeColor="background1" w:themeShade="40"/>
        </w:rPr>
        <w:t>Padró</w:t>
      </w:r>
      <w:proofErr w:type="spellEnd"/>
      <w:r w:rsidRPr="00F042A6">
        <w:rPr>
          <w:color w:val="493D2A" w:themeColor="background1" w:themeShade="40"/>
        </w:rPr>
        <w:t xml:space="preserve">, F.F. (eds) Widening Participation in Higher Education. University Development and Administration. Springer, Singapore. </w:t>
      </w:r>
      <w:hyperlink r:id="rId37" w:history="1">
        <w:r w:rsidRPr="005529D5">
          <w:rPr>
            <w:rStyle w:val="Hyperlink"/>
          </w:rPr>
          <w:t>https://doi.org/10.1007/978-981-19-9553-8_27-1</w:t>
        </w:r>
      </w:hyperlink>
      <w:r w:rsidRPr="005529D5">
        <w:rPr>
          <w:rStyle w:val="Hyperlink"/>
        </w:rPr>
        <w:t xml:space="preserve"> </w:t>
      </w:r>
      <w:hyperlink r:id="rId38" w:history="1">
        <w:r w:rsidRPr="005529D5">
          <w:rPr>
            <w:rStyle w:val="Hyperlink"/>
          </w:rPr>
          <w:t>https://doi.org/10.1007/978-981-19-9553-8_27-1</w:t>
        </w:r>
      </w:hyperlink>
      <w:r w:rsidRPr="00F042A6">
        <w:rPr>
          <w:color w:val="493D2A" w:themeColor="background1" w:themeShade="40"/>
        </w:rPr>
        <w:t xml:space="preserve"> </w:t>
      </w:r>
    </w:p>
    <w:p w14:paraId="6E233D2B" w14:textId="6F2F3BC6" w:rsidR="2D5D8070" w:rsidRPr="00F042A6" w:rsidRDefault="2D5D8070" w:rsidP="00F80576">
      <w:pPr>
        <w:ind w:left="426" w:hanging="426"/>
        <w:rPr>
          <w:color w:val="493D2A" w:themeColor="background1" w:themeShade="40"/>
        </w:rPr>
      </w:pPr>
      <w:r w:rsidRPr="00F042A6">
        <w:rPr>
          <w:rFonts w:eastAsia="Arial"/>
          <w:color w:val="493D2A" w:themeColor="background1" w:themeShade="40"/>
        </w:rPr>
        <w:t xml:space="preserve">Department of Education (2023). Pathways to Post-School Success Review: Discussion Paper. </w:t>
      </w:r>
      <w:r w:rsidRPr="00F042A6">
        <w:rPr>
          <w:rFonts w:eastAsia="Arial"/>
          <w:i/>
          <w:iCs/>
          <w:color w:val="493D2A" w:themeColor="background1" w:themeShade="40"/>
        </w:rPr>
        <w:t>Government of Western Australia</w:t>
      </w:r>
      <w:r w:rsidRPr="00F042A6">
        <w:rPr>
          <w:rFonts w:eastAsia="Arial"/>
          <w:color w:val="493D2A" w:themeColor="background1" w:themeShade="40"/>
        </w:rPr>
        <w:t xml:space="preserve">. </w:t>
      </w:r>
      <w:hyperlink r:id="rId39">
        <w:r w:rsidRPr="005529D5">
          <w:rPr>
            <w:rStyle w:val="Hyperlink"/>
            <w:rFonts w:eastAsia="Arial"/>
          </w:rPr>
          <w:t>https://www.pathwaysreview.wa.edu.au/review-discussion-paper</w:t>
        </w:r>
      </w:hyperlink>
    </w:p>
    <w:p w14:paraId="32CEDEF3" w14:textId="059E3F9A" w:rsidR="72EAA8CC" w:rsidRPr="00F042A6" w:rsidRDefault="72EAA8CC" w:rsidP="00F80576">
      <w:pPr>
        <w:ind w:left="426" w:hanging="426"/>
        <w:rPr>
          <w:color w:val="493D2A" w:themeColor="background1" w:themeShade="40"/>
        </w:rPr>
      </w:pPr>
      <w:r w:rsidRPr="00F042A6">
        <w:rPr>
          <w:color w:val="493D2A" w:themeColor="background1" w:themeShade="40"/>
        </w:rPr>
        <w:t>Department of Education. (2024</w:t>
      </w:r>
      <w:r w:rsidR="000D1AE0" w:rsidRPr="00F042A6">
        <w:rPr>
          <w:color w:val="493D2A" w:themeColor="background1" w:themeShade="40"/>
        </w:rPr>
        <w:t>a</w:t>
      </w:r>
      <w:r w:rsidRPr="00F042A6">
        <w:rPr>
          <w:color w:val="493D2A" w:themeColor="background1" w:themeShade="40"/>
        </w:rPr>
        <w:t xml:space="preserve">). FEE-FREE Uni Ready Courses. Department of Education. Retrieved </w:t>
      </w:r>
      <w:hyperlink r:id="rId40">
        <w:r w:rsidRPr="005529D5">
          <w:rPr>
            <w:rStyle w:val="Hyperlink"/>
          </w:rPr>
          <w:t>https://www.education.gov.au/higher-education-funding/commonwealth-grant-scheme-cgs/feefree-uni-ready-courses</w:t>
        </w:r>
      </w:hyperlink>
      <w:r w:rsidRPr="00F042A6">
        <w:rPr>
          <w:color w:val="493D2A" w:themeColor="background1" w:themeShade="40"/>
        </w:rPr>
        <w:t xml:space="preserve"> </w:t>
      </w:r>
    </w:p>
    <w:p w14:paraId="38EE4628" w14:textId="51B6EECC" w:rsidR="005B5F8B" w:rsidRPr="00F042A6" w:rsidRDefault="005B5F8B" w:rsidP="00F80576">
      <w:pPr>
        <w:ind w:left="426" w:hanging="426"/>
        <w:rPr>
          <w:rFonts w:eastAsia="Inter Light"/>
          <w:color w:val="493D2A" w:themeColor="background1" w:themeShade="40"/>
        </w:rPr>
      </w:pPr>
      <w:r w:rsidRPr="00F042A6">
        <w:rPr>
          <w:rFonts w:eastAsia="Inter Light"/>
          <w:color w:val="493D2A" w:themeColor="background1" w:themeShade="40"/>
        </w:rPr>
        <w:t>Department of Education. (2024</w:t>
      </w:r>
      <w:r w:rsidR="00FE6A51" w:rsidRPr="00F042A6">
        <w:rPr>
          <w:rFonts w:eastAsia="Inter Light"/>
          <w:color w:val="493D2A" w:themeColor="background1" w:themeShade="40"/>
        </w:rPr>
        <w:t>b</w:t>
      </w:r>
      <w:r w:rsidRPr="00F042A6">
        <w:rPr>
          <w:rFonts w:eastAsia="Inter Light"/>
          <w:color w:val="493D2A" w:themeColor="background1" w:themeShade="40"/>
        </w:rPr>
        <w:t xml:space="preserve">). </w:t>
      </w:r>
      <w:r w:rsidRPr="00F042A6">
        <w:rPr>
          <w:rFonts w:eastAsia="Inter Light"/>
          <w:i/>
          <w:iCs/>
          <w:color w:val="493D2A" w:themeColor="background1" w:themeShade="40"/>
        </w:rPr>
        <w:t>Australian Universities Accord: Final Report.</w:t>
      </w:r>
      <w:r w:rsidRPr="00F042A6">
        <w:rPr>
          <w:rFonts w:eastAsia="Inter Light"/>
          <w:color w:val="493D2A" w:themeColor="background1" w:themeShade="40"/>
        </w:rPr>
        <w:t xml:space="preserve"> Australian Government, Department of Education. </w:t>
      </w:r>
      <w:hyperlink r:id="rId41">
        <w:r w:rsidR="4CF56C29" w:rsidRPr="005529D5">
          <w:rPr>
            <w:rStyle w:val="Hyperlink"/>
            <w:rFonts w:eastAsia="Inter Light"/>
          </w:rPr>
          <w:t>https://www.education.gov.au/download/17990/australian-universities-accord-final-report-document/36760/australian-universities-accord-final-report/pdf</w:t>
        </w:r>
      </w:hyperlink>
    </w:p>
    <w:p w14:paraId="2DE56F4A" w14:textId="119269B7" w:rsidR="7F1BB657" w:rsidRPr="00F042A6" w:rsidRDefault="7F1BB657" w:rsidP="00F80576">
      <w:pPr>
        <w:ind w:left="426" w:hanging="426"/>
        <w:rPr>
          <w:rFonts w:eastAsia="Inter Light"/>
          <w:color w:val="493D2A" w:themeColor="background1" w:themeShade="40"/>
        </w:rPr>
      </w:pPr>
      <w:r w:rsidRPr="00F042A6">
        <w:rPr>
          <w:rFonts w:eastAsia="Inter Light"/>
          <w:color w:val="493D2A" w:themeColor="background1" w:themeShade="40"/>
        </w:rPr>
        <w:t xml:space="preserve">Edwards, D., &amp; McMillan, J. (2015). Completing university in a growing sector: Is equity an issue? </w:t>
      </w:r>
      <w:r w:rsidRPr="00F042A6">
        <w:rPr>
          <w:rFonts w:eastAsia="Inter Light"/>
          <w:i/>
          <w:color w:val="493D2A" w:themeColor="background1" w:themeShade="40"/>
        </w:rPr>
        <w:t>Australian Council for Educational Research</w:t>
      </w:r>
      <w:r w:rsidRPr="00F042A6">
        <w:rPr>
          <w:rFonts w:eastAsia="Inter Light"/>
          <w:color w:val="493D2A" w:themeColor="background1" w:themeShade="40"/>
        </w:rPr>
        <w:t>.</w:t>
      </w:r>
    </w:p>
    <w:p w14:paraId="66938F54" w14:textId="7084F234" w:rsidR="07C3373F" w:rsidRPr="00F042A6" w:rsidRDefault="07C3373F" w:rsidP="00F80576">
      <w:pPr>
        <w:ind w:left="426" w:hanging="426"/>
        <w:rPr>
          <w:color w:val="493D2A" w:themeColor="background1" w:themeShade="40"/>
        </w:rPr>
      </w:pPr>
      <w:r w:rsidRPr="00F042A6">
        <w:rPr>
          <w:color w:val="493D2A" w:themeColor="background1" w:themeShade="40"/>
        </w:rPr>
        <w:t xml:space="preserve">Eisenberg, D., Lipson, S. K., &amp; Posselt, J. (2016). Promoting resilience, retention, and mental health. </w:t>
      </w:r>
      <w:r w:rsidRPr="00F042A6">
        <w:rPr>
          <w:i/>
          <w:color w:val="493D2A" w:themeColor="background1" w:themeShade="40"/>
        </w:rPr>
        <w:t>New Directions for Student Services</w:t>
      </w:r>
      <w:r w:rsidRPr="00F042A6">
        <w:rPr>
          <w:color w:val="493D2A" w:themeColor="background1" w:themeShade="40"/>
        </w:rPr>
        <w:t xml:space="preserve">, 156, 87–95. </w:t>
      </w:r>
      <w:hyperlink r:id="rId42">
        <w:r w:rsidRPr="005529D5">
          <w:rPr>
            <w:rStyle w:val="Hyperlink"/>
          </w:rPr>
          <w:t>https://doi.org/10.1002/ss.20194</w:t>
        </w:r>
      </w:hyperlink>
    </w:p>
    <w:p w14:paraId="7CC79E86" w14:textId="4117F8BA" w:rsidR="002723EA" w:rsidRPr="00F042A6" w:rsidRDefault="46D3929C" w:rsidP="002723EA">
      <w:pPr>
        <w:ind w:left="426" w:hanging="426"/>
        <w:rPr>
          <w:rFonts w:eastAsia="Inter Light"/>
          <w:color w:val="493D2A" w:themeColor="background1" w:themeShade="40"/>
        </w:rPr>
      </w:pPr>
      <w:r w:rsidRPr="00F042A6">
        <w:rPr>
          <w:rFonts w:eastAsia="Inter Light"/>
          <w:color w:val="493D2A" w:themeColor="background1" w:themeShade="40"/>
        </w:rPr>
        <w:t>Fung, S. (2020). Validity of the Brief Resilience Scale and Brief Resilient Coping Schale in a Chinese sample</w:t>
      </w:r>
      <w:r w:rsidRPr="00F042A6">
        <w:rPr>
          <w:rFonts w:eastAsia="Inter Light"/>
          <w:i/>
          <w:iCs/>
          <w:color w:val="493D2A" w:themeColor="background1" w:themeShade="40"/>
        </w:rPr>
        <w:t>. International Journal of Environmental Research and Public Health, 17</w:t>
      </w:r>
      <w:r w:rsidRPr="00F042A6">
        <w:rPr>
          <w:rFonts w:eastAsia="Inter Light"/>
          <w:color w:val="493D2A" w:themeColor="background1" w:themeShade="40"/>
        </w:rPr>
        <w:t xml:space="preserve">(4), E1265. </w:t>
      </w:r>
      <w:hyperlink r:id="rId43">
        <w:r w:rsidRPr="005529D5">
          <w:rPr>
            <w:rStyle w:val="Hyperlink"/>
            <w:rFonts w:eastAsia="Inter Light"/>
          </w:rPr>
          <w:t>https://doi.org/10.3390/ijerph17041265</w:t>
        </w:r>
      </w:hyperlink>
    </w:p>
    <w:p w14:paraId="360AC934" w14:textId="4912347E" w:rsidR="002D4D2A" w:rsidRPr="00F042A6" w:rsidRDefault="002D4D2A" w:rsidP="002723EA">
      <w:pPr>
        <w:ind w:left="426" w:hanging="426"/>
        <w:rPr>
          <w:color w:val="493D2A" w:themeColor="background1" w:themeShade="40"/>
        </w:rPr>
      </w:pPr>
      <w:r w:rsidRPr="00F042A6">
        <w:rPr>
          <w:color w:val="493D2A" w:themeColor="background1" w:themeShade="40"/>
        </w:rPr>
        <w:t xml:space="preserve">Gale, T. &amp; Tranter, D. (2011). Social justice in Australian higher education policy: An historical and conceptual account of student participation. </w:t>
      </w:r>
      <w:r w:rsidRPr="00F042A6">
        <w:rPr>
          <w:i/>
          <w:color w:val="493D2A" w:themeColor="background1" w:themeShade="40"/>
        </w:rPr>
        <w:t>Critical Studies in Education, 52</w:t>
      </w:r>
      <w:r w:rsidRPr="00F042A6">
        <w:rPr>
          <w:color w:val="493D2A" w:themeColor="background1" w:themeShade="40"/>
        </w:rPr>
        <w:t xml:space="preserve">(1), 29–46. </w:t>
      </w:r>
      <w:hyperlink r:id="rId44">
        <w:r w:rsidR="00158CD3" w:rsidRPr="005529D5">
          <w:rPr>
            <w:rStyle w:val="Hyperlink"/>
          </w:rPr>
          <w:t>https://doi.org/10.1080/17508487.2011.536511</w:t>
        </w:r>
      </w:hyperlink>
      <w:r w:rsidR="3D9455EC" w:rsidRPr="00F042A6">
        <w:rPr>
          <w:color w:val="493D2A" w:themeColor="background1" w:themeShade="40"/>
        </w:rPr>
        <w:t xml:space="preserve"> </w:t>
      </w:r>
    </w:p>
    <w:p w14:paraId="7BD5AB8C" w14:textId="4CCDBFD5" w:rsidR="6E0D8A55" w:rsidRPr="00F042A6" w:rsidRDefault="6E0D8A55" w:rsidP="00F80576">
      <w:pPr>
        <w:ind w:left="426" w:hanging="426"/>
        <w:rPr>
          <w:color w:val="493D2A" w:themeColor="background1" w:themeShade="40"/>
        </w:rPr>
      </w:pPr>
      <w:r w:rsidRPr="00F042A6">
        <w:rPr>
          <w:color w:val="493D2A" w:themeColor="background1" w:themeShade="40"/>
        </w:rPr>
        <w:lastRenderedPageBreak/>
        <w:t xml:space="preserve">Harvey, A., </w:t>
      </w:r>
      <w:proofErr w:type="spellStart"/>
      <w:r w:rsidRPr="00F042A6">
        <w:rPr>
          <w:color w:val="493D2A" w:themeColor="background1" w:themeShade="40"/>
        </w:rPr>
        <w:t>Burnheim</w:t>
      </w:r>
      <w:proofErr w:type="spellEnd"/>
      <w:r w:rsidRPr="00F042A6">
        <w:rPr>
          <w:color w:val="493D2A" w:themeColor="background1" w:themeShade="40"/>
        </w:rPr>
        <w:t xml:space="preserve">, C. &amp; Brett, M. (2016). Towards a Fairer Chance for All: Revising the Australian Student Equity Framework. In Harvey, A., </w:t>
      </w:r>
      <w:proofErr w:type="spellStart"/>
      <w:r w:rsidRPr="00F042A6">
        <w:rPr>
          <w:color w:val="493D2A" w:themeColor="background1" w:themeShade="40"/>
        </w:rPr>
        <w:t>Burnheim</w:t>
      </w:r>
      <w:proofErr w:type="spellEnd"/>
      <w:r w:rsidRPr="00F042A6">
        <w:rPr>
          <w:color w:val="493D2A" w:themeColor="background1" w:themeShade="40"/>
        </w:rPr>
        <w:t xml:space="preserve">, C., &amp; Brett, M. (Eds.). </w:t>
      </w:r>
      <w:r w:rsidRPr="00F042A6">
        <w:rPr>
          <w:i/>
          <w:color w:val="493D2A" w:themeColor="background1" w:themeShade="40"/>
        </w:rPr>
        <w:t>Student equity in Australian higher education: Twenty-five years of A Fair Chance for All</w:t>
      </w:r>
      <w:r w:rsidRPr="00F042A6">
        <w:rPr>
          <w:color w:val="493D2A" w:themeColor="background1" w:themeShade="40"/>
        </w:rPr>
        <w:t xml:space="preserve"> (pp. 3-20). Springer Singapore.</w:t>
      </w:r>
    </w:p>
    <w:p w14:paraId="7BD5B8E8" w14:textId="49E63BFC" w:rsidR="000E20E5" w:rsidRPr="00F042A6" w:rsidRDefault="000E20E5" w:rsidP="00F80576">
      <w:pPr>
        <w:ind w:left="426" w:hanging="426"/>
        <w:rPr>
          <w:color w:val="493D2A" w:themeColor="background1" w:themeShade="40"/>
        </w:rPr>
      </w:pPr>
      <w:r w:rsidRPr="00F042A6">
        <w:rPr>
          <w:color w:val="493D2A" w:themeColor="background1" w:themeShade="40"/>
        </w:rPr>
        <w:t xml:space="preserve">Harvey, A., McDermid, L. &amp; Wren, R., (2023). The impact of school streaming on growth and equity in Australian higher education: evidence from Queensland, </w:t>
      </w:r>
      <w:r w:rsidRPr="00F042A6">
        <w:rPr>
          <w:i/>
          <w:color w:val="493D2A" w:themeColor="background1" w:themeShade="40"/>
        </w:rPr>
        <w:t>Pathways in Place</w:t>
      </w:r>
      <w:r w:rsidRPr="00F042A6">
        <w:rPr>
          <w:color w:val="493D2A" w:themeColor="background1" w:themeShade="40"/>
        </w:rPr>
        <w:t>, Griffith University, Logan, Australia.</w:t>
      </w:r>
    </w:p>
    <w:p w14:paraId="10F1E83C" w14:textId="581CF56E" w:rsidR="0050082A" w:rsidRPr="00F042A6" w:rsidRDefault="00BF6C20" w:rsidP="00F80576">
      <w:pPr>
        <w:ind w:left="426" w:hanging="426"/>
        <w:rPr>
          <w:color w:val="493D2A" w:themeColor="background1" w:themeShade="40"/>
        </w:rPr>
      </w:pPr>
      <w:r w:rsidRPr="00F042A6">
        <w:rPr>
          <w:color w:val="493D2A" w:themeColor="background1" w:themeShade="40"/>
        </w:rPr>
        <w:t xml:space="preserve">Hattam, Sarah &amp; Hattam, Robert &amp; Weiler, Tanya &amp; Abdallah, Marie &amp; Bilic, Snjezana &amp; King, Tristan &amp; Murtic, Dino &amp; Ng, Pek &amp; Oldham, Paul &amp; Pham, Min &amp; Stokes, Jennifer &amp; </w:t>
      </w:r>
      <w:proofErr w:type="spellStart"/>
      <w:r w:rsidRPr="00F042A6">
        <w:rPr>
          <w:color w:val="493D2A" w:themeColor="background1" w:themeShade="40"/>
        </w:rPr>
        <w:t>Ulpen</w:t>
      </w:r>
      <w:proofErr w:type="spellEnd"/>
      <w:r w:rsidRPr="00F042A6">
        <w:rPr>
          <w:color w:val="493D2A" w:themeColor="background1" w:themeShade="40"/>
        </w:rPr>
        <w:t>, Tamra &amp; Wilson, Natasha. (2024). Toward a Theory of Critical Enabling Pedagogy for Australian Higher Education.</w:t>
      </w:r>
    </w:p>
    <w:p w14:paraId="2C18E707" w14:textId="0BB3CF8B" w:rsidR="00954AB7" w:rsidRPr="00F042A6" w:rsidRDefault="00954AB7" w:rsidP="00F80576">
      <w:pPr>
        <w:ind w:left="426" w:hanging="426"/>
        <w:rPr>
          <w:rFonts w:eastAsia="Inter Light"/>
          <w:color w:val="493D2A" w:themeColor="background1" w:themeShade="40"/>
        </w:rPr>
      </w:pPr>
      <w:r w:rsidRPr="00F042A6">
        <w:rPr>
          <w:rFonts w:eastAsia="Inter Light"/>
          <w:color w:val="493D2A" w:themeColor="background1" w:themeShade="40"/>
        </w:rPr>
        <w:t>Hattam, S. K., Weiler, T., &amp; King, S. (2022). Enabling pedagogy &amp; critical teaching</w:t>
      </w:r>
      <w:r w:rsidRPr="00F042A6">
        <w:rPr>
          <w:rFonts w:eastAsia="Inter Light"/>
          <w:i/>
          <w:color w:val="493D2A" w:themeColor="background1" w:themeShade="40"/>
        </w:rPr>
        <w:t xml:space="preserve"> approaches in diverse classrooms</w:t>
      </w:r>
      <w:r w:rsidRPr="00F042A6">
        <w:rPr>
          <w:rFonts w:eastAsia="Inter Light"/>
          <w:color w:val="493D2A" w:themeColor="background1" w:themeShade="40"/>
        </w:rPr>
        <w:t xml:space="preserve">. In D. Green &amp; D. Price (Eds), </w:t>
      </w:r>
      <w:r w:rsidRPr="00F042A6">
        <w:rPr>
          <w:rFonts w:eastAsia="Inter Light"/>
          <w:i/>
          <w:color w:val="493D2A" w:themeColor="background1" w:themeShade="40"/>
        </w:rPr>
        <w:t>Transforming learning: Pedagogical approaches to inclusive, responsive and socially just education.</w:t>
      </w:r>
      <w:r w:rsidRPr="00F042A6">
        <w:rPr>
          <w:rFonts w:eastAsia="Inter Light"/>
          <w:color w:val="493D2A" w:themeColor="background1" w:themeShade="40"/>
        </w:rPr>
        <w:t xml:space="preserve"> Cambridge University Press.</w:t>
      </w:r>
    </w:p>
    <w:p w14:paraId="0886267F" w14:textId="30FA6490" w:rsidR="5D87B049" w:rsidRPr="00F042A6" w:rsidRDefault="5D87B049" w:rsidP="00F80576">
      <w:pPr>
        <w:ind w:left="426" w:hanging="426"/>
        <w:rPr>
          <w:rFonts w:eastAsia="Inter Light"/>
          <w:color w:val="493D2A" w:themeColor="background1" w:themeShade="40"/>
        </w:rPr>
      </w:pPr>
      <w:r w:rsidRPr="00F042A6">
        <w:rPr>
          <w:rFonts w:eastAsia="Inter Light"/>
          <w:color w:val="493D2A" w:themeColor="background1" w:themeShade="40"/>
        </w:rPr>
        <w:t xml:space="preserve">Hidalgo-Rasmussen, C. A., &amp; González-Betanzos, F. (2019). The treatment of acquiescence and the factorial structure of the Brief Resilience Scale (BRS) in Mexican and Chilean university students. </w:t>
      </w:r>
      <w:r w:rsidRPr="00F042A6">
        <w:rPr>
          <w:rFonts w:eastAsia="Inter Light"/>
          <w:i/>
          <w:color w:val="493D2A" w:themeColor="background1" w:themeShade="40"/>
        </w:rPr>
        <w:t>Annals of Psychology, 35</w:t>
      </w:r>
      <w:r w:rsidRPr="00F042A6">
        <w:rPr>
          <w:rFonts w:eastAsia="Inter Light"/>
          <w:color w:val="493D2A" w:themeColor="background1" w:themeShade="40"/>
        </w:rPr>
        <w:t xml:space="preserve">(1), 26–32. </w:t>
      </w:r>
      <w:hyperlink r:id="rId45">
        <w:r w:rsidRPr="005529D5">
          <w:rPr>
            <w:rStyle w:val="Hyperlink"/>
            <w:rFonts w:eastAsia="Inter Light"/>
          </w:rPr>
          <w:t>https://doi.org/10.6018/analesps.35.1.297781</w:t>
        </w:r>
      </w:hyperlink>
    </w:p>
    <w:p w14:paraId="1EBE97F5" w14:textId="7ADE521F" w:rsidR="00F26450" w:rsidRPr="00F042A6" w:rsidRDefault="77B01185" w:rsidP="00F26450">
      <w:pPr>
        <w:ind w:left="426" w:hanging="426"/>
        <w:rPr>
          <w:rFonts w:eastAsia="Inter Light"/>
          <w:color w:val="493D2A" w:themeColor="background1" w:themeShade="40"/>
        </w:rPr>
      </w:pPr>
      <w:r w:rsidRPr="00F042A6">
        <w:rPr>
          <w:rFonts w:eastAsia="Inter Light"/>
          <w:color w:val="493D2A" w:themeColor="background1" w:themeShade="40"/>
        </w:rPr>
        <w:t xml:space="preserve">Hodges, B., Bedford, T., Hartley, J., Klinger, C., Murray, N., </w:t>
      </w:r>
      <w:proofErr w:type="spellStart"/>
      <w:r w:rsidRPr="00F042A6">
        <w:rPr>
          <w:rFonts w:eastAsia="Inter Light"/>
          <w:color w:val="493D2A" w:themeColor="background1" w:themeShade="40"/>
        </w:rPr>
        <w:t>O’Rouke</w:t>
      </w:r>
      <w:proofErr w:type="spellEnd"/>
      <w:r w:rsidRPr="00F042A6">
        <w:rPr>
          <w:rFonts w:eastAsia="Inter Light"/>
          <w:color w:val="493D2A" w:themeColor="background1" w:themeShade="40"/>
        </w:rPr>
        <w:t xml:space="preserve">, J., &amp; Schofield, N. (2013). </w:t>
      </w:r>
      <w:r w:rsidRPr="00F042A6">
        <w:rPr>
          <w:rFonts w:eastAsia="Inter Light"/>
          <w:i/>
          <w:iCs/>
          <w:color w:val="493D2A" w:themeColor="background1" w:themeShade="40"/>
        </w:rPr>
        <w:t>Enabling retention: Processes and strategies for improving student retention in university-based enabling programs.</w:t>
      </w:r>
      <w:r w:rsidRPr="00F042A6">
        <w:rPr>
          <w:rFonts w:eastAsia="Inter Light"/>
          <w:color w:val="493D2A" w:themeColor="background1" w:themeShade="40"/>
        </w:rPr>
        <w:t xml:space="preserve"> </w:t>
      </w:r>
      <w:r w:rsidR="23B037E5" w:rsidRPr="00F042A6">
        <w:rPr>
          <w:rFonts w:eastAsia="Inter Light"/>
          <w:color w:val="493D2A" w:themeColor="background1" w:themeShade="40"/>
        </w:rPr>
        <w:t xml:space="preserve">Australian Government Office for Learning and Teaching. </w:t>
      </w:r>
      <w:hyperlink r:id="rId46" w:history="1">
        <w:r w:rsidR="23B037E5" w:rsidRPr="005529D5">
          <w:rPr>
            <w:rStyle w:val="Hyperlink"/>
            <w:rFonts w:eastAsia="Inter Light"/>
          </w:rPr>
          <w:t>https://enablingeducators.org/wp-content/uploads/2019/11/CG10_1697_Hodges_Report_2013.pdf</w:t>
        </w:r>
      </w:hyperlink>
    </w:p>
    <w:p w14:paraId="046B64C3" w14:textId="6146490F" w:rsidR="00CF6891" w:rsidRPr="00F042A6" w:rsidRDefault="008B27F4" w:rsidP="00F80576">
      <w:pPr>
        <w:ind w:left="426" w:hanging="426"/>
        <w:rPr>
          <w:rFonts w:eastAsia="Inter Light"/>
          <w:color w:val="493D2A" w:themeColor="background1" w:themeShade="40"/>
        </w:rPr>
      </w:pPr>
      <w:r w:rsidRPr="00F042A6">
        <w:rPr>
          <w:rFonts w:eastAsia="Inter Light"/>
          <w:color w:val="493D2A" w:themeColor="background1" w:themeShade="40"/>
        </w:rPr>
        <w:t>Jackson, D., Li, I., &amp; Carroll, D. (2023). Student access to higher education through alternative pathways and differences by equity group and discipline. </w:t>
      </w:r>
      <w:r w:rsidRPr="00F042A6">
        <w:rPr>
          <w:rFonts w:eastAsia="Inter Light"/>
          <w:i/>
          <w:iCs/>
          <w:color w:val="493D2A" w:themeColor="background1" w:themeShade="40"/>
        </w:rPr>
        <w:t>Journal of Higher Education Policy and Management</w:t>
      </w:r>
      <w:r w:rsidRPr="00F042A6">
        <w:rPr>
          <w:rFonts w:eastAsia="Inter Light"/>
          <w:color w:val="493D2A" w:themeColor="background1" w:themeShade="40"/>
        </w:rPr>
        <w:t>, </w:t>
      </w:r>
      <w:r w:rsidRPr="00F042A6">
        <w:rPr>
          <w:rFonts w:eastAsia="Inter Light"/>
          <w:i/>
          <w:iCs/>
          <w:color w:val="493D2A" w:themeColor="background1" w:themeShade="40"/>
        </w:rPr>
        <w:t>45</w:t>
      </w:r>
      <w:r w:rsidRPr="00F042A6">
        <w:rPr>
          <w:rFonts w:eastAsia="Inter Light"/>
          <w:color w:val="493D2A" w:themeColor="background1" w:themeShade="40"/>
        </w:rPr>
        <w:t xml:space="preserve">(6), 593–625. </w:t>
      </w:r>
      <w:hyperlink r:id="rId47" w:history="1">
        <w:r w:rsidRPr="005529D5">
          <w:rPr>
            <w:rStyle w:val="Hyperlink"/>
            <w:rFonts w:eastAsia="Inter Light"/>
          </w:rPr>
          <w:t>https://doi.org/10.1080/1360080X.2023.2212850</w:t>
        </w:r>
      </w:hyperlink>
    </w:p>
    <w:p w14:paraId="185F92EB" w14:textId="34D1B776" w:rsidR="00A12D4C" w:rsidRDefault="2C6C617E" w:rsidP="00A12D4C">
      <w:pPr>
        <w:ind w:left="426" w:hanging="426"/>
        <w:rPr>
          <w:color w:val="493D2A" w:themeColor="background1" w:themeShade="40"/>
        </w:rPr>
      </w:pPr>
      <w:r w:rsidRPr="00F042A6">
        <w:rPr>
          <w:color w:val="493D2A" w:themeColor="background1" w:themeShade="40"/>
        </w:rPr>
        <w:t xml:space="preserve">Jeong, N., Vidovich, N., Koh, S., &amp; Leong, J. (2024, July 1-3). </w:t>
      </w:r>
      <w:r w:rsidRPr="00F042A6">
        <w:rPr>
          <w:i/>
          <w:color w:val="493D2A" w:themeColor="background1" w:themeShade="40"/>
        </w:rPr>
        <w:t>An enabling program in secondary schools: Trends in university enrolments and academic performance.</w:t>
      </w:r>
      <w:r w:rsidRPr="00F042A6">
        <w:rPr>
          <w:color w:val="493D2A" w:themeColor="background1" w:themeShade="40"/>
        </w:rPr>
        <w:t xml:space="preserve"> [Conference paper]. Student Success Conference, Melbourne, Australia. </w:t>
      </w:r>
      <w:hyperlink r:id="rId48">
        <w:r w:rsidRPr="005529D5">
          <w:rPr>
            <w:rStyle w:val="Hyperlink"/>
          </w:rPr>
          <w:t>https://unistars.org/papers/STUDENTSUCCESS2024/14B.pdf</w:t>
        </w:r>
      </w:hyperlink>
      <w:r w:rsidR="1367E644" w:rsidRPr="00F042A6">
        <w:rPr>
          <w:color w:val="493D2A" w:themeColor="background1" w:themeShade="40"/>
        </w:rPr>
        <w:t xml:space="preserve"> </w:t>
      </w:r>
    </w:p>
    <w:p w14:paraId="494F3D14" w14:textId="13CED5BD" w:rsidR="00A12D4C" w:rsidRDefault="00A12D4C" w:rsidP="00A12D4C">
      <w:pPr>
        <w:ind w:left="426" w:hanging="426"/>
        <w:rPr>
          <w:color w:val="493D2A" w:themeColor="background1" w:themeShade="40"/>
        </w:rPr>
      </w:pPr>
      <w:r w:rsidRPr="00A12D4C">
        <w:rPr>
          <w:color w:val="493D2A" w:themeColor="background1" w:themeShade="40"/>
        </w:rPr>
        <w:t xml:space="preserve">Jones, A., Navin, F., Howie, M., Maclaurin, A., Ryan, N., Nieuwoudt, J., </w:t>
      </w:r>
      <w:proofErr w:type="spellStart"/>
      <w:r w:rsidRPr="00A12D4C">
        <w:rPr>
          <w:color w:val="493D2A" w:themeColor="background1" w:themeShade="40"/>
        </w:rPr>
        <w:t>Dhondea-Tenakov</w:t>
      </w:r>
      <w:proofErr w:type="spellEnd"/>
      <w:r w:rsidRPr="00A12D4C">
        <w:rPr>
          <w:color w:val="493D2A" w:themeColor="background1" w:themeShade="40"/>
        </w:rPr>
        <w:t>, S., Attree, S., Lisciandro, J., &amp; Ramos, F. (2026</w:t>
      </w:r>
      <w:r w:rsidR="000841ED">
        <w:rPr>
          <w:color w:val="493D2A" w:themeColor="background1" w:themeShade="40"/>
        </w:rPr>
        <w:t>a</w:t>
      </w:r>
      <w:r w:rsidRPr="00A12D4C">
        <w:rPr>
          <w:color w:val="493D2A" w:themeColor="background1" w:themeShade="40"/>
        </w:rPr>
        <w:t xml:space="preserve">). </w:t>
      </w:r>
      <w:r w:rsidRPr="008475EB">
        <w:rPr>
          <w:i/>
          <w:iCs/>
          <w:color w:val="493D2A" w:themeColor="background1" w:themeShade="40"/>
        </w:rPr>
        <w:t>In-School Enabling Programs: A Practical Guide for Implementation</w:t>
      </w:r>
      <w:r w:rsidRPr="00A12D4C">
        <w:rPr>
          <w:color w:val="493D2A" w:themeColor="background1" w:themeShade="40"/>
        </w:rPr>
        <w:t xml:space="preserve">. Australian Centre for Student Equity and Success, Curtin University. </w:t>
      </w:r>
      <w:hyperlink r:id="rId49" w:tgtFrame="_blank" w:tooltip="https://www.acses.edu.au/publication/nesting-enabling-programs-in-senior-schooling" w:history="1">
        <w:r w:rsidR="00B64861" w:rsidRPr="00B64861">
          <w:rPr>
            <w:rStyle w:val="Hyperlink"/>
          </w:rPr>
          <w:t>https://www.acses.edu.au/publication/nesting-enabling-programs-in-senior-schooling</w:t>
        </w:r>
      </w:hyperlink>
    </w:p>
    <w:p w14:paraId="2A39263F" w14:textId="52D1D512" w:rsidR="00A12D4C" w:rsidRPr="00A12D4C" w:rsidRDefault="00A12D4C" w:rsidP="00A12D4C">
      <w:pPr>
        <w:ind w:left="426" w:hanging="426"/>
        <w:rPr>
          <w:color w:val="493D2A" w:themeColor="background1" w:themeShade="40"/>
        </w:rPr>
      </w:pPr>
      <w:r w:rsidRPr="00A12D4C">
        <w:rPr>
          <w:color w:val="493D2A" w:themeColor="background1" w:themeShade="40"/>
        </w:rPr>
        <w:t xml:space="preserve">Jones, A., Navin, F., Howie, M., Maclaurin, A., Ryan, N., Nieuwoudt, J., </w:t>
      </w:r>
      <w:proofErr w:type="spellStart"/>
      <w:r w:rsidRPr="00A12D4C">
        <w:rPr>
          <w:color w:val="493D2A" w:themeColor="background1" w:themeShade="40"/>
        </w:rPr>
        <w:t>Dhondea-Tenakov</w:t>
      </w:r>
      <w:proofErr w:type="spellEnd"/>
      <w:r w:rsidRPr="00A12D4C">
        <w:rPr>
          <w:color w:val="493D2A" w:themeColor="background1" w:themeShade="40"/>
        </w:rPr>
        <w:t>, S., Attree, S., Lisciandro, J., &amp; Ramos, F. (2026</w:t>
      </w:r>
      <w:r w:rsidR="000841ED">
        <w:rPr>
          <w:color w:val="493D2A" w:themeColor="background1" w:themeShade="40"/>
        </w:rPr>
        <w:t>b</w:t>
      </w:r>
      <w:r w:rsidRPr="00A12D4C">
        <w:rPr>
          <w:color w:val="493D2A" w:themeColor="background1" w:themeShade="40"/>
        </w:rPr>
        <w:t xml:space="preserve">). </w:t>
      </w:r>
      <w:r w:rsidRPr="008475EB">
        <w:rPr>
          <w:i/>
          <w:iCs/>
          <w:color w:val="493D2A" w:themeColor="background1" w:themeShade="40"/>
        </w:rPr>
        <w:t>Benchmarking Report of In-School Enabling Programs Across Australia</w:t>
      </w:r>
      <w:r w:rsidRPr="00A12D4C">
        <w:rPr>
          <w:color w:val="493D2A" w:themeColor="background1" w:themeShade="40"/>
        </w:rPr>
        <w:t xml:space="preserve">. Australian Centre for Student Equity and Success, Curtin University. </w:t>
      </w:r>
      <w:hyperlink r:id="rId50" w:tgtFrame="_blank" w:tooltip="https://www.acses.edu.au/publication/nesting-enabling-programs-in-senior-schooling" w:history="1">
        <w:r w:rsidR="00B64861" w:rsidRPr="00B64861">
          <w:rPr>
            <w:rStyle w:val="Hyperlink"/>
          </w:rPr>
          <w:t>https://www.acses.edu.au/publication/nesting-enabling-programs-in-senior-schooling</w:t>
        </w:r>
      </w:hyperlink>
    </w:p>
    <w:p w14:paraId="148040AD" w14:textId="41C09680" w:rsidR="00632085" w:rsidRPr="00F042A6" w:rsidRDefault="00632085" w:rsidP="00F80576">
      <w:pPr>
        <w:ind w:left="426" w:hanging="426"/>
        <w:rPr>
          <w:color w:val="493D2A" w:themeColor="background1" w:themeShade="40"/>
        </w:rPr>
      </w:pPr>
      <w:r w:rsidRPr="00F042A6">
        <w:rPr>
          <w:color w:val="493D2A" w:themeColor="background1" w:themeShade="40"/>
        </w:rPr>
        <w:lastRenderedPageBreak/>
        <w:t xml:space="preserve">Larsen, A., &amp; James, T. (2022). A sense of belonging in Australian higher education: the significance of self-efficacy and the student-educator relationship. </w:t>
      </w:r>
      <w:r w:rsidRPr="00F042A6">
        <w:rPr>
          <w:i/>
          <w:color w:val="493D2A" w:themeColor="background1" w:themeShade="40"/>
        </w:rPr>
        <w:t>Journal of University Teaching &amp; Learning Practice</w:t>
      </w:r>
      <w:r w:rsidRPr="00F042A6">
        <w:rPr>
          <w:color w:val="493D2A" w:themeColor="background1" w:themeShade="40"/>
        </w:rPr>
        <w:t xml:space="preserve">, </w:t>
      </w:r>
      <w:r w:rsidRPr="00F042A6">
        <w:rPr>
          <w:i/>
          <w:color w:val="493D2A" w:themeColor="background1" w:themeShade="40"/>
        </w:rPr>
        <w:t>19</w:t>
      </w:r>
      <w:r w:rsidRPr="00F042A6">
        <w:rPr>
          <w:color w:val="493D2A" w:themeColor="background1" w:themeShade="40"/>
        </w:rPr>
        <w:t xml:space="preserve">(4). </w:t>
      </w:r>
      <w:hyperlink r:id="rId51">
        <w:r w:rsidR="3233BCDF" w:rsidRPr="005529D5">
          <w:rPr>
            <w:rStyle w:val="Hyperlink"/>
          </w:rPr>
          <w:t>https://ro.uow.edu.au/jutlp/vol19/iss4/05</w:t>
        </w:r>
      </w:hyperlink>
    </w:p>
    <w:p w14:paraId="54773FE9" w14:textId="6D3B02D0" w:rsidR="00A04FD0" w:rsidRDefault="00447861" w:rsidP="008475EB">
      <w:pPr>
        <w:ind w:left="426" w:hanging="426"/>
        <w:rPr>
          <w:rFonts w:eastAsia="Arial"/>
          <w:color w:val="493D2A" w:themeColor="background1" w:themeShade="40"/>
        </w:rPr>
      </w:pPr>
      <w:r w:rsidRPr="00F042A6">
        <w:rPr>
          <w:color w:val="493D2A" w:themeColor="background1" w:themeShade="40"/>
        </w:rPr>
        <w:t xml:space="preserve">Larsen, A., James, T., Robinson, A., Jones, A., Coleman, M., Lambrinidis, G., &amp; Daniel, R. (2025). The role of educators in cultivating self-efficacy among school-leaver Enabling students: Perspectives and practices. </w:t>
      </w:r>
      <w:r w:rsidRPr="00F042A6">
        <w:rPr>
          <w:i/>
          <w:color w:val="493D2A" w:themeColor="background1" w:themeShade="40"/>
        </w:rPr>
        <w:t>Journal of University Teaching and Learning Practice</w:t>
      </w:r>
      <w:r w:rsidRPr="00F042A6">
        <w:rPr>
          <w:color w:val="493D2A" w:themeColor="background1" w:themeShade="40"/>
        </w:rPr>
        <w:t xml:space="preserve">, </w:t>
      </w:r>
      <w:r w:rsidRPr="00F042A6">
        <w:rPr>
          <w:i/>
          <w:color w:val="493D2A" w:themeColor="background1" w:themeShade="40"/>
        </w:rPr>
        <w:t>22</w:t>
      </w:r>
      <w:r w:rsidRPr="00F042A6">
        <w:rPr>
          <w:color w:val="493D2A" w:themeColor="background1" w:themeShade="40"/>
        </w:rPr>
        <w:t xml:space="preserve">(10). </w:t>
      </w:r>
      <w:hyperlink r:id="rId52">
        <w:r w:rsidR="009C734E" w:rsidRPr="005529D5">
          <w:rPr>
            <w:rStyle w:val="Hyperlink"/>
          </w:rPr>
          <w:t>https://doi.org/10.53761</w:t>
        </w:r>
      </w:hyperlink>
    </w:p>
    <w:p w14:paraId="38546190" w14:textId="59EF82BC" w:rsidR="2D452CBA" w:rsidRPr="00F042A6" w:rsidRDefault="2D452CBA" w:rsidP="3B88D4FF">
      <w:pPr>
        <w:spacing w:line="276" w:lineRule="auto"/>
        <w:ind w:left="720" w:hanging="720"/>
        <w:rPr>
          <w:color w:val="493D2A" w:themeColor="background1" w:themeShade="40"/>
        </w:rPr>
      </w:pPr>
      <w:r w:rsidRPr="00F042A6">
        <w:rPr>
          <w:rFonts w:eastAsia="Arial"/>
          <w:color w:val="493D2A" w:themeColor="background1" w:themeShade="40"/>
        </w:rPr>
        <w:t xml:space="preserve">Learning Creates Australia. (2023). Markers of Success: A submission to the Australian Universities Accord discussion paper [PDF]. </w:t>
      </w:r>
      <w:r w:rsidRPr="00F042A6">
        <w:rPr>
          <w:rFonts w:eastAsia="Arial"/>
          <w:i/>
          <w:color w:val="493D2A" w:themeColor="background1" w:themeShade="40"/>
        </w:rPr>
        <w:t>Australian Government Department of Education</w:t>
      </w:r>
      <w:r w:rsidRPr="00F042A6">
        <w:rPr>
          <w:rFonts w:eastAsia="Arial"/>
          <w:color w:val="493D2A" w:themeColor="background1" w:themeShade="40"/>
        </w:rPr>
        <w:t xml:space="preserve">. </w:t>
      </w:r>
      <w:hyperlink r:id="rId53">
        <w:r w:rsidRPr="005529D5">
          <w:rPr>
            <w:rStyle w:val="Hyperlink"/>
            <w:rFonts w:eastAsia="Arial"/>
          </w:rPr>
          <w:t>https://www.education.gov.au/system/files/documents/submission-file/2023-04/AUA_tranche2_Learning%20Creates%20Australia.pdf</w:t>
        </w:r>
      </w:hyperlink>
    </w:p>
    <w:p w14:paraId="0536817F" w14:textId="50D08ADB" w:rsidR="0C08D014" w:rsidRPr="00F042A6" w:rsidRDefault="0C08D014" w:rsidP="00F80576">
      <w:pPr>
        <w:ind w:left="426" w:hanging="426"/>
        <w:rPr>
          <w:color w:val="493D2A" w:themeColor="background1" w:themeShade="40"/>
        </w:rPr>
      </w:pPr>
      <w:r w:rsidRPr="00F042A6">
        <w:rPr>
          <w:color w:val="493D2A" w:themeColor="background1" w:themeShade="40"/>
        </w:rPr>
        <w:t xml:space="preserve">Li, I. W., Carroll, D. R., &amp; Jackson, D. (2022). </w:t>
      </w:r>
      <w:r w:rsidRPr="00F042A6">
        <w:rPr>
          <w:i/>
          <w:color w:val="493D2A" w:themeColor="background1" w:themeShade="40"/>
        </w:rPr>
        <w:t>Equity implications of non-ATAR pathways: Participation, academic outcomes, and student experience.</w:t>
      </w:r>
      <w:r w:rsidRPr="00F042A6">
        <w:rPr>
          <w:color w:val="493D2A" w:themeColor="background1" w:themeShade="40"/>
        </w:rPr>
        <w:t xml:space="preserve"> National Centre for Student Equity in Higher Education. </w:t>
      </w:r>
      <w:hyperlink r:id="rId54">
        <w:r w:rsidRPr="005529D5">
          <w:rPr>
            <w:rStyle w:val="Hyperlink"/>
          </w:rPr>
          <w:t>www.acses.edu.au/publication/equity-implications-of-non-atar-pathways-participation-academic-outcomes-and-student-experience/</w:t>
        </w:r>
      </w:hyperlink>
      <w:r w:rsidRPr="00F042A6">
        <w:rPr>
          <w:color w:val="493D2A" w:themeColor="background1" w:themeShade="40"/>
        </w:rPr>
        <w:t xml:space="preserve"> </w:t>
      </w:r>
    </w:p>
    <w:p w14:paraId="5B324DA7" w14:textId="35234CA2" w:rsidR="24B47B88" w:rsidRPr="00F042A6" w:rsidRDefault="24B47B88" w:rsidP="00F80576">
      <w:pPr>
        <w:ind w:left="426" w:hanging="426"/>
        <w:rPr>
          <w:rFonts w:eastAsia="Inter Light"/>
          <w:color w:val="493D2A" w:themeColor="background1" w:themeShade="40"/>
        </w:rPr>
      </w:pPr>
      <w:r w:rsidRPr="00F042A6">
        <w:rPr>
          <w:rFonts w:eastAsia="Inter Light"/>
          <w:color w:val="493D2A" w:themeColor="background1" w:themeShade="40"/>
        </w:rPr>
        <w:t>Li, I. W., Jackson, D., &amp; Carroll, D. R. (2023). Influence of equity group status and entry pathway on academic outcomes in higher education.</w:t>
      </w:r>
      <w:r w:rsidRPr="00F042A6">
        <w:rPr>
          <w:rFonts w:eastAsia="Inter Light"/>
          <w:i/>
          <w:color w:val="493D2A" w:themeColor="background1" w:themeShade="40"/>
        </w:rPr>
        <w:t xml:space="preserve"> Journal of Higher Education Policy and Management, </w:t>
      </w:r>
      <w:r w:rsidRPr="00F042A6">
        <w:rPr>
          <w:rFonts w:eastAsia="Inter Light"/>
          <w:color w:val="493D2A" w:themeColor="background1" w:themeShade="40"/>
        </w:rPr>
        <w:t xml:space="preserve">45(2), 140-159. </w:t>
      </w:r>
      <w:hyperlink r:id="rId55">
        <w:r w:rsidRPr="005529D5">
          <w:rPr>
            <w:rStyle w:val="Hyperlink"/>
            <w:rFonts w:eastAsia="Inter Light"/>
          </w:rPr>
          <w:t>https://doi.org/10.1080/1360080X.2023.2180163</w:t>
        </w:r>
      </w:hyperlink>
    </w:p>
    <w:p w14:paraId="112CA8BA" w14:textId="630817EC" w:rsidR="24B47B88" w:rsidRPr="00F042A6" w:rsidRDefault="24B47B88" w:rsidP="00F80576">
      <w:pPr>
        <w:ind w:left="426" w:hanging="426"/>
        <w:rPr>
          <w:rFonts w:eastAsia="Inter Light"/>
          <w:color w:val="493D2A" w:themeColor="background1" w:themeShade="40"/>
        </w:rPr>
      </w:pPr>
      <w:r w:rsidRPr="00F042A6">
        <w:rPr>
          <w:rFonts w:eastAsia="Inter Light"/>
          <w:color w:val="493D2A" w:themeColor="background1" w:themeShade="40"/>
        </w:rPr>
        <w:t xml:space="preserve">Li, I. W., &amp; Jackson, D. (2024). Influence of entry pathway and equity group status on retention and the student experience in higher education. </w:t>
      </w:r>
      <w:r w:rsidRPr="00F042A6">
        <w:rPr>
          <w:rFonts w:eastAsia="Inter Light"/>
          <w:i/>
          <w:color w:val="493D2A" w:themeColor="background1" w:themeShade="40"/>
        </w:rPr>
        <w:t>Higher education</w:t>
      </w:r>
      <w:r w:rsidRPr="00F042A6">
        <w:rPr>
          <w:rFonts w:eastAsia="Inter Light"/>
          <w:color w:val="493D2A" w:themeColor="background1" w:themeShade="40"/>
        </w:rPr>
        <w:t xml:space="preserve">, 87(5), 1411-1431. </w:t>
      </w:r>
      <w:hyperlink r:id="rId56">
        <w:r w:rsidRPr="005529D5">
          <w:rPr>
            <w:rStyle w:val="Hyperlink"/>
            <w:rFonts w:eastAsia="Inter Light"/>
          </w:rPr>
          <w:t>https://doi.org/10.1007/s10734-023-01070-4</w:t>
        </w:r>
      </w:hyperlink>
    </w:p>
    <w:p w14:paraId="48B07357" w14:textId="29C1738B" w:rsidR="24B47B88" w:rsidRPr="00F042A6" w:rsidRDefault="24B47B88" w:rsidP="00F80576">
      <w:pPr>
        <w:ind w:left="426" w:hanging="426"/>
        <w:rPr>
          <w:rFonts w:eastAsia="Inter Light"/>
          <w:color w:val="493D2A" w:themeColor="background1" w:themeShade="40"/>
        </w:rPr>
      </w:pPr>
      <w:r w:rsidRPr="00F042A6">
        <w:rPr>
          <w:rFonts w:eastAsia="Inter Light"/>
          <w:color w:val="493D2A" w:themeColor="background1" w:themeShade="40"/>
        </w:rPr>
        <w:t xml:space="preserve">Lisciandro, J. G., &amp; Gibbs, G. (2016). ‘OnTrack’ to university: Understanding mechanisms of student retention in an Australian pre-university enabling program. </w:t>
      </w:r>
      <w:r w:rsidRPr="00F042A6">
        <w:rPr>
          <w:rFonts w:eastAsia="Inter Light"/>
          <w:i/>
          <w:color w:val="493D2A" w:themeColor="background1" w:themeShade="40"/>
        </w:rPr>
        <w:t>Australian Journal of Adult Learning</w:t>
      </w:r>
      <w:r w:rsidRPr="00F042A6">
        <w:rPr>
          <w:rFonts w:eastAsia="Inter Light"/>
          <w:color w:val="493D2A" w:themeColor="background1" w:themeShade="40"/>
        </w:rPr>
        <w:t>, 56(2), 198</w:t>
      </w:r>
      <w:r w:rsidR="005529D5">
        <w:rPr>
          <w:rFonts w:eastAsia="Inter Light"/>
          <w:color w:val="493D2A" w:themeColor="background1" w:themeShade="40"/>
        </w:rPr>
        <w:t>–</w:t>
      </w:r>
      <w:r w:rsidRPr="00F042A6">
        <w:rPr>
          <w:rFonts w:eastAsia="Inter Light"/>
          <w:color w:val="493D2A" w:themeColor="background1" w:themeShade="40"/>
        </w:rPr>
        <w:t>224.</w:t>
      </w:r>
    </w:p>
    <w:p w14:paraId="4B209E2A" w14:textId="59880E3C" w:rsidR="24B47B88" w:rsidRPr="00F042A6" w:rsidRDefault="24B47B88" w:rsidP="00F80576">
      <w:pPr>
        <w:ind w:left="426" w:hanging="426"/>
        <w:rPr>
          <w:rFonts w:eastAsia="Inter Light"/>
          <w:color w:val="493D2A" w:themeColor="background1" w:themeShade="40"/>
        </w:rPr>
      </w:pPr>
      <w:r w:rsidRPr="00F042A6">
        <w:rPr>
          <w:rFonts w:eastAsia="Inter Light"/>
          <w:color w:val="493D2A" w:themeColor="background1" w:themeShade="40"/>
        </w:rPr>
        <w:t xml:space="preserve">Lisciandro, J. G. (2022). First-year university retention and academic performance of non-traditional students entering via an Australian pre-university enabling program. </w:t>
      </w:r>
      <w:r w:rsidRPr="00F042A6">
        <w:rPr>
          <w:rFonts w:eastAsia="Inter Light"/>
          <w:i/>
          <w:color w:val="493D2A" w:themeColor="background1" w:themeShade="40"/>
        </w:rPr>
        <w:t>Australian Journal of Adult Learning</w:t>
      </w:r>
      <w:r w:rsidRPr="00F042A6">
        <w:rPr>
          <w:rFonts w:eastAsia="Inter Light"/>
          <w:color w:val="493D2A" w:themeColor="background1" w:themeShade="40"/>
        </w:rPr>
        <w:t xml:space="preserve">, </w:t>
      </w:r>
      <w:r w:rsidRPr="00F042A6">
        <w:rPr>
          <w:rFonts w:eastAsia="Inter Light"/>
          <w:i/>
          <w:color w:val="493D2A" w:themeColor="background1" w:themeShade="40"/>
        </w:rPr>
        <w:t>62</w:t>
      </w:r>
      <w:r w:rsidRPr="00F042A6">
        <w:rPr>
          <w:rFonts w:eastAsia="Inter Light"/>
          <w:color w:val="493D2A" w:themeColor="background1" w:themeShade="40"/>
        </w:rPr>
        <w:t xml:space="preserve">(2), 167–201. </w:t>
      </w:r>
    </w:p>
    <w:p w14:paraId="04D6098A" w14:textId="79657D62" w:rsidR="0061268A" w:rsidRPr="00F042A6" w:rsidRDefault="0061268A" w:rsidP="00F80576">
      <w:pPr>
        <w:ind w:left="426" w:hanging="426"/>
        <w:rPr>
          <w:color w:val="493D2A" w:themeColor="background1" w:themeShade="40"/>
        </w:rPr>
      </w:pPr>
      <w:r w:rsidRPr="00F042A6">
        <w:rPr>
          <w:color w:val="493D2A" w:themeColor="background1" w:themeShade="40"/>
        </w:rPr>
        <w:t xml:space="preserve">Lisciandro, J., Olds, A., &amp; Jones, A. (2019). Philosophy, pedagogy and practice in transitional education. In Transitioning students into higher education: Philosophy, pedagogy and practice. In </w:t>
      </w:r>
      <w:r w:rsidRPr="00F042A6">
        <w:rPr>
          <w:i/>
          <w:color w:val="493D2A" w:themeColor="background1" w:themeShade="40"/>
        </w:rPr>
        <w:t>Transitioning Students into Higher Education</w:t>
      </w:r>
      <w:r w:rsidRPr="00F042A6">
        <w:rPr>
          <w:color w:val="493D2A" w:themeColor="background1" w:themeShade="40"/>
        </w:rPr>
        <w:t xml:space="preserve"> (pp. 1</w:t>
      </w:r>
      <w:r w:rsidR="005529D5">
        <w:rPr>
          <w:color w:val="493D2A" w:themeColor="background1" w:themeShade="40"/>
        </w:rPr>
        <w:t>–</w:t>
      </w:r>
      <w:r w:rsidRPr="00F042A6">
        <w:rPr>
          <w:color w:val="493D2A" w:themeColor="background1" w:themeShade="40"/>
        </w:rPr>
        <w:t>8). Routledge.</w:t>
      </w:r>
      <w:r w:rsidR="005529D5">
        <w:rPr>
          <w:color w:val="493D2A" w:themeColor="background1" w:themeShade="40"/>
        </w:rPr>
        <w:t xml:space="preserve"> </w:t>
      </w:r>
      <w:hyperlink r:id="rId57" w:history="1">
        <w:r w:rsidRPr="005529D5">
          <w:rPr>
            <w:rStyle w:val="Hyperlink"/>
          </w:rPr>
          <w:t>https://doi.org/10.4324/9780429279355-1</w:t>
        </w:r>
      </w:hyperlink>
      <w:r w:rsidRPr="00F042A6">
        <w:rPr>
          <w:color w:val="493D2A" w:themeColor="background1" w:themeShade="40"/>
        </w:rPr>
        <w:t xml:space="preserve"> </w:t>
      </w:r>
    </w:p>
    <w:p w14:paraId="18EE6620" w14:textId="48B86CDF" w:rsidR="00FC5A7E" w:rsidRPr="00F042A6" w:rsidRDefault="00FC5A7E" w:rsidP="00F80576">
      <w:pPr>
        <w:ind w:left="426" w:hanging="426"/>
        <w:rPr>
          <w:color w:val="493D2A" w:themeColor="background1" w:themeShade="40"/>
        </w:rPr>
      </w:pPr>
      <w:r w:rsidRPr="00F042A6">
        <w:rPr>
          <w:color w:val="493D2A" w:themeColor="background1" w:themeShade="40"/>
        </w:rPr>
        <w:t xml:space="preserve">Louden, B. (2024). </w:t>
      </w:r>
      <w:r w:rsidRPr="00F042A6">
        <w:rPr>
          <w:i/>
          <w:color w:val="493D2A" w:themeColor="background1" w:themeShade="40"/>
        </w:rPr>
        <w:t>Pathways to post-school success: Review of Western Australian senior secondary pathways. Expert Panel Report</w:t>
      </w:r>
      <w:r w:rsidRPr="00F042A6">
        <w:rPr>
          <w:color w:val="493D2A" w:themeColor="background1" w:themeShade="40"/>
        </w:rPr>
        <w:t xml:space="preserve">. </w:t>
      </w:r>
      <w:r w:rsidR="00EB78E6" w:rsidRPr="00F042A6">
        <w:rPr>
          <w:color w:val="493D2A" w:themeColor="background1" w:themeShade="40"/>
        </w:rPr>
        <w:t xml:space="preserve">West Australian </w:t>
      </w:r>
      <w:r w:rsidR="00197748" w:rsidRPr="00F042A6">
        <w:rPr>
          <w:color w:val="493D2A" w:themeColor="background1" w:themeShade="40"/>
        </w:rPr>
        <w:t>Department of Education</w:t>
      </w:r>
      <w:r w:rsidR="000D53BE" w:rsidRPr="00F042A6">
        <w:rPr>
          <w:color w:val="493D2A" w:themeColor="background1" w:themeShade="40"/>
        </w:rPr>
        <w:t xml:space="preserve">. </w:t>
      </w:r>
      <w:hyperlink r:id="rId58" w:history="1">
        <w:r w:rsidR="005529D5" w:rsidRPr="001D6820">
          <w:rPr>
            <w:rStyle w:val="Hyperlink"/>
          </w:rPr>
          <w:t>https://www.education.wa.edu.au/web/pathways-review/expert-panel-report</w:t>
        </w:r>
      </w:hyperlink>
      <w:r w:rsidR="005529D5">
        <w:rPr>
          <w:color w:val="493D2A" w:themeColor="background1" w:themeShade="40"/>
        </w:rPr>
        <w:t xml:space="preserve"> </w:t>
      </w:r>
    </w:p>
    <w:p w14:paraId="22596759" w14:textId="7AE8D35A" w:rsidR="009C734E" w:rsidRPr="00F042A6" w:rsidRDefault="029AD070" w:rsidP="00F80576">
      <w:pPr>
        <w:ind w:left="426" w:hanging="426"/>
        <w:rPr>
          <w:color w:val="493D2A" w:themeColor="background1" w:themeShade="40"/>
        </w:rPr>
      </w:pPr>
      <w:proofErr w:type="gramStart"/>
      <w:r w:rsidRPr="00F042A6">
        <w:rPr>
          <w:color w:val="493D2A" w:themeColor="background1" w:themeShade="40"/>
        </w:rPr>
        <w:t>Maclaurin ,</w:t>
      </w:r>
      <w:proofErr w:type="gramEnd"/>
      <w:r w:rsidRPr="00F042A6">
        <w:rPr>
          <w:color w:val="493D2A" w:themeColor="background1" w:themeShade="40"/>
        </w:rPr>
        <w:t xml:space="preserve"> A., Sturniolo-Baker, R., Shaw, S., &amp; Monteith, D. (2024). High School Enabling Programs, Learning Journeys, and Transitions: Measuring Effectiveness from the Student Perspective. </w:t>
      </w:r>
      <w:r w:rsidRPr="00F042A6">
        <w:rPr>
          <w:i/>
          <w:iCs/>
          <w:color w:val="493D2A" w:themeColor="background1" w:themeShade="40"/>
        </w:rPr>
        <w:t>Student Success</w:t>
      </w:r>
      <w:r w:rsidRPr="00F042A6">
        <w:rPr>
          <w:color w:val="493D2A" w:themeColor="background1" w:themeShade="40"/>
        </w:rPr>
        <w:t>, </w:t>
      </w:r>
      <w:r w:rsidRPr="00F042A6">
        <w:rPr>
          <w:i/>
          <w:iCs/>
          <w:color w:val="493D2A" w:themeColor="background1" w:themeShade="40"/>
        </w:rPr>
        <w:t>16</w:t>
      </w:r>
      <w:r w:rsidRPr="00F042A6">
        <w:rPr>
          <w:color w:val="493D2A" w:themeColor="background1" w:themeShade="40"/>
        </w:rPr>
        <w:t xml:space="preserve">(1), 38–47. </w:t>
      </w:r>
      <w:hyperlink r:id="rId59">
        <w:r w:rsidRPr="005529D5">
          <w:rPr>
            <w:rStyle w:val="Hyperlink"/>
          </w:rPr>
          <w:t>https://doi.org/10.5204/ssj.3419</w:t>
        </w:r>
      </w:hyperlink>
    </w:p>
    <w:p w14:paraId="0D4591F1" w14:textId="1E472D88" w:rsidR="00DB5B97" w:rsidRPr="00F042A6" w:rsidRDefault="00DB5B97" w:rsidP="00F80576">
      <w:pPr>
        <w:ind w:left="426" w:hanging="426"/>
        <w:rPr>
          <w:color w:val="493D2A" w:themeColor="background1" w:themeShade="40"/>
        </w:rPr>
      </w:pPr>
      <w:r w:rsidRPr="00F042A6">
        <w:rPr>
          <w:color w:val="493D2A" w:themeColor="background1" w:themeShade="40"/>
        </w:rPr>
        <w:t xml:space="preserve">McHale, R., Brennan, N., Freeburn, T., </w:t>
      </w:r>
      <w:proofErr w:type="spellStart"/>
      <w:r w:rsidRPr="00F042A6">
        <w:rPr>
          <w:color w:val="493D2A" w:themeColor="background1" w:themeShade="40"/>
        </w:rPr>
        <w:t>Richardon</w:t>
      </w:r>
      <w:proofErr w:type="spellEnd"/>
      <w:r w:rsidRPr="00F042A6">
        <w:rPr>
          <w:color w:val="493D2A" w:themeColor="background1" w:themeShade="40"/>
        </w:rPr>
        <w:t xml:space="preserve">, E., Rossetto, A., &amp; Carmody, M. (2025). </w:t>
      </w:r>
      <w:r w:rsidRPr="00F042A6">
        <w:rPr>
          <w:i/>
          <w:iCs/>
          <w:color w:val="493D2A" w:themeColor="background1" w:themeShade="40"/>
        </w:rPr>
        <w:t>Youth Survey Report 2025</w:t>
      </w:r>
      <w:r w:rsidRPr="00F042A6">
        <w:rPr>
          <w:color w:val="493D2A" w:themeColor="background1" w:themeShade="40"/>
        </w:rPr>
        <w:t xml:space="preserve">. Sydney, NSW. Mission Australia </w:t>
      </w:r>
    </w:p>
    <w:p w14:paraId="41CCECE6" w14:textId="104AF786" w:rsidR="00912A4F" w:rsidRPr="00F042A6" w:rsidRDefault="7615978F" w:rsidP="00F80576">
      <w:pPr>
        <w:ind w:left="426" w:hanging="426"/>
        <w:rPr>
          <w:color w:val="493D2A" w:themeColor="background1" w:themeShade="40"/>
        </w:rPr>
      </w:pPr>
      <w:r w:rsidRPr="00F042A6">
        <w:rPr>
          <w:color w:val="493D2A" w:themeColor="background1" w:themeShade="40"/>
        </w:rPr>
        <w:t xml:space="preserve">Morgan, C., &amp; Taylor, J. A. (2013). Benchmarking as a Catalyst for Institutional Change in Student Assessment. In K. Coleman &amp; A. Flood (Eds.), </w:t>
      </w:r>
      <w:r w:rsidRPr="00F042A6">
        <w:rPr>
          <w:i/>
          <w:color w:val="493D2A" w:themeColor="background1" w:themeShade="40"/>
        </w:rPr>
        <w:t xml:space="preserve">Marking Time: Leading and </w:t>
      </w:r>
      <w:r w:rsidRPr="00F042A6">
        <w:rPr>
          <w:i/>
          <w:color w:val="493D2A" w:themeColor="background1" w:themeShade="40"/>
        </w:rPr>
        <w:lastRenderedPageBreak/>
        <w:t>Managing the Development of Assessment in Higher Education</w:t>
      </w:r>
      <w:r w:rsidRPr="00F042A6">
        <w:rPr>
          <w:color w:val="493D2A" w:themeColor="background1" w:themeShade="40"/>
        </w:rPr>
        <w:t xml:space="preserve"> (pp. 25-39). Common Ground.</w:t>
      </w:r>
    </w:p>
    <w:p w14:paraId="643206FB" w14:textId="5D09E32A" w:rsidR="0D314EAB" w:rsidRPr="00F042A6" w:rsidRDefault="0D314EAB" w:rsidP="00F80576">
      <w:pPr>
        <w:ind w:left="426" w:hanging="426"/>
        <w:rPr>
          <w:rFonts w:eastAsia="Inter Light"/>
          <w:color w:val="493D2A" w:themeColor="background1" w:themeShade="40"/>
        </w:rPr>
      </w:pPr>
      <w:r w:rsidRPr="00F042A6">
        <w:rPr>
          <w:rFonts w:eastAsia="Inter Light"/>
          <w:color w:val="493D2A" w:themeColor="background1" w:themeShade="40"/>
        </w:rPr>
        <w:t xml:space="preserve">Muldoon, R. (2011). Tertiary enabling education: Removing barriers to higher education. In P. Cunningham &amp; N. Fretwell (Eds.), </w:t>
      </w:r>
      <w:r w:rsidRPr="00F042A6">
        <w:rPr>
          <w:rFonts w:eastAsia="Inter Light"/>
          <w:i/>
          <w:color w:val="493D2A" w:themeColor="background1" w:themeShade="40"/>
        </w:rPr>
        <w:t>Europe’s future: Citizenship in a changing world</w:t>
      </w:r>
      <w:r w:rsidRPr="00F042A6">
        <w:rPr>
          <w:rFonts w:eastAsia="Inter Light"/>
          <w:color w:val="493D2A" w:themeColor="background1" w:themeShade="40"/>
        </w:rPr>
        <w:t xml:space="preserve"> (pp. 288297). CiCe.</w:t>
      </w:r>
    </w:p>
    <w:p w14:paraId="48756401" w14:textId="264AA892" w:rsidR="0D314EAB" w:rsidRPr="00F042A6" w:rsidRDefault="0D314EAB" w:rsidP="00F80576">
      <w:pPr>
        <w:ind w:left="426" w:hanging="426"/>
        <w:rPr>
          <w:color w:val="493D2A" w:themeColor="background1" w:themeShade="40"/>
        </w:rPr>
      </w:pPr>
      <w:r w:rsidRPr="00F042A6">
        <w:rPr>
          <w:color w:val="493D2A" w:themeColor="background1" w:themeShade="40"/>
        </w:rPr>
        <w:t xml:space="preserve">Ng Fat, L., Scholes, S., Boniface, S. Mindell, J., &amp; Stewart-Brown, S. (2017). Evaluating and establishing national norms for mental wellbeing using the short Warwick–Edinburgh Mental Well-being Scale (SWEMWBS): </w:t>
      </w:r>
      <w:r w:rsidRPr="00F042A6">
        <w:rPr>
          <w:i/>
          <w:color w:val="493D2A" w:themeColor="background1" w:themeShade="40"/>
        </w:rPr>
        <w:t>Findings from the Health Survey for England. Quality of Life Research</w:t>
      </w:r>
      <w:r w:rsidRPr="00F042A6">
        <w:rPr>
          <w:color w:val="493D2A" w:themeColor="background1" w:themeShade="40"/>
        </w:rPr>
        <w:t xml:space="preserve">, </w:t>
      </w:r>
      <w:r w:rsidRPr="00F042A6">
        <w:rPr>
          <w:i/>
          <w:color w:val="493D2A" w:themeColor="background1" w:themeShade="40"/>
        </w:rPr>
        <w:t>26</w:t>
      </w:r>
      <w:r w:rsidRPr="00F042A6">
        <w:rPr>
          <w:color w:val="493D2A" w:themeColor="background1" w:themeShade="40"/>
        </w:rPr>
        <w:t xml:space="preserve">, 1129-1144. </w:t>
      </w:r>
      <w:hyperlink r:id="rId60">
        <w:r w:rsidRPr="005529D5">
          <w:rPr>
            <w:rStyle w:val="Hyperlink"/>
          </w:rPr>
          <w:t>https://doi.org/10.1007/s11136-016-1454-8</w:t>
        </w:r>
      </w:hyperlink>
    </w:p>
    <w:p w14:paraId="469DED64" w14:textId="4068C79C" w:rsidR="00912A4F" w:rsidRPr="00F042A6" w:rsidRDefault="5ED9F513" w:rsidP="00F80576">
      <w:pPr>
        <w:ind w:left="426" w:hanging="426"/>
        <w:rPr>
          <w:color w:val="493D2A" w:themeColor="background1" w:themeShade="40"/>
        </w:rPr>
      </w:pPr>
      <w:r w:rsidRPr="00F042A6">
        <w:rPr>
          <w:color w:val="493D2A" w:themeColor="background1" w:themeShade="40"/>
        </w:rPr>
        <w:t>Nieuwoudt, J. E., &amp; Jones, A. (2025). Towards a Holistic Model: Transition Pedagogy in High School Enabling Programs. </w:t>
      </w:r>
      <w:r w:rsidRPr="00F042A6">
        <w:rPr>
          <w:i/>
          <w:iCs/>
          <w:color w:val="493D2A" w:themeColor="background1" w:themeShade="40"/>
        </w:rPr>
        <w:t>Student Success</w:t>
      </w:r>
      <w:r w:rsidRPr="00F042A6">
        <w:rPr>
          <w:color w:val="493D2A" w:themeColor="background1" w:themeShade="40"/>
        </w:rPr>
        <w:t>, </w:t>
      </w:r>
      <w:r w:rsidRPr="00F042A6">
        <w:rPr>
          <w:i/>
          <w:iCs/>
          <w:color w:val="493D2A" w:themeColor="background1" w:themeShade="40"/>
        </w:rPr>
        <w:t>16</w:t>
      </w:r>
      <w:r w:rsidRPr="00F042A6">
        <w:rPr>
          <w:color w:val="493D2A" w:themeColor="background1" w:themeShade="40"/>
        </w:rPr>
        <w:t xml:space="preserve">(3), 114–121. </w:t>
      </w:r>
      <w:hyperlink r:id="rId61" w:history="1">
        <w:r w:rsidRPr="005529D5">
          <w:rPr>
            <w:rStyle w:val="Hyperlink"/>
          </w:rPr>
          <w:t>https://doi.org/10.63608/ssj.3774</w:t>
        </w:r>
      </w:hyperlink>
    </w:p>
    <w:p w14:paraId="0C6FE482" w14:textId="5E885CDC" w:rsidR="55BE9BF6" w:rsidRPr="00F042A6" w:rsidRDefault="55BE9BF6" w:rsidP="00F80576">
      <w:pPr>
        <w:ind w:left="426" w:hanging="426"/>
        <w:rPr>
          <w:color w:val="493D2A" w:themeColor="background1" w:themeShade="40"/>
        </w:rPr>
      </w:pPr>
      <w:r w:rsidRPr="00F042A6">
        <w:rPr>
          <w:color w:val="493D2A" w:themeColor="background1" w:themeShade="40"/>
        </w:rPr>
        <w:t xml:space="preserve">Norton, A. (2024). How attractive will the FEE-FREE Uni Ready places be to universities? Australian Higher Education Policy. Retrieved </w:t>
      </w:r>
      <w:hyperlink r:id="rId62">
        <w:r w:rsidRPr="005529D5">
          <w:rPr>
            <w:rStyle w:val="Hyperlink"/>
          </w:rPr>
          <w:t>https://andrewnorton.substack.com/p/how-attractive-will-the-fee-free</w:t>
        </w:r>
      </w:hyperlink>
      <w:r w:rsidRPr="00F042A6">
        <w:rPr>
          <w:color w:val="493D2A" w:themeColor="background1" w:themeShade="40"/>
        </w:rPr>
        <w:t xml:space="preserve"> </w:t>
      </w:r>
    </w:p>
    <w:p w14:paraId="76B15403" w14:textId="095888F1" w:rsidR="48431081" w:rsidRPr="00F042A6" w:rsidRDefault="7F295EB4" w:rsidP="00F80576">
      <w:pPr>
        <w:ind w:left="426" w:hanging="426"/>
        <w:rPr>
          <w:color w:val="493D2A" w:themeColor="background1" w:themeShade="40"/>
        </w:rPr>
      </w:pPr>
      <w:r w:rsidRPr="00F042A6">
        <w:rPr>
          <w:color w:val="493D2A" w:themeColor="background1" w:themeShade="40"/>
        </w:rPr>
        <w:t xml:space="preserve">Olds, A., Jones, A., Sturniolo-Baker, R., Clark, S.P., Dawson, J., McGrath, W., Plumb, C., Schwartz, C., &amp; White, C.M. (2022). School-based enabling programs: Creating opportunity and connection. A practice report. </w:t>
      </w:r>
      <w:r w:rsidRPr="00F042A6">
        <w:rPr>
          <w:i/>
          <w:iCs/>
          <w:color w:val="493D2A" w:themeColor="background1" w:themeShade="40"/>
        </w:rPr>
        <w:t>Student Success, 13</w:t>
      </w:r>
      <w:r w:rsidRPr="00F042A6">
        <w:rPr>
          <w:color w:val="493D2A" w:themeColor="background1" w:themeShade="40"/>
        </w:rPr>
        <w:t>(3), 1</w:t>
      </w:r>
      <w:r w:rsidR="005529D5">
        <w:rPr>
          <w:color w:val="493D2A" w:themeColor="background1" w:themeShade="40"/>
        </w:rPr>
        <w:t>–</w:t>
      </w:r>
      <w:r w:rsidRPr="00F042A6">
        <w:rPr>
          <w:color w:val="493D2A" w:themeColor="background1" w:themeShade="40"/>
        </w:rPr>
        <w:t xml:space="preserve">10. </w:t>
      </w:r>
      <w:hyperlink r:id="rId63">
        <w:r w:rsidRPr="005529D5">
          <w:rPr>
            <w:rStyle w:val="Hyperlink"/>
          </w:rPr>
          <w:t>https://doi.org/10.5204/ssj.2436</w:t>
        </w:r>
      </w:hyperlink>
      <w:r w:rsidR="1C25A09D" w:rsidRPr="00F042A6">
        <w:rPr>
          <w:color w:val="493D2A" w:themeColor="background1" w:themeShade="40"/>
        </w:rPr>
        <w:t xml:space="preserve"> </w:t>
      </w:r>
    </w:p>
    <w:p w14:paraId="598F641F" w14:textId="6D315FEB" w:rsidR="6B75B43D" w:rsidRPr="00F042A6" w:rsidRDefault="6B75B43D" w:rsidP="00F80576">
      <w:pPr>
        <w:ind w:left="426" w:hanging="426"/>
        <w:rPr>
          <w:rFonts w:eastAsia="Inter Light"/>
          <w:color w:val="493D2A" w:themeColor="background1" w:themeShade="40"/>
        </w:rPr>
      </w:pPr>
      <w:proofErr w:type="spellStart"/>
      <w:r w:rsidRPr="00F042A6">
        <w:rPr>
          <w:rFonts w:eastAsia="Inter Light"/>
          <w:color w:val="493D2A" w:themeColor="background1" w:themeShade="40"/>
        </w:rPr>
        <w:t>Orygen</w:t>
      </w:r>
      <w:proofErr w:type="spellEnd"/>
      <w:r w:rsidRPr="00F042A6">
        <w:rPr>
          <w:rFonts w:eastAsia="Inter Light"/>
          <w:color w:val="493D2A" w:themeColor="background1" w:themeShade="40"/>
        </w:rPr>
        <w:t xml:space="preserve">. (2017). Under the Radar: The Mental Health of Australian University Students. Melbourne: </w:t>
      </w:r>
      <w:proofErr w:type="spellStart"/>
      <w:r w:rsidRPr="00F042A6">
        <w:rPr>
          <w:rFonts w:eastAsia="Inter Light"/>
          <w:color w:val="493D2A" w:themeColor="background1" w:themeShade="40"/>
        </w:rPr>
        <w:t>Orygen</w:t>
      </w:r>
      <w:proofErr w:type="spellEnd"/>
      <w:r w:rsidRPr="00F042A6">
        <w:rPr>
          <w:rFonts w:eastAsia="Inter Light"/>
          <w:color w:val="493D2A" w:themeColor="background1" w:themeShade="40"/>
        </w:rPr>
        <w:t xml:space="preserve">. </w:t>
      </w:r>
      <w:r w:rsidRPr="00F042A6">
        <w:rPr>
          <w:rFonts w:eastAsia="Inter Light"/>
          <w:i/>
          <w:color w:val="493D2A" w:themeColor="background1" w:themeShade="40"/>
        </w:rPr>
        <w:t>The National Centre of Excellence in Youth Mental Health</w:t>
      </w:r>
      <w:r w:rsidRPr="00F042A6">
        <w:rPr>
          <w:rFonts w:eastAsia="Inter Light"/>
          <w:color w:val="493D2A" w:themeColor="background1" w:themeShade="40"/>
        </w:rPr>
        <w:t>.</w:t>
      </w:r>
    </w:p>
    <w:p w14:paraId="1E5A716B" w14:textId="69B59CB6" w:rsidR="002068DC" w:rsidRPr="00F042A6" w:rsidRDefault="6B75B43D" w:rsidP="00F80576">
      <w:pPr>
        <w:ind w:left="426" w:hanging="426"/>
        <w:rPr>
          <w:color w:val="493D2A" w:themeColor="background1" w:themeShade="40"/>
        </w:rPr>
      </w:pPr>
      <w:r w:rsidRPr="00F042A6">
        <w:rPr>
          <w:rFonts w:eastAsia="Inter Light"/>
          <w:color w:val="493D2A" w:themeColor="background1" w:themeShade="40"/>
        </w:rPr>
        <w:t xml:space="preserve">Özer, D, &amp; Şahin Altun, Ö. (2024). Nursing students’ mental health literacy and resilience levels: A cross-sectional study. </w:t>
      </w:r>
      <w:r w:rsidRPr="00F042A6">
        <w:rPr>
          <w:rFonts w:eastAsia="Inter Light"/>
          <w:i/>
          <w:color w:val="493D2A" w:themeColor="background1" w:themeShade="40"/>
        </w:rPr>
        <w:t>Archives of Psychiatric Nursing</w:t>
      </w:r>
      <w:r w:rsidRPr="00F042A6">
        <w:rPr>
          <w:rFonts w:eastAsia="Inter Light"/>
          <w:color w:val="493D2A" w:themeColor="background1" w:themeShade="40"/>
        </w:rPr>
        <w:t xml:space="preserve">, </w:t>
      </w:r>
      <w:r w:rsidRPr="00F042A6">
        <w:rPr>
          <w:rFonts w:eastAsia="Inter Light"/>
          <w:i/>
          <w:color w:val="493D2A" w:themeColor="background1" w:themeShade="40"/>
        </w:rPr>
        <w:t>51</w:t>
      </w:r>
      <w:r w:rsidRPr="00F042A6">
        <w:rPr>
          <w:rFonts w:eastAsia="Inter Light"/>
          <w:color w:val="493D2A" w:themeColor="background1" w:themeShade="40"/>
        </w:rPr>
        <w:t>, 222</w:t>
      </w:r>
      <w:r w:rsidR="005529D5">
        <w:rPr>
          <w:rFonts w:eastAsia="Inter Light"/>
          <w:color w:val="493D2A" w:themeColor="background1" w:themeShade="40"/>
        </w:rPr>
        <w:t>–</w:t>
      </w:r>
      <w:r w:rsidRPr="00F042A6">
        <w:rPr>
          <w:rFonts w:eastAsia="Inter Light"/>
          <w:color w:val="493D2A" w:themeColor="background1" w:themeShade="40"/>
        </w:rPr>
        <w:t xml:space="preserve">227. </w:t>
      </w:r>
      <w:hyperlink r:id="rId64">
        <w:r w:rsidRPr="005529D5">
          <w:rPr>
            <w:rStyle w:val="Hyperlink"/>
            <w:rFonts w:eastAsia="Inter Light"/>
          </w:rPr>
          <w:t>https://doi.org/10.1016/j.apnu.2024.06.017</w:t>
        </w:r>
      </w:hyperlink>
      <w:r w:rsidRPr="00F042A6">
        <w:rPr>
          <w:rFonts w:eastAsia="Inter Light"/>
          <w:color w:val="493D2A" w:themeColor="background1" w:themeShade="40"/>
        </w:rPr>
        <w:t xml:space="preserve"> </w:t>
      </w:r>
    </w:p>
    <w:p w14:paraId="2DBA7A31" w14:textId="1F703F77" w:rsidR="5F37655D" w:rsidRPr="00F042A6" w:rsidRDefault="5F37655D" w:rsidP="658F4599">
      <w:pPr>
        <w:ind w:left="426" w:hanging="426"/>
        <w:rPr>
          <w:color w:val="493D2A" w:themeColor="background1" w:themeShade="40"/>
        </w:rPr>
      </w:pPr>
      <w:proofErr w:type="spellStart"/>
      <w:r w:rsidRPr="00F042A6">
        <w:rPr>
          <w:color w:val="493D2A" w:themeColor="background1" w:themeShade="40"/>
        </w:rPr>
        <w:t>Patfield</w:t>
      </w:r>
      <w:proofErr w:type="spellEnd"/>
      <w:r w:rsidRPr="00F042A6">
        <w:rPr>
          <w:color w:val="493D2A" w:themeColor="background1" w:themeShade="40"/>
        </w:rPr>
        <w:t>, Sally (2024). U</w:t>
      </w:r>
      <w:r w:rsidRPr="00F042A6">
        <w:rPr>
          <w:i/>
          <w:iCs/>
          <w:color w:val="493D2A" w:themeColor="background1" w:themeShade="40"/>
        </w:rPr>
        <w:t>nderstanding the equity implications of university early entry schemes: final report.</w:t>
      </w:r>
      <w:r w:rsidRPr="00F042A6">
        <w:rPr>
          <w:color w:val="493D2A" w:themeColor="background1" w:themeShade="40"/>
        </w:rPr>
        <w:t xml:space="preserve"> Open Research Newcastle. Report. </w:t>
      </w:r>
      <w:hyperlink r:id="rId65" w:history="1">
        <w:r w:rsidRPr="005529D5">
          <w:rPr>
            <w:rStyle w:val="Hyperlink"/>
          </w:rPr>
          <w:t>https://hdl.handle.net/1959.13/1496055</w:t>
        </w:r>
      </w:hyperlink>
    </w:p>
    <w:p w14:paraId="212D755C" w14:textId="37825B4E" w:rsidR="49DEE7F9" w:rsidRPr="00F042A6" w:rsidRDefault="002068DC" w:rsidP="00F80576">
      <w:pPr>
        <w:ind w:left="426" w:hanging="426"/>
        <w:rPr>
          <w:color w:val="493D2A" w:themeColor="background1" w:themeShade="40"/>
        </w:rPr>
      </w:pPr>
      <w:r w:rsidRPr="00F042A6">
        <w:rPr>
          <w:color w:val="493D2A" w:themeColor="background1" w:themeShade="40"/>
        </w:rPr>
        <w:t xml:space="preserve">Pedler, M. L., Willis, R., &amp; Nieuwoudt, J. E. (2022). A sense of belonging at university: Student retention, motivation and enjoyment. </w:t>
      </w:r>
      <w:r w:rsidR="49DEE7F9" w:rsidRPr="00F042A6">
        <w:rPr>
          <w:i/>
          <w:color w:val="493D2A" w:themeColor="background1" w:themeShade="40"/>
        </w:rPr>
        <w:t>Journal of Further and Higher Education</w:t>
      </w:r>
      <w:r w:rsidR="49DEE7F9" w:rsidRPr="00F042A6">
        <w:rPr>
          <w:color w:val="493D2A" w:themeColor="background1" w:themeShade="40"/>
        </w:rPr>
        <w:t xml:space="preserve">, </w:t>
      </w:r>
      <w:r w:rsidR="49DEE7F9" w:rsidRPr="00F042A6">
        <w:rPr>
          <w:i/>
          <w:color w:val="493D2A" w:themeColor="background1" w:themeShade="40"/>
        </w:rPr>
        <w:t>46</w:t>
      </w:r>
      <w:r w:rsidR="49DEE7F9" w:rsidRPr="00F042A6">
        <w:rPr>
          <w:color w:val="493D2A" w:themeColor="background1" w:themeShade="40"/>
        </w:rPr>
        <w:t xml:space="preserve">(3), 397–408. </w:t>
      </w:r>
      <w:hyperlink r:id="rId66">
        <w:r w:rsidR="49DEE7F9" w:rsidRPr="005529D5">
          <w:rPr>
            <w:rStyle w:val="Hyperlink"/>
          </w:rPr>
          <w:t>https://doi.org/10.1080/0309877X.2021.1955844</w:t>
        </w:r>
      </w:hyperlink>
    </w:p>
    <w:p w14:paraId="3ABD229A" w14:textId="577421EE" w:rsidR="00121E25" w:rsidRPr="00F042A6" w:rsidRDefault="007522F3" w:rsidP="00F80576">
      <w:pPr>
        <w:ind w:left="426" w:hanging="426"/>
        <w:rPr>
          <w:color w:val="493D2A" w:themeColor="background1" w:themeShade="40"/>
        </w:rPr>
      </w:pPr>
      <w:r w:rsidRPr="00F042A6">
        <w:rPr>
          <w:color w:val="493D2A" w:themeColor="background1" w:themeShade="40"/>
        </w:rPr>
        <w:t xml:space="preserve">Pilcher, S., </w:t>
      </w:r>
      <w:proofErr w:type="spellStart"/>
      <w:r w:rsidRPr="00F042A6">
        <w:rPr>
          <w:color w:val="493D2A" w:themeColor="background1" w:themeShade="40"/>
        </w:rPr>
        <w:t>Walstab</w:t>
      </w:r>
      <w:proofErr w:type="spellEnd"/>
      <w:r w:rsidRPr="00F042A6">
        <w:rPr>
          <w:color w:val="493D2A" w:themeColor="background1" w:themeShade="40"/>
        </w:rPr>
        <w:t xml:space="preserve">, A., Hildebrandt, M., Brisbane, R., Ta, B. &amp; Van Dyke, N. (2025). </w:t>
      </w:r>
      <w:r w:rsidRPr="00F042A6">
        <w:rPr>
          <w:i/>
          <w:color w:val="493D2A" w:themeColor="background1" w:themeShade="40"/>
        </w:rPr>
        <w:t>Assessing the ATAR: Exploring the use of the Australian Tertiary Admission Rank</w:t>
      </w:r>
      <w:r w:rsidRPr="00F042A6">
        <w:rPr>
          <w:color w:val="493D2A" w:themeColor="background1" w:themeShade="40"/>
        </w:rPr>
        <w:t xml:space="preserve">. Mitchell Institute, Victoria University. </w:t>
      </w:r>
    </w:p>
    <w:p w14:paraId="793DCED7" w14:textId="315DB8E5" w:rsidR="5034A7FD" w:rsidRPr="00F042A6" w:rsidRDefault="2119A7F2" w:rsidP="00F80576">
      <w:pPr>
        <w:ind w:left="426" w:hanging="426"/>
        <w:rPr>
          <w:color w:val="493D2A" w:themeColor="background1" w:themeShade="40"/>
        </w:rPr>
      </w:pPr>
      <w:r w:rsidRPr="00F042A6">
        <w:rPr>
          <w:color w:val="493D2A" w:themeColor="background1" w:themeShade="40"/>
        </w:rPr>
        <w:t xml:space="preserve">Pitman, T., Trinidad, S., Devlin, M., Harvey, A., Brett, M., &amp; </w:t>
      </w:r>
      <w:proofErr w:type="spellStart"/>
      <w:r w:rsidRPr="00F042A6">
        <w:rPr>
          <w:color w:val="493D2A" w:themeColor="background1" w:themeShade="40"/>
        </w:rPr>
        <w:t>Mckay</w:t>
      </w:r>
      <w:proofErr w:type="spellEnd"/>
      <w:r w:rsidRPr="00F042A6">
        <w:rPr>
          <w:color w:val="493D2A" w:themeColor="background1" w:themeShade="40"/>
        </w:rPr>
        <w:t xml:space="preserve">, J. (2016). </w:t>
      </w:r>
      <w:r w:rsidRPr="005529D5">
        <w:rPr>
          <w:i/>
          <w:iCs/>
          <w:color w:val="493D2A" w:themeColor="background1" w:themeShade="40"/>
        </w:rPr>
        <w:t>Pathways to higher education: The efficacy of enabling and sub-bachelor pathways for disadvantaged students.</w:t>
      </w:r>
      <w:r w:rsidRPr="00F042A6">
        <w:rPr>
          <w:color w:val="493D2A" w:themeColor="background1" w:themeShade="40"/>
        </w:rPr>
        <w:t xml:space="preserve"> Report for the Australian Government Department of Education and Training. Perth, Australia: National Centre for Student Equity in Higher Education (NCSEHE). Retrieved from </w:t>
      </w:r>
      <w:r w:rsidR="005529D5" w:rsidRPr="005529D5">
        <w:rPr>
          <w:rStyle w:val="Hyperlink"/>
        </w:rPr>
        <w:t>https://www.acses.edu.au/publication/pathways-to-higher-education-the-efficacy-of-enabling-and-sub-bachelor-pathways-for-disadvantaged-students/</w:t>
      </w:r>
    </w:p>
    <w:p w14:paraId="28CF9CBF" w14:textId="5AFDDBA1" w:rsidR="001273A5" w:rsidRPr="00F042A6" w:rsidRDefault="29883292" w:rsidP="00F80576">
      <w:pPr>
        <w:ind w:left="426" w:hanging="426"/>
        <w:rPr>
          <w:rFonts w:eastAsia="Arial"/>
          <w:color w:val="493D2A" w:themeColor="background1" w:themeShade="40"/>
        </w:rPr>
      </w:pPr>
      <w:r w:rsidRPr="00F042A6">
        <w:rPr>
          <w:rFonts w:eastAsia="Arial"/>
          <w:color w:val="493D2A" w:themeColor="background1" w:themeShade="40"/>
        </w:rPr>
        <w:lastRenderedPageBreak/>
        <w:t>Ramos, F., Ryan, N. &amp; Forbes, M. In-school enabling programs in the landscape of university pathways for secondary students in Australia: a scoping review. </w:t>
      </w:r>
      <w:r w:rsidRPr="00F042A6">
        <w:rPr>
          <w:rFonts w:eastAsia="Arial"/>
          <w:i/>
          <w:iCs/>
          <w:color w:val="493D2A" w:themeColor="background1" w:themeShade="40"/>
        </w:rPr>
        <w:t>Aust. Educ. Res.</w:t>
      </w:r>
      <w:r w:rsidRPr="00F042A6">
        <w:rPr>
          <w:rFonts w:eastAsia="Arial"/>
          <w:color w:val="493D2A" w:themeColor="background1" w:themeShade="40"/>
        </w:rPr>
        <w:t> </w:t>
      </w:r>
      <w:r w:rsidRPr="00F042A6">
        <w:rPr>
          <w:rFonts w:eastAsia="Arial"/>
          <w:b/>
          <w:bCs/>
          <w:color w:val="493D2A" w:themeColor="background1" w:themeShade="40"/>
        </w:rPr>
        <w:t>52</w:t>
      </w:r>
      <w:r w:rsidRPr="00F042A6">
        <w:rPr>
          <w:rFonts w:eastAsia="Arial"/>
          <w:color w:val="493D2A" w:themeColor="background1" w:themeShade="40"/>
        </w:rPr>
        <w:t xml:space="preserve">, 3315–3342 (2025). </w:t>
      </w:r>
      <w:hyperlink r:id="rId67" w:history="1">
        <w:r w:rsidRPr="005529D5">
          <w:rPr>
            <w:rStyle w:val="Hyperlink"/>
            <w:rFonts w:eastAsia="Arial"/>
          </w:rPr>
          <w:t>https://doi.org/10.1007/s13384-025-00853-1</w:t>
        </w:r>
      </w:hyperlink>
    </w:p>
    <w:p w14:paraId="6480532D" w14:textId="70FC37E3" w:rsidR="00121E25" w:rsidRPr="00F042A6" w:rsidRDefault="2119A7F2" w:rsidP="00F80576">
      <w:pPr>
        <w:ind w:left="426" w:hanging="426"/>
        <w:rPr>
          <w:rFonts w:eastAsia="Arial"/>
          <w:color w:val="493D2A" w:themeColor="background1" w:themeShade="40"/>
        </w:rPr>
      </w:pPr>
      <w:r w:rsidRPr="00F042A6">
        <w:rPr>
          <w:rFonts w:eastAsia="Arial"/>
          <w:color w:val="493D2A" w:themeColor="background1" w:themeShade="40"/>
        </w:rPr>
        <w:t xml:space="preserve">Rogers, K. D., Dodds, C., Campbell, M., &amp; Young, A. (2018). The validation of the Short Warwick-Edinburgh Mental Well-being Scale (SWEMWBS) with deaf British sign language users in the UK. </w:t>
      </w:r>
      <w:r w:rsidRPr="00F042A6">
        <w:rPr>
          <w:rFonts w:eastAsia="Arial"/>
          <w:i/>
          <w:color w:val="493D2A" w:themeColor="background1" w:themeShade="40"/>
        </w:rPr>
        <w:t>Health and Quality of Life Outcomes</w:t>
      </w:r>
      <w:r w:rsidRPr="00F042A6">
        <w:rPr>
          <w:rFonts w:eastAsia="Arial"/>
          <w:color w:val="493D2A" w:themeColor="background1" w:themeShade="40"/>
        </w:rPr>
        <w:t xml:space="preserve">, </w:t>
      </w:r>
      <w:r w:rsidRPr="00F042A6">
        <w:rPr>
          <w:rFonts w:eastAsia="Arial"/>
          <w:i/>
          <w:color w:val="493D2A" w:themeColor="background1" w:themeShade="40"/>
        </w:rPr>
        <w:t>16</w:t>
      </w:r>
      <w:r w:rsidRPr="00F042A6">
        <w:rPr>
          <w:rFonts w:eastAsia="Arial"/>
          <w:color w:val="493D2A" w:themeColor="background1" w:themeShade="40"/>
        </w:rPr>
        <w:t xml:space="preserve">, 145. </w:t>
      </w:r>
      <w:hyperlink r:id="rId68">
        <w:r w:rsidRPr="005529D5">
          <w:rPr>
            <w:rStyle w:val="Hyperlink"/>
            <w:rFonts w:eastAsia="Arial"/>
          </w:rPr>
          <w:t>https://doi.org/10.1186/s12955-018-0976-x</w:t>
        </w:r>
      </w:hyperlink>
    </w:p>
    <w:p w14:paraId="080E4B3C" w14:textId="245F14ED" w:rsidR="00121E25" w:rsidRPr="00F042A6" w:rsidRDefault="5DC9E1E5" w:rsidP="00F80576">
      <w:pPr>
        <w:ind w:left="426" w:hanging="426"/>
        <w:rPr>
          <w:rFonts w:eastAsia="Aptos"/>
          <w:color w:val="493D2A" w:themeColor="background1" w:themeShade="40"/>
        </w:rPr>
      </w:pPr>
      <w:r w:rsidRPr="00F042A6">
        <w:rPr>
          <w:rFonts w:eastAsia="Arial"/>
          <w:color w:val="493D2A" w:themeColor="background1" w:themeShade="40"/>
        </w:rPr>
        <w:t xml:space="preserve">Rovis-Hermann, N. L. (2024). </w:t>
      </w:r>
      <w:r w:rsidRPr="00F042A6">
        <w:rPr>
          <w:rFonts w:eastAsia="Aptos"/>
          <w:color w:val="493D2A" w:themeColor="background1" w:themeShade="40"/>
        </w:rPr>
        <w:t>A critique of neoliberal meritocracy, the Australian Tertiary Admission Rank (ATAR) and its impact on students: A critical realist case study.</w:t>
      </w:r>
    </w:p>
    <w:p w14:paraId="7EA1D840" w14:textId="324DC1DC" w:rsidR="498BC9EC" w:rsidRPr="00F042A6" w:rsidRDefault="7DAE59EF" w:rsidP="00F80576">
      <w:pPr>
        <w:ind w:left="426" w:hanging="426"/>
        <w:rPr>
          <w:rFonts w:eastAsia="Inter Light"/>
          <w:color w:val="493D2A" w:themeColor="background1" w:themeShade="40"/>
        </w:rPr>
      </w:pPr>
      <w:r w:rsidRPr="00F042A6">
        <w:rPr>
          <w:rFonts w:eastAsia="Inter Light"/>
          <w:color w:val="493D2A" w:themeColor="background1" w:themeShade="40"/>
        </w:rPr>
        <w:t xml:space="preserve">Rubin, M., Burke, P. J., Bennett, A., Evans, O., O’Shea, S., Allen, K., Parker, J., Denson, N., Douglas, H., Gendi, M., Hardacre, S., Howley, P., Macqueen, S., Mills, C., Naylor, R., &amp; Raciti, M. (2022). Success from the perspective of the successful: Low SES students, success and completion in higher education. </w:t>
      </w:r>
      <w:r w:rsidRPr="00F042A6">
        <w:rPr>
          <w:rFonts w:eastAsia="Inter Light"/>
          <w:i/>
          <w:color w:val="493D2A" w:themeColor="background1" w:themeShade="40"/>
        </w:rPr>
        <w:t>The Australian Government’s Department of Education Higher Education Participation and Partnerships Programme National Priorities Pool</w:t>
      </w:r>
      <w:r w:rsidRPr="00F042A6">
        <w:rPr>
          <w:rFonts w:eastAsia="Inter Light"/>
          <w:color w:val="493D2A" w:themeColor="background1" w:themeShade="40"/>
        </w:rPr>
        <w:t>.</w:t>
      </w:r>
    </w:p>
    <w:p w14:paraId="74DD48EF" w14:textId="65E69E7D" w:rsidR="530D2DD5" w:rsidRPr="00F042A6" w:rsidRDefault="530D2DD5" w:rsidP="00F80576">
      <w:pPr>
        <w:ind w:left="426" w:hanging="426"/>
        <w:rPr>
          <w:color w:val="493D2A" w:themeColor="background1" w:themeShade="40"/>
        </w:rPr>
      </w:pPr>
      <w:r w:rsidRPr="00F042A6">
        <w:rPr>
          <w:rFonts w:eastAsia="Arial"/>
          <w:color w:val="493D2A" w:themeColor="background1" w:themeShade="40"/>
        </w:rPr>
        <w:t xml:space="preserve">Russell, S., Murley, G., Oates, M., Li, X., &amp; </w:t>
      </w:r>
      <w:proofErr w:type="spellStart"/>
      <w:r w:rsidRPr="00F042A6">
        <w:rPr>
          <w:rFonts w:eastAsia="Arial"/>
          <w:color w:val="493D2A" w:themeColor="background1" w:themeShade="40"/>
        </w:rPr>
        <w:t>Raspovic</w:t>
      </w:r>
      <w:proofErr w:type="spellEnd"/>
      <w:r w:rsidRPr="00F042A6">
        <w:rPr>
          <w:rFonts w:eastAsia="Arial"/>
          <w:color w:val="493D2A" w:themeColor="background1" w:themeShade="40"/>
        </w:rPr>
        <w:t xml:space="preserve">, A. (2021). </w:t>
      </w:r>
      <w:proofErr w:type="gramStart"/>
      <w:r w:rsidRPr="00F042A6">
        <w:rPr>
          <w:rFonts w:eastAsia="Arial"/>
          <w:color w:val="493D2A" w:themeColor="background1" w:themeShade="40"/>
        </w:rPr>
        <w:t>Does</w:t>
      </w:r>
      <w:proofErr w:type="gramEnd"/>
      <w:r w:rsidRPr="00F042A6">
        <w:rPr>
          <w:rFonts w:eastAsia="Arial"/>
          <w:color w:val="493D2A" w:themeColor="background1" w:themeShade="40"/>
        </w:rPr>
        <w:t xml:space="preserve"> the Australian tertiary admissions rank score (ATAR) predict academic performance in a podiatry course?</w:t>
      </w:r>
      <w:r w:rsidRPr="00F042A6">
        <w:rPr>
          <w:rFonts w:eastAsia="Arial"/>
          <w:i/>
          <w:color w:val="493D2A" w:themeColor="background1" w:themeShade="40"/>
        </w:rPr>
        <w:t xml:space="preserve"> Focus on Health Professional Education, 22</w:t>
      </w:r>
      <w:r w:rsidRPr="00F042A6">
        <w:rPr>
          <w:rFonts w:eastAsia="Arial"/>
          <w:color w:val="493D2A" w:themeColor="background1" w:themeShade="40"/>
        </w:rPr>
        <w:t xml:space="preserve">(1), 68-87. </w:t>
      </w:r>
      <w:hyperlink r:id="rId69">
        <w:r w:rsidRPr="005529D5">
          <w:rPr>
            <w:rStyle w:val="Hyperlink"/>
            <w:rFonts w:eastAsia="Arial"/>
          </w:rPr>
          <w:t>https://doi.org/10.3316/informit.948194659548072</w:t>
        </w:r>
      </w:hyperlink>
    </w:p>
    <w:p w14:paraId="0FD3793F" w14:textId="0DD0604C" w:rsidR="00795656" w:rsidRPr="00F042A6" w:rsidRDefault="00795656" w:rsidP="00F80576">
      <w:pPr>
        <w:ind w:left="426" w:hanging="426"/>
        <w:rPr>
          <w:color w:val="493D2A" w:themeColor="background1" w:themeShade="40"/>
        </w:rPr>
      </w:pPr>
      <w:proofErr w:type="spellStart"/>
      <w:r w:rsidRPr="00F042A6">
        <w:rPr>
          <w:color w:val="493D2A" w:themeColor="background1" w:themeShade="40"/>
        </w:rPr>
        <w:t>Shergold</w:t>
      </w:r>
      <w:proofErr w:type="spellEnd"/>
      <w:r w:rsidRPr="00F042A6">
        <w:rPr>
          <w:color w:val="493D2A" w:themeColor="background1" w:themeShade="40"/>
        </w:rPr>
        <w:t xml:space="preserve">, P., Calma, T., Russo, S., Walton, P., Westacott, J., Zoellner, D., &amp; O’Reilly, P. (2020). Looking to the future: Report of the review of senior secondary pathways into work, further education and training. </w:t>
      </w:r>
      <w:r w:rsidRPr="00F042A6">
        <w:rPr>
          <w:i/>
          <w:color w:val="493D2A" w:themeColor="background1" w:themeShade="40"/>
        </w:rPr>
        <w:t>Education Council</w:t>
      </w:r>
      <w:r w:rsidRPr="00F042A6">
        <w:rPr>
          <w:color w:val="493D2A" w:themeColor="background1" w:themeShade="40"/>
        </w:rPr>
        <w:t>. Retrieved from</w:t>
      </w:r>
      <w:r w:rsidR="00832329" w:rsidRPr="00F042A6">
        <w:rPr>
          <w:color w:val="493D2A" w:themeColor="background1" w:themeShade="40"/>
        </w:rPr>
        <w:t xml:space="preserve"> </w:t>
      </w:r>
      <w:hyperlink r:id="rId70">
        <w:r w:rsidR="00832329" w:rsidRPr="005529D5">
          <w:rPr>
            <w:rStyle w:val="Hyperlink"/>
          </w:rPr>
          <w:t>https://www.dese.gov.au/</w:t>
        </w:r>
      </w:hyperlink>
    </w:p>
    <w:p w14:paraId="5D1003F8" w14:textId="21E4FC6F" w:rsidR="0363670E" w:rsidRPr="00F042A6" w:rsidRDefault="0363670E" w:rsidP="00F80576">
      <w:pPr>
        <w:ind w:left="426" w:hanging="426"/>
        <w:rPr>
          <w:rFonts w:eastAsia="Inter Light"/>
          <w:color w:val="493D2A" w:themeColor="background1" w:themeShade="40"/>
        </w:rPr>
      </w:pPr>
      <w:r w:rsidRPr="00F042A6">
        <w:rPr>
          <w:rFonts w:eastAsia="Inter Light"/>
          <w:color w:val="493D2A" w:themeColor="background1" w:themeShade="40"/>
        </w:rPr>
        <w:t xml:space="preserve">Soria, K. M., &amp; Stubblefield, R. (2015). Knowing me, knowing you: Building strengths awareness, belonging, and persistence in higher education. </w:t>
      </w:r>
      <w:r w:rsidRPr="00F042A6">
        <w:rPr>
          <w:rFonts w:eastAsia="Inter Light"/>
          <w:i/>
          <w:iCs/>
          <w:color w:val="493D2A" w:themeColor="background1" w:themeShade="40"/>
        </w:rPr>
        <w:t>Journal of College Student Retention: Research, Theory &amp; Practice</w:t>
      </w:r>
      <w:r w:rsidRPr="00F042A6">
        <w:rPr>
          <w:rFonts w:eastAsia="Inter Light"/>
          <w:color w:val="493D2A" w:themeColor="background1" w:themeShade="40"/>
        </w:rPr>
        <w:t xml:space="preserve">, 17(3), 351–372. </w:t>
      </w:r>
      <w:hyperlink r:id="rId71">
        <w:r w:rsidRPr="005529D5">
          <w:rPr>
            <w:rStyle w:val="Hyperlink"/>
            <w:rFonts w:eastAsia="Inter Light"/>
          </w:rPr>
          <w:t>https://doi.org/10.1177/1521025115575914</w:t>
        </w:r>
      </w:hyperlink>
    </w:p>
    <w:p w14:paraId="24F5BB0E" w14:textId="5DA0DB54" w:rsidR="0363670E" w:rsidRPr="00F042A6" w:rsidRDefault="0363670E" w:rsidP="00F80576">
      <w:pPr>
        <w:ind w:left="426" w:hanging="426"/>
        <w:rPr>
          <w:rFonts w:eastAsia="Inter Light"/>
          <w:color w:val="493D2A" w:themeColor="background1" w:themeShade="40"/>
        </w:rPr>
      </w:pPr>
      <w:r w:rsidRPr="00F042A6">
        <w:rPr>
          <w:rFonts w:eastAsia="Inter Light"/>
          <w:color w:val="493D2A" w:themeColor="background1" w:themeShade="40"/>
        </w:rPr>
        <w:t>Smith, B. W., Dalen, J., Wiggins, K., Tooley, E., Christopher, P., &amp; Bernard, J. (2008). The brief resilience scale: Assessing the ability to bounce back</w:t>
      </w:r>
      <w:r w:rsidRPr="00F042A6">
        <w:rPr>
          <w:rFonts w:eastAsia="Inter Light"/>
          <w:i/>
          <w:iCs/>
          <w:color w:val="493D2A" w:themeColor="background1" w:themeShade="40"/>
        </w:rPr>
        <w:t xml:space="preserve">. International Journal of </w:t>
      </w:r>
      <w:r w:rsidR="00B3594A" w:rsidRPr="00F042A6">
        <w:rPr>
          <w:rFonts w:eastAsia="Inter Light"/>
          <w:i/>
          <w:iCs/>
          <w:color w:val="493D2A" w:themeColor="background1" w:themeShade="40"/>
        </w:rPr>
        <w:t>Behavioural</w:t>
      </w:r>
      <w:r w:rsidRPr="00F042A6">
        <w:rPr>
          <w:rFonts w:eastAsia="Inter Light"/>
          <w:i/>
          <w:iCs/>
          <w:color w:val="493D2A" w:themeColor="background1" w:themeShade="40"/>
        </w:rPr>
        <w:t xml:space="preserve"> Medicine, 15</w:t>
      </w:r>
      <w:r w:rsidRPr="00F042A6">
        <w:rPr>
          <w:rFonts w:eastAsia="Inter Light"/>
          <w:color w:val="493D2A" w:themeColor="background1" w:themeShade="40"/>
        </w:rPr>
        <w:t>(3), 194</w:t>
      </w:r>
      <w:r w:rsidR="005529D5">
        <w:rPr>
          <w:rFonts w:eastAsia="Inter Light"/>
          <w:color w:val="493D2A" w:themeColor="background1" w:themeShade="40"/>
        </w:rPr>
        <w:t>–</w:t>
      </w:r>
      <w:r w:rsidRPr="00F042A6">
        <w:rPr>
          <w:rFonts w:eastAsia="Inter Light"/>
          <w:color w:val="493D2A" w:themeColor="background1" w:themeShade="40"/>
        </w:rPr>
        <w:t xml:space="preserve">200. </w:t>
      </w:r>
      <w:hyperlink r:id="rId72">
        <w:r w:rsidRPr="005529D5">
          <w:rPr>
            <w:rStyle w:val="Hyperlink"/>
            <w:rFonts w:eastAsia="Inter Light"/>
          </w:rPr>
          <w:t>https://doi.org/10.1080/10705500802222972</w:t>
        </w:r>
      </w:hyperlink>
    </w:p>
    <w:p w14:paraId="638A4151" w14:textId="5EABFFB7" w:rsidR="00603A62" w:rsidRPr="00F042A6" w:rsidRDefault="00603A62" w:rsidP="00603A62">
      <w:pPr>
        <w:ind w:left="426" w:hanging="426"/>
        <w:rPr>
          <w:color w:val="493D2A" w:themeColor="background1" w:themeShade="40"/>
        </w:rPr>
      </w:pPr>
      <w:r w:rsidRPr="00F042A6">
        <w:rPr>
          <w:color w:val="493D2A" w:themeColor="background1" w:themeShade="40"/>
        </w:rPr>
        <w:t xml:space="preserve">Stokes, J. (2024). ADEPT and Enabled: An Australian Case Study of Enabling Pedagogy as Innovative Educational Practice to Support Students from Underrepresented Backgrounds at University, </w:t>
      </w:r>
      <w:r w:rsidRPr="00F042A6">
        <w:rPr>
          <w:i/>
          <w:iCs/>
          <w:color w:val="493D2A" w:themeColor="background1" w:themeShade="40"/>
        </w:rPr>
        <w:t>International Journal of Learning and Teachin</w:t>
      </w:r>
      <w:r w:rsidR="009D7F06" w:rsidRPr="00F042A6">
        <w:rPr>
          <w:i/>
          <w:iCs/>
          <w:color w:val="493D2A" w:themeColor="background1" w:themeShade="40"/>
        </w:rPr>
        <w:t>g</w:t>
      </w:r>
      <w:r w:rsidR="009D7F06" w:rsidRPr="00F042A6">
        <w:rPr>
          <w:color w:val="493D2A" w:themeColor="background1" w:themeShade="40"/>
        </w:rPr>
        <w:t>.</w:t>
      </w:r>
      <w:r w:rsidRPr="00F042A6">
        <w:rPr>
          <w:color w:val="493D2A" w:themeColor="background1" w:themeShade="40"/>
        </w:rPr>
        <w:t xml:space="preserve"> Vol. 10, No. 6, pp. 674</w:t>
      </w:r>
      <w:r w:rsidR="005529D5">
        <w:rPr>
          <w:color w:val="493D2A" w:themeColor="background1" w:themeShade="40"/>
        </w:rPr>
        <w:t>–</w:t>
      </w:r>
      <w:r w:rsidRPr="00F042A6">
        <w:rPr>
          <w:color w:val="493D2A" w:themeColor="background1" w:themeShade="40"/>
        </w:rPr>
        <w:t>678</w:t>
      </w:r>
      <w:r w:rsidR="00B00B41">
        <w:rPr>
          <w:color w:val="493D2A" w:themeColor="background1" w:themeShade="40"/>
        </w:rPr>
        <w:t>.</w:t>
      </w:r>
      <w:r w:rsidRPr="00F042A6">
        <w:rPr>
          <w:color w:val="493D2A" w:themeColor="background1" w:themeShade="40"/>
        </w:rPr>
        <w:t xml:space="preserve"> </w:t>
      </w:r>
    </w:p>
    <w:p w14:paraId="758BC6D1" w14:textId="437B7D48" w:rsidR="0363670E" w:rsidRPr="00F042A6" w:rsidRDefault="0363670E" w:rsidP="00F80576">
      <w:pPr>
        <w:ind w:left="426" w:hanging="426"/>
        <w:rPr>
          <w:rFonts w:eastAsia="Inter Light"/>
          <w:color w:val="493D2A" w:themeColor="background1" w:themeShade="40"/>
        </w:rPr>
      </w:pPr>
      <w:r w:rsidRPr="00F042A6">
        <w:rPr>
          <w:rFonts w:eastAsia="Inter Light"/>
          <w:color w:val="493D2A" w:themeColor="background1" w:themeShade="40"/>
        </w:rPr>
        <w:t xml:space="preserve">Syme, S., Roche, T., Goode, E., &amp; Crandon, E. (2022). Transforming lives: The power of an Australian enabling education. </w:t>
      </w:r>
      <w:r w:rsidRPr="00F042A6">
        <w:rPr>
          <w:rFonts w:eastAsia="Inter Light"/>
          <w:i/>
          <w:iCs/>
          <w:color w:val="493D2A" w:themeColor="background1" w:themeShade="40"/>
        </w:rPr>
        <w:t>Higher Education Research &amp; Development</w:t>
      </w:r>
      <w:r w:rsidRPr="00F042A6">
        <w:rPr>
          <w:rFonts w:eastAsia="Inter Light"/>
          <w:color w:val="493D2A" w:themeColor="background1" w:themeShade="40"/>
        </w:rPr>
        <w:t>, 41(7), 2426</w:t>
      </w:r>
      <w:r w:rsidR="005529D5">
        <w:rPr>
          <w:rFonts w:eastAsia="Inter Light"/>
          <w:color w:val="493D2A" w:themeColor="background1" w:themeShade="40"/>
        </w:rPr>
        <w:t>–</w:t>
      </w:r>
      <w:r w:rsidRPr="00F042A6">
        <w:rPr>
          <w:rFonts w:eastAsia="Inter Light"/>
          <w:color w:val="493D2A" w:themeColor="background1" w:themeShade="40"/>
        </w:rPr>
        <w:t xml:space="preserve">2440. </w:t>
      </w:r>
      <w:hyperlink r:id="rId73">
        <w:r w:rsidRPr="005529D5">
          <w:rPr>
            <w:rStyle w:val="Hyperlink"/>
            <w:rFonts w:eastAsia="Inter Light"/>
          </w:rPr>
          <w:t>https://doi.org/10.1080/07294360.2021.1990222</w:t>
        </w:r>
      </w:hyperlink>
    </w:p>
    <w:p w14:paraId="5C86792C" w14:textId="35F860DD" w:rsidR="0363670E" w:rsidRPr="00F042A6" w:rsidRDefault="0363670E" w:rsidP="00F80576">
      <w:pPr>
        <w:ind w:left="426" w:hanging="426"/>
        <w:rPr>
          <w:color w:val="493D2A" w:themeColor="background1" w:themeShade="40"/>
        </w:rPr>
      </w:pPr>
      <w:r w:rsidRPr="00F042A6">
        <w:rPr>
          <w:rFonts w:eastAsia="Inter Light"/>
          <w:color w:val="493D2A" w:themeColor="background1" w:themeShade="40"/>
        </w:rPr>
        <w:t xml:space="preserve">Taylor, J. A., van </w:t>
      </w:r>
      <w:proofErr w:type="spellStart"/>
      <w:r w:rsidRPr="00F042A6">
        <w:rPr>
          <w:rFonts w:eastAsia="Inter Light"/>
          <w:color w:val="493D2A" w:themeColor="background1" w:themeShade="40"/>
        </w:rPr>
        <w:t>Eyk</w:t>
      </w:r>
      <w:proofErr w:type="spellEnd"/>
      <w:r w:rsidRPr="00F042A6">
        <w:rPr>
          <w:rFonts w:eastAsia="Inter Light"/>
          <w:color w:val="493D2A" w:themeColor="background1" w:themeShade="40"/>
        </w:rPr>
        <w:t xml:space="preserve">, T., &amp; Syme, S. (2020). Enabling success at university: The impact of an Australian programme to provide access to university. </w:t>
      </w:r>
      <w:r w:rsidRPr="00F042A6">
        <w:rPr>
          <w:rFonts w:eastAsia="Inter Light"/>
          <w:i/>
          <w:iCs/>
          <w:color w:val="493D2A" w:themeColor="background1" w:themeShade="40"/>
        </w:rPr>
        <w:t>Journal of Further and Higher Education</w:t>
      </w:r>
      <w:r w:rsidRPr="00F042A6">
        <w:rPr>
          <w:rFonts w:eastAsia="Inter Light"/>
          <w:color w:val="493D2A" w:themeColor="background1" w:themeShade="40"/>
        </w:rPr>
        <w:t xml:space="preserve">, </w:t>
      </w:r>
      <w:r w:rsidRPr="00F042A6">
        <w:rPr>
          <w:rFonts w:eastAsia="Inter Light"/>
          <w:i/>
          <w:color w:val="493D2A" w:themeColor="background1" w:themeShade="40"/>
        </w:rPr>
        <w:t>44</w:t>
      </w:r>
      <w:r w:rsidRPr="00F042A6">
        <w:rPr>
          <w:rFonts w:eastAsia="Inter Light"/>
          <w:color w:val="493D2A" w:themeColor="background1" w:themeShade="40"/>
        </w:rPr>
        <w:t>(1), 69</w:t>
      </w:r>
      <w:r w:rsidR="005529D5">
        <w:rPr>
          <w:rFonts w:eastAsia="Inter Light"/>
          <w:color w:val="493D2A" w:themeColor="background1" w:themeShade="40"/>
        </w:rPr>
        <w:t>–</w:t>
      </w:r>
      <w:r w:rsidRPr="00F042A6">
        <w:rPr>
          <w:rFonts w:eastAsia="Inter Light"/>
          <w:color w:val="493D2A" w:themeColor="background1" w:themeShade="40"/>
        </w:rPr>
        <w:t xml:space="preserve">82. </w:t>
      </w:r>
      <w:hyperlink r:id="rId74">
        <w:r w:rsidRPr="005529D5">
          <w:rPr>
            <w:rStyle w:val="Hyperlink"/>
            <w:rFonts w:eastAsia="Inter Light"/>
          </w:rPr>
          <w:t>https://doi.org/10.1080/0309877X.2018.1504011</w:t>
        </w:r>
      </w:hyperlink>
      <w:r w:rsidRPr="00F042A6">
        <w:rPr>
          <w:rFonts w:eastAsia="Inter Light"/>
          <w:color w:val="493D2A" w:themeColor="background1" w:themeShade="40"/>
        </w:rPr>
        <w:t xml:space="preserve"> </w:t>
      </w:r>
    </w:p>
    <w:p w14:paraId="7EB7E0B4" w14:textId="282E7A10" w:rsidR="18279990" w:rsidRPr="00F042A6" w:rsidRDefault="184F9A1E" w:rsidP="00F80576">
      <w:pPr>
        <w:ind w:left="426" w:hanging="426"/>
        <w:rPr>
          <w:color w:val="493D2A" w:themeColor="background1" w:themeShade="40"/>
        </w:rPr>
      </w:pPr>
      <w:r w:rsidRPr="00F042A6">
        <w:rPr>
          <w:rFonts w:eastAsia="Arial"/>
          <w:color w:val="493D2A" w:themeColor="background1" w:themeShade="40"/>
        </w:rPr>
        <w:lastRenderedPageBreak/>
        <w:t xml:space="preserve">Tenakov, S., &amp; Attree, S. (2023). Communities of practice in secondary school enabling programs. In </w:t>
      </w:r>
      <w:r w:rsidRPr="00F042A6">
        <w:rPr>
          <w:rFonts w:eastAsia="Arial"/>
          <w:i/>
          <w:iCs/>
          <w:color w:val="493D2A" w:themeColor="background1" w:themeShade="40"/>
        </w:rPr>
        <w:t>Proceedings of the 2023 STARS Conference</w:t>
      </w:r>
      <w:r w:rsidRPr="00F042A6">
        <w:rPr>
          <w:rFonts w:eastAsia="Arial"/>
          <w:color w:val="493D2A" w:themeColor="background1" w:themeShade="40"/>
        </w:rPr>
        <w:t xml:space="preserve"> (pp. 1–8). </w:t>
      </w:r>
      <w:proofErr w:type="spellStart"/>
      <w:r w:rsidRPr="00F042A6">
        <w:rPr>
          <w:rFonts w:eastAsia="Arial"/>
          <w:color w:val="493D2A" w:themeColor="background1" w:themeShade="40"/>
        </w:rPr>
        <w:t>UniStars</w:t>
      </w:r>
      <w:proofErr w:type="spellEnd"/>
      <w:r w:rsidRPr="00F042A6">
        <w:rPr>
          <w:rFonts w:eastAsia="Arial"/>
          <w:color w:val="493D2A" w:themeColor="background1" w:themeShade="40"/>
        </w:rPr>
        <w:t xml:space="preserve">. </w:t>
      </w:r>
      <w:hyperlink r:id="rId75">
        <w:r w:rsidRPr="005529D5">
          <w:rPr>
            <w:rStyle w:val="Hyperlink"/>
            <w:rFonts w:eastAsia="Arial"/>
          </w:rPr>
          <w:t>https://unistars.org/papers/STARS2023/09B.pdf</w:t>
        </w:r>
      </w:hyperlink>
    </w:p>
    <w:p w14:paraId="08BF2B9D" w14:textId="362127BE" w:rsidR="00121E25" w:rsidRPr="00F042A6" w:rsidRDefault="00121E25" w:rsidP="00F80576">
      <w:pPr>
        <w:ind w:left="426" w:hanging="426"/>
        <w:rPr>
          <w:color w:val="493D2A" w:themeColor="background1" w:themeShade="40"/>
        </w:rPr>
      </w:pPr>
      <w:r w:rsidRPr="00F042A6">
        <w:rPr>
          <w:color w:val="493D2A" w:themeColor="background1" w:themeShade="40"/>
        </w:rPr>
        <w:t xml:space="preserve">Thomas, L. (2011). Institutional transformation to engage a diverse student body. In L. Thomas &amp; M. Tight (Eds.), International Perspectives on Higher Education Research (pp. 1-15). 14 </w:t>
      </w:r>
      <w:r w:rsidRPr="00F042A6">
        <w:rPr>
          <w:i/>
          <w:color w:val="493D2A" w:themeColor="background1" w:themeShade="40"/>
        </w:rPr>
        <w:t>Journal of University Teaching &amp; Learning Practice</w:t>
      </w:r>
      <w:r w:rsidRPr="00F042A6">
        <w:rPr>
          <w:color w:val="493D2A" w:themeColor="background1" w:themeShade="40"/>
        </w:rPr>
        <w:t xml:space="preserve">, Vol. 19 [2022], </w:t>
      </w:r>
      <w:proofErr w:type="spellStart"/>
      <w:r w:rsidRPr="00F042A6">
        <w:rPr>
          <w:color w:val="493D2A" w:themeColor="background1" w:themeShade="40"/>
        </w:rPr>
        <w:t>Iss</w:t>
      </w:r>
      <w:proofErr w:type="spellEnd"/>
      <w:r w:rsidRPr="00F042A6">
        <w:rPr>
          <w:color w:val="493D2A" w:themeColor="background1" w:themeShade="40"/>
        </w:rPr>
        <w:t>. 4, Art. 05</w:t>
      </w:r>
      <w:r w:rsidR="005529D5">
        <w:rPr>
          <w:color w:val="493D2A" w:themeColor="background1" w:themeShade="40"/>
        </w:rPr>
        <w:t>.</w:t>
      </w:r>
      <w:r w:rsidRPr="00F042A6">
        <w:rPr>
          <w:color w:val="493D2A" w:themeColor="background1" w:themeShade="40"/>
        </w:rPr>
        <w:t xml:space="preserve"> Emerald Group Publishing Limited. </w:t>
      </w:r>
      <w:hyperlink r:id="rId76" w:history="1">
        <w:r w:rsidRPr="005529D5">
          <w:rPr>
            <w:rStyle w:val="Hyperlink"/>
          </w:rPr>
          <w:t>https://doi.org/10.1108/S1479- 3628(2011)0000006003</w:t>
        </w:r>
      </w:hyperlink>
    </w:p>
    <w:p w14:paraId="603D4ABE" w14:textId="7CE706DB" w:rsidR="5A84EF46" w:rsidRPr="00F042A6" w:rsidRDefault="0BE49B55" w:rsidP="00F80576">
      <w:pPr>
        <w:ind w:left="426" w:hanging="426"/>
        <w:rPr>
          <w:rFonts w:eastAsia="Inter Light"/>
          <w:color w:val="493D2A" w:themeColor="background1" w:themeShade="40"/>
        </w:rPr>
      </w:pPr>
      <w:proofErr w:type="spellStart"/>
      <w:r w:rsidRPr="00F042A6">
        <w:rPr>
          <w:rFonts w:eastAsia="Inter Light"/>
          <w:color w:val="493D2A" w:themeColor="background1" w:themeShade="40"/>
        </w:rPr>
        <w:t>Vaingankar</w:t>
      </w:r>
      <w:proofErr w:type="spellEnd"/>
      <w:r w:rsidRPr="00F042A6">
        <w:rPr>
          <w:rFonts w:eastAsia="Inter Light"/>
          <w:color w:val="493D2A" w:themeColor="background1" w:themeShade="40"/>
        </w:rPr>
        <w:t xml:space="preserve">, J. A., Abdin, E., Chong, S. A. </w:t>
      </w:r>
      <w:proofErr w:type="spellStart"/>
      <w:r w:rsidRPr="00F042A6">
        <w:rPr>
          <w:rFonts w:eastAsia="Inter Light"/>
          <w:color w:val="493D2A" w:themeColor="background1" w:themeShade="40"/>
        </w:rPr>
        <w:t>Sambasivam</w:t>
      </w:r>
      <w:proofErr w:type="spellEnd"/>
      <w:r w:rsidRPr="00F042A6">
        <w:rPr>
          <w:rFonts w:eastAsia="Inter Light"/>
          <w:color w:val="493D2A" w:themeColor="background1" w:themeShade="40"/>
        </w:rPr>
        <w:t xml:space="preserve">, R., Seow, E., </w:t>
      </w:r>
      <w:proofErr w:type="spellStart"/>
      <w:r w:rsidRPr="00F042A6">
        <w:rPr>
          <w:rFonts w:eastAsia="Inter Light"/>
          <w:color w:val="493D2A" w:themeColor="background1" w:themeShade="40"/>
        </w:rPr>
        <w:t>Jeyagurunathan</w:t>
      </w:r>
      <w:proofErr w:type="spellEnd"/>
      <w:r w:rsidRPr="00F042A6">
        <w:rPr>
          <w:rFonts w:eastAsia="Inter Light"/>
          <w:color w:val="493D2A" w:themeColor="background1" w:themeShade="40"/>
        </w:rPr>
        <w:t xml:space="preserve">, A., Picco., Stewart-Brown, S., &amp; Subramaniam, M. (2017). Psychometric properties of the short Warwick Edinburgh mental well-being scale (SWEMWBS) in service users with schizophrenia, depression and anxiety spectrum disorders. </w:t>
      </w:r>
      <w:r w:rsidRPr="00F042A6">
        <w:rPr>
          <w:rFonts w:eastAsia="Inter Light"/>
          <w:i/>
          <w:color w:val="493D2A" w:themeColor="background1" w:themeShade="40"/>
        </w:rPr>
        <w:t>Health and Quality of Life Outcomes, 15</w:t>
      </w:r>
      <w:r w:rsidRPr="00F042A6">
        <w:rPr>
          <w:rFonts w:eastAsia="Inter Light"/>
          <w:color w:val="493D2A" w:themeColor="background1" w:themeShade="40"/>
        </w:rPr>
        <w:t xml:space="preserve">, 153. </w:t>
      </w:r>
      <w:hyperlink r:id="rId77">
        <w:r w:rsidRPr="005529D5">
          <w:rPr>
            <w:rStyle w:val="Hyperlink"/>
            <w:rFonts w:eastAsia="Inter Light"/>
          </w:rPr>
          <w:t>https://doi.org/10.1186/s12955-017-0728-3</w:t>
        </w:r>
      </w:hyperlink>
    </w:p>
    <w:p w14:paraId="2B378D27" w14:textId="65AE5CA5" w:rsidR="5A84EF46" w:rsidRDefault="5A84EF46" w:rsidP="00A32591">
      <w:pPr>
        <w:rPr>
          <w:rFonts w:eastAsia="Aptos"/>
        </w:rPr>
      </w:pPr>
    </w:p>
    <w:p w14:paraId="222C1B8D" w14:textId="69553338" w:rsidR="5A84EF46" w:rsidRDefault="5A84EF46" w:rsidP="00A32591"/>
    <w:p w14:paraId="694DAF38" w14:textId="77777777" w:rsidR="002D4D2A" w:rsidRDefault="002D4D2A" w:rsidP="00A32591"/>
    <w:p w14:paraId="33645BE9" w14:textId="77777777" w:rsidR="002D4D2A" w:rsidRDefault="002D4D2A" w:rsidP="00A32591"/>
    <w:p w14:paraId="3BB2346E" w14:textId="6447D933" w:rsidR="009D6D47" w:rsidRPr="0079608F" w:rsidRDefault="009D6D47" w:rsidP="00A32591">
      <w:r w:rsidRPr="0079608F">
        <w:br w:type="page"/>
      </w:r>
    </w:p>
    <w:p w14:paraId="3E9233A8" w14:textId="204CE4EC" w:rsidR="009D6D47" w:rsidRDefault="009D6D47" w:rsidP="00A32591">
      <w:pPr>
        <w:pStyle w:val="Heading1"/>
      </w:pPr>
      <w:bookmarkStart w:id="102" w:name="_Toc217162506"/>
      <w:bookmarkStart w:id="103" w:name="_Toc232766202"/>
      <w:r w:rsidRPr="0079608F">
        <w:lastRenderedPageBreak/>
        <w:t>Appendices</w:t>
      </w:r>
      <w:bookmarkEnd w:id="102"/>
      <w:bookmarkEnd w:id="103"/>
    </w:p>
    <w:p w14:paraId="769E44E3" w14:textId="79D4803C" w:rsidR="005E65FA" w:rsidRDefault="005E65FA" w:rsidP="00A32591">
      <w:pPr>
        <w:pStyle w:val="Heading2"/>
      </w:pPr>
      <w:bookmarkStart w:id="104" w:name="_Toc217162507"/>
      <w:bookmarkStart w:id="105" w:name="_Toc232766203"/>
      <w:r>
        <w:t>Appendix A</w:t>
      </w:r>
      <w:bookmarkEnd w:id="104"/>
      <w:bookmarkEnd w:id="105"/>
    </w:p>
    <w:p w14:paraId="100F9948" w14:textId="4AB520A0" w:rsidR="0E9D7E04" w:rsidRDefault="725492E2" w:rsidP="00A32591">
      <w:r>
        <w:t>More information is provided below regarding the B</w:t>
      </w:r>
      <w:r w:rsidR="00F80576">
        <w:t xml:space="preserve">rief </w:t>
      </w:r>
      <w:r>
        <w:t>R</w:t>
      </w:r>
      <w:r w:rsidR="00F80576">
        <w:t xml:space="preserve">esilience </w:t>
      </w:r>
      <w:r>
        <w:t>S</w:t>
      </w:r>
      <w:r w:rsidR="00F80576">
        <w:t>cale</w:t>
      </w:r>
      <w:r>
        <w:t xml:space="preserve">, </w:t>
      </w:r>
      <w:r w:rsidR="00107020">
        <w:t>s</w:t>
      </w:r>
      <w:r w:rsidR="00F80576">
        <w:t>hort version of the Warwick-Edinburgh Mental Wellbeing Scale</w:t>
      </w:r>
      <w:r>
        <w:t>, and Sense of Belonging Index used in the student survey.</w:t>
      </w:r>
    </w:p>
    <w:p w14:paraId="28819B6D" w14:textId="492EEC6B" w:rsidR="0E9D7E04" w:rsidRDefault="725492E2" w:rsidP="00A32591">
      <w:r w:rsidRPr="4D12EA49">
        <w:rPr>
          <w:u w:val="single"/>
        </w:rPr>
        <w:t>Brief Resilience Scale (BRS)</w:t>
      </w:r>
      <w:r w:rsidR="00107020">
        <w:t>:</w:t>
      </w:r>
      <w:r>
        <w:t xml:space="preserve"> Students’ resilience was assessed with the six-item BRS. Participants provide responses on a five-point Likert scale, ranging from </w:t>
      </w:r>
      <w:r w:rsidR="00107020">
        <w:t>one</w:t>
      </w:r>
      <w:r>
        <w:t xml:space="preserve"> (strongly disagree) to </w:t>
      </w:r>
      <w:r w:rsidR="00107020">
        <w:t>five</w:t>
      </w:r>
      <w:r>
        <w:t xml:space="preserve"> (strongly agree), where higher scores represent higher levels of resilience (Smith et al., 2008). The scores of the six items were added and then divided by six to determine the overall BRS score. The overall BRS scores range from </w:t>
      </w:r>
      <w:r w:rsidR="00107020">
        <w:t>one</w:t>
      </w:r>
      <w:r>
        <w:t xml:space="preserve"> to </w:t>
      </w:r>
      <w:r w:rsidR="00107020">
        <w:t>five</w:t>
      </w:r>
      <w:r>
        <w:t>, with a score of 1.00 – 2.99 indicating low resilience, 3.00 – 4.30 normal resilience, and 4.31 – 5.00 high resilience. Internal reliability of this scale has been shown to be high, with Cronbach's alpha coefficients ranging from .71 to .91 (Smith et al., 2008; Özer &amp; Şahin Altun, 2024; Hidalgo-Rasmussen, &amp; Gonzalez-Betanzos, 2019; Fung, 2020).</w:t>
      </w:r>
    </w:p>
    <w:p w14:paraId="3A9ABAE7" w14:textId="34B67C2D" w:rsidR="0E9D7E04" w:rsidRDefault="725492E2" w:rsidP="00A32591">
      <w:r w:rsidRPr="4D12EA49">
        <w:rPr>
          <w:u w:val="single"/>
        </w:rPr>
        <w:t>Short version of the Warwick-Edinburgh Mental Wellbeing Scale (SWEMW</w:t>
      </w:r>
      <w:r w:rsidR="0086049C">
        <w:rPr>
          <w:u w:val="single"/>
        </w:rPr>
        <w:t>B</w:t>
      </w:r>
      <w:r w:rsidRPr="4D12EA49">
        <w:rPr>
          <w:u w:val="single"/>
        </w:rPr>
        <w:t>S)</w:t>
      </w:r>
      <w:r w:rsidR="00107020">
        <w:rPr>
          <w:u w:val="single"/>
        </w:rPr>
        <w:t>:</w:t>
      </w:r>
      <w:r w:rsidRPr="4D12EA49">
        <w:rPr>
          <w:u w:val="single"/>
        </w:rPr>
        <w:t xml:space="preserve"> </w:t>
      </w:r>
      <w:r>
        <w:t>The SWEMW</w:t>
      </w:r>
      <w:r w:rsidR="0086049C">
        <w:t>B</w:t>
      </w:r>
      <w:r>
        <w:t xml:space="preserve">S was used to assess students’ mental wellbeing. Participants provide responses on a five-point Likert scale, ranging from </w:t>
      </w:r>
      <w:r w:rsidR="00107020">
        <w:t>one</w:t>
      </w:r>
      <w:r>
        <w:t xml:space="preserve"> (none of the time) to </w:t>
      </w:r>
      <w:r w:rsidR="00107020">
        <w:t>five</w:t>
      </w:r>
      <w:r>
        <w:t xml:space="preserve"> (</w:t>
      </w:r>
      <w:proofErr w:type="gramStart"/>
      <w:r>
        <w:t>all of</w:t>
      </w:r>
      <w:proofErr w:type="gramEnd"/>
      <w:r>
        <w:t xml:space="preserve"> the time). The </w:t>
      </w:r>
      <w:r w:rsidR="0086049C">
        <w:t>SWEMWBS</w:t>
      </w:r>
      <w:r>
        <w:t xml:space="preserve"> is scored by summing the scores of the seven items, with higher scores indicating higher positive mental wellbeing. The </w:t>
      </w:r>
      <w:r w:rsidR="0086049C">
        <w:t>SWEMWBS</w:t>
      </w:r>
      <w:r>
        <w:t xml:space="preserve"> has high internal reliability, with Cronbach’s alpha coefficients ranging from .83 to .90 (Rogers et al., 2018; Ng Fat et al., 2017; </w:t>
      </w:r>
      <w:proofErr w:type="spellStart"/>
      <w:r>
        <w:t>Vaingankar</w:t>
      </w:r>
      <w:proofErr w:type="spellEnd"/>
      <w:r>
        <w:t xml:space="preserve"> et al., 2017).</w:t>
      </w:r>
    </w:p>
    <w:p w14:paraId="663F4811" w14:textId="40E5FFDC" w:rsidR="0E9D7E04" w:rsidRDefault="725492E2" w:rsidP="00A32591">
      <w:r w:rsidRPr="4D12EA49">
        <w:rPr>
          <w:u w:val="single"/>
        </w:rPr>
        <w:t>Sense of Belonging Index</w:t>
      </w:r>
      <w:r w:rsidR="00107020">
        <w:rPr>
          <w:u w:val="single"/>
        </w:rPr>
        <w:t>:</w:t>
      </w:r>
      <w:r>
        <w:t xml:space="preserve"> Students’ sense of belonging was assessed using a five-item adapted version of the Sense of Belonging Index originally developed for the Programme for International Student Assessment (PISA) </w:t>
      </w:r>
      <w:r w:rsidR="00660FFE">
        <w:t xml:space="preserve">in </w:t>
      </w:r>
      <w:r>
        <w:t>2003. In the adapted version of the index</w:t>
      </w:r>
      <w:r w:rsidR="00660FFE">
        <w:t>,</w:t>
      </w:r>
      <w:r>
        <w:t xml:space="preserve"> the word </w:t>
      </w:r>
      <w:r w:rsidR="00660FFE">
        <w:t>“</w:t>
      </w:r>
      <w:r>
        <w:t>school</w:t>
      </w:r>
      <w:r w:rsidR="00660FFE">
        <w:t>”</w:t>
      </w:r>
      <w:r>
        <w:t xml:space="preserve"> was replaced with </w:t>
      </w:r>
      <w:r w:rsidR="00660FFE">
        <w:t>“</w:t>
      </w:r>
      <w:r>
        <w:t>university</w:t>
      </w:r>
      <w:r w:rsidR="00660FFE">
        <w:t>”</w:t>
      </w:r>
      <w:r>
        <w:t xml:space="preserve"> for use in higher education rather than secondary school, and </w:t>
      </w:r>
      <w:r w:rsidR="00660FFE">
        <w:t xml:space="preserve">a </w:t>
      </w:r>
      <w:r>
        <w:t xml:space="preserve">five-point instead of four-point Likert scale was used (Pedler et al., 2022). This allows the inclusion of a neutral option between </w:t>
      </w:r>
      <w:r w:rsidR="00660FFE">
        <w:t>“</w:t>
      </w:r>
      <w:r>
        <w:t>agree</w:t>
      </w:r>
      <w:r w:rsidR="00660FFE">
        <w:t>”</w:t>
      </w:r>
      <w:r>
        <w:t xml:space="preserve"> and </w:t>
      </w:r>
      <w:r w:rsidR="00660FFE">
        <w:t>“</w:t>
      </w:r>
      <w:r>
        <w:t>disagree</w:t>
      </w:r>
      <w:r w:rsidR="00660FFE">
        <w:t>”</w:t>
      </w:r>
      <w:r>
        <w:t xml:space="preserve">, with the Likert scale ranging from </w:t>
      </w:r>
      <w:r w:rsidR="00660FFE">
        <w:t>one</w:t>
      </w:r>
      <w:r>
        <w:t xml:space="preserve"> (strongly disagree) to </w:t>
      </w:r>
      <w:r w:rsidR="00660FFE">
        <w:t>five</w:t>
      </w:r>
      <w:r>
        <w:t xml:space="preserve"> (strongly agree). The index is scored by summing the scores of the items, with lower scores on the Sense of Belonging Index denoting greater sense of belonging. The adapted Sense of Belonging Index was used at an Australian university with 578 participants, with a Cronbach’s alpha 0.859 (Pedler et al., 2022).</w:t>
      </w:r>
    </w:p>
    <w:p w14:paraId="0467A042" w14:textId="61E1E726" w:rsidR="00A5501C" w:rsidRDefault="00A5501C" w:rsidP="00A32591"/>
    <w:p w14:paraId="0AE73F85" w14:textId="03EAA706" w:rsidR="005E65FA" w:rsidRPr="005E65FA" w:rsidRDefault="005E65FA" w:rsidP="00A32591"/>
    <w:sectPr w:rsidR="005E65FA" w:rsidRPr="005E65FA" w:rsidSect="008C7722">
      <w:headerReference w:type="default" r:id="rId78"/>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23B8" w14:textId="77777777" w:rsidR="00663263" w:rsidRDefault="00663263" w:rsidP="00A32591">
      <w:pPr>
        <w:spacing w:after="0" w:line="240" w:lineRule="auto"/>
      </w:pPr>
      <w:r>
        <w:separator/>
      </w:r>
    </w:p>
    <w:p w14:paraId="661D3D9B" w14:textId="77777777" w:rsidR="00663263" w:rsidRDefault="00663263" w:rsidP="00A32591"/>
  </w:endnote>
  <w:endnote w:type="continuationSeparator" w:id="0">
    <w:p w14:paraId="1BC9E273" w14:textId="77777777" w:rsidR="00663263" w:rsidRDefault="00663263" w:rsidP="00A32591">
      <w:pPr>
        <w:spacing w:after="0" w:line="240" w:lineRule="auto"/>
      </w:pPr>
      <w:r>
        <w:continuationSeparator/>
      </w:r>
    </w:p>
    <w:p w14:paraId="2B010C2D" w14:textId="77777777" w:rsidR="00663263" w:rsidRDefault="00663263" w:rsidP="00A32591"/>
  </w:endnote>
  <w:endnote w:type="continuationNotice" w:id="1">
    <w:p w14:paraId="56B2EFA5" w14:textId="77777777" w:rsidR="00663263" w:rsidRDefault="00663263" w:rsidP="00A32591"/>
    <w:p w14:paraId="29A069C7" w14:textId="77777777" w:rsidR="00663263" w:rsidRDefault="00663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Light">
    <w:altName w:val="Cambria"/>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nter Medium">
    <w:altName w:val="Cambria"/>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335535"/>
      <w:docPartObj>
        <w:docPartGallery w:val="Page Numbers (Bottom of Page)"/>
        <w:docPartUnique/>
      </w:docPartObj>
    </w:sdtPr>
    <w:sdtEndPr>
      <w:rPr>
        <w:noProof/>
      </w:rPr>
    </w:sdtEndPr>
    <w:sdtContent>
      <w:p w14:paraId="4EACF2AD" w14:textId="68E84FCD" w:rsidR="00AB1B39" w:rsidRDefault="00AB1B39" w:rsidP="00EB77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9A9E2" w14:textId="77777777" w:rsidR="00AB1B39" w:rsidRDefault="00AB1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E036" w14:textId="77777777" w:rsidR="00663263" w:rsidRDefault="00663263" w:rsidP="00A32591">
      <w:r>
        <w:separator/>
      </w:r>
    </w:p>
    <w:p w14:paraId="66444D7C" w14:textId="77777777" w:rsidR="00663263" w:rsidRDefault="00663263" w:rsidP="00A32591"/>
  </w:footnote>
  <w:footnote w:type="continuationSeparator" w:id="0">
    <w:p w14:paraId="4C52F688" w14:textId="77777777" w:rsidR="00663263" w:rsidRDefault="00663263" w:rsidP="00A32591">
      <w:r>
        <w:continuationSeparator/>
      </w:r>
    </w:p>
    <w:p w14:paraId="25C8A024" w14:textId="77777777" w:rsidR="00663263" w:rsidRDefault="00663263" w:rsidP="00A32591"/>
  </w:footnote>
  <w:footnote w:type="continuationNotice" w:id="1">
    <w:p w14:paraId="4BC77047" w14:textId="77777777" w:rsidR="00663263" w:rsidRDefault="00663263" w:rsidP="00A32591"/>
    <w:p w14:paraId="3D2B447C" w14:textId="77777777" w:rsidR="00663263" w:rsidRDefault="006632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242" w14:textId="77777777" w:rsidR="009C5883" w:rsidRDefault="009C5883" w:rsidP="00A32591"/>
</w:hdr>
</file>

<file path=word/intelligence2.xml><?xml version="1.0" encoding="utf-8"?>
<int2:intelligence xmlns:int2="http://schemas.microsoft.com/office/intelligence/2020/intelligence" xmlns:oel="http://schemas.microsoft.com/office/2019/extlst">
  <int2:observations>
    <int2:textHash int2:hashCode="xcUYS8OJVuCNJK" int2:id="bxWPoW1E">
      <int2:state int2:value="Rejected" int2:type="spell"/>
    </int2:textHash>
    <int2:textHash int2:hashCode="T94PpzHnTX57ET" int2:id="oH1YBrJ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C33"/>
    <w:multiLevelType w:val="multilevel"/>
    <w:tmpl w:val="9422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324CB"/>
    <w:multiLevelType w:val="multilevel"/>
    <w:tmpl w:val="67F8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E3061"/>
    <w:multiLevelType w:val="multilevel"/>
    <w:tmpl w:val="484E3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A1594"/>
    <w:multiLevelType w:val="hybridMultilevel"/>
    <w:tmpl w:val="EF8208D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C76034C"/>
    <w:multiLevelType w:val="multilevel"/>
    <w:tmpl w:val="636C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26DD"/>
    <w:multiLevelType w:val="multilevel"/>
    <w:tmpl w:val="5F8A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4686F"/>
    <w:multiLevelType w:val="multilevel"/>
    <w:tmpl w:val="8062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7D0FD7"/>
    <w:multiLevelType w:val="hybridMultilevel"/>
    <w:tmpl w:val="DA9069FC"/>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5846B1C"/>
    <w:multiLevelType w:val="multilevel"/>
    <w:tmpl w:val="B4CA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35BCF"/>
    <w:multiLevelType w:val="hybridMultilevel"/>
    <w:tmpl w:val="DA0A6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EDC6ED5"/>
    <w:multiLevelType w:val="multilevel"/>
    <w:tmpl w:val="7B04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06B3E"/>
    <w:multiLevelType w:val="multilevel"/>
    <w:tmpl w:val="D556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264E4"/>
    <w:multiLevelType w:val="multilevel"/>
    <w:tmpl w:val="ABAA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364DEB"/>
    <w:multiLevelType w:val="multilevel"/>
    <w:tmpl w:val="FF8A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F76CFB"/>
    <w:multiLevelType w:val="multilevel"/>
    <w:tmpl w:val="4236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D40AD1"/>
    <w:multiLevelType w:val="multilevel"/>
    <w:tmpl w:val="308000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021" w:hanging="1021"/>
      </w:pPr>
      <w:rPr>
        <w:rFonts w:hint="default"/>
        <w:i w:val="0"/>
        <w:iCs w:val="0"/>
        <w:color w:val="6B3B57"/>
      </w:rPr>
    </w:lvl>
    <w:lvl w:ilvl="3">
      <w:start w:val="1"/>
      <w:numFmt w:val="decimal"/>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6537CD9"/>
    <w:multiLevelType w:val="multilevel"/>
    <w:tmpl w:val="D99610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754327"/>
    <w:multiLevelType w:val="hybridMultilevel"/>
    <w:tmpl w:val="D7380BBA"/>
    <w:lvl w:ilvl="0" w:tplc="FFFFFFFF">
      <w:start w:val="1"/>
      <w:numFmt w:val="decimal"/>
      <w:lvlText w:val="%1."/>
      <w:lvlJc w:val="left"/>
      <w:pPr>
        <w:ind w:left="720" w:hanging="360"/>
      </w:pPr>
    </w:lvl>
    <w:lvl w:ilvl="1" w:tplc="0C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D62C70"/>
    <w:multiLevelType w:val="multilevel"/>
    <w:tmpl w:val="1D56C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522575"/>
    <w:multiLevelType w:val="multilevel"/>
    <w:tmpl w:val="618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FF3F91"/>
    <w:multiLevelType w:val="hybridMultilevel"/>
    <w:tmpl w:val="5358B3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8247311"/>
    <w:multiLevelType w:val="multilevel"/>
    <w:tmpl w:val="4D6C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5F34FB"/>
    <w:multiLevelType w:val="multilevel"/>
    <w:tmpl w:val="8446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7A73D8"/>
    <w:multiLevelType w:val="hybridMultilevel"/>
    <w:tmpl w:val="A2DE85FC"/>
    <w:lvl w:ilvl="0" w:tplc="C694D2C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93219C"/>
    <w:multiLevelType w:val="multilevel"/>
    <w:tmpl w:val="157E0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7D0147"/>
    <w:multiLevelType w:val="multilevel"/>
    <w:tmpl w:val="11121B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C949D1"/>
    <w:multiLevelType w:val="multilevel"/>
    <w:tmpl w:val="1AFC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416DAC"/>
    <w:multiLevelType w:val="multilevel"/>
    <w:tmpl w:val="796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A576AE"/>
    <w:multiLevelType w:val="multilevel"/>
    <w:tmpl w:val="846C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0150BF"/>
    <w:multiLevelType w:val="hybridMultilevel"/>
    <w:tmpl w:val="21E6F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42862F5"/>
    <w:multiLevelType w:val="multilevel"/>
    <w:tmpl w:val="254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552A56"/>
    <w:multiLevelType w:val="multilevel"/>
    <w:tmpl w:val="DBBC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82332D"/>
    <w:multiLevelType w:val="hybridMultilevel"/>
    <w:tmpl w:val="90B61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9045F9"/>
    <w:multiLevelType w:val="hybridMultilevel"/>
    <w:tmpl w:val="024C639E"/>
    <w:lvl w:ilvl="0" w:tplc="FFFFFFFF">
      <w:start w:val="1"/>
      <w:numFmt w:val="bullet"/>
      <w:pStyle w:val="ListParagraph"/>
      <w:lvlText w:val="-"/>
      <w:lvlJc w:val="left"/>
      <w:pPr>
        <w:ind w:left="720" w:hanging="360"/>
      </w:pPr>
      <w:rPr>
        <w:rFonts w:ascii="Aptos" w:hAnsi="Apto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052665"/>
    <w:multiLevelType w:val="multilevel"/>
    <w:tmpl w:val="6B4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3103749">
    <w:abstractNumId w:val="15"/>
  </w:num>
  <w:num w:numId="2" w16cid:durableId="64576863">
    <w:abstractNumId w:val="33"/>
  </w:num>
  <w:num w:numId="3" w16cid:durableId="1177190313">
    <w:abstractNumId w:val="15"/>
  </w:num>
  <w:num w:numId="4" w16cid:durableId="983194208">
    <w:abstractNumId w:val="25"/>
  </w:num>
  <w:num w:numId="5" w16cid:durableId="1409812960">
    <w:abstractNumId w:val="4"/>
  </w:num>
  <w:num w:numId="6" w16cid:durableId="642004508">
    <w:abstractNumId w:val="19"/>
  </w:num>
  <w:num w:numId="7" w16cid:durableId="240021651">
    <w:abstractNumId w:val="26"/>
  </w:num>
  <w:num w:numId="8" w16cid:durableId="1941452988">
    <w:abstractNumId w:val="0"/>
  </w:num>
  <w:num w:numId="9" w16cid:durableId="1924147132">
    <w:abstractNumId w:val="30"/>
  </w:num>
  <w:num w:numId="10" w16cid:durableId="547960915">
    <w:abstractNumId w:val="31"/>
  </w:num>
  <w:num w:numId="11" w16cid:durableId="1791776585">
    <w:abstractNumId w:val="21"/>
  </w:num>
  <w:num w:numId="12" w16cid:durableId="556012415">
    <w:abstractNumId w:val="28"/>
  </w:num>
  <w:num w:numId="13" w16cid:durableId="477199">
    <w:abstractNumId w:val="1"/>
  </w:num>
  <w:num w:numId="14" w16cid:durableId="239021106">
    <w:abstractNumId w:val="12"/>
  </w:num>
  <w:num w:numId="15" w16cid:durableId="1682126244">
    <w:abstractNumId w:val="6"/>
  </w:num>
  <w:num w:numId="16" w16cid:durableId="478379572">
    <w:abstractNumId w:val="22"/>
  </w:num>
  <w:num w:numId="17" w16cid:durableId="251672529">
    <w:abstractNumId w:val="5"/>
  </w:num>
  <w:num w:numId="18" w16cid:durableId="231624915">
    <w:abstractNumId w:val="13"/>
  </w:num>
  <w:num w:numId="19" w16cid:durableId="220874930">
    <w:abstractNumId w:val="34"/>
  </w:num>
  <w:num w:numId="20" w16cid:durableId="1424958590">
    <w:abstractNumId w:val="8"/>
  </w:num>
  <w:num w:numId="21" w16cid:durableId="1149638703">
    <w:abstractNumId w:val="11"/>
  </w:num>
  <w:num w:numId="22" w16cid:durableId="1214999760">
    <w:abstractNumId w:val="10"/>
  </w:num>
  <w:num w:numId="23" w16cid:durableId="1306811323">
    <w:abstractNumId w:val="14"/>
  </w:num>
  <w:num w:numId="24" w16cid:durableId="779953662">
    <w:abstractNumId w:val="27"/>
  </w:num>
  <w:num w:numId="25" w16cid:durableId="1245914174">
    <w:abstractNumId w:val="24"/>
  </w:num>
  <w:num w:numId="26" w16cid:durableId="2073656414">
    <w:abstractNumId w:val="2"/>
  </w:num>
  <w:num w:numId="27" w16cid:durableId="588855530">
    <w:abstractNumId w:val="18"/>
  </w:num>
  <w:num w:numId="28" w16cid:durableId="1155101466">
    <w:abstractNumId w:val="16"/>
  </w:num>
  <w:num w:numId="29" w16cid:durableId="1929926448">
    <w:abstractNumId w:val="3"/>
  </w:num>
  <w:num w:numId="30" w16cid:durableId="1384791972">
    <w:abstractNumId w:val="9"/>
  </w:num>
  <w:num w:numId="31" w16cid:durableId="1608662836">
    <w:abstractNumId w:val="29"/>
  </w:num>
  <w:num w:numId="32" w16cid:durableId="615134830">
    <w:abstractNumId w:val="20"/>
  </w:num>
  <w:num w:numId="33" w16cid:durableId="1981962418">
    <w:abstractNumId w:val="32"/>
  </w:num>
  <w:num w:numId="34" w16cid:durableId="1834102155">
    <w:abstractNumId w:val="23"/>
  </w:num>
  <w:num w:numId="35" w16cid:durableId="1809587042">
    <w:abstractNumId w:val="7"/>
  </w:num>
  <w:num w:numId="36" w16cid:durableId="200312356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DE"/>
    <w:rsid w:val="000003C0"/>
    <w:rsid w:val="0000051D"/>
    <w:rsid w:val="0000076E"/>
    <w:rsid w:val="00000B9A"/>
    <w:rsid w:val="00000D9C"/>
    <w:rsid w:val="000010D7"/>
    <w:rsid w:val="00001132"/>
    <w:rsid w:val="00001300"/>
    <w:rsid w:val="000015C1"/>
    <w:rsid w:val="00001799"/>
    <w:rsid w:val="000017F7"/>
    <w:rsid w:val="000017FD"/>
    <w:rsid w:val="0000180C"/>
    <w:rsid w:val="00001935"/>
    <w:rsid w:val="00001B92"/>
    <w:rsid w:val="00001D67"/>
    <w:rsid w:val="00001E65"/>
    <w:rsid w:val="00001FF7"/>
    <w:rsid w:val="00002221"/>
    <w:rsid w:val="0000222D"/>
    <w:rsid w:val="00002462"/>
    <w:rsid w:val="00002531"/>
    <w:rsid w:val="000025A0"/>
    <w:rsid w:val="000027FA"/>
    <w:rsid w:val="00002889"/>
    <w:rsid w:val="00002A41"/>
    <w:rsid w:val="00002E7B"/>
    <w:rsid w:val="00003312"/>
    <w:rsid w:val="000036EB"/>
    <w:rsid w:val="0000379C"/>
    <w:rsid w:val="00003C3D"/>
    <w:rsid w:val="00003D12"/>
    <w:rsid w:val="00003ED3"/>
    <w:rsid w:val="00004208"/>
    <w:rsid w:val="00004523"/>
    <w:rsid w:val="000046B5"/>
    <w:rsid w:val="00004C85"/>
    <w:rsid w:val="00004D6F"/>
    <w:rsid w:val="00004DC2"/>
    <w:rsid w:val="00005014"/>
    <w:rsid w:val="00005089"/>
    <w:rsid w:val="0000540A"/>
    <w:rsid w:val="00005464"/>
    <w:rsid w:val="000054DE"/>
    <w:rsid w:val="0000551F"/>
    <w:rsid w:val="0000556D"/>
    <w:rsid w:val="000055CB"/>
    <w:rsid w:val="00005736"/>
    <w:rsid w:val="000058A6"/>
    <w:rsid w:val="00005B22"/>
    <w:rsid w:val="00005BFB"/>
    <w:rsid w:val="00005E0C"/>
    <w:rsid w:val="00006105"/>
    <w:rsid w:val="000061AE"/>
    <w:rsid w:val="0000644C"/>
    <w:rsid w:val="0000659D"/>
    <w:rsid w:val="000065F2"/>
    <w:rsid w:val="00006646"/>
    <w:rsid w:val="00006764"/>
    <w:rsid w:val="000067F6"/>
    <w:rsid w:val="00006BA2"/>
    <w:rsid w:val="00006CC9"/>
    <w:rsid w:val="00006EAC"/>
    <w:rsid w:val="0000731F"/>
    <w:rsid w:val="00007664"/>
    <w:rsid w:val="000078D5"/>
    <w:rsid w:val="0000798B"/>
    <w:rsid w:val="00007AAC"/>
    <w:rsid w:val="00007CFE"/>
    <w:rsid w:val="00007F42"/>
    <w:rsid w:val="000101B5"/>
    <w:rsid w:val="000102BF"/>
    <w:rsid w:val="000103B9"/>
    <w:rsid w:val="00010437"/>
    <w:rsid w:val="000105E4"/>
    <w:rsid w:val="00010621"/>
    <w:rsid w:val="00010646"/>
    <w:rsid w:val="00010A69"/>
    <w:rsid w:val="000110F8"/>
    <w:rsid w:val="000113E3"/>
    <w:rsid w:val="00011474"/>
    <w:rsid w:val="000117E7"/>
    <w:rsid w:val="00011859"/>
    <w:rsid w:val="000118FD"/>
    <w:rsid w:val="00012071"/>
    <w:rsid w:val="00012086"/>
    <w:rsid w:val="0001238F"/>
    <w:rsid w:val="0001240E"/>
    <w:rsid w:val="00012478"/>
    <w:rsid w:val="0001247C"/>
    <w:rsid w:val="00012B3D"/>
    <w:rsid w:val="00012F8A"/>
    <w:rsid w:val="00013160"/>
    <w:rsid w:val="0001345D"/>
    <w:rsid w:val="000137AF"/>
    <w:rsid w:val="00013965"/>
    <w:rsid w:val="00013B1A"/>
    <w:rsid w:val="00013B2F"/>
    <w:rsid w:val="00013E65"/>
    <w:rsid w:val="00014157"/>
    <w:rsid w:val="0001446A"/>
    <w:rsid w:val="0001447C"/>
    <w:rsid w:val="000144CC"/>
    <w:rsid w:val="00014A42"/>
    <w:rsid w:val="00014E3D"/>
    <w:rsid w:val="000151FD"/>
    <w:rsid w:val="0001559F"/>
    <w:rsid w:val="00015867"/>
    <w:rsid w:val="00015902"/>
    <w:rsid w:val="00015A73"/>
    <w:rsid w:val="00015A93"/>
    <w:rsid w:val="00015AE5"/>
    <w:rsid w:val="00015AF4"/>
    <w:rsid w:val="00015B99"/>
    <w:rsid w:val="00015E04"/>
    <w:rsid w:val="00015E0F"/>
    <w:rsid w:val="00016057"/>
    <w:rsid w:val="000166BC"/>
    <w:rsid w:val="00016CC7"/>
    <w:rsid w:val="00016CFB"/>
    <w:rsid w:val="00016D17"/>
    <w:rsid w:val="00016DD3"/>
    <w:rsid w:val="00016E09"/>
    <w:rsid w:val="000171FC"/>
    <w:rsid w:val="0001752A"/>
    <w:rsid w:val="00017924"/>
    <w:rsid w:val="0001798B"/>
    <w:rsid w:val="00017A7B"/>
    <w:rsid w:val="00017A9F"/>
    <w:rsid w:val="00017B68"/>
    <w:rsid w:val="00017C8A"/>
    <w:rsid w:val="00017D84"/>
    <w:rsid w:val="00017FD4"/>
    <w:rsid w:val="00020118"/>
    <w:rsid w:val="0002045D"/>
    <w:rsid w:val="000204FE"/>
    <w:rsid w:val="00020570"/>
    <w:rsid w:val="00020797"/>
    <w:rsid w:val="00020A52"/>
    <w:rsid w:val="00020AF2"/>
    <w:rsid w:val="00020C9B"/>
    <w:rsid w:val="00020D4E"/>
    <w:rsid w:val="00020EB6"/>
    <w:rsid w:val="00021157"/>
    <w:rsid w:val="00021685"/>
    <w:rsid w:val="00021A0D"/>
    <w:rsid w:val="00021AA5"/>
    <w:rsid w:val="00021BBD"/>
    <w:rsid w:val="00021BDC"/>
    <w:rsid w:val="00021C77"/>
    <w:rsid w:val="00021D1F"/>
    <w:rsid w:val="00021FB9"/>
    <w:rsid w:val="00022385"/>
    <w:rsid w:val="000225D4"/>
    <w:rsid w:val="00022BB7"/>
    <w:rsid w:val="00022D2B"/>
    <w:rsid w:val="00023283"/>
    <w:rsid w:val="00023489"/>
    <w:rsid w:val="00023827"/>
    <w:rsid w:val="0002385F"/>
    <w:rsid w:val="00023885"/>
    <w:rsid w:val="000238D8"/>
    <w:rsid w:val="00023A13"/>
    <w:rsid w:val="00023C79"/>
    <w:rsid w:val="00023CC1"/>
    <w:rsid w:val="00023D2D"/>
    <w:rsid w:val="00023E12"/>
    <w:rsid w:val="00023FDA"/>
    <w:rsid w:val="00024412"/>
    <w:rsid w:val="000245AA"/>
    <w:rsid w:val="000245C5"/>
    <w:rsid w:val="0002497F"/>
    <w:rsid w:val="00024A63"/>
    <w:rsid w:val="00024C68"/>
    <w:rsid w:val="00024E4C"/>
    <w:rsid w:val="00024F13"/>
    <w:rsid w:val="000251EB"/>
    <w:rsid w:val="0002528C"/>
    <w:rsid w:val="00025412"/>
    <w:rsid w:val="000255B0"/>
    <w:rsid w:val="00025607"/>
    <w:rsid w:val="0002571A"/>
    <w:rsid w:val="00025A99"/>
    <w:rsid w:val="00025AC6"/>
    <w:rsid w:val="00025B1B"/>
    <w:rsid w:val="00025ECC"/>
    <w:rsid w:val="00025F4F"/>
    <w:rsid w:val="0002605E"/>
    <w:rsid w:val="000265B4"/>
    <w:rsid w:val="00026699"/>
    <w:rsid w:val="000267DD"/>
    <w:rsid w:val="00026929"/>
    <w:rsid w:val="00026B3B"/>
    <w:rsid w:val="00026B75"/>
    <w:rsid w:val="00026D2E"/>
    <w:rsid w:val="000271DC"/>
    <w:rsid w:val="000272B3"/>
    <w:rsid w:val="00027308"/>
    <w:rsid w:val="0002738E"/>
    <w:rsid w:val="00027474"/>
    <w:rsid w:val="00027614"/>
    <w:rsid w:val="000279BB"/>
    <w:rsid w:val="00027B7E"/>
    <w:rsid w:val="00030211"/>
    <w:rsid w:val="00030373"/>
    <w:rsid w:val="000306FE"/>
    <w:rsid w:val="000307CC"/>
    <w:rsid w:val="000309C8"/>
    <w:rsid w:val="00030B6C"/>
    <w:rsid w:val="00030E6C"/>
    <w:rsid w:val="00030F5F"/>
    <w:rsid w:val="000310DC"/>
    <w:rsid w:val="00031114"/>
    <w:rsid w:val="0003111C"/>
    <w:rsid w:val="000312B1"/>
    <w:rsid w:val="000313DF"/>
    <w:rsid w:val="000315A7"/>
    <w:rsid w:val="000318D6"/>
    <w:rsid w:val="00031987"/>
    <w:rsid w:val="00031ADB"/>
    <w:rsid w:val="00031CB0"/>
    <w:rsid w:val="00032030"/>
    <w:rsid w:val="0003208D"/>
    <w:rsid w:val="000321B6"/>
    <w:rsid w:val="00032386"/>
    <w:rsid w:val="000324F5"/>
    <w:rsid w:val="0003256A"/>
    <w:rsid w:val="0003268D"/>
    <w:rsid w:val="000329E7"/>
    <w:rsid w:val="00032A1C"/>
    <w:rsid w:val="00033090"/>
    <w:rsid w:val="000333A2"/>
    <w:rsid w:val="00033627"/>
    <w:rsid w:val="00033645"/>
    <w:rsid w:val="0003386A"/>
    <w:rsid w:val="000338F0"/>
    <w:rsid w:val="00033A79"/>
    <w:rsid w:val="00033B4A"/>
    <w:rsid w:val="00033B67"/>
    <w:rsid w:val="00034429"/>
    <w:rsid w:val="0003448C"/>
    <w:rsid w:val="000344EA"/>
    <w:rsid w:val="0003457F"/>
    <w:rsid w:val="000348B6"/>
    <w:rsid w:val="00034A9D"/>
    <w:rsid w:val="00034AEE"/>
    <w:rsid w:val="00034C58"/>
    <w:rsid w:val="00034F77"/>
    <w:rsid w:val="0003520A"/>
    <w:rsid w:val="00035273"/>
    <w:rsid w:val="00035283"/>
    <w:rsid w:val="000353DA"/>
    <w:rsid w:val="00035629"/>
    <w:rsid w:val="000356A8"/>
    <w:rsid w:val="000357F1"/>
    <w:rsid w:val="000358E4"/>
    <w:rsid w:val="000359B3"/>
    <w:rsid w:val="00035A39"/>
    <w:rsid w:val="00035A83"/>
    <w:rsid w:val="00035EA4"/>
    <w:rsid w:val="00036009"/>
    <w:rsid w:val="0003631F"/>
    <w:rsid w:val="00036373"/>
    <w:rsid w:val="00036720"/>
    <w:rsid w:val="00036759"/>
    <w:rsid w:val="000368BC"/>
    <w:rsid w:val="00036A94"/>
    <w:rsid w:val="00037284"/>
    <w:rsid w:val="000373C6"/>
    <w:rsid w:val="00037496"/>
    <w:rsid w:val="000374E9"/>
    <w:rsid w:val="0003751E"/>
    <w:rsid w:val="000375A2"/>
    <w:rsid w:val="000377E5"/>
    <w:rsid w:val="00037821"/>
    <w:rsid w:val="00037A12"/>
    <w:rsid w:val="00037AF2"/>
    <w:rsid w:val="00037EE5"/>
    <w:rsid w:val="000400B3"/>
    <w:rsid w:val="0004022C"/>
    <w:rsid w:val="00040315"/>
    <w:rsid w:val="0004064D"/>
    <w:rsid w:val="00040844"/>
    <w:rsid w:val="00040A74"/>
    <w:rsid w:val="00040A9D"/>
    <w:rsid w:val="00040C1D"/>
    <w:rsid w:val="00040E01"/>
    <w:rsid w:val="0004104D"/>
    <w:rsid w:val="0004125D"/>
    <w:rsid w:val="00041446"/>
    <w:rsid w:val="00041447"/>
    <w:rsid w:val="0004173F"/>
    <w:rsid w:val="000418FB"/>
    <w:rsid w:val="00041A2C"/>
    <w:rsid w:val="00041C90"/>
    <w:rsid w:val="0004209D"/>
    <w:rsid w:val="0004217D"/>
    <w:rsid w:val="000421F6"/>
    <w:rsid w:val="000422AC"/>
    <w:rsid w:val="0004234E"/>
    <w:rsid w:val="00042379"/>
    <w:rsid w:val="0004241D"/>
    <w:rsid w:val="0004243A"/>
    <w:rsid w:val="00042605"/>
    <w:rsid w:val="00042759"/>
    <w:rsid w:val="00042774"/>
    <w:rsid w:val="0004294C"/>
    <w:rsid w:val="000429CB"/>
    <w:rsid w:val="00042EDD"/>
    <w:rsid w:val="000430F3"/>
    <w:rsid w:val="000432A1"/>
    <w:rsid w:val="00043306"/>
    <w:rsid w:val="00043388"/>
    <w:rsid w:val="000433B7"/>
    <w:rsid w:val="00043455"/>
    <w:rsid w:val="00043480"/>
    <w:rsid w:val="000434D2"/>
    <w:rsid w:val="0004363C"/>
    <w:rsid w:val="00043643"/>
    <w:rsid w:val="0004377A"/>
    <w:rsid w:val="00043B69"/>
    <w:rsid w:val="00043CA2"/>
    <w:rsid w:val="00043EE1"/>
    <w:rsid w:val="000442D0"/>
    <w:rsid w:val="00044376"/>
    <w:rsid w:val="0004444A"/>
    <w:rsid w:val="0004444C"/>
    <w:rsid w:val="000445C3"/>
    <w:rsid w:val="00044AFC"/>
    <w:rsid w:val="00044BDA"/>
    <w:rsid w:val="00045231"/>
    <w:rsid w:val="00045421"/>
    <w:rsid w:val="0004597A"/>
    <w:rsid w:val="00046316"/>
    <w:rsid w:val="000463D6"/>
    <w:rsid w:val="00046516"/>
    <w:rsid w:val="0004656E"/>
    <w:rsid w:val="000465F6"/>
    <w:rsid w:val="000466CA"/>
    <w:rsid w:val="000466DC"/>
    <w:rsid w:val="000466F8"/>
    <w:rsid w:val="0004672B"/>
    <w:rsid w:val="00046866"/>
    <w:rsid w:val="0004690F"/>
    <w:rsid w:val="00046BE8"/>
    <w:rsid w:val="00046F0D"/>
    <w:rsid w:val="00046F71"/>
    <w:rsid w:val="00046FF6"/>
    <w:rsid w:val="0004716E"/>
    <w:rsid w:val="0004723A"/>
    <w:rsid w:val="00047432"/>
    <w:rsid w:val="00047673"/>
    <w:rsid w:val="000476DE"/>
    <w:rsid w:val="00047714"/>
    <w:rsid w:val="00047817"/>
    <w:rsid w:val="000478BA"/>
    <w:rsid w:val="000478E8"/>
    <w:rsid w:val="00047961"/>
    <w:rsid w:val="000479B9"/>
    <w:rsid w:val="00047C3D"/>
    <w:rsid w:val="00047C52"/>
    <w:rsid w:val="00047C65"/>
    <w:rsid w:val="000501AE"/>
    <w:rsid w:val="00050212"/>
    <w:rsid w:val="000502A6"/>
    <w:rsid w:val="000504CC"/>
    <w:rsid w:val="00050AB2"/>
    <w:rsid w:val="00051020"/>
    <w:rsid w:val="0005112E"/>
    <w:rsid w:val="000513BD"/>
    <w:rsid w:val="0005199A"/>
    <w:rsid w:val="00051C78"/>
    <w:rsid w:val="00051D46"/>
    <w:rsid w:val="0005228C"/>
    <w:rsid w:val="00052595"/>
    <w:rsid w:val="0005266E"/>
    <w:rsid w:val="000527A1"/>
    <w:rsid w:val="00052E6F"/>
    <w:rsid w:val="0005314F"/>
    <w:rsid w:val="00053169"/>
    <w:rsid w:val="0005316E"/>
    <w:rsid w:val="00053784"/>
    <w:rsid w:val="0005390F"/>
    <w:rsid w:val="00053ACD"/>
    <w:rsid w:val="00053DC2"/>
    <w:rsid w:val="0005439E"/>
    <w:rsid w:val="0005441D"/>
    <w:rsid w:val="0005481C"/>
    <w:rsid w:val="00054AA6"/>
    <w:rsid w:val="00054BEF"/>
    <w:rsid w:val="00054C0A"/>
    <w:rsid w:val="000553C4"/>
    <w:rsid w:val="00055445"/>
    <w:rsid w:val="000558A1"/>
    <w:rsid w:val="00055EE2"/>
    <w:rsid w:val="000560ED"/>
    <w:rsid w:val="0005617B"/>
    <w:rsid w:val="00056476"/>
    <w:rsid w:val="000566BC"/>
    <w:rsid w:val="000566DE"/>
    <w:rsid w:val="00056754"/>
    <w:rsid w:val="00056B20"/>
    <w:rsid w:val="0005704F"/>
    <w:rsid w:val="000571BD"/>
    <w:rsid w:val="0005733C"/>
    <w:rsid w:val="00057B72"/>
    <w:rsid w:val="00057BE0"/>
    <w:rsid w:val="00057C00"/>
    <w:rsid w:val="00057C19"/>
    <w:rsid w:val="00057CE3"/>
    <w:rsid w:val="00057D7F"/>
    <w:rsid w:val="00060058"/>
    <w:rsid w:val="000601D8"/>
    <w:rsid w:val="00060524"/>
    <w:rsid w:val="000605E1"/>
    <w:rsid w:val="000606DB"/>
    <w:rsid w:val="00060939"/>
    <w:rsid w:val="000609E1"/>
    <w:rsid w:val="00060BA9"/>
    <w:rsid w:val="00060BB5"/>
    <w:rsid w:val="00060C6D"/>
    <w:rsid w:val="00060DB5"/>
    <w:rsid w:val="00060DF8"/>
    <w:rsid w:val="00060F0B"/>
    <w:rsid w:val="00060F48"/>
    <w:rsid w:val="0006187B"/>
    <w:rsid w:val="00061953"/>
    <w:rsid w:val="00061DA2"/>
    <w:rsid w:val="00061F7B"/>
    <w:rsid w:val="0006221E"/>
    <w:rsid w:val="00062274"/>
    <w:rsid w:val="0006237A"/>
    <w:rsid w:val="00062561"/>
    <w:rsid w:val="000626C2"/>
    <w:rsid w:val="000626F1"/>
    <w:rsid w:val="000628B7"/>
    <w:rsid w:val="00062B5B"/>
    <w:rsid w:val="00062EA7"/>
    <w:rsid w:val="00062ED0"/>
    <w:rsid w:val="00062F72"/>
    <w:rsid w:val="0006317E"/>
    <w:rsid w:val="000631AA"/>
    <w:rsid w:val="000636AA"/>
    <w:rsid w:val="000637D6"/>
    <w:rsid w:val="0006383F"/>
    <w:rsid w:val="00063B48"/>
    <w:rsid w:val="00063C2C"/>
    <w:rsid w:val="00063CCE"/>
    <w:rsid w:val="00063CE6"/>
    <w:rsid w:val="00063D5B"/>
    <w:rsid w:val="00063D6D"/>
    <w:rsid w:val="000640C8"/>
    <w:rsid w:val="000641F4"/>
    <w:rsid w:val="00064218"/>
    <w:rsid w:val="000643C5"/>
    <w:rsid w:val="00064779"/>
    <w:rsid w:val="00064C1F"/>
    <w:rsid w:val="0006501B"/>
    <w:rsid w:val="0006517D"/>
    <w:rsid w:val="0006570C"/>
    <w:rsid w:val="0006579C"/>
    <w:rsid w:val="00065960"/>
    <w:rsid w:val="00065AF3"/>
    <w:rsid w:val="00065B4C"/>
    <w:rsid w:val="00065C2F"/>
    <w:rsid w:val="00065CCD"/>
    <w:rsid w:val="0006645A"/>
    <w:rsid w:val="0006658E"/>
    <w:rsid w:val="000666D0"/>
    <w:rsid w:val="0006673A"/>
    <w:rsid w:val="000669CC"/>
    <w:rsid w:val="000669FE"/>
    <w:rsid w:val="00066DF8"/>
    <w:rsid w:val="00066DFE"/>
    <w:rsid w:val="0006730C"/>
    <w:rsid w:val="00067680"/>
    <w:rsid w:val="0006772F"/>
    <w:rsid w:val="00067838"/>
    <w:rsid w:val="00067892"/>
    <w:rsid w:val="00067D3F"/>
    <w:rsid w:val="00067DB9"/>
    <w:rsid w:val="00067E2F"/>
    <w:rsid w:val="00067F2A"/>
    <w:rsid w:val="00067F84"/>
    <w:rsid w:val="0007014A"/>
    <w:rsid w:val="000704E2"/>
    <w:rsid w:val="0007058F"/>
    <w:rsid w:val="00070791"/>
    <w:rsid w:val="00070A08"/>
    <w:rsid w:val="00070B47"/>
    <w:rsid w:val="00070B60"/>
    <w:rsid w:val="00070F66"/>
    <w:rsid w:val="00071062"/>
    <w:rsid w:val="000711AE"/>
    <w:rsid w:val="000713AC"/>
    <w:rsid w:val="000713B0"/>
    <w:rsid w:val="00071446"/>
    <w:rsid w:val="000716C9"/>
    <w:rsid w:val="00071CF4"/>
    <w:rsid w:val="00072017"/>
    <w:rsid w:val="00072076"/>
    <w:rsid w:val="000721C0"/>
    <w:rsid w:val="0007232D"/>
    <w:rsid w:val="00072442"/>
    <w:rsid w:val="000724B6"/>
    <w:rsid w:val="0007258F"/>
    <w:rsid w:val="000725F3"/>
    <w:rsid w:val="00072608"/>
    <w:rsid w:val="000727C2"/>
    <w:rsid w:val="00072B4F"/>
    <w:rsid w:val="00072CEC"/>
    <w:rsid w:val="00072EF4"/>
    <w:rsid w:val="00072F85"/>
    <w:rsid w:val="00073159"/>
    <w:rsid w:val="000733C2"/>
    <w:rsid w:val="000738AC"/>
    <w:rsid w:val="000738D3"/>
    <w:rsid w:val="00073A39"/>
    <w:rsid w:val="00073C8B"/>
    <w:rsid w:val="00073D25"/>
    <w:rsid w:val="00073D42"/>
    <w:rsid w:val="000740D7"/>
    <w:rsid w:val="00074115"/>
    <w:rsid w:val="00074336"/>
    <w:rsid w:val="0007451A"/>
    <w:rsid w:val="0007493E"/>
    <w:rsid w:val="00074B87"/>
    <w:rsid w:val="00074B9D"/>
    <w:rsid w:val="00074BC8"/>
    <w:rsid w:val="00074BFF"/>
    <w:rsid w:val="00074D61"/>
    <w:rsid w:val="00074DE8"/>
    <w:rsid w:val="00074F62"/>
    <w:rsid w:val="00075284"/>
    <w:rsid w:val="000758E8"/>
    <w:rsid w:val="00075AD9"/>
    <w:rsid w:val="00075E01"/>
    <w:rsid w:val="00075EE8"/>
    <w:rsid w:val="000760C7"/>
    <w:rsid w:val="000764A2"/>
    <w:rsid w:val="000766BA"/>
    <w:rsid w:val="00076933"/>
    <w:rsid w:val="00076A83"/>
    <w:rsid w:val="000778B3"/>
    <w:rsid w:val="000778E3"/>
    <w:rsid w:val="00077A58"/>
    <w:rsid w:val="00077A84"/>
    <w:rsid w:val="00077C2C"/>
    <w:rsid w:val="00077CE1"/>
    <w:rsid w:val="00077D6B"/>
    <w:rsid w:val="00080106"/>
    <w:rsid w:val="00080172"/>
    <w:rsid w:val="0008018A"/>
    <w:rsid w:val="00080240"/>
    <w:rsid w:val="00080435"/>
    <w:rsid w:val="00080523"/>
    <w:rsid w:val="00080588"/>
    <w:rsid w:val="00080841"/>
    <w:rsid w:val="00080905"/>
    <w:rsid w:val="000809DB"/>
    <w:rsid w:val="00080A72"/>
    <w:rsid w:val="00080C85"/>
    <w:rsid w:val="00080D3E"/>
    <w:rsid w:val="00080EB9"/>
    <w:rsid w:val="00080EF5"/>
    <w:rsid w:val="00080FA7"/>
    <w:rsid w:val="00081254"/>
    <w:rsid w:val="00081351"/>
    <w:rsid w:val="000813EA"/>
    <w:rsid w:val="00081409"/>
    <w:rsid w:val="0008189F"/>
    <w:rsid w:val="00081BFD"/>
    <w:rsid w:val="00081EB1"/>
    <w:rsid w:val="00081F14"/>
    <w:rsid w:val="00082021"/>
    <w:rsid w:val="00082029"/>
    <w:rsid w:val="000820AE"/>
    <w:rsid w:val="000821E6"/>
    <w:rsid w:val="000822EB"/>
    <w:rsid w:val="0008253A"/>
    <w:rsid w:val="000829EE"/>
    <w:rsid w:val="00082A83"/>
    <w:rsid w:val="00082B45"/>
    <w:rsid w:val="00082C09"/>
    <w:rsid w:val="00082E5F"/>
    <w:rsid w:val="000839A4"/>
    <w:rsid w:val="00083AE8"/>
    <w:rsid w:val="00083BAA"/>
    <w:rsid w:val="00084194"/>
    <w:rsid w:val="000841C0"/>
    <w:rsid w:val="000841ED"/>
    <w:rsid w:val="00084260"/>
    <w:rsid w:val="00084741"/>
    <w:rsid w:val="000847F9"/>
    <w:rsid w:val="00084857"/>
    <w:rsid w:val="000848A1"/>
    <w:rsid w:val="0008516F"/>
    <w:rsid w:val="00085367"/>
    <w:rsid w:val="00085407"/>
    <w:rsid w:val="00085457"/>
    <w:rsid w:val="000856E9"/>
    <w:rsid w:val="00085DCE"/>
    <w:rsid w:val="00085F80"/>
    <w:rsid w:val="00085FAB"/>
    <w:rsid w:val="00085FBB"/>
    <w:rsid w:val="00085FDD"/>
    <w:rsid w:val="00086027"/>
    <w:rsid w:val="00086040"/>
    <w:rsid w:val="000861BC"/>
    <w:rsid w:val="000861FC"/>
    <w:rsid w:val="00086209"/>
    <w:rsid w:val="00086745"/>
    <w:rsid w:val="00086BCC"/>
    <w:rsid w:val="00086F19"/>
    <w:rsid w:val="000872C5"/>
    <w:rsid w:val="000877B9"/>
    <w:rsid w:val="000878A6"/>
    <w:rsid w:val="00087F70"/>
    <w:rsid w:val="0008A5A5"/>
    <w:rsid w:val="000905F5"/>
    <w:rsid w:val="000906D3"/>
    <w:rsid w:val="00091505"/>
    <w:rsid w:val="0009177D"/>
    <w:rsid w:val="000917E6"/>
    <w:rsid w:val="00091AD7"/>
    <w:rsid w:val="00091DE3"/>
    <w:rsid w:val="00091F6F"/>
    <w:rsid w:val="000923A6"/>
    <w:rsid w:val="0009243D"/>
    <w:rsid w:val="00092531"/>
    <w:rsid w:val="00092562"/>
    <w:rsid w:val="000928F5"/>
    <w:rsid w:val="00092AB6"/>
    <w:rsid w:val="00092CCF"/>
    <w:rsid w:val="00092E2F"/>
    <w:rsid w:val="00092ED5"/>
    <w:rsid w:val="00092F7A"/>
    <w:rsid w:val="00093115"/>
    <w:rsid w:val="000931E6"/>
    <w:rsid w:val="00093763"/>
    <w:rsid w:val="000937FB"/>
    <w:rsid w:val="00093996"/>
    <w:rsid w:val="000939A3"/>
    <w:rsid w:val="00093A94"/>
    <w:rsid w:val="00093C8D"/>
    <w:rsid w:val="00093DC0"/>
    <w:rsid w:val="00093EC9"/>
    <w:rsid w:val="000943B0"/>
    <w:rsid w:val="00094477"/>
    <w:rsid w:val="00094674"/>
    <w:rsid w:val="00094790"/>
    <w:rsid w:val="00094946"/>
    <w:rsid w:val="00094AD0"/>
    <w:rsid w:val="00094D7F"/>
    <w:rsid w:val="000955BB"/>
    <w:rsid w:val="00095B7C"/>
    <w:rsid w:val="00095B92"/>
    <w:rsid w:val="00095BDF"/>
    <w:rsid w:val="00095CE7"/>
    <w:rsid w:val="00095DE1"/>
    <w:rsid w:val="000960B4"/>
    <w:rsid w:val="000961FA"/>
    <w:rsid w:val="00096288"/>
    <w:rsid w:val="0009637E"/>
    <w:rsid w:val="000966BF"/>
    <w:rsid w:val="00096835"/>
    <w:rsid w:val="00096F4D"/>
    <w:rsid w:val="00096F56"/>
    <w:rsid w:val="00097009"/>
    <w:rsid w:val="000970E3"/>
    <w:rsid w:val="0009711B"/>
    <w:rsid w:val="000972C3"/>
    <w:rsid w:val="00097445"/>
    <w:rsid w:val="00097550"/>
    <w:rsid w:val="00097828"/>
    <w:rsid w:val="000979EC"/>
    <w:rsid w:val="00097ABC"/>
    <w:rsid w:val="00097B57"/>
    <w:rsid w:val="00097C3A"/>
    <w:rsid w:val="00097CF1"/>
    <w:rsid w:val="00097F34"/>
    <w:rsid w:val="000A019A"/>
    <w:rsid w:val="000A0419"/>
    <w:rsid w:val="000A0420"/>
    <w:rsid w:val="000A050F"/>
    <w:rsid w:val="000A0722"/>
    <w:rsid w:val="000A086D"/>
    <w:rsid w:val="000A08F5"/>
    <w:rsid w:val="000A091F"/>
    <w:rsid w:val="000A0BD5"/>
    <w:rsid w:val="000A0BDF"/>
    <w:rsid w:val="000A0F8C"/>
    <w:rsid w:val="000A113F"/>
    <w:rsid w:val="000A116E"/>
    <w:rsid w:val="000A1171"/>
    <w:rsid w:val="000A1173"/>
    <w:rsid w:val="000A138E"/>
    <w:rsid w:val="000A15D4"/>
    <w:rsid w:val="000A1654"/>
    <w:rsid w:val="000A185E"/>
    <w:rsid w:val="000A1CFE"/>
    <w:rsid w:val="000A2169"/>
    <w:rsid w:val="000A2343"/>
    <w:rsid w:val="000A23D8"/>
    <w:rsid w:val="000A2440"/>
    <w:rsid w:val="000A26E2"/>
    <w:rsid w:val="000A27D1"/>
    <w:rsid w:val="000A2A9B"/>
    <w:rsid w:val="000A2B12"/>
    <w:rsid w:val="000A2D41"/>
    <w:rsid w:val="000A2DE4"/>
    <w:rsid w:val="000A2EC1"/>
    <w:rsid w:val="000A305E"/>
    <w:rsid w:val="000A30F9"/>
    <w:rsid w:val="000A3291"/>
    <w:rsid w:val="000A3327"/>
    <w:rsid w:val="000A36CF"/>
    <w:rsid w:val="000A3782"/>
    <w:rsid w:val="000A3799"/>
    <w:rsid w:val="000A4447"/>
    <w:rsid w:val="000A47EA"/>
    <w:rsid w:val="000A4918"/>
    <w:rsid w:val="000A4943"/>
    <w:rsid w:val="000A4BD6"/>
    <w:rsid w:val="000A4BF4"/>
    <w:rsid w:val="000A4C9E"/>
    <w:rsid w:val="000A4DB6"/>
    <w:rsid w:val="000A4E7E"/>
    <w:rsid w:val="000A53C6"/>
    <w:rsid w:val="000A53F7"/>
    <w:rsid w:val="000A5531"/>
    <w:rsid w:val="000A564C"/>
    <w:rsid w:val="000A5652"/>
    <w:rsid w:val="000A5960"/>
    <w:rsid w:val="000A5BDA"/>
    <w:rsid w:val="000A5CFE"/>
    <w:rsid w:val="000A608F"/>
    <w:rsid w:val="000A6553"/>
    <w:rsid w:val="000A655D"/>
    <w:rsid w:val="000A6882"/>
    <w:rsid w:val="000A6B5F"/>
    <w:rsid w:val="000A6B6E"/>
    <w:rsid w:val="000A6CA0"/>
    <w:rsid w:val="000A7066"/>
    <w:rsid w:val="000A73A6"/>
    <w:rsid w:val="000A744A"/>
    <w:rsid w:val="000A74D7"/>
    <w:rsid w:val="000A767D"/>
    <w:rsid w:val="000A76CC"/>
    <w:rsid w:val="000A771D"/>
    <w:rsid w:val="000A78AD"/>
    <w:rsid w:val="000A7A60"/>
    <w:rsid w:val="000A7A80"/>
    <w:rsid w:val="000A7C9B"/>
    <w:rsid w:val="000A7EF4"/>
    <w:rsid w:val="000B023E"/>
    <w:rsid w:val="000B0327"/>
    <w:rsid w:val="000B0358"/>
    <w:rsid w:val="000B0481"/>
    <w:rsid w:val="000B0590"/>
    <w:rsid w:val="000B0599"/>
    <w:rsid w:val="000B05D9"/>
    <w:rsid w:val="000B09EE"/>
    <w:rsid w:val="000B0A57"/>
    <w:rsid w:val="000B0EA0"/>
    <w:rsid w:val="000B10C6"/>
    <w:rsid w:val="000B1643"/>
    <w:rsid w:val="000B17CA"/>
    <w:rsid w:val="000B19F5"/>
    <w:rsid w:val="000B1C72"/>
    <w:rsid w:val="000B1D78"/>
    <w:rsid w:val="000B226C"/>
    <w:rsid w:val="000B2271"/>
    <w:rsid w:val="000B22AA"/>
    <w:rsid w:val="000B265A"/>
    <w:rsid w:val="000B2663"/>
    <w:rsid w:val="000B27CF"/>
    <w:rsid w:val="000B2A84"/>
    <w:rsid w:val="000B2D26"/>
    <w:rsid w:val="000B2D9C"/>
    <w:rsid w:val="000B2DF3"/>
    <w:rsid w:val="000B2F47"/>
    <w:rsid w:val="000B311B"/>
    <w:rsid w:val="000B342A"/>
    <w:rsid w:val="000B354E"/>
    <w:rsid w:val="000B362B"/>
    <w:rsid w:val="000B3647"/>
    <w:rsid w:val="000B3828"/>
    <w:rsid w:val="000B391D"/>
    <w:rsid w:val="000B3C33"/>
    <w:rsid w:val="000B3D5E"/>
    <w:rsid w:val="000B3DFF"/>
    <w:rsid w:val="000B3F95"/>
    <w:rsid w:val="000B41D2"/>
    <w:rsid w:val="000B435B"/>
    <w:rsid w:val="000B4401"/>
    <w:rsid w:val="000B4532"/>
    <w:rsid w:val="000B465F"/>
    <w:rsid w:val="000B48E0"/>
    <w:rsid w:val="000B4DEA"/>
    <w:rsid w:val="000B4E43"/>
    <w:rsid w:val="000B5071"/>
    <w:rsid w:val="000B51CA"/>
    <w:rsid w:val="000B54E1"/>
    <w:rsid w:val="000B5832"/>
    <w:rsid w:val="000B584D"/>
    <w:rsid w:val="000B5BB0"/>
    <w:rsid w:val="000B5C37"/>
    <w:rsid w:val="000B61F6"/>
    <w:rsid w:val="000B626D"/>
    <w:rsid w:val="000B63A7"/>
    <w:rsid w:val="000B67B7"/>
    <w:rsid w:val="000B6A2F"/>
    <w:rsid w:val="000B6A6C"/>
    <w:rsid w:val="000B6AE6"/>
    <w:rsid w:val="000B6F75"/>
    <w:rsid w:val="000B6FF2"/>
    <w:rsid w:val="000B705A"/>
    <w:rsid w:val="000B72B2"/>
    <w:rsid w:val="000B758B"/>
    <w:rsid w:val="000B78EF"/>
    <w:rsid w:val="000B7C39"/>
    <w:rsid w:val="000B7C77"/>
    <w:rsid w:val="000B7CA7"/>
    <w:rsid w:val="000B7F65"/>
    <w:rsid w:val="000B7F70"/>
    <w:rsid w:val="000B7F94"/>
    <w:rsid w:val="000C0058"/>
    <w:rsid w:val="000C0136"/>
    <w:rsid w:val="000C0320"/>
    <w:rsid w:val="000C03B2"/>
    <w:rsid w:val="000C04ED"/>
    <w:rsid w:val="000C04F1"/>
    <w:rsid w:val="000C071D"/>
    <w:rsid w:val="000C0796"/>
    <w:rsid w:val="000C08A4"/>
    <w:rsid w:val="000C0A18"/>
    <w:rsid w:val="000C1086"/>
    <w:rsid w:val="000C1639"/>
    <w:rsid w:val="000C16B2"/>
    <w:rsid w:val="000C16F8"/>
    <w:rsid w:val="000C17F0"/>
    <w:rsid w:val="000C19CC"/>
    <w:rsid w:val="000C1B60"/>
    <w:rsid w:val="000C1D17"/>
    <w:rsid w:val="000C1D86"/>
    <w:rsid w:val="000C1E59"/>
    <w:rsid w:val="000C2039"/>
    <w:rsid w:val="000C21C0"/>
    <w:rsid w:val="000C2228"/>
    <w:rsid w:val="000C2705"/>
    <w:rsid w:val="000C2804"/>
    <w:rsid w:val="000C2B38"/>
    <w:rsid w:val="000C2C44"/>
    <w:rsid w:val="000C2DB5"/>
    <w:rsid w:val="000C2EF5"/>
    <w:rsid w:val="000C2FC2"/>
    <w:rsid w:val="000C3BD8"/>
    <w:rsid w:val="000C3CFC"/>
    <w:rsid w:val="000C3E02"/>
    <w:rsid w:val="000C436C"/>
    <w:rsid w:val="000C438D"/>
    <w:rsid w:val="000C44BB"/>
    <w:rsid w:val="000C451D"/>
    <w:rsid w:val="000C47B8"/>
    <w:rsid w:val="000C4853"/>
    <w:rsid w:val="000C4D03"/>
    <w:rsid w:val="000C4D91"/>
    <w:rsid w:val="000C4E9C"/>
    <w:rsid w:val="000C4F55"/>
    <w:rsid w:val="000C4FB8"/>
    <w:rsid w:val="000C55FC"/>
    <w:rsid w:val="000C5C43"/>
    <w:rsid w:val="000C5EAF"/>
    <w:rsid w:val="000C6227"/>
    <w:rsid w:val="000C62C2"/>
    <w:rsid w:val="000C6361"/>
    <w:rsid w:val="000C6AC3"/>
    <w:rsid w:val="000C6B0F"/>
    <w:rsid w:val="000C6DEE"/>
    <w:rsid w:val="000C719E"/>
    <w:rsid w:val="000C72FF"/>
    <w:rsid w:val="000C73D1"/>
    <w:rsid w:val="000C747B"/>
    <w:rsid w:val="000C759D"/>
    <w:rsid w:val="000C78C8"/>
    <w:rsid w:val="000C7999"/>
    <w:rsid w:val="000C7AE4"/>
    <w:rsid w:val="000C7C92"/>
    <w:rsid w:val="000C7CD2"/>
    <w:rsid w:val="000C7D07"/>
    <w:rsid w:val="000CAFBE"/>
    <w:rsid w:val="000D000A"/>
    <w:rsid w:val="000D002C"/>
    <w:rsid w:val="000D044C"/>
    <w:rsid w:val="000D0483"/>
    <w:rsid w:val="000D0554"/>
    <w:rsid w:val="000D0690"/>
    <w:rsid w:val="000D06C2"/>
    <w:rsid w:val="000D0774"/>
    <w:rsid w:val="000D0AD6"/>
    <w:rsid w:val="000D0C46"/>
    <w:rsid w:val="000D0D75"/>
    <w:rsid w:val="000D0F38"/>
    <w:rsid w:val="000D0F76"/>
    <w:rsid w:val="000D16E1"/>
    <w:rsid w:val="000D1717"/>
    <w:rsid w:val="000D171F"/>
    <w:rsid w:val="000D1A94"/>
    <w:rsid w:val="000D1AE0"/>
    <w:rsid w:val="000D205D"/>
    <w:rsid w:val="000D2345"/>
    <w:rsid w:val="000D23B2"/>
    <w:rsid w:val="000D33A1"/>
    <w:rsid w:val="000D354E"/>
    <w:rsid w:val="000D368D"/>
    <w:rsid w:val="000D36E6"/>
    <w:rsid w:val="000D3763"/>
    <w:rsid w:val="000D3A4B"/>
    <w:rsid w:val="000D3B76"/>
    <w:rsid w:val="000D3C4D"/>
    <w:rsid w:val="000D3D7A"/>
    <w:rsid w:val="000D3ECA"/>
    <w:rsid w:val="000D42AD"/>
    <w:rsid w:val="000D4345"/>
    <w:rsid w:val="000D43BA"/>
    <w:rsid w:val="000D43DD"/>
    <w:rsid w:val="000D44CC"/>
    <w:rsid w:val="000D45F6"/>
    <w:rsid w:val="000D463C"/>
    <w:rsid w:val="000D46BB"/>
    <w:rsid w:val="000D4A06"/>
    <w:rsid w:val="000D4A44"/>
    <w:rsid w:val="000D4A70"/>
    <w:rsid w:val="000D4B3B"/>
    <w:rsid w:val="000D4BFE"/>
    <w:rsid w:val="000D4C9E"/>
    <w:rsid w:val="000D4F17"/>
    <w:rsid w:val="000D4F3C"/>
    <w:rsid w:val="000D526F"/>
    <w:rsid w:val="000D53BE"/>
    <w:rsid w:val="000D5696"/>
    <w:rsid w:val="000D573C"/>
    <w:rsid w:val="000D587B"/>
    <w:rsid w:val="000D5928"/>
    <w:rsid w:val="000D5972"/>
    <w:rsid w:val="000D5BAD"/>
    <w:rsid w:val="000D5CF8"/>
    <w:rsid w:val="000D5D1E"/>
    <w:rsid w:val="000D61F0"/>
    <w:rsid w:val="000D63B5"/>
    <w:rsid w:val="000D64DA"/>
    <w:rsid w:val="000D6944"/>
    <w:rsid w:val="000D6E33"/>
    <w:rsid w:val="000D75AA"/>
    <w:rsid w:val="000D7673"/>
    <w:rsid w:val="000D7AAD"/>
    <w:rsid w:val="000D7C8E"/>
    <w:rsid w:val="000D7DB2"/>
    <w:rsid w:val="000DBD2C"/>
    <w:rsid w:val="000E0118"/>
    <w:rsid w:val="000E06EE"/>
    <w:rsid w:val="000E0968"/>
    <w:rsid w:val="000E0BBC"/>
    <w:rsid w:val="000E1342"/>
    <w:rsid w:val="000E1424"/>
    <w:rsid w:val="000E16D0"/>
    <w:rsid w:val="000E174B"/>
    <w:rsid w:val="000E1809"/>
    <w:rsid w:val="000E183F"/>
    <w:rsid w:val="000E18FA"/>
    <w:rsid w:val="000E1C0C"/>
    <w:rsid w:val="000E1E2F"/>
    <w:rsid w:val="000E1FC9"/>
    <w:rsid w:val="000E20E5"/>
    <w:rsid w:val="000E21C9"/>
    <w:rsid w:val="000E2360"/>
    <w:rsid w:val="000E23DA"/>
    <w:rsid w:val="000E2471"/>
    <w:rsid w:val="000E24EF"/>
    <w:rsid w:val="000E2784"/>
    <w:rsid w:val="000E288F"/>
    <w:rsid w:val="000E2A0C"/>
    <w:rsid w:val="000E2B2F"/>
    <w:rsid w:val="000E2BCE"/>
    <w:rsid w:val="000E2BFB"/>
    <w:rsid w:val="000E2E7A"/>
    <w:rsid w:val="000E2FFD"/>
    <w:rsid w:val="000E30D1"/>
    <w:rsid w:val="000E3438"/>
    <w:rsid w:val="000E3A20"/>
    <w:rsid w:val="000E3B1B"/>
    <w:rsid w:val="000E3B27"/>
    <w:rsid w:val="000E3B73"/>
    <w:rsid w:val="000E3BA3"/>
    <w:rsid w:val="000E42C6"/>
    <w:rsid w:val="000E4304"/>
    <w:rsid w:val="000E4497"/>
    <w:rsid w:val="000E468C"/>
    <w:rsid w:val="000E4747"/>
    <w:rsid w:val="000E49AC"/>
    <w:rsid w:val="000E4CA3"/>
    <w:rsid w:val="000E4D4A"/>
    <w:rsid w:val="000E4D92"/>
    <w:rsid w:val="000E5346"/>
    <w:rsid w:val="000E5391"/>
    <w:rsid w:val="000E5448"/>
    <w:rsid w:val="000E5917"/>
    <w:rsid w:val="000E5C13"/>
    <w:rsid w:val="000E61A7"/>
    <w:rsid w:val="000E652B"/>
    <w:rsid w:val="000E658C"/>
    <w:rsid w:val="000E65A7"/>
    <w:rsid w:val="000E6661"/>
    <w:rsid w:val="000E6711"/>
    <w:rsid w:val="000E6860"/>
    <w:rsid w:val="000E694F"/>
    <w:rsid w:val="000E6B46"/>
    <w:rsid w:val="000E6E0C"/>
    <w:rsid w:val="000E6F4A"/>
    <w:rsid w:val="000E7144"/>
    <w:rsid w:val="000E769F"/>
    <w:rsid w:val="000E77FA"/>
    <w:rsid w:val="000E79C1"/>
    <w:rsid w:val="000E79CE"/>
    <w:rsid w:val="000E7A1C"/>
    <w:rsid w:val="000E7A2C"/>
    <w:rsid w:val="000E7C35"/>
    <w:rsid w:val="000F0076"/>
    <w:rsid w:val="000F02CD"/>
    <w:rsid w:val="000F057B"/>
    <w:rsid w:val="000F0641"/>
    <w:rsid w:val="000F0663"/>
    <w:rsid w:val="000F082B"/>
    <w:rsid w:val="000F0D03"/>
    <w:rsid w:val="000F1196"/>
    <w:rsid w:val="000F12A6"/>
    <w:rsid w:val="000F12B2"/>
    <w:rsid w:val="000F13DE"/>
    <w:rsid w:val="000F1712"/>
    <w:rsid w:val="000F17EB"/>
    <w:rsid w:val="000F19E6"/>
    <w:rsid w:val="000F19E7"/>
    <w:rsid w:val="000F1B3A"/>
    <w:rsid w:val="000F1FEA"/>
    <w:rsid w:val="000F233C"/>
    <w:rsid w:val="000F253E"/>
    <w:rsid w:val="000F26A1"/>
    <w:rsid w:val="000F2934"/>
    <w:rsid w:val="000F29F9"/>
    <w:rsid w:val="000F2A6B"/>
    <w:rsid w:val="000F2BCF"/>
    <w:rsid w:val="000F2E33"/>
    <w:rsid w:val="000F2F40"/>
    <w:rsid w:val="000F3004"/>
    <w:rsid w:val="000F3062"/>
    <w:rsid w:val="000F3082"/>
    <w:rsid w:val="000F3090"/>
    <w:rsid w:val="000F31B0"/>
    <w:rsid w:val="000F32E9"/>
    <w:rsid w:val="000F368F"/>
    <w:rsid w:val="000F375C"/>
    <w:rsid w:val="000F38BE"/>
    <w:rsid w:val="000F39F9"/>
    <w:rsid w:val="000F3C80"/>
    <w:rsid w:val="000F3DB0"/>
    <w:rsid w:val="000F3FBE"/>
    <w:rsid w:val="000F400F"/>
    <w:rsid w:val="000F4028"/>
    <w:rsid w:val="000F436C"/>
    <w:rsid w:val="000F444F"/>
    <w:rsid w:val="000F493B"/>
    <w:rsid w:val="000F493F"/>
    <w:rsid w:val="000F4AD7"/>
    <w:rsid w:val="000F4B82"/>
    <w:rsid w:val="000F4BEB"/>
    <w:rsid w:val="000F50CB"/>
    <w:rsid w:val="000F522B"/>
    <w:rsid w:val="000F5473"/>
    <w:rsid w:val="000F5548"/>
    <w:rsid w:val="000F5C0A"/>
    <w:rsid w:val="000F5E97"/>
    <w:rsid w:val="000F5FD5"/>
    <w:rsid w:val="000F60F9"/>
    <w:rsid w:val="000F637A"/>
    <w:rsid w:val="000F6538"/>
    <w:rsid w:val="000F65AE"/>
    <w:rsid w:val="000F6606"/>
    <w:rsid w:val="000F664C"/>
    <w:rsid w:val="000F68AA"/>
    <w:rsid w:val="000F68EA"/>
    <w:rsid w:val="000F692F"/>
    <w:rsid w:val="000F6B78"/>
    <w:rsid w:val="000F6BB4"/>
    <w:rsid w:val="000F6CBB"/>
    <w:rsid w:val="000F6D1D"/>
    <w:rsid w:val="000F7066"/>
    <w:rsid w:val="000F71AD"/>
    <w:rsid w:val="000F72BB"/>
    <w:rsid w:val="000F7671"/>
    <w:rsid w:val="000F7690"/>
    <w:rsid w:val="000F78F1"/>
    <w:rsid w:val="000F7A12"/>
    <w:rsid w:val="000F7ABD"/>
    <w:rsid w:val="000F7B2A"/>
    <w:rsid w:val="000F7B2D"/>
    <w:rsid w:val="000F7B6C"/>
    <w:rsid w:val="000F7C5D"/>
    <w:rsid w:val="000F7D1E"/>
    <w:rsid w:val="000F7DC2"/>
    <w:rsid w:val="000F7E8F"/>
    <w:rsid w:val="00100089"/>
    <w:rsid w:val="001003D1"/>
    <w:rsid w:val="001004C7"/>
    <w:rsid w:val="0010079A"/>
    <w:rsid w:val="0010090A"/>
    <w:rsid w:val="0010094A"/>
    <w:rsid w:val="00100D97"/>
    <w:rsid w:val="00100DB6"/>
    <w:rsid w:val="00101381"/>
    <w:rsid w:val="001016B9"/>
    <w:rsid w:val="00101708"/>
    <w:rsid w:val="00101818"/>
    <w:rsid w:val="0010196C"/>
    <w:rsid w:val="00101980"/>
    <w:rsid w:val="001019D1"/>
    <w:rsid w:val="00101AC4"/>
    <w:rsid w:val="00101E1D"/>
    <w:rsid w:val="00102E49"/>
    <w:rsid w:val="00102E83"/>
    <w:rsid w:val="00102FE6"/>
    <w:rsid w:val="00102FF6"/>
    <w:rsid w:val="00103000"/>
    <w:rsid w:val="00103040"/>
    <w:rsid w:val="00103094"/>
    <w:rsid w:val="001031AB"/>
    <w:rsid w:val="001033D4"/>
    <w:rsid w:val="001036DF"/>
    <w:rsid w:val="00103847"/>
    <w:rsid w:val="00103D05"/>
    <w:rsid w:val="00104060"/>
    <w:rsid w:val="001040A9"/>
    <w:rsid w:val="001040D3"/>
    <w:rsid w:val="001045E0"/>
    <w:rsid w:val="0010496B"/>
    <w:rsid w:val="00104B2D"/>
    <w:rsid w:val="001050BB"/>
    <w:rsid w:val="0010521F"/>
    <w:rsid w:val="001053A1"/>
    <w:rsid w:val="00105439"/>
    <w:rsid w:val="00105797"/>
    <w:rsid w:val="00105B34"/>
    <w:rsid w:val="00105EDB"/>
    <w:rsid w:val="00105EED"/>
    <w:rsid w:val="001062CE"/>
    <w:rsid w:val="00106527"/>
    <w:rsid w:val="001065B6"/>
    <w:rsid w:val="00106647"/>
    <w:rsid w:val="00106652"/>
    <w:rsid w:val="00106674"/>
    <w:rsid w:val="00106676"/>
    <w:rsid w:val="00106840"/>
    <w:rsid w:val="0010684C"/>
    <w:rsid w:val="001069BF"/>
    <w:rsid w:val="00106A2E"/>
    <w:rsid w:val="00106E57"/>
    <w:rsid w:val="00106FA2"/>
    <w:rsid w:val="00107020"/>
    <w:rsid w:val="001071DF"/>
    <w:rsid w:val="0010749D"/>
    <w:rsid w:val="001077C0"/>
    <w:rsid w:val="00107A73"/>
    <w:rsid w:val="00107E7A"/>
    <w:rsid w:val="00107F0B"/>
    <w:rsid w:val="00107FF0"/>
    <w:rsid w:val="0011019E"/>
    <w:rsid w:val="001101B0"/>
    <w:rsid w:val="00110311"/>
    <w:rsid w:val="001104B9"/>
    <w:rsid w:val="001104E6"/>
    <w:rsid w:val="00110578"/>
    <w:rsid w:val="001105B7"/>
    <w:rsid w:val="00110BB8"/>
    <w:rsid w:val="00110BFB"/>
    <w:rsid w:val="00110D03"/>
    <w:rsid w:val="00110D5A"/>
    <w:rsid w:val="00110FA8"/>
    <w:rsid w:val="00110FFD"/>
    <w:rsid w:val="00111042"/>
    <w:rsid w:val="00111203"/>
    <w:rsid w:val="0011122F"/>
    <w:rsid w:val="00111525"/>
    <w:rsid w:val="001119B5"/>
    <w:rsid w:val="00112027"/>
    <w:rsid w:val="001122D6"/>
    <w:rsid w:val="0011279F"/>
    <w:rsid w:val="00112D99"/>
    <w:rsid w:val="00112E38"/>
    <w:rsid w:val="00112E76"/>
    <w:rsid w:val="00113556"/>
    <w:rsid w:val="00113569"/>
    <w:rsid w:val="00113634"/>
    <w:rsid w:val="0011371F"/>
    <w:rsid w:val="0011385D"/>
    <w:rsid w:val="0011390F"/>
    <w:rsid w:val="00113FA9"/>
    <w:rsid w:val="00114163"/>
    <w:rsid w:val="0011446D"/>
    <w:rsid w:val="001146BD"/>
    <w:rsid w:val="001147C7"/>
    <w:rsid w:val="001149FF"/>
    <w:rsid w:val="00114AA5"/>
    <w:rsid w:val="00114AD8"/>
    <w:rsid w:val="00114D0D"/>
    <w:rsid w:val="00114DCB"/>
    <w:rsid w:val="00114E58"/>
    <w:rsid w:val="00115057"/>
    <w:rsid w:val="001151B1"/>
    <w:rsid w:val="001151B5"/>
    <w:rsid w:val="0011550B"/>
    <w:rsid w:val="0011570C"/>
    <w:rsid w:val="00115842"/>
    <w:rsid w:val="00115895"/>
    <w:rsid w:val="0011599D"/>
    <w:rsid w:val="00115B3B"/>
    <w:rsid w:val="00115B5A"/>
    <w:rsid w:val="00115B9F"/>
    <w:rsid w:val="00115E61"/>
    <w:rsid w:val="00115F79"/>
    <w:rsid w:val="00115FC7"/>
    <w:rsid w:val="0011634C"/>
    <w:rsid w:val="00116596"/>
    <w:rsid w:val="00116A62"/>
    <w:rsid w:val="00116AA6"/>
    <w:rsid w:val="00116B65"/>
    <w:rsid w:val="00116BAF"/>
    <w:rsid w:val="001171E6"/>
    <w:rsid w:val="0011727F"/>
    <w:rsid w:val="00117433"/>
    <w:rsid w:val="001177D4"/>
    <w:rsid w:val="001178CD"/>
    <w:rsid w:val="00117A29"/>
    <w:rsid w:val="00117A45"/>
    <w:rsid w:val="00117DFE"/>
    <w:rsid w:val="001200A6"/>
    <w:rsid w:val="00120104"/>
    <w:rsid w:val="001201D2"/>
    <w:rsid w:val="00120920"/>
    <w:rsid w:val="00120A35"/>
    <w:rsid w:val="00120A61"/>
    <w:rsid w:val="00120CE5"/>
    <w:rsid w:val="00120F11"/>
    <w:rsid w:val="001210D8"/>
    <w:rsid w:val="0012111A"/>
    <w:rsid w:val="00121128"/>
    <w:rsid w:val="0012131A"/>
    <w:rsid w:val="0012160C"/>
    <w:rsid w:val="0012176A"/>
    <w:rsid w:val="00121A27"/>
    <w:rsid w:val="00121BCC"/>
    <w:rsid w:val="00121BF7"/>
    <w:rsid w:val="00121C16"/>
    <w:rsid w:val="00121E25"/>
    <w:rsid w:val="00121E4E"/>
    <w:rsid w:val="00121E57"/>
    <w:rsid w:val="0012218C"/>
    <w:rsid w:val="0012220F"/>
    <w:rsid w:val="00122364"/>
    <w:rsid w:val="001223D2"/>
    <w:rsid w:val="00122456"/>
    <w:rsid w:val="001227D6"/>
    <w:rsid w:val="001229E8"/>
    <w:rsid w:val="00122B2C"/>
    <w:rsid w:val="00122D82"/>
    <w:rsid w:val="00122F5F"/>
    <w:rsid w:val="00123071"/>
    <w:rsid w:val="00123175"/>
    <w:rsid w:val="001231DB"/>
    <w:rsid w:val="001233DE"/>
    <w:rsid w:val="001234A9"/>
    <w:rsid w:val="00123532"/>
    <w:rsid w:val="001235DF"/>
    <w:rsid w:val="0012365F"/>
    <w:rsid w:val="00123885"/>
    <w:rsid w:val="001239E8"/>
    <w:rsid w:val="00123C22"/>
    <w:rsid w:val="00123F2E"/>
    <w:rsid w:val="001246C6"/>
    <w:rsid w:val="0012499E"/>
    <w:rsid w:val="00124A4C"/>
    <w:rsid w:val="00124A67"/>
    <w:rsid w:val="00124C39"/>
    <w:rsid w:val="00124D12"/>
    <w:rsid w:val="00124F3F"/>
    <w:rsid w:val="001250F0"/>
    <w:rsid w:val="00125180"/>
    <w:rsid w:val="00125383"/>
    <w:rsid w:val="00125524"/>
    <w:rsid w:val="001256DC"/>
    <w:rsid w:val="00125BF3"/>
    <w:rsid w:val="00125E07"/>
    <w:rsid w:val="00125FEA"/>
    <w:rsid w:val="001261D7"/>
    <w:rsid w:val="001264EF"/>
    <w:rsid w:val="0012657D"/>
    <w:rsid w:val="00126FC7"/>
    <w:rsid w:val="00127169"/>
    <w:rsid w:val="001272BD"/>
    <w:rsid w:val="00127396"/>
    <w:rsid w:val="001273A5"/>
    <w:rsid w:val="0012776B"/>
    <w:rsid w:val="00127C1E"/>
    <w:rsid w:val="00127DF4"/>
    <w:rsid w:val="001300C8"/>
    <w:rsid w:val="00130294"/>
    <w:rsid w:val="001305E3"/>
    <w:rsid w:val="00130790"/>
    <w:rsid w:val="00130A59"/>
    <w:rsid w:val="00130AA1"/>
    <w:rsid w:val="00130C10"/>
    <w:rsid w:val="00130D9E"/>
    <w:rsid w:val="0013106D"/>
    <w:rsid w:val="0013126E"/>
    <w:rsid w:val="001316C1"/>
    <w:rsid w:val="001317B1"/>
    <w:rsid w:val="00131A66"/>
    <w:rsid w:val="00131B8C"/>
    <w:rsid w:val="00131BB8"/>
    <w:rsid w:val="00131DBF"/>
    <w:rsid w:val="00131DD6"/>
    <w:rsid w:val="001320C2"/>
    <w:rsid w:val="001320C7"/>
    <w:rsid w:val="00132474"/>
    <w:rsid w:val="00132482"/>
    <w:rsid w:val="00132497"/>
    <w:rsid w:val="00132505"/>
    <w:rsid w:val="0013251C"/>
    <w:rsid w:val="001326BA"/>
    <w:rsid w:val="0013278A"/>
    <w:rsid w:val="00132A04"/>
    <w:rsid w:val="00132E52"/>
    <w:rsid w:val="00132EAA"/>
    <w:rsid w:val="00132F55"/>
    <w:rsid w:val="00132FDC"/>
    <w:rsid w:val="0013303C"/>
    <w:rsid w:val="001335CE"/>
    <w:rsid w:val="001339BC"/>
    <w:rsid w:val="00133A0B"/>
    <w:rsid w:val="00133D87"/>
    <w:rsid w:val="00133EE0"/>
    <w:rsid w:val="00133EF7"/>
    <w:rsid w:val="0013413F"/>
    <w:rsid w:val="001344A3"/>
    <w:rsid w:val="00134594"/>
    <w:rsid w:val="0013459F"/>
    <w:rsid w:val="00134640"/>
    <w:rsid w:val="00134789"/>
    <w:rsid w:val="00134CD6"/>
    <w:rsid w:val="00134DFA"/>
    <w:rsid w:val="00134F27"/>
    <w:rsid w:val="00135114"/>
    <w:rsid w:val="00135160"/>
    <w:rsid w:val="00135331"/>
    <w:rsid w:val="00135855"/>
    <w:rsid w:val="00135975"/>
    <w:rsid w:val="00135BA2"/>
    <w:rsid w:val="00135CF6"/>
    <w:rsid w:val="00135D82"/>
    <w:rsid w:val="00135E76"/>
    <w:rsid w:val="00135E94"/>
    <w:rsid w:val="00135F1F"/>
    <w:rsid w:val="00135FFD"/>
    <w:rsid w:val="00136093"/>
    <w:rsid w:val="0013618B"/>
    <w:rsid w:val="001362DD"/>
    <w:rsid w:val="0013634D"/>
    <w:rsid w:val="00136732"/>
    <w:rsid w:val="0013677B"/>
    <w:rsid w:val="001368E4"/>
    <w:rsid w:val="001369E1"/>
    <w:rsid w:val="00136A93"/>
    <w:rsid w:val="00136B07"/>
    <w:rsid w:val="00136C73"/>
    <w:rsid w:val="001371C9"/>
    <w:rsid w:val="00137362"/>
    <w:rsid w:val="0013737A"/>
    <w:rsid w:val="001376AE"/>
    <w:rsid w:val="001378D0"/>
    <w:rsid w:val="00137E7D"/>
    <w:rsid w:val="00137F67"/>
    <w:rsid w:val="00140020"/>
    <w:rsid w:val="00140411"/>
    <w:rsid w:val="00140450"/>
    <w:rsid w:val="0014061E"/>
    <w:rsid w:val="00140857"/>
    <w:rsid w:val="00140924"/>
    <w:rsid w:val="00140CDB"/>
    <w:rsid w:val="00140D15"/>
    <w:rsid w:val="00140F5E"/>
    <w:rsid w:val="00141102"/>
    <w:rsid w:val="00141154"/>
    <w:rsid w:val="00141313"/>
    <w:rsid w:val="001413F4"/>
    <w:rsid w:val="001414AD"/>
    <w:rsid w:val="00141525"/>
    <w:rsid w:val="00141706"/>
    <w:rsid w:val="00141726"/>
    <w:rsid w:val="001418FA"/>
    <w:rsid w:val="00141BB8"/>
    <w:rsid w:val="00141DB5"/>
    <w:rsid w:val="00141F4C"/>
    <w:rsid w:val="00142083"/>
    <w:rsid w:val="00142196"/>
    <w:rsid w:val="001421C3"/>
    <w:rsid w:val="00142468"/>
    <w:rsid w:val="00142486"/>
    <w:rsid w:val="001427FF"/>
    <w:rsid w:val="001429CC"/>
    <w:rsid w:val="001429FB"/>
    <w:rsid w:val="00142AD0"/>
    <w:rsid w:val="00142B45"/>
    <w:rsid w:val="00142C7E"/>
    <w:rsid w:val="00142D4E"/>
    <w:rsid w:val="00142E19"/>
    <w:rsid w:val="00142E7E"/>
    <w:rsid w:val="00142F7C"/>
    <w:rsid w:val="00142F8C"/>
    <w:rsid w:val="00143052"/>
    <w:rsid w:val="0014360C"/>
    <w:rsid w:val="001439A4"/>
    <w:rsid w:val="00143A82"/>
    <w:rsid w:val="00143B10"/>
    <w:rsid w:val="00143C8A"/>
    <w:rsid w:val="001440EC"/>
    <w:rsid w:val="00144406"/>
    <w:rsid w:val="0014447C"/>
    <w:rsid w:val="001445D9"/>
    <w:rsid w:val="00144870"/>
    <w:rsid w:val="00144A30"/>
    <w:rsid w:val="00144A46"/>
    <w:rsid w:val="00144AA2"/>
    <w:rsid w:val="00144ADC"/>
    <w:rsid w:val="00144D83"/>
    <w:rsid w:val="00144EEA"/>
    <w:rsid w:val="00145166"/>
    <w:rsid w:val="001453B0"/>
    <w:rsid w:val="001455ED"/>
    <w:rsid w:val="001457BD"/>
    <w:rsid w:val="00145B80"/>
    <w:rsid w:val="00145D61"/>
    <w:rsid w:val="00145DCF"/>
    <w:rsid w:val="00145ECC"/>
    <w:rsid w:val="0014620A"/>
    <w:rsid w:val="001462A9"/>
    <w:rsid w:val="001463F1"/>
    <w:rsid w:val="00146637"/>
    <w:rsid w:val="001466E5"/>
    <w:rsid w:val="0014689D"/>
    <w:rsid w:val="001469AC"/>
    <w:rsid w:val="00146BCC"/>
    <w:rsid w:val="00147315"/>
    <w:rsid w:val="001474DC"/>
    <w:rsid w:val="0014759D"/>
    <w:rsid w:val="00147A1E"/>
    <w:rsid w:val="00147C17"/>
    <w:rsid w:val="00147C8A"/>
    <w:rsid w:val="00147CD0"/>
    <w:rsid w:val="00150083"/>
    <w:rsid w:val="00150304"/>
    <w:rsid w:val="0015033D"/>
    <w:rsid w:val="0015048B"/>
    <w:rsid w:val="00150499"/>
    <w:rsid w:val="00150567"/>
    <w:rsid w:val="001505A9"/>
    <w:rsid w:val="001506D0"/>
    <w:rsid w:val="0015085B"/>
    <w:rsid w:val="0015092F"/>
    <w:rsid w:val="001509D9"/>
    <w:rsid w:val="00150A0D"/>
    <w:rsid w:val="00150A77"/>
    <w:rsid w:val="001511FD"/>
    <w:rsid w:val="00151225"/>
    <w:rsid w:val="001515FC"/>
    <w:rsid w:val="001516DB"/>
    <w:rsid w:val="00151B7F"/>
    <w:rsid w:val="00152059"/>
    <w:rsid w:val="00152432"/>
    <w:rsid w:val="001524ED"/>
    <w:rsid w:val="001528A4"/>
    <w:rsid w:val="001528B7"/>
    <w:rsid w:val="001529A2"/>
    <w:rsid w:val="00152BA5"/>
    <w:rsid w:val="00152D47"/>
    <w:rsid w:val="00152D7C"/>
    <w:rsid w:val="0015312D"/>
    <w:rsid w:val="00153156"/>
    <w:rsid w:val="00153322"/>
    <w:rsid w:val="001534D5"/>
    <w:rsid w:val="00153549"/>
    <w:rsid w:val="00153625"/>
    <w:rsid w:val="001536CB"/>
    <w:rsid w:val="001539E2"/>
    <w:rsid w:val="00153A63"/>
    <w:rsid w:val="00153B7F"/>
    <w:rsid w:val="00153CC7"/>
    <w:rsid w:val="00153CFC"/>
    <w:rsid w:val="00153D40"/>
    <w:rsid w:val="00153F26"/>
    <w:rsid w:val="00154031"/>
    <w:rsid w:val="001540CC"/>
    <w:rsid w:val="00154105"/>
    <w:rsid w:val="00154155"/>
    <w:rsid w:val="0015471D"/>
    <w:rsid w:val="00154865"/>
    <w:rsid w:val="00154A32"/>
    <w:rsid w:val="00154A4B"/>
    <w:rsid w:val="00154D25"/>
    <w:rsid w:val="00154E84"/>
    <w:rsid w:val="00154EC1"/>
    <w:rsid w:val="00154FCB"/>
    <w:rsid w:val="001550E8"/>
    <w:rsid w:val="00155162"/>
    <w:rsid w:val="001553B5"/>
    <w:rsid w:val="00155538"/>
    <w:rsid w:val="00155557"/>
    <w:rsid w:val="00155839"/>
    <w:rsid w:val="00155940"/>
    <w:rsid w:val="00155B5C"/>
    <w:rsid w:val="00155B88"/>
    <w:rsid w:val="00155C5A"/>
    <w:rsid w:val="0015607F"/>
    <w:rsid w:val="001569C8"/>
    <w:rsid w:val="00156B84"/>
    <w:rsid w:val="00156C5E"/>
    <w:rsid w:val="00156D61"/>
    <w:rsid w:val="00156DB4"/>
    <w:rsid w:val="00156FB8"/>
    <w:rsid w:val="001571DF"/>
    <w:rsid w:val="00157F8A"/>
    <w:rsid w:val="00158CD3"/>
    <w:rsid w:val="0016003A"/>
    <w:rsid w:val="00160239"/>
    <w:rsid w:val="001604DC"/>
    <w:rsid w:val="0016097F"/>
    <w:rsid w:val="00160B97"/>
    <w:rsid w:val="00160C5F"/>
    <w:rsid w:val="001610D0"/>
    <w:rsid w:val="001612F5"/>
    <w:rsid w:val="0016140A"/>
    <w:rsid w:val="0016142A"/>
    <w:rsid w:val="00161502"/>
    <w:rsid w:val="00161579"/>
    <w:rsid w:val="001615DA"/>
    <w:rsid w:val="001616EF"/>
    <w:rsid w:val="0016196A"/>
    <w:rsid w:val="00161A00"/>
    <w:rsid w:val="00161D89"/>
    <w:rsid w:val="00161EA3"/>
    <w:rsid w:val="001620B2"/>
    <w:rsid w:val="001620CE"/>
    <w:rsid w:val="0016234F"/>
    <w:rsid w:val="0016271D"/>
    <w:rsid w:val="00162753"/>
    <w:rsid w:val="00162827"/>
    <w:rsid w:val="001629C4"/>
    <w:rsid w:val="001629D7"/>
    <w:rsid w:val="00162A88"/>
    <w:rsid w:val="00162EEE"/>
    <w:rsid w:val="00162F36"/>
    <w:rsid w:val="00162F42"/>
    <w:rsid w:val="0016315D"/>
    <w:rsid w:val="001632C5"/>
    <w:rsid w:val="001633BC"/>
    <w:rsid w:val="0016380F"/>
    <w:rsid w:val="0016397D"/>
    <w:rsid w:val="001639B2"/>
    <w:rsid w:val="00163A4A"/>
    <w:rsid w:val="00163AFF"/>
    <w:rsid w:val="00163C1B"/>
    <w:rsid w:val="00163C76"/>
    <w:rsid w:val="00163D20"/>
    <w:rsid w:val="00163D33"/>
    <w:rsid w:val="00163E3D"/>
    <w:rsid w:val="00163E57"/>
    <w:rsid w:val="0016416A"/>
    <w:rsid w:val="0016421C"/>
    <w:rsid w:val="001642C8"/>
    <w:rsid w:val="001649C3"/>
    <w:rsid w:val="00164D6A"/>
    <w:rsid w:val="0016518D"/>
    <w:rsid w:val="00165255"/>
    <w:rsid w:val="0016536B"/>
    <w:rsid w:val="0016568A"/>
    <w:rsid w:val="00165DAF"/>
    <w:rsid w:val="00165E32"/>
    <w:rsid w:val="00165F90"/>
    <w:rsid w:val="00166185"/>
    <w:rsid w:val="001661B3"/>
    <w:rsid w:val="00166232"/>
    <w:rsid w:val="0016636D"/>
    <w:rsid w:val="001663C3"/>
    <w:rsid w:val="001663CC"/>
    <w:rsid w:val="001665FC"/>
    <w:rsid w:val="00166635"/>
    <w:rsid w:val="001666F5"/>
    <w:rsid w:val="001669DB"/>
    <w:rsid w:val="00166E88"/>
    <w:rsid w:val="0016709C"/>
    <w:rsid w:val="001671DA"/>
    <w:rsid w:val="00167403"/>
    <w:rsid w:val="00167417"/>
    <w:rsid w:val="0016741B"/>
    <w:rsid w:val="001674F8"/>
    <w:rsid w:val="00167523"/>
    <w:rsid w:val="001675B9"/>
    <w:rsid w:val="00170053"/>
    <w:rsid w:val="00170417"/>
    <w:rsid w:val="00170482"/>
    <w:rsid w:val="00170622"/>
    <w:rsid w:val="00170F47"/>
    <w:rsid w:val="001713F8"/>
    <w:rsid w:val="00171420"/>
    <w:rsid w:val="0017163B"/>
    <w:rsid w:val="001718D5"/>
    <w:rsid w:val="001719CA"/>
    <w:rsid w:val="00171B39"/>
    <w:rsid w:val="00171B62"/>
    <w:rsid w:val="00171CFF"/>
    <w:rsid w:val="00171E0D"/>
    <w:rsid w:val="00171E92"/>
    <w:rsid w:val="00171EC4"/>
    <w:rsid w:val="00172347"/>
    <w:rsid w:val="00172878"/>
    <w:rsid w:val="00172A06"/>
    <w:rsid w:val="00172A95"/>
    <w:rsid w:val="00173082"/>
    <w:rsid w:val="00173297"/>
    <w:rsid w:val="001732C8"/>
    <w:rsid w:val="00173510"/>
    <w:rsid w:val="00173586"/>
    <w:rsid w:val="001737A4"/>
    <w:rsid w:val="001737F3"/>
    <w:rsid w:val="00173A73"/>
    <w:rsid w:val="00173AB8"/>
    <w:rsid w:val="00173C05"/>
    <w:rsid w:val="00173CA5"/>
    <w:rsid w:val="00173CC2"/>
    <w:rsid w:val="001741DA"/>
    <w:rsid w:val="0017442C"/>
    <w:rsid w:val="001748D8"/>
    <w:rsid w:val="00174C32"/>
    <w:rsid w:val="00174C51"/>
    <w:rsid w:val="00174CA8"/>
    <w:rsid w:val="00174D81"/>
    <w:rsid w:val="00174FB9"/>
    <w:rsid w:val="00175138"/>
    <w:rsid w:val="0017516C"/>
    <w:rsid w:val="001754FF"/>
    <w:rsid w:val="00175559"/>
    <w:rsid w:val="00175630"/>
    <w:rsid w:val="00175B1E"/>
    <w:rsid w:val="00175DF1"/>
    <w:rsid w:val="00175F64"/>
    <w:rsid w:val="00175FFE"/>
    <w:rsid w:val="0017602B"/>
    <w:rsid w:val="0017603D"/>
    <w:rsid w:val="001760E6"/>
    <w:rsid w:val="0017637E"/>
    <w:rsid w:val="001763F9"/>
    <w:rsid w:val="001764F1"/>
    <w:rsid w:val="00176556"/>
    <w:rsid w:val="00176661"/>
    <w:rsid w:val="00176724"/>
    <w:rsid w:val="001767A2"/>
    <w:rsid w:val="001767FF"/>
    <w:rsid w:val="00176834"/>
    <w:rsid w:val="001768AB"/>
    <w:rsid w:val="00176BC6"/>
    <w:rsid w:val="00176EE6"/>
    <w:rsid w:val="00176F03"/>
    <w:rsid w:val="00176F20"/>
    <w:rsid w:val="00177153"/>
    <w:rsid w:val="0017725B"/>
    <w:rsid w:val="001773C0"/>
    <w:rsid w:val="00177535"/>
    <w:rsid w:val="001776F3"/>
    <w:rsid w:val="00177891"/>
    <w:rsid w:val="001778F6"/>
    <w:rsid w:val="00177929"/>
    <w:rsid w:val="001779DB"/>
    <w:rsid w:val="00177A19"/>
    <w:rsid w:val="00177B8C"/>
    <w:rsid w:val="00177BC8"/>
    <w:rsid w:val="00177F41"/>
    <w:rsid w:val="0018032B"/>
    <w:rsid w:val="00180460"/>
    <w:rsid w:val="001805BD"/>
    <w:rsid w:val="001805D5"/>
    <w:rsid w:val="00180642"/>
    <w:rsid w:val="00180DF9"/>
    <w:rsid w:val="00180FA2"/>
    <w:rsid w:val="00180FDB"/>
    <w:rsid w:val="001810C8"/>
    <w:rsid w:val="00181173"/>
    <w:rsid w:val="001817AD"/>
    <w:rsid w:val="001817C2"/>
    <w:rsid w:val="0018182B"/>
    <w:rsid w:val="00181EFF"/>
    <w:rsid w:val="00181F4D"/>
    <w:rsid w:val="00182020"/>
    <w:rsid w:val="00182505"/>
    <w:rsid w:val="00182543"/>
    <w:rsid w:val="00182633"/>
    <w:rsid w:val="001826FA"/>
    <w:rsid w:val="00182904"/>
    <w:rsid w:val="00182E7C"/>
    <w:rsid w:val="00182EA0"/>
    <w:rsid w:val="00182EAF"/>
    <w:rsid w:val="00182EF3"/>
    <w:rsid w:val="00183100"/>
    <w:rsid w:val="001838AE"/>
    <w:rsid w:val="0018394C"/>
    <w:rsid w:val="001839A1"/>
    <w:rsid w:val="00183A8D"/>
    <w:rsid w:val="00184110"/>
    <w:rsid w:val="001841F8"/>
    <w:rsid w:val="0018426A"/>
    <w:rsid w:val="00184290"/>
    <w:rsid w:val="001842DF"/>
    <w:rsid w:val="001844CB"/>
    <w:rsid w:val="001845EA"/>
    <w:rsid w:val="0018478B"/>
    <w:rsid w:val="001848D4"/>
    <w:rsid w:val="00184A67"/>
    <w:rsid w:val="00184BC5"/>
    <w:rsid w:val="00184E0F"/>
    <w:rsid w:val="00184EDF"/>
    <w:rsid w:val="00184F31"/>
    <w:rsid w:val="00185090"/>
    <w:rsid w:val="001852C7"/>
    <w:rsid w:val="00185418"/>
    <w:rsid w:val="001856C7"/>
    <w:rsid w:val="00185933"/>
    <w:rsid w:val="00185AD3"/>
    <w:rsid w:val="00185AFA"/>
    <w:rsid w:val="00185C20"/>
    <w:rsid w:val="00185D5F"/>
    <w:rsid w:val="00185E11"/>
    <w:rsid w:val="00185F50"/>
    <w:rsid w:val="0018640B"/>
    <w:rsid w:val="0018661D"/>
    <w:rsid w:val="001866B3"/>
    <w:rsid w:val="001866DD"/>
    <w:rsid w:val="00186A8B"/>
    <w:rsid w:val="00186B2F"/>
    <w:rsid w:val="00186B35"/>
    <w:rsid w:val="00186B78"/>
    <w:rsid w:val="00186C82"/>
    <w:rsid w:val="00186F29"/>
    <w:rsid w:val="00186FDA"/>
    <w:rsid w:val="001870E0"/>
    <w:rsid w:val="001872D8"/>
    <w:rsid w:val="0018736F"/>
    <w:rsid w:val="00187418"/>
    <w:rsid w:val="0018744B"/>
    <w:rsid w:val="00187574"/>
    <w:rsid w:val="00187577"/>
    <w:rsid w:val="0018757C"/>
    <w:rsid w:val="00187BA9"/>
    <w:rsid w:val="00187D69"/>
    <w:rsid w:val="00187E3F"/>
    <w:rsid w:val="00187FAF"/>
    <w:rsid w:val="001901D1"/>
    <w:rsid w:val="0019066D"/>
    <w:rsid w:val="00190ABE"/>
    <w:rsid w:val="00190AF3"/>
    <w:rsid w:val="00190FF7"/>
    <w:rsid w:val="001911D7"/>
    <w:rsid w:val="0019124E"/>
    <w:rsid w:val="00191433"/>
    <w:rsid w:val="00191A51"/>
    <w:rsid w:val="00191E7C"/>
    <w:rsid w:val="00191F88"/>
    <w:rsid w:val="00191FA3"/>
    <w:rsid w:val="00192218"/>
    <w:rsid w:val="001922CB"/>
    <w:rsid w:val="001923CA"/>
    <w:rsid w:val="00192411"/>
    <w:rsid w:val="0019247B"/>
    <w:rsid w:val="00192EDD"/>
    <w:rsid w:val="0019311E"/>
    <w:rsid w:val="00193160"/>
    <w:rsid w:val="001931F9"/>
    <w:rsid w:val="0019346B"/>
    <w:rsid w:val="001936A8"/>
    <w:rsid w:val="001937B3"/>
    <w:rsid w:val="00193BC4"/>
    <w:rsid w:val="00193D47"/>
    <w:rsid w:val="00193DD0"/>
    <w:rsid w:val="00194151"/>
    <w:rsid w:val="0019458B"/>
    <w:rsid w:val="001948E1"/>
    <w:rsid w:val="00194A39"/>
    <w:rsid w:val="00194BA9"/>
    <w:rsid w:val="00194D17"/>
    <w:rsid w:val="00194EE7"/>
    <w:rsid w:val="001951BC"/>
    <w:rsid w:val="00195257"/>
    <w:rsid w:val="0019531B"/>
    <w:rsid w:val="00195369"/>
    <w:rsid w:val="00195428"/>
    <w:rsid w:val="0019578C"/>
    <w:rsid w:val="00195835"/>
    <w:rsid w:val="0019583B"/>
    <w:rsid w:val="00195AD5"/>
    <w:rsid w:val="00195F1E"/>
    <w:rsid w:val="00196156"/>
    <w:rsid w:val="00196194"/>
    <w:rsid w:val="00196382"/>
    <w:rsid w:val="00196637"/>
    <w:rsid w:val="00196A30"/>
    <w:rsid w:val="00196D6B"/>
    <w:rsid w:val="00196E0A"/>
    <w:rsid w:val="00196F6F"/>
    <w:rsid w:val="001970FC"/>
    <w:rsid w:val="00197405"/>
    <w:rsid w:val="00197748"/>
    <w:rsid w:val="001977C9"/>
    <w:rsid w:val="00197875"/>
    <w:rsid w:val="001979A2"/>
    <w:rsid w:val="00197E35"/>
    <w:rsid w:val="00197F19"/>
    <w:rsid w:val="001A008A"/>
    <w:rsid w:val="001A01E2"/>
    <w:rsid w:val="001A048C"/>
    <w:rsid w:val="001A0A5B"/>
    <w:rsid w:val="001A0BEE"/>
    <w:rsid w:val="001A0D0D"/>
    <w:rsid w:val="001A0E35"/>
    <w:rsid w:val="001A0EFD"/>
    <w:rsid w:val="001A0F1A"/>
    <w:rsid w:val="001A1161"/>
    <w:rsid w:val="001A119B"/>
    <w:rsid w:val="001A174C"/>
    <w:rsid w:val="001A1ADD"/>
    <w:rsid w:val="001A1C3E"/>
    <w:rsid w:val="001A2034"/>
    <w:rsid w:val="001A215C"/>
    <w:rsid w:val="001A21F3"/>
    <w:rsid w:val="001A2389"/>
    <w:rsid w:val="001A24A5"/>
    <w:rsid w:val="001A256C"/>
    <w:rsid w:val="001A259B"/>
    <w:rsid w:val="001A2967"/>
    <w:rsid w:val="001A29D3"/>
    <w:rsid w:val="001A2EF8"/>
    <w:rsid w:val="001A2FE6"/>
    <w:rsid w:val="001A333C"/>
    <w:rsid w:val="001A3535"/>
    <w:rsid w:val="001A3577"/>
    <w:rsid w:val="001A3665"/>
    <w:rsid w:val="001A3688"/>
    <w:rsid w:val="001A3894"/>
    <w:rsid w:val="001A3934"/>
    <w:rsid w:val="001A3D09"/>
    <w:rsid w:val="001A40DB"/>
    <w:rsid w:val="001A44C5"/>
    <w:rsid w:val="001A4933"/>
    <w:rsid w:val="001A4AD5"/>
    <w:rsid w:val="001A4BDF"/>
    <w:rsid w:val="001A4C4A"/>
    <w:rsid w:val="001A4E8B"/>
    <w:rsid w:val="001A4FF2"/>
    <w:rsid w:val="001A50AC"/>
    <w:rsid w:val="001A5153"/>
    <w:rsid w:val="001A541E"/>
    <w:rsid w:val="001A5F09"/>
    <w:rsid w:val="001A6134"/>
    <w:rsid w:val="001A61DF"/>
    <w:rsid w:val="001A62D7"/>
    <w:rsid w:val="001A64A3"/>
    <w:rsid w:val="001A659E"/>
    <w:rsid w:val="001A6B45"/>
    <w:rsid w:val="001A6CA6"/>
    <w:rsid w:val="001A6E51"/>
    <w:rsid w:val="001A7050"/>
    <w:rsid w:val="001A73CC"/>
    <w:rsid w:val="001A7496"/>
    <w:rsid w:val="001A74F3"/>
    <w:rsid w:val="001A7929"/>
    <w:rsid w:val="001A7C7C"/>
    <w:rsid w:val="001A7DCC"/>
    <w:rsid w:val="001B00E5"/>
    <w:rsid w:val="001B0448"/>
    <w:rsid w:val="001B09B5"/>
    <w:rsid w:val="001B0D88"/>
    <w:rsid w:val="001B134F"/>
    <w:rsid w:val="001B1516"/>
    <w:rsid w:val="001B1613"/>
    <w:rsid w:val="001B1A21"/>
    <w:rsid w:val="001B1C39"/>
    <w:rsid w:val="001B1CD1"/>
    <w:rsid w:val="001B1D08"/>
    <w:rsid w:val="001B1DA7"/>
    <w:rsid w:val="001B1F32"/>
    <w:rsid w:val="001B2093"/>
    <w:rsid w:val="001B23BC"/>
    <w:rsid w:val="001B246B"/>
    <w:rsid w:val="001B2760"/>
    <w:rsid w:val="001B2798"/>
    <w:rsid w:val="001B2881"/>
    <w:rsid w:val="001B2A46"/>
    <w:rsid w:val="001B2C7F"/>
    <w:rsid w:val="001B2D68"/>
    <w:rsid w:val="001B33AB"/>
    <w:rsid w:val="001B3428"/>
    <w:rsid w:val="001B3480"/>
    <w:rsid w:val="001B3495"/>
    <w:rsid w:val="001B34E0"/>
    <w:rsid w:val="001B3782"/>
    <w:rsid w:val="001B3785"/>
    <w:rsid w:val="001B3B06"/>
    <w:rsid w:val="001B3B7A"/>
    <w:rsid w:val="001B3D4C"/>
    <w:rsid w:val="001B41F8"/>
    <w:rsid w:val="001B4262"/>
    <w:rsid w:val="001B42C1"/>
    <w:rsid w:val="001B4887"/>
    <w:rsid w:val="001B494E"/>
    <w:rsid w:val="001B4AEE"/>
    <w:rsid w:val="001B4BBB"/>
    <w:rsid w:val="001B4BC3"/>
    <w:rsid w:val="001B4BED"/>
    <w:rsid w:val="001B4CED"/>
    <w:rsid w:val="001B4D4D"/>
    <w:rsid w:val="001B4E13"/>
    <w:rsid w:val="001B5381"/>
    <w:rsid w:val="001B5714"/>
    <w:rsid w:val="001B5AF8"/>
    <w:rsid w:val="001B5B56"/>
    <w:rsid w:val="001B6003"/>
    <w:rsid w:val="001B62A8"/>
    <w:rsid w:val="001B6328"/>
    <w:rsid w:val="001B641E"/>
    <w:rsid w:val="001B6655"/>
    <w:rsid w:val="001B6B46"/>
    <w:rsid w:val="001B6C6F"/>
    <w:rsid w:val="001B6DF7"/>
    <w:rsid w:val="001B6F7A"/>
    <w:rsid w:val="001B6FEB"/>
    <w:rsid w:val="001B753A"/>
    <w:rsid w:val="001B75A8"/>
    <w:rsid w:val="001B7745"/>
    <w:rsid w:val="001B7A88"/>
    <w:rsid w:val="001B7B1D"/>
    <w:rsid w:val="001B7B38"/>
    <w:rsid w:val="001B7C79"/>
    <w:rsid w:val="001B7CE4"/>
    <w:rsid w:val="001B7E41"/>
    <w:rsid w:val="001B7F06"/>
    <w:rsid w:val="001C0121"/>
    <w:rsid w:val="001C01BA"/>
    <w:rsid w:val="001C021A"/>
    <w:rsid w:val="001C03F4"/>
    <w:rsid w:val="001C05EC"/>
    <w:rsid w:val="001C08D6"/>
    <w:rsid w:val="001C0F49"/>
    <w:rsid w:val="001C0FFF"/>
    <w:rsid w:val="001C128B"/>
    <w:rsid w:val="001C1356"/>
    <w:rsid w:val="001C1530"/>
    <w:rsid w:val="001C168D"/>
    <w:rsid w:val="001C16F4"/>
    <w:rsid w:val="001C174B"/>
    <w:rsid w:val="001C1816"/>
    <w:rsid w:val="001C1AD3"/>
    <w:rsid w:val="001C1B67"/>
    <w:rsid w:val="001C1B73"/>
    <w:rsid w:val="001C1E8C"/>
    <w:rsid w:val="001C214A"/>
    <w:rsid w:val="001C216A"/>
    <w:rsid w:val="001C24F0"/>
    <w:rsid w:val="001C25E4"/>
    <w:rsid w:val="001C2696"/>
    <w:rsid w:val="001C2D38"/>
    <w:rsid w:val="001C2DF6"/>
    <w:rsid w:val="001C311E"/>
    <w:rsid w:val="001C3899"/>
    <w:rsid w:val="001C38C8"/>
    <w:rsid w:val="001C39DC"/>
    <w:rsid w:val="001C3ABC"/>
    <w:rsid w:val="001C3BBC"/>
    <w:rsid w:val="001C41BF"/>
    <w:rsid w:val="001C456F"/>
    <w:rsid w:val="001C4A62"/>
    <w:rsid w:val="001C4AF0"/>
    <w:rsid w:val="001C4B61"/>
    <w:rsid w:val="001C4C7E"/>
    <w:rsid w:val="001C4D82"/>
    <w:rsid w:val="001C4E39"/>
    <w:rsid w:val="001C4E91"/>
    <w:rsid w:val="001C4FB2"/>
    <w:rsid w:val="001C5132"/>
    <w:rsid w:val="001C53E1"/>
    <w:rsid w:val="001C548B"/>
    <w:rsid w:val="001C567B"/>
    <w:rsid w:val="001C5691"/>
    <w:rsid w:val="001C5695"/>
    <w:rsid w:val="001C5D32"/>
    <w:rsid w:val="001C5D93"/>
    <w:rsid w:val="001C6421"/>
    <w:rsid w:val="001C666D"/>
    <w:rsid w:val="001C6708"/>
    <w:rsid w:val="001C6AB4"/>
    <w:rsid w:val="001C6B09"/>
    <w:rsid w:val="001C719B"/>
    <w:rsid w:val="001C71B1"/>
    <w:rsid w:val="001C72D1"/>
    <w:rsid w:val="001C73FE"/>
    <w:rsid w:val="001C7722"/>
    <w:rsid w:val="001C773E"/>
    <w:rsid w:val="001C7856"/>
    <w:rsid w:val="001C7BC4"/>
    <w:rsid w:val="001C7C5B"/>
    <w:rsid w:val="001C7E20"/>
    <w:rsid w:val="001C7E7B"/>
    <w:rsid w:val="001D00E3"/>
    <w:rsid w:val="001D042B"/>
    <w:rsid w:val="001D0503"/>
    <w:rsid w:val="001D0943"/>
    <w:rsid w:val="001D097E"/>
    <w:rsid w:val="001D0D9C"/>
    <w:rsid w:val="001D0FE2"/>
    <w:rsid w:val="001D0FE5"/>
    <w:rsid w:val="001D11A4"/>
    <w:rsid w:val="001D1321"/>
    <w:rsid w:val="001D1376"/>
    <w:rsid w:val="001D1386"/>
    <w:rsid w:val="001D1654"/>
    <w:rsid w:val="001D1714"/>
    <w:rsid w:val="001D1AC0"/>
    <w:rsid w:val="001D1E1E"/>
    <w:rsid w:val="001D2328"/>
    <w:rsid w:val="001D248B"/>
    <w:rsid w:val="001D28F4"/>
    <w:rsid w:val="001D2FA6"/>
    <w:rsid w:val="001D32F3"/>
    <w:rsid w:val="001D343C"/>
    <w:rsid w:val="001D36DA"/>
    <w:rsid w:val="001D3805"/>
    <w:rsid w:val="001D3D56"/>
    <w:rsid w:val="001D435B"/>
    <w:rsid w:val="001D4484"/>
    <w:rsid w:val="001D4ECE"/>
    <w:rsid w:val="001D512E"/>
    <w:rsid w:val="001D5167"/>
    <w:rsid w:val="001D525E"/>
    <w:rsid w:val="001D54B1"/>
    <w:rsid w:val="001D571E"/>
    <w:rsid w:val="001D578C"/>
    <w:rsid w:val="001D58FB"/>
    <w:rsid w:val="001D5915"/>
    <w:rsid w:val="001D5A30"/>
    <w:rsid w:val="001D5A5E"/>
    <w:rsid w:val="001D5AA6"/>
    <w:rsid w:val="001D5CAF"/>
    <w:rsid w:val="001D5DD5"/>
    <w:rsid w:val="001D5E92"/>
    <w:rsid w:val="001D5EED"/>
    <w:rsid w:val="001D60A6"/>
    <w:rsid w:val="001D625F"/>
    <w:rsid w:val="001D6409"/>
    <w:rsid w:val="001D6443"/>
    <w:rsid w:val="001D6513"/>
    <w:rsid w:val="001D6638"/>
    <w:rsid w:val="001D670B"/>
    <w:rsid w:val="001D6C32"/>
    <w:rsid w:val="001D6CA7"/>
    <w:rsid w:val="001D6CB7"/>
    <w:rsid w:val="001D6FA7"/>
    <w:rsid w:val="001D6FF2"/>
    <w:rsid w:val="001D724F"/>
    <w:rsid w:val="001D759F"/>
    <w:rsid w:val="001D7651"/>
    <w:rsid w:val="001D766D"/>
    <w:rsid w:val="001D7687"/>
    <w:rsid w:val="001D772D"/>
    <w:rsid w:val="001D7745"/>
    <w:rsid w:val="001D78AC"/>
    <w:rsid w:val="001D7AF4"/>
    <w:rsid w:val="001D7BF9"/>
    <w:rsid w:val="001D7C8B"/>
    <w:rsid w:val="001D7E39"/>
    <w:rsid w:val="001D7F5D"/>
    <w:rsid w:val="001E0084"/>
    <w:rsid w:val="001E0455"/>
    <w:rsid w:val="001E052B"/>
    <w:rsid w:val="001E06BA"/>
    <w:rsid w:val="001E06FB"/>
    <w:rsid w:val="001E08F4"/>
    <w:rsid w:val="001E0994"/>
    <w:rsid w:val="001E0B72"/>
    <w:rsid w:val="001E0DED"/>
    <w:rsid w:val="001E0DFB"/>
    <w:rsid w:val="001E124A"/>
    <w:rsid w:val="001E132A"/>
    <w:rsid w:val="001E135D"/>
    <w:rsid w:val="001E14BA"/>
    <w:rsid w:val="001E150D"/>
    <w:rsid w:val="001E1BD2"/>
    <w:rsid w:val="001E1C90"/>
    <w:rsid w:val="001E1CC1"/>
    <w:rsid w:val="001E222F"/>
    <w:rsid w:val="001E24FD"/>
    <w:rsid w:val="001E2548"/>
    <w:rsid w:val="001E26BE"/>
    <w:rsid w:val="001E26F5"/>
    <w:rsid w:val="001E2B3F"/>
    <w:rsid w:val="001E2CB1"/>
    <w:rsid w:val="001E2D83"/>
    <w:rsid w:val="001E30B1"/>
    <w:rsid w:val="001E30B6"/>
    <w:rsid w:val="001E318F"/>
    <w:rsid w:val="001E335A"/>
    <w:rsid w:val="001E34F2"/>
    <w:rsid w:val="001E3559"/>
    <w:rsid w:val="001E35F7"/>
    <w:rsid w:val="001E3B17"/>
    <w:rsid w:val="001E3CDF"/>
    <w:rsid w:val="001E3E81"/>
    <w:rsid w:val="001E404E"/>
    <w:rsid w:val="001E4319"/>
    <w:rsid w:val="001E4683"/>
    <w:rsid w:val="001E4A6C"/>
    <w:rsid w:val="001E4AD4"/>
    <w:rsid w:val="001E4D93"/>
    <w:rsid w:val="001E4E17"/>
    <w:rsid w:val="001E4F07"/>
    <w:rsid w:val="001E5112"/>
    <w:rsid w:val="001E520B"/>
    <w:rsid w:val="001E52B9"/>
    <w:rsid w:val="001E52C7"/>
    <w:rsid w:val="001E55AB"/>
    <w:rsid w:val="001E578D"/>
    <w:rsid w:val="001E5B9D"/>
    <w:rsid w:val="001E5C6F"/>
    <w:rsid w:val="001E60FB"/>
    <w:rsid w:val="001E6B28"/>
    <w:rsid w:val="001E6EBA"/>
    <w:rsid w:val="001E6F97"/>
    <w:rsid w:val="001E72B4"/>
    <w:rsid w:val="001E73EB"/>
    <w:rsid w:val="001E74F3"/>
    <w:rsid w:val="001E75E7"/>
    <w:rsid w:val="001E76F4"/>
    <w:rsid w:val="001E77B4"/>
    <w:rsid w:val="001E78E8"/>
    <w:rsid w:val="001E79D8"/>
    <w:rsid w:val="001E7B79"/>
    <w:rsid w:val="001E7DF9"/>
    <w:rsid w:val="001F0279"/>
    <w:rsid w:val="001F027B"/>
    <w:rsid w:val="001F04D1"/>
    <w:rsid w:val="001F0513"/>
    <w:rsid w:val="001F060C"/>
    <w:rsid w:val="001F0629"/>
    <w:rsid w:val="001F0A0D"/>
    <w:rsid w:val="001F0C2B"/>
    <w:rsid w:val="001F107B"/>
    <w:rsid w:val="001F1396"/>
    <w:rsid w:val="001F13D8"/>
    <w:rsid w:val="001F153E"/>
    <w:rsid w:val="001F1547"/>
    <w:rsid w:val="001F158A"/>
    <w:rsid w:val="001F16C3"/>
    <w:rsid w:val="001F1AAF"/>
    <w:rsid w:val="001F23ED"/>
    <w:rsid w:val="001F2888"/>
    <w:rsid w:val="001F298C"/>
    <w:rsid w:val="001F2C6A"/>
    <w:rsid w:val="001F2F41"/>
    <w:rsid w:val="001F2F6D"/>
    <w:rsid w:val="001F2F7F"/>
    <w:rsid w:val="001F3214"/>
    <w:rsid w:val="001F372C"/>
    <w:rsid w:val="001F3A59"/>
    <w:rsid w:val="001F3C59"/>
    <w:rsid w:val="001F3E18"/>
    <w:rsid w:val="001F4125"/>
    <w:rsid w:val="001F433C"/>
    <w:rsid w:val="001F462A"/>
    <w:rsid w:val="001F4698"/>
    <w:rsid w:val="001F4D5D"/>
    <w:rsid w:val="001F4F2E"/>
    <w:rsid w:val="001F507F"/>
    <w:rsid w:val="001F50C0"/>
    <w:rsid w:val="001F5233"/>
    <w:rsid w:val="001F5347"/>
    <w:rsid w:val="001F5398"/>
    <w:rsid w:val="001F563E"/>
    <w:rsid w:val="001F5AB2"/>
    <w:rsid w:val="001F5F08"/>
    <w:rsid w:val="001F603B"/>
    <w:rsid w:val="001F607C"/>
    <w:rsid w:val="001F60BC"/>
    <w:rsid w:val="001F623A"/>
    <w:rsid w:val="001F66CB"/>
    <w:rsid w:val="001F6AC2"/>
    <w:rsid w:val="001F6C8B"/>
    <w:rsid w:val="001F6D8C"/>
    <w:rsid w:val="001F720A"/>
    <w:rsid w:val="001F72E5"/>
    <w:rsid w:val="001F73FF"/>
    <w:rsid w:val="001F74BC"/>
    <w:rsid w:val="001F7521"/>
    <w:rsid w:val="001F7728"/>
    <w:rsid w:val="001F78B2"/>
    <w:rsid w:val="001F7915"/>
    <w:rsid w:val="001F7C02"/>
    <w:rsid w:val="001F7C32"/>
    <w:rsid w:val="001F7D8A"/>
    <w:rsid w:val="001F7DA6"/>
    <w:rsid w:val="001F7E17"/>
    <w:rsid w:val="00200393"/>
    <w:rsid w:val="002004F6"/>
    <w:rsid w:val="002007CB"/>
    <w:rsid w:val="00200AE9"/>
    <w:rsid w:val="00200B79"/>
    <w:rsid w:val="00200CA1"/>
    <w:rsid w:val="002011A9"/>
    <w:rsid w:val="00201438"/>
    <w:rsid w:val="00201B07"/>
    <w:rsid w:val="00201C1D"/>
    <w:rsid w:val="00201C2B"/>
    <w:rsid w:val="00201C50"/>
    <w:rsid w:val="00201CCA"/>
    <w:rsid w:val="00201D78"/>
    <w:rsid w:val="002021DF"/>
    <w:rsid w:val="0020236C"/>
    <w:rsid w:val="00202E45"/>
    <w:rsid w:val="00202F11"/>
    <w:rsid w:val="00202F68"/>
    <w:rsid w:val="00203071"/>
    <w:rsid w:val="0020308A"/>
    <w:rsid w:val="00203195"/>
    <w:rsid w:val="002031C4"/>
    <w:rsid w:val="002035A2"/>
    <w:rsid w:val="002036A1"/>
    <w:rsid w:val="0020376C"/>
    <w:rsid w:val="00203909"/>
    <w:rsid w:val="00203969"/>
    <w:rsid w:val="002039DE"/>
    <w:rsid w:val="002039FB"/>
    <w:rsid w:val="00203D80"/>
    <w:rsid w:val="00203F64"/>
    <w:rsid w:val="00204629"/>
    <w:rsid w:val="00204999"/>
    <w:rsid w:val="002049B3"/>
    <w:rsid w:val="00204E3D"/>
    <w:rsid w:val="00204ECE"/>
    <w:rsid w:val="00205433"/>
    <w:rsid w:val="00205511"/>
    <w:rsid w:val="0020566E"/>
    <w:rsid w:val="00205793"/>
    <w:rsid w:val="00205AE4"/>
    <w:rsid w:val="00205B6F"/>
    <w:rsid w:val="00205E0A"/>
    <w:rsid w:val="00205E56"/>
    <w:rsid w:val="00205E88"/>
    <w:rsid w:val="002061C2"/>
    <w:rsid w:val="00206245"/>
    <w:rsid w:val="0020627A"/>
    <w:rsid w:val="00206639"/>
    <w:rsid w:val="002066F4"/>
    <w:rsid w:val="002066FB"/>
    <w:rsid w:val="002068DC"/>
    <w:rsid w:val="002069E3"/>
    <w:rsid w:val="00206ECE"/>
    <w:rsid w:val="00207062"/>
    <w:rsid w:val="00207198"/>
    <w:rsid w:val="002071E3"/>
    <w:rsid w:val="0020747A"/>
    <w:rsid w:val="002075FB"/>
    <w:rsid w:val="002077A5"/>
    <w:rsid w:val="00207845"/>
    <w:rsid w:val="0020784C"/>
    <w:rsid w:val="002079D4"/>
    <w:rsid w:val="002079FF"/>
    <w:rsid w:val="00207C13"/>
    <w:rsid w:val="00207C31"/>
    <w:rsid w:val="00207C3D"/>
    <w:rsid w:val="00210292"/>
    <w:rsid w:val="002106A9"/>
    <w:rsid w:val="002107C6"/>
    <w:rsid w:val="0021081B"/>
    <w:rsid w:val="00210AD7"/>
    <w:rsid w:val="00210E0B"/>
    <w:rsid w:val="00210F16"/>
    <w:rsid w:val="0021102E"/>
    <w:rsid w:val="002110F1"/>
    <w:rsid w:val="00211181"/>
    <w:rsid w:val="00211203"/>
    <w:rsid w:val="002114D7"/>
    <w:rsid w:val="0021158E"/>
    <w:rsid w:val="002117BD"/>
    <w:rsid w:val="002119C5"/>
    <w:rsid w:val="00211A91"/>
    <w:rsid w:val="00211BEF"/>
    <w:rsid w:val="00211DE2"/>
    <w:rsid w:val="00211ECD"/>
    <w:rsid w:val="00211F51"/>
    <w:rsid w:val="00212040"/>
    <w:rsid w:val="002120E5"/>
    <w:rsid w:val="00212336"/>
    <w:rsid w:val="002124D7"/>
    <w:rsid w:val="00212520"/>
    <w:rsid w:val="00212523"/>
    <w:rsid w:val="0021283B"/>
    <w:rsid w:val="00212B78"/>
    <w:rsid w:val="00212D94"/>
    <w:rsid w:val="00212E0B"/>
    <w:rsid w:val="00212E4C"/>
    <w:rsid w:val="00212EC6"/>
    <w:rsid w:val="0021309A"/>
    <w:rsid w:val="002131C7"/>
    <w:rsid w:val="0021372F"/>
    <w:rsid w:val="00213948"/>
    <w:rsid w:val="00213A72"/>
    <w:rsid w:val="00213AB8"/>
    <w:rsid w:val="00213C05"/>
    <w:rsid w:val="002140A3"/>
    <w:rsid w:val="00214BE4"/>
    <w:rsid w:val="00214F5B"/>
    <w:rsid w:val="00215008"/>
    <w:rsid w:val="00215090"/>
    <w:rsid w:val="00215167"/>
    <w:rsid w:val="002151B3"/>
    <w:rsid w:val="00215368"/>
    <w:rsid w:val="0021549D"/>
    <w:rsid w:val="002154A5"/>
    <w:rsid w:val="002155A1"/>
    <w:rsid w:val="002155CF"/>
    <w:rsid w:val="0021574A"/>
    <w:rsid w:val="00215CFB"/>
    <w:rsid w:val="00216324"/>
    <w:rsid w:val="00216642"/>
    <w:rsid w:val="002166E3"/>
    <w:rsid w:val="00216FB4"/>
    <w:rsid w:val="002171AF"/>
    <w:rsid w:val="00217336"/>
    <w:rsid w:val="00217338"/>
    <w:rsid w:val="00217409"/>
    <w:rsid w:val="0021745F"/>
    <w:rsid w:val="002174CF"/>
    <w:rsid w:val="00217512"/>
    <w:rsid w:val="00217575"/>
    <w:rsid w:val="002179F5"/>
    <w:rsid w:val="00217A41"/>
    <w:rsid w:val="00217A54"/>
    <w:rsid w:val="00217B66"/>
    <w:rsid w:val="00217C9F"/>
    <w:rsid w:val="00217CDE"/>
    <w:rsid w:val="00217D3A"/>
    <w:rsid w:val="0022001E"/>
    <w:rsid w:val="0022013E"/>
    <w:rsid w:val="002201A9"/>
    <w:rsid w:val="002202D6"/>
    <w:rsid w:val="00220319"/>
    <w:rsid w:val="0022067F"/>
    <w:rsid w:val="00220845"/>
    <w:rsid w:val="00220A33"/>
    <w:rsid w:val="002214AF"/>
    <w:rsid w:val="002214C6"/>
    <w:rsid w:val="00221573"/>
    <w:rsid w:val="0022196F"/>
    <w:rsid w:val="002219C8"/>
    <w:rsid w:val="00221E7B"/>
    <w:rsid w:val="00221F8C"/>
    <w:rsid w:val="0022210A"/>
    <w:rsid w:val="002223F8"/>
    <w:rsid w:val="002227F4"/>
    <w:rsid w:val="00222AAE"/>
    <w:rsid w:val="00222CA3"/>
    <w:rsid w:val="00222D36"/>
    <w:rsid w:val="00222F99"/>
    <w:rsid w:val="002230AE"/>
    <w:rsid w:val="002231D1"/>
    <w:rsid w:val="002231DE"/>
    <w:rsid w:val="002233C9"/>
    <w:rsid w:val="00223955"/>
    <w:rsid w:val="002239C9"/>
    <w:rsid w:val="00223B4D"/>
    <w:rsid w:val="00223E6F"/>
    <w:rsid w:val="00224051"/>
    <w:rsid w:val="0022415D"/>
    <w:rsid w:val="002241A7"/>
    <w:rsid w:val="00224279"/>
    <w:rsid w:val="0022432E"/>
    <w:rsid w:val="0022444D"/>
    <w:rsid w:val="002244E7"/>
    <w:rsid w:val="002245BB"/>
    <w:rsid w:val="002246A2"/>
    <w:rsid w:val="002246BE"/>
    <w:rsid w:val="0022474C"/>
    <w:rsid w:val="0022491D"/>
    <w:rsid w:val="00224DAA"/>
    <w:rsid w:val="00224E96"/>
    <w:rsid w:val="00224FF3"/>
    <w:rsid w:val="0022503B"/>
    <w:rsid w:val="002254FA"/>
    <w:rsid w:val="0022551F"/>
    <w:rsid w:val="002255D7"/>
    <w:rsid w:val="002255E3"/>
    <w:rsid w:val="00225636"/>
    <w:rsid w:val="0022592F"/>
    <w:rsid w:val="00225A1A"/>
    <w:rsid w:val="00225A9D"/>
    <w:rsid w:val="00225B6B"/>
    <w:rsid w:val="00225BC2"/>
    <w:rsid w:val="00225C3B"/>
    <w:rsid w:val="00225C3D"/>
    <w:rsid w:val="00225CA7"/>
    <w:rsid w:val="00225E93"/>
    <w:rsid w:val="00225EC9"/>
    <w:rsid w:val="002260C2"/>
    <w:rsid w:val="0022654F"/>
    <w:rsid w:val="002266DF"/>
    <w:rsid w:val="00226737"/>
    <w:rsid w:val="00226805"/>
    <w:rsid w:val="00226C45"/>
    <w:rsid w:val="00226D22"/>
    <w:rsid w:val="00226D75"/>
    <w:rsid w:val="00226DA7"/>
    <w:rsid w:val="00227059"/>
    <w:rsid w:val="002270A8"/>
    <w:rsid w:val="002277BC"/>
    <w:rsid w:val="0022783E"/>
    <w:rsid w:val="0022791C"/>
    <w:rsid w:val="002279C2"/>
    <w:rsid w:val="00227AAF"/>
    <w:rsid w:val="00227C01"/>
    <w:rsid w:val="00227C2C"/>
    <w:rsid w:val="00227CB4"/>
    <w:rsid w:val="00227D9B"/>
    <w:rsid w:val="00227F2D"/>
    <w:rsid w:val="002302A2"/>
    <w:rsid w:val="00230738"/>
    <w:rsid w:val="00230774"/>
    <w:rsid w:val="0023088D"/>
    <w:rsid w:val="002308C4"/>
    <w:rsid w:val="002309E8"/>
    <w:rsid w:val="00230B3B"/>
    <w:rsid w:val="00230C5B"/>
    <w:rsid w:val="00230C70"/>
    <w:rsid w:val="00230D0B"/>
    <w:rsid w:val="0023148C"/>
    <w:rsid w:val="002315DC"/>
    <w:rsid w:val="00231949"/>
    <w:rsid w:val="00231955"/>
    <w:rsid w:val="00231D99"/>
    <w:rsid w:val="00231DE8"/>
    <w:rsid w:val="00231FD1"/>
    <w:rsid w:val="00232053"/>
    <w:rsid w:val="0023234D"/>
    <w:rsid w:val="002323EF"/>
    <w:rsid w:val="0023254B"/>
    <w:rsid w:val="002326B0"/>
    <w:rsid w:val="002328A2"/>
    <w:rsid w:val="00232C3B"/>
    <w:rsid w:val="00232EE8"/>
    <w:rsid w:val="002331AF"/>
    <w:rsid w:val="002331FB"/>
    <w:rsid w:val="002336D0"/>
    <w:rsid w:val="0023393A"/>
    <w:rsid w:val="002339AC"/>
    <w:rsid w:val="00233A0A"/>
    <w:rsid w:val="00233C1B"/>
    <w:rsid w:val="00233F3C"/>
    <w:rsid w:val="002341D1"/>
    <w:rsid w:val="002341D4"/>
    <w:rsid w:val="00234323"/>
    <w:rsid w:val="00234352"/>
    <w:rsid w:val="002343F9"/>
    <w:rsid w:val="00234623"/>
    <w:rsid w:val="002346CE"/>
    <w:rsid w:val="002347CF"/>
    <w:rsid w:val="0023487F"/>
    <w:rsid w:val="0023493F"/>
    <w:rsid w:val="00234993"/>
    <w:rsid w:val="00234A01"/>
    <w:rsid w:val="00234B1D"/>
    <w:rsid w:val="00234BFF"/>
    <w:rsid w:val="00234E27"/>
    <w:rsid w:val="002350E6"/>
    <w:rsid w:val="00235185"/>
    <w:rsid w:val="00235409"/>
    <w:rsid w:val="00235421"/>
    <w:rsid w:val="00235459"/>
    <w:rsid w:val="00235604"/>
    <w:rsid w:val="00235925"/>
    <w:rsid w:val="00235A30"/>
    <w:rsid w:val="00235CC1"/>
    <w:rsid w:val="00235F1A"/>
    <w:rsid w:val="00236190"/>
    <w:rsid w:val="002362EE"/>
    <w:rsid w:val="0023636B"/>
    <w:rsid w:val="00236499"/>
    <w:rsid w:val="002365F9"/>
    <w:rsid w:val="002367A5"/>
    <w:rsid w:val="00236D27"/>
    <w:rsid w:val="00236D4D"/>
    <w:rsid w:val="00236D6B"/>
    <w:rsid w:val="00236DCE"/>
    <w:rsid w:val="00236FFD"/>
    <w:rsid w:val="00237285"/>
    <w:rsid w:val="002374D9"/>
    <w:rsid w:val="00237634"/>
    <w:rsid w:val="002376CC"/>
    <w:rsid w:val="0023783D"/>
    <w:rsid w:val="002378A3"/>
    <w:rsid w:val="00237980"/>
    <w:rsid w:val="00237A9B"/>
    <w:rsid w:val="00237C62"/>
    <w:rsid w:val="00237D2F"/>
    <w:rsid w:val="00237D88"/>
    <w:rsid w:val="00237EA4"/>
    <w:rsid w:val="00237F01"/>
    <w:rsid w:val="00237F53"/>
    <w:rsid w:val="002401C0"/>
    <w:rsid w:val="002404B4"/>
    <w:rsid w:val="002406BE"/>
    <w:rsid w:val="00240910"/>
    <w:rsid w:val="00240B4D"/>
    <w:rsid w:val="00240C88"/>
    <w:rsid w:val="00240D74"/>
    <w:rsid w:val="00240FAA"/>
    <w:rsid w:val="0024100E"/>
    <w:rsid w:val="0024107B"/>
    <w:rsid w:val="002410FE"/>
    <w:rsid w:val="002412DE"/>
    <w:rsid w:val="00241392"/>
    <w:rsid w:val="00241404"/>
    <w:rsid w:val="00241537"/>
    <w:rsid w:val="00241749"/>
    <w:rsid w:val="002417F6"/>
    <w:rsid w:val="0024183F"/>
    <w:rsid w:val="0024188C"/>
    <w:rsid w:val="00241AFE"/>
    <w:rsid w:val="00241B27"/>
    <w:rsid w:val="00241E3B"/>
    <w:rsid w:val="00241EED"/>
    <w:rsid w:val="002420D4"/>
    <w:rsid w:val="002420DA"/>
    <w:rsid w:val="0024234C"/>
    <w:rsid w:val="00242363"/>
    <w:rsid w:val="002423B8"/>
    <w:rsid w:val="00242557"/>
    <w:rsid w:val="002426BD"/>
    <w:rsid w:val="00242B91"/>
    <w:rsid w:val="00242C63"/>
    <w:rsid w:val="00242F31"/>
    <w:rsid w:val="0024322B"/>
    <w:rsid w:val="00243310"/>
    <w:rsid w:val="0024342A"/>
    <w:rsid w:val="00243456"/>
    <w:rsid w:val="00243461"/>
    <w:rsid w:val="002434E4"/>
    <w:rsid w:val="0024383A"/>
    <w:rsid w:val="002439B4"/>
    <w:rsid w:val="00243A3F"/>
    <w:rsid w:val="00243AE5"/>
    <w:rsid w:val="00243B0F"/>
    <w:rsid w:val="00243B74"/>
    <w:rsid w:val="00243C16"/>
    <w:rsid w:val="00243CB5"/>
    <w:rsid w:val="00243E75"/>
    <w:rsid w:val="00243EAF"/>
    <w:rsid w:val="00244368"/>
    <w:rsid w:val="002444AD"/>
    <w:rsid w:val="00244A2D"/>
    <w:rsid w:val="0024514E"/>
    <w:rsid w:val="002453BE"/>
    <w:rsid w:val="002454F3"/>
    <w:rsid w:val="00245687"/>
    <w:rsid w:val="002459DF"/>
    <w:rsid w:val="00245C02"/>
    <w:rsid w:val="00245C49"/>
    <w:rsid w:val="00245C69"/>
    <w:rsid w:val="00245DD6"/>
    <w:rsid w:val="00245E18"/>
    <w:rsid w:val="00245FD7"/>
    <w:rsid w:val="002460AC"/>
    <w:rsid w:val="0024617E"/>
    <w:rsid w:val="00246271"/>
    <w:rsid w:val="002463F6"/>
    <w:rsid w:val="002466BD"/>
    <w:rsid w:val="0024684B"/>
    <w:rsid w:val="002469DF"/>
    <w:rsid w:val="00246A7C"/>
    <w:rsid w:val="00246AB3"/>
    <w:rsid w:val="00246D05"/>
    <w:rsid w:val="00246FD5"/>
    <w:rsid w:val="0024751D"/>
    <w:rsid w:val="00247B58"/>
    <w:rsid w:val="00247C49"/>
    <w:rsid w:val="00247F9E"/>
    <w:rsid w:val="00250661"/>
    <w:rsid w:val="0025078C"/>
    <w:rsid w:val="00250B81"/>
    <w:rsid w:val="00250EA8"/>
    <w:rsid w:val="00251095"/>
    <w:rsid w:val="002511A2"/>
    <w:rsid w:val="0025140D"/>
    <w:rsid w:val="0025152B"/>
    <w:rsid w:val="002517EA"/>
    <w:rsid w:val="0025181E"/>
    <w:rsid w:val="00251859"/>
    <w:rsid w:val="00251A6E"/>
    <w:rsid w:val="00251D85"/>
    <w:rsid w:val="00251D94"/>
    <w:rsid w:val="00251FD7"/>
    <w:rsid w:val="00252082"/>
    <w:rsid w:val="00252187"/>
    <w:rsid w:val="002523D4"/>
    <w:rsid w:val="002524D8"/>
    <w:rsid w:val="00252649"/>
    <w:rsid w:val="0025269A"/>
    <w:rsid w:val="0025291A"/>
    <w:rsid w:val="00252B22"/>
    <w:rsid w:val="00252C86"/>
    <w:rsid w:val="002530C5"/>
    <w:rsid w:val="00253271"/>
    <w:rsid w:val="00253387"/>
    <w:rsid w:val="00253390"/>
    <w:rsid w:val="002536E3"/>
    <w:rsid w:val="0025379E"/>
    <w:rsid w:val="00253957"/>
    <w:rsid w:val="00253B77"/>
    <w:rsid w:val="00254041"/>
    <w:rsid w:val="00254054"/>
    <w:rsid w:val="00254098"/>
    <w:rsid w:val="002540CB"/>
    <w:rsid w:val="002541F9"/>
    <w:rsid w:val="00254321"/>
    <w:rsid w:val="00254476"/>
    <w:rsid w:val="00254524"/>
    <w:rsid w:val="00254B24"/>
    <w:rsid w:val="00254BB4"/>
    <w:rsid w:val="00254EC9"/>
    <w:rsid w:val="00254F70"/>
    <w:rsid w:val="00255134"/>
    <w:rsid w:val="0025514B"/>
    <w:rsid w:val="0025519D"/>
    <w:rsid w:val="00255298"/>
    <w:rsid w:val="0025530C"/>
    <w:rsid w:val="00255555"/>
    <w:rsid w:val="00255618"/>
    <w:rsid w:val="002556AF"/>
    <w:rsid w:val="002556DF"/>
    <w:rsid w:val="002559B0"/>
    <w:rsid w:val="00255D17"/>
    <w:rsid w:val="00255D75"/>
    <w:rsid w:val="00255D7E"/>
    <w:rsid w:val="00256237"/>
    <w:rsid w:val="00256329"/>
    <w:rsid w:val="00256A3A"/>
    <w:rsid w:val="00256A98"/>
    <w:rsid w:val="00256DA3"/>
    <w:rsid w:val="00256EC3"/>
    <w:rsid w:val="0025723E"/>
    <w:rsid w:val="00257267"/>
    <w:rsid w:val="0025727C"/>
    <w:rsid w:val="00257378"/>
    <w:rsid w:val="0025755E"/>
    <w:rsid w:val="00257813"/>
    <w:rsid w:val="002578A0"/>
    <w:rsid w:val="0025796F"/>
    <w:rsid w:val="00257B2A"/>
    <w:rsid w:val="00257C1A"/>
    <w:rsid w:val="00257C31"/>
    <w:rsid w:val="00257C51"/>
    <w:rsid w:val="00257E64"/>
    <w:rsid w:val="00260120"/>
    <w:rsid w:val="0026051E"/>
    <w:rsid w:val="002605F3"/>
    <w:rsid w:val="00260652"/>
    <w:rsid w:val="00260A9B"/>
    <w:rsid w:val="00260BAF"/>
    <w:rsid w:val="00260BE2"/>
    <w:rsid w:val="00260C4D"/>
    <w:rsid w:val="00260C99"/>
    <w:rsid w:val="00260CEE"/>
    <w:rsid w:val="00260DB6"/>
    <w:rsid w:val="00260E39"/>
    <w:rsid w:val="00261079"/>
    <w:rsid w:val="002612D0"/>
    <w:rsid w:val="00261424"/>
    <w:rsid w:val="00261716"/>
    <w:rsid w:val="002617B3"/>
    <w:rsid w:val="00261808"/>
    <w:rsid w:val="0026198C"/>
    <w:rsid w:val="00261A4D"/>
    <w:rsid w:val="00261B3E"/>
    <w:rsid w:val="00261DD6"/>
    <w:rsid w:val="002621F5"/>
    <w:rsid w:val="002622F8"/>
    <w:rsid w:val="00262371"/>
    <w:rsid w:val="002625CB"/>
    <w:rsid w:val="0026261B"/>
    <w:rsid w:val="0026272A"/>
    <w:rsid w:val="00262DE4"/>
    <w:rsid w:val="00262E75"/>
    <w:rsid w:val="00262EA6"/>
    <w:rsid w:val="0026308C"/>
    <w:rsid w:val="002630E8"/>
    <w:rsid w:val="00263467"/>
    <w:rsid w:val="00263752"/>
    <w:rsid w:val="00263C72"/>
    <w:rsid w:val="00263CF8"/>
    <w:rsid w:val="00263DA1"/>
    <w:rsid w:val="00263DD9"/>
    <w:rsid w:val="00263E9C"/>
    <w:rsid w:val="00263ED7"/>
    <w:rsid w:val="00263F2B"/>
    <w:rsid w:val="00264096"/>
    <w:rsid w:val="00264214"/>
    <w:rsid w:val="0026446A"/>
    <w:rsid w:val="0026454B"/>
    <w:rsid w:val="00264590"/>
    <w:rsid w:val="002645D6"/>
    <w:rsid w:val="0026479B"/>
    <w:rsid w:val="00264A6A"/>
    <w:rsid w:val="00264BDB"/>
    <w:rsid w:val="00264CEF"/>
    <w:rsid w:val="00264F0F"/>
    <w:rsid w:val="00264FC7"/>
    <w:rsid w:val="002652AC"/>
    <w:rsid w:val="00265300"/>
    <w:rsid w:val="0026532F"/>
    <w:rsid w:val="002653AB"/>
    <w:rsid w:val="00265473"/>
    <w:rsid w:val="0026548A"/>
    <w:rsid w:val="00265598"/>
    <w:rsid w:val="002658D3"/>
    <w:rsid w:val="00265956"/>
    <w:rsid w:val="00265C45"/>
    <w:rsid w:val="00265DBE"/>
    <w:rsid w:val="002660B8"/>
    <w:rsid w:val="00266197"/>
    <w:rsid w:val="002667C1"/>
    <w:rsid w:val="0026698B"/>
    <w:rsid w:val="00266AFD"/>
    <w:rsid w:val="00266B14"/>
    <w:rsid w:val="00266FA7"/>
    <w:rsid w:val="002671AE"/>
    <w:rsid w:val="0026725E"/>
    <w:rsid w:val="00267478"/>
    <w:rsid w:val="002676CA"/>
    <w:rsid w:val="0026798A"/>
    <w:rsid w:val="002700D4"/>
    <w:rsid w:val="0027024B"/>
    <w:rsid w:val="00270307"/>
    <w:rsid w:val="002703F4"/>
    <w:rsid w:val="002704D5"/>
    <w:rsid w:val="00270989"/>
    <w:rsid w:val="002709D5"/>
    <w:rsid w:val="00270AD6"/>
    <w:rsid w:val="00270C06"/>
    <w:rsid w:val="00270CA5"/>
    <w:rsid w:val="002711F8"/>
    <w:rsid w:val="002713B6"/>
    <w:rsid w:val="002716B1"/>
    <w:rsid w:val="002717E3"/>
    <w:rsid w:val="002718B0"/>
    <w:rsid w:val="00271958"/>
    <w:rsid w:val="002719B8"/>
    <w:rsid w:val="00271C23"/>
    <w:rsid w:val="00271C65"/>
    <w:rsid w:val="00271D48"/>
    <w:rsid w:val="00271DD7"/>
    <w:rsid w:val="0027207B"/>
    <w:rsid w:val="00272188"/>
    <w:rsid w:val="0027218D"/>
    <w:rsid w:val="00272237"/>
    <w:rsid w:val="002723EA"/>
    <w:rsid w:val="00272A71"/>
    <w:rsid w:val="00272E36"/>
    <w:rsid w:val="00272EE5"/>
    <w:rsid w:val="0027311E"/>
    <w:rsid w:val="0027325B"/>
    <w:rsid w:val="002733ED"/>
    <w:rsid w:val="002733FF"/>
    <w:rsid w:val="0027359E"/>
    <w:rsid w:val="002739B0"/>
    <w:rsid w:val="002739D4"/>
    <w:rsid w:val="00273A88"/>
    <w:rsid w:val="00273B19"/>
    <w:rsid w:val="00273C1E"/>
    <w:rsid w:val="00273CB5"/>
    <w:rsid w:val="00273F07"/>
    <w:rsid w:val="0027409A"/>
    <w:rsid w:val="002741F4"/>
    <w:rsid w:val="0027423C"/>
    <w:rsid w:val="002743C2"/>
    <w:rsid w:val="00274508"/>
    <w:rsid w:val="002745B7"/>
    <w:rsid w:val="0027484F"/>
    <w:rsid w:val="00274C0B"/>
    <w:rsid w:val="00274D37"/>
    <w:rsid w:val="00274D4B"/>
    <w:rsid w:val="00274F1C"/>
    <w:rsid w:val="00274F68"/>
    <w:rsid w:val="002753F8"/>
    <w:rsid w:val="00275807"/>
    <w:rsid w:val="00275873"/>
    <w:rsid w:val="00275C4C"/>
    <w:rsid w:val="00275CEA"/>
    <w:rsid w:val="00275D00"/>
    <w:rsid w:val="002762FE"/>
    <w:rsid w:val="00276306"/>
    <w:rsid w:val="002763EE"/>
    <w:rsid w:val="002765AE"/>
    <w:rsid w:val="00276674"/>
    <w:rsid w:val="00276C31"/>
    <w:rsid w:val="00276C97"/>
    <w:rsid w:val="00276FB0"/>
    <w:rsid w:val="00277015"/>
    <w:rsid w:val="002770E9"/>
    <w:rsid w:val="00277461"/>
    <w:rsid w:val="0027747D"/>
    <w:rsid w:val="002775CA"/>
    <w:rsid w:val="002777DF"/>
    <w:rsid w:val="00277A0B"/>
    <w:rsid w:val="00277B44"/>
    <w:rsid w:val="00277B80"/>
    <w:rsid w:val="00277C3F"/>
    <w:rsid w:val="00277C58"/>
    <w:rsid w:val="00277C8E"/>
    <w:rsid w:val="00277EF5"/>
    <w:rsid w:val="0028006F"/>
    <w:rsid w:val="002801E0"/>
    <w:rsid w:val="002802CF"/>
    <w:rsid w:val="002802F6"/>
    <w:rsid w:val="00280306"/>
    <w:rsid w:val="00280329"/>
    <w:rsid w:val="00280515"/>
    <w:rsid w:val="00280599"/>
    <w:rsid w:val="00280699"/>
    <w:rsid w:val="0028093C"/>
    <w:rsid w:val="00280A19"/>
    <w:rsid w:val="00280A9C"/>
    <w:rsid w:val="00280B84"/>
    <w:rsid w:val="0028101C"/>
    <w:rsid w:val="002813F0"/>
    <w:rsid w:val="0028149E"/>
    <w:rsid w:val="00281552"/>
    <w:rsid w:val="002815C3"/>
    <w:rsid w:val="0028165C"/>
    <w:rsid w:val="00281713"/>
    <w:rsid w:val="00281A5F"/>
    <w:rsid w:val="00281AFF"/>
    <w:rsid w:val="00281BD6"/>
    <w:rsid w:val="00281D26"/>
    <w:rsid w:val="002821E9"/>
    <w:rsid w:val="00282410"/>
    <w:rsid w:val="002824B5"/>
    <w:rsid w:val="002825A0"/>
    <w:rsid w:val="00282746"/>
    <w:rsid w:val="00282773"/>
    <w:rsid w:val="002827BC"/>
    <w:rsid w:val="00282809"/>
    <w:rsid w:val="00282BB2"/>
    <w:rsid w:val="00282E40"/>
    <w:rsid w:val="00283215"/>
    <w:rsid w:val="002832FC"/>
    <w:rsid w:val="0028351F"/>
    <w:rsid w:val="002837EB"/>
    <w:rsid w:val="002839B2"/>
    <w:rsid w:val="00283FEE"/>
    <w:rsid w:val="002841F9"/>
    <w:rsid w:val="0028441B"/>
    <w:rsid w:val="002847DE"/>
    <w:rsid w:val="00284A36"/>
    <w:rsid w:val="00284B97"/>
    <w:rsid w:val="00284DD9"/>
    <w:rsid w:val="00284FBA"/>
    <w:rsid w:val="002850A6"/>
    <w:rsid w:val="0028512D"/>
    <w:rsid w:val="00285130"/>
    <w:rsid w:val="0028534D"/>
    <w:rsid w:val="00285406"/>
    <w:rsid w:val="00285492"/>
    <w:rsid w:val="00285546"/>
    <w:rsid w:val="00285561"/>
    <w:rsid w:val="002859B1"/>
    <w:rsid w:val="002859E8"/>
    <w:rsid w:val="00285C23"/>
    <w:rsid w:val="00285C71"/>
    <w:rsid w:val="00285F6B"/>
    <w:rsid w:val="00285F99"/>
    <w:rsid w:val="0028613C"/>
    <w:rsid w:val="002863A8"/>
    <w:rsid w:val="0028643F"/>
    <w:rsid w:val="0028660E"/>
    <w:rsid w:val="00286611"/>
    <w:rsid w:val="00286EAE"/>
    <w:rsid w:val="00286F8D"/>
    <w:rsid w:val="0028724E"/>
    <w:rsid w:val="0028737C"/>
    <w:rsid w:val="002873B7"/>
    <w:rsid w:val="0028756B"/>
    <w:rsid w:val="00287614"/>
    <w:rsid w:val="00287747"/>
    <w:rsid w:val="00287937"/>
    <w:rsid w:val="00287C96"/>
    <w:rsid w:val="00287FF7"/>
    <w:rsid w:val="00290094"/>
    <w:rsid w:val="002900FA"/>
    <w:rsid w:val="0029011E"/>
    <w:rsid w:val="002902C2"/>
    <w:rsid w:val="00290450"/>
    <w:rsid w:val="0029077D"/>
    <w:rsid w:val="00290807"/>
    <w:rsid w:val="00290964"/>
    <w:rsid w:val="002909D0"/>
    <w:rsid w:val="00290CF1"/>
    <w:rsid w:val="00290E2F"/>
    <w:rsid w:val="0029113F"/>
    <w:rsid w:val="002914FA"/>
    <w:rsid w:val="0029162C"/>
    <w:rsid w:val="002916ED"/>
    <w:rsid w:val="00291A51"/>
    <w:rsid w:val="00291B95"/>
    <w:rsid w:val="00291D03"/>
    <w:rsid w:val="00291E78"/>
    <w:rsid w:val="0029244C"/>
    <w:rsid w:val="00292752"/>
    <w:rsid w:val="0029275C"/>
    <w:rsid w:val="002929A1"/>
    <w:rsid w:val="00292D7F"/>
    <w:rsid w:val="00292DBB"/>
    <w:rsid w:val="00292EC6"/>
    <w:rsid w:val="00292F34"/>
    <w:rsid w:val="002930E1"/>
    <w:rsid w:val="00293253"/>
    <w:rsid w:val="002933C1"/>
    <w:rsid w:val="0029341A"/>
    <w:rsid w:val="00293E6B"/>
    <w:rsid w:val="00293F1B"/>
    <w:rsid w:val="00293F40"/>
    <w:rsid w:val="0029420D"/>
    <w:rsid w:val="00294A7B"/>
    <w:rsid w:val="00294B99"/>
    <w:rsid w:val="00294CAB"/>
    <w:rsid w:val="00294E9A"/>
    <w:rsid w:val="002950A0"/>
    <w:rsid w:val="002951AB"/>
    <w:rsid w:val="00295C62"/>
    <w:rsid w:val="00296070"/>
    <w:rsid w:val="00296156"/>
    <w:rsid w:val="0029624D"/>
    <w:rsid w:val="002965A4"/>
    <w:rsid w:val="002967BD"/>
    <w:rsid w:val="00296FA0"/>
    <w:rsid w:val="00296FFB"/>
    <w:rsid w:val="002973C4"/>
    <w:rsid w:val="00297510"/>
    <w:rsid w:val="00297699"/>
    <w:rsid w:val="002976AD"/>
    <w:rsid w:val="002976ED"/>
    <w:rsid w:val="002977C9"/>
    <w:rsid w:val="002977EB"/>
    <w:rsid w:val="002978DA"/>
    <w:rsid w:val="00297BDA"/>
    <w:rsid w:val="00297EC2"/>
    <w:rsid w:val="00297F19"/>
    <w:rsid w:val="00297F43"/>
    <w:rsid w:val="002A001B"/>
    <w:rsid w:val="002A0151"/>
    <w:rsid w:val="002A01D0"/>
    <w:rsid w:val="002A0397"/>
    <w:rsid w:val="002A050F"/>
    <w:rsid w:val="002A062C"/>
    <w:rsid w:val="002A0783"/>
    <w:rsid w:val="002A096D"/>
    <w:rsid w:val="002A0AD0"/>
    <w:rsid w:val="002A113F"/>
    <w:rsid w:val="002A11E2"/>
    <w:rsid w:val="002A152E"/>
    <w:rsid w:val="002A17B2"/>
    <w:rsid w:val="002A1C76"/>
    <w:rsid w:val="002A1E25"/>
    <w:rsid w:val="002A24C7"/>
    <w:rsid w:val="002A253E"/>
    <w:rsid w:val="002A2716"/>
    <w:rsid w:val="002A273C"/>
    <w:rsid w:val="002A2834"/>
    <w:rsid w:val="002A29E0"/>
    <w:rsid w:val="002A2E13"/>
    <w:rsid w:val="002A308E"/>
    <w:rsid w:val="002A3184"/>
    <w:rsid w:val="002A3249"/>
    <w:rsid w:val="002A34B1"/>
    <w:rsid w:val="002A3652"/>
    <w:rsid w:val="002A37CE"/>
    <w:rsid w:val="002A37FB"/>
    <w:rsid w:val="002A38AC"/>
    <w:rsid w:val="002A392C"/>
    <w:rsid w:val="002A3D5B"/>
    <w:rsid w:val="002A3E99"/>
    <w:rsid w:val="002A4169"/>
    <w:rsid w:val="002A426D"/>
    <w:rsid w:val="002A42B2"/>
    <w:rsid w:val="002A4451"/>
    <w:rsid w:val="002A4782"/>
    <w:rsid w:val="002A47A2"/>
    <w:rsid w:val="002A4A8F"/>
    <w:rsid w:val="002A4AD9"/>
    <w:rsid w:val="002A4D1D"/>
    <w:rsid w:val="002A4F0A"/>
    <w:rsid w:val="002A5A4A"/>
    <w:rsid w:val="002A5B24"/>
    <w:rsid w:val="002A5C1B"/>
    <w:rsid w:val="002A5CAA"/>
    <w:rsid w:val="002A5D70"/>
    <w:rsid w:val="002A5D93"/>
    <w:rsid w:val="002A6418"/>
    <w:rsid w:val="002A684E"/>
    <w:rsid w:val="002A6E3F"/>
    <w:rsid w:val="002A6EBB"/>
    <w:rsid w:val="002A7257"/>
    <w:rsid w:val="002A72DA"/>
    <w:rsid w:val="002A75BB"/>
    <w:rsid w:val="002A7658"/>
    <w:rsid w:val="002A76E0"/>
    <w:rsid w:val="002A79E0"/>
    <w:rsid w:val="002A79F4"/>
    <w:rsid w:val="002A7B46"/>
    <w:rsid w:val="002A7B48"/>
    <w:rsid w:val="002A7C17"/>
    <w:rsid w:val="002A7D80"/>
    <w:rsid w:val="002A7F28"/>
    <w:rsid w:val="002A7F81"/>
    <w:rsid w:val="002B010B"/>
    <w:rsid w:val="002B0184"/>
    <w:rsid w:val="002B01B7"/>
    <w:rsid w:val="002B031B"/>
    <w:rsid w:val="002B0338"/>
    <w:rsid w:val="002B0445"/>
    <w:rsid w:val="002B08A0"/>
    <w:rsid w:val="002B09D3"/>
    <w:rsid w:val="002B113E"/>
    <w:rsid w:val="002B122A"/>
    <w:rsid w:val="002B1245"/>
    <w:rsid w:val="002B13AA"/>
    <w:rsid w:val="002B1502"/>
    <w:rsid w:val="002B1540"/>
    <w:rsid w:val="002B16C4"/>
    <w:rsid w:val="002B1954"/>
    <w:rsid w:val="002B19F6"/>
    <w:rsid w:val="002B1A1F"/>
    <w:rsid w:val="002B1D6A"/>
    <w:rsid w:val="002B1DF6"/>
    <w:rsid w:val="002B1E07"/>
    <w:rsid w:val="002B1E5F"/>
    <w:rsid w:val="002B1EBE"/>
    <w:rsid w:val="002B1F70"/>
    <w:rsid w:val="002B2076"/>
    <w:rsid w:val="002B2474"/>
    <w:rsid w:val="002B25BD"/>
    <w:rsid w:val="002B269D"/>
    <w:rsid w:val="002B27E1"/>
    <w:rsid w:val="002B2B99"/>
    <w:rsid w:val="002B2E3D"/>
    <w:rsid w:val="002B2FF3"/>
    <w:rsid w:val="002B307F"/>
    <w:rsid w:val="002B311C"/>
    <w:rsid w:val="002B33EB"/>
    <w:rsid w:val="002B355F"/>
    <w:rsid w:val="002B3576"/>
    <w:rsid w:val="002B36DA"/>
    <w:rsid w:val="002B37D0"/>
    <w:rsid w:val="002B3A4F"/>
    <w:rsid w:val="002B3A5E"/>
    <w:rsid w:val="002B3B93"/>
    <w:rsid w:val="002B3CAC"/>
    <w:rsid w:val="002B3CD7"/>
    <w:rsid w:val="002B3FFB"/>
    <w:rsid w:val="002B41C7"/>
    <w:rsid w:val="002B435C"/>
    <w:rsid w:val="002B4360"/>
    <w:rsid w:val="002B4588"/>
    <w:rsid w:val="002B4B25"/>
    <w:rsid w:val="002B4C1F"/>
    <w:rsid w:val="002B4C59"/>
    <w:rsid w:val="002B5148"/>
    <w:rsid w:val="002B5172"/>
    <w:rsid w:val="002B532F"/>
    <w:rsid w:val="002B538D"/>
    <w:rsid w:val="002B538F"/>
    <w:rsid w:val="002B5413"/>
    <w:rsid w:val="002B55F7"/>
    <w:rsid w:val="002B5779"/>
    <w:rsid w:val="002B5787"/>
    <w:rsid w:val="002B585A"/>
    <w:rsid w:val="002B58E9"/>
    <w:rsid w:val="002B592B"/>
    <w:rsid w:val="002B5A75"/>
    <w:rsid w:val="002B5AB6"/>
    <w:rsid w:val="002B5EC3"/>
    <w:rsid w:val="002B5EDE"/>
    <w:rsid w:val="002B687B"/>
    <w:rsid w:val="002B6892"/>
    <w:rsid w:val="002B6C28"/>
    <w:rsid w:val="002B74B6"/>
    <w:rsid w:val="002B76C0"/>
    <w:rsid w:val="002B7775"/>
    <w:rsid w:val="002B777A"/>
    <w:rsid w:val="002B7787"/>
    <w:rsid w:val="002B7B52"/>
    <w:rsid w:val="002C00A1"/>
    <w:rsid w:val="002C0112"/>
    <w:rsid w:val="002C05D4"/>
    <w:rsid w:val="002C09AB"/>
    <w:rsid w:val="002C0B3D"/>
    <w:rsid w:val="002C0C2E"/>
    <w:rsid w:val="002C0CCE"/>
    <w:rsid w:val="002C0CF2"/>
    <w:rsid w:val="002C0E9A"/>
    <w:rsid w:val="002C0F11"/>
    <w:rsid w:val="002C0F74"/>
    <w:rsid w:val="002C1214"/>
    <w:rsid w:val="002C1347"/>
    <w:rsid w:val="002C14AE"/>
    <w:rsid w:val="002C14F1"/>
    <w:rsid w:val="002C1665"/>
    <w:rsid w:val="002C1A93"/>
    <w:rsid w:val="002C1D3B"/>
    <w:rsid w:val="002C1D49"/>
    <w:rsid w:val="002C2014"/>
    <w:rsid w:val="002C20A7"/>
    <w:rsid w:val="002C2248"/>
    <w:rsid w:val="002C270D"/>
    <w:rsid w:val="002C2883"/>
    <w:rsid w:val="002C2939"/>
    <w:rsid w:val="002C29BF"/>
    <w:rsid w:val="002C2A37"/>
    <w:rsid w:val="002C2B63"/>
    <w:rsid w:val="002C2B67"/>
    <w:rsid w:val="002C2C45"/>
    <w:rsid w:val="002C2D46"/>
    <w:rsid w:val="002C2DDC"/>
    <w:rsid w:val="002C2FA9"/>
    <w:rsid w:val="002C30F1"/>
    <w:rsid w:val="002C3184"/>
    <w:rsid w:val="002C31CA"/>
    <w:rsid w:val="002C3297"/>
    <w:rsid w:val="002C3356"/>
    <w:rsid w:val="002C33E5"/>
    <w:rsid w:val="002C363C"/>
    <w:rsid w:val="002C3EA3"/>
    <w:rsid w:val="002C3FE9"/>
    <w:rsid w:val="002C4011"/>
    <w:rsid w:val="002C405D"/>
    <w:rsid w:val="002C4137"/>
    <w:rsid w:val="002C4428"/>
    <w:rsid w:val="002C46A9"/>
    <w:rsid w:val="002C4863"/>
    <w:rsid w:val="002C4AB7"/>
    <w:rsid w:val="002C4B37"/>
    <w:rsid w:val="002C4D13"/>
    <w:rsid w:val="002C4D40"/>
    <w:rsid w:val="002C4DED"/>
    <w:rsid w:val="002C4E8E"/>
    <w:rsid w:val="002C4E92"/>
    <w:rsid w:val="002C4F9B"/>
    <w:rsid w:val="002C4FA5"/>
    <w:rsid w:val="002C5216"/>
    <w:rsid w:val="002C52D0"/>
    <w:rsid w:val="002C5433"/>
    <w:rsid w:val="002C56A4"/>
    <w:rsid w:val="002C5BC8"/>
    <w:rsid w:val="002C5C46"/>
    <w:rsid w:val="002C5DBC"/>
    <w:rsid w:val="002C645F"/>
    <w:rsid w:val="002C6603"/>
    <w:rsid w:val="002C664A"/>
    <w:rsid w:val="002C696D"/>
    <w:rsid w:val="002C698F"/>
    <w:rsid w:val="002C6AC5"/>
    <w:rsid w:val="002C6B76"/>
    <w:rsid w:val="002C7013"/>
    <w:rsid w:val="002C70F4"/>
    <w:rsid w:val="002C7281"/>
    <w:rsid w:val="002C72A5"/>
    <w:rsid w:val="002C72DF"/>
    <w:rsid w:val="002C73EA"/>
    <w:rsid w:val="002C73F2"/>
    <w:rsid w:val="002C74D3"/>
    <w:rsid w:val="002C74DF"/>
    <w:rsid w:val="002C7765"/>
    <w:rsid w:val="002C77D0"/>
    <w:rsid w:val="002C7ADD"/>
    <w:rsid w:val="002C7CE6"/>
    <w:rsid w:val="002C7D3B"/>
    <w:rsid w:val="002C7E55"/>
    <w:rsid w:val="002D00B8"/>
    <w:rsid w:val="002D0273"/>
    <w:rsid w:val="002D0329"/>
    <w:rsid w:val="002D075D"/>
    <w:rsid w:val="002D07FC"/>
    <w:rsid w:val="002D0BCA"/>
    <w:rsid w:val="002D0D7C"/>
    <w:rsid w:val="002D0ED8"/>
    <w:rsid w:val="002D0FDD"/>
    <w:rsid w:val="002D11FB"/>
    <w:rsid w:val="002D132E"/>
    <w:rsid w:val="002D16BC"/>
    <w:rsid w:val="002D1721"/>
    <w:rsid w:val="002D1B60"/>
    <w:rsid w:val="002D1F47"/>
    <w:rsid w:val="002D1FF7"/>
    <w:rsid w:val="002D204A"/>
    <w:rsid w:val="002D2262"/>
    <w:rsid w:val="002D244B"/>
    <w:rsid w:val="002D2637"/>
    <w:rsid w:val="002D279A"/>
    <w:rsid w:val="002D2854"/>
    <w:rsid w:val="002D28C9"/>
    <w:rsid w:val="002D2B75"/>
    <w:rsid w:val="002D2E44"/>
    <w:rsid w:val="002D2EF4"/>
    <w:rsid w:val="002D2FFF"/>
    <w:rsid w:val="002D300E"/>
    <w:rsid w:val="002D30C9"/>
    <w:rsid w:val="002D30D4"/>
    <w:rsid w:val="002D329C"/>
    <w:rsid w:val="002D3333"/>
    <w:rsid w:val="002D366F"/>
    <w:rsid w:val="002D3F06"/>
    <w:rsid w:val="002D3F75"/>
    <w:rsid w:val="002D426C"/>
    <w:rsid w:val="002D4350"/>
    <w:rsid w:val="002D44E6"/>
    <w:rsid w:val="002D47C0"/>
    <w:rsid w:val="002D47F2"/>
    <w:rsid w:val="002D4846"/>
    <w:rsid w:val="002D49DB"/>
    <w:rsid w:val="002D4D2A"/>
    <w:rsid w:val="002D4D84"/>
    <w:rsid w:val="002D4DDC"/>
    <w:rsid w:val="002D5098"/>
    <w:rsid w:val="002D5742"/>
    <w:rsid w:val="002D5961"/>
    <w:rsid w:val="002D5B2C"/>
    <w:rsid w:val="002D5B8E"/>
    <w:rsid w:val="002D5C61"/>
    <w:rsid w:val="002D5E26"/>
    <w:rsid w:val="002D6213"/>
    <w:rsid w:val="002D63EC"/>
    <w:rsid w:val="002D6755"/>
    <w:rsid w:val="002D67CE"/>
    <w:rsid w:val="002D6939"/>
    <w:rsid w:val="002D694D"/>
    <w:rsid w:val="002D6A9B"/>
    <w:rsid w:val="002D6BB6"/>
    <w:rsid w:val="002D6C0B"/>
    <w:rsid w:val="002D6CEC"/>
    <w:rsid w:val="002D6F08"/>
    <w:rsid w:val="002D716F"/>
    <w:rsid w:val="002D71EA"/>
    <w:rsid w:val="002D77BF"/>
    <w:rsid w:val="002D785F"/>
    <w:rsid w:val="002D7BA4"/>
    <w:rsid w:val="002D7CB1"/>
    <w:rsid w:val="002D7DC6"/>
    <w:rsid w:val="002D7E42"/>
    <w:rsid w:val="002D7F11"/>
    <w:rsid w:val="002D7F19"/>
    <w:rsid w:val="002E0121"/>
    <w:rsid w:val="002E0400"/>
    <w:rsid w:val="002E05E2"/>
    <w:rsid w:val="002E0651"/>
    <w:rsid w:val="002E088F"/>
    <w:rsid w:val="002E08C4"/>
    <w:rsid w:val="002E0FB1"/>
    <w:rsid w:val="002E1158"/>
    <w:rsid w:val="002E1162"/>
    <w:rsid w:val="002E1178"/>
    <w:rsid w:val="002E12C9"/>
    <w:rsid w:val="002E14F5"/>
    <w:rsid w:val="002E157E"/>
    <w:rsid w:val="002E18CF"/>
    <w:rsid w:val="002E1BB2"/>
    <w:rsid w:val="002E1C4D"/>
    <w:rsid w:val="002E1E3B"/>
    <w:rsid w:val="002E2355"/>
    <w:rsid w:val="002E24AC"/>
    <w:rsid w:val="002E28E1"/>
    <w:rsid w:val="002E29FE"/>
    <w:rsid w:val="002E2AFE"/>
    <w:rsid w:val="002E2CD0"/>
    <w:rsid w:val="002E2D43"/>
    <w:rsid w:val="002E2E81"/>
    <w:rsid w:val="002E2EE7"/>
    <w:rsid w:val="002E2FE7"/>
    <w:rsid w:val="002E3044"/>
    <w:rsid w:val="002E30F7"/>
    <w:rsid w:val="002E3143"/>
    <w:rsid w:val="002E3277"/>
    <w:rsid w:val="002E32B4"/>
    <w:rsid w:val="002E3347"/>
    <w:rsid w:val="002E345F"/>
    <w:rsid w:val="002E3657"/>
    <w:rsid w:val="002E3658"/>
    <w:rsid w:val="002E3A86"/>
    <w:rsid w:val="002E3C1A"/>
    <w:rsid w:val="002E3FE5"/>
    <w:rsid w:val="002E4244"/>
    <w:rsid w:val="002E42F8"/>
    <w:rsid w:val="002E454A"/>
    <w:rsid w:val="002E46D9"/>
    <w:rsid w:val="002E47CD"/>
    <w:rsid w:val="002E488F"/>
    <w:rsid w:val="002E49A5"/>
    <w:rsid w:val="002E4F1B"/>
    <w:rsid w:val="002E4F28"/>
    <w:rsid w:val="002E50E3"/>
    <w:rsid w:val="002E5135"/>
    <w:rsid w:val="002E53B7"/>
    <w:rsid w:val="002E56FC"/>
    <w:rsid w:val="002E58B5"/>
    <w:rsid w:val="002E5B4F"/>
    <w:rsid w:val="002E5CD8"/>
    <w:rsid w:val="002E5DF9"/>
    <w:rsid w:val="002E5F12"/>
    <w:rsid w:val="002E62E6"/>
    <w:rsid w:val="002E633F"/>
    <w:rsid w:val="002E65D5"/>
    <w:rsid w:val="002E665E"/>
    <w:rsid w:val="002E6825"/>
    <w:rsid w:val="002E685E"/>
    <w:rsid w:val="002E698F"/>
    <w:rsid w:val="002E6C01"/>
    <w:rsid w:val="002E6CA1"/>
    <w:rsid w:val="002E6D8D"/>
    <w:rsid w:val="002E6E9F"/>
    <w:rsid w:val="002E7520"/>
    <w:rsid w:val="002E761B"/>
    <w:rsid w:val="002E793D"/>
    <w:rsid w:val="002E794B"/>
    <w:rsid w:val="002E7AEF"/>
    <w:rsid w:val="002E7B86"/>
    <w:rsid w:val="002E7CC6"/>
    <w:rsid w:val="002E7DB5"/>
    <w:rsid w:val="002F0104"/>
    <w:rsid w:val="002F0186"/>
    <w:rsid w:val="002F04CB"/>
    <w:rsid w:val="002F0612"/>
    <w:rsid w:val="002F06DD"/>
    <w:rsid w:val="002F09E5"/>
    <w:rsid w:val="002F0AB4"/>
    <w:rsid w:val="002F0C61"/>
    <w:rsid w:val="002F11B5"/>
    <w:rsid w:val="002F1597"/>
    <w:rsid w:val="002F1753"/>
    <w:rsid w:val="002F17EE"/>
    <w:rsid w:val="002F1BD5"/>
    <w:rsid w:val="002F1F39"/>
    <w:rsid w:val="002F21D4"/>
    <w:rsid w:val="002F22A6"/>
    <w:rsid w:val="002F24AE"/>
    <w:rsid w:val="002F2787"/>
    <w:rsid w:val="002F2994"/>
    <w:rsid w:val="002F2AA8"/>
    <w:rsid w:val="002F2D2A"/>
    <w:rsid w:val="002F2FA1"/>
    <w:rsid w:val="002F329C"/>
    <w:rsid w:val="002F382E"/>
    <w:rsid w:val="002F38BB"/>
    <w:rsid w:val="002F3A38"/>
    <w:rsid w:val="002F3B32"/>
    <w:rsid w:val="002F3D5B"/>
    <w:rsid w:val="002F3F25"/>
    <w:rsid w:val="002F413F"/>
    <w:rsid w:val="002F419E"/>
    <w:rsid w:val="002F4289"/>
    <w:rsid w:val="002F45C3"/>
    <w:rsid w:val="002F46DB"/>
    <w:rsid w:val="002F47E5"/>
    <w:rsid w:val="002F4980"/>
    <w:rsid w:val="002F4A16"/>
    <w:rsid w:val="002F4F73"/>
    <w:rsid w:val="002F4FD6"/>
    <w:rsid w:val="002F502E"/>
    <w:rsid w:val="002F5202"/>
    <w:rsid w:val="002F534A"/>
    <w:rsid w:val="002F5633"/>
    <w:rsid w:val="002F56B5"/>
    <w:rsid w:val="002F5753"/>
    <w:rsid w:val="002F57F7"/>
    <w:rsid w:val="002F5B79"/>
    <w:rsid w:val="002F5C64"/>
    <w:rsid w:val="002F5E2F"/>
    <w:rsid w:val="002F5E43"/>
    <w:rsid w:val="002F5F2B"/>
    <w:rsid w:val="002F64FE"/>
    <w:rsid w:val="002F6541"/>
    <w:rsid w:val="002F6A1F"/>
    <w:rsid w:val="002F6A5E"/>
    <w:rsid w:val="002F6BE0"/>
    <w:rsid w:val="002F6CBF"/>
    <w:rsid w:val="002F7571"/>
    <w:rsid w:val="002F7960"/>
    <w:rsid w:val="002F7C50"/>
    <w:rsid w:val="002F7CFC"/>
    <w:rsid w:val="002F7D25"/>
    <w:rsid w:val="002F7F53"/>
    <w:rsid w:val="002F7F97"/>
    <w:rsid w:val="00300055"/>
    <w:rsid w:val="0030077F"/>
    <w:rsid w:val="003008A6"/>
    <w:rsid w:val="003008BD"/>
    <w:rsid w:val="0030093A"/>
    <w:rsid w:val="003009DD"/>
    <w:rsid w:val="00300B42"/>
    <w:rsid w:val="00300C9F"/>
    <w:rsid w:val="00300E32"/>
    <w:rsid w:val="00300EAF"/>
    <w:rsid w:val="0030113C"/>
    <w:rsid w:val="0030124D"/>
    <w:rsid w:val="00301497"/>
    <w:rsid w:val="003014BA"/>
    <w:rsid w:val="003014DA"/>
    <w:rsid w:val="003019D8"/>
    <w:rsid w:val="00301AAB"/>
    <w:rsid w:val="00301B71"/>
    <w:rsid w:val="00301CDD"/>
    <w:rsid w:val="00301F7F"/>
    <w:rsid w:val="00302062"/>
    <w:rsid w:val="0030248A"/>
    <w:rsid w:val="00302625"/>
    <w:rsid w:val="0030271E"/>
    <w:rsid w:val="003027EA"/>
    <w:rsid w:val="00302A08"/>
    <w:rsid w:val="00302D7B"/>
    <w:rsid w:val="00302DC2"/>
    <w:rsid w:val="00302E56"/>
    <w:rsid w:val="00303036"/>
    <w:rsid w:val="00303621"/>
    <w:rsid w:val="003036BC"/>
    <w:rsid w:val="0030390E"/>
    <w:rsid w:val="00303A1D"/>
    <w:rsid w:val="00303EC1"/>
    <w:rsid w:val="003041E4"/>
    <w:rsid w:val="0030429D"/>
    <w:rsid w:val="00304430"/>
    <w:rsid w:val="00304793"/>
    <w:rsid w:val="003047DF"/>
    <w:rsid w:val="00304E0C"/>
    <w:rsid w:val="00304E56"/>
    <w:rsid w:val="00304F6E"/>
    <w:rsid w:val="0030550D"/>
    <w:rsid w:val="003056EF"/>
    <w:rsid w:val="0030574F"/>
    <w:rsid w:val="00305792"/>
    <w:rsid w:val="0030583B"/>
    <w:rsid w:val="003058D7"/>
    <w:rsid w:val="00305ACC"/>
    <w:rsid w:val="00305CF9"/>
    <w:rsid w:val="00305DB6"/>
    <w:rsid w:val="00305DDE"/>
    <w:rsid w:val="00305FAF"/>
    <w:rsid w:val="00305FC0"/>
    <w:rsid w:val="00306096"/>
    <w:rsid w:val="003061A3"/>
    <w:rsid w:val="003062AB"/>
    <w:rsid w:val="00306601"/>
    <w:rsid w:val="00306733"/>
    <w:rsid w:val="0030698B"/>
    <w:rsid w:val="00306B11"/>
    <w:rsid w:val="00306D51"/>
    <w:rsid w:val="00306D77"/>
    <w:rsid w:val="00306E90"/>
    <w:rsid w:val="00306FBD"/>
    <w:rsid w:val="003072D6"/>
    <w:rsid w:val="0030732C"/>
    <w:rsid w:val="00307395"/>
    <w:rsid w:val="00307506"/>
    <w:rsid w:val="0030750A"/>
    <w:rsid w:val="00307797"/>
    <w:rsid w:val="00307AD1"/>
    <w:rsid w:val="00307B5D"/>
    <w:rsid w:val="0031011C"/>
    <w:rsid w:val="0031015C"/>
    <w:rsid w:val="0031058F"/>
    <w:rsid w:val="00310826"/>
    <w:rsid w:val="003108B5"/>
    <w:rsid w:val="003108C0"/>
    <w:rsid w:val="003108D0"/>
    <w:rsid w:val="00310BA3"/>
    <w:rsid w:val="00310C97"/>
    <w:rsid w:val="00310EDA"/>
    <w:rsid w:val="0031100F"/>
    <w:rsid w:val="003110B8"/>
    <w:rsid w:val="00311287"/>
    <w:rsid w:val="003113BD"/>
    <w:rsid w:val="00311791"/>
    <w:rsid w:val="003118BB"/>
    <w:rsid w:val="00311A55"/>
    <w:rsid w:val="00311C8D"/>
    <w:rsid w:val="00311D01"/>
    <w:rsid w:val="00311E2E"/>
    <w:rsid w:val="00312393"/>
    <w:rsid w:val="003123BC"/>
    <w:rsid w:val="00312456"/>
    <w:rsid w:val="0031247D"/>
    <w:rsid w:val="003128B5"/>
    <w:rsid w:val="00312DE9"/>
    <w:rsid w:val="00312F1A"/>
    <w:rsid w:val="003133A3"/>
    <w:rsid w:val="003133D8"/>
    <w:rsid w:val="003136BC"/>
    <w:rsid w:val="003136EF"/>
    <w:rsid w:val="00313820"/>
    <w:rsid w:val="003138B9"/>
    <w:rsid w:val="00313981"/>
    <w:rsid w:val="00313A2D"/>
    <w:rsid w:val="00313A30"/>
    <w:rsid w:val="00313C3C"/>
    <w:rsid w:val="00313CAA"/>
    <w:rsid w:val="00313EB0"/>
    <w:rsid w:val="00313F82"/>
    <w:rsid w:val="003145A8"/>
    <w:rsid w:val="00314760"/>
    <w:rsid w:val="00314B6A"/>
    <w:rsid w:val="00314D2E"/>
    <w:rsid w:val="00314EF4"/>
    <w:rsid w:val="00315089"/>
    <w:rsid w:val="003151D7"/>
    <w:rsid w:val="00315316"/>
    <w:rsid w:val="00315392"/>
    <w:rsid w:val="00315407"/>
    <w:rsid w:val="003154B4"/>
    <w:rsid w:val="00315730"/>
    <w:rsid w:val="00315882"/>
    <w:rsid w:val="00315B4E"/>
    <w:rsid w:val="00315BAE"/>
    <w:rsid w:val="00315CDF"/>
    <w:rsid w:val="00315FC0"/>
    <w:rsid w:val="00316497"/>
    <w:rsid w:val="003165C4"/>
    <w:rsid w:val="003166F0"/>
    <w:rsid w:val="0031704D"/>
    <w:rsid w:val="003170FB"/>
    <w:rsid w:val="003174DC"/>
    <w:rsid w:val="003176BD"/>
    <w:rsid w:val="00317C34"/>
    <w:rsid w:val="00317CCC"/>
    <w:rsid w:val="00317D92"/>
    <w:rsid w:val="00317E6E"/>
    <w:rsid w:val="00317EB3"/>
    <w:rsid w:val="003200D1"/>
    <w:rsid w:val="00320473"/>
    <w:rsid w:val="003206E8"/>
    <w:rsid w:val="0032095E"/>
    <w:rsid w:val="00320A1A"/>
    <w:rsid w:val="00320D6C"/>
    <w:rsid w:val="00320E96"/>
    <w:rsid w:val="00321145"/>
    <w:rsid w:val="00321281"/>
    <w:rsid w:val="003213C4"/>
    <w:rsid w:val="00321530"/>
    <w:rsid w:val="003215D6"/>
    <w:rsid w:val="0032174E"/>
    <w:rsid w:val="00321797"/>
    <w:rsid w:val="00321906"/>
    <w:rsid w:val="00321D3C"/>
    <w:rsid w:val="00321D40"/>
    <w:rsid w:val="00321F58"/>
    <w:rsid w:val="00321FD2"/>
    <w:rsid w:val="0032209B"/>
    <w:rsid w:val="003220D2"/>
    <w:rsid w:val="003225B1"/>
    <w:rsid w:val="00322924"/>
    <w:rsid w:val="00322A0B"/>
    <w:rsid w:val="00322F97"/>
    <w:rsid w:val="0032315F"/>
    <w:rsid w:val="003232CE"/>
    <w:rsid w:val="00323323"/>
    <w:rsid w:val="00323490"/>
    <w:rsid w:val="00323678"/>
    <w:rsid w:val="003236EC"/>
    <w:rsid w:val="00323E0A"/>
    <w:rsid w:val="0032407E"/>
    <w:rsid w:val="003241A6"/>
    <w:rsid w:val="00324286"/>
    <w:rsid w:val="0032442F"/>
    <w:rsid w:val="0032495E"/>
    <w:rsid w:val="00324961"/>
    <w:rsid w:val="00324A57"/>
    <w:rsid w:val="00324D75"/>
    <w:rsid w:val="00325628"/>
    <w:rsid w:val="00325763"/>
    <w:rsid w:val="0032582A"/>
    <w:rsid w:val="00325915"/>
    <w:rsid w:val="00325B4A"/>
    <w:rsid w:val="00325DEF"/>
    <w:rsid w:val="003260FB"/>
    <w:rsid w:val="00326235"/>
    <w:rsid w:val="00326276"/>
    <w:rsid w:val="00326541"/>
    <w:rsid w:val="00326ACD"/>
    <w:rsid w:val="00326BD5"/>
    <w:rsid w:val="00326D5D"/>
    <w:rsid w:val="00326D94"/>
    <w:rsid w:val="00326E73"/>
    <w:rsid w:val="00327138"/>
    <w:rsid w:val="00327D5A"/>
    <w:rsid w:val="00327E61"/>
    <w:rsid w:val="00327FAF"/>
    <w:rsid w:val="0032FF74"/>
    <w:rsid w:val="003300BB"/>
    <w:rsid w:val="0033014E"/>
    <w:rsid w:val="00330203"/>
    <w:rsid w:val="003303BE"/>
    <w:rsid w:val="00330AB3"/>
    <w:rsid w:val="00330C46"/>
    <w:rsid w:val="00330DCF"/>
    <w:rsid w:val="003311C9"/>
    <w:rsid w:val="003313CF"/>
    <w:rsid w:val="00331840"/>
    <w:rsid w:val="00331A23"/>
    <w:rsid w:val="00331A83"/>
    <w:rsid w:val="00331B99"/>
    <w:rsid w:val="00331F62"/>
    <w:rsid w:val="00332049"/>
    <w:rsid w:val="0033235E"/>
    <w:rsid w:val="003325AE"/>
    <w:rsid w:val="0033273E"/>
    <w:rsid w:val="003328B1"/>
    <w:rsid w:val="00332A2C"/>
    <w:rsid w:val="00332B66"/>
    <w:rsid w:val="00332C93"/>
    <w:rsid w:val="00332F0E"/>
    <w:rsid w:val="003331D3"/>
    <w:rsid w:val="0033320D"/>
    <w:rsid w:val="00333507"/>
    <w:rsid w:val="0033350D"/>
    <w:rsid w:val="0033352C"/>
    <w:rsid w:val="00333639"/>
    <w:rsid w:val="00333653"/>
    <w:rsid w:val="003336CB"/>
    <w:rsid w:val="003336FE"/>
    <w:rsid w:val="003338B0"/>
    <w:rsid w:val="003338F0"/>
    <w:rsid w:val="00333D72"/>
    <w:rsid w:val="0033431B"/>
    <w:rsid w:val="00334470"/>
    <w:rsid w:val="00334581"/>
    <w:rsid w:val="00334846"/>
    <w:rsid w:val="00334DE3"/>
    <w:rsid w:val="00335129"/>
    <w:rsid w:val="00335154"/>
    <w:rsid w:val="00335255"/>
    <w:rsid w:val="00335294"/>
    <w:rsid w:val="0033542A"/>
    <w:rsid w:val="003357EE"/>
    <w:rsid w:val="003358EB"/>
    <w:rsid w:val="00335ADB"/>
    <w:rsid w:val="00335B62"/>
    <w:rsid w:val="00335C87"/>
    <w:rsid w:val="00335F78"/>
    <w:rsid w:val="00336179"/>
    <w:rsid w:val="00336218"/>
    <w:rsid w:val="003363CA"/>
    <w:rsid w:val="0033658D"/>
    <w:rsid w:val="00336827"/>
    <w:rsid w:val="00336C0A"/>
    <w:rsid w:val="00336E79"/>
    <w:rsid w:val="00337110"/>
    <w:rsid w:val="0033729D"/>
    <w:rsid w:val="003374C0"/>
    <w:rsid w:val="0033765A"/>
    <w:rsid w:val="00337713"/>
    <w:rsid w:val="00337A1B"/>
    <w:rsid w:val="00337BDD"/>
    <w:rsid w:val="00337CEB"/>
    <w:rsid w:val="00337D49"/>
    <w:rsid w:val="00337DE5"/>
    <w:rsid w:val="00337E81"/>
    <w:rsid w:val="00337FB7"/>
    <w:rsid w:val="0033AEDB"/>
    <w:rsid w:val="003400BB"/>
    <w:rsid w:val="00340272"/>
    <w:rsid w:val="003406B9"/>
    <w:rsid w:val="003408D2"/>
    <w:rsid w:val="003408F6"/>
    <w:rsid w:val="00340C5F"/>
    <w:rsid w:val="00340DDE"/>
    <w:rsid w:val="0034112B"/>
    <w:rsid w:val="0034125A"/>
    <w:rsid w:val="003412DB"/>
    <w:rsid w:val="00341326"/>
    <w:rsid w:val="003415CC"/>
    <w:rsid w:val="00341995"/>
    <w:rsid w:val="003419B6"/>
    <w:rsid w:val="00341A7B"/>
    <w:rsid w:val="003430EA"/>
    <w:rsid w:val="003434A4"/>
    <w:rsid w:val="003434C7"/>
    <w:rsid w:val="00343571"/>
    <w:rsid w:val="00343650"/>
    <w:rsid w:val="00343929"/>
    <w:rsid w:val="00343DDC"/>
    <w:rsid w:val="00344251"/>
    <w:rsid w:val="00344489"/>
    <w:rsid w:val="0034459B"/>
    <w:rsid w:val="00344961"/>
    <w:rsid w:val="00344CBD"/>
    <w:rsid w:val="00344D4F"/>
    <w:rsid w:val="00344D7E"/>
    <w:rsid w:val="00344F0C"/>
    <w:rsid w:val="003452DF"/>
    <w:rsid w:val="0034563F"/>
    <w:rsid w:val="003456DB"/>
    <w:rsid w:val="0034592C"/>
    <w:rsid w:val="00345A07"/>
    <w:rsid w:val="00345EB3"/>
    <w:rsid w:val="003460A8"/>
    <w:rsid w:val="00346122"/>
    <w:rsid w:val="0034628F"/>
    <w:rsid w:val="00346304"/>
    <w:rsid w:val="0034639F"/>
    <w:rsid w:val="00346496"/>
    <w:rsid w:val="0034651C"/>
    <w:rsid w:val="00346591"/>
    <w:rsid w:val="00346624"/>
    <w:rsid w:val="00346650"/>
    <w:rsid w:val="00346714"/>
    <w:rsid w:val="00346D92"/>
    <w:rsid w:val="00346EC0"/>
    <w:rsid w:val="003471F3"/>
    <w:rsid w:val="00347276"/>
    <w:rsid w:val="00347404"/>
    <w:rsid w:val="003474A7"/>
    <w:rsid w:val="003474BB"/>
    <w:rsid w:val="003476E7"/>
    <w:rsid w:val="003477AC"/>
    <w:rsid w:val="0034782C"/>
    <w:rsid w:val="00347AE6"/>
    <w:rsid w:val="00347BD0"/>
    <w:rsid w:val="00347DF0"/>
    <w:rsid w:val="00347E4B"/>
    <w:rsid w:val="00347E69"/>
    <w:rsid w:val="00347EEA"/>
    <w:rsid w:val="00347F88"/>
    <w:rsid w:val="003503B5"/>
    <w:rsid w:val="003507FD"/>
    <w:rsid w:val="003509A9"/>
    <w:rsid w:val="00350CBB"/>
    <w:rsid w:val="00350CBE"/>
    <w:rsid w:val="00350D6E"/>
    <w:rsid w:val="00350F82"/>
    <w:rsid w:val="003510E5"/>
    <w:rsid w:val="003513F4"/>
    <w:rsid w:val="003513F6"/>
    <w:rsid w:val="00351641"/>
    <w:rsid w:val="00351822"/>
    <w:rsid w:val="00351862"/>
    <w:rsid w:val="00351DC9"/>
    <w:rsid w:val="00351E17"/>
    <w:rsid w:val="00351F49"/>
    <w:rsid w:val="0035218A"/>
    <w:rsid w:val="003521AC"/>
    <w:rsid w:val="0035231A"/>
    <w:rsid w:val="00352666"/>
    <w:rsid w:val="00352678"/>
    <w:rsid w:val="003526C5"/>
    <w:rsid w:val="00352756"/>
    <w:rsid w:val="00352805"/>
    <w:rsid w:val="00352A1C"/>
    <w:rsid w:val="00352A4C"/>
    <w:rsid w:val="00352B07"/>
    <w:rsid w:val="00352C63"/>
    <w:rsid w:val="00352ED8"/>
    <w:rsid w:val="0035337B"/>
    <w:rsid w:val="003533D3"/>
    <w:rsid w:val="00353662"/>
    <w:rsid w:val="003538C1"/>
    <w:rsid w:val="00353B85"/>
    <w:rsid w:val="00353F28"/>
    <w:rsid w:val="00353FAC"/>
    <w:rsid w:val="0035468F"/>
    <w:rsid w:val="0035481C"/>
    <w:rsid w:val="003548FC"/>
    <w:rsid w:val="00354A29"/>
    <w:rsid w:val="00354A34"/>
    <w:rsid w:val="00354A66"/>
    <w:rsid w:val="00354C6B"/>
    <w:rsid w:val="00354D58"/>
    <w:rsid w:val="00354EBB"/>
    <w:rsid w:val="003551E4"/>
    <w:rsid w:val="00355501"/>
    <w:rsid w:val="0035593E"/>
    <w:rsid w:val="00355A31"/>
    <w:rsid w:val="00355CB7"/>
    <w:rsid w:val="00355D31"/>
    <w:rsid w:val="00355EB0"/>
    <w:rsid w:val="00355FC7"/>
    <w:rsid w:val="003563B4"/>
    <w:rsid w:val="0035656C"/>
    <w:rsid w:val="003567E0"/>
    <w:rsid w:val="00356A1C"/>
    <w:rsid w:val="00356AD4"/>
    <w:rsid w:val="00357046"/>
    <w:rsid w:val="003571C7"/>
    <w:rsid w:val="003571D8"/>
    <w:rsid w:val="0035728C"/>
    <w:rsid w:val="00357354"/>
    <w:rsid w:val="003574B4"/>
    <w:rsid w:val="0035752C"/>
    <w:rsid w:val="00357549"/>
    <w:rsid w:val="00357740"/>
    <w:rsid w:val="003577D1"/>
    <w:rsid w:val="003579FD"/>
    <w:rsid w:val="00357A09"/>
    <w:rsid w:val="00357AAC"/>
    <w:rsid w:val="00357B86"/>
    <w:rsid w:val="00357BF1"/>
    <w:rsid w:val="00357C99"/>
    <w:rsid w:val="00357D87"/>
    <w:rsid w:val="00357EDC"/>
    <w:rsid w:val="0036008C"/>
    <w:rsid w:val="003600AB"/>
    <w:rsid w:val="00360637"/>
    <w:rsid w:val="003608D7"/>
    <w:rsid w:val="0036094F"/>
    <w:rsid w:val="00360A1C"/>
    <w:rsid w:val="00360CBE"/>
    <w:rsid w:val="00360CF8"/>
    <w:rsid w:val="00360D24"/>
    <w:rsid w:val="00360D6B"/>
    <w:rsid w:val="0036140B"/>
    <w:rsid w:val="003616D4"/>
    <w:rsid w:val="00361824"/>
    <w:rsid w:val="00361A0B"/>
    <w:rsid w:val="00361A63"/>
    <w:rsid w:val="00361AC9"/>
    <w:rsid w:val="00361C11"/>
    <w:rsid w:val="00361C12"/>
    <w:rsid w:val="00361CD4"/>
    <w:rsid w:val="00361DA4"/>
    <w:rsid w:val="00361DA7"/>
    <w:rsid w:val="00361EC2"/>
    <w:rsid w:val="0036204F"/>
    <w:rsid w:val="00362368"/>
    <w:rsid w:val="0036286B"/>
    <w:rsid w:val="00362A43"/>
    <w:rsid w:val="00362B30"/>
    <w:rsid w:val="00362CAB"/>
    <w:rsid w:val="00362D67"/>
    <w:rsid w:val="00362EE4"/>
    <w:rsid w:val="003630A5"/>
    <w:rsid w:val="00363422"/>
    <w:rsid w:val="003636BF"/>
    <w:rsid w:val="00363849"/>
    <w:rsid w:val="00363910"/>
    <w:rsid w:val="00363A63"/>
    <w:rsid w:val="00363BFD"/>
    <w:rsid w:val="0036415C"/>
    <w:rsid w:val="00364173"/>
    <w:rsid w:val="0036431E"/>
    <w:rsid w:val="0036432C"/>
    <w:rsid w:val="003647B7"/>
    <w:rsid w:val="003648D0"/>
    <w:rsid w:val="00364A64"/>
    <w:rsid w:val="00364EC0"/>
    <w:rsid w:val="00365252"/>
    <w:rsid w:val="003654C0"/>
    <w:rsid w:val="003659DB"/>
    <w:rsid w:val="00365A6E"/>
    <w:rsid w:val="00365D45"/>
    <w:rsid w:val="00365FC3"/>
    <w:rsid w:val="00366039"/>
    <w:rsid w:val="00366044"/>
    <w:rsid w:val="003663E1"/>
    <w:rsid w:val="003665A0"/>
    <w:rsid w:val="0036691F"/>
    <w:rsid w:val="00366990"/>
    <w:rsid w:val="00366C26"/>
    <w:rsid w:val="00366FBE"/>
    <w:rsid w:val="0036701D"/>
    <w:rsid w:val="00367339"/>
    <w:rsid w:val="00367518"/>
    <w:rsid w:val="00367598"/>
    <w:rsid w:val="003675D7"/>
    <w:rsid w:val="00367C13"/>
    <w:rsid w:val="00367C34"/>
    <w:rsid w:val="00367D29"/>
    <w:rsid w:val="00367E09"/>
    <w:rsid w:val="0037062B"/>
    <w:rsid w:val="00370956"/>
    <w:rsid w:val="00370F4A"/>
    <w:rsid w:val="00371228"/>
    <w:rsid w:val="0037144C"/>
    <w:rsid w:val="00371467"/>
    <w:rsid w:val="00371505"/>
    <w:rsid w:val="00371727"/>
    <w:rsid w:val="00371EDC"/>
    <w:rsid w:val="00371F2E"/>
    <w:rsid w:val="0037228F"/>
    <w:rsid w:val="003723F0"/>
    <w:rsid w:val="003725F4"/>
    <w:rsid w:val="00372A27"/>
    <w:rsid w:val="00372D36"/>
    <w:rsid w:val="00372D9D"/>
    <w:rsid w:val="003730EA"/>
    <w:rsid w:val="00373404"/>
    <w:rsid w:val="0037349C"/>
    <w:rsid w:val="00373933"/>
    <w:rsid w:val="00373A81"/>
    <w:rsid w:val="00373A98"/>
    <w:rsid w:val="00373BC0"/>
    <w:rsid w:val="00373CBC"/>
    <w:rsid w:val="00373D95"/>
    <w:rsid w:val="00373E73"/>
    <w:rsid w:val="00373FBA"/>
    <w:rsid w:val="00374130"/>
    <w:rsid w:val="00374524"/>
    <w:rsid w:val="00374554"/>
    <w:rsid w:val="0037477E"/>
    <w:rsid w:val="00374990"/>
    <w:rsid w:val="00375268"/>
    <w:rsid w:val="003752DB"/>
    <w:rsid w:val="003754A4"/>
    <w:rsid w:val="00375558"/>
    <w:rsid w:val="00375800"/>
    <w:rsid w:val="00375CBF"/>
    <w:rsid w:val="00375D11"/>
    <w:rsid w:val="003764FC"/>
    <w:rsid w:val="003767E9"/>
    <w:rsid w:val="00376B03"/>
    <w:rsid w:val="00376DD6"/>
    <w:rsid w:val="00376F99"/>
    <w:rsid w:val="00377230"/>
    <w:rsid w:val="003772F0"/>
    <w:rsid w:val="0037740F"/>
    <w:rsid w:val="003775E8"/>
    <w:rsid w:val="00377605"/>
    <w:rsid w:val="00377668"/>
    <w:rsid w:val="00377843"/>
    <w:rsid w:val="0037798E"/>
    <w:rsid w:val="00377CB5"/>
    <w:rsid w:val="00377CEE"/>
    <w:rsid w:val="00377DC2"/>
    <w:rsid w:val="00377FB1"/>
    <w:rsid w:val="00380040"/>
    <w:rsid w:val="003800B3"/>
    <w:rsid w:val="0038034D"/>
    <w:rsid w:val="003804EC"/>
    <w:rsid w:val="0038061A"/>
    <w:rsid w:val="00380740"/>
    <w:rsid w:val="0038092E"/>
    <w:rsid w:val="003809AC"/>
    <w:rsid w:val="003810A8"/>
    <w:rsid w:val="003811D2"/>
    <w:rsid w:val="00381277"/>
    <w:rsid w:val="00381589"/>
    <w:rsid w:val="00381794"/>
    <w:rsid w:val="00381984"/>
    <w:rsid w:val="00381A65"/>
    <w:rsid w:val="00381AA2"/>
    <w:rsid w:val="00381C2B"/>
    <w:rsid w:val="003820EA"/>
    <w:rsid w:val="00382174"/>
    <w:rsid w:val="0038222D"/>
    <w:rsid w:val="003823F8"/>
    <w:rsid w:val="0038253B"/>
    <w:rsid w:val="003825C4"/>
    <w:rsid w:val="00382643"/>
    <w:rsid w:val="00382692"/>
    <w:rsid w:val="0038288A"/>
    <w:rsid w:val="003828EA"/>
    <w:rsid w:val="00382B45"/>
    <w:rsid w:val="00382C0B"/>
    <w:rsid w:val="00383310"/>
    <w:rsid w:val="00383631"/>
    <w:rsid w:val="0038374A"/>
    <w:rsid w:val="00383A9B"/>
    <w:rsid w:val="00383B47"/>
    <w:rsid w:val="00383BB4"/>
    <w:rsid w:val="00383CEA"/>
    <w:rsid w:val="003840BE"/>
    <w:rsid w:val="00384129"/>
    <w:rsid w:val="003842FF"/>
    <w:rsid w:val="003843A0"/>
    <w:rsid w:val="003846A6"/>
    <w:rsid w:val="003846AD"/>
    <w:rsid w:val="003848D4"/>
    <w:rsid w:val="00384C8B"/>
    <w:rsid w:val="00384CA2"/>
    <w:rsid w:val="00384DF1"/>
    <w:rsid w:val="00385027"/>
    <w:rsid w:val="0038527B"/>
    <w:rsid w:val="0038544D"/>
    <w:rsid w:val="003854D1"/>
    <w:rsid w:val="00385716"/>
    <w:rsid w:val="0038579F"/>
    <w:rsid w:val="00385876"/>
    <w:rsid w:val="00385933"/>
    <w:rsid w:val="00385990"/>
    <w:rsid w:val="00385C11"/>
    <w:rsid w:val="00385CB7"/>
    <w:rsid w:val="00385DF9"/>
    <w:rsid w:val="00386247"/>
    <w:rsid w:val="003865D4"/>
    <w:rsid w:val="00386776"/>
    <w:rsid w:val="003867FD"/>
    <w:rsid w:val="00386887"/>
    <w:rsid w:val="003868CD"/>
    <w:rsid w:val="003868E2"/>
    <w:rsid w:val="00386F91"/>
    <w:rsid w:val="00387124"/>
    <w:rsid w:val="00387504"/>
    <w:rsid w:val="00387A43"/>
    <w:rsid w:val="00387BA1"/>
    <w:rsid w:val="00387CC9"/>
    <w:rsid w:val="00387FCC"/>
    <w:rsid w:val="0039009E"/>
    <w:rsid w:val="0039036E"/>
    <w:rsid w:val="003904AE"/>
    <w:rsid w:val="003905CD"/>
    <w:rsid w:val="003909F8"/>
    <w:rsid w:val="00390C48"/>
    <w:rsid w:val="00390F30"/>
    <w:rsid w:val="00390F3F"/>
    <w:rsid w:val="00390FF9"/>
    <w:rsid w:val="00391069"/>
    <w:rsid w:val="00391073"/>
    <w:rsid w:val="00391123"/>
    <w:rsid w:val="00391338"/>
    <w:rsid w:val="003915A9"/>
    <w:rsid w:val="003915E4"/>
    <w:rsid w:val="003915F0"/>
    <w:rsid w:val="003917D2"/>
    <w:rsid w:val="00391803"/>
    <w:rsid w:val="00391B5F"/>
    <w:rsid w:val="00391BD4"/>
    <w:rsid w:val="00391DDE"/>
    <w:rsid w:val="00391E94"/>
    <w:rsid w:val="00391FF3"/>
    <w:rsid w:val="00392050"/>
    <w:rsid w:val="0039213C"/>
    <w:rsid w:val="003923D1"/>
    <w:rsid w:val="0039241B"/>
    <w:rsid w:val="00392747"/>
    <w:rsid w:val="003929FF"/>
    <w:rsid w:val="00392ABD"/>
    <w:rsid w:val="00392D88"/>
    <w:rsid w:val="00392DF0"/>
    <w:rsid w:val="00392ED4"/>
    <w:rsid w:val="00392F58"/>
    <w:rsid w:val="003932E5"/>
    <w:rsid w:val="003933B1"/>
    <w:rsid w:val="003934B4"/>
    <w:rsid w:val="0039365B"/>
    <w:rsid w:val="00393923"/>
    <w:rsid w:val="00393931"/>
    <w:rsid w:val="00393CA4"/>
    <w:rsid w:val="00393DDE"/>
    <w:rsid w:val="00393E50"/>
    <w:rsid w:val="00394096"/>
    <w:rsid w:val="003943FF"/>
    <w:rsid w:val="003944CC"/>
    <w:rsid w:val="00394624"/>
    <w:rsid w:val="00394836"/>
    <w:rsid w:val="00394CBF"/>
    <w:rsid w:val="0039504D"/>
    <w:rsid w:val="0039557A"/>
    <w:rsid w:val="003955D3"/>
    <w:rsid w:val="003956BA"/>
    <w:rsid w:val="0039576C"/>
    <w:rsid w:val="00395832"/>
    <w:rsid w:val="003958D9"/>
    <w:rsid w:val="00395D69"/>
    <w:rsid w:val="003961C9"/>
    <w:rsid w:val="00396325"/>
    <w:rsid w:val="00396645"/>
    <w:rsid w:val="003968B8"/>
    <w:rsid w:val="00396912"/>
    <w:rsid w:val="00396928"/>
    <w:rsid w:val="00396A28"/>
    <w:rsid w:val="00396F66"/>
    <w:rsid w:val="00396FDD"/>
    <w:rsid w:val="00396FE5"/>
    <w:rsid w:val="003970CE"/>
    <w:rsid w:val="00397261"/>
    <w:rsid w:val="003972BC"/>
    <w:rsid w:val="003973F6"/>
    <w:rsid w:val="0039745C"/>
    <w:rsid w:val="003974C1"/>
    <w:rsid w:val="00397B31"/>
    <w:rsid w:val="00397C21"/>
    <w:rsid w:val="00397C43"/>
    <w:rsid w:val="003A04F3"/>
    <w:rsid w:val="003A05E1"/>
    <w:rsid w:val="003A0725"/>
    <w:rsid w:val="003A074F"/>
    <w:rsid w:val="003A13B0"/>
    <w:rsid w:val="003A1450"/>
    <w:rsid w:val="003A15D7"/>
    <w:rsid w:val="003A1B7D"/>
    <w:rsid w:val="003A1F28"/>
    <w:rsid w:val="003A219D"/>
    <w:rsid w:val="003A2242"/>
    <w:rsid w:val="003A2374"/>
    <w:rsid w:val="003A25BD"/>
    <w:rsid w:val="003A2AA0"/>
    <w:rsid w:val="003A2BC1"/>
    <w:rsid w:val="003A2C29"/>
    <w:rsid w:val="003A2D81"/>
    <w:rsid w:val="003A2EF9"/>
    <w:rsid w:val="003A30D0"/>
    <w:rsid w:val="003A31D3"/>
    <w:rsid w:val="003A330D"/>
    <w:rsid w:val="003A3684"/>
    <w:rsid w:val="003A3774"/>
    <w:rsid w:val="003A37A6"/>
    <w:rsid w:val="003A3BDA"/>
    <w:rsid w:val="003A3C97"/>
    <w:rsid w:val="003A3FFA"/>
    <w:rsid w:val="003A40BE"/>
    <w:rsid w:val="003A4437"/>
    <w:rsid w:val="003A4450"/>
    <w:rsid w:val="003A46FD"/>
    <w:rsid w:val="003A4B0A"/>
    <w:rsid w:val="003A4ED5"/>
    <w:rsid w:val="003A5118"/>
    <w:rsid w:val="003A516B"/>
    <w:rsid w:val="003A52FA"/>
    <w:rsid w:val="003A5320"/>
    <w:rsid w:val="003A5563"/>
    <w:rsid w:val="003A5805"/>
    <w:rsid w:val="003A59DA"/>
    <w:rsid w:val="003A59E1"/>
    <w:rsid w:val="003A5A7F"/>
    <w:rsid w:val="003A5E0C"/>
    <w:rsid w:val="003A5E10"/>
    <w:rsid w:val="003A5EE2"/>
    <w:rsid w:val="003A5F5C"/>
    <w:rsid w:val="003A63FD"/>
    <w:rsid w:val="003A6414"/>
    <w:rsid w:val="003A6439"/>
    <w:rsid w:val="003A6479"/>
    <w:rsid w:val="003A6521"/>
    <w:rsid w:val="003A66EC"/>
    <w:rsid w:val="003A680E"/>
    <w:rsid w:val="003A6954"/>
    <w:rsid w:val="003A6A1F"/>
    <w:rsid w:val="003A6AA3"/>
    <w:rsid w:val="003A6BAF"/>
    <w:rsid w:val="003A6C88"/>
    <w:rsid w:val="003A6D49"/>
    <w:rsid w:val="003A6FEC"/>
    <w:rsid w:val="003A7066"/>
    <w:rsid w:val="003A72FB"/>
    <w:rsid w:val="003A730C"/>
    <w:rsid w:val="003A748C"/>
    <w:rsid w:val="003A7A0A"/>
    <w:rsid w:val="003A7AE3"/>
    <w:rsid w:val="003A7D0C"/>
    <w:rsid w:val="003A7D37"/>
    <w:rsid w:val="003A7E2A"/>
    <w:rsid w:val="003AE416"/>
    <w:rsid w:val="003B0311"/>
    <w:rsid w:val="003B042D"/>
    <w:rsid w:val="003B0570"/>
    <w:rsid w:val="003B0893"/>
    <w:rsid w:val="003B08D0"/>
    <w:rsid w:val="003B0945"/>
    <w:rsid w:val="003B0A8D"/>
    <w:rsid w:val="003B0CC2"/>
    <w:rsid w:val="003B0E54"/>
    <w:rsid w:val="003B1272"/>
    <w:rsid w:val="003B12BB"/>
    <w:rsid w:val="003B12E5"/>
    <w:rsid w:val="003B1490"/>
    <w:rsid w:val="003B1822"/>
    <w:rsid w:val="003B1A0B"/>
    <w:rsid w:val="003B1BAD"/>
    <w:rsid w:val="003B1CD7"/>
    <w:rsid w:val="003B211E"/>
    <w:rsid w:val="003B2626"/>
    <w:rsid w:val="003B2B57"/>
    <w:rsid w:val="003B2C1A"/>
    <w:rsid w:val="003B3075"/>
    <w:rsid w:val="003B3237"/>
    <w:rsid w:val="003B346E"/>
    <w:rsid w:val="003B35C8"/>
    <w:rsid w:val="003B3EA1"/>
    <w:rsid w:val="003B43FC"/>
    <w:rsid w:val="003B4507"/>
    <w:rsid w:val="003B46A9"/>
    <w:rsid w:val="003B48CE"/>
    <w:rsid w:val="003B4912"/>
    <w:rsid w:val="003B4F75"/>
    <w:rsid w:val="003B51EC"/>
    <w:rsid w:val="003B5425"/>
    <w:rsid w:val="003B545D"/>
    <w:rsid w:val="003B54CA"/>
    <w:rsid w:val="003B558A"/>
    <w:rsid w:val="003B56BC"/>
    <w:rsid w:val="003B576E"/>
    <w:rsid w:val="003B57AE"/>
    <w:rsid w:val="003B58BD"/>
    <w:rsid w:val="003B58CD"/>
    <w:rsid w:val="003B5C59"/>
    <w:rsid w:val="003B5F47"/>
    <w:rsid w:val="003B6094"/>
    <w:rsid w:val="003B60AE"/>
    <w:rsid w:val="003B64A4"/>
    <w:rsid w:val="003B67BA"/>
    <w:rsid w:val="003B67D0"/>
    <w:rsid w:val="003B6A33"/>
    <w:rsid w:val="003B6B19"/>
    <w:rsid w:val="003B6B75"/>
    <w:rsid w:val="003B6C1B"/>
    <w:rsid w:val="003B6DA8"/>
    <w:rsid w:val="003B6E2E"/>
    <w:rsid w:val="003B7176"/>
    <w:rsid w:val="003B71D2"/>
    <w:rsid w:val="003B741E"/>
    <w:rsid w:val="003B751C"/>
    <w:rsid w:val="003B7624"/>
    <w:rsid w:val="003B774C"/>
    <w:rsid w:val="003B77B5"/>
    <w:rsid w:val="003B791B"/>
    <w:rsid w:val="003B7C97"/>
    <w:rsid w:val="003B7D75"/>
    <w:rsid w:val="003C050C"/>
    <w:rsid w:val="003C052F"/>
    <w:rsid w:val="003C0986"/>
    <w:rsid w:val="003C0A6F"/>
    <w:rsid w:val="003C0CDC"/>
    <w:rsid w:val="003C0DB2"/>
    <w:rsid w:val="003C10EC"/>
    <w:rsid w:val="003C116B"/>
    <w:rsid w:val="003C14F5"/>
    <w:rsid w:val="003C1639"/>
    <w:rsid w:val="003C16A0"/>
    <w:rsid w:val="003C1847"/>
    <w:rsid w:val="003C1902"/>
    <w:rsid w:val="003C199D"/>
    <w:rsid w:val="003C1AD9"/>
    <w:rsid w:val="003C1B5B"/>
    <w:rsid w:val="003C1C34"/>
    <w:rsid w:val="003C1CC2"/>
    <w:rsid w:val="003C1E09"/>
    <w:rsid w:val="003C1EB5"/>
    <w:rsid w:val="003C20FB"/>
    <w:rsid w:val="003C21BB"/>
    <w:rsid w:val="003C283C"/>
    <w:rsid w:val="003C296F"/>
    <w:rsid w:val="003C2A51"/>
    <w:rsid w:val="003C2B79"/>
    <w:rsid w:val="003C2BED"/>
    <w:rsid w:val="003C2C01"/>
    <w:rsid w:val="003C2CA4"/>
    <w:rsid w:val="003C32C1"/>
    <w:rsid w:val="003C344A"/>
    <w:rsid w:val="003C34C5"/>
    <w:rsid w:val="003C36D5"/>
    <w:rsid w:val="003C38F3"/>
    <w:rsid w:val="003C451D"/>
    <w:rsid w:val="003C4691"/>
    <w:rsid w:val="003C46E7"/>
    <w:rsid w:val="003C4757"/>
    <w:rsid w:val="003C4759"/>
    <w:rsid w:val="003C4883"/>
    <w:rsid w:val="003C48EE"/>
    <w:rsid w:val="003C4A7B"/>
    <w:rsid w:val="003C4AE6"/>
    <w:rsid w:val="003C4C0A"/>
    <w:rsid w:val="003C4C9A"/>
    <w:rsid w:val="003C4CE8"/>
    <w:rsid w:val="003C52F4"/>
    <w:rsid w:val="003C5936"/>
    <w:rsid w:val="003C5E1B"/>
    <w:rsid w:val="003C6228"/>
    <w:rsid w:val="003C631E"/>
    <w:rsid w:val="003C66C4"/>
    <w:rsid w:val="003C6820"/>
    <w:rsid w:val="003C69AC"/>
    <w:rsid w:val="003C6A0F"/>
    <w:rsid w:val="003C6A49"/>
    <w:rsid w:val="003C6A72"/>
    <w:rsid w:val="003C6C31"/>
    <w:rsid w:val="003C6C6A"/>
    <w:rsid w:val="003C6CB3"/>
    <w:rsid w:val="003C6F66"/>
    <w:rsid w:val="003C7026"/>
    <w:rsid w:val="003C7466"/>
    <w:rsid w:val="003C7600"/>
    <w:rsid w:val="003C79E7"/>
    <w:rsid w:val="003C7A93"/>
    <w:rsid w:val="003C7B20"/>
    <w:rsid w:val="003C7C9E"/>
    <w:rsid w:val="003C7D2E"/>
    <w:rsid w:val="003C7E59"/>
    <w:rsid w:val="003C7F87"/>
    <w:rsid w:val="003D0335"/>
    <w:rsid w:val="003D041D"/>
    <w:rsid w:val="003D0564"/>
    <w:rsid w:val="003D077A"/>
    <w:rsid w:val="003D0A35"/>
    <w:rsid w:val="003D0D5E"/>
    <w:rsid w:val="003D0EA1"/>
    <w:rsid w:val="003D0FC6"/>
    <w:rsid w:val="003D1040"/>
    <w:rsid w:val="003D1261"/>
    <w:rsid w:val="003D1301"/>
    <w:rsid w:val="003D1325"/>
    <w:rsid w:val="003D16BF"/>
    <w:rsid w:val="003D18FA"/>
    <w:rsid w:val="003D199E"/>
    <w:rsid w:val="003D1E5F"/>
    <w:rsid w:val="003D20C3"/>
    <w:rsid w:val="003D2780"/>
    <w:rsid w:val="003D2CB2"/>
    <w:rsid w:val="003D3211"/>
    <w:rsid w:val="003D3349"/>
    <w:rsid w:val="003D37C4"/>
    <w:rsid w:val="003D3F8A"/>
    <w:rsid w:val="003D401E"/>
    <w:rsid w:val="003D4496"/>
    <w:rsid w:val="003D44EF"/>
    <w:rsid w:val="003D4744"/>
    <w:rsid w:val="003D47AA"/>
    <w:rsid w:val="003D4D02"/>
    <w:rsid w:val="003D4F40"/>
    <w:rsid w:val="003D4F8D"/>
    <w:rsid w:val="003D4FB6"/>
    <w:rsid w:val="003D5542"/>
    <w:rsid w:val="003D56B4"/>
    <w:rsid w:val="003D601B"/>
    <w:rsid w:val="003D60C0"/>
    <w:rsid w:val="003D6299"/>
    <w:rsid w:val="003D6521"/>
    <w:rsid w:val="003D6525"/>
    <w:rsid w:val="003D6535"/>
    <w:rsid w:val="003D66C6"/>
    <w:rsid w:val="003D67A6"/>
    <w:rsid w:val="003D680A"/>
    <w:rsid w:val="003D6878"/>
    <w:rsid w:val="003D694E"/>
    <w:rsid w:val="003D69A6"/>
    <w:rsid w:val="003D6B5D"/>
    <w:rsid w:val="003D6B68"/>
    <w:rsid w:val="003D6DC2"/>
    <w:rsid w:val="003D7054"/>
    <w:rsid w:val="003D7359"/>
    <w:rsid w:val="003D73D3"/>
    <w:rsid w:val="003D76AB"/>
    <w:rsid w:val="003D76C0"/>
    <w:rsid w:val="003D76C3"/>
    <w:rsid w:val="003D771F"/>
    <w:rsid w:val="003D7904"/>
    <w:rsid w:val="003D795E"/>
    <w:rsid w:val="003D79C6"/>
    <w:rsid w:val="003D7BCC"/>
    <w:rsid w:val="003E0106"/>
    <w:rsid w:val="003E026E"/>
    <w:rsid w:val="003E03A7"/>
    <w:rsid w:val="003E0662"/>
    <w:rsid w:val="003E0DF2"/>
    <w:rsid w:val="003E0ED0"/>
    <w:rsid w:val="003E0EFD"/>
    <w:rsid w:val="003E0F0B"/>
    <w:rsid w:val="003E11B4"/>
    <w:rsid w:val="003E1472"/>
    <w:rsid w:val="003E18C3"/>
    <w:rsid w:val="003E1997"/>
    <w:rsid w:val="003E1BDD"/>
    <w:rsid w:val="003E1C11"/>
    <w:rsid w:val="003E1CE0"/>
    <w:rsid w:val="003E1D0A"/>
    <w:rsid w:val="003E1D9F"/>
    <w:rsid w:val="003E1DAF"/>
    <w:rsid w:val="003E1DFD"/>
    <w:rsid w:val="003E1F96"/>
    <w:rsid w:val="003E20FA"/>
    <w:rsid w:val="003E21A7"/>
    <w:rsid w:val="003E23D1"/>
    <w:rsid w:val="003E25E5"/>
    <w:rsid w:val="003E270A"/>
    <w:rsid w:val="003E289D"/>
    <w:rsid w:val="003E2C66"/>
    <w:rsid w:val="003E2CF4"/>
    <w:rsid w:val="003E2D0C"/>
    <w:rsid w:val="003E2E32"/>
    <w:rsid w:val="003E30AC"/>
    <w:rsid w:val="003E31FC"/>
    <w:rsid w:val="003E354D"/>
    <w:rsid w:val="003E35FA"/>
    <w:rsid w:val="003E378D"/>
    <w:rsid w:val="003E3899"/>
    <w:rsid w:val="003E3AF9"/>
    <w:rsid w:val="003E3B74"/>
    <w:rsid w:val="003E3CF3"/>
    <w:rsid w:val="003E3D27"/>
    <w:rsid w:val="003E3D9E"/>
    <w:rsid w:val="003E3DE5"/>
    <w:rsid w:val="003E41B0"/>
    <w:rsid w:val="003E4213"/>
    <w:rsid w:val="003E43AF"/>
    <w:rsid w:val="003E457A"/>
    <w:rsid w:val="003E469C"/>
    <w:rsid w:val="003E4B03"/>
    <w:rsid w:val="003E4D3B"/>
    <w:rsid w:val="003E5447"/>
    <w:rsid w:val="003E56C9"/>
    <w:rsid w:val="003E5945"/>
    <w:rsid w:val="003E5973"/>
    <w:rsid w:val="003E5BEE"/>
    <w:rsid w:val="003E5C88"/>
    <w:rsid w:val="003E5C9E"/>
    <w:rsid w:val="003E5E54"/>
    <w:rsid w:val="003E5EA3"/>
    <w:rsid w:val="003E6581"/>
    <w:rsid w:val="003E6625"/>
    <w:rsid w:val="003E66BD"/>
    <w:rsid w:val="003E688C"/>
    <w:rsid w:val="003E6897"/>
    <w:rsid w:val="003E6978"/>
    <w:rsid w:val="003E6A0F"/>
    <w:rsid w:val="003E6ABC"/>
    <w:rsid w:val="003E6BE9"/>
    <w:rsid w:val="003E6D5B"/>
    <w:rsid w:val="003E6FBB"/>
    <w:rsid w:val="003E70A4"/>
    <w:rsid w:val="003E711F"/>
    <w:rsid w:val="003E7532"/>
    <w:rsid w:val="003E789C"/>
    <w:rsid w:val="003E790F"/>
    <w:rsid w:val="003E7BAF"/>
    <w:rsid w:val="003E7C0A"/>
    <w:rsid w:val="003E7F92"/>
    <w:rsid w:val="003F0096"/>
    <w:rsid w:val="003F02AB"/>
    <w:rsid w:val="003F03E0"/>
    <w:rsid w:val="003F05BB"/>
    <w:rsid w:val="003F0ADC"/>
    <w:rsid w:val="003F0D51"/>
    <w:rsid w:val="003F0D71"/>
    <w:rsid w:val="003F0FBC"/>
    <w:rsid w:val="003F0FD1"/>
    <w:rsid w:val="003F10EE"/>
    <w:rsid w:val="003F115A"/>
    <w:rsid w:val="003F11B2"/>
    <w:rsid w:val="003F1209"/>
    <w:rsid w:val="003F12CA"/>
    <w:rsid w:val="003F13EE"/>
    <w:rsid w:val="003F13FE"/>
    <w:rsid w:val="003F14F4"/>
    <w:rsid w:val="003F1600"/>
    <w:rsid w:val="003F1638"/>
    <w:rsid w:val="003F16B6"/>
    <w:rsid w:val="003F1A9A"/>
    <w:rsid w:val="003F1B2B"/>
    <w:rsid w:val="003F1BAF"/>
    <w:rsid w:val="003F1DD3"/>
    <w:rsid w:val="003F22F6"/>
    <w:rsid w:val="003F2EC0"/>
    <w:rsid w:val="003F2EFC"/>
    <w:rsid w:val="003F2F76"/>
    <w:rsid w:val="003F2FF7"/>
    <w:rsid w:val="003F30BA"/>
    <w:rsid w:val="003F3647"/>
    <w:rsid w:val="003F3905"/>
    <w:rsid w:val="003F3BC2"/>
    <w:rsid w:val="003F3C57"/>
    <w:rsid w:val="003F3CC4"/>
    <w:rsid w:val="003F3DAB"/>
    <w:rsid w:val="003F430B"/>
    <w:rsid w:val="003F449C"/>
    <w:rsid w:val="003F44BB"/>
    <w:rsid w:val="003F471B"/>
    <w:rsid w:val="003F48E1"/>
    <w:rsid w:val="003F49E6"/>
    <w:rsid w:val="003F4C89"/>
    <w:rsid w:val="003F4E3C"/>
    <w:rsid w:val="003F4EBD"/>
    <w:rsid w:val="003F4F58"/>
    <w:rsid w:val="003F5155"/>
    <w:rsid w:val="003F5178"/>
    <w:rsid w:val="003F51B6"/>
    <w:rsid w:val="003F5580"/>
    <w:rsid w:val="003F575D"/>
    <w:rsid w:val="003F5808"/>
    <w:rsid w:val="003F5845"/>
    <w:rsid w:val="003F587E"/>
    <w:rsid w:val="003F62EB"/>
    <w:rsid w:val="003F656E"/>
    <w:rsid w:val="003F65FF"/>
    <w:rsid w:val="003F6679"/>
    <w:rsid w:val="003F68A7"/>
    <w:rsid w:val="003F6926"/>
    <w:rsid w:val="003F6B39"/>
    <w:rsid w:val="003F6DDB"/>
    <w:rsid w:val="003F6F65"/>
    <w:rsid w:val="003F6FE0"/>
    <w:rsid w:val="003F7268"/>
    <w:rsid w:val="003F72A6"/>
    <w:rsid w:val="003F7342"/>
    <w:rsid w:val="003F736A"/>
    <w:rsid w:val="003F75CA"/>
    <w:rsid w:val="003F7903"/>
    <w:rsid w:val="003F7943"/>
    <w:rsid w:val="003F7E05"/>
    <w:rsid w:val="003F7FAD"/>
    <w:rsid w:val="004001B8"/>
    <w:rsid w:val="00400794"/>
    <w:rsid w:val="00400976"/>
    <w:rsid w:val="004009F9"/>
    <w:rsid w:val="00400FC6"/>
    <w:rsid w:val="00401414"/>
    <w:rsid w:val="0040150A"/>
    <w:rsid w:val="004015E7"/>
    <w:rsid w:val="00401653"/>
    <w:rsid w:val="00401762"/>
    <w:rsid w:val="00401D15"/>
    <w:rsid w:val="00401FC1"/>
    <w:rsid w:val="00402335"/>
    <w:rsid w:val="00402346"/>
    <w:rsid w:val="00402356"/>
    <w:rsid w:val="004025F6"/>
    <w:rsid w:val="004026E2"/>
    <w:rsid w:val="00402844"/>
    <w:rsid w:val="0040296B"/>
    <w:rsid w:val="00402A4D"/>
    <w:rsid w:val="00402B23"/>
    <w:rsid w:val="00402B44"/>
    <w:rsid w:val="00402B6C"/>
    <w:rsid w:val="00402C52"/>
    <w:rsid w:val="00402E98"/>
    <w:rsid w:val="004031A7"/>
    <w:rsid w:val="004032A6"/>
    <w:rsid w:val="004036A4"/>
    <w:rsid w:val="004036C9"/>
    <w:rsid w:val="00403B4B"/>
    <w:rsid w:val="00403DD0"/>
    <w:rsid w:val="00403F67"/>
    <w:rsid w:val="0040432C"/>
    <w:rsid w:val="00404393"/>
    <w:rsid w:val="004043B7"/>
    <w:rsid w:val="004048DF"/>
    <w:rsid w:val="00404A0B"/>
    <w:rsid w:val="00404B02"/>
    <w:rsid w:val="00404B25"/>
    <w:rsid w:val="00404BBC"/>
    <w:rsid w:val="00405033"/>
    <w:rsid w:val="0040548A"/>
    <w:rsid w:val="00405732"/>
    <w:rsid w:val="0040577F"/>
    <w:rsid w:val="00405790"/>
    <w:rsid w:val="00405C0D"/>
    <w:rsid w:val="00405D65"/>
    <w:rsid w:val="00405DE5"/>
    <w:rsid w:val="00405F47"/>
    <w:rsid w:val="00406319"/>
    <w:rsid w:val="00406703"/>
    <w:rsid w:val="0040681A"/>
    <w:rsid w:val="00406A51"/>
    <w:rsid w:val="00406AF6"/>
    <w:rsid w:val="00406FC7"/>
    <w:rsid w:val="00407462"/>
    <w:rsid w:val="004078FF"/>
    <w:rsid w:val="00407989"/>
    <w:rsid w:val="004079A1"/>
    <w:rsid w:val="004102BC"/>
    <w:rsid w:val="004102C3"/>
    <w:rsid w:val="0041033A"/>
    <w:rsid w:val="004105CE"/>
    <w:rsid w:val="0041061C"/>
    <w:rsid w:val="0041090B"/>
    <w:rsid w:val="00410975"/>
    <w:rsid w:val="004109A9"/>
    <w:rsid w:val="004109E7"/>
    <w:rsid w:val="00410D97"/>
    <w:rsid w:val="00410DE2"/>
    <w:rsid w:val="00410DE9"/>
    <w:rsid w:val="004113E6"/>
    <w:rsid w:val="00411439"/>
    <w:rsid w:val="004118C4"/>
    <w:rsid w:val="00411E87"/>
    <w:rsid w:val="004120B3"/>
    <w:rsid w:val="004120BF"/>
    <w:rsid w:val="00412378"/>
    <w:rsid w:val="00412451"/>
    <w:rsid w:val="0041255E"/>
    <w:rsid w:val="0041256F"/>
    <w:rsid w:val="004126A1"/>
    <w:rsid w:val="00412AB6"/>
    <w:rsid w:val="00412C17"/>
    <w:rsid w:val="004131C1"/>
    <w:rsid w:val="00413343"/>
    <w:rsid w:val="00413366"/>
    <w:rsid w:val="00413749"/>
    <w:rsid w:val="0041375C"/>
    <w:rsid w:val="0041389D"/>
    <w:rsid w:val="004138C7"/>
    <w:rsid w:val="00413A72"/>
    <w:rsid w:val="00413AFB"/>
    <w:rsid w:val="00413BB4"/>
    <w:rsid w:val="00413BD9"/>
    <w:rsid w:val="00414276"/>
    <w:rsid w:val="00414544"/>
    <w:rsid w:val="00414941"/>
    <w:rsid w:val="00414DF7"/>
    <w:rsid w:val="00414FB0"/>
    <w:rsid w:val="0041504C"/>
    <w:rsid w:val="004150E6"/>
    <w:rsid w:val="004153A5"/>
    <w:rsid w:val="004154C0"/>
    <w:rsid w:val="0041557A"/>
    <w:rsid w:val="0041567D"/>
    <w:rsid w:val="00415684"/>
    <w:rsid w:val="0041585B"/>
    <w:rsid w:val="00415A31"/>
    <w:rsid w:val="00415D38"/>
    <w:rsid w:val="0041621D"/>
    <w:rsid w:val="004168C2"/>
    <w:rsid w:val="004168FD"/>
    <w:rsid w:val="00416A00"/>
    <w:rsid w:val="00416AB2"/>
    <w:rsid w:val="00416B46"/>
    <w:rsid w:val="00416DFA"/>
    <w:rsid w:val="0041707B"/>
    <w:rsid w:val="0041741C"/>
    <w:rsid w:val="00417436"/>
    <w:rsid w:val="0041753D"/>
    <w:rsid w:val="00418271"/>
    <w:rsid w:val="004208A5"/>
    <w:rsid w:val="00420920"/>
    <w:rsid w:val="004209C0"/>
    <w:rsid w:val="004209D4"/>
    <w:rsid w:val="00420D5B"/>
    <w:rsid w:val="00420D82"/>
    <w:rsid w:val="00420DA2"/>
    <w:rsid w:val="00421129"/>
    <w:rsid w:val="0042153B"/>
    <w:rsid w:val="00421729"/>
    <w:rsid w:val="00421869"/>
    <w:rsid w:val="004218FC"/>
    <w:rsid w:val="00421A05"/>
    <w:rsid w:val="00421C18"/>
    <w:rsid w:val="00421C8D"/>
    <w:rsid w:val="00421C90"/>
    <w:rsid w:val="00421DF8"/>
    <w:rsid w:val="00421E39"/>
    <w:rsid w:val="00421F1C"/>
    <w:rsid w:val="00422333"/>
    <w:rsid w:val="004223F2"/>
    <w:rsid w:val="004223FE"/>
    <w:rsid w:val="00422B70"/>
    <w:rsid w:val="00422D85"/>
    <w:rsid w:val="00422FD1"/>
    <w:rsid w:val="00423381"/>
    <w:rsid w:val="00423438"/>
    <w:rsid w:val="0042357B"/>
    <w:rsid w:val="00423771"/>
    <w:rsid w:val="0042386C"/>
    <w:rsid w:val="00423B29"/>
    <w:rsid w:val="00423B75"/>
    <w:rsid w:val="004244E1"/>
    <w:rsid w:val="00424700"/>
    <w:rsid w:val="00424886"/>
    <w:rsid w:val="004249C9"/>
    <w:rsid w:val="004251AF"/>
    <w:rsid w:val="0042555C"/>
    <w:rsid w:val="004255DD"/>
    <w:rsid w:val="004256F7"/>
    <w:rsid w:val="00425A57"/>
    <w:rsid w:val="00425B35"/>
    <w:rsid w:val="00425C45"/>
    <w:rsid w:val="00425CC6"/>
    <w:rsid w:val="00425FD8"/>
    <w:rsid w:val="00426162"/>
    <w:rsid w:val="0042640D"/>
    <w:rsid w:val="0042644F"/>
    <w:rsid w:val="00426595"/>
    <w:rsid w:val="004265A4"/>
    <w:rsid w:val="004265A7"/>
    <w:rsid w:val="0042664C"/>
    <w:rsid w:val="0042673C"/>
    <w:rsid w:val="00426B43"/>
    <w:rsid w:val="00426BEF"/>
    <w:rsid w:val="00426E89"/>
    <w:rsid w:val="00427207"/>
    <w:rsid w:val="0042730E"/>
    <w:rsid w:val="004273BD"/>
    <w:rsid w:val="004274FF"/>
    <w:rsid w:val="0042754A"/>
    <w:rsid w:val="0042775C"/>
    <w:rsid w:val="00427CC3"/>
    <w:rsid w:val="00427E1A"/>
    <w:rsid w:val="00430304"/>
    <w:rsid w:val="0043043B"/>
    <w:rsid w:val="0043049E"/>
    <w:rsid w:val="004304BD"/>
    <w:rsid w:val="00430554"/>
    <w:rsid w:val="00430678"/>
    <w:rsid w:val="00430785"/>
    <w:rsid w:val="004307DC"/>
    <w:rsid w:val="00430ADF"/>
    <w:rsid w:val="00430B20"/>
    <w:rsid w:val="00430BC1"/>
    <w:rsid w:val="00430ECA"/>
    <w:rsid w:val="00430F8B"/>
    <w:rsid w:val="004310C5"/>
    <w:rsid w:val="004314D7"/>
    <w:rsid w:val="00431632"/>
    <w:rsid w:val="0043176B"/>
    <w:rsid w:val="00431847"/>
    <w:rsid w:val="00431A34"/>
    <w:rsid w:val="00431B6F"/>
    <w:rsid w:val="00431D0C"/>
    <w:rsid w:val="00431E4C"/>
    <w:rsid w:val="00431F7C"/>
    <w:rsid w:val="00431FA9"/>
    <w:rsid w:val="0043217E"/>
    <w:rsid w:val="00432230"/>
    <w:rsid w:val="00432909"/>
    <w:rsid w:val="00432B2C"/>
    <w:rsid w:val="00432C26"/>
    <w:rsid w:val="00432CAB"/>
    <w:rsid w:val="00433233"/>
    <w:rsid w:val="00433316"/>
    <w:rsid w:val="004333C9"/>
    <w:rsid w:val="00433ED9"/>
    <w:rsid w:val="00433F62"/>
    <w:rsid w:val="00433F98"/>
    <w:rsid w:val="00434044"/>
    <w:rsid w:val="00434194"/>
    <w:rsid w:val="004342C7"/>
    <w:rsid w:val="004344D5"/>
    <w:rsid w:val="004348A8"/>
    <w:rsid w:val="0043497F"/>
    <w:rsid w:val="00434A3F"/>
    <w:rsid w:val="00434D30"/>
    <w:rsid w:val="004352FB"/>
    <w:rsid w:val="0043555B"/>
    <w:rsid w:val="0043559B"/>
    <w:rsid w:val="004356BD"/>
    <w:rsid w:val="00435BBC"/>
    <w:rsid w:val="00435C55"/>
    <w:rsid w:val="00435E80"/>
    <w:rsid w:val="00435EDD"/>
    <w:rsid w:val="00436193"/>
    <w:rsid w:val="004362E3"/>
    <w:rsid w:val="00436521"/>
    <w:rsid w:val="00436968"/>
    <w:rsid w:val="004369CC"/>
    <w:rsid w:val="00436A4F"/>
    <w:rsid w:val="00436C96"/>
    <w:rsid w:val="00436D2A"/>
    <w:rsid w:val="00436D9F"/>
    <w:rsid w:val="00436DB8"/>
    <w:rsid w:val="00436DFB"/>
    <w:rsid w:val="00436FC6"/>
    <w:rsid w:val="004371EE"/>
    <w:rsid w:val="00437217"/>
    <w:rsid w:val="0043724B"/>
    <w:rsid w:val="004376A5"/>
    <w:rsid w:val="004376F7"/>
    <w:rsid w:val="00437791"/>
    <w:rsid w:val="00437CB8"/>
    <w:rsid w:val="00437D02"/>
    <w:rsid w:val="0043BCEA"/>
    <w:rsid w:val="004405C6"/>
    <w:rsid w:val="00440BFD"/>
    <w:rsid w:val="004413EA"/>
    <w:rsid w:val="0044147E"/>
    <w:rsid w:val="00441489"/>
    <w:rsid w:val="004415C3"/>
    <w:rsid w:val="0044160E"/>
    <w:rsid w:val="004416B1"/>
    <w:rsid w:val="004417E8"/>
    <w:rsid w:val="00441877"/>
    <w:rsid w:val="00441C70"/>
    <w:rsid w:val="004420AE"/>
    <w:rsid w:val="00442736"/>
    <w:rsid w:val="0044290E"/>
    <w:rsid w:val="00442AE2"/>
    <w:rsid w:val="00442DFD"/>
    <w:rsid w:val="0044309A"/>
    <w:rsid w:val="004432E1"/>
    <w:rsid w:val="004438EF"/>
    <w:rsid w:val="00443A13"/>
    <w:rsid w:val="00443AFF"/>
    <w:rsid w:val="00443B8C"/>
    <w:rsid w:val="00443CD7"/>
    <w:rsid w:val="00443EB5"/>
    <w:rsid w:val="004440B2"/>
    <w:rsid w:val="00444289"/>
    <w:rsid w:val="00444566"/>
    <w:rsid w:val="0044456D"/>
    <w:rsid w:val="0044486D"/>
    <w:rsid w:val="00444A8C"/>
    <w:rsid w:val="00444CCB"/>
    <w:rsid w:val="00444D3A"/>
    <w:rsid w:val="00444DE6"/>
    <w:rsid w:val="00445077"/>
    <w:rsid w:val="004450E1"/>
    <w:rsid w:val="0044518A"/>
    <w:rsid w:val="004454B8"/>
    <w:rsid w:val="0044565A"/>
    <w:rsid w:val="00445ACB"/>
    <w:rsid w:val="00445C34"/>
    <w:rsid w:val="00445C68"/>
    <w:rsid w:val="00445ED1"/>
    <w:rsid w:val="00445ED5"/>
    <w:rsid w:val="0044697E"/>
    <w:rsid w:val="00446AFE"/>
    <w:rsid w:val="00446BC1"/>
    <w:rsid w:val="00446CE4"/>
    <w:rsid w:val="00446D9D"/>
    <w:rsid w:val="00446F1C"/>
    <w:rsid w:val="00446F92"/>
    <w:rsid w:val="004470A0"/>
    <w:rsid w:val="004470A3"/>
    <w:rsid w:val="00447233"/>
    <w:rsid w:val="00447335"/>
    <w:rsid w:val="00447861"/>
    <w:rsid w:val="00447BA0"/>
    <w:rsid w:val="00447BE6"/>
    <w:rsid w:val="00450077"/>
    <w:rsid w:val="004500F8"/>
    <w:rsid w:val="0045053C"/>
    <w:rsid w:val="0045071A"/>
    <w:rsid w:val="0045072E"/>
    <w:rsid w:val="00450892"/>
    <w:rsid w:val="0045094B"/>
    <w:rsid w:val="00450978"/>
    <w:rsid w:val="00450A75"/>
    <w:rsid w:val="00450B69"/>
    <w:rsid w:val="00450EE3"/>
    <w:rsid w:val="0045119B"/>
    <w:rsid w:val="00451294"/>
    <w:rsid w:val="00451333"/>
    <w:rsid w:val="00451350"/>
    <w:rsid w:val="00451367"/>
    <w:rsid w:val="004513A3"/>
    <w:rsid w:val="004513BA"/>
    <w:rsid w:val="004516D4"/>
    <w:rsid w:val="004519CD"/>
    <w:rsid w:val="004519D8"/>
    <w:rsid w:val="00451A02"/>
    <w:rsid w:val="00451C42"/>
    <w:rsid w:val="00451C49"/>
    <w:rsid w:val="00451F4E"/>
    <w:rsid w:val="004521EB"/>
    <w:rsid w:val="004525F3"/>
    <w:rsid w:val="00452614"/>
    <w:rsid w:val="00452622"/>
    <w:rsid w:val="00452632"/>
    <w:rsid w:val="00452848"/>
    <w:rsid w:val="00452886"/>
    <w:rsid w:val="00452B92"/>
    <w:rsid w:val="00452B96"/>
    <w:rsid w:val="00453015"/>
    <w:rsid w:val="00453163"/>
    <w:rsid w:val="00453188"/>
    <w:rsid w:val="0045327A"/>
    <w:rsid w:val="00453495"/>
    <w:rsid w:val="0045349C"/>
    <w:rsid w:val="00453557"/>
    <w:rsid w:val="00453630"/>
    <w:rsid w:val="0045364F"/>
    <w:rsid w:val="004537E6"/>
    <w:rsid w:val="0045399E"/>
    <w:rsid w:val="004539A3"/>
    <w:rsid w:val="004539E5"/>
    <w:rsid w:val="00453C5E"/>
    <w:rsid w:val="00453CCD"/>
    <w:rsid w:val="00453D52"/>
    <w:rsid w:val="00453F3E"/>
    <w:rsid w:val="00453F8A"/>
    <w:rsid w:val="00453FFE"/>
    <w:rsid w:val="004541EA"/>
    <w:rsid w:val="004542BD"/>
    <w:rsid w:val="004544D9"/>
    <w:rsid w:val="004545B9"/>
    <w:rsid w:val="00454715"/>
    <w:rsid w:val="004549C2"/>
    <w:rsid w:val="00454D11"/>
    <w:rsid w:val="00454E83"/>
    <w:rsid w:val="00455112"/>
    <w:rsid w:val="0045520E"/>
    <w:rsid w:val="004553F3"/>
    <w:rsid w:val="0045549A"/>
    <w:rsid w:val="0045549C"/>
    <w:rsid w:val="004556E0"/>
    <w:rsid w:val="00455B8D"/>
    <w:rsid w:val="00455EE3"/>
    <w:rsid w:val="00455EEB"/>
    <w:rsid w:val="00456225"/>
    <w:rsid w:val="00456510"/>
    <w:rsid w:val="004565FA"/>
    <w:rsid w:val="004568A6"/>
    <w:rsid w:val="004568E6"/>
    <w:rsid w:val="004569E1"/>
    <w:rsid w:val="00456E90"/>
    <w:rsid w:val="00457069"/>
    <w:rsid w:val="00457311"/>
    <w:rsid w:val="00457A77"/>
    <w:rsid w:val="00457BF8"/>
    <w:rsid w:val="00457C10"/>
    <w:rsid w:val="00457C6B"/>
    <w:rsid w:val="00457ED1"/>
    <w:rsid w:val="0046031C"/>
    <w:rsid w:val="004604EA"/>
    <w:rsid w:val="0046056B"/>
    <w:rsid w:val="004605A2"/>
    <w:rsid w:val="00460985"/>
    <w:rsid w:val="00460CC8"/>
    <w:rsid w:val="00460D0D"/>
    <w:rsid w:val="00460E29"/>
    <w:rsid w:val="00460EC4"/>
    <w:rsid w:val="0046100E"/>
    <w:rsid w:val="00461416"/>
    <w:rsid w:val="00461428"/>
    <w:rsid w:val="004614C2"/>
    <w:rsid w:val="0046166C"/>
    <w:rsid w:val="0046205F"/>
    <w:rsid w:val="004620C1"/>
    <w:rsid w:val="0046245D"/>
    <w:rsid w:val="00462478"/>
    <w:rsid w:val="0046251E"/>
    <w:rsid w:val="00462790"/>
    <w:rsid w:val="004629C6"/>
    <w:rsid w:val="00462A08"/>
    <w:rsid w:val="00462E1D"/>
    <w:rsid w:val="00462FBA"/>
    <w:rsid w:val="0046300A"/>
    <w:rsid w:val="00463239"/>
    <w:rsid w:val="004635E6"/>
    <w:rsid w:val="0046365A"/>
    <w:rsid w:val="00463934"/>
    <w:rsid w:val="00463AA8"/>
    <w:rsid w:val="00463BDE"/>
    <w:rsid w:val="00463BEA"/>
    <w:rsid w:val="004643CE"/>
    <w:rsid w:val="00464756"/>
    <w:rsid w:val="004648F4"/>
    <w:rsid w:val="004648FE"/>
    <w:rsid w:val="00464A79"/>
    <w:rsid w:val="00464C09"/>
    <w:rsid w:val="00464C0B"/>
    <w:rsid w:val="00464DB0"/>
    <w:rsid w:val="00464DBB"/>
    <w:rsid w:val="00464EA5"/>
    <w:rsid w:val="00464F94"/>
    <w:rsid w:val="00464FA2"/>
    <w:rsid w:val="0046522D"/>
    <w:rsid w:val="004653F2"/>
    <w:rsid w:val="0046541E"/>
    <w:rsid w:val="00465423"/>
    <w:rsid w:val="0046584B"/>
    <w:rsid w:val="00465875"/>
    <w:rsid w:val="004659D4"/>
    <w:rsid w:val="00465E4F"/>
    <w:rsid w:val="00465E61"/>
    <w:rsid w:val="00465EEF"/>
    <w:rsid w:val="00465F10"/>
    <w:rsid w:val="00465FA5"/>
    <w:rsid w:val="00466150"/>
    <w:rsid w:val="004662CF"/>
    <w:rsid w:val="0046630C"/>
    <w:rsid w:val="004663C5"/>
    <w:rsid w:val="00466431"/>
    <w:rsid w:val="0046687C"/>
    <w:rsid w:val="004668A5"/>
    <w:rsid w:val="00466BD0"/>
    <w:rsid w:val="00467295"/>
    <w:rsid w:val="004677C3"/>
    <w:rsid w:val="004678A1"/>
    <w:rsid w:val="00467B65"/>
    <w:rsid w:val="00467D22"/>
    <w:rsid w:val="00467D3B"/>
    <w:rsid w:val="0047017D"/>
    <w:rsid w:val="004701C6"/>
    <w:rsid w:val="00470690"/>
    <w:rsid w:val="00470792"/>
    <w:rsid w:val="00470B55"/>
    <w:rsid w:val="00470C84"/>
    <w:rsid w:val="00470D15"/>
    <w:rsid w:val="00470DC3"/>
    <w:rsid w:val="0047126E"/>
    <w:rsid w:val="004713ED"/>
    <w:rsid w:val="00471652"/>
    <w:rsid w:val="004716D8"/>
    <w:rsid w:val="00471AD0"/>
    <w:rsid w:val="00471ADE"/>
    <w:rsid w:val="00471D1E"/>
    <w:rsid w:val="00471EC0"/>
    <w:rsid w:val="00471FE1"/>
    <w:rsid w:val="00472018"/>
    <w:rsid w:val="004722C4"/>
    <w:rsid w:val="004722E8"/>
    <w:rsid w:val="0047257F"/>
    <w:rsid w:val="00472597"/>
    <w:rsid w:val="004728C9"/>
    <w:rsid w:val="00472A85"/>
    <w:rsid w:val="00472CFF"/>
    <w:rsid w:val="00472DA0"/>
    <w:rsid w:val="00472DDA"/>
    <w:rsid w:val="00472EEE"/>
    <w:rsid w:val="004732DE"/>
    <w:rsid w:val="0047331B"/>
    <w:rsid w:val="0047380E"/>
    <w:rsid w:val="00473A3C"/>
    <w:rsid w:val="00473AB8"/>
    <w:rsid w:val="00473B1D"/>
    <w:rsid w:val="00473B9D"/>
    <w:rsid w:val="00473DE4"/>
    <w:rsid w:val="00473ED9"/>
    <w:rsid w:val="00473F55"/>
    <w:rsid w:val="00473FAC"/>
    <w:rsid w:val="00473FFE"/>
    <w:rsid w:val="004740F6"/>
    <w:rsid w:val="004741AE"/>
    <w:rsid w:val="004741FD"/>
    <w:rsid w:val="0047430B"/>
    <w:rsid w:val="00474361"/>
    <w:rsid w:val="00474391"/>
    <w:rsid w:val="00475106"/>
    <w:rsid w:val="0047519B"/>
    <w:rsid w:val="00475299"/>
    <w:rsid w:val="00475584"/>
    <w:rsid w:val="00475927"/>
    <w:rsid w:val="00475A6B"/>
    <w:rsid w:val="00476615"/>
    <w:rsid w:val="00476684"/>
    <w:rsid w:val="0047668B"/>
    <w:rsid w:val="00476784"/>
    <w:rsid w:val="00476A43"/>
    <w:rsid w:val="00476BDA"/>
    <w:rsid w:val="00477300"/>
    <w:rsid w:val="00477361"/>
    <w:rsid w:val="004774E4"/>
    <w:rsid w:val="00477553"/>
    <w:rsid w:val="004777BF"/>
    <w:rsid w:val="00477C9D"/>
    <w:rsid w:val="00477D9B"/>
    <w:rsid w:val="0048041F"/>
    <w:rsid w:val="004805BD"/>
    <w:rsid w:val="00480B73"/>
    <w:rsid w:val="00480C49"/>
    <w:rsid w:val="00480D57"/>
    <w:rsid w:val="00480D60"/>
    <w:rsid w:val="00480E6E"/>
    <w:rsid w:val="00481142"/>
    <w:rsid w:val="00481234"/>
    <w:rsid w:val="00481468"/>
    <w:rsid w:val="00481476"/>
    <w:rsid w:val="00481C04"/>
    <w:rsid w:val="00481DFD"/>
    <w:rsid w:val="00481EBE"/>
    <w:rsid w:val="00481F24"/>
    <w:rsid w:val="00481F41"/>
    <w:rsid w:val="00481FAF"/>
    <w:rsid w:val="00481FBE"/>
    <w:rsid w:val="00482052"/>
    <w:rsid w:val="004820AB"/>
    <w:rsid w:val="004824A9"/>
    <w:rsid w:val="00482538"/>
    <w:rsid w:val="00482693"/>
    <w:rsid w:val="004829F2"/>
    <w:rsid w:val="00482C43"/>
    <w:rsid w:val="00482D4F"/>
    <w:rsid w:val="00482DBF"/>
    <w:rsid w:val="0048315E"/>
    <w:rsid w:val="004834A5"/>
    <w:rsid w:val="0048365A"/>
    <w:rsid w:val="0048385B"/>
    <w:rsid w:val="0048389B"/>
    <w:rsid w:val="00483A69"/>
    <w:rsid w:val="00483DD1"/>
    <w:rsid w:val="00483F9D"/>
    <w:rsid w:val="00484525"/>
    <w:rsid w:val="00484899"/>
    <w:rsid w:val="004848C3"/>
    <w:rsid w:val="004848DA"/>
    <w:rsid w:val="00484A37"/>
    <w:rsid w:val="00484A9C"/>
    <w:rsid w:val="00484AD0"/>
    <w:rsid w:val="00484B2C"/>
    <w:rsid w:val="00484C23"/>
    <w:rsid w:val="00484CB9"/>
    <w:rsid w:val="00484F48"/>
    <w:rsid w:val="00484FAB"/>
    <w:rsid w:val="0048512A"/>
    <w:rsid w:val="004855BE"/>
    <w:rsid w:val="004856FB"/>
    <w:rsid w:val="00485819"/>
    <w:rsid w:val="004858B8"/>
    <w:rsid w:val="00485A0C"/>
    <w:rsid w:val="00485AE5"/>
    <w:rsid w:val="00485BCE"/>
    <w:rsid w:val="00485C19"/>
    <w:rsid w:val="00485CD0"/>
    <w:rsid w:val="00485D50"/>
    <w:rsid w:val="00485EE7"/>
    <w:rsid w:val="0048600A"/>
    <w:rsid w:val="004861CF"/>
    <w:rsid w:val="00486227"/>
    <w:rsid w:val="00486282"/>
    <w:rsid w:val="004863DA"/>
    <w:rsid w:val="0048641E"/>
    <w:rsid w:val="00486687"/>
    <w:rsid w:val="00486708"/>
    <w:rsid w:val="00486751"/>
    <w:rsid w:val="004869CF"/>
    <w:rsid w:val="00486A0C"/>
    <w:rsid w:val="00486A96"/>
    <w:rsid w:val="0048743D"/>
    <w:rsid w:val="00487536"/>
    <w:rsid w:val="00487605"/>
    <w:rsid w:val="00487725"/>
    <w:rsid w:val="004878CE"/>
    <w:rsid w:val="00487C44"/>
    <w:rsid w:val="00487F3C"/>
    <w:rsid w:val="00487F61"/>
    <w:rsid w:val="0048E587"/>
    <w:rsid w:val="00490149"/>
    <w:rsid w:val="0049088E"/>
    <w:rsid w:val="00490911"/>
    <w:rsid w:val="00490B81"/>
    <w:rsid w:val="00490D70"/>
    <w:rsid w:val="00490E1E"/>
    <w:rsid w:val="00490E41"/>
    <w:rsid w:val="00490E56"/>
    <w:rsid w:val="00490FF1"/>
    <w:rsid w:val="004910F0"/>
    <w:rsid w:val="00491100"/>
    <w:rsid w:val="004911E4"/>
    <w:rsid w:val="00491277"/>
    <w:rsid w:val="004912BF"/>
    <w:rsid w:val="004917DB"/>
    <w:rsid w:val="00491882"/>
    <w:rsid w:val="00491932"/>
    <w:rsid w:val="00491A40"/>
    <w:rsid w:val="00491BD4"/>
    <w:rsid w:val="00491E3A"/>
    <w:rsid w:val="00491FD9"/>
    <w:rsid w:val="0049211A"/>
    <w:rsid w:val="00492183"/>
    <w:rsid w:val="0049218E"/>
    <w:rsid w:val="004925FE"/>
    <w:rsid w:val="0049273A"/>
    <w:rsid w:val="004927A2"/>
    <w:rsid w:val="004927EF"/>
    <w:rsid w:val="00492DE5"/>
    <w:rsid w:val="00492E8F"/>
    <w:rsid w:val="004931DA"/>
    <w:rsid w:val="0049320A"/>
    <w:rsid w:val="00493266"/>
    <w:rsid w:val="0049329C"/>
    <w:rsid w:val="004932E1"/>
    <w:rsid w:val="0049334F"/>
    <w:rsid w:val="00493414"/>
    <w:rsid w:val="00493B1E"/>
    <w:rsid w:val="00493C2D"/>
    <w:rsid w:val="00493DF9"/>
    <w:rsid w:val="00493F2A"/>
    <w:rsid w:val="0049456D"/>
    <w:rsid w:val="0049481A"/>
    <w:rsid w:val="00494A01"/>
    <w:rsid w:val="00494EE4"/>
    <w:rsid w:val="0049513D"/>
    <w:rsid w:val="00495195"/>
    <w:rsid w:val="00495227"/>
    <w:rsid w:val="00495330"/>
    <w:rsid w:val="00495490"/>
    <w:rsid w:val="00495504"/>
    <w:rsid w:val="004955C6"/>
    <w:rsid w:val="004956BE"/>
    <w:rsid w:val="00495EF9"/>
    <w:rsid w:val="004960E7"/>
    <w:rsid w:val="00496953"/>
    <w:rsid w:val="004969B4"/>
    <w:rsid w:val="00496E31"/>
    <w:rsid w:val="00496EC7"/>
    <w:rsid w:val="0049719A"/>
    <w:rsid w:val="004971D4"/>
    <w:rsid w:val="00497233"/>
    <w:rsid w:val="0049762C"/>
    <w:rsid w:val="0049769D"/>
    <w:rsid w:val="004977FB"/>
    <w:rsid w:val="0049783E"/>
    <w:rsid w:val="00497AFB"/>
    <w:rsid w:val="00497B92"/>
    <w:rsid w:val="00497C8D"/>
    <w:rsid w:val="00497DE3"/>
    <w:rsid w:val="00497E28"/>
    <w:rsid w:val="00497E88"/>
    <w:rsid w:val="00497E9C"/>
    <w:rsid w:val="004A0445"/>
    <w:rsid w:val="004A05F8"/>
    <w:rsid w:val="004A0853"/>
    <w:rsid w:val="004A0A55"/>
    <w:rsid w:val="004A0B72"/>
    <w:rsid w:val="004A0B8E"/>
    <w:rsid w:val="004A0EBA"/>
    <w:rsid w:val="004A10AC"/>
    <w:rsid w:val="004A10B8"/>
    <w:rsid w:val="004A11F4"/>
    <w:rsid w:val="004A13D6"/>
    <w:rsid w:val="004A1458"/>
    <w:rsid w:val="004A165B"/>
    <w:rsid w:val="004A183C"/>
    <w:rsid w:val="004A183D"/>
    <w:rsid w:val="004A18A3"/>
    <w:rsid w:val="004A1AE5"/>
    <w:rsid w:val="004A1C71"/>
    <w:rsid w:val="004A1EE6"/>
    <w:rsid w:val="004A227D"/>
    <w:rsid w:val="004A22F9"/>
    <w:rsid w:val="004A2399"/>
    <w:rsid w:val="004A2D46"/>
    <w:rsid w:val="004A2F1E"/>
    <w:rsid w:val="004A3378"/>
    <w:rsid w:val="004A3744"/>
    <w:rsid w:val="004A3846"/>
    <w:rsid w:val="004A3932"/>
    <w:rsid w:val="004A3DD7"/>
    <w:rsid w:val="004A3ED4"/>
    <w:rsid w:val="004A3FB8"/>
    <w:rsid w:val="004A4377"/>
    <w:rsid w:val="004A43EB"/>
    <w:rsid w:val="004A456F"/>
    <w:rsid w:val="004A46E6"/>
    <w:rsid w:val="004A4766"/>
    <w:rsid w:val="004A492C"/>
    <w:rsid w:val="004A4A87"/>
    <w:rsid w:val="004A4B54"/>
    <w:rsid w:val="004A4D1A"/>
    <w:rsid w:val="004A4D96"/>
    <w:rsid w:val="004A5198"/>
    <w:rsid w:val="004A5454"/>
    <w:rsid w:val="004A54E2"/>
    <w:rsid w:val="004A555E"/>
    <w:rsid w:val="004A55EC"/>
    <w:rsid w:val="004A573E"/>
    <w:rsid w:val="004A5A13"/>
    <w:rsid w:val="004A5EBD"/>
    <w:rsid w:val="004A6038"/>
    <w:rsid w:val="004A6107"/>
    <w:rsid w:val="004A6174"/>
    <w:rsid w:val="004A6344"/>
    <w:rsid w:val="004A63D7"/>
    <w:rsid w:val="004A650F"/>
    <w:rsid w:val="004A6786"/>
    <w:rsid w:val="004A6BF5"/>
    <w:rsid w:val="004A6CDC"/>
    <w:rsid w:val="004A6DB8"/>
    <w:rsid w:val="004A6E11"/>
    <w:rsid w:val="004A76EC"/>
    <w:rsid w:val="004A778F"/>
    <w:rsid w:val="004A79DC"/>
    <w:rsid w:val="004A7BB6"/>
    <w:rsid w:val="004A7DC5"/>
    <w:rsid w:val="004A7DF7"/>
    <w:rsid w:val="004A7EAB"/>
    <w:rsid w:val="004B000F"/>
    <w:rsid w:val="004B00B6"/>
    <w:rsid w:val="004B05B9"/>
    <w:rsid w:val="004B06EE"/>
    <w:rsid w:val="004B07D1"/>
    <w:rsid w:val="004B08B0"/>
    <w:rsid w:val="004B09AF"/>
    <w:rsid w:val="004B0AB4"/>
    <w:rsid w:val="004B0B65"/>
    <w:rsid w:val="004B0CD0"/>
    <w:rsid w:val="004B0E00"/>
    <w:rsid w:val="004B0FCA"/>
    <w:rsid w:val="004B1116"/>
    <w:rsid w:val="004B1124"/>
    <w:rsid w:val="004B1153"/>
    <w:rsid w:val="004B1391"/>
    <w:rsid w:val="004B14F5"/>
    <w:rsid w:val="004B18EB"/>
    <w:rsid w:val="004B19EB"/>
    <w:rsid w:val="004B1A04"/>
    <w:rsid w:val="004B1A2E"/>
    <w:rsid w:val="004B1AD0"/>
    <w:rsid w:val="004B1C2E"/>
    <w:rsid w:val="004B208E"/>
    <w:rsid w:val="004B233A"/>
    <w:rsid w:val="004B2548"/>
    <w:rsid w:val="004B285B"/>
    <w:rsid w:val="004B28B1"/>
    <w:rsid w:val="004B297D"/>
    <w:rsid w:val="004B2AE7"/>
    <w:rsid w:val="004B2BAD"/>
    <w:rsid w:val="004B30E8"/>
    <w:rsid w:val="004B33B3"/>
    <w:rsid w:val="004B373A"/>
    <w:rsid w:val="004B373C"/>
    <w:rsid w:val="004B3DE0"/>
    <w:rsid w:val="004B3EEB"/>
    <w:rsid w:val="004B3F48"/>
    <w:rsid w:val="004B406B"/>
    <w:rsid w:val="004B42ED"/>
    <w:rsid w:val="004B43C5"/>
    <w:rsid w:val="004B4900"/>
    <w:rsid w:val="004B4BAD"/>
    <w:rsid w:val="004B4BF0"/>
    <w:rsid w:val="004B4C37"/>
    <w:rsid w:val="004B4C96"/>
    <w:rsid w:val="004B4F65"/>
    <w:rsid w:val="004B52D9"/>
    <w:rsid w:val="004B531D"/>
    <w:rsid w:val="004B55ED"/>
    <w:rsid w:val="004B58CA"/>
    <w:rsid w:val="004B58DE"/>
    <w:rsid w:val="004B5A2B"/>
    <w:rsid w:val="004B5C61"/>
    <w:rsid w:val="004B5DAB"/>
    <w:rsid w:val="004B5F85"/>
    <w:rsid w:val="004B6222"/>
    <w:rsid w:val="004B624B"/>
    <w:rsid w:val="004B6387"/>
    <w:rsid w:val="004B638D"/>
    <w:rsid w:val="004B648D"/>
    <w:rsid w:val="004B655E"/>
    <w:rsid w:val="004B67E0"/>
    <w:rsid w:val="004B6982"/>
    <w:rsid w:val="004B6C25"/>
    <w:rsid w:val="004B6FBD"/>
    <w:rsid w:val="004B714A"/>
    <w:rsid w:val="004B71DA"/>
    <w:rsid w:val="004B7209"/>
    <w:rsid w:val="004B7296"/>
    <w:rsid w:val="004B765A"/>
    <w:rsid w:val="004B7880"/>
    <w:rsid w:val="004B79E1"/>
    <w:rsid w:val="004B7A06"/>
    <w:rsid w:val="004B7C8B"/>
    <w:rsid w:val="004B7D43"/>
    <w:rsid w:val="004B7E1D"/>
    <w:rsid w:val="004C016E"/>
    <w:rsid w:val="004C057C"/>
    <w:rsid w:val="004C0626"/>
    <w:rsid w:val="004C063C"/>
    <w:rsid w:val="004C07CF"/>
    <w:rsid w:val="004C07F5"/>
    <w:rsid w:val="004C0828"/>
    <w:rsid w:val="004C0BEE"/>
    <w:rsid w:val="004C0C15"/>
    <w:rsid w:val="004C0EB6"/>
    <w:rsid w:val="004C0F4D"/>
    <w:rsid w:val="004C1169"/>
    <w:rsid w:val="004C147C"/>
    <w:rsid w:val="004C16D2"/>
    <w:rsid w:val="004C1743"/>
    <w:rsid w:val="004C1791"/>
    <w:rsid w:val="004C18FD"/>
    <w:rsid w:val="004C1C4B"/>
    <w:rsid w:val="004C1C52"/>
    <w:rsid w:val="004C2231"/>
    <w:rsid w:val="004C2233"/>
    <w:rsid w:val="004C2249"/>
    <w:rsid w:val="004C24D2"/>
    <w:rsid w:val="004C2886"/>
    <w:rsid w:val="004C29BD"/>
    <w:rsid w:val="004C2C19"/>
    <w:rsid w:val="004C2C62"/>
    <w:rsid w:val="004C2DBC"/>
    <w:rsid w:val="004C2FD3"/>
    <w:rsid w:val="004C301D"/>
    <w:rsid w:val="004C309D"/>
    <w:rsid w:val="004C30EB"/>
    <w:rsid w:val="004C3111"/>
    <w:rsid w:val="004C3215"/>
    <w:rsid w:val="004C34DC"/>
    <w:rsid w:val="004C369E"/>
    <w:rsid w:val="004C386C"/>
    <w:rsid w:val="004C3A46"/>
    <w:rsid w:val="004C3A8E"/>
    <w:rsid w:val="004C3D20"/>
    <w:rsid w:val="004C3E0A"/>
    <w:rsid w:val="004C40A4"/>
    <w:rsid w:val="004C43A2"/>
    <w:rsid w:val="004C44EC"/>
    <w:rsid w:val="004C4545"/>
    <w:rsid w:val="004C46FD"/>
    <w:rsid w:val="004C499A"/>
    <w:rsid w:val="004C4E0C"/>
    <w:rsid w:val="004C4F40"/>
    <w:rsid w:val="004C5729"/>
    <w:rsid w:val="004C59D9"/>
    <w:rsid w:val="004C5A01"/>
    <w:rsid w:val="004C5AB5"/>
    <w:rsid w:val="004C5B37"/>
    <w:rsid w:val="004C5BF3"/>
    <w:rsid w:val="004C5E07"/>
    <w:rsid w:val="004C62AC"/>
    <w:rsid w:val="004C63CB"/>
    <w:rsid w:val="004C648E"/>
    <w:rsid w:val="004C66B4"/>
    <w:rsid w:val="004C6B42"/>
    <w:rsid w:val="004C7021"/>
    <w:rsid w:val="004C7116"/>
    <w:rsid w:val="004C7140"/>
    <w:rsid w:val="004C73BD"/>
    <w:rsid w:val="004C76ED"/>
    <w:rsid w:val="004C7933"/>
    <w:rsid w:val="004C7B4E"/>
    <w:rsid w:val="004C7B85"/>
    <w:rsid w:val="004C7D50"/>
    <w:rsid w:val="004C7DDD"/>
    <w:rsid w:val="004C7E56"/>
    <w:rsid w:val="004D021E"/>
    <w:rsid w:val="004D0344"/>
    <w:rsid w:val="004D0446"/>
    <w:rsid w:val="004D0770"/>
    <w:rsid w:val="004D08A6"/>
    <w:rsid w:val="004D0959"/>
    <w:rsid w:val="004D0BB1"/>
    <w:rsid w:val="004D0C42"/>
    <w:rsid w:val="004D0D39"/>
    <w:rsid w:val="004D0E9E"/>
    <w:rsid w:val="004D1249"/>
    <w:rsid w:val="004D15B7"/>
    <w:rsid w:val="004D171A"/>
    <w:rsid w:val="004D1815"/>
    <w:rsid w:val="004D1AA1"/>
    <w:rsid w:val="004D1D10"/>
    <w:rsid w:val="004D1FC0"/>
    <w:rsid w:val="004D2205"/>
    <w:rsid w:val="004D2223"/>
    <w:rsid w:val="004D268A"/>
    <w:rsid w:val="004D2708"/>
    <w:rsid w:val="004D272A"/>
    <w:rsid w:val="004D28AD"/>
    <w:rsid w:val="004D2AE5"/>
    <w:rsid w:val="004D2D80"/>
    <w:rsid w:val="004D2E95"/>
    <w:rsid w:val="004D33C1"/>
    <w:rsid w:val="004D345D"/>
    <w:rsid w:val="004D377C"/>
    <w:rsid w:val="004D38F1"/>
    <w:rsid w:val="004D3C81"/>
    <w:rsid w:val="004D3F79"/>
    <w:rsid w:val="004D3F7F"/>
    <w:rsid w:val="004D425E"/>
    <w:rsid w:val="004D4396"/>
    <w:rsid w:val="004D44CC"/>
    <w:rsid w:val="004D45F7"/>
    <w:rsid w:val="004D47B6"/>
    <w:rsid w:val="004D4E65"/>
    <w:rsid w:val="004D4F38"/>
    <w:rsid w:val="004D4F57"/>
    <w:rsid w:val="004D558A"/>
    <w:rsid w:val="004D57E8"/>
    <w:rsid w:val="004D581D"/>
    <w:rsid w:val="004D593F"/>
    <w:rsid w:val="004D5AAD"/>
    <w:rsid w:val="004D5AB0"/>
    <w:rsid w:val="004D5EB3"/>
    <w:rsid w:val="004D6139"/>
    <w:rsid w:val="004D67C6"/>
    <w:rsid w:val="004D68C5"/>
    <w:rsid w:val="004D6B9B"/>
    <w:rsid w:val="004D700E"/>
    <w:rsid w:val="004D71D9"/>
    <w:rsid w:val="004D71DF"/>
    <w:rsid w:val="004D7382"/>
    <w:rsid w:val="004D739E"/>
    <w:rsid w:val="004D7485"/>
    <w:rsid w:val="004D77E8"/>
    <w:rsid w:val="004D791E"/>
    <w:rsid w:val="004D7B00"/>
    <w:rsid w:val="004D7B75"/>
    <w:rsid w:val="004D7ED6"/>
    <w:rsid w:val="004DDA36"/>
    <w:rsid w:val="004E0640"/>
    <w:rsid w:val="004E0729"/>
    <w:rsid w:val="004E0944"/>
    <w:rsid w:val="004E0958"/>
    <w:rsid w:val="004E0A02"/>
    <w:rsid w:val="004E0BAA"/>
    <w:rsid w:val="004E0EB1"/>
    <w:rsid w:val="004E130E"/>
    <w:rsid w:val="004E1862"/>
    <w:rsid w:val="004E1867"/>
    <w:rsid w:val="004E19D7"/>
    <w:rsid w:val="004E1C26"/>
    <w:rsid w:val="004E1E82"/>
    <w:rsid w:val="004E20B1"/>
    <w:rsid w:val="004E20B2"/>
    <w:rsid w:val="004E218C"/>
    <w:rsid w:val="004E2331"/>
    <w:rsid w:val="004E2563"/>
    <w:rsid w:val="004E260D"/>
    <w:rsid w:val="004E271F"/>
    <w:rsid w:val="004E2785"/>
    <w:rsid w:val="004E2C60"/>
    <w:rsid w:val="004E2CB4"/>
    <w:rsid w:val="004E2D23"/>
    <w:rsid w:val="004E2D75"/>
    <w:rsid w:val="004E320A"/>
    <w:rsid w:val="004E3301"/>
    <w:rsid w:val="004E3507"/>
    <w:rsid w:val="004E3551"/>
    <w:rsid w:val="004E37D4"/>
    <w:rsid w:val="004E3AFA"/>
    <w:rsid w:val="004E3D25"/>
    <w:rsid w:val="004E3FAE"/>
    <w:rsid w:val="004E3FDC"/>
    <w:rsid w:val="004E405C"/>
    <w:rsid w:val="004E425B"/>
    <w:rsid w:val="004E451F"/>
    <w:rsid w:val="004E4957"/>
    <w:rsid w:val="004E4D36"/>
    <w:rsid w:val="004E4E4F"/>
    <w:rsid w:val="004E4F40"/>
    <w:rsid w:val="004E5013"/>
    <w:rsid w:val="004E5066"/>
    <w:rsid w:val="004E5309"/>
    <w:rsid w:val="004E55A6"/>
    <w:rsid w:val="004E587D"/>
    <w:rsid w:val="004E5C15"/>
    <w:rsid w:val="004E5C30"/>
    <w:rsid w:val="004E5E96"/>
    <w:rsid w:val="004E62ED"/>
    <w:rsid w:val="004E6342"/>
    <w:rsid w:val="004E6452"/>
    <w:rsid w:val="004E647B"/>
    <w:rsid w:val="004E6580"/>
    <w:rsid w:val="004E66B1"/>
    <w:rsid w:val="004E6CF9"/>
    <w:rsid w:val="004E6E71"/>
    <w:rsid w:val="004E70CA"/>
    <w:rsid w:val="004E764B"/>
    <w:rsid w:val="004E775D"/>
    <w:rsid w:val="004E77E3"/>
    <w:rsid w:val="004E7C09"/>
    <w:rsid w:val="004F0063"/>
    <w:rsid w:val="004F0236"/>
    <w:rsid w:val="004F076F"/>
    <w:rsid w:val="004F08A1"/>
    <w:rsid w:val="004F0CC6"/>
    <w:rsid w:val="004F0E96"/>
    <w:rsid w:val="004F0ED6"/>
    <w:rsid w:val="004F1366"/>
    <w:rsid w:val="004F143B"/>
    <w:rsid w:val="004F1503"/>
    <w:rsid w:val="004F1AF2"/>
    <w:rsid w:val="004F1C1D"/>
    <w:rsid w:val="004F1EC2"/>
    <w:rsid w:val="004F1F22"/>
    <w:rsid w:val="004F201B"/>
    <w:rsid w:val="004F2280"/>
    <w:rsid w:val="004F25DD"/>
    <w:rsid w:val="004F25EE"/>
    <w:rsid w:val="004F263E"/>
    <w:rsid w:val="004F2807"/>
    <w:rsid w:val="004F28EE"/>
    <w:rsid w:val="004F29A2"/>
    <w:rsid w:val="004F29C5"/>
    <w:rsid w:val="004F2A5A"/>
    <w:rsid w:val="004F2BAE"/>
    <w:rsid w:val="004F2C59"/>
    <w:rsid w:val="004F3045"/>
    <w:rsid w:val="004F30D8"/>
    <w:rsid w:val="004F31B8"/>
    <w:rsid w:val="004F3218"/>
    <w:rsid w:val="004F32DD"/>
    <w:rsid w:val="004F3321"/>
    <w:rsid w:val="004F35AC"/>
    <w:rsid w:val="004F36D8"/>
    <w:rsid w:val="004F3764"/>
    <w:rsid w:val="004F3A46"/>
    <w:rsid w:val="004F3B29"/>
    <w:rsid w:val="004F3D64"/>
    <w:rsid w:val="004F3F8E"/>
    <w:rsid w:val="004F40B5"/>
    <w:rsid w:val="004F42F1"/>
    <w:rsid w:val="004F4371"/>
    <w:rsid w:val="004F43BB"/>
    <w:rsid w:val="004F4407"/>
    <w:rsid w:val="004F47D7"/>
    <w:rsid w:val="004F488A"/>
    <w:rsid w:val="004F48F5"/>
    <w:rsid w:val="004F50CC"/>
    <w:rsid w:val="004F525E"/>
    <w:rsid w:val="004F52C6"/>
    <w:rsid w:val="004F559B"/>
    <w:rsid w:val="004F5ABF"/>
    <w:rsid w:val="004F5C0C"/>
    <w:rsid w:val="004F5DC1"/>
    <w:rsid w:val="004F5E77"/>
    <w:rsid w:val="004F604B"/>
    <w:rsid w:val="004F645B"/>
    <w:rsid w:val="004F6618"/>
    <w:rsid w:val="004F661E"/>
    <w:rsid w:val="004F662B"/>
    <w:rsid w:val="004F6B83"/>
    <w:rsid w:val="004F6DE7"/>
    <w:rsid w:val="004F71A7"/>
    <w:rsid w:val="004F71E8"/>
    <w:rsid w:val="004F7305"/>
    <w:rsid w:val="004F7A9B"/>
    <w:rsid w:val="004F7BE4"/>
    <w:rsid w:val="004F7DE6"/>
    <w:rsid w:val="004F7DF5"/>
    <w:rsid w:val="004F7E51"/>
    <w:rsid w:val="004F7EE5"/>
    <w:rsid w:val="00500040"/>
    <w:rsid w:val="00500065"/>
    <w:rsid w:val="005006CB"/>
    <w:rsid w:val="005006D5"/>
    <w:rsid w:val="0050082A"/>
    <w:rsid w:val="00500956"/>
    <w:rsid w:val="005009CB"/>
    <w:rsid w:val="00500A0E"/>
    <w:rsid w:val="00500AB4"/>
    <w:rsid w:val="00500B86"/>
    <w:rsid w:val="00500E41"/>
    <w:rsid w:val="00500F7C"/>
    <w:rsid w:val="0050111D"/>
    <w:rsid w:val="00501231"/>
    <w:rsid w:val="00501354"/>
    <w:rsid w:val="00501394"/>
    <w:rsid w:val="005013DA"/>
    <w:rsid w:val="005014BD"/>
    <w:rsid w:val="00501635"/>
    <w:rsid w:val="005018F1"/>
    <w:rsid w:val="005019AD"/>
    <w:rsid w:val="00501FE6"/>
    <w:rsid w:val="00502267"/>
    <w:rsid w:val="005022D1"/>
    <w:rsid w:val="0050245F"/>
    <w:rsid w:val="005027FF"/>
    <w:rsid w:val="0050288C"/>
    <w:rsid w:val="00502A5A"/>
    <w:rsid w:val="00502CB2"/>
    <w:rsid w:val="005030F1"/>
    <w:rsid w:val="00503100"/>
    <w:rsid w:val="0050314B"/>
    <w:rsid w:val="005031B3"/>
    <w:rsid w:val="00503232"/>
    <w:rsid w:val="0050327D"/>
    <w:rsid w:val="00503526"/>
    <w:rsid w:val="00503A2A"/>
    <w:rsid w:val="0050403F"/>
    <w:rsid w:val="00504091"/>
    <w:rsid w:val="00504141"/>
    <w:rsid w:val="005043FE"/>
    <w:rsid w:val="0050454F"/>
    <w:rsid w:val="005048DC"/>
    <w:rsid w:val="00504945"/>
    <w:rsid w:val="00504B03"/>
    <w:rsid w:val="005050E5"/>
    <w:rsid w:val="005050E8"/>
    <w:rsid w:val="0050517C"/>
    <w:rsid w:val="005051C0"/>
    <w:rsid w:val="005055CB"/>
    <w:rsid w:val="005057C6"/>
    <w:rsid w:val="00505908"/>
    <w:rsid w:val="00505BC8"/>
    <w:rsid w:val="00506423"/>
    <w:rsid w:val="005064CE"/>
    <w:rsid w:val="00506548"/>
    <w:rsid w:val="00506DA5"/>
    <w:rsid w:val="00506E24"/>
    <w:rsid w:val="00506E6E"/>
    <w:rsid w:val="00506E78"/>
    <w:rsid w:val="00506EF9"/>
    <w:rsid w:val="0050714F"/>
    <w:rsid w:val="005072E3"/>
    <w:rsid w:val="00507370"/>
    <w:rsid w:val="0050741A"/>
    <w:rsid w:val="0050751C"/>
    <w:rsid w:val="00507558"/>
    <w:rsid w:val="0050787E"/>
    <w:rsid w:val="005079A4"/>
    <w:rsid w:val="00510316"/>
    <w:rsid w:val="005105FA"/>
    <w:rsid w:val="00510838"/>
    <w:rsid w:val="00510FEC"/>
    <w:rsid w:val="0051112A"/>
    <w:rsid w:val="00511194"/>
    <w:rsid w:val="00511248"/>
    <w:rsid w:val="00511A23"/>
    <w:rsid w:val="00511ABA"/>
    <w:rsid w:val="00511EA9"/>
    <w:rsid w:val="00511F2B"/>
    <w:rsid w:val="0051206A"/>
    <w:rsid w:val="0051225D"/>
    <w:rsid w:val="005126A0"/>
    <w:rsid w:val="00512A44"/>
    <w:rsid w:val="00512FA8"/>
    <w:rsid w:val="0051358D"/>
    <w:rsid w:val="00513804"/>
    <w:rsid w:val="0051384C"/>
    <w:rsid w:val="00513A13"/>
    <w:rsid w:val="00513AA9"/>
    <w:rsid w:val="00513ADE"/>
    <w:rsid w:val="00513BFE"/>
    <w:rsid w:val="00513CF2"/>
    <w:rsid w:val="00513FA6"/>
    <w:rsid w:val="005140DD"/>
    <w:rsid w:val="005145CC"/>
    <w:rsid w:val="005146F9"/>
    <w:rsid w:val="0051475B"/>
    <w:rsid w:val="005149F2"/>
    <w:rsid w:val="00514EA0"/>
    <w:rsid w:val="00514FC3"/>
    <w:rsid w:val="005150B6"/>
    <w:rsid w:val="005152DC"/>
    <w:rsid w:val="00515315"/>
    <w:rsid w:val="005155F6"/>
    <w:rsid w:val="00515634"/>
    <w:rsid w:val="0051572A"/>
    <w:rsid w:val="00515C22"/>
    <w:rsid w:val="00515CB7"/>
    <w:rsid w:val="0051615E"/>
    <w:rsid w:val="005161E5"/>
    <w:rsid w:val="005163EC"/>
    <w:rsid w:val="005164CF"/>
    <w:rsid w:val="005165D5"/>
    <w:rsid w:val="00516CAB"/>
    <w:rsid w:val="00516D84"/>
    <w:rsid w:val="005172F5"/>
    <w:rsid w:val="005178F2"/>
    <w:rsid w:val="00517CD1"/>
    <w:rsid w:val="00517D2E"/>
    <w:rsid w:val="00517E58"/>
    <w:rsid w:val="00520163"/>
    <w:rsid w:val="005206C9"/>
    <w:rsid w:val="005206FA"/>
    <w:rsid w:val="00520BBE"/>
    <w:rsid w:val="00520CCA"/>
    <w:rsid w:val="00520D88"/>
    <w:rsid w:val="00520E18"/>
    <w:rsid w:val="00520EA4"/>
    <w:rsid w:val="00521331"/>
    <w:rsid w:val="00521839"/>
    <w:rsid w:val="0052198C"/>
    <w:rsid w:val="0052218C"/>
    <w:rsid w:val="0052236D"/>
    <w:rsid w:val="005223C5"/>
    <w:rsid w:val="005224F4"/>
    <w:rsid w:val="0052274E"/>
    <w:rsid w:val="00522975"/>
    <w:rsid w:val="00522CBA"/>
    <w:rsid w:val="00522F37"/>
    <w:rsid w:val="00522FE4"/>
    <w:rsid w:val="005230E2"/>
    <w:rsid w:val="00523235"/>
    <w:rsid w:val="005235CC"/>
    <w:rsid w:val="0052360C"/>
    <w:rsid w:val="0052396E"/>
    <w:rsid w:val="00523996"/>
    <w:rsid w:val="005239A6"/>
    <w:rsid w:val="00523BE2"/>
    <w:rsid w:val="0052444F"/>
    <w:rsid w:val="0052483B"/>
    <w:rsid w:val="00524C78"/>
    <w:rsid w:val="005251F4"/>
    <w:rsid w:val="005252EF"/>
    <w:rsid w:val="005253C6"/>
    <w:rsid w:val="005254A1"/>
    <w:rsid w:val="00525511"/>
    <w:rsid w:val="00525515"/>
    <w:rsid w:val="005257CF"/>
    <w:rsid w:val="005258B3"/>
    <w:rsid w:val="00525FF2"/>
    <w:rsid w:val="005260F7"/>
    <w:rsid w:val="00526194"/>
    <w:rsid w:val="0052639E"/>
    <w:rsid w:val="00526421"/>
    <w:rsid w:val="005265D5"/>
    <w:rsid w:val="005265D6"/>
    <w:rsid w:val="005266B2"/>
    <w:rsid w:val="0052672C"/>
    <w:rsid w:val="005267BF"/>
    <w:rsid w:val="00526988"/>
    <w:rsid w:val="005269A7"/>
    <w:rsid w:val="005269E4"/>
    <w:rsid w:val="00526BC5"/>
    <w:rsid w:val="005270DC"/>
    <w:rsid w:val="005271EE"/>
    <w:rsid w:val="005273B9"/>
    <w:rsid w:val="0052773E"/>
    <w:rsid w:val="00527BAE"/>
    <w:rsid w:val="00527DAC"/>
    <w:rsid w:val="005301BB"/>
    <w:rsid w:val="005301CC"/>
    <w:rsid w:val="005301CD"/>
    <w:rsid w:val="0053022B"/>
    <w:rsid w:val="005303BD"/>
    <w:rsid w:val="005305CC"/>
    <w:rsid w:val="005307E6"/>
    <w:rsid w:val="00530970"/>
    <w:rsid w:val="00530BBC"/>
    <w:rsid w:val="00530C99"/>
    <w:rsid w:val="00530D8B"/>
    <w:rsid w:val="00530DF7"/>
    <w:rsid w:val="00531227"/>
    <w:rsid w:val="0053150A"/>
    <w:rsid w:val="00531BEE"/>
    <w:rsid w:val="00531DA9"/>
    <w:rsid w:val="00532195"/>
    <w:rsid w:val="005323AA"/>
    <w:rsid w:val="005323F3"/>
    <w:rsid w:val="005324A9"/>
    <w:rsid w:val="005325D9"/>
    <w:rsid w:val="00532667"/>
    <w:rsid w:val="005328D2"/>
    <w:rsid w:val="00532DB1"/>
    <w:rsid w:val="00532EDD"/>
    <w:rsid w:val="00533232"/>
    <w:rsid w:val="00533685"/>
    <w:rsid w:val="00533A3E"/>
    <w:rsid w:val="00533B6F"/>
    <w:rsid w:val="0053422F"/>
    <w:rsid w:val="005347E8"/>
    <w:rsid w:val="005349CC"/>
    <w:rsid w:val="00534B3E"/>
    <w:rsid w:val="00534BA4"/>
    <w:rsid w:val="00534EE6"/>
    <w:rsid w:val="0053507B"/>
    <w:rsid w:val="005350FB"/>
    <w:rsid w:val="005351E5"/>
    <w:rsid w:val="0053521F"/>
    <w:rsid w:val="0053538C"/>
    <w:rsid w:val="0053550E"/>
    <w:rsid w:val="005356AF"/>
    <w:rsid w:val="005356B3"/>
    <w:rsid w:val="00535827"/>
    <w:rsid w:val="00535A3D"/>
    <w:rsid w:val="00535B05"/>
    <w:rsid w:val="00535DEB"/>
    <w:rsid w:val="00535E51"/>
    <w:rsid w:val="00535FB2"/>
    <w:rsid w:val="0053613D"/>
    <w:rsid w:val="005361EF"/>
    <w:rsid w:val="0053625E"/>
    <w:rsid w:val="00536376"/>
    <w:rsid w:val="00536469"/>
    <w:rsid w:val="00536616"/>
    <w:rsid w:val="00536C02"/>
    <w:rsid w:val="00536C79"/>
    <w:rsid w:val="00536D84"/>
    <w:rsid w:val="005373B0"/>
    <w:rsid w:val="005374FD"/>
    <w:rsid w:val="00537670"/>
    <w:rsid w:val="00537851"/>
    <w:rsid w:val="005379B8"/>
    <w:rsid w:val="005379C2"/>
    <w:rsid w:val="00537A68"/>
    <w:rsid w:val="00537CCA"/>
    <w:rsid w:val="00537E77"/>
    <w:rsid w:val="00540271"/>
    <w:rsid w:val="00540403"/>
    <w:rsid w:val="00540620"/>
    <w:rsid w:val="0054087E"/>
    <w:rsid w:val="00540887"/>
    <w:rsid w:val="00540B9D"/>
    <w:rsid w:val="00540DBD"/>
    <w:rsid w:val="00540E0F"/>
    <w:rsid w:val="00540EB1"/>
    <w:rsid w:val="00540F49"/>
    <w:rsid w:val="0054111F"/>
    <w:rsid w:val="00541286"/>
    <w:rsid w:val="005412AD"/>
    <w:rsid w:val="005412F5"/>
    <w:rsid w:val="00541474"/>
    <w:rsid w:val="005415C5"/>
    <w:rsid w:val="00541687"/>
    <w:rsid w:val="005416D1"/>
    <w:rsid w:val="005417B6"/>
    <w:rsid w:val="00541801"/>
    <w:rsid w:val="00541A53"/>
    <w:rsid w:val="00541AEA"/>
    <w:rsid w:val="00541CAD"/>
    <w:rsid w:val="00541D56"/>
    <w:rsid w:val="00541E83"/>
    <w:rsid w:val="00541EA1"/>
    <w:rsid w:val="00542295"/>
    <w:rsid w:val="00542360"/>
    <w:rsid w:val="005428AC"/>
    <w:rsid w:val="0054292A"/>
    <w:rsid w:val="00542D14"/>
    <w:rsid w:val="00542E37"/>
    <w:rsid w:val="00542ECE"/>
    <w:rsid w:val="0054313B"/>
    <w:rsid w:val="005432E2"/>
    <w:rsid w:val="00543702"/>
    <w:rsid w:val="0054387D"/>
    <w:rsid w:val="00543B0D"/>
    <w:rsid w:val="00543C43"/>
    <w:rsid w:val="00543D51"/>
    <w:rsid w:val="00544295"/>
    <w:rsid w:val="0054434A"/>
    <w:rsid w:val="00544591"/>
    <w:rsid w:val="005447BE"/>
    <w:rsid w:val="0054497C"/>
    <w:rsid w:val="00544AB0"/>
    <w:rsid w:val="00544F3F"/>
    <w:rsid w:val="00544F83"/>
    <w:rsid w:val="005450AD"/>
    <w:rsid w:val="0054517F"/>
    <w:rsid w:val="0054524D"/>
    <w:rsid w:val="00545455"/>
    <w:rsid w:val="00545852"/>
    <w:rsid w:val="00545BC5"/>
    <w:rsid w:val="00545F08"/>
    <w:rsid w:val="005464B3"/>
    <w:rsid w:val="0054658B"/>
    <w:rsid w:val="005467DD"/>
    <w:rsid w:val="005468C0"/>
    <w:rsid w:val="0054694D"/>
    <w:rsid w:val="00546B12"/>
    <w:rsid w:val="00546D4B"/>
    <w:rsid w:val="00546D66"/>
    <w:rsid w:val="00546F35"/>
    <w:rsid w:val="00546F58"/>
    <w:rsid w:val="00546FE0"/>
    <w:rsid w:val="005470AB"/>
    <w:rsid w:val="00547161"/>
    <w:rsid w:val="0054720A"/>
    <w:rsid w:val="00547271"/>
    <w:rsid w:val="0054735E"/>
    <w:rsid w:val="005473A9"/>
    <w:rsid w:val="00547455"/>
    <w:rsid w:val="0054759F"/>
    <w:rsid w:val="005476AF"/>
    <w:rsid w:val="005477CD"/>
    <w:rsid w:val="005477E8"/>
    <w:rsid w:val="00547BDD"/>
    <w:rsid w:val="00547DC3"/>
    <w:rsid w:val="00547EBD"/>
    <w:rsid w:val="00547F08"/>
    <w:rsid w:val="00550024"/>
    <w:rsid w:val="00550129"/>
    <w:rsid w:val="00550380"/>
    <w:rsid w:val="005504E4"/>
    <w:rsid w:val="0055053D"/>
    <w:rsid w:val="005505DF"/>
    <w:rsid w:val="00550702"/>
    <w:rsid w:val="00550782"/>
    <w:rsid w:val="00550955"/>
    <w:rsid w:val="00550A82"/>
    <w:rsid w:val="00550D17"/>
    <w:rsid w:val="00550F2A"/>
    <w:rsid w:val="00550FB7"/>
    <w:rsid w:val="005510CE"/>
    <w:rsid w:val="005511B8"/>
    <w:rsid w:val="00551253"/>
    <w:rsid w:val="0055130C"/>
    <w:rsid w:val="005513A8"/>
    <w:rsid w:val="00551A39"/>
    <w:rsid w:val="00551ABD"/>
    <w:rsid w:val="00551AC0"/>
    <w:rsid w:val="00551B08"/>
    <w:rsid w:val="00551BA0"/>
    <w:rsid w:val="00551BAE"/>
    <w:rsid w:val="00551C41"/>
    <w:rsid w:val="00551C49"/>
    <w:rsid w:val="00551D0B"/>
    <w:rsid w:val="005521C4"/>
    <w:rsid w:val="0055225A"/>
    <w:rsid w:val="00552502"/>
    <w:rsid w:val="00552609"/>
    <w:rsid w:val="0055266E"/>
    <w:rsid w:val="0055287A"/>
    <w:rsid w:val="005529D5"/>
    <w:rsid w:val="00552B4B"/>
    <w:rsid w:val="00552CE9"/>
    <w:rsid w:val="00552D5E"/>
    <w:rsid w:val="00552FB7"/>
    <w:rsid w:val="00553157"/>
    <w:rsid w:val="00553494"/>
    <w:rsid w:val="0055359E"/>
    <w:rsid w:val="00553658"/>
    <w:rsid w:val="0055379F"/>
    <w:rsid w:val="00553883"/>
    <w:rsid w:val="00553907"/>
    <w:rsid w:val="00553B28"/>
    <w:rsid w:val="00553B66"/>
    <w:rsid w:val="00553D14"/>
    <w:rsid w:val="00553E65"/>
    <w:rsid w:val="00553F16"/>
    <w:rsid w:val="0055410F"/>
    <w:rsid w:val="00554384"/>
    <w:rsid w:val="00554414"/>
    <w:rsid w:val="00554546"/>
    <w:rsid w:val="005547E2"/>
    <w:rsid w:val="00554B80"/>
    <w:rsid w:val="00554CB3"/>
    <w:rsid w:val="00554CC5"/>
    <w:rsid w:val="00554F71"/>
    <w:rsid w:val="00555149"/>
    <w:rsid w:val="005552B0"/>
    <w:rsid w:val="0055544A"/>
    <w:rsid w:val="005555E7"/>
    <w:rsid w:val="00555896"/>
    <w:rsid w:val="0055593B"/>
    <w:rsid w:val="00555A4E"/>
    <w:rsid w:val="00556245"/>
    <w:rsid w:val="005562EE"/>
    <w:rsid w:val="00556324"/>
    <w:rsid w:val="00556448"/>
    <w:rsid w:val="005566BA"/>
    <w:rsid w:val="005566F3"/>
    <w:rsid w:val="005567B1"/>
    <w:rsid w:val="005567B8"/>
    <w:rsid w:val="005568AC"/>
    <w:rsid w:val="00556A8D"/>
    <w:rsid w:val="00556C26"/>
    <w:rsid w:val="00556CB1"/>
    <w:rsid w:val="00556E7C"/>
    <w:rsid w:val="005574C2"/>
    <w:rsid w:val="0055761C"/>
    <w:rsid w:val="00557796"/>
    <w:rsid w:val="00557A49"/>
    <w:rsid w:val="00557A9B"/>
    <w:rsid w:val="00557AEB"/>
    <w:rsid w:val="00557C61"/>
    <w:rsid w:val="00557D22"/>
    <w:rsid w:val="00557E70"/>
    <w:rsid w:val="00557F4E"/>
    <w:rsid w:val="0056038C"/>
    <w:rsid w:val="0056042C"/>
    <w:rsid w:val="00560440"/>
    <w:rsid w:val="0056062D"/>
    <w:rsid w:val="0056074A"/>
    <w:rsid w:val="00560780"/>
    <w:rsid w:val="00560D55"/>
    <w:rsid w:val="00560D60"/>
    <w:rsid w:val="00560DB0"/>
    <w:rsid w:val="00560DD6"/>
    <w:rsid w:val="00560ECF"/>
    <w:rsid w:val="00561063"/>
    <w:rsid w:val="0056115A"/>
    <w:rsid w:val="005611BA"/>
    <w:rsid w:val="005613C1"/>
    <w:rsid w:val="0056149C"/>
    <w:rsid w:val="00561694"/>
    <w:rsid w:val="00561A2B"/>
    <w:rsid w:val="00561A67"/>
    <w:rsid w:val="00561E38"/>
    <w:rsid w:val="005621F3"/>
    <w:rsid w:val="00562408"/>
    <w:rsid w:val="00562ABB"/>
    <w:rsid w:val="00562B05"/>
    <w:rsid w:val="00562D02"/>
    <w:rsid w:val="0056309E"/>
    <w:rsid w:val="00563275"/>
    <w:rsid w:val="005633E7"/>
    <w:rsid w:val="0056349A"/>
    <w:rsid w:val="005634B1"/>
    <w:rsid w:val="00563629"/>
    <w:rsid w:val="00563B10"/>
    <w:rsid w:val="00563C2C"/>
    <w:rsid w:val="00563CA5"/>
    <w:rsid w:val="00563D0B"/>
    <w:rsid w:val="00563D37"/>
    <w:rsid w:val="00563F8C"/>
    <w:rsid w:val="0056417C"/>
    <w:rsid w:val="0056428A"/>
    <w:rsid w:val="0056434F"/>
    <w:rsid w:val="00564578"/>
    <w:rsid w:val="005647D8"/>
    <w:rsid w:val="00564985"/>
    <w:rsid w:val="00564A1D"/>
    <w:rsid w:val="0056505B"/>
    <w:rsid w:val="0056507C"/>
    <w:rsid w:val="005650CA"/>
    <w:rsid w:val="00565103"/>
    <w:rsid w:val="005651FD"/>
    <w:rsid w:val="0056529D"/>
    <w:rsid w:val="0056544D"/>
    <w:rsid w:val="005655A3"/>
    <w:rsid w:val="00565921"/>
    <w:rsid w:val="00565ABD"/>
    <w:rsid w:val="00565C89"/>
    <w:rsid w:val="00565F36"/>
    <w:rsid w:val="005661CE"/>
    <w:rsid w:val="00566266"/>
    <w:rsid w:val="00566501"/>
    <w:rsid w:val="00566878"/>
    <w:rsid w:val="0056692B"/>
    <w:rsid w:val="005669E2"/>
    <w:rsid w:val="00566A2B"/>
    <w:rsid w:val="00566CD5"/>
    <w:rsid w:val="005671FD"/>
    <w:rsid w:val="005672BC"/>
    <w:rsid w:val="005672D8"/>
    <w:rsid w:val="00567319"/>
    <w:rsid w:val="005676E7"/>
    <w:rsid w:val="00567C07"/>
    <w:rsid w:val="00567C34"/>
    <w:rsid w:val="00567ECD"/>
    <w:rsid w:val="00567F13"/>
    <w:rsid w:val="00570275"/>
    <w:rsid w:val="005703AB"/>
    <w:rsid w:val="00570507"/>
    <w:rsid w:val="00570897"/>
    <w:rsid w:val="00570C5A"/>
    <w:rsid w:val="00570FC3"/>
    <w:rsid w:val="00571001"/>
    <w:rsid w:val="00571261"/>
    <w:rsid w:val="005715CB"/>
    <w:rsid w:val="00571666"/>
    <w:rsid w:val="005716F9"/>
    <w:rsid w:val="0057179A"/>
    <w:rsid w:val="005717DA"/>
    <w:rsid w:val="005719F2"/>
    <w:rsid w:val="00571AD3"/>
    <w:rsid w:val="00571BE9"/>
    <w:rsid w:val="00571C7E"/>
    <w:rsid w:val="00572087"/>
    <w:rsid w:val="005723FF"/>
    <w:rsid w:val="005724D2"/>
    <w:rsid w:val="0057258C"/>
    <w:rsid w:val="005727DD"/>
    <w:rsid w:val="00572A46"/>
    <w:rsid w:val="00572D64"/>
    <w:rsid w:val="00572E16"/>
    <w:rsid w:val="00572F5E"/>
    <w:rsid w:val="00573222"/>
    <w:rsid w:val="0057353B"/>
    <w:rsid w:val="00573689"/>
    <w:rsid w:val="005736E4"/>
    <w:rsid w:val="005738E4"/>
    <w:rsid w:val="00573BBA"/>
    <w:rsid w:val="00573CCE"/>
    <w:rsid w:val="00573E2C"/>
    <w:rsid w:val="00573FD8"/>
    <w:rsid w:val="005740D1"/>
    <w:rsid w:val="0057421A"/>
    <w:rsid w:val="00574264"/>
    <w:rsid w:val="005743AF"/>
    <w:rsid w:val="005744A8"/>
    <w:rsid w:val="00574504"/>
    <w:rsid w:val="00574578"/>
    <w:rsid w:val="00574796"/>
    <w:rsid w:val="00574CCC"/>
    <w:rsid w:val="00574E2F"/>
    <w:rsid w:val="005750E5"/>
    <w:rsid w:val="0057516C"/>
    <w:rsid w:val="0057518B"/>
    <w:rsid w:val="005751E8"/>
    <w:rsid w:val="0057528F"/>
    <w:rsid w:val="005757E9"/>
    <w:rsid w:val="00575877"/>
    <w:rsid w:val="005759DD"/>
    <w:rsid w:val="00575D11"/>
    <w:rsid w:val="00575F6F"/>
    <w:rsid w:val="005760AF"/>
    <w:rsid w:val="005760FF"/>
    <w:rsid w:val="005762A1"/>
    <w:rsid w:val="00576329"/>
    <w:rsid w:val="00576497"/>
    <w:rsid w:val="0057693E"/>
    <w:rsid w:val="00576A40"/>
    <w:rsid w:val="00576BD0"/>
    <w:rsid w:val="00576C5A"/>
    <w:rsid w:val="00576C6F"/>
    <w:rsid w:val="00576EB3"/>
    <w:rsid w:val="00576EE5"/>
    <w:rsid w:val="00577251"/>
    <w:rsid w:val="005773C9"/>
    <w:rsid w:val="00577439"/>
    <w:rsid w:val="00577491"/>
    <w:rsid w:val="00577530"/>
    <w:rsid w:val="00577544"/>
    <w:rsid w:val="005775FA"/>
    <w:rsid w:val="0057772C"/>
    <w:rsid w:val="00577C3D"/>
    <w:rsid w:val="00577C6D"/>
    <w:rsid w:val="005804B0"/>
    <w:rsid w:val="00580715"/>
    <w:rsid w:val="00580741"/>
    <w:rsid w:val="0058074B"/>
    <w:rsid w:val="0058088F"/>
    <w:rsid w:val="005809FC"/>
    <w:rsid w:val="00580A7C"/>
    <w:rsid w:val="00580AE6"/>
    <w:rsid w:val="00580B4A"/>
    <w:rsid w:val="00580C23"/>
    <w:rsid w:val="00580EF6"/>
    <w:rsid w:val="00580F33"/>
    <w:rsid w:val="0058117E"/>
    <w:rsid w:val="00581266"/>
    <w:rsid w:val="005816A2"/>
    <w:rsid w:val="00581810"/>
    <w:rsid w:val="00581A24"/>
    <w:rsid w:val="00581A9F"/>
    <w:rsid w:val="00581B90"/>
    <w:rsid w:val="00581BEC"/>
    <w:rsid w:val="00581D67"/>
    <w:rsid w:val="00581DD7"/>
    <w:rsid w:val="00581E2C"/>
    <w:rsid w:val="00582073"/>
    <w:rsid w:val="00582248"/>
    <w:rsid w:val="00582296"/>
    <w:rsid w:val="00582558"/>
    <w:rsid w:val="005828EF"/>
    <w:rsid w:val="00582A9C"/>
    <w:rsid w:val="00582ADE"/>
    <w:rsid w:val="00582B7B"/>
    <w:rsid w:val="00582CE7"/>
    <w:rsid w:val="00582D4A"/>
    <w:rsid w:val="00583233"/>
    <w:rsid w:val="005832AD"/>
    <w:rsid w:val="00583591"/>
    <w:rsid w:val="005836CF"/>
    <w:rsid w:val="005837AD"/>
    <w:rsid w:val="00583806"/>
    <w:rsid w:val="005838B7"/>
    <w:rsid w:val="00583B1B"/>
    <w:rsid w:val="00583E3D"/>
    <w:rsid w:val="00583FF3"/>
    <w:rsid w:val="00584071"/>
    <w:rsid w:val="0058412B"/>
    <w:rsid w:val="0058421F"/>
    <w:rsid w:val="005845F8"/>
    <w:rsid w:val="00584648"/>
    <w:rsid w:val="005846D6"/>
    <w:rsid w:val="0058477A"/>
    <w:rsid w:val="005849AA"/>
    <w:rsid w:val="00584C5C"/>
    <w:rsid w:val="00584EE0"/>
    <w:rsid w:val="00584EE5"/>
    <w:rsid w:val="00584EE9"/>
    <w:rsid w:val="00585027"/>
    <w:rsid w:val="00585158"/>
    <w:rsid w:val="00585413"/>
    <w:rsid w:val="0058582D"/>
    <w:rsid w:val="0058591D"/>
    <w:rsid w:val="00585A83"/>
    <w:rsid w:val="00585B26"/>
    <w:rsid w:val="00585B5D"/>
    <w:rsid w:val="00585B8E"/>
    <w:rsid w:val="00585CD1"/>
    <w:rsid w:val="00585DDF"/>
    <w:rsid w:val="00585EBF"/>
    <w:rsid w:val="0058609F"/>
    <w:rsid w:val="005861E3"/>
    <w:rsid w:val="005865F5"/>
    <w:rsid w:val="00586F27"/>
    <w:rsid w:val="00586F2F"/>
    <w:rsid w:val="00587073"/>
    <w:rsid w:val="005872B9"/>
    <w:rsid w:val="00587358"/>
    <w:rsid w:val="00587394"/>
    <w:rsid w:val="00587498"/>
    <w:rsid w:val="005876A3"/>
    <w:rsid w:val="005878DB"/>
    <w:rsid w:val="00587BCE"/>
    <w:rsid w:val="00587D11"/>
    <w:rsid w:val="00587DBD"/>
    <w:rsid w:val="00590203"/>
    <w:rsid w:val="0059024C"/>
    <w:rsid w:val="005904ED"/>
    <w:rsid w:val="005908A5"/>
    <w:rsid w:val="005908EB"/>
    <w:rsid w:val="005909C1"/>
    <w:rsid w:val="00590D18"/>
    <w:rsid w:val="00590D70"/>
    <w:rsid w:val="00590E74"/>
    <w:rsid w:val="00591113"/>
    <w:rsid w:val="005911FD"/>
    <w:rsid w:val="00591314"/>
    <w:rsid w:val="005913D4"/>
    <w:rsid w:val="0059145D"/>
    <w:rsid w:val="005916A3"/>
    <w:rsid w:val="00591C21"/>
    <w:rsid w:val="00591C39"/>
    <w:rsid w:val="00591E9D"/>
    <w:rsid w:val="00591EE5"/>
    <w:rsid w:val="00591FBB"/>
    <w:rsid w:val="00592047"/>
    <w:rsid w:val="0059204D"/>
    <w:rsid w:val="005923B6"/>
    <w:rsid w:val="005924F2"/>
    <w:rsid w:val="0059272A"/>
    <w:rsid w:val="00592748"/>
    <w:rsid w:val="00592BC2"/>
    <w:rsid w:val="00592C27"/>
    <w:rsid w:val="00592FB8"/>
    <w:rsid w:val="0059316A"/>
    <w:rsid w:val="0059339D"/>
    <w:rsid w:val="0059343B"/>
    <w:rsid w:val="005935D1"/>
    <w:rsid w:val="00593CC5"/>
    <w:rsid w:val="00593F88"/>
    <w:rsid w:val="00594165"/>
    <w:rsid w:val="00594A14"/>
    <w:rsid w:val="00594CDC"/>
    <w:rsid w:val="00594D6D"/>
    <w:rsid w:val="00595149"/>
    <w:rsid w:val="00595382"/>
    <w:rsid w:val="005954B5"/>
    <w:rsid w:val="005954BF"/>
    <w:rsid w:val="005958F6"/>
    <w:rsid w:val="0059595A"/>
    <w:rsid w:val="00595C4C"/>
    <w:rsid w:val="00595C71"/>
    <w:rsid w:val="00595DF3"/>
    <w:rsid w:val="005961DA"/>
    <w:rsid w:val="00596421"/>
    <w:rsid w:val="00596462"/>
    <w:rsid w:val="0059681A"/>
    <w:rsid w:val="00596881"/>
    <w:rsid w:val="005968F2"/>
    <w:rsid w:val="0059694D"/>
    <w:rsid w:val="005969D0"/>
    <w:rsid w:val="00596A8F"/>
    <w:rsid w:val="005973BA"/>
    <w:rsid w:val="005975B0"/>
    <w:rsid w:val="00597826"/>
    <w:rsid w:val="00597AD6"/>
    <w:rsid w:val="00597EE2"/>
    <w:rsid w:val="00597FD1"/>
    <w:rsid w:val="00597FF3"/>
    <w:rsid w:val="0059FCD7"/>
    <w:rsid w:val="005A0219"/>
    <w:rsid w:val="005A02E6"/>
    <w:rsid w:val="005A0576"/>
    <w:rsid w:val="005A077F"/>
    <w:rsid w:val="005A082E"/>
    <w:rsid w:val="005A0907"/>
    <w:rsid w:val="005A0AB2"/>
    <w:rsid w:val="005A0BF4"/>
    <w:rsid w:val="005A0CBC"/>
    <w:rsid w:val="005A0E20"/>
    <w:rsid w:val="005A1372"/>
    <w:rsid w:val="005A15D3"/>
    <w:rsid w:val="005A176F"/>
    <w:rsid w:val="005A1823"/>
    <w:rsid w:val="005A19C7"/>
    <w:rsid w:val="005A19F6"/>
    <w:rsid w:val="005A1AAD"/>
    <w:rsid w:val="005A1C42"/>
    <w:rsid w:val="005A1ED3"/>
    <w:rsid w:val="005A1F9C"/>
    <w:rsid w:val="005A26CF"/>
    <w:rsid w:val="005A2792"/>
    <w:rsid w:val="005A2D73"/>
    <w:rsid w:val="005A2D8C"/>
    <w:rsid w:val="005A31A3"/>
    <w:rsid w:val="005A3236"/>
    <w:rsid w:val="005A324E"/>
    <w:rsid w:val="005A35D1"/>
    <w:rsid w:val="005A370F"/>
    <w:rsid w:val="005A37D8"/>
    <w:rsid w:val="005A3DA2"/>
    <w:rsid w:val="005A3E79"/>
    <w:rsid w:val="005A3E94"/>
    <w:rsid w:val="005A3F4F"/>
    <w:rsid w:val="005A401B"/>
    <w:rsid w:val="005A42B5"/>
    <w:rsid w:val="005A42D2"/>
    <w:rsid w:val="005A45C2"/>
    <w:rsid w:val="005A45E9"/>
    <w:rsid w:val="005A4671"/>
    <w:rsid w:val="005A497A"/>
    <w:rsid w:val="005A49E5"/>
    <w:rsid w:val="005A4A9B"/>
    <w:rsid w:val="005A4B2E"/>
    <w:rsid w:val="005A4B5C"/>
    <w:rsid w:val="005A4CB4"/>
    <w:rsid w:val="005A4CB7"/>
    <w:rsid w:val="005A4CF2"/>
    <w:rsid w:val="005A50A6"/>
    <w:rsid w:val="005A52FF"/>
    <w:rsid w:val="005A5348"/>
    <w:rsid w:val="005A562B"/>
    <w:rsid w:val="005A58CC"/>
    <w:rsid w:val="005A67D5"/>
    <w:rsid w:val="005A6A20"/>
    <w:rsid w:val="005A6A6E"/>
    <w:rsid w:val="005A6A88"/>
    <w:rsid w:val="005A6B6A"/>
    <w:rsid w:val="005A6C1E"/>
    <w:rsid w:val="005A6C8D"/>
    <w:rsid w:val="005A6DCB"/>
    <w:rsid w:val="005A7133"/>
    <w:rsid w:val="005A72F3"/>
    <w:rsid w:val="005A7338"/>
    <w:rsid w:val="005A744D"/>
    <w:rsid w:val="005A7527"/>
    <w:rsid w:val="005A75BE"/>
    <w:rsid w:val="005A75DA"/>
    <w:rsid w:val="005A7AA5"/>
    <w:rsid w:val="005AB859"/>
    <w:rsid w:val="005B0024"/>
    <w:rsid w:val="005B00EC"/>
    <w:rsid w:val="005B01A4"/>
    <w:rsid w:val="005B051C"/>
    <w:rsid w:val="005B0780"/>
    <w:rsid w:val="005B0977"/>
    <w:rsid w:val="005B09E5"/>
    <w:rsid w:val="005B0B9D"/>
    <w:rsid w:val="005B0CC0"/>
    <w:rsid w:val="005B0F1B"/>
    <w:rsid w:val="005B0FF6"/>
    <w:rsid w:val="005B1029"/>
    <w:rsid w:val="005B1166"/>
    <w:rsid w:val="005B13AA"/>
    <w:rsid w:val="005B1564"/>
    <w:rsid w:val="005B16CB"/>
    <w:rsid w:val="005B1723"/>
    <w:rsid w:val="005B17BD"/>
    <w:rsid w:val="005B1912"/>
    <w:rsid w:val="005B1AF8"/>
    <w:rsid w:val="005B1B5E"/>
    <w:rsid w:val="005B1EC7"/>
    <w:rsid w:val="005B1F37"/>
    <w:rsid w:val="005B2120"/>
    <w:rsid w:val="005B2197"/>
    <w:rsid w:val="005B22F3"/>
    <w:rsid w:val="005B2461"/>
    <w:rsid w:val="005B24C7"/>
    <w:rsid w:val="005B251E"/>
    <w:rsid w:val="005B262D"/>
    <w:rsid w:val="005B281C"/>
    <w:rsid w:val="005B2886"/>
    <w:rsid w:val="005B2A8A"/>
    <w:rsid w:val="005B2E73"/>
    <w:rsid w:val="005B2E7B"/>
    <w:rsid w:val="005B2ED5"/>
    <w:rsid w:val="005B2F1C"/>
    <w:rsid w:val="005B3151"/>
    <w:rsid w:val="005B31F7"/>
    <w:rsid w:val="005B333A"/>
    <w:rsid w:val="005B3390"/>
    <w:rsid w:val="005B355C"/>
    <w:rsid w:val="005B3564"/>
    <w:rsid w:val="005B35E2"/>
    <w:rsid w:val="005B36BD"/>
    <w:rsid w:val="005B36F4"/>
    <w:rsid w:val="005B37A4"/>
    <w:rsid w:val="005B3CDE"/>
    <w:rsid w:val="005B3E04"/>
    <w:rsid w:val="005B400A"/>
    <w:rsid w:val="005B4049"/>
    <w:rsid w:val="005B408A"/>
    <w:rsid w:val="005B4321"/>
    <w:rsid w:val="005B43A4"/>
    <w:rsid w:val="005B4488"/>
    <w:rsid w:val="005B4746"/>
    <w:rsid w:val="005B4A14"/>
    <w:rsid w:val="005B5065"/>
    <w:rsid w:val="005B564F"/>
    <w:rsid w:val="005B5764"/>
    <w:rsid w:val="005B5920"/>
    <w:rsid w:val="005B5AC9"/>
    <w:rsid w:val="005B5E7B"/>
    <w:rsid w:val="005B5F8B"/>
    <w:rsid w:val="005B5FAB"/>
    <w:rsid w:val="005B60AC"/>
    <w:rsid w:val="005B6390"/>
    <w:rsid w:val="005B6436"/>
    <w:rsid w:val="005B6584"/>
    <w:rsid w:val="005B65AA"/>
    <w:rsid w:val="005B668D"/>
    <w:rsid w:val="005B671A"/>
    <w:rsid w:val="005B67E8"/>
    <w:rsid w:val="005B6988"/>
    <w:rsid w:val="005B6A5C"/>
    <w:rsid w:val="005B6C13"/>
    <w:rsid w:val="005B6D53"/>
    <w:rsid w:val="005B70C5"/>
    <w:rsid w:val="005B712A"/>
    <w:rsid w:val="005B73AA"/>
    <w:rsid w:val="005B7443"/>
    <w:rsid w:val="005B794F"/>
    <w:rsid w:val="005B7A1C"/>
    <w:rsid w:val="005B7D2E"/>
    <w:rsid w:val="005B7F1C"/>
    <w:rsid w:val="005B7F7B"/>
    <w:rsid w:val="005C00E8"/>
    <w:rsid w:val="005C073E"/>
    <w:rsid w:val="005C0C42"/>
    <w:rsid w:val="005C10F6"/>
    <w:rsid w:val="005C116A"/>
    <w:rsid w:val="005C11EB"/>
    <w:rsid w:val="005C17AE"/>
    <w:rsid w:val="005C17BC"/>
    <w:rsid w:val="005C17DB"/>
    <w:rsid w:val="005C17E6"/>
    <w:rsid w:val="005C186E"/>
    <w:rsid w:val="005C190A"/>
    <w:rsid w:val="005C191B"/>
    <w:rsid w:val="005C1BC0"/>
    <w:rsid w:val="005C1C50"/>
    <w:rsid w:val="005C1D9A"/>
    <w:rsid w:val="005C21BA"/>
    <w:rsid w:val="005C2497"/>
    <w:rsid w:val="005C2502"/>
    <w:rsid w:val="005C25B3"/>
    <w:rsid w:val="005C26DD"/>
    <w:rsid w:val="005C29E0"/>
    <w:rsid w:val="005C2A50"/>
    <w:rsid w:val="005C2AD6"/>
    <w:rsid w:val="005C2B15"/>
    <w:rsid w:val="005C2BC7"/>
    <w:rsid w:val="005C2FC2"/>
    <w:rsid w:val="005C307E"/>
    <w:rsid w:val="005C30E2"/>
    <w:rsid w:val="005C3115"/>
    <w:rsid w:val="005C3286"/>
    <w:rsid w:val="005C384C"/>
    <w:rsid w:val="005C3AFD"/>
    <w:rsid w:val="005C3B1F"/>
    <w:rsid w:val="005C435E"/>
    <w:rsid w:val="005C45C1"/>
    <w:rsid w:val="005C4722"/>
    <w:rsid w:val="005C47DC"/>
    <w:rsid w:val="005C4A57"/>
    <w:rsid w:val="005C4B98"/>
    <w:rsid w:val="005C4C4D"/>
    <w:rsid w:val="005C4C95"/>
    <w:rsid w:val="005C5510"/>
    <w:rsid w:val="005C5676"/>
    <w:rsid w:val="005C5695"/>
    <w:rsid w:val="005C59B0"/>
    <w:rsid w:val="005C5A25"/>
    <w:rsid w:val="005C5C38"/>
    <w:rsid w:val="005C612F"/>
    <w:rsid w:val="005C68A4"/>
    <w:rsid w:val="005C69C0"/>
    <w:rsid w:val="005C6AAA"/>
    <w:rsid w:val="005C6B37"/>
    <w:rsid w:val="005C6F89"/>
    <w:rsid w:val="005C7028"/>
    <w:rsid w:val="005C7055"/>
    <w:rsid w:val="005C7395"/>
    <w:rsid w:val="005C79BD"/>
    <w:rsid w:val="005C7C4F"/>
    <w:rsid w:val="005C7CAB"/>
    <w:rsid w:val="005D0115"/>
    <w:rsid w:val="005D01BC"/>
    <w:rsid w:val="005D01C4"/>
    <w:rsid w:val="005D0615"/>
    <w:rsid w:val="005D0750"/>
    <w:rsid w:val="005D077F"/>
    <w:rsid w:val="005D0AF6"/>
    <w:rsid w:val="005D0BBE"/>
    <w:rsid w:val="005D0DB9"/>
    <w:rsid w:val="005D10E3"/>
    <w:rsid w:val="005D12AC"/>
    <w:rsid w:val="005D12DA"/>
    <w:rsid w:val="005D17D4"/>
    <w:rsid w:val="005D17FB"/>
    <w:rsid w:val="005D181A"/>
    <w:rsid w:val="005D181B"/>
    <w:rsid w:val="005D1ADC"/>
    <w:rsid w:val="005D1E8B"/>
    <w:rsid w:val="005D1F21"/>
    <w:rsid w:val="005D202F"/>
    <w:rsid w:val="005D203B"/>
    <w:rsid w:val="005D2133"/>
    <w:rsid w:val="005D21DE"/>
    <w:rsid w:val="005D2623"/>
    <w:rsid w:val="005D26D0"/>
    <w:rsid w:val="005D2996"/>
    <w:rsid w:val="005D2A60"/>
    <w:rsid w:val="005D2A65"/>
    <w:rsid w:val="005D2B0A"/>
    <w:rsid w:val="005D2B89"/>
    <w:rsid w:val="005D2B9A"/>
    <w:rsid w:val="005D2BBA"/>
    <w:rsid w:val="005D2C73"/>
    <w:rsid w:val="005D2C7F"/>
    <w:rsid w:val="005D3118"/>
    <w:rsid w:val="005D31DE"/>
    <w:rsid w:val="005D3371"/>
    <w:rsid w:val="005D3573"/>
    <w:rsid w:val="005D35F7"/>
    <w:rsid w:val="005D3AE5"/>
    <w:rsid w:val="005D3BBA"/>
    <w:rsid w:val="005D3C4A"/>
    <w:rsid w:val="005D3CAA"/>
    <w:rsid w:val="005D3E64"/>
    <w:rsid w:val="005D3ED9"/>
    <w:rsid w:val="005D40BF"/>
    <w:rsid w:val="005D4153"/>
    <w:rsid w:val="005D4323"/>
    <w:rsid w:val="005D43A2"/>
    <w:rsid w:val="005D4526"/>
    <w:rsid w:val="005D45BA"/>
    <w:rsid w:val="005D4721"/>
    <w:rsid w:val="005D478A"/>
    <w:rsid w:val="005D4A1E"/>
    <w:rsid w:val="005D4B25"/>
    <w:rsid w:val="005D4C86"/>
    <w:rsid w:val="005D514F"/>
    <w:rsid w:val="005D5363"/>
    <w:rsid w:val="005D538D"/>
    <w:rsid w:val="005D547C"/>
    <w:rsid w:val="005D55D5"/>
    <w:rsid w:val="005D5600"/>
    <w:rsid w:val="005D56B2"/>
    <w:rsid w:val="005D573A"/>
    <w:rsid w:val="005D5946"/>
    <w:rsid w:val="005D5B5E"/>
    <w:rsid w:val="005D5CC6"/>
    <w:rsid w:val="005D5F51"/>
    <w:rsid w:val="005D60D6"/>
    <w:rsid w:val="005D6167"/>
    <w:rsid w:val="005D6215"/>
    <w:rsid w:val="005D6250"/>
    <w:rsid w:val="005D6311"/>
    <w:rsid w:val="005D6375"/>
    <w:rsid w:val="005D664D"/>
    <w:rsid w:val="005D671E"/>
    <w:rsid w:val="005D6B04"/>
    <w:rsid w:val="005D6E6F"/>
    <w:rsid w:val="005D70FA"/>
    <w:rsid w:val="005D75D4"/>
    <w:rsid w:val="005D7AF3"/>
    <w:rsid w:val="005D7F3E"/>
    <w:rsid w:val="005D7F5E"/>
    <w:rsid w:val="005D7FF7"/>
    <w:rsid w:val="005E0204"/>
    <w:rsid w:val="005E024D"/>
    <w:rsid w:val="005E02FA"/>
    <w:rsid w:val="005E0358"/>
    <w:rsid w:val="005E0501"/>
    <w:rsid w:val="005E05BB"/>
    <w:rsid w:val="005E072A"/>
    <w:rsid w:val="005E07F8"/>
    <w:rsid w:val="005E0A0B"/>
    <w:rsid w:val="005E0A99"/>
    <w:rsid w:val="005E0EE3"/>
    <w:rsid w:val="005E10BF"/>
    <w:rsid w:val="005E11D6"/>
    <w:rsid w:val="005E1223"/>
    <w:rsid w:val="005E13E6"/>
    <w:rsid w:val="005E13E8"/>
    <w:rsid w:val="005E1474"/>
    <w:rsid w:val="005E15E6"/>
    <w:rsid w:val="005E16C0"/>
    <w:rsid w:val="005E17F1"/>
    <w:rsid w:val="005E1A8D"/>
    <w:rsid w:val="005E1EC2"/>
    <w:rsid w:val="005E1FDE"/>
    <w:rsid w:val="005E227D"/>
    <w:rsid w:val="005E23E7"/>
    <w:rsid w:val="005E25C0"/>
    <w:rsid w:val="005E282F"/>
    <w:rsid w:val="005E2853"/>
    <w:rsid w:val="005E2A5F"/>
    <w:rsid w:val="005E2B82"/>
    <w:rsid w:val="005E2C11"/>
    <w:rsid w:val="005E2C2C"/>
    <w:rsid w:val="005E2CFC"/>
    <w:rsid w:val="005E2E0C"/>
    <w:rsid w:val="005E2E44"/>
    <w:rsid w:val="005E2EBA"/>
    <w:rsid w:val="005E322C"/>
    <w:rsid w:val="005E32C3"/>
    <w:rsid w:val="005E33A9"/>
    <w:rsid w:val="005E33FB"/>
    <w:rsid w:val="005E3834"/>
    <w:rsid w:val="005E38D3"/>
    <w:rsid w:val="005E4430"/>
    <w:rsid w:val="005E44EF"/>
    <w:rsid w:val="005E46D9"/>
    <w:rsid w:val="005E484B"/>
    <w:rsid w:val="005E4BAD"/>
    <w:rsid w:val="005E4BBC"/>
    <w:rsid w:val="005E4C25"/>
    <w:rsid w:val="005E5002"/>
    <w:rsid w:val="005E5427"/>
    <w:rsid w:val="005E54E3"/>
    <w:rsid w:val="005E5509"/>
    <w:rsid w:val="005E5588"/>
    <w:rsid w:val="005E5593"/>
    <w:rsid w:val="005E5E32"/>
    <w:rsid w:val="005E5EE7"/>
    <w:rsid w:val="005E6033"/>
    <w:rsid w:val="005E6275"/>
    <w:rsid w:val="005E65FA"/>
    <w:rsid w:val="005E6671"/>
    <w:rsid w:val="005E68A0"/>
    <w:rsid w:val="005E6D29"/>
    <w:rsid w:val="005E6DA5"/>
    <w:rsid w:val="005E6E1E"/>
    <w:rsid w:val="005E6FAC"/>
    <w:rsid w:val="005E7168"/>
    <w:rsid w:val="005E7499"/>
    <w:rsid w:val="005E794E"/>
    <w:rsid w:val="005E7C1B"/>
    <w:rsid w:val="005E7C35"/>
    <w:rsid w:val="005E7CD6"/>
    <w:rsid w:val="005E7E0B"/>
    <w:rsid w:val="005E7F08"/>
    <w:rsid w:val="005F028B"/>
    <w:rsid w:val="005F0634"/>
    <w:rsid w:val="005F07E5"/>
    <w:rsid w:val="005F0BCB"/>
    <w:rsid w:val="005F0CE6"/>
    <w:rsid w:val="005F0D66"/>
    <w:rsid w:val="005F0E33"/>
    <w:rsid w:val="005F0E74"/>
    <w:rsid w:val="005F0E7A"/>
    <w:rsid w:val="005F0F4C"/>
    <w:rsid w:val="005F0F6B"/>
    <w:rsid w:val="005F105F"/>
    <w:rsid w:val="005F135E"/>
    <w:rsid w:val="005F13EE"/>
    <w:rsid w:val="005F15D3"/>
    <w:rsid w:val="005F1C20"/>
    <w:rsid w:val="005F1D18"/>
    <w:rsid w:val="005F1D38"/>
    <w:rsid w:val="005F1FA4"/>
    <w:rsid w:val="005F20E9"/>
    <w:rsid w:val="005F2233"/>
    <w:rsid w:val="005F2258"/>
    <w:rsid w:val="005F2263"/>
    <w:rsid w:val="005F282C"/>
    <w:rsid w:val="005F2A96"/>
    <w:rsid w:val="005F2ACB"/>
    <w:rsid w:val="005F2B53"/>
    <w:rsid w:val="005F2BDC"/>
    <w:rsid w:val="005F2F0F"/>
    <w:rsid w:val="005F2F83"/>
    <w:rsid w:val="005F3200"/>
    <w:rsid w:val="005F340A"/>
    <w:rsid w:val="005F349E"/>
    <w:rsid w:val="005F3B16"/>
    <w:rsid w:val="005F3F38"/>
    <w:rsid w:val="005F3FE1"/>
    <w:rsid w:val="005F427D"/>
    <w:rsid w:val="005F44E3"/>
    <w:rsid w:val="005F494C"/>
    <w:rsid w:val="005F4A9B"/>
    <w:rsid w:val="005F4AF6"/>
    <w:rsid w:val="005F4B88"/>
    <w:rsid w:val="005F4CF1"/>
    <w:rsid w:val="005F4D0D"/>
    <w:rsid w:val="005F5296"/>
    <w:rsid w:val="005F5401"/>
    <w:rsid w:val="005F54C0"/>
    <w:rsid w:val="005F54E9"/>
    <w:rsid w:val="005F56EE"/>
    <w:rsid w:val="005F57DE"/>
    <w:rsid w:val="005F57E5"/>
    <w:rsid w:val="005F5835"/>
    <w:rsid w:val="005F614F"/>
    <w:rsid w:val="005F6436"/>
    <w:rsid w:val="005F685E"/>
    <w:rsid w:val="005F68B0"/>
    <w:rsid w:val="005F6A31"/>
    <w:rsid w:val="005F6B58"/>
    <w:rsid w:val="005F6C16"/>
    <w:rsid w:val="005F70CD"/>
    <w:rsid w:val="005F71C6"/>
    <w:rsid w:val="005F71CF"/>
    <w:rsid w:val="005F7523"/>
    <w:rsid w:val="005F7643"/>
    <w:rsid w:val="005F768E"/>
    <w:rsid w:val="005F76A0"/>
    <w:rsid w:val="005F772A"/>
    <w:rsid w:val="005F7731"/>
    <w:rsid w:val="005F77AB"/>
    <w:rsid w:val="005F788C"/>
    <w:rsid w:val="005F7D8B"/>
    <w:rsid w:val="005F7EA2"/>
    <w:rsid w:val="005FD4F6"/>
    <w:rsid w:val="006006D7"/>
    <w:rsid w:val="00600CFA"/>
    <w:rsid w:val="00600F2F"/>
    <w:rsid w:val="00600FEA"/>
    <w:rsid w:val="0060143B"/>
    <w:rsid w:val="00601539"/>
    <w:rsid w:val="00601561"/>
    <w:rsid w:val="00601589"/>
    <w:rsid w:val="00601710"/>
    <w:rsid w:val="00601728"/>
    <w:rsid w:val="0060185A"/>
    <w:rsid w:val="006018C3"/>
    <w:rsid w:val="00601F0A"/>
    <w:rsid w:val="00602054"/>
    <w:rsid w:val="00602258"/>
    <w:rsid w:val="006027C7"/>
    <w:rsid w:val="00602899"/>
    <w:rsid w:val="0060295E"/>
    <w:rsid w:val="006029D9"/>
    <w:rsid w:val="006029F8"/>
    <w:rsid w:val="00602B05"/>
    <w:rsid w:val="00602C09"/>
    <w:rsid w:val="00602EEE"/>
    <w:rsid w:val="00603056"/>
    <w:rsid w:val="00603132"/>
    <w:rsid w:val="00603717"/>
    <w:rsid w:val="00603A62"/>
    <w:rsid w:val="00603A82"/>
    <w:rsid w:val="00603CD8"/>
    <w:rsid w:val="00603CDB"/>
    <w:rsid w:val="00603EDE"/>
    <w:rsid w:val="00604007"/>
    <w:rsid w:val="006044C4"/>
    <w:rsid w:val="00604626"/>
    <w:rsid w:val="00604715"/>
    <w:rsid w:val="00604CB4"/>
    <w:rsid w:val="00604D70"/>
    <w:rsid w:val="00604FA9"/>
    <w:rsid w:val="00604FD9"/>
    <w:rsid w:val="006054E5"/>
    <w:rsid w:val="00605524"/>
    <w:rsid w:val="00605539"/>
    <w:rsid w:val="0060582D"/>
    <w:rsid w:val="006059D9"/>
    <w:rsid w:val="00605A45"/>
    <w:rsid w:val="00605B37"/>
    <w:rsid w:val="00605BA4"/>
    <w:rsid w:val="00605C48"/>
    <w:rsid w:val="00605F4A"/>
    <w:rsid w:val="00605FE1"/>
    <w:rsid w:val="00606029"/>
    <w:rsid w:val="00606212"/>
    <w:rsid w:val="00606462"/>
    <w:rsid w:val="006064E9"/>
    <w:rsid w:val="0060668E"/>
    <w:rsid w:val="0060696C"/>
    <w:rsid w:val="00607009"/>
    <w:rsid w:val="0060701F"/>
    <w:rsid w:val="0060748E"/>
    <w:rsid w:val="0060758E"/>
    <w:rsid w:val="00607680"/>
    <w:rsid w:val="0060781F"/>
    <w:rsid w:val="0060785E"/>
    <w:rsid w:val="0060786E"/>
    <w:rsid w:val="00607D1C"/>
    <w:rsid w:val="00607E05"/>
    <w:rsid w:val="00607FBC"/>
    <w:rsid w:val="00610280"/>
    <w:rsid w:val="006102CC"/>
    <w:rsid w:val="0061051A"/>
    <w:rsid w:val="00610715"/>
    <w:rsid w:val="006109FA"/>
    <w:rsid w:val="00610C65"/>
    <w:rsid w:val="00610DA6"/>
    <w:rsid w:val="00611034"/>
    <w:rsid w:val="00611299"/>
    <w:rsid w:val="006114A1"/>
    <w:rsid w:val="006114BF"/>
    <w:rsid w:val="006115AF"/>
    <w:rsid w:val="006115DE"/>
    <w:rsid w:val="0061172F"/>
    <w:rsid w:val="00611834"/>
    <w:rsid w:val="0061187C"/>
    <w:rsid w:val="00611B3B"/>
    <w:rsid w:val="00611FDB"/>
    <w:rsid w:val="006120CF"/>
    <w:rsid w:val="00612212"/>
    <w:rsid w:val="0061224A"/>
    <w:rsid w:val="00612253"/>
    <w:rsid w:val="0061268A"/>
    <w:rsid w:val="00612B4A"/>
    <w:rsid w:val="00612C2D"/>
    <w:rsid w:val="00612CD0"/>
    <w:rsid w:val="00612F98"/>
    <w:rsid w:val="00612FAC"/>
    <w:rsid w:val="00612FB1"/>
    <w:rsid w:val="0061305D"/>
    <w:rsid w:val="00613372"/>
    <w:rsid w:val="006134F8"/>
    <w:rsid w:val="00613A87"/>
    <w:rsid w:val="00613E8A"/>
    <w:rsid w:val="00614123"/>
    <w:rsid w:val="006141A6"/>
    <w:rsid w:val="00614241"/>
    <w:rsid w:val="00614518"/>
    <w:rsid w:val="00614676"/>
    <w:rsid w:val="006147E0"/>
    <w:rsid w:val="00614B11"/>
    <w:rsid w:val="00614B12"/>
    <w:rsid w:val="00614D5A"/>
    <w:rsid w:val="00614F19"/>
    <w:rsid w:val="00614FEF"/>
    <w:rsid w:val="00615013"/>
    <w:rsid w:val="00615150"/>
    <w:rsid w:val="006151A5"/>
    <w:rsid w:val="0061538F"/>
    <w:rsid w:val="0061555D"/>
    <w:rsid w:val="00615725"/>
    <w:rsid w:val="00615A00"/>
    <w:rsid w:val="00615B60"/>
    <w:rsid w:val="00615C2A"/>
    <w:rsid w:val="00615EEF"/>
    <w:rsid w:val="00615FE3"/>
    <w:rsid w:val="006160D0"/>
    <w:rsid w:val="006167D0"/>
    <w:rsid w:val="006169E6"/>
    <w:rsid w:val="00616B3B"/>
    <w:rsid w:val="00616C8C"/>
    <w:rsid w:val="00616CFE"/>
    <w:rsid w:val="00616E68"/>
    <w:rsid w:val="00616F36"/>
    <w:rsid w:val="006170F0"/>
    <w:rsid w:val="00617590"/>
    <w:rsid w:val="0061762E"/>
    <w:rsid w:val="006177D9"/>
    <w:rsid w:val="006178F1"/>
    <w:rsid w:val="0061792D"/>
    <w:rsid w:val="0061795D"/>
    <w:rsid w:val="00617A8A"/>
    <w:rsid w:val="00617B1B"/>
    <w:rsid w:val="00617CE2"/>
    <w:rsid w:val="00617F7C"/>
    <w:rsid w:val="0062014A"/>
    <w:rsid w:val="0062029D"/>
    <w:rsid w:val="0062040A"/>
    <w:rsid w:val="00620723"/>
    <w:rsid w:val="006207B2"/>
    <w:rsid w:val="0062085A"/>
    <w:rsid w:val="0062090F"/>
    <w:rsid w:val="00620B5C"/>
    <w:rsid w:val="00620CDB"/>
    <w:rsid w:val="0062114F"/>
    <w:rsid w:val="00621222"/>
    <w:rsid w:val="00621305"/>
    <w:rsid w:val="00621394"/>
    <w:rsid w:val="00621481"/>
    <w:rsid w:val="00621509"/>
    <w:rsid w:val="00621A74"/>
    <w:rsid w:val="00621AC9"/>
    <w:rsid w:val="006220AA"/>
    <w:rsid w:val="006221E9"/>
    <w:rsid w:val="006222F0"/>
    <w:rsid w:val="0062250A"/>
    <w:rsid w:val="00622810"/>
    <w:rsid w:val="00622B4C"/>
    <w:rsid w:val="0062300B"/>
    <w:rsid w:val="00623066"/>
    <w:rsid w:val="00623204"/>
    <w:rsid w:val="006232B6"/>
    <w:rsid w:val="00623943"/>
    <w:rsid w:val="006239B6"/>
    <w:rsid w:val="006239FA"/>
    <w:rsid w:val="00623AF0"/>
    <w:rsid w:val="00623DD1"/>
    <w:rsid w:val="00623E17"/>
    <w:rsid w:val="00623E5B"/>
    <w:rsid w:val="00624192"/>
    <w:rsid w:val="00624431"/>
    <w:rsid w:val="00624715"/>
    <w:rsid w:val="0062473B"/>
    <w:rsid w:val="0062485A"/>
    <w:rsid w:val="00624952"/>
    <w:rsid w:val="00624CF4"/>
    <w:rsid w:val="00624E49"/>
    <w:rsid w:val="00624EF2"/>
    <w:rsid w:val="00624FCD"/>
    <w:rsid w:val="00625107"/>
    <w:rsid w:val="0062515D"/>
    <w:rsid w:val="006253C1"/>
    <w:rsid w:val="00625425"/>
    <w:rsid w:val="00625722"/>
    <w:rsid w:val="0062576E"/>
    <w:rsid w:val="006258D3"/>
    <w:rsid w:val="0062594B"/>
    <w:rsid w:val="00625C6F"/>
    <w:rsid w:val="00626063"/>
    <w:rsid w:val="0062626B"/>
    <w:rsid w:val="006265AB"/>
    <w:rsid w:val="00626899"/>
    <w:rsid w:val="006268FB"/>
    <w:rsid w:val="00626921"/>
    <w:rsid w:val="00626965"/>
    <w:rsid w:val="00626A90"/>
    <w:rsid w:val="00626B25"/>
    <w:rsid w:val="00626C93"/>
    <w:rsid w:val="00626D98"/>
    <w:rsid w:val="00626E1F"/>
    <w:rsid w:val="00626E41"/>
    <w:rsid w:val="00626E6E"/>
    <w:rsid w:val="00627130"/>
    <w:rsid w:val="006271AA"/>
    <w:rsid w:val="0062727D"/>
    <w:rsid w:val="0062735E"/>
    <w:rsid w:val="00627954"/>
    <w:rsid w:val="00627CBD"/>
    <w:rsid w:val="006300CA"/>
    <w:rsid w:val="0063022E"/>
    <w:rsid w:val="00630332"/>
    <w:rsid w:val="006304A8"/>
    <w:rsid w:val="006308B8"/>
    <w:rsid w:val="0063090B"/>
    <w:rsid w:val="006309A3"/>
    <w:rsid w:val="00630D15"/>
    <w:rsid w:val="00630D45"/>
    <w:rsid w:val="00630D97"/>
    <w:rsid w:val="00630DD4"/>
    <w:rsid w:val="0063102C"/>
    <w:rsid w:val="0063126E"/>
    <w:rsid w:val="0063133F"/>
    <w:rsid w:val="00631629"/>
    <w:rsid w:val="00631665"/>
    <w:rsid w:val="00631742"/>
    <w:rsid w:val="00631A25"/>
    <w:rsid w:val="00631AF6"/>
    <w:rsid w:val="00631E67"/>
    <w:rsid w:val="00632085"/>
    <w:rsid w:val="006321A5"/>
    <w:rsid w:val="006322D5"/>
    <w:rsid w:val="00632657"/>
    <w:rsid w:val="00632964"/>
    <w:rsid w:val="00632A5D"/>
    <w:rsid w:val="00632AE6"/>
    <w:rsid w:val="00632B4F"/>
    <w:rsid w:val="00632DCE"/>
    <w:rsid w:val="00632F15"/>
    <w:rsid w:val="00632FA0"/>
    <w:rsid w:val="006332EB"/>
    <w:rsid w:val="00633301"/>
    <w:rsid w:val="006333EB"/>
    <w:rsid w:val="006336DF"/>
    <w:rsid w:val="00633907"/>
    <w:rsid w:val="00633B4F"/>
    <w:rsid w:val="0063410E"/>
    <w:rsid w:val="006345FF"/>
    <w:rsid w:val="006346CC"/>
    <w:rsid w:val="0063499B"/>
    <w:rsid w:val="00634A11"/>
    <w:rsid w:val="00634B6A"/>
    <w:rsid w:val="00634D76"/>
    <w:rsid w:val="00634F34"/>
    <w:rsid w:val="0063509A"/>
    <w:rsid w:val="00635241"/>
    <w:rsid w:val="00635677"/>
    <w:rsid w:val="006356E7"/>
    <w:rsid w:val="0063570D"/>
    <w:rsid w:val="0063583C"/>
    <w:rsid w:val="00635842"/>
    <w:rsid w:val="00635B0E"/>
    <w:rsid w:val="00635D1C"/>
    <w:rsid w:val="00635D2F"/>
    <w:rsid w:val="00635E0B"/>
    <w:rsid w:val="00635F19"/>
    <w:rsid w:val="00636140"/>
    <w:rsid w:val="0063619B"/>
    <w:rsid w:val="00636374"/>
    <w:rsid w:val="00636382"/>
    <w:rsid w:val="006366D6"/>
    <w:rsid w:val="00636717"/>
    <w:rsid w:val="0063671D"/>
    <w:rsid w:val="006368DA"/>
    <w:rsid w:val="006369F0"/>
    <w:rsid w:val="00636B1E"/>
    <w:rsid w:val="00636DA5"/>
    <w:rsid w:val="00636DFD"/>
    <w:rsid w:val="00636EC2"/>
    <w:rsid w:val="0063706E"/>
    <w:rsid w:val="00637174"/>
    <w:rsid w:val="0063724C"/>
    <w:rsid w:val="006373EC"/>
    <w:rsid w:val="006374F2"/>
    <w:rsid w:val="00637535"/>
    <w:rsid w:val="006375F5"/>
    <w:rsid w:val="00637854"/>
    <w:rsid w:val="00637BC7"/>
    <w:rsid w:val="00637CF2"/>
    <w:rsid w:val="00637D5E"/>
    <w:rsid w:val="00640040"/>
    <w:rsid w:val="006402C6"/>
    <w:rsid w:val="00640330"/>
    <w:rsid w:val="00640429"/>
    <w:rsid w:val="006405FC"/>
    <w:rsid w:val="00640752"/>
    <w:rsid w:val="00640768"/>
    <w:rsid w:val="00640C03"/>
    <w:rsid w:val="00640D1A"/>
    <w:rsid w:val="00640DA0"/>
    <w:rsid w:val="00640DB7"/>
    <w:rsid w:val="00640E1B"/>
    <w:rsid w:val="00641053"/>
    <w:rsid w:val="0064145D"/>
    <w:rsid w:val="006415F2"/>
    <w:rsid w:val="00641670"/>
    <w:rsid w:val="00641F54"/>
    <w:rsid w:val="00641F74"/>
    <w:rsid w:val="00641F8E"/>
    <w:rsid w:val="00642004"/>
    <w:rsid w:val="006421F6"/>
    <w:rsid w:val="00642465"/>
    <w:rsid w:val="006428F7"/>
    <w:rsid w:val="00642942"/>
    <w:rsid w:val="00642CF3"/>
    <w:rsid w:val="00642ED6"/>
    <w:rsid w:val="00642F98"/>
    <w:rsid w:val="00642FD5"/>
    <w:rsid w:val="00642FFB"/>
    <w:rsid w:val="00643107"/>
    <w:rsid w:val="00643181"/>
    <w:rsid w:val="0064332F"/>
    <w:rsid w:val="006433B1"/>
    <w:rsid w:val="00643623"/>
    <w:rsid w:val="00643C22"/>
    <w:rsid w:val="00644149"/>
    <w:rsid w:val="00644353"/>
    <w:rsid w:val="0064479E"/>
    <w:rsid w:val="006447C9"/>
    <w:rsid w:val="00644B5E"/>
    <w:rsid w:val="00644E27"/>
    <w:rsid w:val="0064542F"/>
    <w:rsid w:val="0064569E"/>
    <w:rsid w:val="00645829"/>
    <w:rsid w:val="00645CD9"/>
    <w:rsid w:val="00645D31"/>
    <w:rsid w:val="0064607E"/>
    <w:rsid w:val="00646879"/>
    <w:rsid w:val="00646A23"/>
    <w:rsid w:val="00646BB5"/>
    <w:rsid w:val="00646BB9"/>
    <w:rsid w:val="00646C3A"/>
    <w:rsid w:val="00647482"/>
    <w:rsid w:val="00647502"/>
    <w:rsid w:val="006476BF"/>
    <w:rsid w:val="006476D4"/>
    <w:rsid w:val="00647913"/>
    <w:rsid w:val="00647C1B"/>
    <w:rsid w:val="00647D9E"/>
    <w:rsid w:val="0065028E"/>
    <w:rsid w:val="006504B8"/>
    <w:rsid w:val="0065060C"/>
    <w:rsid w:val="006506F9"/>
    <w:rsid w:val="00650AD5"/>
    <w:rsid w:val="00650CBA"/>
    <w:rsid w:val="00650DE8"/>
    <w:rsid w:val="00651317"/>
    <w:rsid w:val="006513B9"/>
    <w:rsid w:val="006516D8"/>
    <w:rsid w:val="00651785"/>
    <w:rsid w:val="00651867"/>
    <w:rsid w:val="006519C5"/>
    <w:rsid w:val="00651ACF"/>
    <w:rsid w:val="00651CAC"/>
    <w:rsid w:val="00651CC9"/>
    <w:rsid w:val="00652495"/>
    <w:rsid w:val="00652875"/>
    <w:rsid w:val="00652B08"/>
    <w:rsid w:val="00652B7F"/>
    <w:rsid w:val="00652C7B"/>
    <w:rsid w:val="00652CC7"/>
    <w:rsid w:val="0065314B"/>
    <w:rsid w:val="00653505"/>
    <w:rsid w:val="0065357B"/>
    <w:rsid w:val="00653A69"/>
    <w:rsid w:val="00653B7E"/>
    <w:rsid w:val="00653B9A"/>
    <w:rsid w:val="00653E15"/>
    <w:rsid w:val="00653E29"/>
    <w:rsid w:val="00654133"/>
    <w:rsid w:val="006543EB"/>
    <w:rsid w:val="006546EE"/>
    <w:rsid w:val="00654799"/>
    <w:rsid w:val="00654845"/>
    <w:rsid w:val="006548F4"/>
    <w:rsid w:val="00654A41"/>
    <w:rsid w:val="00654B36"/>
    <w:rsid w:val="00654DE8"/>
    <w:rsid w:val="00654E4A"/>
    <w:rsid w:val="00655138"/>
    <w:rsid w:val="0065537A"/>
    <w:rsid w:val="00655686"/>
    <w:rsid w:val="00655A32"/>
    <w:rsid w:val="00655ACD"/>
    <w:rsid w:val="00655C04"/>
    <w:rsid w:val="00655C05"/>
    <w:rsid w:val="00655D69"/>
    <w:rsid w:val="00655D87"/>
    <w:rsid w:val="00655D88"/>
    <w:rsid w:val="00655E5D"/>
    <w:rsid w:val="00656463"/>
    <w:rsid w:val="006565AA"/>
    <w:rsid w:val="00656629"/>
    <w:rsid w:val="00656768"/>
    <w:rsid w:val="00656A02"/>
    <w:rsid w:val="00656C7E"/>
    <w:rsid w:val="00656F58"/>
    <w:rsid w:val="00656FD7"/>
    <w:rsid w:val="006571B1"/>
    <w:rsid w:val="00657283"/>
    <w:rsid w:val="006574A7"/>
    <w:rsid w:val="006579A8"/>
    <w:rsid w:val="00657D1A"/>
    <w:rsid w:val="00657D56"/>
    <w:rsid w:val="00660000"/>
    <w:rsid w:val="006600EB"/>
    <w:rsid w:val="006601FD"/>
    <w:rsid w:val="006602C7"/>
    <w:rsid w:val="00660461"/>
    <w:rsid w:val="00660C5B"/>
    <w:rsid w:val="00660CF0"/>
    <w:rsid w:val="00660E6F"/>
    <w:rsid w:val="00660E80"/>
    <w:rsid w:val="00660FFE"/>
    <w:rsid w:val="00661204"/>
    <w:rsid w:val="00661462"/>
    <w:rsid w:val="006614F6"/>
    <w:rsid w:val="006615D4"/>
    <w:rsid w:val="00661800"/>
    <w:rsid w:val="006619D0"/>
    <w:rsid w:val="00661A5B"/>
    <w:rsid w:val="00661B04"/>
    <w:rsid w:val="00661BD4"/>
    <w:rsid w:val="00661EE0"/>
    <w:rsid w:val="006620B4"/>
    <w:rsid w:val="0066255A"/>
    <w:rsid w:val="0066262F"/>
    <w:rsid w:val="006626F6"/>
    <w:rsid w:val="0066291D"/>
    <w:rsid w:val="00662942"/>
    <w:rsid w:val="00662B14"/>
    <w:rsid w:val="006631CB"/>
    <w:rsid w:val="00663263"/>
    <w:rsid w:val="0066346E"/>
    <w:rsid w:val="00663536"/>
    <w:rsid w:val="00663600"/>
    <w:rsid w:val="0066368A"/>
    <w:rsid w:val="00663747"/>
    <w:rsid w:val="00663847"/>
    <w:rsid w:val="00663A5A"/>
    <w:rsid w:val="006641FA"/>
    <w:rsid w:val="00664204"/>
    <w:rsid w:val="00664214"/>
    <w:rsid w:val="006642BE"/>
    <w:rsid w:val="006646B1"/>
    <w:rsid w:val="00664940"/>
    <w:rsid w:val="006649C4"/>
    <w:rsid w:val="00664AE2"/>
    <w:rsid w:val="00664C4C"/>
    <w:rsid w:val="00665317"/>
    <w:rsid w:val="0066591C"/>
    <w:rsid w:val="00665CC4"/>
    <w:rsid w:val="00665E06"/>
    <w:rsid w:val="00665F90"/>
    <w:rsid w:val="00666128"/>
    <w:rsid w:val="006662D6"/>
    <w:rsid w:val="00666592"/>
    <w:rsid w:val="006666DB"/>
    <w:rsid w:val="0066672C"/>
    <w:rsid w:val="00666BC9"/>
    <w:rsid w:val="00666C37"/>
    <w:rsid w:val="00666D0B"/>
    <w:rsid w:val="00667037"/>
    <w:rsid w:val="0066712B"/>
    <w:rsid w:val="006674BC"/>
    <w:rsid w:val="0066756D"/>
    <w:rsid w:val="00667650"/>
    <w:rsid w:val="00667659"/>
    <w:rsid w:val="00667E82"/>
    <w:rsid w:val="00670154"/>
    <w:rsid w:val="006701EB"/>
    <w:rsid w:val="0067028F"/>
    <w:rsid w:val="0067039F"/>
    <w:rsid w:val="006710A3"/>
    <w:rsid w:val="00671295"/>
    <w:rsid w:val="00671424"/>
    <w:rsid w:val="00671432"/>
    <w:rsid w:val="006714FC"/>
    <w:rsid w:val="006715F2"/>
    <w:rsid w:val="00671EC7"/>
    <w:rsid w:val="00671F17"/>
    <w:rsid w:val="00672210"/>
    <w:rsid w:val="006722A9"/>
    <w:rsid w:val="0067249A"/>
    <w:rsid w:val="0067252F"/>
    <w:rsid w:val="006725B2"/>
    <w:rsid w:val="006725C7"/>
    <w:rsid w:val="006725E3"/>
    <w:rsid w:val="006725EC"/>
    <w:rsid w:val="00672810"/>
    <w:rsid w:val="0067291B"/>
    <w:rsid w:val="00672DCC"/>
    <w:rsid w:val="00672EA3"/>
    <w:rsid w:val="00673050"/>
    <w:rsid w:val="00673314"/>
    <w:rsid w:val="006735AA"/>
    <w:rsid w:val="00673716"/>
    <w:rsid w:val="00673A03"/>
    <w:rsid w:val="00673C09"/>
    <w:rsid w:val="00673C0A"/>
    <w:rsid w:val="00673EB8"/>
    <w:rsid w:val="00673F54"/>
    <w:rsid w:val="00674032"/>
    <w:rsid w:val="00674139"/>
    <w:rsid w:val="00674662"/>
    <w:rsid w:val="006748B9"/>
    <w:rsid w:val="0067494C"/>
    <w:rsid w:val="0067495E"/>
    <w:rsid w:val="00674AD7"/>
    <w:rsid w:val="00674C5F"/>
    <w:rsid w:val="00674D08"/>
    <w:rsid w:val="00674D40"/>
    <w:rsid w:val="00674F45"/>
    <w:rsid w:val="00675190"/>
    <w:rsid w:val="006751AF"/>
    <w:rsid w:val="006751BF"/>
    <w:rsid w:val="00675651"/>
    <w:rsid w:val="006756B6"/>
    <w:rsid w:val="006758AA"/>
    <w:rsid w:val="00675AA7"/>
    <w:rsid w:val="00675AED"/>
    <w:rsid w:val="00675F44"/>
    <w:rsid w:val="00676128"/>
    <w:rsid w:val="006762AF"/>
    <w:rsid w:val="00676493"/>
    <w:rsid w:val="0067653D"/>
    <w:rsid w:val="00676610"/>
    <w:rsid w:val="0067677F"/>
    <w:rsid w:val="00676821"/>
    <w:rsid w:val="0067693B"/>
    <w:rsid w:val="00676A81"/>
    <w:rsid w:val="00676B52"/>
    <w:rsid w:val="00676B53"/>
    <w:rsid w:val="00676BB9"/>
    <w:rsid w:val="00676C23"/>
    <w:rsid w:val="00676C80"/>
    <w:rsid w:val="00676CCF"/>
    <w:rsid w:val="00677022"/>
    <w:rsid w:val="00677318"/>
    <w:rsid w:val="00677338"/>
    <w:rsid w:val="00677368"/>
    <w:rsid w:val="0067767C"/>
    <w:rsid w:val="00677705"/>
    <w:rsid w:val="0067776F"/>
    <w:rsid w:val="0067792B"/>
    <w:rsid w:val="00677A09"/>
    <w:rsid w:val="00677AF4"/>
    <w:rsid w:val="006800CE"/>
    <w:rsid w:val="006800FB"/>
    <w:rsid w:val="00680305"/>
    <w:rsid w:val="00680473"/>
    <w:rsid w:val="00680795"/>
    <w:rsid w:val="0068091A"/>
    <w:rsid w:val="00680926"/>
    <w:rsid w:val="0068094B"/>
    <w:rsid w:val="00680C21"/>
    <w:rsid w:val="00680D03"/>
    <w:rsid w:val="00680DDD"/>
    <w:rsid w:val="00680F1C"/>
    <w:rsid w:val="00681053"/>
    <w:rsid w:val="0068118C"/>
    <w:rsid w:val="0068175F"/>
    <w:rsid w:val="00681CD2"/>
    <w:rsid w:val="00681E71"/>
    <w:rsid w:val="00681E84"/>
    <w:rsid w:val="00681F0B"/>
    <w:rsid w:val="006823B0"/>
    <w:rsid w:val="00682430"/>
    <w:rsid w:val="006825B7"/>
    <w:rsid w:val="006825ED"/>
    <w:rsid w:val="0068263B"/>
    <w:rsid w:val="00682725"/>
    <w:rsid w:val="00682A93"/>
    <w:rsid w:val="00682BBB"/>
    <w:rsid w:val="00682BBE"/>
    <w:rsid w:val="00682E73"/>
    <w:rsid w:val="0068323C"/>
    <w:rsid w:val="0068344B"/>
    <w:rsid w:val="00683455"/>
    <w:rsid w:val="00683596"/>
    <w:rsid w:val="00683652"/>
    <w:rsid w:val="006836BE"/>
    <w:rsid w:val="00683932"/>
    <w:rsid w:val="00683C6C"/>
    <w:rsid w:val="00683C8D"/>
    <w:rsid w:val="00683CA9"/>
    <w:rsid w:val="00683D8C"/>
    <w:rsid w:val="00683DFF"/>
    <w:rsid w:val="006841F0"/>
    <w:rsid w:val="00684410"/>
    <w:rsid w:val="00684479"/>
    <w:rsid w:val="006850D6"/>
    <w:rsid w:val="00685149"/>
    <w:rsid w:val="00685265"/>
    <w:rsid w:val="00685452"/>
    <w:rsid w:val="00685917"/>
    <w:rsid w:val="00685928"/>
    <w:rsid w:val="00685D78"/>
    <w:rsid w:val="00685DE2"/>
    <w:rsid w:val="00685E20"/>
    <w:rsid w:val="0068641B"/>
    <w:rsid w:val="0068643A"/>
    <w:rsid w:val="0068645B"/>
    <w:rsid w:val="00686612"/>
    <w:rsid w:val="00686715"/>
    <w:rsid w:val="00686929"/>
    <w:rsid w:val="00686B24"/>
    <w:rsid w:val="00686C40"/>
    <w:rsid w:val="00686F9A"/>
    <w:rsid w:val="0068747A"/>
    <w:rsid w:val="006877DB"/>
    <w:rsid w:val="00687E00"/>
    <w:rsid w:val="00687F1E"/>
    <w:rsid w:val="006903BB"/>
    <w:rsid w:val="00690545"/>
    <w:rsid w:val="0069076B"/>
    <w:rsid w:val="0069098C"/>
    <w:rsid w:val="00690A38"/>
    <w:rsid w:val="00690A97"/>
    <w:rsid w:val="00690A9B"/>
    <w:rsid w:val="00690B31"/>
    <w:rsid w:val="00690D21"/>
    <w:rsid w:val="00690E8B"/>
    <w:rsid w:val="006911EE"/>
    <w:rsid w:val="00691400"/>
    <w:rsid w:val="006914A2"/>
    <w:rsid w:val="0069157D"/>
    <w:rsid w:val="00691596"/>
    <w:rsid w:val="0069174C"/>
    <w:rsid w:val="006918A7"/>
    <w:rsid w:val="00691A2E"/>
    <w:rsid w:val="00691EA0"/>
    <w:rsid w:val="00692232"/>
    <w:rsid w:val="006923DD"/>
    <w:rsid w:val="00692417"/>
    <w:rsid w:val="00692519"/>
    <w:rsid w:val="0069281F"/>
    <w:rsid w:val="00692A33"/>
    <w:rsid w:val="00692A65"/>
    <w:rsid w:val="00692B01"/>
    <w:rsid w:val="00692B04"/>
    <w:rsid w:val="00692BC8"/>
    <w:rsid w:val="00692D5C"/>
    <w:rsid w:val="00692E0E"/>
    <w:rsid w:val="00692EF6"/>
    <w:rsid w:val="006932C4"/>
    <w:rsid w:val="00693431"/>
    <w:rsid w:val="00693642"/>
    <w:rsid w:val="00693643"/>
    <w:rsid w:val="0069376E"/>
    <w:rsid w:val="00693AD1"/>
    <w:rsid w:val="00693E16"/>
    <w:rsid w:val="006945F7"/>
    <w:rsid w:val="00694753"/>
    <w:rsid w:val="00694862"/>
    <w:rsid w:val="00694873"/>
    <w:rsid w:val="006949BC"/>
    <w:rsid w:val="00694A47"/>
    <w:rsid w:val="00694AE3"/>
    <w:rsid w:val="00694B39"/>
    <w:rsid w:val="00694DB0"/>
    <w:rsid w:val="00694E60"/>
    <w:rsid w:val="00694EB3"/>
    <w:rsid w:val="00694F82"/>
    <w:rsid w:val="00694FB5"/>
    <w:rsid w:val="006953BB"/>
    <w:rsid w:val="006954C0"/>
    <w:rsid w:val="006954F2"/>
    <w:rsid w:val="00695521"/>
    <w:rsid w:val="00695BD1"/>
    <w:rsid w:val="00695BD5"/>
    <w:rsid w:val="00695CAF"/>
    <w:rsid w:val="00695E41"/>
    <w:rsid w:val="00695F50"/>
    <w:rsid w:val="00695F9B"/>
    <w:rsid w:val="00695F9E"/>
    <w:rsid w:val="0069616E"/>
    <w:rsid w:val="00696340"/>
    <w:rsid w:val="006963A7"/>
    <w:rsid w:val="00696482"/>
    <w:rsid w:val="00696753"/>
    <w:rsid w:val="006969A2"/>
    <w:rsid w:val="006969EF"/>
    <w:rsid w:val="00696D6F"/>
    <w:rsid w:val="00696E44"/>
    <w:rsid w:val="00696F3F"/>
    <w:rsid w:val="00697388"/>
    <w:rsid w:val="0069756E"/>
    <w:rsid w:val="00697625"/>
    <w:rsid w:val="006976CB"/>
    <w:rsid w:val="006979E7"/>
    <w:rsid w:val="00697A14"/>
    <w:rsid w:val="00697D2B"/>
    <w:rsid w:val="00697D9A"/>
    <w:rsid w:val="00697DD7"/>
    <w:rsid w:val="00697EDB"/>
    <w:rsid w:val="0069D2E2"/>
    <w:rsid w:val="006A01BC"/>
    <w:rsid w:val="006A0318"/>
    <w:rsid w:val="006A05D3"/>
    <w:rsid w:val="006A06AE"/>
    <w:rsid w:val="006A0948"/>
    <w:rsid w:val="006A095D"/>
    <w:rsid w:val="006A0E39"/>
    <w:rsid w:val="006A0EA2"/>
    <w:rsid w:val="006A0FBB"/>
    <w:rsid w:val="006A1078"/>
    <w:rsid w:val="006A13FF"/>
    <w:rsid w:val="006A180C"/>
    <w:rsid w:val="006A1875"/>
    <w:rsid w:val="006A1BAA"/>
    <w:rsid w:val="006A1F32"/>
    <w:rsid w:val="006A2232"/>
    <w:rsid w:val="006A2491"/>
    <w:rsid w:val="006A24F2"/>
    <w:rsid w:val="006A251D"/>
    <w:rsid w:val="006A25B5"/>
    <w:rsid w:val="006A25E8"/>
    <w:rsid w:val="006A262B"/>
    <w:rsid w:val="006A2B57"/>
    <w:rsid w:val="006A2EB5"/>
    <w:rsid w:val="006A2FB1"/>
    <w:rsid w:val="006A3307"/>
    <w:rsid w:val="006A33FD"/>
    <w:rsid w:val="006A36D7"/>
    <w:rsid w:val="006A37A3"/>
    <w:rsid w:val="006A38D4"/>
    <w:rsid w:val="006A39C0"/>
    <w:rsid w:val="006A3BB2"/>
    <w:rsid w:val="006A40DE"/>
    <w:rsid w:val="006A43B5"/>
    <w:rsid w:val="006A4412"/>
    <w:rsid w:val="006A449B"/>
    <w:rsid w:val="006A49D4"/>
    <w:rsid w:val="006A4A45"/>
    <w:rsid w:val="006A4B1E"/>
    <w:rsid w:val="006A4C57"/>
    <w:rsid w:val="006A5272"/>
    <w:rsid w:val="006A5330"/>
    <w:rsid w:val="006A54C4"/>
    <w:rsid w:val="006A55BB"/>
    <w:rsid w:val="006A5785"/>
    <w:rsid w:val="006A5A73"/>
    <w:rsid w:val="006A5CC9"/>
    <w:rsid w:val="006A5E92"/>
    <w:rsid w:val="006A5E95"/>
    <w:rsid w:val="006A6092"/>
    <w:rsid w:val="006A618F"/>
    <w:rsid w:val="006A6297"/>
    <w:rsid w:val="006A647E"/>
    <w:rsid w:val="006A6885"/>
    <w:rsid w:val="006A6A40"/>
    <w:rsid w:val="006A6F07"/>
    <w:rsid w:val="006A74E0"/>
    <w:rsid w:val="006A772F"/>
    <w:rsid w:val="006A777A"/>
    <w:rsid w:val="006A7A05"/>
    <w:rsid w:val="006A7B7A"/>
    <w:rsid w:val="006B0150"/>
    <w:rsid w:val="006B0208"/>
    <w:rsid w:val="006B0279"/>
    <w:rsid w:val="006B03E8"/>
    <w:rsid w:val="006B0806"/>
    <w:rsid w:val="006B0883"/>
    <w:rsid w:val="006B0C45"/>
    <w:rsid w:val="006B0DF7"/>
    <w:rsid w:val="006B0E41"/>
    <w:rsid w:val="006B1162"/>
    <w:rsid w:val="006B11BB"/>
    <w:rsid w:val="006B11FC"/>
    <w:rsid w:val="006B166F"/>
    <w:rsid w:val="006B1676"/>
    <w:rsid w:val="006B16CB"/>
    <w:rsid w:val="006B17A2"/>
    <w:rsid w:val="006B19FA"/>
    <w:rsid w:val="006B1A04"/>
    <w:rsid w:val="006B1CE6"/>
    <w:rsid w:val="006B20E1"/>
    <w:rsid w:val="006B21BE"/>
    <w:rsid w:val="006B25A0"/>
    <w:rsid w:val="006B2A5D"/>
    <w:rsid w:val="006B2E13"/>
    <w:rsid w:val="006B341F"/>
    <w:rsid w:val="006B36D2"/>
    <w:rsid w:val="006B37A5"/>
    <w:rsid w:val="006B38BF"/>
    <w:rsid w:val="006B3C66"/>
    <w:rsid w:val="006B3D57"/>
    <w:rsid w:val="006B451C"/>
    <w:rsid w:val="006B469E"/>
    <w:rsid w:val="006B472A"/>
    <w:rsid w:val="006B47C9"/>
    <w:rsid w:val="006B4966"/>
    <w:rsid w:val="006B5005"/>
    <w:rsid w:val="006B5180"/>
    <w:rsid w:val="006B51C8"/>
    <w:rsid w:val="006B5544"/>
    <w:rsid w:val="006B5679"/>
    <w:rsid w:val="006B56E8"/>
    <w:rsid w:val="006B5759"/>
    <w:rsid w:val="006B5AA4"/>
    <w:rsid w:val="006B5D38"/>
    <w:rsid w:val="006B6035"/>
    <w:rsid w:val="006B6A34"/>
    <w:rsid w:val="006B6C85"/>
    <w:rsid w:val="006B6CE8"/>
    <w:rsid w:val="006B6DA8"/>
    <w:rsid w:val="006B6DBD"/>
    <w:rsid w:val="006B6E7C"/>
    <w:rsid w:val="006B7030"/>
    <w:rsid w:val="006B76CE"/>
    <w:rsid w:val="006B77E8"/>
    <w:rsid w:val="006B7A9E"/>
    <w:rsid w:val="006B7B33"/>
    <w:rsid w:val="006B7E7D"/>
    <w:rsid w:val="006B7EF4"/>
    <w:rsid w:val="006B7F76"/>
    <w:rsid w:val="006C0137"/>
    <w:rsid w:val="006C0385"/>
    <w:rsid w:val="006C067B"/>
    <w:rsid w:val="006C07F3"/>
    <w:rsid w:val="006C087E"/>
    <w:rsid w:val="006C0A74"/>
    <w:rsid w:val="006C0BEC"/>
    <w:rsid w:val="006C0F39"/>
    <w:rsid w:val="006C10E9"/>
    <w:rsid w:val="006C13B2"/>
    <w:rsid w:val="006C1447"/>
    <w:rsid w:val="006C158F"/>
    <w:rsid w:val="006C1655"/>
    <w:rsid w:val="006C177D"/>
    <w:rsid w:val="006C180B"/>
    <w:rsid w:val="006C1A57"/>
    <w:rsid w:val="006C1EC2"/>
    <w:rsid w:val="006C2024"/>
    <w:rsid w:val="006C21F1"/>
    <w:rsid w:val="006C2284"/>
    <w:rsid w:val="006C24CD"/>
    <w:rsid w:val="006C25AB"/>
    <w:rsid w:val="006C263F"/>
    <w:rsid w:val="006C26C0"/>
    <w:rsid w:val="006C28A0"/>
    <w:rsid w:val="006C2B79"/>
    <w:rsid w:val="006C2D32"/>
    <w:rsid w:val="006C33D7"/>
    <w:rsid w:val="006C3536"/>
    <w:rsid w:val="006C3727"/>
    <w:rsid w:val="006C37A6"/>
    <w:rsid w:val="006C39B4"/>
    <w:rsid w:val="006C3B3A"/>
    <w:rsid w:val="006C3BC9"/>
    <w:rsid w:val="006C3C8E"/>
    <w:rsid w:val="006C3EDB"/>
    <w:rsid w:val="006C3FEA"/>
    <w:rsid w:val="006C41C2"/>
    <w:rsid w:val="006C426F"/>
    <w:rsid w:val="006C435E"/>
    <w:rsid w:val="006C43E1"/>
    <w:rsid w:val="006C449C"/>
    <w:rsid w:val="006C45B1"/>
    <w:rsid w:val="006C45BD"/>
    <w:rsid w:val="006C463B"/>
    <w:rsid w:val="006C4CA6"/>
    <w:rsid w:val="006C5021"/>
    <w:rsid w:val="006C50B7"/>
    <w:rsid w:val="006C510D"/>
    <w:rsid w:val="006C54F3"/>
    <w:rsid w:val="006C5626"/>
    <w:rsid w:val="006C57AE"/>
    <w:rsid w:val="006C5A0E"/>
    <w:rsid w:val="006C5A12"/>
    <w:rsid w:val="006C5A96"/>
    <w:rsid w:val="006C5C07"/>
    <w:rsid w:val="006C5CFC"/>
    <w:rsid w:val="006C5D20"/>
    <w:rsid w:val="006C5D6B"/>
    <w:rsid w:val="006C603B"/>
    <w:rsid w:val="006C60D2"/>
    <w:rsid w:val="006C652B"/>
    <w:rsid w:val="006C652F"/>
    <w:rsid w:val="006C656C"/>
    <w:rsid w:val="006C6D85"/>
    <w:rsid w:val="006C6FEB"/>
    <w:rsid w:val="006C6FF7"/>
    <w:rsid w:val="006C71F6"/>
    <w:rsid w:val="006C72FD"/>
    <w:rsid w:val="006C77AC"/>
    <w:rsid w:val="006C77C1"/>
    <w:rsid w:val="006C7955"/>
    <w:rsid w:val="006C79BD"/>
    <w:rsid w:val="006C7A1B"/>
    <w:rsid w:val="006C7A95"/>
    <w:rsid w:val="006C7EE4"/>
    <w:rsid w:val="006C7F26"/>
    <w:rsid w:val="006CD028"/>
    <w:rsid w:val="006D0217"/>
    <w:rsid w:val="006D0364"/>
    <w:rsid w:val="006D0467"/>
    <w:rsid w:val="006D0751"/>
    <w:rsid w:val="006D07F5"/>
    <w:rsid w:val="006D08E1"/>
    <w:rsid w:val="006D0AF3"/>
    <w:rsid w:val="006D0B05"/>
    <w:rsid w:val="006D0B21"/>
    <w:rsid w:val="006D0E65"/>
    <w:rsid w:val="006D0EED"/>
    <w:rsid w:val="006D0F35"/>
    <w:rsid w:val="006D10B4"/>
    <w:rsid w:val="006D11E3"/>
    <w:rsid w:val="006D12D3"/>
    <w:rsid w:val="006D14F7"/>
    <w:rsid w:val="006D18CE"/>
    <w:rsid w:val="006D1DDD"/>
    <w:rsid w:val="006D1DFF"/>
    <w:rsid w:val="006D1E33"/>
    <w:rsid w:val="006D25B9"/>
    <w:rsid w:val="006D25C4"/>
    <w:rsid w:val="006D25C5"/>
    <w:rsid w:val="006D279A"/>
    <w:rsid w:val="006D2A40"/>
    <w:rsid w:val="006D2AAF"/>
    <w:rsid w:val="006D2CFD"/>
    <w:rsid w:val="006D2D7E"/>
    <w:rsid w:val="006D308F"/>
    <w:rsid w:val="006D371B"/>
    <w:rsid w:val="006D372F"/>
    <w:rsid w:val="006D384E"/>
    <w:rsid w:val="006D3B33"/>
    <w:rsid w:val="006D3BF1"/>
    <w:rsid w:val="006D3D04"/>
    <w:rsid w:val="006D3FFD"/>
    <w:rsid w:val="006D4230"/>
    <w:rsid w:val="006D4392"/>
    <w:rsid w:val="006D43E0"/>
    <w:rsid w:val="006D4696"/>
    <w:rsid w:val="006D48EA"/>
    <w:rsid w:val="006D49A7"/>
    <w:rsid w:val="006D4A5F"/>
    <w:rsid w:val="006D4F46"/>
    <w:rsid w:val="006D5038"/>
    <w:rsid w:val="006D52A4"/>
    <w:rsid w:val="006D52FF"/>
    <w:rsid w:val="006D53EE"/>
    <w:rsid w:val="006D53F2"/>
    <w:rsid w:val="006D549C"/>
    <w:rsid w:val="006D5CC6"/>
    <w:rsid w:val="006D5E5D"/>
    <w:rsid w:val="006D5F0F"/>
    <w:rsid w:val="006D600C"/>
    <w:rsid w:val="006D6226"/>
    <w:rsid w:val="006D629E"/>
    <w:rsid w:val="006D62A6"/>
    <w:rsid w:val="006D62B3"/>
    <w:rsid w:val="006D63AC"/>
    <w:rsid w:val="006D646E"/>
    <w:rsid w:val="006D6911"/>
    <w:rsid w:val="006D6D40"/>
    <w:rsid w:val="006D6DA8"/>
    <w:rsid w:val="006D719B"/>
    <w:rsid w:val="006D71DE"/>
    <w:rsid w:val="006D7530"/>
    <w:rsid w:val="006D76D7"/>
    <w:rsid w:val="006D79A6"/>
    <w:rsid w:val="006D7A46"/>
    <w:rsid w:val="006D7CBE"/>
    <w:rsid w:val="006D7D17"/>
    <w:rsid w:val="006D7D4A"/>
    <w:rsid w:val="006D7D74"/>
    <w:rsid w:val="006D7F50"/>
    <w:rsid w:val="006E015F"/>
    <w:rsid w:val="006E01B5"/>
    <w:rsid w:val="006E0430"/>
    <w:rsid w:val="006E0470"/>
    <w:rsid w:val="006E05C8"/>
    <w:rsid w:val="006E09DA"/>
    <w:rsid w:val="006E0A69"/>
    <w:rsid w:val="006E0B41"/>
    <w:rsid w:val="006E0DFA"/>
    <w:rsid w:val="006E1159"/>
    <w:rsid w:val="006E11B2"/>
    <w:rsid w:val="006E12E4"/>
    <w:rsid w:val="006E130D"/>
    <w:rsid w:val="006E1340"/>
    <w:rsid w:val="006E1485"/>
    <w:rsid w:val="006E1643"/>
    <w:rsid w:val="006E17B7"/>
    <w:rsid w:val="006E1B8B"/>
    <w:rsid w:val="006E1BBF"/>
    <w:rsid w:val="006E1E1E"/>
    <w:rsid w:val="006E1E22"/>
    <w:rsid w:val="006E1EE9"/>
    <w:rsid w:val="006E1F58"/>
    <w:rsid w:val="006E227A"/>
    <w:rsid w:val="006E23E9"/>
    <w:rsid w:val="006E2583"/>
    <w:rsid w:val="006E262A"/>
    <w:rsid w:val="006E2735"/>
    <w:rsid w:val="006E27CD"/>
    <w:rsid w:val="006E2B15"/>
    <w:rsid w:val="006E2B98"/>
    <w:rsid w:val="006E2DC3"/>
    <w:rsid w:val="006E2DE3"/>
    <w:rsid w:val="006E303B"/>
    <w:rsid w:val="006E31F7"/>
    <w:rsid w:val="006E3206"/>
    <w:rsid w:val="006E3260"/>
    <w:rsid w:val="006E331D"/>
    <w:rsid w:val="006E33DD"/>
    <w:rsid w:val="006E3478"/>
    <w:rsid w:val="006E35F2"/>
    <w:rsid w:val="006E3ABF"/>
    <w:rsid w:val="006E3C29"/>
    <w:rsid w:val="006E3CE5"/>
    <w:rsid w:val="006E41B1"/>
    <w:rsid w:val="006E43A1"/>
    <w:rsid w:val="006E45B8"/>
    <w:rsid w:val="006E4744"/>
    <w:rsid w:val="006E4A3F"/>
    <w:rsid w:val="006E4EB1"/>
    <w:rsid w:val="006E4EB3"/>
    <w:rsid w:val="006E57F1"/>
    <w:rsid w:val="006E5801"/>
    <w:rsid w:val="006E5C6A"/>
    <w:rsid w:val="006E5D4B"/>
    <w:rsid w:val="006E5EA2"/>
    <w:rsid w:val="006E6130"/>
    <w:rsid w:val="006E6230"/>
    <w:rsid w:val="006E67BB"/>
    <w:rsid w:val="006E691F"/>
    <w:rsid w:val="006E6B95"/>
    <w:rsid w:val="006E6C9D"/>
    <w:rsid w:val="006E6E13"/>
    <w:rsid w:val="006E6EE6"/>
    <w:rsid w:val="006E70AB"/>
    <w:rsid w:val="006E7170"/>
    <w:rsid w:val="006E7AA4"/>
    <w:rsid w:val="006F01E0"/>
    <w:rsid w:val="006F04A1"/>
    <w:rsid w:val="006F0671"/>
    <w:rsid w:val="006F06AD"/>
    <w:rsid w:val="006F08EF"/>
    <w:rsid w:val="006F1047"/>
    <w:rsid w:val="006F105C"/>
    <w:rsid w:val="006F128A"/>
    <w:rsid w:val="006F1519"/>
    <w:rsid w:val="006F16C2"/>
    <w:rsid w:val="006F19A8"/>
    <w:rsid w:val="006F1A16"/>
    <w:rsid w:val="006F1CF0"/>
    <w:rsid w:val="006F2082"/>
    <w:rsid w:val="006F20BB"/>
    <w:rsid w:val="006F21ED"/>
    <w:rsid w:val="006F2280"/>
    <w:rsid w:val="006F22E1"/>
    <w:rsid w:val="006F2401"/>
    <w:rsid w:val="006F24CA"/>
    <w:rsid w:val="006F2585"/>
    <w:rsid w:val="006F2698"/>
    <w:rsid w:val="006F26DB"/>
    <w:rsid w:val="006F275E"/>
    <w:rsid w:val="006F2AD1"/>
    <w:rsid w:val="006F2C5C"/>
    <w:rsid w:val="006F2E4C"/>
    <w:rsid w:val="006F2E6F"/>
    <w:rsid w:val="006F2EEA"/>
    <w:rsid w:val="006F3394"/>
    <w:rsid w:val="006F35F0"/>
    <w:rsid w:val="006F3722"/>
    <w:rsid w:val="006F3AB7"/>
    <w:rsid w:val="006F3B46"/>
    <w:rsid w:val="006F3C49"/>
    <w:rsid w:val="006F3FA0"/>
    <w:rsid w:val="006F3FB6"/>
    <w:rsid w:val="006F4007"/>
    <w:rsid w:val="006F40E3"/>
    <w:rsid w:val="006F4147"/>
    <w:rsid w:val="006F424F"/>
    <w:rsid w:val="006F44CB"/>
    <w:rsid w:val="006F455C"/>
    <w:rsid w:val="006F48B4"/>
    <w:rsid w:val="006F4AB1"/>
    <w:rsid w:val="006F4BBB"/>
    <w:rsid w:val="006F535F"/>
    <w:rsid w:val="006F5552"/>
    <w:rsid w:val="006F5589"/>
    <w:rsid w:val="006F5594"/>
    <w:rsid w:val="006F5725"/>
    <w:rsid w:val="006F5C81"/>
    <w:rsid w:val="006F5C95"/>
    <w:rsid w:val="006F5E2E"/>
    <w:rsid w:val="006F5EDA"/>
    <w:rsid w:val="006F5EF1"/>
    <w:rsid w:val="006F5F94"/>
    <w:rsid w:val="006F5F99"/>
    <w:rsid w:val="006F5FD4"/>
    <w:rsid w:val="006F601A"/>
    <w:rsid w:val="006F60FB"/>
    <w:rsid w:val="006F6188"/>
    <w:rsid w:val="006F6249"/>
    <w:rsid w:val="006F63AF"/>
    <w:rsid w:val="006F663C"/>
    <w:rsid w:val="006F67FD"/>
    <w:rsid w:val="006F691C"/>
    <w:rsid w:val="006F6AF7"/>
    <w:rsid w:val="006F6C28"/>
    <w:rsid w:val="006F6DF9"/>
    <w:rsid w:val="006F6E1A"/>
    <w:rsid w:val="006F7174"/>
    <w:rsid w:val="006F738B"/>
    <w:rsid w:val="006F7445"/>
    <w:rsid w:val="006F749E"/>
    <w:rsid w:val="006F74B8"/>
    <w:rsid w:val="006F783A"/>
    <w:rsid w:val="006F7A86"/>
    <w:rsid w:val="006F7A93"/>
    <w:rsid w:val="006F7D55"/>
    <w:rsid w:val="006F7EB3"/>
    <w:rsid w:val="00700214"/>
    <w:rsid w:val="00700238"/>
    <w:rsid w:val="00700333"/>
    <w:rsid w:val="00700581"/>
    <w:rsid w:val="0070082F"/>
    <w:rsid w:val="00700A63"/>
    <w:rsid w:val="00700A64"/>
    <w:rsid w:val="00700A68"/>
    <w:rsid w:val="00700D33"/>
    <w:rsid w:val="00700E8C"/>
    <w:rsid w:val="00700F10"/>
    <w:rsid w:val="00700F24"/>
    <w:rsid w:val="0070126B"/>
    <w:rsid w:val="00701291"/>
    <w:rsid w:val="00701448"/>
    <w:rsid w:val="00701588"/>
    <w:rsid w:val="00701594"/>
    <w:rsid w:val="00701688"/>
    <w:rsid w:val="007018C9"/>
    <w:rsid w:val="00701930"/>
    <w:rsid w:val="00701969"/>
    <w:rsid w:val="007019EE"/>
    <w:rsid w:val="00701A04"/>
    <w:rsid w:val="00701BD4"/>
    <w:rsid w:val="00701FA3"/>
    <w:rsid w:val="00702089"/>
    <w:rsid w:val="007021A1"/>
    <w:rsid w:val="0070226D"/>
    <w:rsid w:val="00702400"/>
    <w:rsid w:val="00702405"/>
    <w:rsid w:val="00702497"/>
    <w:rsid w:val="007024C4"/>
    <w:rsid w:val="007027AF"/>
    <w:rsid w:val="00702992"/>
    <w:rsid w:val="00702B72"/>
    <w:rsid w:val="00702B81"/>
    <w:rsid w:val="00702C3A"/>
    <w:rsid w:val="00702C53"/>
    <w:rsid w:val="00702D3D"/>
    <w:rsid w:val="00702DC6"/>
    <w:rsid w:val="00702F05"/>
    <w:rsid w:val="0070356C"/>
    <w:rsid w:val="00703685"/>
    <w:rsid w:val="007036E9"/>
    <w:rsid w:val="007037B8"/>
    <w:rsid w:val="00703C90"/>
    <w:rsid w:val="00703E64"/>
    <w:rsid w:val="0070435C"/>
    <w:rsid w:val="007043ED"/>
    <w:rsid w:val="007044B5"/>
    <w:rsid w:val="0070490C"/>
    <w:rsid w:val="00704A8C"/>
    <w:rsid w:val="00704AE7"/>
    <w:rsid w:val="00704AF0"/>
    <w:rsid w:val="00704D11"/>
    <w:rsid w:val="00704F93"/>
    <w:rsid w:val="007050DF"/>
    <w:rsid w:val="007052AB"/>
    <w:rsid w:val="007053FD"/>
    <w:rsid w:val="00705436"/>
    <w:rsid w:val="00705496"/>
    <w:rsid w:val="00705637"/>
    <w:rsid w:val="007059B1"/>
    <w:rsid w:val="00705B23"/>
    <w:rsid w:val="00705E30"/>
    <w:rsid w:val="00705F68"/>
    <w:rsid w:val="00705FC6"/>
    <w:rsid w:val="00706096"/>
    <w:rsid w:val="00706395"/>
    <w:rsid w:val="00706643"/>
    <w:rsid w:val="00706717"/>
    <w:rsid w:val="007067B6"/>
    <w:rsid w:val="007067E4"/>
    <w:rsid w:val="00706957"/>
    <w:rsid w:val="0070697D"/>
    <w:rsid w:val="00706AD8"/>
    <w:rsid w:val="00706B33"/>
    <w:rsid w:val="00707310"/>
    <w:rsid w:val="00707344"/>
    <w:rsid w:val="00707644"/>
    <w:rsid w:val="00707A64"/>
    <w:rsid w:val="00707B90"/>
    <w:rsid w:val="00707B94"/>
    <w:rsid w:val="00707E6C"/>
    <w:rsid w:val="00707F87"/>
    <w:rsid w:val="00710124"/>
    <w:rsid w:val="007101FD"/>
    <w:rsid w:val="00710803"/>
    <w:rsid w:val="00710AB0"/>
    <w:rsid w:val="007111D4"/>
    <w:rsid w:val="007112FE"/>
    <w:rsid w:val="0071135F"/>
    <w:rsid w:val="007113D9"/>
    <w:rsid w:val="007116EB"/>
    <w:rsid w:val="00711B48"/>
    <w:rsid w:val="00711B5B"/>
    <w:rsid w:val="00711BD8"/>
    <w:rsid w:val="00711CF2"/>
    <w:rsid w:val="00712246"/>
    <w:rsid w:val="00712486"/>
    <w:rsid w:val="00712500"/>
    <w:rsid w:val="0071254B"/>
    <w:rsid w:val="00712572"/>
    <w:rsid w:val="007126F6"/>
    <w:rsid w:val="00712959"/>
    <w:rsid w:val="00712D5D"/>
    <w:rsid w:val="00713136"/>
    <w:rsid w:val="007133B6"/>
    <w:rsid w:val="00713491"/>
    <w:rsid w:val="007135DE"/>
    <w:rsid w:val="007136AB"/>
    <w:rsid w:val="0071381C"/>
    <w:rsid w:val="007138FD"/>
    <w:rsid w:val="00713983"/>
    <w:rsid w:val="00713B46"/>
    <w:rsid w:val="00713C45"/>
    <w:rsid w:val="00713D12"/>
    <w:rsid w:val="00713E7F"/>
    <w:rsid w:val="00714260"/>
    <w:rsid w:val="007142CD"/>
    <w:rsid w:val="0071480D"/>
    <w:rsid w:val="007148F1"/>
    <w:rsid w:val="00714A4A"/>
    <w:rsid w:val="00714CEF"/>
    <w:rsid w:val="00714D4B"/>
    <w:rsid w:val="00714DCB"/>
    <w:rsid w:val="00714E5B"/>
    <w:rsid w:val="007152A9"/>
    <w:rsid w:val="00715521"/>
    <w:rsid w:val="00715642"/>
    <w:rsid w:val="00715AA5"/>
    <w:rsid w:val="00715AD4"/>
    <w:rsid w:val="00715B0B"/>
    <w:rsid w:val="00715B25"/>
    <w:rsid w:val="00715C27"/>
    <w:rsid w:val="00715D27"/>
    <w:rsid w:val="00715E83"/>
    <w:rsid w:val="00715F5B"/>
    <w:rsid w:val="007161A6"/>
    <w:rsid w:val="00716566"/>
    <w:rsid w:val="007168F7"/>
    <w:rsid w:val="00716B8B"/>
    <w:rsid w:val="00716DCC"/>
    <w:rsid w:val="00716FBF"/>
    <w:rsid w:val="00717153"/>
    <w:rsid w:val="0071720C"/>
    <w:rsid w:val="007172E9"/>
    <w:rsid w:val="007173C9"/>
    <w:rsid w:val="0071746C"/>
    <w:rsid w:val="0071750E"/>
    <w:rsid w:val="007175EB"/>
    <w:rsid w:val="0071762C"/>
    <w:rsid w:val="007179CD"/>
    <w:rsid w:val="00717A88"/>
    <w:rsid w:val="00717CE1"/>
    <w:rsid w:val="00717DA1"/>
    <w:rsid w:val="00717FFA"/>
    <w:rsid w:val="00720193"/>
    <w:rsid w:val="00720245"/>
    <w:rsid w:val="007203A1"/>
    <w:rsid w:val="007205FE"/>
    <w:rsid w:val="00720965"/>
    <w:rsid w:val="00720993"/>
    <w:rsid w:val="00720D25"/>
    <w:rsid w:val="00720F23"/>
    <w:rsid w:val="0072111D"/>
    <w:rsid w:val="007213D4"/>
    <w:rsid w:val="00721443"/>
    <w:rsid w:val="0072145B"/>
    <w:rsid w:val="0072173A"/>
    <w:rsid w:val="00721F1B"/>
    <w:rsid w:val="00721F7A"/>
    <w:rsid w:val="00722248"/>
    <w:rsid w:val="007224CE"/>
    <w:rsid w:val="00722849"/>
    <w:rsid w:val="00722A2D"/>
    <w:rsid w:val="00722A6C"/>
    <w:rsid w:val="00722ACE"/>
    <w:rsid w:val="00722F7E"/>
    <w:rsid w:val="00723274"/>
    <w:rsid w:val="007232C8"/>
    <w:rsid w:val="00723A43"/>
    <w:rsid w:val="00723A74"/>
    <w:rsid w:val="00723AFD"/>
    <w:rsid w:val="00723B9B"/>
    <w:rsid w:val="00723BB3"/>
    <w:rsid w:val="00723E0F"/>
    <w:rsid w:val="007241FD"/>
    <w:rsid w:val="007244C9"/>
    <w:rsid w:val="0072452F"/>
    <w:rsid w:val="007245D7"/>
    <w:rsid w:val="00724642"/>
    <w:rsid w:val="00724665"/>
    <w:rsid w:val="0072481D"/>
    <w:rsid w:val="007248C8"/>
    <w:rsid w:val="00724A35"/>
    <w:rsid w:val="00724E1A"/>
    <w:rsid w:val="00725119"/>
    <w:rsid w:val="00725209"/>
    <w:rsid w:val="0072556E"/>
    <w:rsid w:val="00725614"/>
    <w:rsid w:val="00725963"/>
    <w:rsid w:val="00725AAF"/>
    <w:rsid w:val="007260C3"/>
    <w:rsid w:val="007261FC"/>
    <w:rsid w:val="007263D8"/>
    <w:rsid w:val="007263FD"/>
    <w:rsid w:val="0072641F"/>
    <w:rsid w:val="007264C0"/>
    <w:rsid w:val="0072650B"/>
    <w:rsid w:val="00726576"/>
    <w:rsid w:val="00726611"/>
    <w:rsid w:val="00726C1F"/>
    <w:rsid w:val="00726DE4"/>
    <w:rsid w:val="007270AF"/>
    <w:rsid w:val="007275FA"/>
    <w:rsid w:val="007276CD"/>
    <w:rsid w:val="0072774E"/>
    <w:rsid w:val="007277AD"/>
    <w:rsid w:val="00727831"/>
    <w:rsid w:val="00727924"/>
    <w:rsid w:val="00727A57"/>
    <w:rsid w:val="00727B57"/>
    <w:rsid w:val="00727D9B"/>
    <w:rsid w:val="00727DCC"/>
    <w:rsid w:val="00727EE1"/>
    <w:rsid w:val="00727EF4"/>
    <w:rsid w:val="00727F5B"/>
    <w:rsid w:val="0072D587"/>
    <w:rsid w:val="00730246"/>
    <w:rsid w:val="0073039E"/>
    <w:rsid w:val="0073069C"/>
    <w:rsid w:val="00730952"/>
    <w:rsid w:val="0073097B"/>
    <w:rsid w:val="00730AFC"/>
    <w:rsid w:val="00730CA1"/>
    <w:rsid w:val="00730D78"/>
    <w:rsid w:val="00731035"/>
    <w:rsid w:val="007310F1"/>
    <w:rsid w:val="00731242"/>
    <w:rsid w:val="007316AD"/>
    <w:rsid w:val="00731718"/>
    <w:rsid w:val="00731B2D"/>
    <w:rsid w:val="00731E60"/>
    <w:rsid w:val="00732357"/>
    <w:rsid w:val="0073235E"/>
    <w:rsid w:val="00732402"/>
    <w:rsid w:val="007325F5"/>
    <w:rsid w:val="00732AD9"/>
    <w:rsid w:val="00732FE0"/>
    <w:rsid w:val="0073308F"/>
    <w:rsid w:val="0073342F"/>
    <w:rsid w:val="00733572"/>
    <w:rsid w:val="0073372E"/>
    <w:rsid w:val="0073396F"/>
    <w:rsid w:val="00733A28"/>
    <w:rsid w:val="00733E70"/>
    <w:rsid w:val="0073404F"/>
    <w:rsid w:val="0073416A"/>
    <w:rsid w:val="00734232"/>
    <w:rsid w:val="00734257"/>
    <w:rsid w:val="00734656"/>
    <w:rsid w:val="00734710"/>
    <w:rsid w:val="00734884"/>
    <w:rsid w:val="00734A87"/>
    <w:rsid w:val="00734D65"/>
    <w:rsid w:val="007354BA"/>
    <w:rsid w:val="007354E7"/>
    <w:rsid w:val="007359CC"/>
    <w:rsid w:val="00735AB9"/>
    <w:rsid w:val="00735E45"/>
    <w:rsid w:val="00736428"/>
    <w:rsid w:val="00736613"/>
    <w:rsid w:val="007366D9"/>
    <w:rsid w:val="00736870"/>
    <w:rsid w:val="007369D0"/>
    <w:rsid w:val="007369FA"/>
    <w:rsid w:val="00736CE8"/>
    <w:rsid w:val="00736DBE"/>
    <w:rsid w:val="00737152"/>
    <w:rsid w:val="00737466"/>
    <w:rsid w:val="00737980"/>
    <w:rsid w:val="00737B11"/>
    <w:rsid w:val="00740015"/>
    <w:rsid w:val="007400BA"/>
    <w:rsid w:val="00740308"/>
    <w:rsid w:val="00740530"/>
    <w:rsid w:val="007405B4"/>
    <w:rsid w:val="00740797"/>
    <w:rsid w:val="0074079C"/>
    <w:rsid w:val="00740916"/>
    <w:rsid w:val="00740B9C"/>
    <w:rsid w:val="00740D38"/>
    <w:rsid w:val="00740E71"/>
    <w:rsid w:val="00740EB6"/>
    <w:rsid w:val="00740FC4"/>
    <w:rsid w:val="00741023"/>
    <w:rsid w:val="007414E8"/>
    <w:rsid w:val="00741655"/>
    <w:rsid w:val="0074199D"/>
    <w:rsid w:val="00741A41"/>
    <w:rsid w:val="00741CA6"/>
    <w:rsid w:val="00741CB5"/>
    <w:rsid w:val="00741F73"/>
    <w:rsid w:val="0074238F"/>
    <w:rsid w:val="0074260C"/>
    <w:rsid w:val="00742622"/>
    <w:rsid w:val="00742778"/>
    <w:rsid w:val="00742D69"/>
    <w:rsid w:val="007433C3"/>
    <w:rsid w:val="00743505"/>
    <w:rsid w:val="00743C5B"/>
    <w:rsid w:val="00743E9A"/>
    <w:rsid w:val="007440F0"/>
    <w:rsid w:val="00744307"/>
    <w:rsid w:val="00744641"/>
    <w:rsid w:val="0074495E"/>
    <w:rsid w:val="00744B73"/>
    <w:rsid w:val="00744DD7"/>
    <w:rsid w:val="00744E81"/>
    <w:rsid w:val="0074518C"/>
    <w:rsid w:val="0074524F"/>
    <w:rsid w:val="00745270"/>
    <w:rsid w:val="007452F4"/>
    <w:rsid w:val="00745467"/>
    <w:rsid w:val="007454D3"/>
    <w:rsid w:val="007459FC"/>
    <w:rsid w:val="00745A67"/>
    <w:rsid w:val="00745B0B"/>
    <w:rsid w:val="00745DA0"/>
    <w:rsid w:val="00745DE1"/>
    <w:rsid w:val="00745F14"/>
    <w:rsid w:val="00745FA4"/>
    <w:rsid w:val="00746254"/>
    <w:rsid w:val="007464BF"/>
    <w:rsid w:val="007466EE"/>
    <w:rsid w:val="0074673B"/>
    <w:rsid w:val="00746937"/>
    <w:rsid w:val="00746981"/>
    <w:rsid w:val="00746C33"/>
    <w:rsid w:val="00746CBD"/>
    <w:rsid w:val="007471EA"/>
    <w:rsid w:val="00747330"/>
    <w:rsid w:val="00747862"/>
    <w:rsid w:val="007479D2"/>
    <w:rsid w:val="00747B91"/>
    <w:rsid w:val="00747BBE"/>
    <w:rsid w:val="00747C1B"/>
    <w:rsid w:val="00747CA0"/>
    <w:rsid w:val="00747E84"/>
    <w:rsid w:val="007501B1"/>
    <w:rsid w:val="00750249"/>
    <w:rsid w:val="0075024F"/>
    <w:rsid w:val="00750274"/>
    <w:rsid w:val="007502F7"/>
    <w:rsid w:val="00750350"/>
    <w:rsid w:val="00750741"/>
    <w:rsid w:val="00750749"/>
    <w:rsid w:val="007508B5"/>
    <w:rsid w:val="00750A29"/>
    <w:rsid w:val="00750A94"/>
    <w:rsid w:val="00750C10"/>
    <w:rsid w:val="00750CFA"/>
    <w:rsid w:val="00751556"/>
    <w:rsid w:val="007516ED"/>
    <w:rsid w:val="00751C87"/>
    <w:rsid w:val="00751DA7"/>
    <w:rsid w:val="00751EC3"/>
    <w:rsid w:val="00751EF0"/>
    <w:rsid w:val="00751FE6"/>
    <w:rsid w:val="0075207E"/>
    <w:rsid w:val="00752291"/>
    <w:rsid w:val="007522F3"/>
    <w:rsid w:val="00752452"/>
    <w:rsid w:val="00752A3B"/>
    <w:rsid w:val="00752C64"/>
    <w:rsid w:val="00753099"/>
    <w:rsid w:val="00753227"/>
    <w:rsid w:val="0075326D"/>
    <w:rsid w:val="00753394"/>
    <w:rsid w:val="0075363D"/>
    <w:rsid w:val="00753762"/>
    <w:rsid w:val="00753890"/>
    <w:rsid w:val="0075393E"/>
    <w:rsid w:val="00753E28"/>
    <w:rsid w:val="00753E6A"/>
    <w:rsid w:val="0075413B"/>
    <w:rsid w:val="0075414E"/>
    <w:rsid w:val="00754161"/>
    <w:rsid w:val="0075448A"/>
    <w:rsid w:val="0075458D"/>
    <w:rsid w:val="007545E1"/>
    <w:rsid w:val="007545E3"/>
    <w:rsid w:val="007546CF"/>
    <w:rsid w:val="0075474E"/>
    <w:rsid w:val="00754889"/>
    <w:rsid w:val="00754954"/>
    <w:rsid w:val="00754BA1"/>
    <w:rsid w:val="00754CC3"/>
    <w:rsid w:val="007551B1"/>
    <w:rsid w:val="00755497"/>
    <w:rsid w:val="0075560E"/>
    <w:rsid w:val="00755DB9"/>
    <w:rsid w:val="00755E1A"/>
    <w:rsid w:val="0075602E"/>
    <w:rsid w:val="0075605D"/>
    <w:rsid w:val="0075641A"/>
    <w:rsid w:val="00756467"/>
    <w:rsid w:val="00756ACC"/>
    <w:rsid w:val="00756CB7"/>
    <w:rsid w:val="0075738B"/>
    <w:rsid w:val="00757412"/>
    <w:rsid w:val="00757576"/>
    <w:rsid w:val="007579AA"/>
    <w:rsid w:val="00757C36"/>
    <w:rsid w:val="00757C69"/>
    <w:rsid w:val="007600A3"/>
    <w:rsid w:val="00760200"/>
    <w:rsid w:val="0076020C"/>
    <w:rsid w:val="00760490"/>
    <w:rsid w:val="007604DC"/>
    <w:rsid w:val="00760A34"/>
    <w:rsid w:val="00760A70"/>
    <w:rsid w:val="00760C08"/>
    <w:rsid w:val="00761012"/>
    <w:rsid w:val="00761373"/>
    <w:rsid w:val="00761408"/>
    <w:rsid w:val="007614AC"/>
    <w:rsid w:val="007615C7"/>
    <w:rsid w:val="00761B53"/>
    <w:rsid w:val="00761BE8"/>
    <w:rsid w:val="007622FC"/>
    <w:rsid w:val="007623D5"/>
    <w:rsid w:val="00762481"/>
    <w:rsid w:val="007628A6"/>
    <w:rsid w:val="007629CA"/>
    <w:rsid w:val="00762ADF"/>
    <w:rsid w:val="00762B28"/>
    <w:rsid w:val="007631D6"/>
    <w:rsid w:val="00763250"/>
    <w:rsid w:val="00763576"/>
    <w:rsid w:val="00763662"/>
    <w:rsid w:val="00763EC7"/>
    <w:rsid w:val="00763F24"/>
    <w:rsid w:val="00764211"/>
    <w:rsid w:val="0076425E"/>
    <w:rsid w:val="00764546"/>
    <w:rsid w:val="0076457D"/>
    <w:rsid w:val="007649B0"/>
    <w:rsid w:val="00764B3C"/>
    <w:rsid w:val="00764B57"/>
    <w:rsid w:val="00764B95"/>
    <w:rsid w:val="00764EBD"/>
    <w:rsid w:val="00765029"/>
    <w:rsid w:val="0076514C"/>
    <w:rsid w:val="0076514E"/>
    <w:rsid w:val="00765278"/>
    <w:rsid w:val="00765649"/>
    <w:rsid w:val="00765882"/>
    <w:rsid w:val="00765910"/>
    <w:rsid w:val="00765BB2"/>
    <w:rsid w:val="00765E54"/>
    <w:rsid w:val="00765E5F"/>
    <w:rsid w:val="00765FE7"/>
    <w:rsid w:val="00766073"/>
    <w:rsid w:val="00766147"/>
    <w:rsid w:val="0076628B"/>
    <w:rsid w:val="00766400"/>
    <w:rsid w:val="00766506"/>
    <w:rsid w:val="007665FF"/>
    <w:rsid w:val="007667CE"/>
    <w:rsid w:val="00766C93"/>
    <w:rsid w:val="007670CE"/>
    <w:rsid w:val="00767268"/>
    <w:rsid w:val="0076763E"/>
    <w:rsid w:val="00767877"/>
    <w:rsid w:val="00767962"/>
    <w:rsid w:val="00767AA5"/>
    <w:rsid w:val="00767C1C"/>
    <w:rsid w:val="00767CAD"/>
    <w:rsid w:val="00767D8B"/>
    <w:rsid w:val="00767F35"/>
    <w:rsid w:val="00770272"/>
    <w:rsid w:val="00770335"/>
    <w:rsid w:val="00770457"/>
    <w:rsid w:val="00770515"/>
    <w:rsid w:val="00770572"/>
    <w:rsid w:val="00770AFC"/>
    <w:rsid w:val="00770EBF"/>
    <w:rsid w:val="00770FEB"/>
    <w:rsid w:val="0077183C"/>
    <w:rsid w:val="0077186B"/>
    <w:rsid w:val="00771A7D"/>
    <w:rsid w:val="00771F54"/>
    <w:rsid w:val="00771F9A"/>
    <w:rsid w:val="00771FE7"/>
    <w:rsid w:val="007722D2"/>
    <w:rsid w:val="00772378"/>
    <w:rsid w:val="007723D9"/>
    <w:rsid w:val="00772693"/>
    <w:rsid w:val="00772728"/>
    <w:rsid w:val="0077274D"/>
    <w:rsid w:val="00772768"/>
    <w:rsid w:val="007728F0"/>
    <w:rsid w:val="007729CC"/>
    <w:rsid w:val="00772A7F"/>
    <w:rsid w:val="00772C23"/>
    <w:rsid w:val="00772D3F"/>
    <w:rsid w:val="00772F74"/>
    <w:rsid w:val="00773273"/>
    <w:rsid w:val="00773326"/>
    <w:rsid w:val="0077336C"/>
    <w:rsid w:val="007736E0"/>
    <w:rsid w:val="00773881"/>
    <w:rsid w:val="00773AC6"/>
    <w:rsid w:val="00773AE0"/>
    <w:rsid w:val="00773B76"/>
    <w:rsid w:val="00773B99"/>
    <w:rsid w:val="00773E5A"/>
    <w:rsid w:val="00773FDF"/>
    <w:rsid w:val="0077405E"/>
    <w:rsid w:val="007743DE"/>
    <w:rsid w:val="007745DF"/>
    <w:rsid w:val="0077463E"/>
    <w:rsid w:val="00774687"/>
    <w:rsid w:val="00774888"/>
    <w:rsid w:val="00774BA2"/>
    <w:rsid w:val="00774BD5"/>
    <w:rsid w:val="00774C1A"/>
    <w:rsid w:val="00774F80"/>
    <w:rsid w:val="00775160"/>
    <w:rsid w:val="00775241"/>
    <w:rsid w:val="007753B7"/>
    <w:rsid w:val="007755C2"/>
    <w:rsid w:val="0077562B"/>
    <w:rsid w:val="0077563D"/>
    <w:rsid w:val="00775D24"/>
    <w:rsid w:val="00775EB8"/>
    <w:rsid w:val="00776065"/>
    <w:rsid w:val="0077622A"/>
    <w:rsid w:val="007762E3"/>
    <w:rsid w:val="0077647F"/>
    <w:rsid w:val="00776494"/>
    <w:rsid w:val="007765F9"/>
    <w:rsid w:val="007766B7"/>
    <w:rsid w:val="00776703"/>
    <w:rsid w:val="007769A8"/>
    <w:rsid w:val="00776DD1"/>
    <w:rsid w:val="00776E9C"/>
    <w:rsid w:val="00776EDD"/>
    <w:rsid w:val="00776FA7"/>
    <w:rsid w:val="00777122"/>
    <w:rsid w:val="0077726A"/>
    <w:rsid w:val="00777270"/>
    <w:rsid w:val="0077736F"/>
    <w:rsid w:val="007774EA"/>
    <w:rsid w:val="0077766B"/>
    <w:rsid w:val="00777676"/>
    <w:rsid w:val="007777CC"/>
    <w:rsid w:val="00777919"/>
    <w:rsid w:val="0077792D"/>
    <w:rsid w:val="00777B10"/>
    <w:rsid w:val="00777C53"/>
    <w:rsid w:val="00777EFD"/>
    <w:rsid w:val="00777F75"/>
    <w:rsid w:val="00777F9B"/>
    <w:rsid w:val="00780011"/>
    <w:rsid w:val="00780474"/>
    <w:rsid w:val="007805A0"/>
    <w:rsid w:val="00780712"/>
    <w:rsid w:val="00780792"/>
    <w:rsid w:val="007809A0"/>
    <w:rsid w:val="00780B00"/>
    <w:rsid w:val="00780CAE"/>
    <w:rsid w:val="00780D36"/>
    <w:rsid w:val="00780E16"/>
    <w:rsid w:val="00780EE4"/>
    <w:rsid w:val="00781150"/>
    <w:rsid w:val="00781213"/>
    <w:rsid w:val="007813CE"/>
    <w:rsid w:val="007814B1"/>
    <w:rsid w:val="007815B6"/>
    <w:rsid w:val="00781683"/>
    <w:rsid w:val="0078182E"/>
    <w:rsid w:val="00781F6B"/>
    <w:rsid w:val="007820B2"/>
    <w:rsid w:val="007823FF"/>
    <w:rsid w:val="00782861"/>
    <w:rsid w:val="00782D53"/>
    <w:rsid w:val="00782E90"/>
    <w:rsid w:val="00783131"/>
    <w:rsid w:val="007832A5"/>
    <w:rsid w:val="00783373"/>
    <w:rsid w:val="0078346D"/>
    <w:rsid w:val="007836E1"/>
    <w:rsid w:val="007837EB"/>
    <w:rsid w:val="00783985"/>
    <w:rsid w:val="00783B1A"/>
    <w:rsid w:val="00783BD3"/>
    <w:rsid w:val="00783C03"/>
    <w:rsid w:val="00783C6C"/>
    <w:rsid w:val="00783CCF"/>
    <w:rsid w:val="00783D77"/>
    <w:rsid w:val="00783DA0"/>
    <w:rsid w:val="00783F81"/>
    <w:rsid w:val="00784069"/>
    <w:rsid w:val="007841BE"/>
    <w:rsid w:val="007842D8"/>
    <w:rsid w:val="00784372"/>
    <w:rsid w:val="007844A5"/>
    <w:rsid w:val="00784584"/>
    <w:rsid w:val="007845BB"/>
    <w:rsid w:val="007847E8"/>
    <w:rsid w:val="00784BF1"/>
    <w:rsid w:val="00784FA2"/>
    <w:rsid w:val="00785187"/>
    <w:rsid w:val="007853D2"/>
    <w:rsid w:val="00785523"/>
    <w:rsid w:val="007857A9"/>
    <w:rsid w:val="00785885"/>
    <w:rsid w:val="00785ADC"/>
    <w:rsid w:val="00785B27"/>
    <w:rsid w:val="00785BF9"/>
    <w:rsid w:val="00785C7F"/>
    <w:rsid w:val="00785D74"/>
    <w:rsid w:val="00785E8A"/>
    <w:rsid w:val="0078601A"/>
    <w:rsid w:val="00786163"/>
    <w:rsid w:val="007861B2"/>
    <w:rsid w:val="00786A12"/>
    <w:rsid w:val="00786A55"/>
    <w:rsid w:val="00786B4A"/>
    <w:rsid w:val="00786F00"/>
    <w:rsid w:val="007870FC"/>
    <w:rsid w:val="007872F3"/>
    <w:rsid w:val="007873AC"/>
    <w:rsid w:val="00787530"/>
    <w:rsid w:val="007877C3"/>
    <w:rsid w:val="007877D2"/>
    <w:rsid w:val="00787878"/>
    <w:rsid w:val="0078787D"/>
    <w:rsid w:val="00787A04"/>
    <w:rsid w:val="00787E1C"/>
    <w:rsid w:val="0079004E"/>
    <w:rsid w:val="0079024F"/>
    <w:rsid w:val="007902CE"/>
    <w:rsid w:val="007904DB"/>
    <w:rsid w:val="00790984"/>
    <w:rsid w:val="00790A98"/>
    <w:rsid w:val="00790B35"/>
    <w:rsid w:val="00790C5F"/>
    <w:rsid w:val="00790CE7"/>
    <w:rsid w:val="007912AD"/>
    <w:rsid w:val="00791831"/>
    <w:rsid w:val="00791A75"/>
    <w:rsid w:val="00791B65"/>
    <w:rsid w:val="00791C00"/>
    <w:rsid w:val="00791C17"/>
    <w:rsid w:val="00792124"/>
    <w:rsid w:val="00792234"/>
    <w:rsid w:val="007923CA"/>
    <w:rsid w:val="00792813"/>
    <w:rsid w:val="00792A4B"/>
    <w:rsid w:val="00792BC2"/>
    <w:rsid w:val="00792C66"/>
    <w:rsid w:val="00792C94"/>
    <w:rsid w:val="00792D29"/>
    <w:rsid w:val="00792D64"/>
    <w:rsid w:val="00792DF9"/>
    <w:rsid w:val="00792F6A"/>
    <w:rsid w:val="007933FE"/>
    <w:rsid w:val="007935F9"/>
    <w:rsid w:val="0079360A"/>
    <w:rsid w:val="0079379C"/>
    <w:rsid w:val="0079387B"/>
    <w:rsid w:val="007938E2"/>
    <w:rsid w:val="00793A0D"/>
    <w:rsid w:val="00793A36"/>
    <w:rsid w:val="00793B2D"/>
    <w:rsid w:val="00793C92"/>
    <w:rsid w:val="00793E49"/>
    <w:rsid w:val="00793EC8"/>
    <w:rsid w:val="0079403D"/>
    <w:rsid w:val="007940F0"/>
    <w:rsid w:val="00794178"/>
    <w:rsid w:val="00794460"/>
    <w:rsid w:val="0079449F"/>
    <w:rsid w:val="00794524"/>
    <w:rsid w:val="00794A16"/>
    <w:rsid w:val="00794B91"/>
    <w:rsid w:val="00794F11"/>
    <w:rsid w:val="0079509C"/>
    <w:rsid w:val="0079512E"/>
    <w:rsid w:val="00795131"/>
    <w:rsid w:val="00795295"/>
    <w:rsid w:val="00795328"/>
    <w:rsid w:val="00795376"/>
    <w:rsid w:val="00795656"/>
    <w:rsid w:val="00795666"/>
    <w:rsid w:val="00795867"/>
    <w:rsid w:val="00795A1E"/>
    <w:rsid w:val="00795A9E"/>
    <w:rsid w:val="00795D06"/>
    <w:rsid w:val="00795E6F"/>
    <w:rsid w:val="0079608F"/>
    <w:rsid w:val="007962F5"/>
    <w:rsid w:val="0079679E"/>
    <w:rsid w:val="007967C1"/>
    <w:rsid w:val="007969E7"/>
    <w:rsid w:val="00796AE4"/>
    <w:rsid w:val="00796BA7"/>
    <w:rsid w:val="00796C57"/>
    <w:rsid w:val="00796D52"/>
    <w:rsid w:val="00796EAE"/>
    <w:rsid w:val="00797130"/>
    <w:rsid w:val="007971D6"/>
    <w:rsid w:val="0079750A"/>
    <w:rsid w:val="0079758A"/>
    <w:rsid w:val="007978BC"/>
    <w:rsid w:val="00797A3F"/>
    <w:rsid w:val="00797E2A"/>
    <w:rsid w:val="007A06E3"/>
    <w:rsid w:val="007A073C"/>
    <w:rsid w:val="007A078F"/>
    <w:rsid w:val="007A0894"/>
    <w:rsid w:val="007A0A7C"/>
    <w:rsid w:val="007A0B6E"/>
    <w:rsid w:val="007A0CAD"/>
    <w:rsid w:val="007A10A5"/>
    <w:rsid w:val="007A10FE"/>
    <w:rsid w:val="007A112E"/>
    <w:rsid w:val="007A12B6"/>
    <w:rsid w:val="007A12C1"/>
    <w:rsid w:val="007A1317"/>
    <w:rsid w:val="007A149C"/>
    <w:rsid w:val="007A152B"/>
    <w:rsid w:val="007A153C"/>
    <w:rsid w:val="007A16F0"/>
    <w:rsid w:val="007A1979"/>
    <w:rsid w:val="007A1A0A"/>
    <w:rsid w:val="007A1A99"/>
    <w:rsid w:val="007A1BA5"/>
    <w:rsid w:val="007A1C23"/>
    <w:rsid w:val="007A1C26"/>
    <w:rsid w:val="007A1CBA"/>
    <w:rsid w:val="007A277D"/>
    <w:rsid w:val="007A29B1"/>
    <w:rsid w:val="007A2B4E"/>
    <w:rsid w:val="007A2CAB"/>
    <w:rsid w:val="007A2CDC"/>
    <w:rsid w:val="007A31C1"/>
    <w:rsid w:val="007A3287"/>
    <w:rsid w:val="007A3374"/>
    <w:rsid w:val="007A3501"/>
    <w:rsid w:val="007A36D2"/>
    <w:rsid w:val="007A3771"/>
    <w:rsid w:val="007A3786"/>
    <w:rsid w:val="007A38A0"/>
    <w:rsid w:val="007A3C9B"/>
    <w:rsid w:val="007A3D2F"/>
    <w:rsid w:val="007A3EA3"/>
    <w:rsid w:val="007A3EC8"/>
    <w:rsid w:val="007A4209"/>
    <w:rsid w:val="007A4259"/>
    <w:rsid w:val="007A4395"/>
    <w:rsid w:val="007A4447"/>
    <w:rsid w:val="007A44D6"/>
    <w:rsid w:val="007A475E"/>
    <w:rsid w:val="007A4B52"/>
    <w:rsid w:val="007A4BB0"/>
    <w:rsid w:val="007A4CF8"/>
    <w:rsid w:val="007A4D75"/>
    <w:rsid w:val="007A4E1B"/>
    <w:rsid w:val="007A4FE4"/>
    <w:rsid w:val="007A5042"/>
    <w:rsid w:val="007A50BE"/>
    <w:rsid w:val="007A5152"/>
    <w:rsid w:val="007A5200"/>
    <w:rsid w:val="007A53C9"/>
    <w:rsid w:val="007A54A5"/>
    <w:rsid w:val="007A5520"/>
    <w:rsid w:val="007A5543"/>
    <w:rsid w:val="007A56EA"/>
    <w:rsid w:val="007A57B1"/>
    <w:rsid w:val="007A59BB"/>
    <w:rsid w:val="007A5A62"/>
    <w:rsid w:val="007A5C4A"/>
    <w:rsid w:val="007A624B"/>
    <w:rsid w:val="007A629D"/>
    <w:rsid w:val="007A6421"/>
    <w:rsid w:val="007A67E2"/>
    <w:rsid w:val="007A6993"/>
    <w:rsid w:val="007A6CB5"/>
    <w:rsid w:val="007A6D2D"/>
    <w:rsid w:val="007A6D84"/>
    <w:rsid w:val="007A704A"/>
    <w:rsid w:val="007A7079"/>
    <w:rsid w:val="007A72AE"/>
    <w:rsid w:val="007A7371"/>
    <w:rsid w:val="007A74B5"/>
    <w:rsid w:val="007A7617"/>
    <w:rsid w:val="007A7875"/>
    <w:rsid w:val="007A78B1"/>
    <w:rsid w:val="007A790C"/>
    <w:rsid w:val="007B0059"/>
    <w:rsid w:val="007B0689"/>
    <w:rsid w:val="007B0AC9"/>
    <w:rsid w:val="007B0F09"/>
    <w:rsid w:val="007B11FF"/>
    <w:rsid w:val="007B12B1"/>
    <w:rsid w:val="007B15D4"/>
    <w:rsid w:val="007B1656"/>
    <w:rsid w:val="007B19F1"/>
    <w:rsid w:val="007B1D9D"/>
    <w:rsid w:val="007B1DA6"/>
    <w:rsid w:val="007B1EF0"/>
    <w:rsid w:val="007B206F"/>
    <w:rsid w:val="007B22EB"/>
    <w:rsid w:val="007B2338"/>
    <w:rsid w:val="007B2474"/>
    <w:rsid w:val="007B26A0"/>
    <w:rsid w:val="007B2870"/>
    <w:rsid w:val="007B2AB9"/>
    <w:rsid w:val="007B2B99"/>
    <w:rsid w:val="007B2F32"/>
    <w:rsid w:val="007B3143"/>
    <w:rsid w:val="007B35AC"/>
    <w:rsid w:val="007B36DD"/>
    <w:rsid w:val="007B3857"/>
    <w:rsid w:val="007B3902"/>
    <w:rsid w:val="007B39B5"/>
    <w:rsid w:val="007B3A62"/>
    <w:rsid w:val="007B3D3D"/>
    <w:rsid w:val="007B409C"/>
    <w:rsid w:val="007B40E1"/>
    <w:rsid w:val="007B441D"/>
    <w:rsid w:val="007B4482"/>
    <w:rsid w:val="007B46AF"/>
    <w:rsid w:val="007B47C1"/>
    <w:rsid w:val="007B481D"/>
    <w:rsid w:val="007B493D"/>
    <w:rsid w:val="007B49BD"/>
    <w:rsid w:val="007B49FD"/>
    <w:rsid w:val="007B4D81"/>
    <w:rsid w:val="007B4DF4"/>
    <w:rsid w:val="007B5518"/>
    <w:rsid w:val="007B551C"/>
    <w:rsid w:val="007B56A0"/>
    <w:rsid w:val="007B5779"/>
    <w:rsid w:val="007B58CE"/>
    <w:rsid w:val="007B58DD"/>
    <w:rsid w:val="007B59DD"/>
    <w:rsid w:val="007B5C28"/>
    <w:rsid w:val="007B5E0B"/>
    <w:rsid w:val="007B5E2C"/>
    <w:rsid w:val="007B5F29"/>
    <w:rsid w:val="007B5FC7"/>
    <w:rsid w:val="007B636B"/>
    <w:rsid w:val="007B657C"/>
    <w:rsid w:val="007B65BD"/>
    <w:rsid w:val="007B670E"/>
    <w:rsid w:val="007B6748"/>
    <w:rsid w:val="007B68F6"/>
    <w:rsid w:val="007B6C4E"/>
    <w:rsid w:val="007B6CB2"/>
    <w:rsid w:val="007B6CBA"/>
    <w:rsid w:val="007B6CBC"/>
    <w:rsid w:val="007B6D26"/>
    <w:rsid w:val="007B6F7A"/>
    <w:rsid w:val="007B7169"/>
    <w:rsid w:val="007B72C7"/>
    <w:rsid w:val="007B7361"/>
    <w:rsid w:val="007B74F1"/>
    <w:rsid w:val="007B7534"/>
    <w:rsid w:val="007B770B"/>
    <w:rsid w:val="007B7899"/>
    <w:rsid w:val="007B7EA1"/>
    <w:rsid w:val="007B7EA4"/>
    <w:rsid w:val="007B7F0D"/>
    <w:rsid w:val="007BF41F"/>
    <w:rsid w:val="007C0419"/>
    <w:rsid w:val="007C0992"/>
    <w:rsid w:val="007C0C98"/>
    <w:rsid w:val="007C1BC0"/>
    <w:rsid w:val="007C1C51"/>
    <w:rsid w:val="007C1C70"/>
    <w:rsid w:val="007C1E24"/>
    <w:rsid w:val="007C23CD"/>
    <w:rsid w:val="007C242E"/>
    <w:rsid w:val="007C24C4"/>
    <w:rsid w:val="007C24E9"/>
    <w:rsid w:val="007C2675"/>
    <w:rsid w:val="007C27D7"/>
    <w:rsid w:val="007C2802"/>
    <w:rsid w:val="007C28A2"/>
    <w:rsid w:val="007C2A36"/>
    <w:rsid w:val="007C2C44"/>
    <w:rsid w:val="007C2DD9"/>
    <w:rsid w:val="007C3057"/>
    <w:rsid w:val="007C32F9"/>
    <w:rsid w:val="007C3473"/>
    <w:rsid w:val="007C3506"/>
    <w:rsid w:val="007C3566"/>
    <w:rsid w:val="007C3AC5"/>
    <w:rsid w:val="007C3ACF"/>
    <w:rsid w:val="007C3D1F"/>
    <w:rsid w:val="007C43A5"/>
    <w:rsid w:val="007C45B6"/>
    <w:rsid w:val="007C45BB"/>
    <w:rsid w:val="007C4619"/>
    <w:rsid w:val="007C4CCE"/>
    <w:rsid w:val="007C4E17"/>
    <w:rsid w:val="007C50D5"/>
    <w:rsid w:val="007C528B"/>
    <w:rsid w:val="007C5360"/>
    <w:rsid w:val="007C53E2"/>
    <w:rsid w:val="007C5698"/>
    <w:rsid w:val="007C5771"/>
    <w:rsid w:val="007C58B7"/>
    <w:rsid w:val="007C5EB2"/>
    <w:rsid w:val="007C5EC5"/>
    <w:rsid w:val="007C63AE"/>
    <w:rsid w:val="007C67F3"/>
    <w:rsid w:val="007C6931"/>
    <w:rsid w:val="007C6AD5"/>
    <w:rsid w:val="007C7175"/>
    <w:rsid w:val="007C7305"/>
    <w:rsid w:val="007C7361"/>
    <w:rsid w:val="007C7505"/>
    <w:rsid w:val="007C795C"/>
    <w:rsid w:val="007C7DEF"/>
    <w:rsid w:val="007D0049"/>
    <w:rsid w:val="007D02EC"/>
    <w:rsid w:val="007D03C0"/>
    <w:rsid w:val="007D03FE"/>
    <w:rsid w:val="007D0651"/>
    <w:rsid w:val="007D0867"/>
    <w:rsid w:val="007D09EC"/>
    <w:rsid w:val="007D0BD1"/>
    <w:rsid w:val="007D0D25"/>
    <w:rsid w:val="007D0DA5"/>
    <w:rsid w:val="007D0E8A"/>
    <w:rsid w:val="007D10F1"/>
    <w:rsid w:val="007D13C0"/>
    <w:rsid w:val="007D13EA"/>
    <w:rsid w:val="007D150B"/>
    <w:rsid w:val="007D1867"/>
    <w:rsid w:val="007D1B95"/>
    <w:rsid w:val="007D1DC0"/>
    <w:rsid w:val="007D2047"/>
    <w:rsid w:val="007D219C"/>
    <w:rsid w:val="007D2200"/>
    <w:rsid w:val="007D2260"/>
    <w:rsid w:val="007D234D"/>
    <w:rsid w:val="007D23F4"/>
    <w:rsid w:val="007D25A8"/>
    <w:rsid w:val="007D2884"/>
    <w:rsid w:val="007D2AE4"/>
    <w:rsid w:val="007D2E98"/>
    <w:rsid w:val="007D30EF"/>
    <w:rsid w:val="007D332B"/>
    <w:rsid w:val="007D3560"/>
    <w:rsid w:val="007D3573"/>
    <w:rsid w:val="007D3910"/>
    <w:rsid w:val="007D396E"/>
    <w:rsid w:val="007D39FE"/>
    <w:rsid w:val="007D3B04"/>
    <w:rsid w:val="007D3C57"/>
    <w:rsid w:val="007D4072"/>
    <w:rsid w:val="007D4274"/>
    <w:rsid w:val="007D4537"/>
    <w:rsid w:val="007D475C"/>
    <w:rsid w:val="007D4EF4"/>
    <w:rsid w:val="007D5113"/>
    <w:rsid w:val="007D5205"/>
    <w:rsid w:val="007D5234"/>
    <w:rsid w:val="007D54BB"/>
    <w:rsid w:val="007D54F8"/>
    <w:rsid w:val="007D5524"/>
    <w:rsid w:val="007D5594"/>
    <w:rsid w:val="007D5654"/>
    <w:rsid w:val="007D5B31"/>
    <w:rsid w:val="007D5F4A"/>
    <w:rsid w:val="007D6293"/>
    <w:rsid w:val="007D632B"/>
    <w:rsid w:val="007D63B4"/>
    <w:rsid w:val="007D63F4"/>
    <w:rsid w:val="007D6447"/>
    <w:rsid w:val="007D65AE"/>
    <w:rsid w:val="007D6A4A"/>
    <w:rsid w:val="007D71F7"/>
    <w:rsid w:val="007D72CB"/>
    <w:rsid w:val="007D7342"/>
    <w:rsid w:val="007D741A"/>
    <w:rsid w:val="007D7699"/>
    <w:rsid w:val="007D78AC"/>
    <w:rsid w:val="007D795C"/>
    <w:rsid w:val="007D79F7"/>
    <w:rsid w:val="007D7A2C"/>
    <w:rsid w:val="007D7A3B"/>
    <w:rsid w:val="007D7B40"/>
    <w:rsid w:val="007D7B5C"/>
    <w:rsid w:val="007D7D8C"/>
    <w:rsid w:val="007D7E27"/>
    <w:rsid w:val="007D7FA1"/>
    <w:rsid w:val="007D7FFB"/>
    <w:rsid w:val="007E006C"/>
    <w:rsid w:val="007E02B1"/>
    <w:rsid w:val="007E0560"/>
    <w:rsid w:val="007E0716"/>
    <w:rsid w:val="007E08D7"/>
    <w:rsid w:val="007E0CFF"/>
    <w:rsid w:val="007E0DC3"/>
    <w:rsid w:val="007E0F43"/>
    <w:rsid w:val="007E0FE9"/>
    <w:rsid w:val="007E1018"/>
    <w:rsid w:val="007E1038"/>
    <w:rsid w:val="007E1897"/>
    <w:rsid w:val="007E19DD"/>
    <w:rsid w:val="007E1B7C"/>
    <w:rsid w:val="007E1DA7"/>
    <w:rsid w:val="007E1F21"/>
    <w:rsid w:val="007E200D"/>
    <w:rsid w:val="007E217A"/>
    <w:rsid w:val="007E21C9"/>
    <w:rsid w:val="007E24D7"/>
    <w:rsid w:val="007E251A"/>
    <w:rsid w:val="007E299A"/>
    <w:rsid w:val="007E318F"/>
    <w:rsid w:val="007E3638"/>
    <w:rsid w:val="007E3704"/>
    <w:rsid w:val="007E3A36"/>
    <w:rsid w:val="007E3B32"/>
    <w:rsid w:val="007E3E02"/>
    <w:rsid w:val="007E3F3E"/>
    <w:rsid w:val="007E4243"/>
    <w:rsid w:val="007E431E"/>
    <w:rsid w:val="007E4390"/>
    <w:rsid w:val="007E441F"/>
    <w:rsid w:val="007E47B9"/>
    <w:rsid w:val="007E5108"/>
    <w:rsid w:val="007E51F8"/>
    <w:rsid w:val="007E5347"/>
    <w:rsid w:val="007E5583"/>
    <w:rsid w:val="007E5855"/>
    <w:rsid w:val="007E5876"/>
    <w:rsid w:val="007E5D3C"/>
    <w:rsid w:val="007E6792"/>
    <w:rsid w:val="007E67D2"/>
    <w:rsid w:val="007E6E4A"/>
    <w:rsid w:val="007E6F5C"/>
    <w:rsid w:val="007E711C"/>
    <w:rsid w:val="007E72A7"/>
    <w:rsid w:val="007E72CC"/>
    <w:rsid w:val="007E73D1"/>
    <w:rsid w:val="007E747D"/>
    <w:rsid w:val="007E76C5"/>
    <w:rsid w:val="007E7CDB"/>
    <w:rsid w:val="007E7E2A"/>
    <w:rsid w:val="007E7F36"/>
    <w:rsid w:val="007F02EE"/>
    <w:rsid w:val="007F031C"/>
    <w:rsid w:val="007F0396"/>
    <w:rsid w:val="007F0644"/>
    <w:rsid w:val="007F08F5"/>
    <w:rsid w:val="007F0C38"/>
    <w:rsid w:val="007F0DFE"/>
    <w:rsid w:val="007F0EB4"/>
    <w:rsid w:val="007F1313"/>
    <w:rsid w:val="007F13E2"/>
    <w:rsid w:val="007F151A"/>
    <w:rsid w:val="007F15BA"/>
    <w:rsid w:val="007F15CC"/>
    <w:rsid w:val="007F16BC"/>
    <w:rsid w:val="007F182A"/>
    <w:rsid w:val="007F18CC"/>
    <w:rsid w:val="007F1E04"/>
    <w:rsid w:val="007F1FA8"/>
    <w:rsid w:val="007F20D4"/>
    <w:rsid w:val="007F20F6"/>
    <w:rsid w:val="007F22FF"/>
    <w:rsid w:val="007F2A8D"/>
    <w:rsid w:val="007F2DB0"/>
    <w:rsid w:val="007F2F08"/>
    <w:rsid w:val="007F2F95"/>
    <w:rsid w:val="007F31A9"/>
    <w:rsid w:val="007F32E3"/>
    <w:rsid w:val="007F34AA"/>
    <w:rsid w:val="007F3878"/>
    <w:rsid w:val="007F3912"/>
    <w:rsid w:val="007F3ED5"/>
    <w:rsid w:val="007F3EDA"/>
    <w:rsid w:val="007F42BD"/>
    <w:rsid w:val="007F449B"/>
    <w:rsid w:val="007F454F"/>
    <w:rsid w:val="007F4878"/>
    <w:rsid w:val="007F495D"/>
    <w:rsid w:val="007F4FF0"/>
    <w:rsid w:val="007F5603"/>
    <w:rsid w:val="007F562C"/>
    <w:rsid w:val="007F58AF"/>
    <w:rsid w:val="007F58D8"/>
    <w:rsid w:val="007F59A0"/>
    <w:rsid w:val="007F5A74"/>
    <w:rsid w:val="007F5D7A"/>
    <w:rsid w:val="007F6048"/>
    <w:rsid w:val="007F62B5"/>
    <w:rsid w:val="007F62FC"/>
    <w:rsid w:val="007F6535"/>
    <w:rsid w:val="007F686E"/>
    <w:rsid w:val="007F69AB"/>
    <w:rsid w:val="007F6A11"/>
    <w:rsid w:val="007F6A58"/>
    <w:rsid w:val="007F6B6B"/>
    <w:rsid w:val="007F6E5E"/>
    <w:rsid w:val="007F6FAA"/>
    <w:rsid w:val="007F7215"/>
    <w:rsid w:val="007F74AA"/>
    <w:rsid w:val="007F74D3"/>
    <w:rsid w:val="007F794F"/>
    <w:rsid w:val="007F7971"/>
    <w:rsid w:val="007F79C7"/>
    <w:rsid w:val="007F7BBC"/>
    <w:rsid w:val="007F7BEB"/>
    <w:rsid w:val="007F7C09"/>
    <w:rsid w:val="007F7C57"/>
    <w:rsid w:val="00800057"/>
    <w:rsid w:val="008001AE"/>
    <w:rsid w:val="008002F2"/>
    <w:rsid w:val="00800698"/>
    <w:rsid w:val="008009A2"/>
    <w:rsid w:val="008009FF"/>
    <w:rsid w:val="00800ECD"/>
    <w:rsid w:val="0080110A"/>
    <w:rsid w:val="008012DD"/>
    <w:rsid w:val="0080130D"/>
    <w:rsid w:val="0080177B"/>
    <w:rsid w:val="00801847"/>
    <w:rsid w:val="00801887"/>
    <w:rsid w:val="00801B20"/>
    <w:rsid w:val="00801C0A"/>
    <w:rsid w:val="00801DBA"/>
    <w:rsid w:val="00802365"/>
    <w:rsid w:val="0080249F"/>
    <w:rsid w:val="0080257B"/>
    <w:rsid w:val="0080260F"/>
    <w:rsid w:val="00802845"/>
    <w:rsid w:val="00802A5A"/>
    <w:rsid w:val="00802AA4"/>
    <w:rsid w:val="00802AF5"/>
    <w:rsid w:val="00802B98"/>
    <w:rsid w:val="00802BFC"/>
    <w:rsid w:val="00802C17"/>
    <w:rsid w:val="00802C23"/>
    <w:rsid w:val="00802C81"/>
    <w:rsid w:val="00802D4B"/>
    <w:rsid w:val="00802F36"/>
    <w:rsid w:val="00802F4D"/>
    <w:rsid w:val="00802F6D"/>
    <w:rsid w:val="00802F70"/>
    <w:rsid w:val="0080322D"/>
    <w:rsid w:val="008033F9"/>
    <w:rsid w:val="00803540"/>
    <w:rsid w:val="00803963"/>
    <w:rsid w:val="00803A4C"/>
    <w:rsid w:val="00803CE5"/>
    <w:rsid w:val="00803E76"/>
    <w:rsid w:val="00804243"/>
    <w:rsid w:val="008045F0"/>
    <w:rsid w:val="0080478F"/>
    <w:rsid w:val="00804830"/>
    <w:rsid w:val="00804930"/>
    <w:rsid w:val="00804956"/>
    <w:rsid w:val="00804A70"/>
    <w:rsid w:val="00804ACC"/>
    <w:rsid w:val="00804DEC"/>
    <w:rsid w:val="00804E28"/>
    <w:rsid w:val="0080514D"/>
    <w:rsid w:val="00805391"/>
    <w:rsid w:val="0080550C"/>
    <w:rsid w:val="008055B7"/>
    <w:rsid w:val="00805658"/>
    <w:rsid w:val="008056CF"/>
    <w:rsid w:val="0080596B"/>
    <w:rsid w:val="00805AD0"/>
    <w:rsid w:val="00805E5C"/>
    <w:rsid w:val="00806046"/>
    <w:rsid w:val="00806056"/>
    <w:rsid w:val="0080611E"/>
    <w:rsid w:val="00806151"/>
    <w:rsid w:val="00806401"/>
    <w:rsid w:val="00806451"/>
    <w:rsid w:val="0080659F"/>
    <w:rsid w:val="00806B28"/>
    <w:rsid w:val="00806CFA"/>
    <w:rsid w:val="00806FA1"/>
    <w:rsid w:val="0080724A"/>
    <w:rsid w:val="008072D1"/>
    <w:rsid w:val="0080733A"/>
    <w:rsid w:val="00807393"/>
    <w:rsid w:val="00807585"/>
    <w:rsid w:val="0080790B"/>
    <w:rsid w:val="00807952"/>
    <w:rsid w:val="00807E04"/>
    <w:rsid w:val="008100D2"/>
    <w:rsid w:val="008103AD"/>
    <w:rsid w:val="00810895"/>
    <w:rsid w:val="00810C77"/>
    <w:rsid w:val="00810CF7"/>
    <w:rsid w:val="00810EB2"/>
    <w:rsid w:val="00810EBD"/>
    <w:rsid w:val="0081129E"/>
    <w:rsid w:val="0081178E"/>
    <w:rsid w:val="008117C5"/>
    <w:rsid w:val="00811823"/>
    <w:rsid w:val="0081182A"/>
    <w:rsid w:val="00811D39"/>
    <w:rsid w:val="0081244D"/>
    <w:rsid w:val="008127B5"/>
    <w:rsid w:val="008127BC"/>
    <w:rsid w:val="008127FB"/>
    <w:rsid w:val="00812E35"/>
    <w:rsid w:val="0081300A"/>
    <w:rsid w:val="00813354"/>
    <w:rsid w:val="0081344F"/>
    <w:rsid w:val="008136FA"/>
    <w:rsid w:val="00813B58"/>
    <w:rsid w:val="00813F04"/>
    <w:rsid w:val="0081429A"/>
    <w:rsid w:val="0081442D"/>
    <w:rsid w:val="008148ED"/>
    <w:rsid w:val="00814B42"/>
    <w:rsid w:val="00814C22"/>
    <w:rsid w:val="00814F1E"/>
    <w:rsid w:val="00814FCB"/>
    <w:rsid w:val="00815168"/>
    <w:rsid w:val="008154E2"/>
    <w:rsid w:val="00815513"/>
    <w:rsid w:val="0081568E"/>
    <w:rsid w:val="00815922"/>
    <w:rsid w:val="00815EDC"/>
    <w:rsid w:val="0081620C"/>
    <w:rsid w:val="008162D9"/>
    <w:rsid w:val="00816462"/>
    <w:rsid w:val="008168F0"/>
    <w:rsid w:val="00816E28"/>
    <w:rsid w:val="00816FB2"/>
    <w:rsid w:val="00817117"/>
    <w:rsid w:val="0081726E"/>
    <w:rsid w:val="00817286"/>
    <w:rsid w:val="0081757C"/>
    <w:rsid w:val="00817622"/>
    <w:rsid w:val="00817A46"/>
    <w:rsid w:val="00817A85"/>
    <w:rsid w:val="00817B09"/>
    <w:rsid w:val="00817C22"/>
    <w:rsid w:val="00817F62"/>
    <w:rsid w:val="0082032D"/>
    <w:rsid w:val="0082032E"/>
    <w:rsid w:val="008204F3"/>
    <w:rsid w:val="0082061A"/>
    <w:rsid w:val="008207BD"/>
    <w:rsid w:val="008208DF"/>
    <w:rsid w:val="00820A97"/>
    <w:rsid w:val="00820CB8"/>
    <w:rsid w:val="00820D93"/>
    <w:rsid w:val="00820DCF"/>
    <w:rsid w:val="00820FDC"/>
    <w:rsid w:val="008210C3"/>
    <w:rsid w:val="008211A1"/>
    <w:rsid w:val="0082159F"/>
    <w:rsid w:val="0082199F"/>
    <w:rsid w:val="00821A3B"/>
    <w:rsid w:val="00821B14"/>
    <w:rsid w:val="00821CF8"/>
    <w:rsid w:val="00821E9E"/>
    <w:rsid w:val="00821F63"/>
    <w:rsid w:val="00822131"/>
    <w:rsid w:val="00822302"/>
    <w:rsid w:val="00822610"/>
    <w:rsid w:val="00822A55"/>
    <w:rsid w:val="00822D16"/>
    <w:rsid w:val="00822DB0"/>
    <w:rsid w:val="00822FA3"/>
    <w:rsid w:val="00823043"/>
    <w:rsid w:val="008233D7"/>
    <w:rsid w:val="008236E0"/>
    <w:rsid w:val="00823835"/>
    <w:rsid w:val="00823B30"/>
    <w:rsid w:val="00823B6C"/>
    <w:rsid w:val="00823E80"/>
    <w:rsid w:val="00823F70"/>
    <w:rsid w:val="0082401B"/>
    <w:rsid w:val="00824299"/>
    <w:rsid w:val="008244C9"/>
    <w:rsid w:val="0082451D"/>
    <w:rsid w:val="0082459A"/>
    <w:rsid w:val="008245AC"/>
    <w:rsid w:val="008246B0"/>
    <w:rsid w:val="00824BD2"/>
    <w:rsid w:val="00824BE2"/>
    <w:rsid w:val="00824C86"/>
    <w:rsid w:val="00824D20"/>
    <w:rsid w:val="00824EB4"/>
    <w:rsid w:val="00825133"/>
    <w:rsid w:val="008251D3"/>
    <w:rsid w:val="0082525A"/>
    <w:rsid w:val="008253B4"/>
    <w:rsid w:val="008253CD"/>
    <w:rsid w:val="008253DE"/>
    <w:rsid w:val="00825574"/>
    <w:rsid w:val="0082564D"/>
    <w:rsid w:val="0082579C"/>
    <w:rsid w:val="008257B8"/>
    <w:rsid w:val="008258C5"/>
    <w:rsid w:val="00825990"/>
    <w:rsid w:val="00825BEB"/>
    <w:rsid w:val="00825BF3"/>
    <w:rsid w:val="00825D56"/>
    <w:rsid w:val="00825F66"/>
    <w:rsid w:val="0082607A"/>
    <w:rsid w:val="00826554"/>
    <w:rsid w:val="008265F4"/>
    <w:rsid w:val="00826658"/>
    <w:rsid w:val="00826721"/>
    <w:rsid w:val="00826841"/>
    <w:rsid w:val="0082686A"/>
    <w:rsid w:val="00826A2E"/>
    <w:rsid w:val="00826A9A"/>
    <w:rsid w:val="00826AC5"/>
    <w:rsid w:val="00826CAD"/>
    <w:rsid w:val="0082742F"/>
    <w:rsid w:val="008279D8"/>
    <w:rsid w:val="00827ACC"/>
    <w:rsid w:val="00827C3D"/>
    <w:rsid w:val="00827D1D"/>
    <w:rsid w:val="00827D9D"/>
    <w:rsid w:val="008304F8"/>
    <w:rsid w:val="00830611"/>
    <w:rsid w:val="00830755"/>
    <w:rsid w:val="0083089A"/>
    <w:rsid w:val="00830909"/>
    <w:rsid w:val="00830D2E"/>
    <w:rsid w:val="00830DD0"/>
    <w:rsid w:val="00830FD6"/>
    <w:rsid w:val="0083104E"/>
    <w:rsid w:val="00831084"/>
    <w:rsid w:val="0083117B"/>
    <w:rsid w:val="008311B9"/>
    <w:rsid w:val="0083131C"/>
    <w:rsid w:val="00831486"/>
    <w:rsid w:val="008314FC"/>
    <w:rsid w:val="008314FD"/>
    <w:rsid w:val="00831766"/>
    <w:rsid w:val="00831900"/>
    <w:rsid w:val="0083190A"/>
    <w:rsid w:val="00831964"/>
    <w:rsid w:val="0083197F"/>
    <w:rsid w:val="00831B74"/>
    <w:rsid w:val="00831F81"/>
    <w:rsid w:val="00831FD0"/>
    <w:rsid w:val="00832048"/>
    <w:rsid w:val="0083216B"/>
    <w:rsid w:val="00832184"/>
    <w:rsid w:val="008322CF"/>
    <w:rsid w:val="00832329"/>
    <w:rsid w:val="008324AB"/>
    <w:rsid w:val="0083257F"/>
    <w:rsid w:val="008325E8"/>
    <w:rsid w:val="00832A0D"/>
    <w:rsid w:val="00832A11"/>
    <w:rsid w:val="00832AB5"/>
    <w:rsid w:val="00832AE4"/>
    <w:rsid w:val="00832FD0"/>
    <w:rsid w:val="00833058"/>
    <w:rsid w:val="008331A4"/>
    <w:rsid w:val="00833236"/>
    <w:rsid w:val="00833A64"/>
    <w:rsid w:val="00833AAE"/>
    <w:rsid w:val="00833B66"/>
    <w:rsid w:val="00833B9E"/>
    <w:rsid w:val="00834131"/>
    <w:rsid w:val="008345C1"/>
    <w:rsid w:val="008345FE"/>
    <w:rsid w:val="008346EB"/>
    <w:rsid w:val="00834824"/>
    <w:rsid w:val="0083498E"/>
    <w:rsid w:val="00834AC1"/>
    <w:rsid w:val="00835081"/>
    <w:rsid w:val="008356D4"/>
    <w:rsid w:val="008356F2"/>
    <w:rsid w:val="0083571F"/>
    <w:rsid w:val="0083579F"/>
    <w:rsid w:val="008357AE"/>
    <w:rsid w:val="00835A25"/>
    <w:rsid w:val="00835A6F"/>
    <w:rsid w:val="00835BA9"/>
    <w:rsid w:val="00835C14"/>
    <w:rsid w:val="00835DB6"/>
    <w:rsid w:val="00835DC8"/>
    <w:rsid w:val="00835E5F"/>
    <w:rsid w:val="008360C9"/>
    <w:rsid w:val="008361DC"/>
    <w:rsid w:val="008364F3"/>
    <w:rsid w:val="008365B2"/>
    <w:rsid w:val="00836695"/>
    <w:rsid w:val="0083689F"/>
    <w:rsid w:val="00836953"/>
    <w:rsid w:val="00836993"/>
    <w:rsid w:val="00836A6E"/>
    <w:rsid w:val="00836ADC"/>
    <w:rsid w:val="00836B52"/>
    <w:rsid w:val="00836C2E"/>
    <w:rsid w:val="00836CCB"/>
    <w:rsid w:val="00836D0A"/>
    <w:rsid w:val="00836D1C"/>
    <w:rsid w:val="00836EE8"/>
    <w:rsid w:val="00837084"/>
    <w:rsid w:val="0083718E"/>
    <w:rsid w:val="008373A3"/>
    <w:rsid w:val="0083763C"/>
    <w:rsid w:val="008376B5"/>
    <w:rsid w:val="0083793C"/>
    <w:rsid w:val="00837D99"/>
    <w:rsid w:val="00837DFC"/>
    <w:rsid w:val="0084006B"/>
    <w:rsid w:val="008400A5"/>
    <w:rsid w:val="00840341"/>
    <w:rsid w:val="008405C1"/>
    <w:rsid w:val="0084073D"/>
    <w:rsid w:val="00840864"/>
    <w:rsid w:val="00840AA3"/>
    <w:rsid w:val="00840AAE"/>
    <w:rsid w:val="00840CA2"/>
    <w:rsid w:val="00840F4D"/>
    <w:rsid w:val="00840F78"/>
    <w:rsid w:val="00841049"/>
    <w:rsid w:val="00841112"/>
    <w:rsid w:val="0084139A"/>
    <w:rsid w:val="00841519"/>
    <w:rsid w:val="00841648"/>
    <w:rsid w:val="008419B9"/>
    <w:rsid w:val="00841A7F"/>
    <w:rsid w:val="00841B54"/>
    <w:rsid w:val="00842201"/>
    <w:rsid w:val="0084277A"/>
    <w:rsid w:val="0084285C"/>
    <w:rsid w:val="0084287F"/>
    <w:rsid w:val="00842A86"/>
    <w:rsid w:val="00842C75"/>
    <w:rsid w:val="00842D9B"/>
    <w:rsid w:val="008430E6"/>
    <w:rsid w:val="00843159"/>
    <w:rsid w:val="00843236"/>
    <w:rsid w:val="00843275"/>
    <w:rsid w:val="008432D5"/>
    <w:rsid w:val="00843483"/>
    <w:rsid w:val="00843540"/>
    <w:rsid w:val="00843843"/>
    <w:rsid w:val="0084393C"/>
    <w:rsid w:val="00843992"/>
    <w:rsid w:val="00843B14"/>
    <w:rsid w:val="00843DBF"/>
    <w:rsid w:val="00843E01"/>
    <w:rsid w:val="00843E24"/>
    <w:rsid w:val="00843FB8"/>
    <w:rsid w:val="00843FBF"/>
    <w:rsid w:val="0084441C"/>
    <w:rsid w:val="008444FE"/>
    <w:rsid w:val="00844517"/>
    <w:rsid w:val="00844701"/>
    <w:rsid w:val="008447E1"/>
    <w:rsid w:val="0084486B"/>
    <w:rsid w:val="008449F9"/>
    <w:rsid w:val="00844B47"/>
    <w:rsid w:val="00844C38"/>
    <w:rsid w:val="00844ED3"/>
    <w:rsid w:val="00844F52"/>
    <w:rsid w:val="008450FC"/>
    <w:rsid w:val="008452F0"/>
    <w:rsid w:val="0084545D"/>
    <w:rsid w:val="00845489"/>
    <w:rsid w:val="0084568E"/>
    <w:rsid w:val="008456C2"/>
    <w:rsid w:val="00845A00"/>
    <w:rsid w:val="00846220"/>
    <w:rsid w:val="00846270"/>
    <w:rsid w:val="008465C3"/>
    <w:rsid w:val="0084676A"/>
    <w:rsid w:val="00846E7F"/>
    <w:rsid w:val="00846F2D"/>
    <w:rsid w:val="00847572"/>
    <w:rsid w:val="008475EB"/>
    <w:rsid w:val="008476AE"/>
    <w:rsid w:val="0084798E"/>
    <w:rsid w:val="00847A3D"/>
    <w:rsid w:val="00847D0F"/>
    <w:rsid w:val="00847DAC"/>
    <w:rsid w:val="00847EB6"/>
    <w:rsid w:val="0084874D"/>
    <w:rsid w:val="008500D4"/>
    <w:rsid w:val="00850199"/>
    <w:rsid w:val="00850205"/>
    <w:rsid w:val="0085027C"/>
    <w:rsid w:val="008503F9"/>
    <w:rsid w:val="0085062C"/>
    <w:rsid w:val="00850656"/>
    <w:rsid w:val="00850731"/>
    <w:rsid w:val="008507C5"/>
    <w:rsid w:val="008507EC"/>
    <w:rsid w:val="00850880"/>
    <w:rsid w:val="008509F2"/>
    <w:rsid w:val="00850ABA"/>
    <w:rsid w:val="00850B20"/>
    <w:rsid w:val="00850D46"/>
    <w:rsid w:val="00850D59"/>
    <w:rsid w:val="008512CA"/>
    <w:rsid w:val="00851766"/>
    <w:rsid w:val="00851824"/>
    <w:rsid w:val="00851919"/>
    <w:rsid w:val="008519F9"/>
    <w:rsid w:val="00851A74"/>
    <w:rsid w:val="00851AB7"/>
    <w:rsid w:val="00851E72"/>
    <w:rsid w:val="00852188"/>
    <w:rsid w:val="0085221C"/>
    <w:rsid w:val="008526C2"/>
    <w:rsid w:val="00852869"/>
    <w:rsid w:val="008528CA"/>
    <w:rsid w:val="00852A04"/>
    <w:rsid w:val="00852A39"/>
    <w:rsid w:val="00852A5A"/>
    <w:rsid w:val="00852B71"/>
    <w:rsid w:val="00852C54"/>
    <w:rsid w:val="00852F30"/>
    <w:rsid w:val="008532F9"/>
    <w:rsid w:val="0085333C"/>
    <w:rsid w:val="008533BD"/>
    <w:rsid w:val="0085350A"/>
    <w:rsid w:val="0085371A"/>
    <w:rsid w:val="008538CD"/>
    <w:rsid w:val="00853945"/>
    <w:rsid w:val="00853B89"/>
    <w:rsid w:val="00853E01"/>
    <w:rsid w:val="00853E08"/>
    <w:rsid w:val="00853E3D"/>
    <w:rsid w:val="00853EBE"/>
    <w:rsid w:val="00854060"/>
    <w:rsid w:val="008542F9"/>
    <w:rsid w:val="00854582"/>
    <w:rsid w:val="008545E0"/>
    <w:rsid w:val="00854C8D"/>
    <w:rsid w:val="00854D88"/>
    <w:rsid w:val="00854E47"/>
    <w:rsid w:val="0085502B"/>
    <w:rsid w:val="00855107"/>
    <w:rsid w:val="00855170"/>
    <w:rsid w:val="0085518E"/>
    <w:rsid w:val="008551B7"/>
    <w:rsid w:val="00855391"/>
    <w:rsid w:val="008555F2"/>
    <w:rsid w:val="0085593B"/>
    <w:rsid w:val="0085599F"/>
    <w:rsid w:val="00855A61"/>
    <w:rsid w:val="00855F49"/>
    <w:rsid w:val="008561DE"/>
    <w:rsid w:val="00856322"/>
    <w:rsid w:val="008564D7"/>
    <w:rsid w:val="00856566"/>
    <w:rsid w:val="00856666"/>
    <w:rsid w:val="0085677B"/>
    <w:rsid w:val="00856A53"/>
    <w:rsid w:val="00856AA0"/>
    <w:rsid w:val="00856B75"/>
    <w:rsid w:val="00856D34"/>
    <w:rsid w:val="008570BA"/>
    <w:rsid w:val="0085730E"/>
    <w:rsid w:val="0085740C"/>
    <w:rsid w:val="008575A0"/>
    <w:rsid w:val="00857614"/>
    <w:rsid w:val="00857815"/>
    <w:rsid w:val="008578E1"/>
    <w:rsid w:val="00857BC7"/>
    <w:rsid w:val="00857EEB"/>
    <w:rsid w:val="00857F0A"/>
    <w:rsid w:val="0086031A"/>
    <w:rsid w:val="00860456"/>
    <w:rsid w:val="0086049C"/>
    <w:rsid w:val="00860A62"/>
    <w:rsid w:val="00860AFB"/>
    <w:rsid w:val="00860CE7"/>
    <w:rsid w:val="00860E9A"/>
    <w:rsid w:val="00860FB2"/>
    <w:rsid w:val="0086122C"/>
    <w:rsid w:val="0086144B"/>
    <w:rsid w:val="00861A5F"/>
    <w:rsid w:val="00861A70"/>
    <w:rsid w:val="00861D59"/>
    <w:rsid w:val="008623D9"/>
    <w:rsid w:val="00862757"/>
    <w:rsid w:val="008628CC"/>
    <w:rsid w:val="008629B1"/>
    <w:rsid w:val="00862AE0"/>
    <w:rsid w:val="00862B7A"/>
    <w:rsid w:val="00862B8F"/>
    <w:rsid w:val="00862C95"/>
    <w:rsid w:val="00862CAA"/>
    <w:rsid w:val="00862D2F"/>
    <w:rsid w:val="00862FEC"/>
    <w:rsid w:val="00863076"/>
    <w:rsid w:val="008630D8"/>
    <w:rsid w:val="00863234"/>
    <w:rsid w:val="00863277"/>
    <w:rsid w:val="008635DB"/>
    <w:rsid w:val="008635FC"/>
    <w:rsid w:val="00863C6C"/>
    <w:rsid w:val="00863CB8"/>
    <w:rsid w:val="00863E8E"/>
    <w:rsid w:val="00863F9A"/>
    <w:rsid w:val="00864080"/>
    <w:rsid w:val="00864112"/>
    <w:rsid w:val="0086423B"/>
    <w:rsid w:val="0086435F"/>
    <w:rsid w:val="00864599"/>
    <w:rsid w:val="00864C18"/>
    <w:rsid w:val="00864E01"/>
    <w:rsid w:val="008650B5"/>
    <w:rsid w:val="0086525D"/>
    <w:rsid w:val="0086536D"/>
    <w:rsid w:val="008658C4"/>
    <w:rsid w:val="00865A2F"/>
    <w:rsid w:val="00865DBB"/>
    <w:rsid w:val="00865EBA"/>
    <w:rsid w:val="00865EC0"/>
    <w:rsid w:val="0086623D"/>
    <w:rsid w:val="00866314"/>
    <w:rsid w:val="00866674"/>
    <w:rsid w:val="00866721"/>
    <w:rsid w:val="008669C4"/>
    <w:rsid w:val="00866C42"/>
    <w:rsid w:val="00866D1D"/>
    <w:rsid w:val="00866F69"/>
    <w:rsid w:val="00867527"/>
    <w:rsid w:val="008676CD"/>
    <w:rsid w:val="008676E8"/>
    <w:rsid w:val="008676F9"/>
    <w:rsid w:val="00867A38"/>
    <w:rsid w:val="00867C3E"/>
    <w:rsid w:val="00870130"/>
    <w:rsid w:val="0087045E"/>
    <w:rsid w:val="0087077C"/>
    <w:rsid w:val="0087082C"/>
    <w:rsid w:val="00870895"/>
    <w:rsid w:val="00870911"/>
    <w:rsid w:val="00870BF4"/>
    <w:rsid w:val="00870D67"/>
    <w:rsid w:val="00870E5A"/>
    <w:rsid w:val="00870EA5"/>
    <w:rsid w:val="00870F6F"/>
    <w:rsid w:val="00870F96"/>
    <w:rsid w:val="00870FBD"/>
    <w:rsid w:val="008711A4"/>
    <w:rsid w:val="0087151E"/>
    <w:rsid w:val="00871ADE"/>
    <w:rsid w:val="00871AF7"/>
    <w:rsid w:val="00871FCC"/>
    <w:rsid w:val="00872040"/>
    <w:rsid w:val="00872101"/>
    <w:rsid w:val="00872372"/>
    <w:rsid w:val="008723E0"/>
    <w:rsid w:val="00872502"/>
    <w:rsid w:val="0087279B"/>
    <w:rsid w:val="00872889"/>
    <w:rsid w:val="00872974"/>
    <w:rsid w:val="00872AE7"/>
    <w:rsid w:val="00872DFD"/>
    <w:rsid w:val="00872F16"/>
    <w:rsid w:val="00873348"/>
    <w:rsid w:val="008733A9"/>
    <w:rsid w:val="00873582"/>
    <w:rsid w:val="0087364C"/>
    <w:rsid w:val="008736FB"/>
    <w:rsid w:val="00873798"/>
    <w:rsid w:val="008739E9"/>
    <w:rsid w:val="00873A42"/>
    <w:rsid w:val="00873BC3"/>
    <w:rsid w:val="00873E48"/>
    <w:rsid w:val="00873E7B"/>
    <w:rsid w:val="00873F8C"/>
    <w:rsid w:val="008740AC"/>
    <w:rsid w:val="00874347"/>
    <w:rsid w:val="008743E7"/>
    <w:rsid w:val="008746F2"/>
    <w:rsid w:val="008747FF"/>
    <w:rsid w:val="0087480B"/>
    <w:rsid w:val="008749D1"/>
    <w:rsid w:val="00874BCF"/>
    <w:rsid w:val="00874C98"/>
    <w:rsid w:val="00874D39"/>
    <w:rsid w:val="00874EBA"/>
    <w:rsid w:val="00874EFD"/>
    <w:rsid w:val="008752E5"/>
    <w:rsid w:val="0087533A"/>
    <w:rsid w:val="0087542A"/>
    <w:rsid w:val="00875848"/>
    <w:rsid w:val="00875893"/>
    <w:rsid w:val="00875A17"/>
    <w:rsid w:val="00875B13"/>
    <w:rsid w:val="008765AB"/>
    <w:rsid w:val="008766B4"/>
    <w:rsid w:val="008769E1"/>
    <w:rsid w:val="00876A42"/>
    <w:rsid w:val="00876B7E"/>
    <w:rsid w:val="00876DE3"/>
    <w:rsid w:val="0087727C"/>
    <w:rsid w:val="008772BE"/>
    <w:rsid w:val="0087740B"/>
    <w:rsid w:val="008775E9"/>
    <w:rsid w:val="008778E3"/>
    <w:rsid w:val="00877BEC"/>
    <w:rsid w:val="0088062F"/>
    <w:rsid w:val="00880918"/>
    <w:rsid w:val="00880AB6"/>
    <w:rsid w:val="00880C99"/>
    <w:rsid w:val="00880CD1"/>
    <w:rsid w:val="00880D76"/>
    <w:rsid w:val="00881000"/>
    <w:rsid w:val="008817F2"/>
    <w:rsid w:val="00881C69"/>
    <w:rsid w:val="008822A9"/>
    <w:rsid w:val="008822CB"/>
    <w:rsid w:val="00882531"/>
    <w:rsid w:val="00882A82"/>
    <w:rsid w:val="00882AEB"/>
    <w:rsid w:val="00882DF2"/>
    <w:rsid w:val="00882E92"/>
    <w:rsid w:val="00882E94"/>
    <w:rsid w:val="00882F68"/>
    <w:rsid w:val="00883420"/>
    <w:rsid w:val="00883733"/>
    <w:rsid w:val="008838B3"/>
    <w:rsid w:val="008838EF"/>
    <w:rsid w:val="00883A4D"/>
    <w:rsid w:val="00883B17"/>
    <w:rsid w:val="00883FA1"/>
    <w:rsid w:val="0088422E"/>
    <w:rsid w:val="00884679"/>
    <w:rsid w:val="008846A8"/>
    <w:rsid w:val="0088487B"/>
    <w:rsid w:val="00884A98"/>
    <w:rsid w:val="00884BE1"/>
    <w:rsid w:val="00884D38"/>
    <w:rsid w:val="00884EDE"/>
    <w:rsid w:val="00884F16"/>
    <w:rsid w:val="0088562F"/>
    <w:rsid w:val="00885800"/>
    <w:rsid w:val="008859A8"/>
    <w:rsid w:val="00885A21"/>
    <w:rsid w:val="00885ACA"/>
    <w:rsid w:val="00885B76"/>
    <w:rsid w:val="00885B90"/>
    <w:rsid w:val="00885C32"/>
    <w:rsid w:val="00885D08"/>
    <w:rsid w:val="00885DFF"/>
    <w:rsid w:val="00885FD0"/>
    <w:rsid w:val="008864A5"/>
    <w:rsid w:val="008864D8"/>
    <w:rsid w:val="008864E0"/>
    <w:rsid w:val="0088653D"/>
    <w:rsid w:val="0088676C"/>
    <w:rsid w:val="00886818"/>
    <w:rsid w:val="00886AC3"/>
    <w:rsid w:val="00886CBC"/>
    <w:rsid w:val="00886CE2"/>
    <w:rsid w:val="00887168"/>
    <w:rsid w:val="008871A0"/>
    <w:rsid w:val="0088761D"/>
    <w:rsid w:val="008876C3"/>
    <w:rsid w:val="008876E4"/>
    <w:rsid w:val="0088778D"/>
    <w:rsid w:val="0088792F"/>
    <w:rsid w:val="00887A89"/>
    <w:rsid w:val="008902E6"/>
    <w:rsid w:val="008902FA"/>
    <w:rsid w:val="00890417"/>
    <w:rsid w:val="00890567"/>
    <w:rsid w:val="00890E38"/>
    <w:rsid w:val="00891089"/>
    <w:rsid w:val="00891250"/>
    <w:rsid w:val="00891280"/>
    <w:rsid w:val="008912D8"/>
    <w:rsid w:val="0089149C"/>
    <w:rsid w:val="008915BE"/>
    <w:rsid w:val="00891638"/>
    <w:rsid w:val="00891926"/>
    <w:rsid w:val="008919D2"/>
    <w:rsid w:val="00891AE1"/>
    <w:rsid w:val="00892045"/>
    <w:rsid w:val="008920E6"/>
    <w:rsid w:val="00892499"/>
    <w:rsid w:val="008926AB"/>
    <w:rsid w:val="00892781"/>
    <w:rsid w:val="0089288A"/>
    <w:rsid w:val="00892900"/>
    <w:rsid w:val="00892BEE"/>
    <w:rsid w:val="00892F4D"/>
    <w:rsid w:val="00893008"/>
    <w:rsid w:val="00893166"/>
    <w:rsid w:val="008932C0"/>
    <w:rsid w:val="00893462"/>
    <w:rsid w:val="008934B7"/>
    <w:rsid w:val="008935FD"/>
    <w:rsid w:val="008937B6"/>
    <w:rsid w:val="00893819"/>
    <w:rsid w:val="0089394F"/>
    <w:rsid w:val="00893B7D"/>
    <w:rsid w:val="00893D64"/>
    <w:rsid w:val="00893E52"/>
    <w:rsid w:val="00893FE2"/>
    <w:rsid w:val="0089422D"/>
    <w:rsid w:val="00894287"/>
    <w:rsid w:val="008948F6"/>
    <w:rsid w:val="00894E2E"/>
    <w:rsid w:val="00894E9F"/>
    <w:rsid w:val="00895030"/>
    <w:rsid w:val="0089508E"/>
    <w:rsid w:val="00895288"/>
    <w:rsid w:val="0089559C"/>
    <w:rsid w:val="0089594C"/>
    <w:rsid w:val="008959F6"/>
    <w:rsid w:val="00895A6D"/>
    <w:rsid w:val="00895ABD"/>
    <w:rsid w:val="00895C70"/>
    <w:rsid w:val="00895CFA"/>
    <w:rsid w:val="00895D84"/>
    <w:rsid w:val="00895F06"/>
    <w:rsid w:val="00895F29"/>
    <w:rsid w:val="0089610A"/>
    <w:rsid w:val="00896523"/>
    <w:rsid w:val="008965CD"/>
    <w:rsid w:val="00896727"/>
    <w:rsid w:val="00896812"/>
    <w:rsid w:val="0089687F"/>
    <w:rsid w:val="00896BA1"/>
    <w:rsid w:val="00896CA4"/>
    <w:rsid w:val="0089728C"/>
    <w:rsid w:val="00897595"/>
    <w:rsid w:val="00897739"/>
    <w:rsid w:val="008978E2"/>
    <w:rsid w:val="00897927"/>
    <w:rsid w:val="008979A4"/>
    <w:rsid w:val="00897B5C"/>
    <w:rsid w:val="00897B5E"/>
    <w:rsid w:val="00897ED5"/>
    <w:rsid w:val="008A0119"/>
    <w:rsid w:val="008A0272"/>
    <w:rsid w:val="008A06CB"/>
    <w:rsid w:val="008A09A1"/>
    <w:rsid w:val="008A0D27"/>
    <w:rsid w:val="008A0D4E"/>
    <w:rsid w:val="008A0EED"/>
    <w:rsid w:val="008A106A"/>
    <w:rsid w:val="008A12EF"/>
    <w:rsid w:val="008A13FA"/>
    <w:rsid w:val="008A1586"/>
    <w:rsid w:val="008A166C"/>
    <w:rsid w:val="008A172B"/>
    <w:rsid w:val="008A175F"/>
    <w:rsid w:val="008A186C"/>
    <w:rsid w:val="008A1912"/>
    <w:rsid w:val="008A1953"/>
    <w:rsid w:val="008A1970"/>
    <w:rsid w:val="008A19C1"/>
    <w:rsid w:val="008A1A4E"/>
    <w:rsid w:val="008A1AB0"/>
    <w:rsid w:val="008A1CA2"/>
    <w:rsid w:val="008A1E3A"/>
    <w:rsid w:val="008A21F4"/>
    <w:rsid w:val="008A27A3"/>
    <w:rsid w:val="008A2A43"/>
    <w:rsid w:val="008A2B45"/>
    <w:rsid w:val="008A2C47"/>
    <w:rsid w:val="008A2E2B"/>
    <w:rsid w:val="008A3034"/>
    <w:rsid w:val="008A3212"/>
    <w:rsid w:val="008A367C"/>
    <w:rsid w:val="008A36D0"/>
    <w:rsid w:val="008A3837"/>
    <w:rsid w:val="008A3875"/>
    <w:rsid w:val="008A3974"/>
    <w:rsid w:val="008A3A8C"/>
    <w:rsid w:val="008A41B3"/>
    <w:rsid w:val="008A4243"/>
    <w:rsid w:val="008A4388"/>
    <w:rsid w:val="008A456C"/>
    <w:rsid w:val="008A488B"/>
    <w:rsid w:val="008A4DA9"/>
    <w:rsid w:val="008A4DD5"/>
    <w:rsid w:val="008A50D5"/>
    <w:rsid w:val="008A537A"/>
    <w:rsid w:val="008A5617"/>
    <w:rsid w:val="008A5649"/>
    <w:rsid w:val="008A583D"/>
    <w:rsid w:val="008A5C7E"/>
    <w:rsid w:val="008A5D75"/>
    <w:rsid w:val="008A5DB3"/>
    <w:rsid w:val="008A5F48"/>
    <w:rsid w:val="008A6054"/>
    <w:rsid w:val="008A612E"/>
    <w:rsid w:val="008A6141"/>
    <w:rsid w:val="008A62CF"/>
    <w:rsid w:val="008A64E7"/>
    <w:rsid w:val="008A653C"/>
    <w:rsid w:val="008A6A5B"/>
    <w:rsid w:val="008A6BEB"/>
    <w:rsid w:val="008A6FF1"/>
    <w:rsid w:val="008A715D"/>
    <w:rsid w:val="008A79D0"/>
    <w:rsid w:val="008A7AB5"/>
    <w:rsid w:val="008A7C58"/>
    <w:rsid w:val="008A7F3A"/>
    <w:rsid w:val="008A7FE6"/>
    <w:rsid w:val="008B014B"/>
    <w:rsid w:val="008B024F"/>
    <w:rsid w:val="008B02E7"/>
    <w:rsid w:val="008B0473"/>
    <w:rsid w:val="008B05D0"/>
    <w:rsid w:val="008B05FE"/>
    <w:rsid w:val="008B0729"/>
    <w:rsid w:val="008B0B39"/>
    <w:rsid w:val="008B0C48"/>
    <w:rsid w:val="008B1003"/>
    <w:rsid w:val="008B1571"/>
    <w:rsid w:val="008B16AB"/>
    <w:rsid w:val="008B16D2"/>
    <w:rsid w:val="008B1705"/>
    <w:rsid w:val="008B1897"/>
    <w:rsid w:val="008B19ED"/>
    <w:rsid w:val="008B1AB7"/>
    <w:rsid w:val="008B1BAB"/>
    <w:rsid w:val="008B1BB9"/>
    <w:rsid w:val="008B1BC3"/>
    <w:rsid w:val="008B2161"/>
    <w:rsid w:val="008B21AF"/>
    <w:rsid w:val="008B2703"/>
    <w:rsid w:val="008B27F4"/>
    <w:rsid w:val="008B2DBB"/>
    <w:rsid w:val="008B312B"/>
    <w:rsid w:val="008B33CA"/>
    <w:rsid w:val="008B357C"/>
    <w:rsid w:val="008B3583"/>
    <w:rsid w:val="008B3630"/>
    <w:rsid w:val="008B366E"/>
    <w:rsid w:val="008B39AA"/>
    <w:rsid w:val="008B3CA7"/>
    <w:rsid w:val="008B3F2E"/>
    <w:rsid w:val="008B42AF"/>
    <w:rsid w:val="008B4300"/>
    <w:rsid w:val="008B45CA"/>
    <w:rsid w:val="008B475D"/>
    <w:rsid w:val="008B4881"/>
    <w:rsid w:val="008B4892"/>
    <w:rsid w:val="008B49C1"/>
    <w:rsid w:val="008B4BD6"/>
    <w:rsid w:val="008B4C27"/>
    <w:rsid w:val="008B4ED1"/>
    <w:rsid w:val="008B4FB6"/>
    <w:rsid w:val="008B4FCD"/>
    <w:rsid w:val="008B508E"/>
    <w:rsid w:val="008B51AF"/>
    <w:rsid w:val="008B58E1"/>
    <w:rsid w:val="008B5CFB"/>
    <w:rsid w:val="008B5DBE"/>
    <w:rsid w:val="008B5E42"/>
    <w:rsid w:val="008B5F4A"/>
    <w:rsid w:val="008B5F53"/>
    <w:rsid w:val="008B5FD6"/>
    <w:rsid w:val="008B640D"/>
    <w:rsid w:val="008B647C"/>
    <w:rsid w:val="008B64B8"/>
    <w:rsid w:val="008B6895"/>
    <w:rsid w:val="008B69E2"/>
    <w:rsid w:val="008B6FBE"/>
    <w:rsid w:val="008B717F"/>
    <w:rsid w:val="008B756E"/>
    <w:rsid w:val="008B778E"/>
    <w:rsid w:val="008B7A45"/>
    <w:rsid w:val="008B7B13"/>
    <w:rsid w:val="008B7C42"/>
    <w:rsid w:val="008B7CE7"/>
    <w:rsid w:val="008B7F4F"/>
    <w:rsid w:val="008C008A"/>
    <w:rsid w:val="008C0151"/>
    <w:rsid w:val="008C0391"/>
    <w:rsid w:val="008C03D4"/>
    <w:rsid w:val="008C03DB"/>
    <w:rsid w:val="008C042D"/>
    <w:rsid w:val="008C0662"/>
    <w:rsid w:val="008C06EF"/>
    <w:rsid w:val="008C0CDE"/>
    <w:rsid w:val="008C0E6F"/>
    <w:rsid w:val="008C0EC0"/>
    <w:rsid w:val="008C0EDC"/>
    <w:rsid w:val="008C1719"/>
    <w:rsid w:val="008C18A8"/>
    <w:rsid w:val="008C19A2"/>
    <w:rsid w:val="008C1EF0"/>
    <w:rsid w:val="008C1F00"/>
    <w:rsid w:val="008C21BE"/>
    <w:rsid w:val="008C237E"/>
    <w:rsid w:val="008C2413"/>
    <w:rsid w:val="008C26C7"/>
    <w:rsid w:val="008C294A"/>
    <w:rsid w:val="008C2B41"/>
    <w:rsid w:val="008C2BEF"/>
    <w:rsid w:val="008C2D56"/>
    <w:rsid w:val="008C2DD1"/>
    <w:rsid w:val="008C2F37"/>
    <w:rsid w:val="008C3062"/>
    <w:rsid w:val="008C334D"/>
    <w:rsid w:val="008C3627"/>
    <w:rsid w:val="008C374A"/>
    <w:rsid w:val="008C3A05"/>
    <w:rsid w:val="008C3C0A"/>
    <w:rsid w:val="008C3E2F"/>
    <w:rsid w:val="008C3ED4"/>
    <w:rsid w:val="008C40CA"/>
    <w:rsid w:val="008C41F5"/>
    <w:rsid w:val="008C430E"/>
    <w:rsid w:val="008C4441"/>
    <w:rsid w:val="008C4545"/>
    <w:rsid w:val="008C468A"/>
    <w:rsid w:val="008C48B2"/>
    <w:rsid w:val="008C49B9"/>
    <w:rsid w:val="008C49E3"/>
    <w:rsid w:val="008C4AB2"/>
    <w:rsid w:val="008C4D6D"/>
    <w:rsid w:val="008C524F"/>
    <w:rsid w:val="008C553A"/>
    <w:rsid w:val="008C590C"/>
    <w:rsid w:val="008C594D"/>
    <w:rsid w:val="008C5AAD"/>
    <w:rsid w:val="008C5ABF"/>
    <w:rsid w:val="008C61FF"/>
    <w:rsid w:val="008C62EC"/>
    <w:rsid w:val="008C6467"/>
    <w:rsid w:val="008C6478"/>
    <w:rsid w:val="008C64EC"/>
    <w:rsid w:val="008C679A"/>
    <w:rsid w:val="008C6829"/>
    <w:rsid w:val="008C6856"/>
    <w:rsid w:val="008C6AC4"/>
    <w:rsid w:val="008C6B12"/>
    <w:rsid w:val="008C6B1A"/>
    <w:rsid w:val="008C6EF0"/>
    <w:rsid w:val="008C6FA1"/>
    <w:rsid w:val="008C6FE3"/>
    <w:rsid w:val="008C715F"/>
    <w:rsid w:val="008C716C"/>
    <w:rsid w:val="008C76B0"/>
    <w:rsid w:val="008C7722"/>
    <w:rsid w:val="008C775A"/>
    <w:rsid w:val="008C7803"/>
    <w:rsid w:val="008C7BA2"/>
    <w:rsid w:val="008C7C32"/>
    <w:rsid w:val="008C7E43"/>
    <w:rsid w:val="008C7FD5"/>
    <w:rsid w:val="008D0527"/>
    <w:rsid w:val="008D0854"/>
    <w:rsid w:val="008D0A18"/>
    <w:rsid w:val="008D0AB1"/>
    <w:rsid w:val="008D0C7E"/>
    <w:rsid w:val="008D0F18"/>
    <w:rsid w:val="008D0FB1"/>
    <w:rsid w:val="008D10E5"/>
    <w:rsid w:val="008D1297"/>
    <w:rsid w:val="008D18A0"/>
    <w:rsid w:val="008D1A3E"/>
    <w:rsid w:val="008D1A86"/>
    <w:rsid w:val="008D1E54"/>
    <w:rsid w:val="008D1EDD"/>
    <w:rsid w:val="008D1F0F"/>
    <w:rsid w:val="008D228E"/>
    <w:rsid w:val="008D26B0"/>
    <w:rsid w:val="008D289C"/>
    <w:rsid w:val="008D28D9"/>
    <w:rsid w:val="008D2D09"/>
    <w:rsid w:val="008D2D4C"/>
    <w:rsid w:val="008D2DD5"/>
    <w:rsid w:val="008D3077"/>
    <w:rsid w:val="008D3278"/>
    <w:rsid w:val="008D3603"/>
    <w:rsid w:val="008D3628"/>
    <w:rsid w:val="008D38EB"/>
    <w:rsid w:val="008D3928"/>
    <w:rsid w:val="008D3C64"/>
    <w:rsid w:val="008D3E33"/>
    <w:rsid w:val="008D3FD5"/>
    <w:rsid w:val="008D40C5"/>
    <w:rsid w:val="008D4205"/>
    <w:rsid w:val="008D474C"/>
    <w:rsid w:val="008D476F"/>
    <w:rsid w:val="008D4883"/>
    <w:rsid w:val="008D48E6"/>
    <w:rsid w:val="008D499E"/>
    <w:rsid w:val="008D4A45"/>
    <w:rsid w:val="008D4D43"/>
    <w:rsid w:val="008D4D4F"/>
    <w:rsid w:val="008D5049"/>
    <w:rsid w:val="008D51C9"/>
    <w:rsid w:val="008D548E"/>
    <w:rsid w:val="008D55F8"/>
    <w:rsid w:val="008D5AD0"/>
    <w:rsid w:val="008D5D7E"/>
    <w:rsid w:val="008D5F96"/>
    <w:rsid w:val="008D6505"/>
    <w:rsid w:val="008D6C92"/>
    <w:rsid w:val="008D6D31"/>
    <w:rsid w:val="008D6ED9"/>
    <w:rsid w:val="008D7270"/>
    <w:rsid w:val="008D7301"/>
    <w:rsid w:val="008D7489"/>
    <w:rsid w:val="008D74B5"/>
    <w:rsid w:val="008D768E"/>
    <w:rsid w:val="008D78D5"/>
    <w:rsid w:val="008D7B27"/>
    <w:rsid w:val="008E0047"/>
    <w:rsid w:val="008E0204"/>
    <w:rsid w:val="008E0277"/>
    <w:rsid w:val="008E09FD"/>
    <w:rsid w:val="008E0AC9"/>
    <w:rsid w:val="008E0DE0"/>
    <w:rsid w:val="008E0EC9"/>
    <w:rsid w:val="008E1097"/>
    <w:rsid w:val="008E12AB"/>
    <w:rsid w:val="008E138E"/>
    <w:rsid w:val="008E13C5"/>
    <w:rsid w:val="008E13D5"/>
    <w:rsid w:val="008E1417"/>
    <w:rsid w:val="008E1454"/>
    <w:rsid w:val="008E14CA"/>
    <w:rsid w:val="008E151C"/>
    <w:rsid w:val="008E173E"/>
    <w:rsid w:val="008E180F"/>
    <w:rsid w:val="008E19EB"/>
    <w:rsid w:val="008E1CBA"/>
    <w:rsid w:val="008E1EDD"/>
    <w:rsid w:val="008E23A3"/>
    <w:rsid w:val="008E2434"/>
    <w:rsid w:val="008E24D0"/>
    <w:rsid w:val="008E2935"/>
    <w:rsid w:val="008E29B6"/>
    <w:rsid w:val="008E2B93"/>
    <w:rsid w:val="008E2BAA"/>
    <w:rsid w:val="008E2D88"/>
    <w:rsid w:val="008E31B6"/>
    <w:rsid w:val="008E31D1"/>
    <w:rsid w:val="008E3496"/>
    <w:rsid w:val="008E3AB4"/>
    <w:rsid w:val="008E3B42"/>
    <w:rsid w:val="008E3BB1"/>
    <w:rsid w:val="008E3DE5"/>
    <w:rsid w:val="008E42FF"/>
    <w:rsid w:val="008E49FE"/>
    <w:rsid w:val="008E4A34"/>
    <w:rsid w:val="008E5095"/>
    <w:rsid w:val="008E5399"/>
    <w:rsid w:val="008E57EA"/>
    <w:rsid w:val="008E59FE"/>
    <w:rsid w:val="008E5A0F"/>
    <w:rsid w:val="008E5A69"/>
    <w:rsid w:val="008E5C00"/>
    <w:rsid w:val="008E5C81"/>
    <w:rsid w:val="008E5D4E"/>
    <w:rsid w:val="008E6249"/>
    <w:rsid w:val="008E63D8"/>
    <w:rsid w:val="008E642C"/>
    <w:rsid w:val="008E65E9"/>
    <w:rsid w:val="008E68B1"/>
    <w:rsid w:val="008E69AB"/>
    <w:rsid w:val="008E6AAF"/>
    <w:rsid w:val="008E6EC0"/>
    <w:rsid w:val="008E7219"/>
    <w:rsid w:val="008E74F6"/>
    <w:rsid w:val="008E7959"/>
    <w:rsid w:val="008E79EF"/>
    <w:rsid w:val="008E7B37"/>
    <w:rsid w:val="008E7BC5"/>
    <w:rsid w:val="008E7C16"/>
    <w:rsid w:val="008F014B"/>
    <w:rsid w:val="008F0165"/>
    <w:rsid w:val="008F0245"/>
    <w:rsid w:val="008F0447"/>
    <w:rsid w:val="008F044C"/>
    <w:rsid w:val="008F0490"/>
    <w:rsid w:val="008F0697"/>
    <w:rsid w:val="008F092A"/>
    <w:rsid w:val="008F0B99"/>
    <w:rsid w:val="008F0C32"/>
    <w:rsid w:val="008F0DFA"/>
    <w:rsid w:val="008F1086"/>
    <w:rsid w:val="008F1354"/>
    <w:rsid w:val="008F14DD"/>
    <w:rsid w:val="008F15BA"/>
    <w:rsid w:val="008F1701"/>
    <w:rsid w:val="008F1AD9"/>
    <w:rsid w:val="008F1C0C"/>
    <w:rsid w:val="008F1CEF"/>
    <w:rsid w:val="008F255E"/>
    <w:rsid w:val="008F25AB"/>
    <w:rsid w:val="008F27FD"/>
    <w:rsid w:val="008F2F42"/>
    <w:rsid w:val="008F2F71"/>
    <w:rsid w:val="008F2FF1"/>
    <w:rsid w:val="008F33EC"/>
    <w:rsid w:val="008F33FF"/>
    <w:rsid w:val="008F3548"/>
    <w:rsid w:val="008F37A9"/>
    <w:rsid w:val="008F38C2"/>
    <w:rsid w:val="008F3A9F"/>
    <w:rsid w:val="008F3DBA"/>
    <w:rsid w:val="008F3F9B"/>
    <w:rsid w:val="008F4144"/>
    <w:rsid w:val="008F4326"/>
    <w:rsid w:val="008F4465"/>
    <w:rsid w:val="008F462D"/>
    <w:rsid w:val="008F4767"/>
    <w:rsid w:val="008F47E5"/>
    <w:rsid w:val="008F496D"/>
    <w:rsid w:val="008F4B27"/>
    <w:rsid w:val="008F4B2F"/>
    <w:rsid w:val="008F4B46"/>
    <w:rsid w:val="008F4DEB"/>
    <w:rsid w:val="008F4E0A"/>
    <w:rsid w:val="008F5227"/>
    <w:rsid w:val="008F5537"/>
    <w:rsid w:val="008F55A0"/>
    <w:rsid w:val="008F56D9"/>
    <w:rsid w:val="008F56FD"/>
    <w:rsid w:val="008F578E"/>
    <w:rsid w:val="008F57ED"/>
    <w:rsid w:val="008F5B29"/>
    <w:rsid w:val="008F5CCE"/>
    <w:rsid w:val="008F5D47"/>
    <w:rsid w:val="008F5F35"/>
    <w:rsid w:val="008F605F"/>
    <w:rsid w:val="008F60DD"/>
    <w:rsid w:val="008F62AA"/>
    <w:rsid w:val="008F62C0"/>
    <w:rsid w:val="008F62D9"/>
    <w:rsid w:val="008F65E4"/>
    <w:rsid w:val="008F6686"/>
    <w:rsid w:val="008F676A"/>
    <w:rsid w:val="008F686E"/>
    <w:rsid w:val="008F6B61"/>
    <w:rsid w:val="008F6D45"/>
    <w:rsid w:val="008F7001"/>
    <w:rsid w:val="008F70DF"/>
    <w:rsid w:val="008F732B"/>
    <w:rsid w:val="008F73F8"/>
    <w:rsid w:val="008F7527"/>
    <w:rsid w:val="008F766F"/>
    <w:rsid w:val="008F76C9"/>
    <w:rsid w:val="008F7732"/>
    <w:rsid w:val="008F7B6C"/>
    <w:rsid w:val="0090004F"/>
    <w:rsid w:val="0090035E"/>
    <w:rsid w:val="009003EC"/>
    <w:rsid w:val="0090042C"/>
    <w:rsid w:val="00900651"/>
    <w:rsid w:val="00900CF1"/>
    <w:rsid w:val="0090189B"/>
    <w:rsid w:val="009018FD"/>
    <w:rsid w:val="00901A67"/>
    <w:rsid w:val="00901BE7"/>
    <w:rsid w:val="00901C8A"/>
    <w:rsid w:val="00902129"/>
    <w:rsid w:val="0090214D"/>
    <w:rsid w:val="009021A1"/>
    <w:rsid w:val="009021B5"/>
    <w:rsid w:val="009021CF"/>
    <w:rsid w:val="0090243D"/>
    <w:rsid w:val="009025DD"/>
    <w:rsid w:val="00902771"/>
    <w:rsid w:val="009028EB"/>
    <w:rsid w:val="00902B6D"/>
    <w:rsid w:val="00902BD3"/>
    <w:rsid w:val="00902C5E"/>
    <w:rsid w:val="00902D34"/>
    <w:rsid w:val="00902D89"/>
    <w:rsid w:val="00902FB7"/>
    <w:rsid w:val="009031BE"/>
    <w:rsid w:val="0090336D"/>
    <w:rsid w:val="00903518"/>
    <w:rsid w:val="00903627"/>
    <w:rsid w:val="0090368D"/>
    <w:rsid w:val="009037C8"/>
    <w:rsid w:val="00903918"/>
    <w:rsid w:val="00903F21"/>
    <w:rsid w:val="00903FE5"/>
    <w:rsid w:val="0090413C"/>
    <w:rsid w:val="009043C1"/>
    <w:rsid w:val="009043C8"/>
    <w:rsid w:val="009044D0"/>
    <w:rsid w:val="00904636"/>
    <w:rsid w:val="009047D4"/>
    <w:rsid w:val="00904952"/>
    <w:rsid w:val="00904C77"/>
    <w:rsid w:val="00904D5B"/>
    <w:rsid w:val="00904D9D"/>
    <w:rsid w:val="00904DB5"/>
    <w:rsid w:val="009052BD"/>
    <w:rsid w:val="009053DB"/>
    <w:rsid w:val="009057D4"/>
    <w:rsid w:val="00905A51"/>
    <w:rsid w:val="00905B3D"/>
    <w:rsid w:val="0090600A"/>
    <w:rsid w:val="00906563"/>
    <w:rsid w:val="0090663D"/>
    <w:rsid w:val="009066D2"/>
    <w:rsid w:val="00906701"/>
    <w:rsid w:val="009067D4"/>
    <w:rsid w:val="0090698E"/>
    <w:rsid w:val="009069F7"/>
    <w:rsid w:val="00906ADD"/>
    <w:rsid w:val="00906BDD"/>
    <w:rsid w:val="00906F0D"/>
    <w:rsid w:val="00906FE8"/>
    <w:rsid w:val="00907136"/>
    <w:rsid w:val="0090735B"/>
    <w:rsid w:val="0090778F"/>
    <w:rsid w:val="009077DE"/>
    <w:rsid w:val="00907DB9"/>
    <w:rsid w:val="00907EF0"/>
    <w:rsid w:val="00907F18"/>
    <w:rsid w:val="00910029"/>
    <w:rsid w:val="00910137"/>
    <w:rsid w:val="009104F6"/>
    <w:rsid w:val="009105B0"/>
    <w:rsid w:val="009107F1"/>
    <w:rsid w:val="009109FA"/>
    <w:rsid w:val="00910B67"/>
    <w:rsid w:val="00910BB0"/>
    <w:rsid w:val="00910BDB"/>
    <w:rsid w:val="00911091"/>
    <w:rsid w:val="0091142E"/>
    <w:rsid w:val="009118E3"/>
    <w:rsid w:val="00911A85"/>
    <w:rsid w:val="00911F37"/>
    <w:rsid w:val="00912009"/>
    <w:rsid w:val="00912035"/>
    <w:rsid w:val="00912236"/>
    <w:rsid w:val="00912397"/>
    <w:rsid w:val="0091244A"/>
    <w:rsid w:val="009124F5"/>
    <w:rsid w:val="00912668"/>
    <w:rsid w:val="00912670"/>
    <w:rsid w:val="00912754"/>
    <w:rsid w:val="0091279B"/>
    <w:rsid w:val="0091289C"/>
    <w:rsid w:val="00912A4F"/>
    <w:rsid w:val="00912D6F"/>
    <w:rsid w:val="009132A3"/>
    <w:rsid w:val="0091344E"/>
    <w:rsid w:val="00913472"/>
    <w:rsid w:val="009135DB"/>
    <w:rsid w:val="009137A8"/>
    <w:rsid w:val="0091396F"/>
    <w:rsid w:val="00914080"/>
    <w:rsid w:val="0091467B"/>
    <w:rsid w:val="0091471D"/>
    <w:rsid w:val="00914AD3"/>
    <w:rsid w:val="00914B20"/>
    <w:rsid w:val="00914B57"/>
    <w:rsid w:val="00914C88"/>
    <w:rsid w:val="0091543B"/>
    <w:rsid w:val="0091551B"/>
    <w:rsid w:val="0091566D"/>
    <w:rsid w:val="009157D7"/>
    <w:rsid w:val="00915A14"/>
    <w:rsid w:val="00915A6F"/>
    <w:rsid w:val="00915A8F"/>
    <w:rsid w:val="00915C6C"/>
    <w:rsid w:val="00915CE0"/>
    <w:rsid w:val="00915FAA"/>
    <w:rsid w:val="0091626E"/>
    <w:rsid w:val="009163FB"/>
    <w:rsid w:val="00916763"/>
    <w:rsid w:val="00916818"/>
    <w:rsid w:val="0091697A"/>
    <w:rsid w:val="00916E0C"/>
    <w:rsid w:val="00916E55"/>
    <w:rsid w:val="0091706F"/>
    <w:rsid w:val="00917476"/>
    <w:rsid w:val="009177A2"/>
    <w:rsid w:val="00917B05"/>
    <w:rsid w:val="00917C33"/>
    <w:rsid w:val="00917C45"/>
    <w:rsid w:val="00917ED7"/>
    <w:rsid w:val="00920088"/>
    <w:rsid w:val="00920146"/>
    <w:rsid w:val="00920153"/>
    <w:rsid w:val="009202C6"/>
    <w:rsid w:val="00920343"/>
    <w:rsid w:val="009203BA"/>
    <w:rsid w:val="00920504"/>
    <w:rsid w:val="00920564"/>
    <w:rsid w:val="009206AC"/>
    <w:rsid w:val="009208BB"/>
    <w:rsid w:val="0092090F"/>
    <w:rsid w:val="0092096C"/>
    <w:rsid w:val="00920B3B"/>
    <w:rsid w:val="00920C88"/>
    <w:rsid w:val="009212D3"/>
    <w:rsid w:val="009212D8"/>
    <w:rsid w:val="00921318"/>
    <w:rsid w:val="00921716"/>
    <w:rsid w:val="00921777"/>
    <w:rsid w:val="009217D8"/>
    <w:rsid w:val="009219B4"/>
    <w:rsid w:val="00921A57"/>
    <w:rsid w:val="00921BAF"/>
    <w:rsid w:val="00921E9F"/>
    <w:rsid w:val="00922249"/>
    <w:rsid w:val="00922711"/>
    <w:rsid w:val="009229E1"/>
    <w:rsid w:val="009229ED"/>
    <w:rsid w:val="00922A88"/>
    <w:rsid w:val="00922AF8"/>
    <w:rsid w:val="00922F04"/>
    <w:rsid w:val="00922F35"/>
    <w:rsid w:val="0092308F"/>
    <w:rsid w:val="00923439"/>
    <w:rsid w:val="00923568"/>
    <w:rsid w:val="00923697"/>
    <w:rsid w:val="009237AB"/>
    <w:rsid w:val="009238D9"/>
    <w:rsid w:val="00923A03"/>
    <w:rsid w:val="00923D0D"/>
    <w:rsid w:val="00923EE8"/>
    <w:rsid w:val="00923EF9"/>
    <w:rsid w:val="00923F0B"/>
    <w:rsid w:val="00923F8E"/>
    <w:rsid w:val="00923FCE"/>
    <w:rsid w:val="009241FB"/>
    <w:rsid w:val="009244D2"/>
    <w:rsid w:val="00924535"/>
    <w:rsid w:val="00924627"/>
    <w:rsid w:val="0092478F"/>
    <w:rsid w:val="009247DA"/>
    <w:rsid w:val="00924842"/>
    <w:rsid w:val="009249F1"/>
    <w:rsid w:val="00924A22"/>
    <w:rsid w:val="00924ADF"/>
    <w:rsid w:val="00924AED"/>
    <w:rsid w:val="00924B66"/>
    <w:rsid w:val="00924D98"/>
    <w:rsid w:val="0092519A"/>
    <w:rsid w:val="009251E0"/>
    <w:rsid w:val="009254B5"/>
    <w:rsid w:val="009254BD"/>
    <w:rsid w:val="00925542"/>
    <w:rsid w:val="009255FD"/>
    <w:rsid w:val="00925694"/>
    <w:rsid w:val="00925964"/>
    <w:rsid w:val="00925B61"/>
    <w:rsid w:val="00925BA7"/>
    <w:rsid w:val="00925E50"/>
    <w:rsid w:val="00925EDB"/>
    <w:rsid w:val="00925EF2"/>
    <w:rsid w:val="00925F5D"/>
    <w:rsid w:val="00925FDC"/>
    <w:rsid w:val="0092612D"/>
    <w:rsid w:val="0092649E"/>
    <w:rsid w:val="009266BB"/>
    <w:rsid w:val="009266E4"/>
    <w:rsid w:val="009267A4"/>
    <w:rsid w:val="0092686A"/>
    <w:rsid w:val="009268E4"/>
    <w:rsid w:val="00926D12"/>
    <w:rsid w:val="00926D9A"/>
    <w:rsid w:val="00927269"/>
    <w:rsid w:val="009274A4"/>
    <w:rsid w:val="00927FB1"/>
    <w:rsid w:val="00927FBB"/>
    <w:rsid w:val="0093002D"/>
    <w:rsid w:val="0093035C"/>
    <w:rsid w:val="00930BA1"/>
    <w:rsid w:val="00930F37"/>
    <w:rsid w:val="009310A7"/>
    <w:rsid w:val="009312F3"/>
    <w:rsid w:val="00931473"/>
    <w:rsid w:val="00931525"/>
    <w:rsid w:val="009316B8"/>
    <w:rsid w:val="009317EF"/>
    <w:rsid w:val="00931F3C"/>
    <w:rsid w:val="00932174"/>
    <w:rsid w:val="00932200"/>
    <w:rsid w:val="009322E4"/>
    <w:rsid w:val="009325D9"/>
    <w:rsid w:val="009326B4"/>
    <w:rsid w:val="00932D83"/>
    <w:rsid w:val="00932F19"/>
    <w:rsid w:val="00932F60"/>
    <w:rsid w:val="00933028"/>
    <w:rsid w:val="00933073"/>
    <w:rsid w:val="009332C7"/>
    <w:rsid w:val="009335AD"/>
    <w:rsid w:val="0093377C"/>
    <w:rsid w:val="00933945"/>
    <w:rsid w:val="00933A98"/>
    <w:rsid w:val="00933B2C"/>
    <w:rsid w:val="00933C22"/>
    <w:rsid w:val="00933CE6"/>
    <w:rsid w:val="00933D0F"/>
    <w:rsid w:val="00933DC5"/>
    <w:rsid w:val="00933E23"/>
    <w:rsid w:val="00934075"/>
    <w:rsid w:val="0093421B"/>
    <w:rsid w:val="009342BE"/>
    <w:rsid w:val="009342CE"/>
    <w:rsid w:val="00934326"/>
    <w:rsid w:val="00934419"/>
    <w:rsid w:val="0093447E"/>
    <w:rsid w:val="00934683"/>
    <w:rsid w:val="00934BFE"/>
    <w:rsid w:val="00934C3D"/>
    <w:rsid w:val="00934C67"/>
    <w:rsid w:val="00934D54"/>
    <w:rsid w:val="009350BC"/>
    <w:rsid w:val="00935465"/>
    <w:rsid w:val="0093550C"/>
    <w:rsid w:val="009356CC"/>
    <w:rsid w:val="009358D4"/>
    <w:rsid w:val="00935E0F"/>
    <w:rsid w:val="00935FCF"/>
    <w:rsid w:val="0093607E"/>
    <w:rsid w:val="0093628D"/>
    <w:rsid w:val="0093632F"/>
    <w:rsid w:val="0093637C"/>
    <w:rsid w:val="00936630"/>
    <w:rsid w:val="009367ED"/>
    <w:rsid w:val="00936940"/>
    <w:rsid w:val="00936A4A"/>
    <w:rsid w:val="00936AEB"/>
    <w:rsid w:val="00936F09"/>
    <w:rsid w:val="00937399"/>
    <w:rsid w:val="009375F1"/>
    <w:rsid w:val="009378CB"/>
    <w:rsid w:val="00940062"/>
    <w:rsid w:val="009403A0"/>
    <w:rsid w:val="00940404"/>
    <w:rsid w:val="0094073C"/>
    <w:rsid w:val="00940B8E"/>
    <w:rsid w:val="00940C37"/>
    <w:rsid w:val="00940CA2"/>
    <w:rsid w:val="00940DE1"/>
    <w:rsid w:val="0094107C"/>
    <w:rsid w:val="00941155"/>
    <w:rsid w:val="0094130D"/>
    <w:rsid w:val="00941333"/>
    <w:rsid w:val="009413C4"/>
    <w:rsid w:val="009418C3"/>
    <w:rsid w:val="00941C9C"/>
    <w:rsid w:val="00941DBF"/>
    <w:rsid w:val="00941FD4"/>
    <w:rsid w:val="009420B2"/>
    <w:rsid w:val="009420BA"/>
    <w:rsid w:val="00942214"/>
    <w:rsid w:val="009422FB"/>
    <w:rsid w:val="00942562"/>
    <w:rsid w:val="0094273A"/>
    <w:rsid w:val="00942799"/>
    <w:rsid w:val="009428CA"/>
    <w:rsid w:val="009429B9"/>
    <w:rsid w:val="00942CA0"/>
    <w:rsid w:val="00942E20"/>
    <w:rsid w:val="009437E7"/>
    <w:rsid w:val="009438D2"/>
    <w:rsid w:val="00943ED7"/>
    <w:rsid w:val="0094402B"/>
    <w:rsid w:val="009441D3"/>
    <w:rsid w:val="00944247"/>
    <w:rsid w:val="00944535"/>
    <w:rsid w:val="00944760"/>
    <w:rsid w:val="00944AF2"/>
    <w:rsid w:val="00944E70"/>
    <w:rsid w:val="00944FDC"/>
    <w:rsid w:val="009450F3"/>
    <w:rsid w:val="009451CD"/>
    <w:rsid w:val="0094524B"/>
    <w:rsid w:val="00945280"/>
    <w:rsid w:val="00945375"/>
    <w:rsid w:val="0094549E"/>
    <w:rsid w:val="009455B4"/>
    <w:rsid w:val="009457C8"/>
    <w:rsid w:val="009458D7"/>
    <w:rsid w:val="00945B7B"/>
    <w:rsid w:val="00945E3E"/>
    <w:rsid w:val="00946111"/>
    <w:rsid w:val="0094639A"/>
    <w:rsid w:val="0094642C"/>
    <w:rsid w:val="009464FD"/>
    <w:rsid w:val="009468D1"/>
    <w:rsid w:val="009469EB"/>
    <w:rsid w:val="00946E74"/>
    <w:rsid w:val="00946F2D"/>
    <w:rsid w:val="00947496"/>
    <w:rsid w:val="009478CB"/>
    <w:rsid w:val="00947921"/>
    <w:rsid w:val="00947C45"/>
    <w:rsid w:val="00947F76"/>
    <w:rsid w:val="00947FD2"/>
    <w:rsid w:val="00950003"/>
    <w:rsid w:val="0095034B"/>
    <w:rsid w:val="009504A4"/>
    <w:rsid w:val="009504B6"/>
    <w:rsid w:val="00950732"/>
    <w:rsid w:val="009509D1"/>
    <w:rsid w:val="00950B19"/>
    <w:rsid w:val="00950CD3"/>
    <w:rsid w:val="00951010"/>
    <w:rsid w:val="00951154"/>
    <w:rsid w:val="009513EC"/>
    <w:rsid w:val="009514D4"/>
    <w:rsid w:val="00951697"/>
    <w:rsid w:val="009517BA"/>
    <w:rsid w:val="0095197F"/>
    <w:rsid w:val="00951AC5"/>
    <w:rsid w:val="00951D18"/>
    <w:rsid w:val="00951D3A"/>
    <w:rsid w:val="00951E58"/>
    <w:rsid w:val="00952044"/>
    <w:rsid w:val="009522B7"/>
    <w:rsid w:val="009522E4"/>
    <w:rsid w:val="0095239B"/>
    <w:rsid w:val="00952510"/>
    <w:rsid w:val="00952747"/>
    <w:rsid w:val="009528DA"/>
    <w:rsid w:val="009528F4"/>
    <w:rsid w:val="00952990"/>
    <w:rsid w:val="00952BE5"/>
    <w:rsid w:val="00952F40"/>
    <w:rsid w:val="00952FC7"/>
    <w:rsid w:val="00953065"/>
    <w:rsid w:val="009532C7"/>
    <w:rsid w:val="0095341F"/>
    <w:rsid w:val="009535DA"/>
    <w:rsid w:val="009537C2"/>
    <w:rsid w:val="00953827"/>
    <w:rsid w:val="00953925"/>
    <w:rsid w:val="00953939"/>
    <w:rsid w:val="00953AEE"/>
    <w:rsid w:val="00953BF7"/>
    <w:rsid w:val="00953FAE"/>
    <w:rsid w:val="00953FFE"/>
    <w:rsid w:val="00954437"/>
    <w:rsid w:val="0095452C"/>
    <w:rsid w:val="00954552"/>
    <w:rsid w:val="0095466D"/>
    <w:rsid w:val="009547DD"/>
    <w:rsid w:val="00954842"/>
    <w:rsid w:val="00954AB7"/>
    <w:rsid w:val="00954B3E"/>
    <w:rsid w:val="00954D19"/>
    <w:rsid w:val="00954D81"/>
    <w:rsid w:val="00954F64"/>
    <w:rsid w:val="00955263"/>
    <w:rsid w:val="00955724"/>
    <w:rsid w:val="009557AF"/>
    <w:rsid w:val="00955875"/>
    <w:rsid w:val="009558B4"/>
    <w:rsid w:val="00955D18"/>
    <w:rsid w:val="00955D77"/>
    <w:rsid w:val="00955D9A"/>
    <w:rsid w:val="00955F2F"/>
    <w:rsid w:val="009560D0"/>
    <w:rsid w:val="009561AD"/>
    <w:rsid w:val="00956244"/>
    <w:rsid w:val="0095639C"/>
    <w:rsid w:val="0095640B"/>
    <w:rsid w:val="009567EC"/>
    <w:rsid w:val="00956A94"/>
    <w:rsid w:val="009570A4"/>
    <w:rsid w:val="009570E3"/>
    <w:rsid w:val="009574C2"/>
    <w:rsid w:val="0095758E"/>
    <w:rsid w:val="00957605"/>
    <w:rsid w:val="0095785C"/>
    <w:rsid w:val="0095788F"/>
    <w:rsid w:val="009578CB"/>
    <w:rsid w:val="0095791D"/>
    <w:rsid w:val="00957B78"/>
    <w:rsid w:val="00957DFB"/>
    <w:rsid w:val="00957FF4"/>
    <w:rsid w:val="009600E6"/>
    <w:rsid w:val="00960144"/>
    <w:rsid w:val="00960377"/>
    <w:rsid w:val="0096093C"/>
    <w:rsid w:val="0096108F"/>
    <w:rsid w:val="0096139C"/>
    <w:rsid w:val="0096166F"/>
    <w:rsid w:val="00961694"/>
    <w:rsid w:val="009619C4"/>
    <w:rsid w:val="00961BF7"/>
    <w:rsid w:val="00961C3E"/>
    <w:rsid w:val="00961CD0"/>
    <w:rsid w:val="00962125"/>
    <w:rsid w:val="0096233A"/>
    <w:rsid w:val="009627CC"/>
    <w:rsid w:val="009628E6"/>
    <w:rsid w:val="00962A36"/>
    <w:rsid w:val="00962CA4"/>
    <w:rsid w:val="00962CF0"/>
    <w:rsid w:val="00962E9B"/>
    <w:rsid w:val="00963012"/>
    <w:rsid w:val="0096303F"/>
    <w:rsid w:val="009631FC"/>
    <w:rsid w:val="0096320A"/>
    <w:rsid w:val="00963370"/>
    <w:rsid w:val="009635E3"/>
    <w:rsid w:val="0096364F"/>
    <w:rsid w:val="00963AC9"/>
    <w:rsid w:val="00963BEC"/>
    <w:rsid w:val="00963CF6"/>
    <w:rsid w:val="00963E9B"/>
    <w:rsid w:val="00963F42"/>
    <w:rsid w:val="009640E4"/>
    <w:rsid w:val="00964272"/>
    <w:rsid w:val="009643AC"/>
    <w:rsid w:val="009643CF"/>
    <w:rsid w:val="00964597"/>
    <w:rsid w:val="00964710"/>
    <w:rsid w:val="009648BA"/>
    <w:rsid w:val="00964A6B"/>
    <w:rsid w:val="00964B18"/>
    <w:rsid w:val="00964BD7"/>
    <w:rsid w:val="00964BE9"/>
    <w:rsid w:val="00964D16"/>
    <w:rsid w:val="00964D65"/>
    <w:rsid w:val="00964FDE"/>
    <w:rsid w:val="009650DF"/>
    <w:rsid w:val="009650F9"/>
    <w:rsid w:val="009652AB"/>
    <w:rsid w:val="00965420"/>
    <w:rsid w:val="009654EE"/>
    <w:rsid w:val="00965AE2"/>
    <w:rsid w:val="00965B04"/>
    <w:rsid w:val="009664C6"/>
    <w:rsid w:val="009664D1"/>
    <w:rsid w:val="009664E3"/>
    <w:rsid w:val="00966542"/>
    <w:rsid w:val="00966A3C"/>
    <w:rsid w:val="00966BC0"/>
    <w:rsid w:val="00966D5F"/>
    <w:rsid w:val="00966EE4"/>
    <w:rsid w:val="0096706A"/>
    <w:rsid w:val="009674CD"/>
    <w:rsid w:val="00967A20"/>
    <w:rsid w:val="00967C71"/>
    <w:rsid w:val="00967CE7"/>
    <w:rsid w:val="00967FE0"/>
    <w:rsid w:val="00970788"/>
    <w:rsid w:val="009708B7"/>
    <w:rsid w:val="00970AA9"/>
    <w:rsid w:val="00970EFE"/>
    <w:rsid w:val="00971025"/>
    <w:rsid w:val="009710A8"/>
    <w:rsid w:val="009710E4"/>
    <w:rsid w:val="009711BA"/>
    <w:rsid w:val="0097158E"/>
    <w:rsid w:val="00971621"/>
    <w:rsid w:val="009717CD"/>
    <w:rsid w:val="0097190E"/>
    <w:rsid w:val="00971F05"/>
    <w:rsid w:val="00972029"/>
    <w:rsid w:val="0097206A"/>
    <w:rsid w:val="009720FB"/>
    <w:rsid w:val="009721A3"/>
    <w:rsid w:val="009721C4"/>
    <w:rsid w:val="009722B9"/>
    <w:rsid w:val="009727AF"/>
    <w:rsid w:val="009728A0"/>
    <w:rsid w:val="00972B93"/>
    <w:rsid w:val="00972C88"/>
    <w:rsid w:val="00972E2B"/>
    <w:rsid w:val="0097305F"/>
    <w:rsid w:val="00973305"/>
    <w:rsid w:val="00973327"/>
    <w:rsid w:val="009733F7"/>
    <w:rsid w:val="009739A0"/>
    <w:rsid w:val="00973D6D"/>
    <w:rsid w:val="00973EA8"/>
    <w:rsid w:val="00973F96"/>
    <w:rsid w:val="009741F1"/>
    <w:rsid w:val="0097460B"/>
    <w:rsid w:val="00974638"/>
    <w:rsid w:val="00974661"/>
    <w:rsid w:val="009746B1"/>
    <w:rsid w:val="00974806"/>
    <w:rsid w:val="00974976"/>
    <w:rsid w:val="0097499B"/>
    <w:rsid w:val="009749AB"/>
    <w:rsid w:val="009749E2"/>
    <w:rsid w:val="00974C52"/>
    <w:rsid w:val="00974DBE"/>
    <w:rsid w:val="0097516C"/>
    <w:rsid w:val="00975224"/>
    <w:rsid w:val="0097546D"/>
    <w:rsid w:val="00975A96"/>
    <w:rsid w:val="00975FEE"/>
    <w:rsid w:val="00976086"/>
    <w:rsid w:val="00976411"/>
    <w:rsid w:val="00976445"/>
    <w:rsid w:val="009767A6"/>
    <w:rsid w:val="009767D5"/>
    <w:rsid w:val="00976832"/>
    <w:rsid w:val="0097686A"/>
    <w:rsid w:val="00976B31"/>
    <w:rsid w:val="00976C27"/>
    <w:rsid w:val="00976D6F"/>
    <w:rsid w:val="00976F8F"/>
    <w:rsid w:val="00976FDE"/>
    <w:rsid w:val="00977099"/>
    <w:rsid w:val="00977262"/>
    <w:rsid w:val="0097739D"/>
    <w:rsid w:val="0097745B"/>
    <w:rsid w:val="009774FD"/>
    <w:rsid w:val="00977563"/>
    <w:rsid w:val="00977639"/>
    <w:rsid w:val="00977762"/>
    <w:rsid w:val="009778BD"/>
    <w:rsid w:val="009778D8"/>
    <w:rsid w:val="00977939"/>
    <w:rsid w:val="0097797B"/>
    <w:rsid w:val="00977C35"/>
    <w:rsid w:val="00977F0A"/>
    <w:rsid w:val="0097B819"/>
    <w:rsid w:val="009804BD"/>
    <w:rsid w:val="00980548"/>
    <w:rsid w:val="009807B0"/>
    <w:rsid w:val="00980AB3"/>
    <w:rsid w:val="00980BAA"/>
    <w:rsid w:val="00980D52"/>
    <w:rsid w:val="00981111"/>
    <w:rsid w:val="00981167"/>
    <w:rsid w:val="009811F0"/>
    <w:rsid w:val="009812AD"/>
    <w:rsid w:val="0098154F"/>
    <w:rsid w:val="009816D9"/>
    <w:rsid w:val="0098174A"/>
    <w:rsid w:val="00981819"/>
    <w:rsid w:val="00981BEB"/>
    <w:rsid w:val="00981DC5"/>
    <w:rsid w:val="00981E08"/>
    <w:rsid w:val="00981F12"/>
    <w:rsid w:val="00981F72"/>
    <w:rsid w:val="00981FF3"/>
    <w:rsid w:val="0098217A"/>
    <w:rsid w:val="00982277"/>
    <w:rsid w:val="0098255D"/>
    <w:rsid w:val="009825BC"/>
    <w:rsid w:val="009827ED"/>
    <w:rsid w:val="0098284C"/>
    <w:rsid w:val="00982863"/>
    <w:rsid w:val="00982B32"/>
    <w:rsid w:val="00982C7B"/>
    <w:rsid w:val="00982DC6"/>
    <w:rsid w:val="00982DF3"/>
    <w:rsid w:val="00982EE5"/>
    <w:rsid w:val="009831CD"/>
    <w:rsid w:val="009832B7"/>
    <w:rsid w:val="00983367"/>
    <w:rsid w:val="00983833"/>
    <w:rsid w:val="009839C7"/>
    <w:rsid w:val="00983FFB"/>
    <w:rsid w:val="0098405F"/>
    <w:rsid w:val="00984116"/>
    <w:rsid w:val="00984228"/>
    <w:rsid w:val="0098448D"/>
    <w:rsid w:val="009844A6"/>
    <w:rsid w:val="0098464F"/>
    <w:rsid w:val="00984CA2"/>
    <w:rsid w:val="00984E21"/>
    <w:rsid w:val="00984E4B"/>
    <w:rsid w:val="00984E90"/>
    <w:rsid w:val="009850D4"/>
    <w:rsid w:val="009853EB"/>
    <w:rsid w:val="0098540C"/>
    <w:rsid w:val="009854BF"/>
    <w:rsid w:val="0098562F"/>
    <w:rsid w:val="009859F2"/>
    <w:rsid w:val="00985BEC"/>
    <w:rsid w:val="00985C6A"/>
    <w:rsid w:val="00985E88"/>
    <w:rsid w:val="00985F7E"/>
    <w:rsid w:val="00985FB5"/>
    <w:rsid w:val="009860BD"/>
    <w:rsid w:val="009863E8"/>
    <w:rsid w:val="0098662C"/>
    <w:rsid w:val="009867B7"/>
    <w:rsid w:val="00986800"/>
    <w:rsid w:val="00986B6B"/>
    <w:rsid w:val="00986F51"/>
    <w:rsid w:val="009870E7"/>
    <w:rsid w:val="00987256"/>
    <w:rsid w:val="00987260"/>
    <w:rsid w:val="009873EE"/>
    <w:rsid w:val="0098765E"/>
    <w:rsid w:val="0098766A"/>
    <w:rsid w:val="0098773A"/>
    <w:rsid w:val="009879A7"/>
    <w:rsid w:val="00987CD3"/>
    <w:rsid w:val="00987CE9"/>
    <w:rsid w:val="00987D37"/>
    <w:rsid w:val="00987F51"/>
    <w:rsid w:val="009904DE"/>
    <w:rsid w:val="00990647"/>
    <w:rsid w:val="0099071E"/>
    <w:rsid w:val="00990BBF"/>
    <w:rsid w:val="00990E9B"/>
    <w:rsid w:val="00990EF6"/>
    <w:rsid w:val="00991262"/>
    <w:rsid w:val="00991812"/>
    <w:rsid w:val="00991951"/>
    <w:rsid w:val="00991BD7"/>
    <w:rsid w:val="00991ED7"/>
    <w:rsid w:val="00992040"/>
    <w:rsid w:val="00992068"/>
    <w:rsid w:val="009920A9"/>
    <w:rsid w:val="009921C4"/>
    <w:rsid w:val="009924AE"/>
    <w:rsid w:val="009926E6"/>
    <w:rsid w:val="00992CC6"/>
    <w:rsid w:val="00992E20"/>
    <w:rsid w:val="00992E6E"/>
    <w:rsid w:val="00992FB5"/>
    <w:rsid w:val="0099317E"/>
    <w:rsid w:val="0099327D"/>
    <w:rsid w:val="009932B0"/>
    <w:rsid w:val="009933C6"/>
    <w:rsid w:val="009935DA"/>
    <w:rsid w:val="0099382A"/>
    <w:rsid w:val="009938B2"/>
    <w:rsid w:val="009938C2"/>
    <w:rsid w:val="00993B65"/>
    <w:rsid w:val="0099400E"/>
    <w:rsid w:val="00994041"/>
    <w:rsid w:val="009942C0"/>
    <w:rsid w:val="009946BC"/>
    <w:rsid w:val="00994A22"/>
    <w:rsid w:val="00994B56"/>
    <w:rsid w:val="00994E5E"/>
    <w:rsid w:val="00994FE1"/>
    <w:rsid w:val="00995380"/>
    <w:rsid w:val="00995420"/>
    <w:rsid w:val="00995C0C"/>
    <w:rsid w:val="00995F73"/>
    <w:rsid w:val="009960E6"/>
    <w:rsid w:val="0099650C"/>
    <w:rsid w:val="00996554"/>
    <w:rsid w:val="0099699E"/>
    <w:rsid w:val="00996A84"/>
    <w:rsid w:val="00996B77"/>
    <w:rsid w:val="00996C7C"/>
    <w:rsid w:val="00996CC4"/>
    <w:rsid w:val="00996F58"/>
    <w:rsid w:val="00997286"/>
    <w:rsid w:val="009972D5"/>
    <w:rsid w:val="0099743F"/>
    <w:rsid w:val="009976C2"/>
    <w:rsid w:val="0099784E"/>
    <w:rsid w:val="00997984"/>
    <w:rsid w:val="00997B39"/>
    <w:rsid w:val="00997C3B"/>
    <w:rsid w:val="00997DDA"/>
    <w:rsid w:val="00997E4C"/>
    <w:rsid w:val="009A00DE"/>
    <w:rsid w:val="009A010C"/>
    <w:rsid w:val="009A04CC"/>
    <w:rsid w:val="009A05D2"/>
    <w:rsid w:val="009A076F"/>
    <w:rsid w:val="009A0B0B"/>
    <w:rsid w:val="009A0F09"/>
    <w:rsid w:val="009A1136"/>
    <w:rsid w:val="009A1155"/>
    <w:rsid w:val="009A1171"/>
    <w:rsid w:val="009A13B4"/>
    <w:rsid w:val="009A166E"/>
    <w:rsid w:val="009A1912"/>
    <w:rsid w:val="009A1D0F"/>
    <w:rsid w:val="009A1D5B"/>
    <w:rsid w:val="009A1E58"/>
    <w:rsid w:val="009A21B4"/>
    <w:rsid w:val="009A2294"/>
    <w:rsid w:val="009A22C5"/>
    <w:rsid w:val="009A2506"/>
    <w:rsid w:val="009A27C2"/>
    <w:rsid w:val="009A27F0"/>
    <w:rsid w:val="009A2953"/>
    <w:rsid w:val="009A29D2"/>
    <w:rsid w:val="009A2B19"/>
    <w:rsid w:val="009A2B8D"/>
    <w:rsid w:val="009A2CBD"/>
    <w:rsid w:val="009A2E67"/>
    <w:rsid w:val="009A2FCA"/>
    <w:rsid w:val="009A3010"/>
    <w:rsid w:val="009A3115"/>
    <w:rsid w:val="009A3199"/>
    <w:rsid w:val="009A3232"/>
    <w:rsid w:val="009A3463"/>
    <w:rsid w:val="009A348D"/>
    <w:rsid w:val="009A352A"/>
    <w:rsid w:val="009A38D0"/>
    <w:rsid w:val="009A3B08"/>
    <w:rsid w:val="009A3F56"/>
    <w:rsid w:val="009A3F67"/>
    <w:rsid w:val="009A3F8F"/>
    <w:rsid w:val="009A4083"/>
    <w:rsid w:val="009A499F"/>
    <w:rsid w:val="009A4A17"/>
    <w:rsid w:val="009A4B2C"/>
    <w:rsid w:val="009A4F45"/>
    <w:rsid w:val="009A4FD7"/>
    <w:rsid w:val="009A50B0"/>
    <w:rsid w:val="009A50B2"/>
    <w:rsid w:val="009A5145"/>
    <w:rsid w:val="009A5213"/>
    <w:rsid w:val="009A52C1"/>
    <w:rsid w:val="009A5397"/>
    <w:rsid w:val="009A54B1"/>
    <w:rsid w:val="009A54FD"/>
    <w:rsid w:val="009A5E16"/>
    <w:rsid w:val="009A5E26"/>
    <w:rsid w:val="009A5E27"/>
    <w:rsid w:val="009A5F22"/>
    <w:rsid w:val="009A6293"/>
    <w:rsid w:val="009A640D"/>
    <w:rsid w:val="009A658D"/>
    <w:rsid w:val="009A65E3"/>
    <w:rsid w:val="009A6769"/>
    <w:rsid w:val="009A67F7"/>
    <w:rsid w:val="009A67F9"/>
    <w:rsid w:val="009A67FA"/>
    <w:rsid w:val="009A6827"/>
    <w:rsid w:val="009A6A4D"/>
    <w:rsid w:val="009A6B63"/>
    <w:rsid w:val="009A7181"/>
    <w:rsid w:val="009A72CB"/>
    <w:rsid w:val="009A7331"/>
    <w:rsid w:val="009A762E"/>
    <w:rsid w:val="009A7A07"/>
    <w:rsid w:val="009A7FBA"/>
    <w:rsid w:val="009B01A9"/>
    <w:rsid w:val="009B0307"/>
    <w:rsid w:val="009B03D7"/>
    <w:rsid w:val="009B0453"/>
    <w:rsid w:val="009B047F"/>
    <w:rsid w:val="009B0480"/>
    <w:rsid w:val="009B04E9"/>
    <w:rsid w:val="009B07A7"/>
    <w:rsid w:val="009B0B17"/>
    <w:rsid w:val="009B0C4F"/>
    <w:rsid w:val="009B11CD"/>
    <w:rsid w:val="009B13D8"/>
    <w:rsid w:val="009B173D"/>
    <w:rsid w:val="009B1A7A"/>
    <w:rsid w:val="009B1ABD"/>
    <w:rsid w:val="009B1B6B"/>
    <w:rsid w:val="009B1C5F"/>
    <w:rsid w:val="009B1D74"/>
    <w:rsid w:val="009B2046"/>
    <w:rsid w:val="009B231E"/>
    <w:rsid w:val="009B2480"/>
    <w:rsid w:val="009B253B"/>
    <w:rsid w:val="009B2D1A"/>
    <w:rsid w:val="009B300F"/>
    <w:rsid w:val="009B306B"/>
    <w:rsid w:val="009B30AB"/>
    <w:rsid w:val="009B30AC"/>
    <w:rsid w:val="009B31A7"/>
    <w:rsid w:val="009B341C"/>
    <w:rsid w:val="009B34C3"/>
    <w:rsid w:val="009B34F6"/>
    <w:rsid w:val="009B3524"/>
    <w:rsid w:val="009B35C2"/>
    <w:rsid w:val="009B3688"/>
    <w:rsid w:val="009B38D6"/>
    <w:rsid w:val="009B3916"/>
    <w:rsid w:val="009B3934"/>
    <w:rsid w:val="009B3F01"/>
    <w:rsid w:val="009B3F92"/>
    <w:rsid w:val="009B3FD6"/>
    <w:rsid w:val="009B3FEF"/>
    <w:rsid w:val="009B4066"/>
    <w:rsid w:val="009B409B"/>
    <w:rsid w:val="009B4328"/>
    <w:rsid w:val="009B4676"/>
    <w:rsid w:val="009B4B73"/>
    <w:rsid w:val="009B4EAD"/>
    <w:rsid w:val="009B4F51"/>
    <w:rsid w:val="009B526C"/>
    <w:rsid w:val="009B5310"/>
    <w:rsid w:val="009B53A7"/>
    <w:rsid w:val="009B5655"/>
    <w:rsid w:val="009B5909"/>
    <w:rsid w:val="009B599E"/>
    <w:rsid w:val="009B5AB9"/>
    <w:rsid w:val="009B5D1D"/>
    <w:rsid w:val="009B5D90"/>
    <w:rsid w:val="009B5E08"/>
    <w:rsid w:val="009B5F9E"/>
    <w:rsid w:val="009B60EE"/>
    <w:rsid w:val="009B62CF"/>
    <w:rsid w:val="009B6380"/>
    <w:rsid w:val="009B65EF"/>
    <w:rsid w:val="009B72F5"/>
    <w:rsid w:val="009B7432"/>
    <w:rsid w:val="009B756A"/>
    <w:rsid w:val="009B78D1"/>
    <w:rsid w:val="009B796A"/>
    <w:rsid w:val="009B7BF8"/>
    <w:rsid w:val="009B7C90"/>
    <w:rsid w:val="009B7CDC"/>
    <w:rsid w:val="009B7D17"/>
    <w:rsid w:val="009C00A9"/>
    <w:rsid w:val="009C0206"/>
    <w:rsid w:val="009C03B5"/>
    <w:rsid w:val="009C05EF"/>
    <w:rsid w:val="009C06CF"/>
    <w:rsid w:val="009C08C9"/>
    <w:rsid w:val="009C0A7E"/>
    <w:rsid w:val="009C0AB0"/>
    <w:rsid w:val="009C0FB3"/>
    <w:rsid w:val="009C1073"/>
    <w:rsid w:val="009C1272"/>
    <w:rsid w:val="009C128F"/>
    <w:rsid w:val="009C12E5"/>
    <w:rsid w:val="009C1438"/>
    <w:rsid w:val="009C165D"/>
    <w:rsid w:val="009C1670"/>
    <w:rsid w:val="009C1847"/>
    <w:rsid w:val="009C19F1"/>
    <w:rsid w:val="009C1A39"/>
    <w:rsid w:val="009C1CFB"/>
    <w:rsid w:val="009C1E2C"/>
    <w:rsid w:val="009C1F89"/>
    <w:rsid w:val="009C22E0"/>
    <w:rsid w:val="009C2590"/>
    <w:rsid w:val="009C2913"/>
    <w:rsid w:val="009C29CB"/>
    <w:rsid w:val="009C2D37"/>
    <w:rsid w:val="009C2D4A"/>
    <w:rsid w:val="009C301A"/>
    <w:rsid w:val="009C30FC"/>
    <w:rsid w:val="009C32BE"/>
    <w:rsid w:val="009C32D6"/>
    <w:rsid w:val="009C32E2"/>
    <w:rsid w:val="009C334D"/>
    <w:rsid w:val="009C3377"/>
    <w:rsid w:val="009C3440"/>
    <w:rsid w:val="009C3659"/>
    <w:rsid w:val="009C3ABC"/>
    <w:rsid w:val="009C3BFF"/>
    <w:rsid w:val="009C3C0D"/>
    <w:rsid w:val="009C3C71"/>
    <w:rsid w:val="009C3D68"/>
    <w:rsid w:val="009C4012"/>
    <w:rsid w:val="009C4517"/>
    <w:rsid w:val="009C460C"/>
    <w:rsid w:val="009C46F2"/>
    <w:rsid w:val="009C49D4"/>
    <w:rsid w:val="009C4ADB"/>
    <w:rsid w:val="009C4FDA"/>
    <w:rsid w:val="009C536F"/>
    <w:rsid w:val="009C53FC"/>
    <w:rsid w:val="009C5423"/>
    <w:rsid w:val="009C54E1"/>
    <w:rsid w:val="009C565C"/>
    <w:rsid w:val="009C57DF"/>
    <w:rsid w:val="009C580E"/>
    <w:rsid w:val="009C5883"/>
    <w:rsid w:val="009C58A3"/>
    <w:rsid w:val="009C59C2"/>
    <w:rsid w:val="009C5DCE"/>
    <w:rsid w:val="009C5E12"/>
    <w:rsid w:val="009C6052"/>
    <w:rsid w:val="009C6069"/>
    <w:rsid w:val="009C697E"/>
    <w:rsid w:val="009C6A5F"/>
    <w:rsid w:val="009C6AD4"/>
    <w:rsid w:val="009C6CAC"/>
    <w:rsid w:val="009C6D54"/>
    <w:rsid w:val="009C6EEF"/>
    <w:rsid w:val="009C729E"/>
    <w:rsid w:val="009C734E"/>
    <w:rsid w:val="009C73A7"/>
    <w:rsid w:val="009C7491"/>
    <w:rsid w:val="009C74A3"/>
    <w:rsid w:val="009C7667"/>
    <w:rsid w:val="009C773E"/>
    <w:rsid w:val="009C795E"/>
    <w:rsid w:val="009C7E37"/>
    <w:rsid w:val="009C7F4B"/>
    <w:rsid w:val="009D0227"/>
    <w:rsid w:val="009D03BB"/>
    <w:rsid w:val="009D03EB"/>
    <w:rsid w:val="009D03EF"/>
    <w:rsid w:val="009D0415"/>
    <w:rsid w:val="009D0541"/>
    <w:rsid w:val="009D05F3"/>
    <w:rsid w:val="009D06A6"/>
    <w:rsid w:val="009D0719"/>
    <w:rsid w:val="009D08C3"/>
    <w:rsid w:val="009D0A4B"/>
    <w:rsid w:val="009D0B1A"/>
    <w:rsid w:val="009D0B2A"/>
    <w:rsid w:val="009D0CF4"/>
    <w:rsid w:val="009D1107"/>
    <w:rsid w:val="009D1148"/>
    <w:rsid w:val="009D11A5"/>
    <w:rsid w:val="009D1200"/>
    <w:rsid w:val="009D18E6"/>
    <w:rsid w:val="009D1A2A"/>
    <w:rsid w:val="009D1FCA"/>
    <w:rsid w:val="009D200A"/>
    <w:rsid w:val="009D215C"/>
    <w:rsid w:val="009D2254"/>
    <w:rsid w:val="009D297D"/>
    <w:rsid w:val="009D29D8"/>
    <w:rsid w:val="009D2A58"/>
    <w:rsid w:val="009D2C9A"/>
    <w:rsid w:val="009D339F"/>
    <w:rsid w:val="009D3407"/>
    <w:rsid w:val="009D3434"/>
    <w:rsid w:val="009D372E"/>
    <w:rsid w:val="009D3CEC"/>
    <w:rsid w:val="009D3CF4"/>
    <w:rsid w:val="009D3E96"/>
    <w:rsid w:val="009D3FB2"/>
    <w:rsid w:val="009D3FC8"/>
    <w:rsid w:val="009D3FD7"/>
    <w:rsid w:val="009D4290"/>
    <w:rsid w:val="009D433D"/>
    <w:rsid w:val="009D4613"/>
    <w:rsid w:val="009D4782"/>
    <w:rsid w:val="009D47D8"/>
    <w:rsid w:val="009D492A"/>
    <w:rsid w:val="009D4A50"/>
    <w:rsid w:val="009D4B38"/>
    <w:rsid w:val="009D4B7F"/>
    <w:rsid w:val="009D4E27"/>
    <w:rsid w:val="009D5252"/>
    <w:rsid w:val="009D549F"/>
    <w:rsid w:val="009D552D"/>
    <w:rsid w:val="009D56B7"/>
    <w:rsid w:val="009D5C88"/>
    <w:rsid w:val="009D5E80"/>
    <w:rsid w:val="009D62BD"/>
    <w:rsid w:val="009D6372"/>
    <w:rsid w:val="009D659A"/>
    <w:rsid w:val="009D667E"/>
    <w:rsid w:val="009D6D47"/>
    <w:rsid w:val="009D6F39"/>
    <w:rsid w:val="009D70AF"/>
    <w:rsid w:val="009D7192"/>
    <w:rsid w:val="009D71F4"/>
    <w:rsid w:val="009D73B6"/>
    <w:rsid w:val="009D73D6"/>
    <w:rsid w:val="009D753C"/>
    <w:rsid w:val="009D765A"/>
    <w:rsid w:val="009D76BA"/>
    <w:rsid w:val="009D7783"/>
    <w:rsid w:val="009D7C64"/>
    <w:rsid w:val="009D7CE8"/>
    <w:rsid w:val="009D7F06"/>
    <w:rsid w:val="009E022E"/>
    <w:rsid w:val="009E030C"/>
    <w:rsid w:val="009E049C"/>
    <w:rsid w:val="009E052B"/>
    <w:rsid w:val="009E07E1"/>
    <w:rsid w:val="009E0DD3"/>
    <w:rsid w:val="009E0F20"/>
    <w:rsid w:val="009E11FD"/>
    <w:rsid w:val="009E1264"/>
    <w:rsid w:val="009E1427"/>
    <w:rsid w:val="009E14FD"/>
    <w:rsid w:val="009E17DA"/>
    <w:rsid w:val="009E18A5"/>
    <w:rsid w:val="009E1AE0"/>
    <w:rsid w:val="009E1BAC"/>
    <w:rsid w:val="009E1C40"/>
    <w:rsid w:val="009E27C0"/>
    <w:rsid w:val="009E287A"/>
    <w:rsid w:val="009E29CD"/>
    <w:rsid w:val="009E2B33"/>
    <w:rsid w:val="009E2BB6"/>
    <w:rsid w:val="009E2D11"/>
    <w:rsid w:val="009E2DA1"/>
    <w:rsid w:val="009E2DD5"/>
    <w:rsid w:val="009E33E8"/>
    <w:rsid w:val="009E3759"/>
    <w:rsid w:val="009E3907"/>
    <w:rsid w:val="009E3B88"/>
    <w:rsid w:val="009E3CE4"/>
    <w:rsid w:val="009E3D20"/>
    <w:rsid w:val="009E3EBE"/>
    <w:rsid w:val="009E402C"/>
    <w:rsid w:val="009E40AC"/>
    <w:rsid w:val="009E415A"/>
    <w:rsid w:val="009E4420"/>
    <w:rsid w:val="009E451E"/>
    <w:rsid w:val="009E45BB"/>
    <w:rsid w:val="009E4A91"/>
    <w:rsid w:val="009E4BEF"/>
    <w:rsid w:val="009E4C6B"/>
    <w:rsid w:val="009E4D13"/>
    <w:rsid w:val="009E5013"/>
    <w:rsid w:val="009E5504"/>
    <w:rsid w:val="009E574E"/>
    <w:rsid w:val="009E57D7"/>
    <w:rsid w:val="009E5A09"/>
    <w:rsid w:val="009E5A2F"/>
    <w:rsid w:val="009E5B5E"/>
    <w:rsid w:val="009E5B9D"/>
    <w:rsid w:val="009E5D18"/>
    <w:rsid w:val="009E5FA9"/>
    <w:rsid w:val="009E6046"/>
    <w:rsid w:val="009E60E7"/>
    <w:rsid w:val="009E6232"/>
    <w:rsid w:val="009E6489"/>
    <w:rsid w:val="009E6719"/>
    <w:rsid w:val="009E6775"/>
    <w:rsid w:val="009E6953"/>
    <w:rsid w:val="009E6EA3"/>
    <w:rsid w:val="009E6EFE"/>
    <w:rsid w:val="009E6F56"/>
    <w:rsid w:val="009E6F82"/>
    <w:rsid w:val="009E707F"/>
    <w:rsid w:val="009E72D2"/>
    <w:rsid w:val="009E7446"/>
    <w:rsid w:val="009E7595"/>
    <w:rsid w:val="009E75B7"/>
    <w:rsid w:val="009E76A7"/>
    <w:rsid w:val="009E7952"/>
    <w:rsid w:val="009E7980"/>
    <w:rsid w:val="009E7A62"/>
    <w:rsid w:val="009E7B22"/>
    <w:rsid w:val="009E7B6F"/>
    <w:rsid w:val="009E7BCD"/>
    <w:rsid w:val="009E7BFC"/>
    <w:rsid w:val="009E7C1E"/>
    <w:rsid w:val="009E7C7F"/>
    <w:rsid w:val="009E7F57"/>
    <w:rsid w:val="009E7FF8"/>
    <w:rsid w:val="009F0024"/>
    <w:rsid w:val="009F00A6"/>
    <w:rsid w:val="009F01CE"/>
    <w:rsid w:val="009F066E"/>
    <w:rsid w:val="009F0AC9"/>
    <w:rsid w:val="009F0C1C"/>
    <w:rsid w:val="009F0CBC"/>
    <w:rsid w:val="009F0E5A"/>
    <w:rsid w:val="009F1185"/>
    <w:rsid w:val="009F11E7"/>
    <w:rsid w:val="009F1343"/>
    <w:rsid w:val="009F1750"/>
    <w:rsid w:val="009F17AB"/>
    <w:rsid w:val="009F1A16"/>
    <w:rsid w:val="009F1C5E"/>
    <w:rsid w:val="009F1ECF"/>
    <w:rsid w:val="009F1F37"/>
    <w:rsid w:val="009F1F6C"/>
    <w:rsid w:val="009F2242"/>
    <w:rsid w:val="009F2368"/>
    <w:rsid w:val="009F236C"/>
    <w:rsid w:val="009F24EE"/>
    <w:rsid w:val="009F25E7"/>
    <w:rsid w:val="009F2F62"/>
    <w:rsid w:val="009F3230"/>
    <w:rsid w:val="009F32A3"/>
    <w:rsid w:val="009F3428"/>
    <w:rsid w:val="009F361E"/>
    <w:rsid w:val="009F3623"/>
    <w:rsid w:val="009F3913"/>
    <w:rsid w:val="009F3D5D"/>
    <w:rsid w:val="009F3D65"/>
    <w:rsid w:val="009F413B"/>
    <w:rsid w:val="009F41AB"/>
    <w:rsid w:val="009F41ED"/>
    <w:rsid w:val="009F4500"/>
    <w:rsid w:val="009F46DA"/>
    <w:rsid w:val="009F4ABA"/>
    <w:rsid w:val="009F4C10"/>
    <w:rsid w:val="009F4CE4"/>
    <w:rsid w:val="009F4CEA"/>
    <w:rsid w:val="009F4D42"/>
    <w:rsid w:val="009F4DDF"/>
    <w:rsid w:val="009F4EF3"/>
    <w:rsid w:val="009F4FAD"/>
    <w:rsid w:val="009F5102"/>
    <w:rsid w:val="009F510B"/>
    <w:rsid w:val="009F53B3"/>
    <w:rsid w:val="009F53D2"/>
    <w:rsid w:val="009F5555"/>
    <w:rsid w:val="009F5628"/>
    <w:rsid w:val="009F58D5"/>
    <w:rsid w:val="009F5950"/>
    <w:rsid w:val="009F59CE"/>
    <w:rsid w:val="009F5BD1"/>
    <w:rsid w:val="009F5E0D"/>
    <w:rsid w:val="009F60D0"/>
    <w:rsid w:val="009F60D8"/>
    <w:rsid w:val="009F6414"/>
    <w:rsid w:val="009F64D7"/>
    <w:rsid w:val="009F65AB"/>
    <w:rsid w:val="009F661F"/>
    <w:rsid w:val="009F66A5"/>
    <w:rsid w:val="009F67E7"/>
    <w:rsid w:val="009F685C"/>
    <w:rsid w:val="009F689F"/>
    <w:rsid w:val="009F6DB3"/>
    <w:rsid w:val="009F72C6"/>
    <w:rsid w:val="009F73EC"/>
    <w:rsid w:val="009F7649"/>
    <w:rsid w:val="009F766D"/>
    <w:rsid w:val="009F77B2"/>
    <w:rsid w:val="009F78E6"/>
    <w:rsid w:val="009F7B3E"/>
    <w:rsid w:val="009F7DF8"/>
    <w:rsid w:val="009F7F16"/>
    <w:rsid w:val="00A001B5"/>
    <w:rsid w:val="00A0041E"/>
    <w:rsid w:val="00A00453"/>
    <w:rsid w:val="00A0057C"/>
    <w:rsid w:val="00A006D2"/>
    <w:rsid w:val="00A00EE3"/>
    <w:rsid w:val="00A00F7A"/>
    <w:rsid w:val="00A01240"/>
    <w:rsid w:val="00A012D6"/>
    <w:rsid w:val="00A016C3"/>
    <w:rsid w:val="00A01758"/>
    <w:rsid w:val="00A01841"/>
    <w:rsid w:val="00A01A92"/>
    <w:rsid w:val="00A021A6"/>
    <w:rsid w:val="00A02370"/>
    <w:rsid w:val="00A02631"/>
    <w:rsid w:val="00A02770"/>
    <w:rsid w:val="00A029A2"/>
    <w:rsid w:val="00A029C8"/>
    <w:rsid w:val="00A02B38"/>
    <w:rsid w:val="00A02D05"/>
    <w:rsid w:val="00A02D4A"/>
    <w:rsid w:val="00A02E34"/>
    <w:rsid w:val="00A02F64"/>
    <w:rsid w:val="00A030EE"/>
    <w:rsid w:val="00A031FE"/>
    <w:rsid w:val="00A0321A"/>
    <w:rsid w:val="00A032C4"/>
    <w:rsid w:val="00A03334"/>
    <w:rsid w:val="00A03399"/>
    <w:rsid w:val="00A03593"/>
    <w:rsid w:val="00A03709"/>
    <w:rsid w:val="00A037DC"/>
    <w:rsid w:val="00A0393C"/>
    <w:rsid w:val="00A03988"/>
    <w:rsid w:val="00A03A41"/>
    <w:rsid w:val="00A04256"/>
    <w:rsid w:val="00A044B9"/>
    <w:rsid w:val="00A044E8"/>
    <w:rsid w:val="00A04A4E"/>
    <w:rsid w:val="00A04FD0"/>
    <w:rsid w:val="00A051D2"/>
    <w:rsid w:val="00A051E1"/>
    <w:rsid w:val="00A051F9"/>
    <w:rsid w:val="00A0522D"/>
    <w:rsid w:val="00A05308"/>
    <w:rsid w:val="00A055AB"/>
    <w:rsid w:val="00A055DD"/>
    <w:rsid w:val="00A05865"/>
    <w:rsid w:val="00A05AAF"/>
    <w:rsid w:val="00A06308"/>
    <w:rsid w:val="00A063C0"/>
    <w:rsid w:val="00A064DF"/>
    <w:rsid w:val="00A065F2"/>
    <w:rsid w:val="00A06935"/>
    <w:rsid w:val="00A06B47"/>
    <w:rsid w:val="00A06B6A"/>
    <w:rsid w:val="00A06BB2"/>
    <w:rsid w:val="00A06D03"/>
    <w:rsid w:val="00A07543"/>
    <w:rsid w:val="00A0786F"/>
    <w:rsid w:val="00A07EA8"/>
    <w:rsid w:val="00A07F37"/>
    <w:rsid w:val="00A0A718"/>
    <w:rsid w:val="00A10364"/>
    <w:rsid w:val="00A103D8"/>
    <w:rsid w:val="00A103D9"/>
    <w:rsid w:val="00A10B85"/>
    <w:rsid w:val="00A10CC0"/>
    <w:rsid w:val="00A10CD0"/>
    <w:rsid w:val="00A10CE8"/>
    <w:rsid w:val="00A10D86"/>
    <w:rsid w:val="00A11091"/>
    <w:rsid w:val="00A110C5"/>
    <w:rsid w:val="00A111AF"/>
    <w:rsid w:val="00A111C4"/>
    <w:rsid w:val="00A1130E"/>
    <w:rsid w:val="00A11691"/>
    <w:rsid w:val="00A11989"/>
    <w:rsid w:val="00A11B71"/>
    <w:rsid w:val="00A11C75"/>
    <w:rsid w:val="00A11D0A"/>
    <w:rsid w:val="00A122D1"/>
    <w:rsid w:val="00A12376"/>
    <w:rsid w:val="00A12406"/>
    <w:rsid w:val="00A129E1"/>
    <w:rsid w:val="00A12BAC"/>
    <w:rsid w:val="00A12D4C"/>
    <w:rsid w:val="00A12E3E"/>
    <w:rsid w:val="00A12F6B"/>
    <w:rsid w:val="00A13222"/>
    <w:rsid w:val="00A1327B"/>
    <w:rsid w:val="00A134B2"/>
    <w:rsid w:val="00A1350C"/>
    <w:rsid w:val="00A13591"/>
    <w:rsid w:val="00A1385E"/>
    <w:rsid w:val="00A13C27"/>
    <w:rsid w:val="00A13CD3"/>
    <w:rsid w:val="00A13F19"/>
    <w:rsid w:val="00A1431A"/>
    <w:rsid w:val="00A14394"/>
    <w:rsid w:val="00A14419"/>
    <w:rsid w:val="00A14C75"/>
    <w:rsid w:val="00A151DE"/>
    <w:rsid w:val="00A15A97"/>
    <w:rsid w:val="00A15B6A"/>
    <w:rsid w:val="00A15BC6"/>
    <w:rsid w:val="00A16080"/>
    <w:rsid w:val="00A163D6"/>
    <w:rsid w:val="00A16750"/>
    <w:rsid w:val="00A16901"/>
    <w:rsid w:val="00A16A39"/>
    <w:rsid w:val="00A16DBD"/>
    <w:rsid w:val="00A16EA7"/>
    <w:rsid w:val="00A172F3"/>
    <w:rsid w:val="00A178F8"/>
    <w:rsid w:val="00A17C49"/>
    <w:rsid w:val="00A17EF8"/>
    <w:rsid w:val="00A2042F"/>
    <w:rsid w:val="00A20450"/>
    <w:rsid w:val="00A2047A"/>
    <w:rsid w:val="00A204AC"/>
    <w:rsid w:val="00A20688"/>
    <w:rsid w:val="00A20748"/>
    <w:rsid w:val="00A207D6"/>
    <w:rsid w:val="00A20883"/>
    <w:rsid w:val="00A20A46"/>
    <w:rsid w:val="00A21227"/>
    <w:rsid w:val="00A21328"/>
    <w:rsid w:val="00A21372"/>
    <w:rsid w:val="00A218C2"/>
    <w:rsid w:val="00A21979"/>
    <w:rsid w:val="00A21A53"/>
    <w:rsid w:val="00A21A6E"/>
    <w:rsid w:val="00A21BC7"/>
    <w:rsid w:val="00A21BD7"/>
    <w:rsid w:val="00A21BEE"/>
    <w:rsid w:val="00A21BF0"/>
    <w:rsid w:val="00A21E44"/>
    <w:rsid w:val="00A21F43"/>
    <w:rsid w:val="00A220F7"/>
    <w:rsid w:val="00A22250"/>
    <w:rsid w:val="00A222B6"/>
    <w:rsid w:val="00A2245B"/>
    <w:rsid w:val="00A2287E"/>
    <w:rsid w:val="00A22EB1"/>
    <w:rsid w:val="00A23078"/>
    <w:rsid w:val="00A230DD"/>
    <w:rsid w:val="00A23291"/>
    <w:rsid w:val="00A2339E"/>
    <w:rsid w:val="00A234D7"/>
    <w:rsid w:val="00A236D0"/>
    <w:rsid w:val="00A2388E"/>
    <w:rsid w:val="00A238A0"/>
    <w:rsid w:val="00A23A24"/>
    <w:rsid w:val="00A23A65"/>
    <w:rsid w:val="00A23E3A"/>
    <w:rsid w:val="00A24100"/>
    <w:rsid w:val="00A2416A"/>
    <w:rsid w:val="00A24228"/>
    <w:rsid w:val="00A2434F"/>
    <w:rsid w:val="00A244CA"/>
    <w:rsid w:val="00A244F1"/>
    <w:rsid w:val="00A2453D"/>
    <w:rsid w:val="00A2487C"/>
    <w:rsid w:val="00A24A68"/>
    <w:rsid w:val="00A24AE5"/>
    <w:rsid w:val="00A24B36"/>
    <w:rsid w:val="00A24D19"/>
    <w:rsid w:val="00A24F87"/>
    <w:rsid w:val="00A252A6"/>
    <w:rsid w:val="00A253C4"/>
    <w:rsid w:val="00A253D6"/>
    <w:rsid w:val="00A253F3"/>
    <w:rsid w:val="00A2553B"/>
    <w:rsid w:val="00A2583F"/>
    <w:rsid w:val="00A259B9"/>
    <w:rsid w:val="00A25BD9"/>
    <w:rsid w:val="00A261FA"/>
    <w:rsid w:val="00A2624A"/>
    <w:rsid w:val="00A2667B"/>
    <w:rsid w:val="00A26957"/>
    <w:rsid w:val="00A26E02"/>
    <w:rsid w:val="00A27064"/>
    <w:rsid w:val="00A270AA"/>
    <w:rsid w:val="00A2746D"/>
    <w:rsid w:val="00A278E7"/>
    <w:rsid w:val="00A27BAC"/>
    <w:rsid w:val="00A27DE2"/>
    <w:rsid w:val="00A30021"/>
    <w:rsid w:val="00A30165"/>
    <w:rsid w:val="00A303B6"/>
    <w:rsid w:val="00A303C5"/>
    <w:rsid w:val="00A303EF"/>
    <w:rsid w:val="00A30521"/>
    <w:rsid w:val="00A307D0"/>
    <w:rsid w:val="00A3089D"/>
    <w:rsid w:val="00A30EC8"/>
    <w:rsid w:val="00A30F02"/>
    <w:rsid w:val="00A30F70"/>
    <w:rsid w:val="00A315AB"/>
    <w:rsid w:val="00A3187C"/>
    <w:rsid w:val="00A31A31"/>
    <w:rsid w:val="00A31ABA"/>
    <w:rsid w:val="00A31C98"/>
    <w:rsid w:val="00A31CB4"/>
    <w:rsid w:val="00A31E70"/>
    <w:rsid w:val="00A31FD7"/>
    <w:rsid w:val="00A32067"/>
    <w:rsid w:val="00A320A7"/>
    <w:rsid w:val="00A32467"/>
    <w:rsid w:val="00A32591"/>
    <w:rsid w:val="00A327A5"/>
    <w:rsid w:val="00A32838"/>
    <w:rsid w:val="00A329C7"/>
    <w:rsid w:val="00A32A66"/>
    <w:rsid w:val="00A32E00"/>
    <w:rsid w:val="00A33049"/>
    <w:rsid w:val="00A33194"/>
    <w:rsid w:val="00A333AF"/>
    <w:rsid w:val="00A3345F"/>
    <w:rsid w:val="00A334E3"/>
    <w:rsid w:val="00A33AFB"/>
    <w:rsid w:val="00A33DC9"/>
    <w:rsid w:val="00A3406B"/>
    <w:rsid w:val="00A341E8"/>
    <w:rsid w:val="00A344E5"/>
    <w:rsid w:val="00A345B8"/>
    <w:rsid w:val="00A3462A"/>
    <w:rsid w:val="00A34C98"/>
    <w:rsid w:val="00A34D49"/>
    <w:rsid w:val="00A34E6C"/>
    <w:rsid w:val="00A34F57"/>
    <w:rsid w:val="00A34F72"/>
    <w:rsid w:val="00A35223"/>
    <w:rsid w:val="00A352CB"/>
    <w:rsid w:val="00A356D2"/>
    <w:rsid w:val="00A3570C"/>
    <w:rsid w:val="00A357EF"/>
    <w:rsid w:val="00A35A2D"/>
    <w:rsid w:val="00A36065"/>
    <w:rsid w:val="00A36250"/>
    <w:rsid w:val="00A369A1"/>
    <w:rsid w:val="00A369A7"/>
    <w:rsid w:val="00A36A70"/>
    <w:rsid w:val="00A36B2C"/>
    <w:rsid w:val="00A36B37"/>
    <w:rsid w:val="00A36E6C"/>
    <w:rsid w:val="00A36F98"/>
    <w:rsid w:val="00A3704D"/>
    <w:rsid w:val="00A3720B"/>
    <w:rsid w:val="00A37405"/>
    <w:rsid w:val="00A3776E"/>
    <w:rsid w:val="00A377C1"/>
    <w:rsid w:val="00A377EC"/>
    <w:rsid w:val="00A37846"/>
    <w:rsid w:val="00A37AF6"/>
    <w:rsid w:val="00A37D05"/>
    <w:rsid w:val="00A37D9F"/>
    <w:rsid w:val="00A37E0A"/>
    <w:rsid w:val="00A37FD0"/>
    <w:rsid w:val="00A37FF8"/>
    <w:rsid w:val="00A403F2"/>
    <w:rsid w:val="00A405B9"/>
    <w:rsid w:val="00A405C4"/>
    <w:rsid w:val="00A405E5"/>
    <w:rsid w:val="00A4085A"/>
    <w:rsid w:val="00A408D2"/>
    <w:rsid w:val="00A40A00"/>
    <w:rsid w:val="00A40C86"/>
    <w:rsid w:val="00A40FA0"/>
    <w:rsid w:val="00A4111B"/>
    <w:rsid w:val="00A411BD"/>
    <w:rsid w:val="00A4122E"/>
    <w:rsid w:val="00A41376"/>
    <w:rsid w:val="00A414C9"/>
    <w:rsid w:val="00A4154E"/>
    <w:rsid w:val="00A4178B"/>
    <w:rsid w:val="00A41848"/>
    <w:rsid w:val="00A41859"/>
    <w:rsid w:val="00A419BF"/>
    <w:rsid w:val="00A41A12"/>
    <w:rsid w:val="00A41C30"/>
    <w:rsid w:val="00A41C5F"/>
    <w:rsid w:val="00A41D57"/>
    <w:rsid w:val="00A420FB"/>
    <w:rsid w:val="00A42193"/>
    <w:rsid w:val="00A42259"/>
    <w:rsid w:val="00A4255D"/>
    <w:rsid w:val="00A42620"/>
    <w:rsid w:val="00A42A6E"/>
    <w:rsid w:val="00A42C89"/>
    <w:rsid w:val="00A42CC1"/>
    <w:rsid w:val="00A43048"/>
    <w:rsid w:val="00A43496"/>
    <w:rsid w:val="00A43601"/>
    <w:rsid w:val="00A439C2"/>
    <w:rsid w:val="00A439D3"/>
    <w:rsid w:val="00A43A51"/>
    <w:rsid w:val="00A43C45"/>
    <w:rsid w:val="00A43DDF"/>
    <w:rsid w:val="00A43E25"/>
    <w:rsid w:val="00A43FB7"/>
    <w:rsid w:val="00A441D0"/>
    <w:rsid w:val="00A44269"/>
    <w:rsid w:val="00A44424"/>
    <w:rsid w:val="00A44676"/>
    <w:rsid w:val="00A44952"/>
    <w:rsid w:val="00A449D0"/>
    <w:rsid w:val="00A44C10"/>
    <w:rsid w:val="00A4516F"/>
    <w:rsid w:val="00A45ECD"/>
    <w:rsid w:val="00A462D0"/>
    <w:rsid w:val="00A46565"/>
    <w:rsid w:val="00A467B8"/>
    <w:rsid w:val="00A46A2D"/>
    <w:rsid w:val="00A46B18"/>
    <w:rsid w:val="00A46BC1"/>
    <w:rsid w:val="00A46CF8"/>
    <w:rsid w:val="00A4713E"/>
    <w:rsid w:val="00A4739C"/>
    <w:rsid w:val="00A476AB"/>
    <w:rsid w:val="00A476C8"/>
    <w:rsid w:val="00A4772A"/>
    <w:rsid w:val="00A478AC"/>
    <w:rsid w:val="00A47DF2"/>
    <w:rsid w:val="00A50364"/>
    <w:rsid w:val="00A50516"/>
    <w:rsid w:val="00A5066F"/>
    <w:rsid w:val="00A507EC"/>
    <w:rsid w:val="00A508C7"/>
    <w:rsid w:val="00A50B44"/>
    <w:rsid w:val="00A50CA5"/>
    <w:rsid w:val="00A50ED3"/>
    <w:rsid w:val="00A5102E"/>
    <w:rsid w:val="00A51169"/>
    <w:rsid w:val="00A512F0"/>
    <w:rsid w:val="00A51365"/>
    <w:rsid w:val="00A51461"/>
    <w:rsid w:val="00A514F9"/>
    <w:rsid w:val="00A517A3"/>
    <w:rsid w:val="00A5189D"/>
    <w:rsid w:val="00A518F4"/>
    <w:rsid w:val="00A51993"/>
    <w:rsid w:val="00A51A9A"/>
    <w:rsid w:val="00A51BCC"/>
    <w:rsid w:val="00A51D4D"/>
    <w:rsid w:val="00A51ECB"/>
    <w:rsid w:val="00A52039"/>
    <w:rsid w:val="00A52336"/>
    <w:rsid w:val="00A52364"/>
    <w:rsid w:val="00A5245E"/>
    <w:rsid w:val="00A5250B"/>
    <w:rsid w:val="00A52A0E"/>
    <w:rsid w:val="00A52B88"/>
    <w:rsid w:val="00A52BE4"/>
    <w:rsid w:val="00A52BE9"/>
    <w:rsid w:val="00A52F39"/>
    <w:rsid w:val="00A5306D"/>
    <w:rsid w:val="00A533AC"/>
    <w:rsid w:val="00A535DD"/>
    <w:rsid w:val="00A53660"/>
    <w:rsid w:val="00A53696"/>
    <w:rsid w:val="00A5392A"/>
    <w:rsid w:val="00A54129"/>
    <w:rsid w:val="00A544BD"/>
    <w:rsid w:val="00A544D0"/>
    <w:rsid w:val="00A5463C"/>
    <w:rsid w:val="00A548AB"/>
    <w:rsid w:val="00A54A25"/>
    <w:rsid w:val="00A54B5D"/>
    <w:rsid w:val="00A54F1B"/>
    <w:rsid w:val="00A5501C"/>
    <w:rsid w:val="00A555EA"/>
    <w:rsid w:val="00A556EF"/>
    <w:rsid w:val="00A55A77"/>
    <w:rsid w:val="00A55ADC"/>
    <w:rsid w:val="00A55B06"/>
    <w:rsid w:val="00A55E57"/>
    <w:rsid w:val="00A560B6"/>
    <w:rsid w:val="00A561F7"/>
    <w:rsid w:val="00A565C7"/>
    <w:rsid w:val="00A570A8"/>
    <w:rsid w:val="00A57140"/>
    <w:rsid w:val="00A57449"/>
    <w:rsid w:val="00A575A3"/>
    <w:rsid w:val="00A576B4"/>
    <w:rsid w:val="00A57AA2"/>
    <w:rsid w:val="00A57C95"/>
    <w:rsid w:val="00A57CEE"/>
    <w:rsid w:val="00A57DC7"/>
    <w:rsid w:val="00A60716"/>
    <w:rsid w:val="00A60A5C"/>
    <w:rsid w:val="00A60A9E"/>
    <w:rsid w:val="00A6115B"/>
    <w:rsid w:val="00A611C0"/>
    <w:rsid w:val="00A61296"/>
    <w:rsid w:val="00A6178F"/>
    <w:rsid w:val="00A61D15"/>
    <w:rsid w:val="00A62242"/>
    <w:rsid w:val="00A623CD"/>
    <w:rsid w:val="00A62E30"/>
    <w:rsid w:val="00A62E5F"/>
    <w:rsid w:val="00A62F2E"/>
    <w:rsid w:val="00A6315F"/>
    <w:rsid w:val="00A6330D"/>
    <w:rsid w:val="00A63402"/>
    <w:rsid w:val="00A634A4"/>
    <w:rsid w:val="00A637A7"/>
    <w:rsid w:val="00A637D9"/>
    <w:rsid w:val="00A63A9C"/>
    <w:rsid w:val="00A63C64"/>
    <w:rsid w:val="00A63F11"/>
    <w:rsid w:val="00A6400F"/>
    <w:rsid w:val="00A64458"/>
    <w:rsid w:val="00A645DA"/>
    <w:rsid w:val="00A64868"/>
    <w:rsid w:val="00A64B0D"/>
    <w:rsid w:val="00A64B1E"/>
    <w:rsid w:val="00A64C94"/>
    <w:rsid w:val="00A6509D"/>
    <w:rsid w:val="00A656FE"/>
    <w:rsid w:val="00A65C9B"/>
    <w:rsid w:val="00A665E5"/>
    <w:rsid w:val="00A66837"/>
    <w:rsid w:val="00A66B03"/>
    <w:rsid w:val="00A66B84"/>
    <w:rsid w:val="00A66DF1"/>
    <w:rsid w:val="00A66EE8"/>
    <w:rsid w:val="00A66FC7"/>
    <w:rsid w:val="00A6720F"/>
    <w:rsid w:val="00A672BC"/>
    <w:rsid w:val="00A67499"/>
    <w:rsid w:val="00A67689"/>
    <w:rsid w:val="00A6781D"/>
    <w:rsid w:val="00A67C08"/>
    <w:rsid w:val="00A67D37"/>
    <w:rsid w:val="00A67EB0"/>
    <w:rsid w:val="00A67F81"/>
    <w:rsid w:val="00A67F86"/>
    <w:rsid w:val="00A700AB"/>
    <w:rsid w:val="00A70202"/>
    <w:rsid w:val="00A702C9"/>
    <w:rsid w:val="00A7041A"/>
    <w:rsid w:val="00A705A5"/>
    <w:rsid w:val="00A70916"/>
    <w:rsid w:val="00A7098A"/>
    <w:rsid w:val="00A709FF"/>
    <w:rsid w:val="00A70AFC"/>
    <w:rsid w:val="00A70D93"/>
    <w:rsid w:val="00A7122B"/>
    <w:rsid w:val="00A7148E"/>
    <w:rsid w:val="00A717DC"/>
    <w:rsid w:val="00A71ADE"/>
    <w:rsid w:val="00A71DF0"/>
    <w:rsid w:val="00A71F3B"/>
    <w:rsid w:val="00A71F98"/>
    <w:rsid w:val="00A72024"/>
    <w:rsid w:val="00A720BE"/>
    <w:rsid w:val="00A72109"/>
    <w:rsid w:val="00A72302"/>
    <w:rsid w:val="00A7260D"/>
    <w:rsid w:val="00A728DA"/>
    <w:rsid w:val="00A728FE"/>
    <w:rsid w:val="00A729B0"/>
    <w:rsid w:val="00A72B04"/>
    <w:rsid w:val="00A731A1"/>
    <w:rsid w:val="00A732E2"/>
    <w:rsid w:val="00A73366"/>
    <w:rsid w:val="00A73629"/>
    <w:rsid w:val="00A73801"/>
    <w:rsid w:val="00A738DD"/>
    <w:rsid w:val="00A73929"/>
    <w:rsid w:val="00A73D8B"/>
    <w:rsid w:val="00A73E80"/>
    <w:rsid w:val="00A73F5D"/>
    <w:rsid w:val="00A73FC4"/>
    <w:rsid w:val="00A74783"/>
    <w:rsid w:val="00A74CB0"/>
    <w:rsid w:val="00A74D74"/>
    <w:rsid w:val="00A74F91"/>
    <w:rsid w:val="00A752AF"/>
    <w:rsid w:val="00A755CC"/>
    <w:rsid w:val="00A75603"/>
    <w:rsid w:val="00A7566C"/>
    <w:rsid w:val="00A75745"/>
    <w:rsid w:val="00A75771"/>
    <w:rsid w:val="00A758AE"/>
    <w:rsid w:val="00A758EE"/>
    <w:rsid w:val="00A75A64"/>
    <w:rsid w:val="00A75CEF"/>
    <w:rsid w:val="00A75E8D"/>
    <w:rsid w:val="00A75FBA"/>
    <w:rsid w:val="00A76074"/>
    <w:rsid w:val="00A7608F"/>
    <w:rsid w:val="00A765ED"/>
    <w:rsid w:val="00A766F9"/>
    <w:rsid w:val="00A76A78"/>
    <w:rsid w:val="00A76AB0"/>
    <w:rsid w:val="00A77041"/>
    <w:rsid w:val="00A77730"/>
    <w:rsid w:val="00A77B5F"/>
    <w:rsid w:val="00A77E73"/>
    <w:rsid w:val="00A7DACB"/>
    <w:rsid w:val="00A80114"/>
    <w:rsid w:val="00A80176"/>
    <w:rsid w:val="00A80296"/>
    <w:rsid w:val="00A80380"/>
    <w:rsid w:val="00A80680"/>
    <w:rsid w:val="00A809EA"/>
    <w:rsid w:val="00A80DB5"/>
    <w:rsid w:val="00A80E38"/>
    <w:rsid w:val="00A81085"/>
    <w:rsid w:val="00A812AC"/>
    <w:rsid w:val="00A816D3"/>
    <w:rsid w:val="00A81799"/>
    <w:rsid w:val="00A81AE3"/>
    <w:rsid w:val="00A81BDD"/>
    <w:rsid w:val="00A81E08"/>
    <w:rsid w:val="00A81E7D"/>
    <w:rsid w:val="00A82366"/>
    <w:rsid w:val="00A823AD"/>
    <w:rsid w:val="00A824A4"/>
    <w:rsid w:val="00A828BF"/>
    <w:rsid w:val="00A82961"/>
    <w:rsid w:val="00A82BAF"/>
    <w:rsid w:val="00A82D04"/>
    <w:rsid w:val="00A82F01"/>
    <w:rsid w:val="00A82F1A"/>
    <w:rsid w:val="00A82FEA"/>
    <w:rsid w:val="00A83119"/>
    <w:rsid w:val="00A83198"/>
    <w:rsid w:val="00A83675"/>
    <w:rsid w:val="00A836C9"/>
    <w:rsid w:val="00A836E0"/>
    <w:rsid w:val="00A83C06"/>
    <w:rsid w:val="00A83D0B"/>
    <w:rsid w:val="00A83ECB"/>
    <w:rsid w:val="00A84276"/>
    <w:rsid w:val="00A8443D"/>
    <w:rsid w:val="00A8499C"/>
    <w:rsid w:val="00A84B60"/>
    <w:rsid w:val="00A84B84"/>
    <w:rsid w:val="00A84CCC"/>
    <w:rsid w:val="00A84D20"/>
    <w:rsid w:val="00A84D3C"/>
    <w:rsid w:val="00A850EE"/>
    <w:rsid w:val="00A850F4"/>
    <w:rsid w:val="00A851C2"/>
    <w:rsid w:val="00A85868"/>
    <w:rsid w:val="00A858C9"/>
    <w:rsid w:val="00A85B95"/>
    <w:rsid w:val="00A85DE6"/>
    <w:rsid w:val="00A8602A"/>
    <w:rsid w:val="00A863BD"/>
    <w:rsid w:val="00A863DC"/>
    <w:rsid w:val="00A86501"/>
    <w:rsid w:val="00A865B5"/>
    <w:rsid w:val="00A86A90"/>
    <w:rsid w:val="00A86B0E"/>
    <w:rsid w:val="00A86F4A"/>
    <w:rsid w:val="00A86F51"/>
    <w:rsid w:val="00A8704E"/>
    <w:rsid w:val="00A87162"/>
    <w:rsid w:val="00A87196"/>
    <w:rsid w:val="00A8732E"/>
    <w:rsid w:val="00A879CD"/>
    <w:rsid w:val="00A87CD5"/>
    <w:rsid w:val="00A87D69"/>
    <w:rsid w:val="00A90009"/>
    <w:rsid w:val="00A90013"/>
    <w:rsid w:val="00A9034A"/>
    <w:rsid w:val="00A904BC"/>
    <w:rsid w:val="00A9052E"/>
    <w:rsid w:val="00A90545"/>
    <w:rsid w:val="00A9074D"/>
    <w:rsid w:val="00A9081F"/>
    <w:rsid w:val="00A90B93"/>
    <w:rsid w:val="00A90D5B"/>
    <w:rsid w:val="00A90FE8"/>
    <w:rsid w:val="00A9119A"/>
    <w:rsid w:val="00A91475"/>
    <w:rsid w:val="00A915F7"/>
    <w:rsid w:val="00A917C3"/>
    <w:rsid w:val="00A9191E"/>
    <w:rsid w:val="00A91D8E"/>
    <w:rsid w:val="00A91F10"/>
    <w:rsid w:val="00A92029"/>
    <w:rsid w:val="00A921D5"/>
    <w:rsid w:val="00A92484"/>
    <w:rsid w:val="00A926B0"/>
    <w:rsid w:val="00A926BB"/>
    <w:rsid w:val="00A9275B"/>
    <w:rsid w:val="00A92774"/>
    <w:rsid w:val="00A9280B"/>
    <w:rsid w:val="00A92A65"/>
    <w:rsid w:val="00A92B60"/>
    <w:rsid w:val="00A92CC5"/>
    <w:rsid w:val="00A93974"/>
    <w:rsid w:val="00A93A16"/>
    <w:rsid w:val="00A93F20"/>
    <w:rsid w:val="00A93F67"/>
    <w:rsid w:val="00A93FAC"/>
    <w:rsid w:val="00A94313"/>
    <w:rsid w:val="00A945C9"/>
    <w:rsid w:val="00A94629"/>
    <w:rsid w:val="00A94639"/>
    <w:rsid w:val="00A9464B"/>
    <w:rsid w:val="00A9481E"/>
    <w:rsid w:val="00A948CA"/>
    <w:rsid w:val="00A94AE0"/>
    <w:rsid w:val="00A94BBF"/>
    <w:rsid w:val="00A94F52"/>
    <w:rsid w:val="00A94FAD"/>
    <w:rsid w:val="00A95214"/>
    <w:rsid w:val="00A95257"/>
    <w:rsid w:val="00A956C1"/>
    <w:rsid w:val="00A957EA"/>
    <w:rsid w:val="00A95801"/>
    <w:rsid w:val="00A95B74"/>
    <w:rsid w:val="00A95D11"/>
    <w:rsid w:val="00A95F77"/>
    <w:rsid w:val="00A95F99"/>
    <w:rsid w:val="00A96026"/>
    <w:rsid w:val="00A960E6"/>
    <w:rsid w:val="00A9618F"/>
    <w:rsid w:val="00A9631A"/>
    <w:rsid w:val="00A96893"/>
    <w:rsid w:val="00A969E5"/>
    <w:rsid w:val="00A96BB5"/>
    <w:rsid w:val="00A96C6C"/>
    <w:rsid w:val="00A96C7D"/>
    <w:rsid w:val="00A96CB4"/>
    <w:rsid w:val="00A96D9F"/>
    <w:rsid w:val="00A97401"/>
    <w:rsid w:val="00A97821"/>
    <w:rsid w:val="00A97875"/>
    <w:rsid w:val="00A97CA6"/>
    <w:rsid w:val="00A97E7A"/>
    <w:rsid w:val="00A97F40"/>
    <w:rsid w:val="00AA00B3"/>
    <w:rsid w:val="00AA00F0"/>
    <w:rsid w:val="00AA030E"/>
    <w:rsid w:val="00AA039D"/>
    <w:rsid w:val="00AA03E5"/>
    <w:rsid w:val="00AA04B7"/>
    <w:rsid w:val="00AA058F"/>
    <w:rsid w:val="00AA06AF"/>
    <w:rsid w:val="00AA06F7"/>
    <w:rsid w:val="00AA0ADE"/>
    <w:rsid w:val="00AA0BFF"/>
    <w:rsid w:val="00AA0DB1"/>
    <w:rsid w:val="00AA0F48"/>
    <w:rsid w:val="00AA154D"/>
    <w:rsid w:val="00AA1665"/>
    <w:rsid w:val="00AA16A8"/>
    <w:rsid w:val="00AA177A"/>
    <w:rsid w:val="00AA1859"/>
    <w:rsid w:val="00AA1C06"/>
    <w:rsid w:val="00AA1EF6"/>
    <w:rsid w:val="00AA1FF9"/>
    <w:rsid w:val="00AA2121"/>
    <w:rsid w:val="00AA217C"/>
    <w:rsid w:val="00AA221D"/>
    <w:rsid w:val="00AA2272"/>
    <w:rsid w:val="00AA24DF"/>
    <w:rsid w:val="00AA2797"/>
    <w:rsid w:val="00AA2D04"/>
    <w:rsid w:val="00AA2E9C"/>
    <w:rsid w:val="00AA2FCB"/>
    <w:rsid w:val="00AA3399"/>
    <w:rsid w:val="00AA3479"/>
    <w:rsid w:val="00AA366E"/>
    <w:rsid w:val="00AA37BA"/>
    <w:rsid w:val="00AA394F"/>
    <w:rsid w:val="00AA397E"/>
    <w:rsid w:val="00AA3BCD"/>
    <w:rsid w:val="00AA3EDF"/>
    <w:rsid w:val="00AA3F6F"/>
    <w:rsid w:val="00AA3FA4"/>
    <w:rsid w:val="00AA3FBE"/>
    <w:rsid w:val="00AA401A"/>
    <w:rsid w:val="00AA45C8"/>
    <w:rsid w:val="00AA46AC"/>
    <w:rsid w:val="00AA4819"/>
    <w:rsid w:val="00AA4A24"/>
    <w:rsid w:val="00AA4C1D"/>
    <w:rsid w:val="00AA4DEE"/>
    <w:rsid w:val="00AA4EE3"/>
    <w:rsid w:val="00AA561F"/>
    <w:rsid w:val="00AA570B"/>
    <w:rsid w:val="00AA5A1E"/>
    <w:rsid w:val="00AA5A3E"/>
    <w:rsid w:val="00AA60F9"/>
    <w:rsid w:val="00AA62C7"/>
    <w:rsid w:val="00AA6474"/>
    <w:rsid w:val="00AA662E"/>
    <w:rsid w:val="00AA66F1"/>
    <w:rsid w:val="00AA6A48"/>
    <w:rsid w:val="00AA6DD2"/>
    <w:rsid w:val="00AA6E1A"/>
    <w:rsid w:val="00AA6EEA"/>
    <w:rsid w:val="00AA7241"/>
    <w:rsid w:val="00AA733B"/>
    <w:rsid w:val="00AA738D"/>
    <w:rsid w:val="00AA74F4"/>
    <w:rsid w:val="00AA75FA"/>
    <w:rsid w:val="00AA761A"/>
    <w:rsid w:val="00AA7656"/>
    <w:rsid w:val="00AA78C8"/>
    <w:rsid w:val="00AA7C1F"/>
    <w:rsid w:val="00AA7D28"/>
    <w:rsid w:val="00AB0261"/>
    <w:rsid w:val="00AB063D"/>
    <w:rsid w:val="00AB0907"/>
    <w:rsid w:val="00AB0AD9"/>
    <w:rsid w:val="00AB0D64"/>
    <w:rsid w:val="00AB0F2B"/>
    <w:rsid w:val="00AB0F70"/>
    <w:rsid w:val="00AB12B7"/>
    <w:rsid w:val="00AB14F4"/>
    <w:rsid w:val="00AB16E9"/>
    <w:rsid w:val="00AB1839"/>
    <w:rsid w:val="00AB1B39"/>
    <w:rsid w:val="00AB20B0"/>
    <w:rsid w:val="00AB24CF"/>
    <w:rsid w:val="00AB2535"/>
    <w:rsid w:val="00AB26FD"/>
    <w:rsid w:val="00AB2AF1"/>
    <w:rsid w:val="00AB2B9A"/>
    <w:rsid w:val="00AB2DA0"/>
    <w:rsid w:val="00AB2E62"/>
    <w:rsid w:val="00AB2FD1"/>
    <w:rsid w:val="00AB307D"/>
    <w:rsid w:val="00AB3637"/>
    <w:rsid w:val="00AB3644"/>
    <w:rsid w:val="00AB3649"/>
    <w:rsid w:val="00AB3869"/>
    <w:rsid w:val="00AB399B"/>
    <w:rsid w:val="00AB3BCD"/>
    <w:rsid w:val="00AB3DDA"/>
    <w:rsid w:val="00AB3DDB"/>
    <w:rsid w:val="00AB411C"/>
    <w:rsid w:val="00AB4190"/>
    <w:rsid w:val="00AB4337"/>
    <w:rsid w:val="00AB43FC"/>
    <w:rsid w:val="00AB4531"/>
    <w:rsid w:val="00AB5216"/>
    <w:rsid w:val="00AB5434"/>
    <w:rsid w:val="00AB54D6"/>
    <w:rsid w:val="00AB5CB0"/>
    <w:rsid w:val="00AB5DA1"/>
    <w:rsid w:val="00AB6083"/>
    <w:rsid w:val="00AB62E1"/>
    <w:rsid w:val="00AB6338"/>
    <w:rsid w:val="00AB6419"/>
    <w:rsid w:val="00AB648F"/>
    <w:rsid w:val="00AB64D5"/>
    <w:rsid w:val="00AB6589"/>
    <w:rsid w:val="00AB664D"/>
    <w:rsid w:val="00AB669C"/>
    <w:rsid w:val="00AB6837"/>
    <w:rsid w:val="00AB6921"/>
    <w:rsid w:val="00AB698E"/>
    <w:rsid w:val="00AB6B52"/>
    <w:rsid w:val="00AB6BB9"/>
    <w:rsid w:val="00AB6D49"/>
    <w:rsid w:val="00AB6ED7"/>
    <w:rsid w:val="00AB7089"/>
    <w:rsid w:val="00AB732B"/>
    <w:rsid w:val="00AB7647"/>
    <w:rsid w:val="00AB7785"/>
    <w:rsid w:val="00AB7926"/>
    <w:rsid w:val="00AB7938"/>
    <w:rsid w:val="00AB7A55"/>
    <w:rsid w:val="00AB7CF1"/>
    <w:rsid w:val="00AB7D5A"/>
    <w:rsid w:val="00AB7DAA"/>
    <w:rsid w:val="00AB7F6F"/>
    <w:rsid w:val="00AC021D"/>
    <w:rsid w:val="00AC0586"/>
    <w:rsid w:val="00AC05D9"/>
    <w:rsid w:val="00AC0691"/>
    <w:rsid w:val="00AC0887"/>
    <w:rsid w:val="00AC0B2E"/>
    <w:rsid w:val="00AC0B61"/>
    <w:rsid w:val="00AC0EBE"/>
    <w:rsid w:val="00AC0F18"/>
    <w:rsid w:val="00AC11E6"/>
    <w:rsid w:val="00AC133F"/>
    <w:rsid w:val="00AC1411"/>
    <w:rsid w:val="00AC1426"/>
    <w:rsid w:val="00AC144F"/>
    <w:rsid w:val="00AC1458"/>
    <w:rsid w:val="00AC1471"/>
    <w:rsid w:val="00AC14D5"/>
    <w:rsid w:val="00AC160C"/>
    <w:rsid w:val="00AC164F"/>
    <w:rsid w:val="00AC16C6"/>
    <w:rsid w:val="00AC1718"/>
    <w:rsid w:val="00AC1E22"/>
    <w:rsid w:val="00AC2005"/>
    <w:rsid w:val="00AC22E1"/>
    <w:rsid w:val="00AC258C"/>
    <w:rsid w:val="00AC261D"/>
    <w:rsid w:val="00AC2627"/>
    <w:rsid w:val="00AC267A"/>
    <w:rsid w:val="00AC282A"/>
    <w:rsid w:val="00AC294E"/>
    <w:rsid w:val="00AC2A05"/>
    <w:rsid w:val="00AC2B4C"/>
    <w:rsid w:val="00AC2E2A"/>
    <w:rsid w:val="00AC2ED9"/>
    <w:rsid w:val="00AC2F3F"/>
    <w:rsid w:val="00AC302F"/>
    <w:rsid w:val="00AC303E"/>
    <w:rsid w:val="00AC32FF"/>
    <w:rsid w:val="00AC35CC"/>
    <w:rsid w:val="00AC36FC"/>
    <w:rsid w:val="00AC3BF0"/>
    <w:rsid w:val="00AC3CA1"/>
    <w:rsid w:val="00AC3D38"/>
    <w:rsid w:val="00AC3EC5"/>
    <w:rsid w:val="00AC3F42"/>
    <w:rsid w:val="00AC40D7"/>
    <w:rsid w:val="00AC4108"/>
    <w:rsid w:val="00AC4137"/>
    <w:rsid w:val="00AC42F0"/>
    <w:rsid w:val="00AC4358"/>
    <w:rsid w:val="00AC4463"/>
    <w:rsid w:val="00AC461C"/>
    <w:rsid w:val="00AC47EB"/>
    <w:rsid w:val="00AC4CD1"/>
    <w:rsid w:val="00AC512F"/>
    <w:rsid w:val="00AC518E"/>
    <w:rsid w:val="00AC51E4"/>
    <w:rsid w:val="00AC5391"/>
    <w:rsid w:val="00AC5409"/>
    <w:rsid w:val="00AC57B7"/>
    <w:rsid w:val="00AC5802"/>
    <w:rsid w:val="00AC5876"/>
    <w:rsid w:val="00AC5AB6"/>
    <w:rsid w:val="00AC5E26"/>
    <w:rsid w:val="00AC5E79"/>
    <w:rsid w:val="00AC6171"/>
    <w:rsid w:val="00AC61EE"/>
    <w:rsid w:val="00AC6283"/>
    <w:rsid w:val="00AC6514"/>
    <w:rsid w:val="00AC6856"/>
    <w:rsid w:val="00AC6BF2"/>
    <w:rsid w:val="00AC6CA8"/>
    <w:rsid w:val="00AC6DEC"/>
    <w:rsid w:val="00AC6F77"/>
    <w:rsid w:val="00AC7288"/>
    <w:rsid w:val="00AC7570"/>
    <w:rsid w:val="00AC7B9A"/>
    <w:rsid w:val="00AC7D02"/>
    <w:rsid w:val="00AC7F2D"/>
    <w:rsid w:val="00AC7FA6"/>
    <w:rsid w:val="00AC7FE3"/>
    <w:rsid w:val="00ACC36F"/>
    <w:rsid w:val="00AD01B6"/>
    <w:rsid w:val="00AD038A"/>
    <w:rsid w:val="00AD0729"/>
    <w:rsid w:val="00AD0BA0"/>
    <w:rsid w:val="00AD0FFC"/>
    <w:rsid w:val="00AD11C1"/>
    <w:rsid w:val="00AD1835"/>
    <w:rsid w:val="00AD1908"/>
    <w:rsid w:val="00AD1917"/>
    <w:rsid w:val="00AD1C53"/>
    <w:rsid w:val="00AD1C75"/>
    <w:rsid w:val="00AD1CC0"/>
    <w:rsid w:val="00AD1E56"/>
    <w:rsid w:val="00AD20F9"/>
    <w:rsid w:val="00AD223C"/>
    <w:rsid w:val="00AD2402"/>
    <w:rsid w:val="00AD25FB"/>
    <w:rsid w:val="00AD2678"/>
    <w:rsid w:val="00AD27FF"/>
    <w:rsid w:val="00AD2A2E"/>
    <w:rsid w:val="00AD2A9B"/>
    <w:rsid w:val="00AD2D5A"/>
    <w:rsid w:val="00AD2D91"/>
    <w:rsid w:val="00AD3279"/>
    <w:rsid w:val="00AD3376"/>
    <w:rsid w:val="00AD347E"/>
    <w:rsid w:val="00AD3B27"/>
    <w:rsid w:val="00AD3E63"/>
    <w:rsid w:val="00AD3F24"/>
    <w:rsid w:val="00AD40C5"/>
    <w:rsid w:val="00AD4265"/>
    <w:rsid w:val="00AD426B"/>
    <w:rsid w:val="00AD4277"/>
    <w:rsid w:val="00AD43A6"/>
    <w:rsid w:val="00AD44D8"/>
    <w:rsid w:val="00AD46BF"/>
    <w:rsid w:val="00AD4D24"/>
    <w:rsid w:val="00AD4F82"/>
    <w:rsid w:val="00AD4FF0"/>
    <w:rsid w:val="00AD507C"/>
    <w:rsid w:val="00AD515A"/>
    <w:rsid w:val="00AD521D"/>
    <w:rsid w:val="00AD5267"/>
    <w:rsid w:val="00AD543F"/>
    <w:rsid w:val="00AD5515"/>
    <w:rsid w:val="00AD5754"/>
    <w:rsid w:val="00AD58D2"/>
    <w:rsid w:val="00AD5D78"/>
    <w:rsid w:val="00AD5E30"/>
    <w:rsid w:val="00AD5FDC"/>
    <w:rsid w:val="00AD60E8"/>
    <w:rsid w:val="00AD628F"/>
    <w:rsid w:val="00AD630A"/>
    <w:rsid w:val="00AD6512"/>
    <w:rsid w:val="00AD6799"/>
    <w:rsid w:val="00AD6999"/>
    <w:rsid w:val="00AD6A46"/>
    <w:rsid w:val="00AD6AD4"/>
    <w:rsid w:val="00AD6DBE"/>
    <w:rsid w:val="00AD6ED9"/>
    <w:rsid w:val="00AD71CE"/>
    <w:rsid w:val="00AD72DD"/>
    <w:rsid w:val="00AD74A1"/>
    <w:rsid w:val="00AD7699"/>
    <w:rsid w:val="00AD76E7"/>
    <w:rsid w:val="00AD7B0B"/>
    <w:rsid w:val="00AD7F2F"/>
    <w:rsid w:val="00AD7F67"/>
    <w:rsid w:val="00AD7FF3"/>
    <w:rsid w:val="00AE0285"/>
    <w:rsid w:val="00AE041B"/>
    <w:rsid w:val="00AE04A1"/>
    <w:rsid w:val="00AE07DC"/>
    <w:rsid w:val="00AE0860"/>
    <w:rsid w:val="00AE0865"/>
    <w:rsid w:val="00AE0CB1"/>
    <w:rsid w:val="00AE0E17"/>
    <w:rsid w:val="00AE0EB2"/>
    <w:rsid w:val="00AE0EFD"/>
    <w:rsid w:val="00AE1138"/>
    <w:rsid w:val="00AE13E4"/>
    <w:rsid w:val="00AE17B3"/>
    <w:rsid w:val="00AE181F"/>
    <w:rsid w:val="00AE18FC"/>
    <w:rsid w:val="00AE19A2"/>
    <w:rsid w:val="00AE1BBC"/>
    <w:rsid w:val="00AE1BCB"/>
    <w:rsid w:val="00AE2700"/>
    <w:rsid w:val="00AE2849"/>
    <w:rsid w:val="00AE290A"/>
    <w:rsid w:val="00AE3020"/>
    <w:rsid w:val="00AE308F"/>
    <w:rsid w:val="00AE3245"/>
    <w:rsid w:val="00AE3779"/>
    <w:rsid w:val="00AE37AB"/>
    <w:rsid w:val="00AE38DC"/>
    <w:rsid w:val="00AE3BCF"/>
    <w:rsid w:val="00AE3DA6"/>
    <w:rsid w:val="00AE4077"/>
    <w:rsid w:val="00AE4157"/>
    <w:rsid w:val="00AE421D"/>
    <w:rsid w:val="00AE4694"/>
    <w:rsid w:val="00AE4C23"/>
    <w:rsid w:val="00AE4CAC"/>
    <w:rsid w:val="00AE4E19"/>
    <w:rsid w:val="00AE5141"/>
    <w:rsid w:val="00AE5177"/>
    <w:rsid w:val="00AE5229"/>
    <w:rsid w:val="00AE5262"/>
    <w:rsid w:val="00AE52F5"/>
    <w:rsid w:val="00AE56DD"/>
    <w:rsid w:val="00AE5CE7"/>
    <w:rsid w:val="00AE5E7F"/>
    <w:rsid w:val="00AE5F7D"/>
    <w:rsid w:val="00AE6644"/>
    <w:rsid w:val="00AE6682"/>
    <w:rsid w:val="00AE6819"/>
    <w:rsid w:val="00AE6B6E"/>
    <w:rsid w:val="00AE6D1D"/>
    <w:rsid w:val="00AE6E35"/>
    <w:rsid w:val="00AE6FA8"/>
    <w:rsid w:val="00AE715E"/>
    <w:rsid w:val="00AE724E"/>
    <w:rsid w:val="00AE7251"/>
    <w:rsid w:val="00AE7430"/>
    <w:rsid w:val="00AE74F5"/>
    <w:rsid w:val="00AE784C"/>
    <w:rsid w:val="00AF071E"/>
    <w:rsid w:val="00AF077A"/>
    <w:rsid w:val="00AF099F"/>
    <w:rsid w:val="00AF0E48"/>
    <w:rsid w:val="00AF0E5E"/>
    <w:rsid w:val="00AF123B"/>
    <w:rsid w:val="00AF1335"/>
    <w:rsid w:val="00AF154F"/>
    <w:rsid w:val="00AF1620"/>
    <w:rsid w:val="00AF163B"/>
    <w:rsid w:val="00AF185A"/>
    <w:rsid w:val="00AF1A0B"/>
    <w:rsid w:val="00AF1B2A"/>
    <w:rsid w:val="00AF1C68"/>
    <w:rsid w:val="00AF1F48"/>
    <w:rsid w:val="00AF1F57"/>
    <w:rsid w:val="00AF217C"/>
    <w:rsid w:val="00AF223C"/>
    <w:rsid w:val="00AF2F0D"/>
    <w:rsid w:val="00AF3260"/>
    <w:rsid w:val="00AF341A"/>
    <w:rsid w:val="00AF34E7"/>
    <w:rsid w:val="00AF35C4"/>
    <w:rsid w:val="00AF38C8"/>
    <w:rsid w:val="00AF3C4C"/>
    <w:rsid w:val="00AF3E1E"/>
    <w:rsid w:val="00AF3E9E"/>
    <w:rsid w:val="00AF41DE"/>
    <w:rsid w:val="00AF433F"/>
    <w:rsid w:val="00AF449E"/>
    <w:rsid w:val="00AF48BF"/>
    <w:rsid w:val="00AF48EF"/>
    <w:rsid w:val="00AF49F2"/>
    <w:rsid w:val="00AF4BDE"/>
    <w:rsid w:val="00AF500B"/>
    <w:rsid w:val="00AF5563"/>
    <w:rsid w:val="00AF5810"/>
    <w:rsid w:val="00AF581B"/>
    <w:rsid w:val="00AF5C14"/>
    <w:rsid w:val="00AF5C22"/>
    <w:rsid w:val="00AF5D91"/>
    <w:rsid w:val="00AF5E6B"/>
    <w:rsid w:val="00AF61FE"/>
    <w:rsid w:val="00AF6584"/>
    <w:rsid w:val="00AF65FE"/>
    <w:rsid w:val="00AF661D"/>
    <w:rsid w:val="00AF6647"/>
    <w:rsid w:val="00AF6751"/>
    <w:rsid w:val="00AF6FFF"/>
    <w:rsid w:val="00AF7333"/>
    <w:rsid w:val="00AF76FF"/>
    <w:rsid w:val="00AF7A55"/>
    <w:rsid w:val="00AF7B33"/>
    <w:rsid w:val="00AF7C93"/>
    <w:rsid w:val="00AF7D5E"/>
    <w:rsid w:val="00AF7F08"/>
    <w:rsid w:val="00AF7FB6"/>
    <w:rsid w:val="00B007C6"/>
    <w:rsid w:val="00B0091F"/>
    <w:rsid w:val="00B00A75"/>
    <w:rsid w:val="00B00B41"/>
    <w:rsid w:val="00B00B75"/>
    <w:rsid w:val="00B00E08"/>
    <w:rsid w:val="00B00F5D"/>
    <w:rsid w:val="00B0109B"/>
    <w:rsid w:val="00B010BD"/>
    <w:rsid w:val="00B0118E"/>
    <w:rsid w:val="00B011C7"/>
    <w:rsid w:val="00B01227"/>
    <w:rsid w:val="00B012B8"/>
    <w:rsid w:val="00B01435"/>
    <w:rsid w:val="00B016D3"/>
    <w:rsid w:val="00B01755"/>
    <w:rsid w:val="00B0175E"/>
    <w:rsid w:val="00B0177A"/>
    <w:rsid w:val="00B01841"/>
    <w:rsid w:val="00B01A39"/>
    <w:rsid w:val="00B01B41"/>
    <w:rsid w:val="00B01E45"/>
    <w:rsid w:val="00B01F53"/>
    <w:rsid w:val="00B01F89"/>
    <w:rsid w:val="00B0218A"/>
    <w:rsid w:val="00B02C85"/>
    <w:rsid w:val="00B03000"/>
    <w:rsid w:val="00B033B4"/>
    <w:rsid w:val="00B0344E"/>
    <w:rsid w:val="00B034B9"/>
    <w:rsid w:val="00B034F0"/>
    <w:rsid w:val="00B035D5"/>
    <w:rsid w:val="00B03872"/>
    <w:rsid w:val="00B039CA"/>
    <w:rsid w:val="00B03B64"/>
    <w:rsid w:val="00B03BF6"/>
    <w:rsid w:val="00B03E01"/>
    <w:rsid w:val="00B03EF3"/>
    <w:rsid w:val="00B0406E"/>
    <w:rsid w:val="00B040C6"/>
    <w:rsid w:val="00B0418B"/>
    <w:rsid w:val="00B045C7"/>
    <w:rsid w:val="00B0487F"/>
    <w:rsid w:val="00B04D1D"/>
    <w:rsid w:val="00B04D8E"/>
    <w:rsid w:val="00B04EAD"/>
    <w:rsid w:val="00B05016"/>
    <w:rsid w:val="00B0501A"/>
    <w:rsid w:val="00B05059"/>
    <w:rsid w:val="00B051F6"/>
    <w:rsid w:val="00B05382"/>
    <w:rsid w:val="00B05409"/>
    <w:rsid w:val="00B0567B"/>
    <w:rsid w:val="00B05872"/>
    <w:rsid w:val="00B059C3"/>
    <w:rsid w:val="00B05D19"/>
    <w:rsid w:val="00B05E66"/>
    <w:rsid w:val="00B05FD3"/>
    <w:rsid w:val="00B06154"/>
    <w:rsid w:val="00B06159"/>
    <w:rsid w:val="00B061ED"/>
    <w:rsid w:val="00B061FF"/>
    <w:rsid w:val="00B063E6"/>
    <w:rsid w:val="00B06487"/>
    <w:rsid w:val="00B065D0"/>
    <w:rsid w:val="00B06F95"/>
    <w:rsid w:val="00B07549"/>
    <w:rsid w:val="00B07681"/>
    <w:rsid w:val="00B076A9"/>
    <w:rsid w:val="00B07A7D"/>
    <w:rsid w:val="00B07E3C"/>
    <w:rsid w:val="00B100C5"/>
    <w:rsid w:val="00B105C8"/>
    <w:rsid w:val="00B105E8"/>
    <w:rsid w:val="00B10B49"/>
    <w:rsid w:val="00B10C08"/>
    <w:rsid w:val="00B10F11"/>
    <w:rsid w:val="00B10F3C"/>
    <w:rsid w:val="00B10F9F"/>
    <w:rsid w:val="00B11287"/>
    <w:rsid w:val="00B1156A"/>
    <w:rsid w:val="00B115B5"/>
    <w:rsid w:val="00B11669"/>
    <w:rsid w:val="00B116DC"/>
    <w:rsid w:val="00B11714"/>
    <w:rsid w:val="00B11BE0"/>
    <w:rsid w:val="00B11C24"/>
    <w:rsid w:val="00B11E66"/>
    <w:rsid w:val="00B11ED0"/>
    <w:rsid w:val="00B1209C"/>
    <w:rsid w:val="00B12384"/>
    <w:rsid w:val="00B1256A"/>
    <w:rsid w:val="00B127C4"/>
    <w:rsid w:val="00B12881"/>
    <w:rsid w:val="00B129E7"/>
    <w:rsid w:val="00B130F3"/>
    <w:rsid w:val="00B13192"/>
    <w:rsid w:val="00B13265"/>
    <w:rsid w:val="00B13278"/>
    <w:rsid w:val="00B13368"/>
    <w:rsid w:val="00B1357E"/>
    <w:rsid w:val="00B13A64"/>
    <w:rsid w:val="00B13B9B"/>
    <w:rsid w:val="00B13BE8"/>
    <w:rsid w:val="00B13C23"/>
    <w:rsid w:val="00B13F72"/>
    <w:rsid w:val="00B13FC1"/>
    <w:rsid w:val="00B144D6"/>
    <w:rsid w:val="00B146CE"/>
    <w:rsid w:val="00B14887"/>
    <w:rsid w:val="00B148DC"/>
    <w:rsid w:val="00B14AD8"/>
    <w:rsid w:val="00B14C4D"/>
    <w:rsid w:val="00B14E5B"/>
    <w:rsid w:val="00B152E2"/>
    <w:rsid w:val="00B15443"/>
    <w:rsid w:val="00B155D0"/>
    <w:rsid w:val="00B156C5"/>
    <w:rsid w:val="00B15B44"/>
    <w:rsid w:val="00B15B76"/>
    <w:rsid w:val="00B15BA3"/>
    <w:rsid w:val="00B15CFF"/>
    <w:rsid w:val="00B15D40"/>
    <w:rsid w:val="00B15D6A"/>
    <w:rsid w:val="00B1631E"/>
    <w:rsid w:val="00B16445"/>
    <w:rsid w:val="00B16654"/>
    <w:rsid w:val="00B16678"/>
    <w:rsid w:val="00B169C9"/>
    <w:rsid w:val="00B16BA3"/>
    <w:rsid w:val="00B16CD2"/>
    <w:rsid w:val="00B16DC6"/>
    <w:rsid w:val="00B16DD0"/>
    <w:rsid w:val="00B16E4A"/>
    <w:rsid w:val="00B1725D"/>
    <w:rsid w:val="00B1726B"/>
    <w:rsid w:val="00B174DE"/>
    <w:rsid w:val="00B1765E"/>
    <w:rsid w:val="00B176DE"/>
    <w:rsid w:val="00B177D2"/>
    <w:rsid w:val="00B17B3D"/>
    <w:rsid w:val="00B17DA6"/>
    <w:rsid w:val="00B20035"/>
    <w:rsid w:val="00B201A8"/>
    <w:rsid w:val="00B202A7"/>
    <w:rsid w:val="00B202CF"/>
    <w:rsid w:val="00B20D6F"/>
    <w:rsid w:val="00B20DC8"/>
    <w:rsid w:val="00B20FF0"/>
    <w:rsid w:val="00B21282"/>
    <w:rsid w:val="00B21376"/>
    <w:rsid w:val="00B2185A"/>
    <w:rsid w:val="00B2185E"/>
    <w:rsid w:val="00B21B27"/>
    <w:rsid w:val="00B220E3"/>
    <w:rsid w:val="00B22351"/>
    <w:rsid w:val="00B22359"/>
    <w:rsid w:val="00B22498"/>
    <w:rsid w:val="00B22613"/>
    <w:rsid w:val="00B227A0"/>
    <w:rsid w:val="00B227FE"/>
    <w:rsid w:val="00B22A5C"/>
    <w:rsid w:val="00B22C53"/>
    <w:rsid w:val="00B22FA3"/>
    <w:rsid w:val="00B2306B"/>
    <w:rsid w:val="00B2307B"/>
    <w:rsid w:val="00B23734"/>
    <w:rsid w:val="00B237AA"/>
    <w:rsid w:val="00B237F2"/>
    <w:rsid w:val="00B238C6"/>
    <w:rsid w:val="00B23B0A"/>
    <w:rsid w:val="00B23D54"/>
    <w:rsid w:val="00B2405A"/>
    <w:rsid w:val="00B240DD"/>
    <w:rsid w:val="00B24452"/>
    <w:rsid w:val="00B2466D"/>
    <w:rsid w:val="00B246A8"/>
    <w:rsid w:val="00B2497A"/>
    <w:rsid w:val="00B24DFB"/>
    <w:rsid w:val="00B24E08"/>
    <w:rsid w:val="00B24E7A"/>
    <w:rsid w:val="00B24FDE"/>
    <w:rsid w:val="00B2500D"/>
    <w:rsid w:val="00B25298"/>
    <w:rsid w:val="00B25307"/>
    <w:rsid w:val="00B25317"/>
    <w:rsid w:val="00B2537B"/>
    <w:rsid w:val="00B25547"/>
    <w:rsid w:val="00B255DC"/>
    <w:rsid w:val="00B25711"/>
    <w:rsid w:val="00B2573C"/>
    <w:rsid w:val="00B2582B"/>
    <w:rsid w:val="00B25D7E"/>
    <w:rsid w:val="00B25F0B"/>
    <w:rsid w:val="00B25F65"/>
    <w:rsid w:val="00B2613C"/>
    <w:rsid w:val="00B263FD"/>
    <w:rsid w:val="00B26492"/>
    <w:rsid w:val="00B264A7"/>
    <w:rsid w:val="00B26668"/>
    <w:rsid w:val="00B2666B"/>
    <w:rsid w:val="00B266DF"/>
    <w:rsid w:val="00B26746"/>
    <w:rsid w:val="00B27021"/>
    <w:rsid w:val="00B2706B"/>
    <w:rsid w:val="00B27383"/>
    <w:rsid w:val="00B27559"/>
    <w:rsid w:val="00B275EE"/>
    <w:rsid w:val="00B276A3"/>
    <w:rsid w:val="00B279AD"/>
    <w:rsid w:val="00B27A16"/>
    <w:rsid w:val="00B27A40"/>
    <w:rsid w:val="00B27A58"/>
    <w:rsid w:val="00B27A71"/>
    <w:rsid w:val="00B27D00"/>
    <w:rsid w:val="00B27DD4"/>
    <w:rsid w:val="00B27FEF"/>
    <w:rsid w:val="00B3009F"/>
    <w:rsid w:val="00B308A3"/>
    <w:rsid w:val="00B30982"/>
    <w:rsid w:val="00B31099"/>
    <w:rsid w:val="00B31105"/>
    <w:rsid w:val="00B31271"/>
    <w:rsid w:val="00B3131E"/>
    <w:rsid w:val="00B31343"/>
    <w:rsid w:val="00B3175E"/>
    <w:rsid w:val="00B31889"/>
    <w:rsid w:val="00B31D25"/>
    <w:rsid w:val="00B31E31"/>
    <w:rsid w:val="00B32021"/>
    <w:rsid w:val="00B3204E"/>
    <w:rsid w:val="00B32139"/>
    <w:rsid w:val="00B321F9"/>
    <w:rsid w:val="00B322B8"/>
    <w:rsid w:val="00B32393"/>
    <w:rsid w:val="00B32395"/>
    <w:rsid w:val="00B326AE"/>
    <w:rsid w:val="00B328FD"/>
    <w:rsid w:val="00B32961"/>
    <w:rsid w:val="00B32A00"/>
    <w:rsid w:val="00B32AD6"/>
    <w:rsid w:val="00B32E13"/>
    <w:rsid w:val="00B3326F"/>
    <w:rsid w:val="00B332A2"/>
    <w:rsid w:val="00B334B1"/>
    <w:rsid w:val="00B33674"/>
    <w:rsid w:val="00B336D8"/>
    <w:rsid w:val="00B3377C"/>
    <w:rsid w:val="00B33DB0"/>
    <w:rsid w:val="00B33DE6"/>
    <w:rsid w:val="00B33E94"/>
    <w:rsid w:val="00B33FA4"/>
    <w:rsid w:val="00B33FAC"/>
    <w:rsid w:val="00B340C0"/>
    <w:rsid w:val="00B340F5"/>
    <w:rsid w:val="00B34289"/>
    <w:rsid w:val="00B342DB"/>
    <w:rsid w:val="00B34528"/>
    <w:rsid w:val="00B34640"/>
    <w:rsid w:val="00B348D6"/>
    <w:rsid w:val="00B34A39"/>
    <w:rsid w:val="00B34BAB"/>
    <w:rsid w:val="00B353D2"/>
    <w:rsid w:val="00B3545B"/>
    <w:rsid w:val="00B356F5"/>
    <w:rsid w:val="00B357A4"/>
    <w:rsid w:val="00B3594A"/>
    <w:rsid w:val="00B3596F"/>
    <w:rsid w:val="00B36000"/>
    <w:rsid w:val="00B3600B"/>
    <w:rsid w:val="00B36056"/>
    <w:rsid w:val="00B361BC"/>
    <w:rsid w:val="00B3631F"/>
    <w:rsid w:val="00B363ED"/>
    <w:rsid w:val="00B36592"/>
    <w:rsid w:val="00B36AC1"/>
    <w:rsid w:val="00B36B84"/>
    <w:rsid w:val="00B36BC8"/>
    <w:rsid w:val="00B36E25"/>
    <w:rsid w:val="00B36F14"/>
    <w:rsid w:val="00B370CC"/>
    <w:rsid w:val="00B371AD"/>
    <w:rsid w:val="00B371E5"/>
    <w:rsid w:val="00B371EC"/>
    <w:rsid w:val="00B3727A"/>
    <w:rsid w:val="00B37601"/>
    <w:rsid w:val="00B376D0"/>
    <w:rsid w:val="00B37707"/>
    <w:rsid w:val="00B3775E"/>
    <w:rsid w:val="00B377B5"/>
    <w:rsid w:val="00B377DC"/>
    <w:rsid w:val="00B37BC9"/>
    <w:rsid w:val="00B40092"/>
    <w:rsid w:val="00B400FB"/>
    <w:rsid w:val="00B40170"/>
    <w:rsid w:val="00B40253"/>
    <w:rsid w:val="00B402BE"/>
    <w:rsid w:val="00B403EC"/>
    <w:rsid w:val="00B40620"/>
    <w:rsid w:val="00B40C92"/>
    <w:rsid w:val="00B41009"/>
    <w:rsid w:val="00B41047"/>
    <w:rsid w:val="00B41262"/>
    <w:rsid w:val="00B414A4"/>
    <w:rsid w:val="00B415E6"/>
    <w:rsid w:val="00B4161D"/>
    <w:rsid w:val="00B41A12"/>
    <w:rsid w:val="00B41B31"/>
    <w:rsid w:val="00B41CAB"/>
    <w:rsid w:val="00B41F92"/>
    <w:rsid w:val="00B42185"/>
    <w:rsid w:val="00B423B2"/>
    <w:rsid w:val="00B424F9"/>
    <w:rsid w:val="00B42565"/>
    <w:rsid w:val="00B42A34"/>
    <w:rsid w:val="00B42A7F"/>
    <w:rsid w:val="00B42C1D"/>
    <w:rsid w:val="00B42F7F"/>
    <w:rsid w:val="00B4315E"/>
    <w:rsid w:val="00B431E4"/>
    <w:rsid w:val="00B4323D"/>
    <w:rsid w:val="00B433E5"/>
    <w:rsid w:val="00B43655"/>
    <w:rsid w:val="00B4369E"/>
    <w:rsid w:val="00B43725"/>
    <w:rsid w:val="00B43736"/>
    <w:rsid w:val="00B437DD"/>
    <w:rsid w:val="00B437F5"/>
    <w:rsid w:val="00B4386F"/>
    <w:rsid w:val="00B438EC"/>
    <w:rsid w:val="00B43A6C"/>
    <w:rsid w:val="00B43BDF"/>
    <w:rsid w:val="00B43F9C"/>
    <w:rsid w:val="00B44270"/>
    <w:rsid w:val="00B44371"/>
    <w:rsid w:val="00B44705"/>
    <w:rsid w:val="00B44AA2"/>
    <w:rsid w:val="00B44D0E"/>
    <w:rsid w:val="00B44DE8"/>
    <w:rsid w:val="00B44F04"/>
    <w:rsid w:val="00B44F0B"/>
    <w:rsid w:val="00B45149"/>
    <w:rsid w:val="00B4517B"/>
    <w:rsid w:val="00B453A3"/>
    <w:rsid w:val="00B454E0"/>
    <w:rsid w:val="00B45AFB"/>
    <w:rsid w:val="00B45E94"/>
    <w:rsid w:val="00B45ED8"/>
    <w:rsid w:val="00B45F89"/>
    <w:rsid w:val="00B462C7"/>
    <w:rsid w:val="00B463B4"/>
    <w:rsid w:val="00B463C4"/>
    <w:rsid w:val="00B463CA"/>
    <w:rsid w:val="00B463FB"/>
    <w:rsid w:val="00B46644"/>
    <w:rsid w:val="00B46879"/>
    <w:rsid w:val="00B468E1"/>
    <w:rsid w:val="00B46A74"/>
    <w:rsid w:val="00B46C32"/>
    <w:rsid w:val="00B46C35"/>
    <w:rsid w:val="00B46D57"/>
    <w:rsid w:val="00B4759D"/>
    <w:rsid w:val="00B4772E"/>
    <w:rsid w:val="00B47D35"/>
    <w:rsid w:val="00B47DA5"/>
    <w:rsid w:val="00B50108"/>
    <w:rsid w:val="00B50242"/>
    <w:rsid w:val="00B50260"/>
    <w:rsid w:val="00B50284"/>
    <w:rsid w:val="00B5040D"/>
    <w:rsid w:val="00B50621"/>
    <w:rsid w:val="00B506EA"/>
    <w:rsid w:val="00B50CDF"/>
    <w:rsid w:val="00B50EB9"/>
    <w:rsid w:val="00B51110"/>
    <w:rsid w:val="00B511D1"/>
    <w:rsid w:val="00B511EE"/>
    <w:rsid w:val="00B5134D"/>
    <w:rsid w:val="00B51903"/>
    <w:rsid w:val="00B519A8"/>
    <w:rsid w:val="00B51C41"/>
    <w:rsid w:val="00B51ED0"/>
    <w:rsid w:val="00B51F5E"/>
    <w:rsid w:val="00B51F9C"/>
    <w:rsid w:val="00B52124"/>
    <w:rsid w:val="00B524B3"/>
    <w:rsid w:val="00B5263A"/>
    <w:rsid w:val="00B52770"/>
    <w:rsid w:val="00B52A87"/>
    <w:rsid w:val="00B52A99"/>
    <w:rsid w:val="00B52B45"/>
    <w:rsid w:val="00B52CE0"/>
    <w:rsid w:val="00B52EC6"/>
    <w:rsid w:val="00B530BD"/>
    <w:rsid w:val="00B5312A"/>
    <w:rsid w:val="00B5312D"/>
    <w:rsid w:val="00B5346B"/>
    <w:rsid w:val="00B53492"/>
    <w:rsid w:val="00B53649"/>
    <w:rsid w:val="00B5370A"/>
    <w:rsid w:val="00B539A0"/>
    <w:rsid w:val="00B53A0C"/>
    <w:rsid w:val="00B53A94"/>
    <w:rsid w:val="00B53B9B"/>
    <w:rsid w:val="00B53BEF"/>
    <w:rsid w:val="00B53C32"/>
    <w:rsid w:val="00B53CC1"/>
    <w:rsid w:val="00B53FF3"/>
    <w:rsid w:val="00B5403F"/>
    <w:rsid w:val="00B540E7"/>
    <w:rsid w:val="00B54461"/>
    <w:rsid w:val="00B54B3F"/>
    <w:rsid w:val="00B54B8D"/>
    <w:rsid w:val="00B5578B"/>
    <w:rsid w:val="00B55BEC"/>
    <w:rsid w:val="00B55C05"/>
    <w:rsid w:val="00B55D88"/>
    <w:rsid w:val="00B55ECE"/>
    <w:rsid w:val="00B55F8A"/>
    <w:rsid w:val="00B56394"/>
    <w:rsid w:val="00B56453"/>
    <w:rsid w:val="00B565B8"/>
    <w:rsid w:val="00B566EC"/>
    <w:rsid w:val="00B5683E"/>
    <w:rsid w:val="00B568C9"/>
    <w:rsid w:val="00B568F0"/>
    <w:rsid w:val="00B568F7"/>
    <w:rsid w:val="00B56BBF"/>
    <w:rsid w:val="00B56CF4"/>
    <w:rsid w:val="00B56D67"/>
    <w:rsid w:val="00B56D8F"/>
    <w:rsid w:val="00B56DC9"/>
    <w:rsid w:val="00B56E8A"/>
    <w:rsid w:val="00B57330"/>
    <w:rsid w:val="00B574C3"/>
    <w:rsid w:val="00B575F1"/>
    <w:rsid w:val="00B5770E"/>
    <w:rsid w:val="00B57A7C"/>
    <w:rsid w:val="00B57B7D"/>
    <w:rsid w:val="00B57C86"/>
    <w:rsid w:val="00B57D8A"/>
    <w:rsid w:val="00B59F05"/>
    <w:rsid w:val="00B605F5"/>
    <w:rsid w:val="00B6066C"/>
    <w:rsid w:val="00B60875"/>
    <w:rsid w:val="00B60DB0"/>
    <w:rsid w:val="00B619F9"/>
    <w:rsid w:val="00B61A42"/>
    <w:rsid w:val="00B61AA0"/>
    <w:rsid w:val="00B61BC4"/>
    <w:rsid w:val="00B624DB"/>
    <w:rsid w:val="00B6265B"/>
    <w:rsid w:val="00B6270E"/>
    <w:rsid w:val="00B62917"/>
    <w:rsid w:val="00B62A8D"/>
    <w:rsid w:val="00B62B58"/>
    <w:rsid w:val="00B62BBC"/>
    <w:rsid w:val="00B62C4A"/>
    <w:rsid w:val="00B62D7C"/>
    <w:rsid w:val="00B62DCB"/>
    <w:rsid w:val="00B631AC"/>
    <w:rsid w:val="00B6339B"/>
    <w:rsid w:val="00B637B8"/>
    <w:rsid w:val="00B6393E"/>
    <w:rsid w:val="00B63A26"/>
    <w:rsid w:val="00B63A4C"/>
    <w:rsid w:val="00B63F39"/>
    <w:rsid w:val="00B642B4"/>
    <w:rsid w:val="00B644EE"/>
    <w:rsid w:val="00B64587"/>
    <w:rsid w:val="00B64861"/>
    <w:rsid w:val="00B6518E"/>
    <w:rsid w:val="00B653A2"/>
    <w:rsid w:val="00B65684"/>
    <w:rsid w:val="00B6575E"/>
    <w:rsid w:val="00B659FF"/>
    <w:rsid w:val="00B65AC7"/>
    <w:rsid w:val="00B65E6A"/>
    <w:rsid w:val="00B66332"/>
    <w:rsid w:val="00B663EB"/>
    <w:rsid w:val="00B664C8"/>
    <w:rsid w:val="00B6657F"/>
    <w:rsid w:val="00B66E01"/>
    <w:rsid w:val="00B66F27"/>
    <w:rsid w:val="00B66F96"/>
    <w:rsid w:val="00B67067"/>
    <w:rsid w:val="00B67697"/>
    <w:rsid w:val="00B67749"/>
    <w:rsid w:val="00B67975"/>
    <w:rsid w:val="00B67DD6"/>
    <w:rsid w:val="00B700EE"/>
    <w:rsid w:val="00B701E8"/>
    <w:rsid w:val="00B70503"/>
    <w:rsid w:val="00B70785"/>
    <w:rsid w:val="00B7087B"/>
    <w:rsid w:val="00B708CF"/>
    <w:rsid w:val="00B7107F"/>
    <w:rsid w:val="00B710B7"/>
    <w:rsid w:val="00B710FD"/>
    <w:rsid w:val="00B712C0"/>
    <w:rsid w:val="00B712E9"/>
    <w:rsid w:val="00B71471"/>
    <w:rsid w:val="00B71480"/>
    <w:rsid w:val="00B7151D"/>
    <w:rsid w:val="00B71590"/>
    <w:rsid w:val="00B71BF6"/>
    <w:rsid w:val="00B71DFC"/>
    <w:rsid w:val="00B721E7"/>
    <w:rsid w:val="00B72300"/>
    <w:rsid w:val="00B72305"/>
    <w:rsid w:val="00B723DF"/>
    <w:rsid w:val="00B725A1"/>
    <w:rsid w:val="00B72671"/>
    <w:rsid w:val="00B7272D"/>
    <w:rsid w:val="00B7294C"/>
    <w:rsid w:val="00B72C55"/>
    <w:rsid w:val="00B72C75"/>
    <w:rsid w:val="00B733B2"/>
    <w:rsid w:val="00B741A6"/>
    <w:rsid w:val="00B745FC"/>
    <w:rsid w:val="00B747B6"/>
    <w:rsid w:val="00B747F3"/>
    <w:rsid w:val="00B74A7B"/>
    <w:rsid w:val="00B74C70"/>
    <w:rsid w:val="00B74C82"/>
    <w:rsid w:val="00B74FA6"/>
    <w:rsid w:val="00B7555A"/>
    <w:rsid w:val="00B75686"/>
    <w:rsid w:val="00B75AD0"/>
    <w:rsid w:val="00B75B38"/>
    <w:rsid w:val="00B75B65"/>
    <w:rsid w:val="00B75EE1"/>
    <w:rsid w:val="00B75F67"/>
    <w:rsid w:val="00B7602A"/>
    <w:rsid w:val="00B7620B"/>
    <w:rsid w:val="00B76419"/>
    <w:rsid w:val="00B76646"/>
    <w:rsid w:val="00B76861"/>
    <w:rsid w:val="00B76E63"/>
    <w:rsid w:val="00B77241"/>
    <w:rsid w:val="00B7737C"/>
    <w:rsid w:val="00B77546"/>
    <w:rsid w:val="00B77642"/>
    <w:rsid w:val="00B77AA3"/>
    <w:rsid w:val="00B77CA1"/>
    <w:rsid w:val="00B77CBA"/>
    <w:rsid w:val="00B77CBF"/>
    <w:rsid w:val="00B80093"/>
    <w:rsid w:val="00B801E2"/>
    <w:rsid w:val="00B80387"/>
    <w:rsid w:val="00B803B4"/>
    <w:rsid w:val="00B8046D"/>
    <w:rsid w:val="00B804BC"/>
    <w:rsid w:val="00B80739"/>
    <w:rsid w:val="00B808D9"/>
    <w:rsid w:val="00B808FB"/>
    <w:rsid w:val="00B80909"/>
    <w:rsid w:val="00B80937"/>
    <w:rsid w:val="00B809D6"/>
    <w:rsid w:val="00B80A95"/>
    <w:rsid w:val="00B80AD5"/>
    <w:rsid w:val="00B80C68"/>
    <w:rsid w:val="00B80E8A"/>
    <w:rsid w:val="00B81161"/>
    <w:rsid w:val="00B81198"/>
    <w:rsid w:val="00B811C1"/>
    <w:rsid w:val="00B81234"/>
    <w:rsid w:val="00B812B6"/>
    <w:rsid w:val="00B8147E"/>
    <w:rsid w:val="00B815BA"/>
    <w:rsid w:val="00B81847"/>
    <w:rsid w:val="00B81A5B"/>
    <w:rsid w:val="00B81CE9"/>
    <w:rsid w:val="00B81D4F"/>
    <w:rsid w:val="00B82383"/>
    <w:rsid w:val="00B82700"/>
    <w:rsid w:val="00B82A7A"/>
    <w:rsid w:val="00B82CB5"/>
    <w:rsid w:val="00B82CE1"/>
    <w:rsid w:val="00B82D84"/>
    <w:rsid w:val="00B830F5"/>
    <w:rsid w:val="00B834F1"/>
    <w:rsid w:val="00B83888"/>
    <w:rsid w:val="00B84157"/>
    <w:rsid w:val="00B84264"/>
    <w:rsid w:val="00B843CB"/>
    <w:rsid w:val="00B84411"/>
    <w:rsid w:val="00B8477A"/>
    <w:rsid w:val="00B8480D"/>
    <w:rsid w:val="00B849F7"/>
    <w:rsid w:val="00B84A4D"/>
    <w:rsid w:val="00B84E6D"/>
    <w:rsid w:val="00B84F7A"/>
    <w:rsid w:val="00B85266"/>
    <w:rsid w:val="00B8540F"/>
    <w:rsid w:val="00B85434"/>
    <w:rsid w:val="00B85777"/>
    <w:rsid w:val="00B857E1"/>
    <w:rsid w:val="00B85B63"/>
    <w:rsid w:val="00B85BF1"/>
    <w:rsid w:val="00B85EA3"/>
    <w:rsid w:val="00B85ED6"/>
    <w:rsid w:val="00B85F6A"/>
    <w:rsid w:val="00B8643F"/>
    <w:rsid w:val="00B866DB"/>
    <w:rsid w:val="00B86806"/>
    <w:rsid w:val="00B868AC"/>
    <w:rsid w:val="00B868C6"/>
    <w:rsid w:val="00B86B7F"/>
    <w:rsid w:val="00B86C68"/>
    <w:rsid w:val="00B86D14"/>
    <w:rsid w:val="00B86E47"/>
    <w:rsid w:val="00B86E88"/>
    <w:rsid w:val="00B87319"/>
    <w:rsid w:val="00B87379"/>
    <w:rsid w:val="00B87789"/>
    <w:rsid w:val="00B87AB5"/>
    <w:rsid w:val="00B87BF1"/>
    <w:rsid w:val="00B87DEE"/>
    <w:rsid w:val="00B87EB6"/>
    <w:rsid w:val="00B9022C"/>
    <w:rsid w:val="00B9027A"/>
    <w:rsid w:val="00B90404"/>
    <w:rsid w:val="00B905D4"/>
    <w:rsid w:val="00B90943"/>
    <w:rsid w:val="00B90F28"/>
    <w:rsid w:val="00B9103D"/>
    <w:rsid w:val="00B91103"/>
    <w:rsid w:val="00B9114C"/>
    <w:rsid w:val="00B911B0"/>
    <w:rsid w:val="00B91243"/>
    <w:rsid w:val="00B9151B"/>
    <w:rsid w:val="00B916ED"/>
    <w:rsid w:val="00B918C7"/>
    <w:rsid w:val="00B91931"/>
    <w:rsid w:val="00B919DD"/>
    <w:rsid w:val="00B91ACC"/>
    <w:rsid w:val="00B91B08"/>
    <w:rsid w:val="00B91C27"/>
    <w:rsid w:val="00B91C59"/>
    <w:rsid w:val="00B91D70"/>
    <w:rsid w:val="00B92590"/>
    <w:rsid w:val="00B925F6"/>
    <w:rsid w:val="00B927D0"/>
    <w:rsid w:val="00B928A9"/>
    <w:rsid w:val="00B929B7"/>
    <w:rsid w:val="00B92B45"/>
    <w:rsid w:val="00B92D98"/>
    <w:rsid w:val="00B92DB9"/>
    <w:rsid w:val="00B93168"/>
    <w:rsid w:val="00B9329E"/>
    <w:rsid w:val="00B933C2"/>
    <w:rsid w:val="00B935A0"/>
    <w:rsid w:val="00B9365F"/>
    <w:rsid w:val="00B93684"/>
    <w:rsid w:val="00B937C6"/>
    <w:rsid w:val="00B938C9"/>
    <w:rsid w:val="00B938EE"/>
    <w:rsid w:val="00B93983"/>
    <w:rsid w:val="00B93A90"/>
    <w:rsid w:val="00B93B01"/>
    <w:rsid w:val="00B93C96"/>
    <w:rsid w:val="00B93D1C"/>
    <w:rsid w:val="00B93D60"/>
    <w:rsid w:val="00B93DAC"/>
    <w:rsid w:val="00B93E0D"/>
    <w:rsid w:val="00B93FA1"/>
    <w:rsid w:val="00B941CC"/>
    <w:rsid w:val="00B942E6"/>
    <w:rsid w:val="00B94441"/>
    <w:rsid w:val="00B9447B"/>
    <w:rsid w:val="00B94970"/>
    <w:rsid w:val="00B94AE9"/>
    <w:rsid w:val="00B94B3D"/>
    <w:rsid w:val="00B94BEC"/>
    <w:rsid w:val="00B94DCB"/>
    <w:rsid w:val="00B9501A"/>
    <w:rsid w:val="00B9517F"/>
    <w:rsid w:val="00B9530D"/>
    <w:rsid w:val="00B956A7"/>
    <w:rsid w:val="00B95905"/>
    <w:rsid w:val="00B95925"/>
    <w:rsid w:val="00B959B1"/>
    <w:rsid w:val="00B959CE"/>
    <w:rsid w:val="00B95A6B"/>
    <w:rsid w:val="00B95CE3"/>
    <w:rsid w:val="00B95FF7"/>
    <w:rsid w:val="00B96108"/>
    <w:rsid w:val="00B96235"/>
    <w:rsid w:val="00B96624"/>
    <w:rsid w:val="00B967E0"/>
    <w:rsid w:val="00B96996"/>
    <w:rsid w:val="00B969FE"/>
    <w:rsid w:val="00B96A12"/>
    <w:rsid w:val="00B96D28"/>
    <w:rsid w:val="00B96EC0"/>
    <w:rsid w:val="00B96EDB"/>
    <w:rsid w:val="00B96EF1"/>
    <w:rsid w:val="00B97016"/>
    <w:rsid w:val="00B97345"/>
    <w:rsid w:val="00B977B5"/>
    <w:rsid w:val="00B977C1"/>
    <w:rsid w:val="00B97BF6"/>
    <w:rsid w:val="00B97D40"/>
    <w:rsid w:val="00BA0273"/>
    <w:rsid w:val="00BA0290"/>
    <w:rsid w:val="00BA0374"/>
    <w:rsid w:val="00BA0437"/>
    <w:rsid w:val="00BA0490"/>
    <w:rsid w:val="00BA083F"/>
    <w:rsid w:val="00BA0884"/>
    <w:rsid w:val="00BA0A91"/>
    <w:rsid w:val="00BA0E58"/>
    <w:rsid w:val="00BA1140"/>
    <w:rsid w:val="00BA1364"/>
    <w:rsid w:val="00BA13D4"/>
    <w:rsid w:val="00BA158E"/>
    <w:rsid w:val="00BA1810"/>
    <w:rsid w:val="00BA184E"/>
    <w:rsid w:val="00BA1A83"/>
    <w:rsid w:val="00BA1AD0"/>
    <w:rsid w:val="00BA1B61"/>
    <w:rsid w:val="00BA1BE0"/>
    <w:rsid w:val="00BA1CF5"/>
    <w:rsid w:val="00BA1EB9"/>
    <w:rsid w:val="00BA205D"/>
    <w:rsid w:val="00BA2682"/>
    <w:rsid w:val="00BA26B5"/>
    <w:rsid w:val="00BA28C9"/>
    <w:rsid w:val="00BA2B7C"/>
    <w:rsid w:val="00BA2E85"/>
    <w:rsid w:val="00BA2F48"/>
    <w:rsid w:val="00BA32CD"/>
    <w:rsid w:val="00BA32F1"/>
    <w:rsid w:val="00BA3340"/>
    <w:rsid w:val="00BA3417"/>
    <w:rsid w:val="00BA3467"/>
    <w:rsid w:val="00BA357B"/>
    <w:rsid w:val="00BA35E9"/>
    <w:rsid w:val="00BA364A"/>
    <w:rsid w:val="00BA3BCB"/>
    <w:rsid w:val="00BA3DAA"/>
    <w:rsid w:val="00BA3EDE"/>
    <w:rsid w:val="00BA3FE3"/>
    <w:rsid w:val="00BA4046"/>
    <w:rsid w:val="00BA42E7"/>
    <w:rsid w:val="00BA44C1"/>
    <w:rsid w:val="00BA44DD"/>
    <w:rsid w:val="00BA4529"/>
    <w:rsid w:val="00BA455B"/>
    <w:rsid w:val="00BA485F"/>
    <w:rsid w:val="00BA4AC5"/>
    <w:rsid w:val="00BA4CA4"/>
    <w:rsid w:val="00BA4FC0"/>
    <w:rsid w:val="00BA50B5"/>
    <w:rsid w:val="00BA50C8"/>
    <w:rsid w:val="00BA5320"/>
    <w:rsid w:val="00BA5351"/>
    <w:rsid w:val="00BA5524"/>
    <w:rsid w:val="00BA5751"/>
    <w:rsid w:val="00BA5D42"/>
    <w:rsid w:val="00BA5D5B"/>
    <w:rsid w:val="00BA5F00"/>
    <w:rsid w:val="00BA6141"/>
    <w:rsid w:val="00BA623E"/>
    <w:rsid w:val="00BA6424"/>
    <w:rsid w:val="00BA642C"/>
    <w:rsid w:val="00BA643B"/>
    <w:rsid w:val="00BA6477"/>
    <w:rsid w:val="00BA6764"/>
    <w:rsid w:val="00BA6C8E"/>
    <w:rsid w:val="00BA6EFA"/>
    <w:rsid w:val="00BA708F"/>
    <w:rsid w:val="00BA7171"/>
    <w:rsid w:val="00BA733B"/>
    <w:rsid w:val="00BA76F3"/>
    <w:rsid w:val="00BA7EE2"/>
    <w:rsid w:val="00BA7F77"/>
    <w:rsid w:val="00BB00A2"/>
    <w:rsid w:val="00BB0412"/>
    <w:rsid w:val="00BB04CE"/>
    <w:rsid w:val="00BB06EA"/>
    <w:rsid w:val="00BB0940"/>
    <w:rsid w:val="00BB0A7A"/>
    <w:rsid w:val="00BB0AE9"/>
    <w:rsid w:val="00BB1014"/>
    <w:rsid w:val="00BB1306"/>
    <w:rsid w:val="00BB13D4"/>
    <w:rsid w:val="00BB1431"/>
    <w:rsid w:val="00BB1480"/>
    <w:rsid w:val="00BB1503"/>
    <w:rsid w:val="00BB15DF"/>
    <w:rsid w:val="00BB19C2"/>
    <w:rsid w:val="00BB1AE9"/>
    <w:rsid w:val="00BB1BDB"/>
    <w:rsid w:val="00BB2408"/>
    <w:rsid w:val="00BB24E5"/>
    <w:rsid w:val="00BB2568"/>
    <w:rsid w:val="00BB296E"/>
    <w:rsid w:val="00BB2B54"/>
    <w:rsid w:val="00BB2DE0"/>
    <w:rsid w:val="00BB30BB"/>
    <w:rsid w:val="00BB30F9"/>
    <w:rsid w:val="00BB34B0"/>
    <w:rsid w:val="00BB3D37"/>
    <w:rsid w:val="00BB3FBD"/>
    <w:rsid w:val="00BB4517"/>
    <w:rsid w:val="00BB46A7"/>
    <w:rsid w:val="00BB4852"/>
    <w:rsid w:val="00BB4AF6"/>
    <w:rsid w:val="00BB4B46"/>
    <w:rsid w:val="00BB4E77"/>
    <w:rsid w:val="00BB5044"/>
    <w:rsid w:val="00BB524A"/>
    <w:rsid w:val="00BB529E"/>
    <w:rsid w:val="00BB5703"/>
    <w:rsid w:val="00BB5B27"/>
    <w:rsid w:val="00BB5B52"/>
    <w:rsid w:val="00BB5D51"/>
    <w:rsid w:val="00BB6680"/>
    <w:rsid w:val="00BB67E9"/>
    <w:rsid w:val="00BB6882"/>
    <w:rsid w:val="00BB69E6"/>
    <w:rsid w:val="00BB6B7E"/>
    <w:rsid w:val="00BB6D52"/>
    <w:rsid w:val="00BB6D9C"/>
    <w:rsid w:val="00BB6E1E"/>
    <w:rsid w:val="00BB6EF6"/>
    <w:rsid w:val="00BB71DC"/>
    <w:rsid w:val="00BB7328"/>
    <w:rsid w:val="00BB74EA"/>
    <w:rsid w:val="00BB75E3"/>
    <w:rsid w:val="00BB7687"/>
    <w:rsid w:val="00BB7791"/>
    <w:rsid w:val="00BB77A5"/>
    <w:rsid w:val="00BB7866"/>
    <w:rsid w:val="00BB7B30"/>
    <w:rsid w:val="00BB7CE1"/>
    <w:rsid w:val="00BB7D5F"/>
    <w:rsid w:val="00BB7E15"/>
    <w:rsid w:val="00BB7FE7"/>
    <w:rsid w:val="00BC00D7"/>
    <w:rsid w:val="00BC03CD"/>
    <w:rsid w:val="00BC03F2"/>
    <w:rsid w:val="00BC0473"/>
    <w:rsid w:val="00BC05DC"/>
    <w:rsid w:val="00BC06D4"/>
    <w:rsid w:val="00BC09E7"/>
    <w:rsid w:val="00BC0B48"/>
    <w:rsid w:val="00BC0CA2"/>
    <w:rsid w:val="00BC0CB6"/>
    <w:rsid w:val="00BC15DF"/>
    <w:rsid w:val="00BC1720"/>
    <w:rsid w:val="00BC172B"/>
    <w:rsid w:val="00BC178F"/>
    <w:rsid w:val="00BC19B7"/>
    <w:rsid w:val="00BC1A3C"/>
    <w:rsid w:val="00BC1C26"/>
    <w:rsid w:val="00BC1D25"/>
    <w:rsid w:val="00BC23BB"/>
    <w:rsid w:val="00BC2511"/>
    <w:rsid w:val="00BC26D7"/>
    <w:rsid w:val="00BC27E3"/>
    <w:rsid w:val="00BC281D"/>
    <w:rsid w:val="00BC2877"/>
    <w:rsid w:val="00BC28F3"/>
    <w:rsid w:val="00BC2B92"/>
    <w:rsid w:val="00BC2B9C"/>
    <w:rsid w:val="00BC2D1A"/>
    <w:rsid w:val="00BC3102"/>
    <w:rsid w:val="00BC339E"/>
    <w:rsid w:val="00BC348E"/>
    <w:rsid w:val="00BC34B3"/>
    <w:rsid w:val="00BC36A4"/>
    <w:rsid w:val="00BC37DC"/>
    <w:rsid w:val="00BC3981"/>
    <w:rsid w:val="00BC39A5"/>
    <w:rsid w:val="00BC3BC5"/>
    <w:rsid w:val="00BC3D1E"/>
    <w:rsid w:val="00BC3DD6"/>
    <w:rsid w:val="00BC3E8B"/>
    <w:rsid w:val="00BC3FD6"/>
    <w:rsid w:val="00BC3FEE"/>
    <w:rsid w:val="00BC403C"/>
    <w:rsid w:val="00BC41A8"/>
    <w:rsid w:val="00BC426B"/>
    <w:rsid w:val="00BC44A1"/>
    <w:rsid w:val="00BC4A2B"/>
    <w:rsid w:val="00BC4A41"/>
    <w:rsid w:val="00BC4ADD"/>
    <w:rsid w:val="00BC4C06"/>
    <w:rsid w:val="00BC56C6"/>
    <w:rsid w:val="00BC5750"/>
    <w:rsid w:val="00BC5841"/>
    <w:rsid w:val="00BC5A1F"/>
    <w:rsid w:val="00BC5B5B"/>
    <w:rsid w:val="00BC5B8C"/>
    <w:rsid w:val="00BC5D48"/>
    <w:rsid w:val="00BC5ECD"/>
    <w:rsid w:val="00BC5ED6"/>
    <w:rsid w:val="00BC5FA0"/>
    <w:rsid w:val="00BC6211"/>
    <w:rsid w:val="00BC6303"/>
    <w:rsid w:val="00BC6A92"/>
    <w:rsid w:val="00BC6BA3"/>
    <w:rsid w:val="00BC6DAA"/>
    <w:rsid w:val="00BC6E4C"/>
    <w:rsid w:val="00BC7045"/>
    <w:rsid w:val="00BC75B5"/>
    <w:rsid w:val="00BC78DC"/>
    <w:rsid w:val="00BC7913"/>
    <w:rsid w:val="00BC7996"/>
    <w:rsid w:val="00BC79E6"/>
    <w:rsid w:val="00BC7A47"/>
    <w:rsid w:val="00BC7A83"/>
    <w:rsid w:val="00BC7B49"/>
    <w:rsid w:val="00BC7BC2"/>
    <w:rsid w:val="00BC7CAA"/>
    <w:rsid w:val="00BC7CE2"/>
    <w:rsid w:val="00BD00AD"/>
    <w:rsid w:val="00BD065E"/>
    <w:rsid w:val="00BD08F3"/>
    <w:rsid w:val="00BD09F3"/>
    <w:rsid w:val="00BD0AFA"/>
    <w:rsid w:val="00BD0C90"/>
    <w:rsid w:val="00BD0CE8"/>
    <w:rsid w:val="00BD0DD0"/>
    <w:rsid w:val="00BD10E5"/>
    <w:rsid w:val="00BD10F9"/>
    <w:rsid w:val="00BD10FB"/>
    <w:rsid w:val="00BD138D"/>
    <w:rsid w:val="00BD1391"/>
    <w:rsid w:val="00BD168C"/>
    <w:rsid w:val="00BD16BE"/>
    <w:rsid w:val="00BD1A32"/>
    <w:rsid w:val="00BD1B7F"/>
    <w:rsid w:val="00BD1C5B"/>
    <w:rsid w:val="00BD1C8D"/>
    <w:rsid w:val="00BD1DF3"/>
    <w:rsid w:val="00BD2027"/>
    <w:rsid w:val="00BD20E4"/>
    <w:rsid w:val="00BD224B"/>
    <w:rsid w:val="00BD2488"/>
    <w:rsid w:val="00BD2913"/>
    <w:rsid w:val="00BD2971"/>
    <w:rsid w:val="00BD29C0"/>
    <w:rsid w:val="00BD2C24"/>
    <w:rsid w:val="00BD2FB8"/>
    <w:rsid w:val="00BD30E0"/>
    <w:rsid w:val="00BD3203"/>
    <w:rsid w:val="00BD34F0"/>
    <w:rsid w:val="00BD376C"/>
    <w:rsid w:val="00BD381B"/>
    <w:rsid w:val="00BD387D"/>
    <w:rsid w:val="00BD38B7"/>
    <w:rsid w:val="00BD38C0"/>
    <w:rsid w:val="00BD398C"/>
    <w:rsid w:val="00BD3CC9"/>
    <w:rsid w:val="00BD3D8E"/>
    <w:rsid w:val="00BD4173"/>
    <w:rsid w:val="00BD41A9"/>
    <w:rsid w:val="00BD41F7"/>
    <w:rsid w:val="00BD43A2"/>
    <w:rsid w:val="00BD466B"/>
    <w:rsid w:val="00BD46FB"/>
    <w:rsid w:val="00BD4D38"/>
    <w:rsid w:val="00BD4DA0"/>
    <w:rsid w:val="00BD4E1F"/>
    <w:rsid w:val="00BD4F5E"/>
    <w:rsid w:val="00BD50B7"/>
    <w:rsid w:val="00BD5202"/>
    <w:rsid w:val="00BD525D"/>
    <w:rsid w:val="00BD553B"/>
    <w:rsid w:val="00BD59E4"/>
    <w:rsid w:val="00BD5A3D"/>
    <w:rsid w:val="00BD6210"/>
    <w:rsid w:val="00BD62B1"/>
    <w:rsid w:val="00BD69BB"/>
    <w:rsid w:val="00BD6A3C"/>
    <w:rsid w:val="00BD6BAE"/>
    <w:rsid w:val="00BD7178"/>
    <w:rsid w:val="00BD7252"/>
    <w:rsid w:val="00BD7544"/>
    <w:rsid w:val="00BD78D1"/>
    <w:rsid w:val="00BD7B0C"/>
    <w:rsid w:val="00BD7B50"/>
    <w:rsid w:val="00BD7BA6"/>
    <w:rsid w:val="00BD7C76"/>
    <w:rsid w:val="00BD7C97"/>
    <w:rsid w:val="00BD7D26"/>
    <w:rsid w:val="00BD7E4B"/>
    <w:rsid w:val="00BD7E85"/>
    <w:rsid w:val="00BE03B0"/>
    <w:rsid w:val="00BE0437"/>
    <w:rsid w:val="00BE04BF"/>
    <w:rsid w:val="00BE089F"/>
    <w:rsid w:val="00BE08C6"/>
    <w:rsid w:val="00BE0916"/>
    <w:rsid w:val="00BE092E"/>
    <w:rsid w:val="00BE09D3"/>
    <w:rsid w:val="00BE09F2"/>
    <w:rsid w:val="00BE09F8"/>
    <w:rsid w:val="00BE0BF8"/>
    <w:rsid w:val="00BE0D99"/>
    <w:rsid w:val="00BE0E2C"/>
    <w:rsid w:val="00BE177F"/>
    <w:rsid w:val="00BE197C"/>
    <w:rsid w:val="00BE1995"/>
    <w:rsid w:val="00BE19A4"/>
    <w:rsid w:val="00BE1C59"/>
    <w:rsid w:val="00BE1EB7"/>
    <w:rsid w:val="00BE1EE9"/>
    <w:rsid w:val="00BE233F"/>
    <w:rsid w:val="00BE23BA"/>
    <w:rsid w:val="00BE247A"/>
    <w:rsid w:val="00BE24D3"/>
    <w:rsid w:val="00BE24FF"/>
    <w:rsid w:val="00BE250F"/>
    <w:rsid w:val="00BE281E"/>
    <w:rsid w:val="00BE2A7E"/>
    <w:rsid w:val="00BE2AC5"/>
    <w:rsid w:val="00BE2DD9"/>
    <w:rsid w:val="00BE2FC1"/>
    <w:rsid w:val="00BE318E"/>
    <w:rsid w:val="00BE322B"/>
    <w:rsid w:val="00BE3243"/>
    <w:rsid w:val="00BE32DE"/>
    <w:rsid w:val="00BE3B12"/>
    <w:rsid w:val="00BE3D77"/>
    <w:rsid w:val="00BE3E94"/>
    <w:rsid w:val="00BE3F59"/>
    <w:rsid w:val="00BE4326"/>
    <w:rsid w:val="00BE4346"/>
    <w:rsid w:val="00BE43C4"/>
    <w:rsid w:val="00BE43CE"/>
    <w:rsid w:val="00BE4489"/>
    <w:rsid w:val="00BE46EB"/>
    <w:rsid w:val="00BE4A89"/>
    <w:rsid w:val="00BE4C01"/>
    <w:rsid w:val="00BE4F2D"/>
    <w:rsid w:val="00BE5415"/>
    <w:rsid w:val="00BE55AA"/>
    <w:rsid w:val="00BE5B85"/>
    <w:rsid w:val="00BE5C6C"/>
    <w:rsid w:val="00BE5EF8"/>
    <w:rsid w:val="00BE6125"/>
    <w:rsid w:val="00BE6300"/>
    <w:rsid w:val="00BE63C4"/>
    <w:rsid w:val="00BE687F"/>
    <w:rsid w:val="00BE68FB"/>
    <w:rsid w:val="00BE690F"/>
    <w:rsid w:val="00BE6916"/>
    <w:rsid w:val="00BE6B64"/>
    <w:rsid w:val="00BE6D2D"/>
    <w:rsid w:val="00BE6D6E"/>
    <w:rsid w:val="00BE6DE3"/>
    <w:rsid w:val="00BE6E69"/>
    <w:rsid w:val="00BE6E8F"/>
    <w:rsid w:val="00BE6F03"/>
    <w:rsid w:val="00BE6F93"/>
    <w:rsid w:val="00BE7016"/>
    <w:rsid w:val="00BE7230"/>
    <w:rsid w:val="00BE7391"/>
    <w:rsid w:val="00BE7717"/>
    <w:rsid w:val="00BE78C4"/>
    <w:rsid w:val="00BE794B"/>
    <w:rsid w:val="00BE7962"/>
    <w:rsid w:val="00BE7A20"/>
    <w:rsid w:val="00BE7A26"/>
    <w:rsid w:val="00BE7AAC"/>
    <w:rsid w:val="00BE7D6B"/>
    <w:rsid w:val="00BE7F19"/>
    <w:rsid w:val="00BF038A"/>
    <w:rsid w:val="00BF0643"/>
    <w:rsid w:val="00BF0792"/>
    <w:rsid w:val="00BF08D6"/>
    <w:rsid w:val="00BF104C"/>
    <w:rsid w:val="00BF1572"/>
    <w:rsid w:val="00BF1575"/>
    <w:rsid w:val="00BF1747"/>
    <w:rsid w:val="00BF1981"/>
    <w:rsid w:val="00BF1EB9"/>
    <w:rsid w:val="00BF1FEB"/>
    <w:rsid w:val="00BF22DC"/>
    <w:rsid w:val="00BF22E4"/>
    <w:rsid w:val="00BF250F"/>
    <w:rsid w:val="00BF26E6"/>
    <w:rsid w:val="00BF29A9"/>
    <w:rsid w:val="00BF2A50"/>
    <w:rsid w:val="00BF2B88"/>
    <w:rsid w:val="00BF2BDD"/>
    <w:rsid w:val="00BF2CBF"/>
    <w:rsid w:val="00BF2D39"/>
    <w:rsid w:val="00BF2F48"/>
    <w:rsid w:val="00BF3209"/>
    <w:rsid w:val="00BF326A"/>
    <w:rsid w:val="00BF33A6"/>
    <w:rsid w:val="00BF3722"/>
    <w:rsid w:val="00BF37FA"/>
    <w:rsid w:val="00BF3A97"/>
    <w:rsid w:val="00BF3BD9"/>
    <w:rsid w:val="00BF3DB8"/>
    <w:rsid w:val="00BF3DC6"/>
    <w:rsid w:val="00BF3E9B"/>
    <w:rsid w:val="00BF3F97"/>
    <w:rsid w:val="00BF3FDB"/>
    <w:rsid w:val="00BF416C"/>
    <w:rsid w:val="00BF4280"/>
    <w:rsid w:val="00BF42FC"/>
    <w:rsid w:val="00BF4680"/>
    <w:rsid w:val="00BF47BB"/>
    <w:rsid w:val="00BF484B"/>
    <w:rsid w:val="00BF4917"/>
    <w:rsid w:val="00BF49D9"/>
    <w:rsid w:val="00BF4A26"/>
    <w:rsid w:val="00BF50C2"/>
    <w:rsid w:val="00BF50D1"/>
    <w:rsid w:val="00BF546C"/>
    <w:rsid w:val="00BF56E7"/>
    <w:rsid w:val="00BF5827"/>
    <w:rsid w:val="00BF5973"/>
    <w:rsid w:val="00BF5C34"/>
    <w:rsid w:val="00BF5DD9"/>
    <w:rsid w:val="00BF5E29"/>
    <w:rsid w:val="00BF5EB2"/>
    <w:rsid w:val="00BF5EF0"/>
    <w:rsid w:val="00BF5FAB"/>
    <w:rsid w:val="00BF6074"/>
    <w:rsid w:val="00BF6111"/>
    <w:rsid w:val="00BF617C"/>
    <w:rsid w:val="00BF6275"/>
    <w:rsid w:val="00BF6376"/>
    <w:rsid w:val="00BF6484"/>
    <w:rsid w:val="00BF6556"/>
    <w:rsid w:val="00BF6665"/>
    <w:rsid w:val="00BF66D0"/>
    <w:rsid w:val="00BF69FD"/>
    <w:rsid w:val="00BF6C12"/>
    <w:rsid w:val="00BF6C20"/>
    <w:rsid w:val="00BF6DB0"/>
    <w:rsid w:val="00BF6E76"/>
    <w:rsid w:val="00BF738C"/>
    <w:rsid w:val="00BF74E7"/>
    <w:rsid w:val="00BF7771"/>
    <w:rsid w:val="00BF78E4"/>
    <w:rsid w:val="00BF791A"/>
    <w:rsid w:val="00BF7B66"/>
    <w:rsid w:val="00C001B6"/>
    <w:rsid w:val="00C00228"/>
    <w:rsid w:val="00C005FE"/>
    <w:rsid w:val="00C006AF"/>
    <w:rsid w:val="00C007C5"/>
    <w:rsid w:val="00C00845"/>
    <w:rsid w:val="00C0086D"/>
    <w:rsid w:val="00C00ABC"/>
    <w:rsid w:val="00C00B88"/>
    <w:rsid w:val="00C00D92"/>
    <w:rsid w:val="00C00DA3"/>
    <w:rsid w:val="00C01292"/>
    <w:rsid w:val="00C01423"/>
    <w:rsid w:val="00C01516"/>
    <w:rsid w:val="00C0162D"/>
    <w:rsid w:val="00C019C1"/>
    <w:rsid w:val="00C01CF3"/>
    <w:rsid w:val="00C01DAE"/>
    <w:rsid w:val="00C01DF8"/>
    <w:rsid w:val="00C01F21"/>
    <w:rsid w:val="00C02094"/>
    <w:rsid w:val="00C022E8"/>
    <w:rsid w:val="00C02351"/>
    <w:rsid w:val="00C023AB"/>
    <w:rsid w:val="00C025BF"/>
    <w:rsid w:val="00C0267A"/>
    <w:rsid w:val="00C02960"/>
    <w:rsid w:val="00C029A6"/>
    <w:rsid w:val="00C02E54"/>
    <w:rsid w:val="00C03056"/>
    <w:rsid w:val="00C03227"/>
    <w:rsid w:val="00C0332E"/>
    <w:rsid w:val="00C03834"/>
    <w:rsid w:val="00C0384F"/>
    <w:rsid w:val="00C03A29"/>
    <w:rsid w:val="00C03AD9"/>
    <w:rsid w:val="00C04018"/>
    <w:rsid w:val="00C042CA"/>
    <w:rsid w:val="00C04669"/>
    <w:rsid w:val="00C04753"/>
    <w:rsid w:val="00C04996"/>
    <w:rsid w:val="00C04C3E"/>
    <w:rsid w:val="00C04C55"/>
    <w:rsid w:val="00C04CDC"/>
    <w:rsid w:val="00C04DE7"/>
    <w:rsid w:val="00C04EF8"/>
    <w:rsid w:val="00C05401"/>
    <w:rsid w:val="00C0551D"/>
    <w:rsid w:val="00C05573"/>
    <w:rsid w:val="00C0561B"/>
    <w:rsid w:val="00C05622"/>
    <w:rsid w:val="00C0585C"/>
    <w:rsid w:val="00C05927"/>
    <w:rsid w:val="00C05C65"/>
    <w:rsid w:val="00C05E58"/>
    <w:rsid w:val="00C05F78"/>
    <w:rsid w:val="00C060E7"/>
    <w:rsid w:val="00C061C3"/>
    <w:rsid w:val="00C06351"/>
    <w:rsid w:val="00C06360"/>
    <w:rsid w:val="00C06409"/>
    <w:rsid w:val="00C0679F"/>
    <w:rsid w:val="00C06982"/>
    <w:rsid w:val="00C06BFB"/>
    <w:rsid w:val="00C06F48"/>
    <w:rsid w:val="00C07101"/>
    <w:rsid w:val="00C07186"/>
    <w:rsid w:val="00C0732C"/>
    <w:rsid w:val="00C07358"/>
    <w:rsid w:val="00C07390"/>
    <w:rsid w:val="00C073B6"/>
    <w:rsid w:val="00C074AA"/>
    <w:rsid w:val="00C07744"/>
    <w:rsid w:val="00C07A18"/>
    <w:rsid w:val="00C07BAB"/>
    <w:rsid w:val="00C07C8F"/>
    <w:rsid w:val="00C10286"/>
    <w:rsid w:val="00C102D1"/>
    <w:rsid w:val="00C103A7"/>
    <w:rsid w:val="00C103F1"/>
    <w:rsid w:val="00C1049F"/>
    <w:rsid w:val="00C10909"/>
    <w:rsid w:val="00C109A5"/>
    <w:rsid w:val="00C11023"/>
    <w:rsid w:val="00C111D7"/>
    <w:rsid w:val="00C113F0"/>
    <w:rsid w:val="00C11761"/>
    <w:rsid w:val="00C11764"/>
    <w:rsid w:val="00C11935"/>
    <w:rsid w:val="00C119C6"/>
    <w:rsid w:val="00C11A38"/>
    <w:rsid w:val="00C11AD2"/>
    <w:rsid w:val="00C11DB1"/>
    <w:rsid w:val="00C11DC6"/>
    <w:rsid w:val="00C11FDD"/>
    <w:rsid w:val="00C11FE5"/>
    <w:rsid w:val="00C12044"/>
    <w:rsid w:val="00C1208A"/>
    <w:rsid w:val="00C1211B"/>
    <w:rsid w:val="00C121E7"/>
    <w:rsid w:val="00C1224F"/>
    <w:rsid w:val="00C129C9"/>
    <w:rsid w:val="00C12B49"/>
    <w:rsid w:val="00C12D97"/>
    <w:rsid w:val="00C12DAB"/>
    <w:rsid w:val="00C12E00"/>
    <w:rsid w:val="00C12E54"/>
    <w:rsid w:val="00C12F03"/>
    <w:rsid w:val="00C131AC"/>
    <w:rsid w:val="00C13204"/>
    <w:rsid w:val="00C13307"/>
    <w:rsid w:val="00C1364E"/>
    <w:rsid w:val="00C1375B"/>
    <w:rsid w:val="00C138BE"/>
    <w:rsid w:val="00C13968"/>
    <w:rsid w:val="00C13AF6"/>
    <w:rsid w:val="00C13E29"/>
    <w:rsid w:val="00C13E5B"/>
    <w:rsid w:val="00C13F05"/>
    <w:rsid w:val="00C13F2C"/>
    <w:rsid w:val="00C14087"/>
    <w:rsid w:val="00C144A4"/>
    <w:rsid w:val="00C14632"/>
    <w:rsid w:val="00C1490C"/>
    <w:rsid w:val="00C14946"/>
    <w:rsid w:val="00C149AC"/>
    <w:rsid w:val="00C14A13"/>
    <w:rsid w:val="00C14DEB"/>
    <w:rsid w:val="00C14F6D"/>
    <w:rsid w:val="00C1515B"/>
    <w:rsid w:val="00C153B8"/>
    <w:rsid w:val="00C158F7"/>
    <w:rsid w:val="00C1592A"/>
    <w:rsid w:val="00C15F19"/>
    <w:rsid w:val="00C162EF"/>
    <w:rsid w:val="00C16593"/>
    <w:rsid w:val="00C16710"/>
    <w:rsid w:val="00C1675C"/>
    <w:rsid w:val="00C16969"/>
    <w:rsid w:val="00C16A6A"/>
    <w:rsid w:val="00C16B9C"/>
    <w:rsid w:val="00C16E63"/>
    <w:rsid w:val="00C16EDF"/>
    <w:rsid w:val="00C17167"/>
    <w:rsid w:val="00C173AE"/>
    <w:rsid w:val="00C17472"/>
    <w:rsid w:val="00C179F6"/>
    <w:rsid w:val="00C17CCB"/>
    <w:rsid w:val="00C17F5F"/>
    <w:rsid w:val="00C17FE1"/>
    <w:rsid w:val="00C200F8"/>
    <w:rsid w:val="00C207BB"/>
    <w:rsid w:val="00C2082B"/>
    <w:rsid w:val="00C208AF"/>
    <w:rsid w:val="00C20B71"/>
    <w:rsid w:val="00C20C6E"/>
    <w:rsid w:val="00C20CDA"/>
    <w:rsid w:val="00C20FD2"/>
    <w:rsid w:val="00C2123A"/>
    <w:rsid w:val="00C212CF"/>
    <w:rsid w:val="00C21498"/>
    <w:rsid w:val="00C2150D"/>
    <w:rsid w:val="00C2195D"/>
    <w:rsid w:val="00C21A75"/>
    <w:rsid w:val="00C21D2E"/>
    <w:rsid w:val="00C21DE5"/>
    <w:rsid w:val="00C21F63"/>
    <w:rsid w:val="00C22013"/>
    <w:rsid w:val="00C222CD"/>
    <w:rsid w:val="00C22891"/>
    <w:rsid w:val="00C22CAF"/>
    <w:rsid w:val="00C22CD1"/>
    <w:rsid w:val="00C22CE2"/>
    <w:rsid w:val="00C22D08"/>
    <w:rsid w:val="00C22E95"/>
    <w:rsid w:val="00C230C0"/>
    <w:rsid w:val="00C23103"/>
    <w:rsid w:val="00C234E9"/>
    <w:rsid w:val="00C23695"/>
    <w:rsid w:val="00C237CB"/>
    <w:rsid w:val="00C2385E"/>
    <w:rsid w:val="00C23B9F"/>
    <w:rsid w:val="00C23CAB"/>
    <w:rsid w:val="00C23CF5"/>
    <w:rsid w:val="00C23EAE"/>
    <w:rsid w:val="00C23EE6"/>
    <w:rsid w:val="00C243D5"/>
    <w:rsid w:val="00C24507"/>
    <w:rsid w:val="00C24BDA"/>
    <w:rsid w:val="00C253AD"/>
    <w:rsid w:val="00C25741"/>
    <w:rsid w:val="00C25A7D"/>
    <w:rsid w:val="00C25B7E"/>
    <w:rsid w:val="00C25BB4"/>
    <w:rsid w:val="00C2613E"/>
    <w:rsid w:val="00C261A9"/>
    <w:rsid w:val="00C267A1"/>
    <w:rsid w:val="00C267D6"/>
    <w:rsid w:val="00C267D9"/>
    <w:rsid w:val="00C269D9"/>
    <w:rsid w:val="00C26ED6"/>
    <w:rsid w:val="00C27275"/>
    <w:rsid w:val="00C27413"/>
    <w:rsid w:val="00C2773D"/>
    <w:rsid w:val="00C277F9"/>
    <w:rsid w:val="00C27B30"/>
    <w:rsid w:val="00C27B5E"/>
    <w:rsid w:val="00C27C65"/>
    <w:rsid w:val="00C27D54"/>
    <w:rsid w:val="00C27EFA"/>
    <w:rsid w:val="00C30197"/>
    <w:rsid w:val="00C30269"/>
    <w:rsid w:val="00C3075C"/>
    <w:rsid w:val="00C307FF"/>
    <w:rsid w:val="00C30EFE"/>
    <w:rsid w:val="00C310EB"/>
    <w:rsid w:val="00C3133D"/>
    <w:rsid w:val="00C3136F"/>
    <w:rsid w:val="00C314E4"/>
    <w:rsid w:val="00C31733"/>
    <w:rsid w:val="00C3190C"/>
    <w:rsid w:val="00C31AAB"/>
    <w:rsid w:val="00C31B90"/>
    <w:rsid w:val="00C31C6D"/>
    <w:rsid w:val="00C31F70"/>
    <w:rsid w:val="00C320D6"/>
    <w:rsid w:val="00C321C0"/>
    <w:rsid w:val="00C32259"/>
    <w:rsid w:val="00C32279"/>
    <w:rsid w:val="00C323C1"/>
    <w:rsid w:val="00C32437"/>
    <w:rsid w:val="00C324FD"/>
    <w:rsid w:val="00C3270D"/>
    <w:rsid w:val="00C327C8"/>
    <w:rsid w:val="00C3298D"/>
    <w:rsid w:val="00C32B21"/>
    <w:rsid w:val="00C32C01"/>
    <w:rsid w:val="00C33019"/>
    <w:rsid w:val="00C33085"/>
    <w:rsid w:val="00C3320A"/>
    <w:rsid w:val="00C33295"/>
    <w:rsid w:val="00C3349E"/>
    <w:rsid w:val="00C334B9"/>
    <w:rsid w:val="00C33585"/>
    <w:rsid w:val="00C3359C"/>
    <w:rsid w:val="00C338B1"/>
    <w:rsid w:val="00C33947"/>
    <w:rsid w:val="00C33C34"/>
    <w:rsid w:val="00C33C89"/>
    <w:rsid w:val="00C33DB9"/>
    <w:rsid w:val="00C33DF5"/>
    <w:rsid w:val="00C34038"/>
    <w:rsid w:val="00C34136"/>
    <w:rsid w:val="00C341DB"/>
    <w:rsid w:val="00C34201"/>
    <w:rsid w:val="00C34259"/>
    <w:rsid w:val="00C3456E"/>
    <w:rsid w:val="00C34837"/>
    <w:rsid w:val="00C34964"/>
    <w:rsid w:val="00C34A61"/>
    <w:rsid w:val="00C3506A"/>
    <w:rsid w:val="00C3513F"/>
    <w:rsid w:val="00C35191"/>
    <w:rsid w:val="00C35378"/>
    <w:rsid w:val="00C35463"/>
    <w:rsid w:val="00C354BE"/>
    <w:rsid w:val="00C355B2"/>
    <w:rsid w:val="00C3564D"/>
    <w:rsid w:val="00C35838"/>
    <w:rsid w:val="00C358AA"/>
    <w:rsid w:val="00C358E6"/>
    <w:rsid w:val="00C35972"/>
    <w:rsid w:val="00C35CA5"/>
    <w:rsid w:val="00C35D1F"/>
    <w:rsid w:val="00C35DEA"/>
    <w:rsid w:val="00C35F71"/>
    <w:rsid w:val="00C35FB9"/>
    <w:rsid w:val="00C36089"/>
    <w:rsid w:val="00C360C6"/>
    <w:rsid w:val="00C36740"/>
    <w:rsid w:val="00C3685F"/>
    <w:rsid w:val="00C36866"/>
    <w:rsid w:val="00C36979"/>
    <w:rsid w:val="00C369EE"/>
    <w:rsid w:val="00C36D43"/>
    <w:rsid w:val="00C37408"/>
    <w:rsid w:val="00C3770D"/>
    <w:rsid w:val="00C37868"/>
    <w:rsid w:val="00C37917"/>
    <w:rsid w:val="00C37CE7"/>
    <w:rsid w:val="00C40044"/>
    <w:rsid w:val="00C40178"/>
    <w:rsid w:val="00C401A2"/>
    <w:rsid w:val="00C40245"/>
    <w:rsid w:val="00C40375"/>
    <w:rsid w:val="00C40455"/>
    <w:rsid w:val="00C404A3"/>
    <w:rsid w:val="00C407BC"/>
    <w:rsid w:val="00C408E9"/>
    <w:rsid w:val="00C40A92"/>
    <w:rsid w:val="00C40C0B"/>
    <w:rsid w:val="00C40C45"/>
    <w:rsid w:val="00C40F7D"/>
    <w:rsid w:val="00C41401"/>
    <w:rsid w:val="00C41520"/>
    <w:rsid w:val="00C41604"/>
    <w:rsid w:val="00C417EE"/>
    <w:rsid w:val="00C41A33"/>
    <w:rsid w:val="00C41ADF"/>
    <w:rsid w:val="00C41C25"/>
    <w:rsid w:val="00C41CAC"/>
    <w:rsid w:val="00C41E3E"/>
    <w:rsid w:val="00C41F3A"/>
    <w:rsid w:val="00C41FD0"/>
    <w:rsid w:val="00C42367"/>
    <w:rsid w:val="00C424AF"/>
    <w:rsid w:val="00C42812"/>
    <w:rsid w:val="00C429B3"/>
    <w:rsid w:val="00C42A8B"/>
    <w:rsid w:val="00C42FDF"/>
    <w:rsid w:val="00C4325A"/>
    <w:rsid w:val="00C433C6"/>
    <w:rsid w:val="00C437DB"/>
    <w:rsid w:val="00C4391D"/>
    <w:rsid w:val="00C4399B"/>
    <w:rsid w:val="00C43A04"/>
    <w:rsid w:val="00C43B23"/>
    <w:rsid w:val="00C43C33"/>
    <w:rsid w:val="00C43C5E"/>
    <w:rsid w:val="00C43D46"/>
    <w:rsid w:val="00C43F32"/>
    <w:rsid w:val="00C4401E"/>
    <w:rsid w:val="00C4440D"/>
    <w:rsid w:val="00C444D9"/>
    <w:rsid w:val="00C4466F"/>
    <w:rsid w:val="00C4467E"/>
    <w:rsid w:val="00C4470E"/>
    <w:rsid w:val="00C4498A"/>
    <w:rsid w:val="00C44EEF"/>
    <w:rsid w:val="00C450F3"/>
    <w:rsid w:val="00C45373"/>
    <w:rsid w:val="00C45420"/>
    <w:rsid w:val="00C45481"/>
    <w:rsid w:val="00C45670"/>
    <w:rsid w:val="00C4588D"/>
    <w:rsid w:val="00C458CC"/>
    <w:rsid w:val="00C45A62"/>
    <w:rsid w:val="00C45A69"/>
    <w:rsid w:val="00C45B4B"/>
    <w:rsid w:val="00C45BE5"/>
    <w:rsid w:val="00C45C18"/>
    <w:rsid w:val="00C45E0C"/>
    <w:rsid w:val="00C4617A"/>
    <w:rsid w:val="00C46572"/>
    <w:rsid w:val="00C4659E"/>
    <w:rsid w:val="00C4687D"/>
    <w:rsid w:val="00C4689D"/>
    <w:rsid w:val="00C46942"/>
    <w:rsid w:val="00C4699A"/>
    <w:rsid w:val="00C46BF8"/>
    <w:rsid w:val="00C46C35"/>
    <w:rsid w:val="00C46D85"/>
    <w:rsid w:val="00C46FA2"/>
    <w:rsid w:val="00C47116"/>
    <w:rsid w:val="00C4712A"/>
    <w:rsid w:val="00C47274"/>
    <w:rsid w:val="00C4729F"/>
    <w:rsid w:val="00C473BD"/>
    <w:rsid w:val="00C47493"/>
    <w:rsid w:val="00C47945"/>
    <w:rsid w:val="00C479ED"/>
    <w:rsid w:val="00C47B97"/>
    <w:rsid w:val="00C47BE5"/>
    <w:rsid w:val="00C47EE9"/>
    <w:rsid w:val="00C50055"/>
    <w:rsid w:val="00C500FA"/>
    <w:rsid w:val="00C50335"/>
    <w:rsid w:val="00C5068A"/>
    <w:rsid w:val="00C50A83"/>
    <w:rsid w:val="00C50BC7"/>
    <w:rsid w:val="00C50CA4"/>
    <w:rsid w:val="00C50EE2"/>
    <w:rsid w:val="00C510B5"/>
    <w:rsid w:val="00C511A7"/>
    <w:rsid w:val="00C51369"/>
    <w:rsid w:val="00C513D1"/>
    <w:rsid w:val="00C5156E"/>
    <w:rsid w:val="00C5157E"/>
    <w:rsid w:val="00C51922"/>
    <w:rsid w:val="00C519E2"/>
    <w:rsid w:val="00C519E7"/>
    <w:rsid w:val="00C51A1A"/>
    <w:rsid w:val="00C51B53"/>
    <w:rsid w:val="00C51D84"/>
    <w:rsid w:val="00C51EBC"/>
    <w:rsid w:val="00C52068"/>
    <w:rsid w:val="00C52108"/>
    <w:rsid w:val="00C523B3"/>
    <w:rsid w:val="00C5246C"/>
    <w:rsid w:val="00C525D0"/>
    <w:rsid w:val="00C52686"/>
    <w:rsid w:val="00C5281A"/>
    <w:rsid w:val="00C528F7"/>
    <w:rsid w:val="00C529BA"/>
    <w:rsid w:val="00C52A90"/>
    <w:rsid w:val="00C52BF5"/>
    <w:rsid w:val="00C52C97"/>
    <w:rsid w:val="00C52D52"/>
    <w:rsid w:val="00C5311A"/>
    <w:rsid w:val="00C5323D"/>
    <w:rsid w:val="00C53312"/>
    <w:rsid w:val="00C538F3"/>
    <w:rsid w:val="00C539B0"/>
    <w:rsid w:val="00C53B55"/>
    <w:rsid w:val="00C53CE0"/>
    <w:rsid w:val="00C53D58"/>
    <w:rsid w:val="00C54017"/>
    <w:rsid w:val="00C540FE"/>
    <w:rsid w:val="00C54155"/>
    <w:rsid w:val="00C546B4"/>
    <w:rsid w:val="00C546C0"/>
    <w:rsid w:val="00C5487F"/>
    <w:rsid w:val="00C5498E"/>
    <w:rsid w:val="00C54C93"/>
    <w:rsid w:val="00C54D18"/>
    <w:rsid w:val="00C54FA6"/>
    <w:rsid w:val="00C54FC4"/>
    <w:rsid w:val="00C5501B"/>
    <w:rsid w:val="00C5501E"/>
    <w:rsid w:val="00C550BA"/>
    <w:rsid w:val="00C55204"/>
    <w:rsid w:val="00C5531E"/>
    <w:rsid w:val="00C553A4"/>
    <w:rsid w:val="00C55442"/>
    <w:rsid w:val="00C55534"/>
    <w:rsid w:val="00C55821"/>
    <w:rsid w:val="00C559B2"/>
    <w:rsid w:val="00C55EFE"/>
    <w:rsid w:val="00C5609E"/>
    <w:rsid w:val="00C56159"/>
    <w:rsid w:val="00C561B7"/>
    <w:rsid w:val="00C57A8A"/>
    <w:rsid w:val="00C57BFC"/>
    <w:rsid w:val="00C57CC0"/>
    <w:rsid w:val="00C57F6D"/>
    <w:rsid w:val="00C57F9E"/>
    <w:rsid w:val="00C6055A"/>
    <w:rsid w:val="00C6056C"/>
    <w:rsid w:val="00C60767"/>
    <w:rsid w:val="00C608C3"/>
    <w:rsid w:val="00C60B14"/>
    <w:rsid w:val="00C60B1A"/>
    <w:rsid w:val="00C60B49"/>
    <w:rsid w:val="00C61134"/>
    <w:rsid w:val="00C611BD"/>
    <w:rsid w:val="00C6128E"/>
    <w:rsid w:val="00C612FC"/>
    <w:rsid w:val="00C613A1"/>
    <w:rsid w:val="00C615EA"/>
    <w:rsid w:val="00C61660"/>
    <w:rsid w:val="00C6175F"/>
    <w:rsid w:val="00C61767"/>
    <w:rsid w:val="00C61887"/>
    <w:rsid w:val="00C6189B"/>
    <w:rsid w:val="00C61A1F"/>
    <w:rsid w:val="00C61FED"/>
    <w:rsid w:val="00C6216F"/>
    <w:rsid w:val="00C6244C"/>
    <w:rsid w:val="00C62488"/>
    <w:rsid w:val="00C62A3D"/>
    <w:rsid w:val="00C62FD9"/>
    <w:rsid w:val="00C631B2"/>
    <w:rsid w:val="00C63545"/>
    <w:rsid w:val="00C63551"/>
    <w:rsid w:val="00C6359B"/>
    <w:rsid w:val="00C635BF"/>
    <w:rsid w:val="00C635E4"/>
    <w:rsid w:val="00C63802"/>
    <w:rsid w:val="00C63B35"/>
    <w:rsid w:val="00C63D4C"/>
    <w:rsid w:val="00C640AC"/>
    <w:rsid w:val="00C64155"/>
    <w:rsid w:val="00C641FD"/>
    <w:rsid w:val="00C6423C"/>
    <w:rsid w:val="00C64C5A"/>
    <w:rsid w:val="00C64CAB"/>
    <w:rsid w:val="00C64CCC"/>
    <w:rsid w:val="00C64ED8"/>
    <w:rsid w:val="00C6509D"/>
    <w:rsid w:val="00C6532D"/>
    <w:rsid w:val="00C6536B"/>
    <w:rsid w:val="00C653CF"/>
    <w:rsid w:val="00C65751"/>
    <w:rsid w:val="00C657EA"/>
    <w:rsid w:val="00C65BAF"/>
    <w:rsid w:val="00C65D54"/>
    <w:rsid w:val="00C65E5E"/>
    <w:rsid w:val="00C660ED"/>
    <w:rsid w:val="00C661AC"/>
    <w:rsid w:val="00C6628B"/>
    <w:rsid w:val="00C66412"/>
    <w:rsid w:val="00C664D6"/>
    <w:rsid w:val="00C665AC"/>
    <w:rsid w:val="00C6671F"/>
    <w:rsid w:val="00C66747"/>
    <w:rsid w:val="00C66773"/>
    <w:rsid w:val="00C66A3A"/>
    <w:rsid w:val="00C66CF4"/>
    <w:rsid w:val="00C66E40"/>
    <w:rsid w:val="00C670FE"/>
    <w:rsid w:val="00C67161"/>
    <w:rsid w:val="00C6721E"/>
    <w:rsid w:val="00C6734F"/>
    <w:rsid w:val="00C67A6D"/>
    <w:rsid w:val="00C67AB3"/>
    <w:rsid w:val="00C67B23"/>
    <w:rsid w:val="00C67BD1"/>
    <w:rsid w:val="00C67CC3"/>
    <w:rsid w:val="00C67D10"/>
    <w:rsid w:val="00C67D30"/>
    <w:rsid w:val="00C67E55"/>
    <w:rsid w:val="00C6D9D0"/>
    <w:rsid w:val="00C7006C"/>
    <w:rsid w:val="00C7016A"/>
    <w:rsid w:val="00C7029B"/>
    <w:rsid w:val="00C70553"/>
    <w:rsid w:val="00C70978"/>
    <w:rsid w:val="00C70BF4"/>
    <w:rsid w:val="00C70CA1"/>
    <w:rsid w:val="00C70CE6"/>
    <w:rsid w:val="00C70CFA"/>
    <w:rsid w:val="00C70D77"/>
    <w:rsid w:val="00C70F6B"/>
    <w:rsid w:val="00C71013"/>
    <w:rsid w:val="00C71107"/>
    <w:rsid w:val="00C7130A"/>
    <w:rsid w:val="00C714C2"/>
    <w:rsid w:val="00C7150D"/>
    <w:rsid w:val="00C71632"/>
    <w:rsid w:val="00C7174E"/>
    <w:rsid w:val="00C718ED"/>
    <w:rsid w:val="00C71C76"/>
    <w:rsid w:val="00C71C7F"/>
    <w:rsid w:val="00C71CD2"/>
    <w:rsid w:val="00C71DE6"/>
    <w:rsid w:val="00C72436"/>
    <w:rsid w:val="00C7257F"/>
    <w:rsid w:val="00C725A5"/>
    <w:rsid w:val="00C72667"/>
    <w:rsid w:val="00C7267C"/>
    <w:rsid w:val="00C7294D"/>
    <w:rsid w:val="00C72AE1"/>
    <w:rsid w:val="00C72B3C"/>
    <w:rsid w:val="00C72BCC"/>
    <w:rsid w:val="00C72BF4"/>
    <w:rsid w:val="00C72D2F"/>
    <w:rsid w:val="00C72DDE"/>
    <w:rsid w:val="00C72EB2"/>
    <w:rsid w:val="00C7306F"/>
    <w:rsid w:val="00C732EF"/>
    <w:rsid w:val="00C733A7"/>
    <w:rsid w:val="00C73495"/>
    <w:rsid w:val="00C736C1"/>
    <w:rsid w:val="00C73749"/>
    <w:rsid w:val="00C73A56"/>
    <w:rsid w:val="00C73B67"/>
    <w:rsid w:val="00C73D5E"/>
    <w:rsid w:val="00C73F2C"/>
    <w:rsid w:val="00C74104"/>
    <w:rsid w:val="00C74442"/>
    <w:rsid w:val="00C74AFD"/>
    <w:rsid w:val="00C74C68"/>
    <w:rsid w:val="00C74CEA"/>
    <w:rsid w:val="00C74F8B"/>
    <w:rsid w:val="00C7511D"/>
    <w:rsid w:val="00C7522C"/>
    <w:rsid w:val="00C753B2"/>
    <w:rsid w:val="00C75475"/>
    <w:rsid w:val="00C75712"/>
    <w:rsid w:val="00C75B65"/>
    <w:rsid w:val="00C75C20"/>
    <w:rsid w:val="00C75C57"/>
    <w:rsid w:val="00C75CEE"/>
    <w:rsid w:val="00C75F80"/>
    <w:rsid w:val="00C75FD0"/>
    <w:rsid w:val="00C761AE"/>
    <w:rsid w:val="00C7658A"/>
    <w:rsid w:val="00C76920"/>
    <w:rsid w:val="00C76A44"/>
    <w:rsid w:val="00C76B62"/>
    <w:rsid w:val="00C76E45"/>
    <w:rsid w:val="00C76EF6"/>
    <w:rsid w:val="00C77354"/>
    <w:rsid w:val="00C77842"/>
    <w:rsid w:val="00C77987"/>
    <w:rsid w:val="00C77ACE"/>
    <w:rsid w:val="00C77E17"/>
    <w:rsid w:val="00C77E4E"/>
    <w:rsid w:val="00C77F28"/>
    <w:rsid w:val="00C7FD41"/>
    <w:rsid w:val="00C800F0"/>
    <w:rsid w:val="00C8051C"/>
    <w:rsid w:val="00C80798"/>
    <w:rsid w:val="00C8088B"/>
    <w:rsid w:val="00C80AD2"/>
    <w:rsid w:val="00C80C14"/>
    <w:rsid w:val="00C80F8E"/>
    <w:rsid w:val="00C80FC4"/>
    <w:rsid w:val="00C811B3"/>
    <w:rsid w:val="00C8134B"/>
    <w:rsid w:val="00C81395"/>
    <w:rsid w:val="00C81476"/>
    <w:rsid w:val="00C81636"/>
    <w:rsid w:val="00C81643"/>
    <w:rsid w:val="00C81703"/>
    <w:rsid w:val="00C81779"/>
    <w:rsid w:val="00C8185B"/>
    <w:rsid w:val="00C818B4"/>
    <w:rsid w:val="00C8199C"/>
    <w:rsid w:val="00C819EF"/>
    <w:rsid w:val="00C81AEF"/>
    <w:rsid w:val="00C81D9D"/>
    <w:rsid w:val="00C81F0B"/>
    <w:rsid w:val="00C8204E"/>
    <w:rsid w:val="00C820DB"/>
    <w:rsid w:val="00C82231"/>
    <w:rsid w:val="00C822E5"/>
    <w:rsid w:val="00C82342"/>
    <w:rsid w:val="00C8240F"/>
    <w:rsid w:val="00C824D6"/>
    <w:rsid w:val="00C825F0"/>
    <w:rsid w:val="00C82765"/>
    <w:rsid w:val="00C82797"/>
    <w:rsid w:val="00C82817"/>
    <w:rsid w:val="00C829D3"/>
    <w:rsid w:val="00C82A10"/>
    <w:rsid w:val="00C82BC4"/>
    <w:rsid w:val="00C82D6B"/>
    <w:rsid w:val="00C82FB6"/>
    <w:rsid w:val="00C82FCA"/>
    <w:rsid w:val="00C831B7"/>
    <w:rsid w:val="00C83299"/>
    <w:rsid w:val="00C834AE"/>
    <w:rsid w:val="00C83620"/>
    <w:rsid w:val="00C836AF"/>
    <w:rsid w:val="00C83C52"/>
    <w:rsid w:val="00C83E02"/>
    <w:rsid w:val="00C84366"/>
    <w:rsid w:val="00C8436D"/>
    <w:rsid w:val="00C8438B"/>
    <w:rsid w:val="00C844D5"/>
    <w:rsid w:val="00C84628"/>
    <w:rsid w:val="00C84832"/>
    <w:rsid w:val="00C84C07"/>
    <w:rsid w:val="00C84CE6"/>
    <w:rsid w:val="00C84FA0"/>
    <w:rsid w:val="00C851CE"/>
    <w:rsid w:val="00C85438"/>
    <w:rsid w:val="00C8567C"/>
    <w:rsid w:val="00C85761"/>
    <w:rsid w:val="00C85973"/>
    <w:rsid w:val="00C859FA"/>
    <w:rsid w:val="00C85F84"/>
    <w:rsid w:val="00C86052"/>
    <w:rsid w:val="00C86214"/>
    <w:rsid w:val="00C864AB"/>
    <w:rsid w:val="00C865E5"/>
    <w:rsid w:val="00C86861"/>
    <w:rsid w:val="00C86A7E"/>
    <w:rsid w:val="00C86CAF"/>
    <w:rsid w:val="00C86D58"/>
    <w:rsid w:val="00C86ED6"/>
    <w:rsid w:val="00C86FDF"/>
    <w:rsid w:val="00C871B5"/>
    <w:rsid w:val="00C87355"/>
    <w:rsid w:val="00C8746D"/>
    <w:rsid w:val="00C87560"/>
    <w:rsid w:val="00C8771A"/>
    <w:rsid w:val="00C8785D"/>
    <w:rsid w:val="00C87AF7"/>
    <w:rsid w:val="00C87C69"/>
    <w:rsid w:val="00C87CF5"/>
    <w:rsid w:val="00C90185"/>
    <w:rsid w:val="00C90D06"/>
    <w:rsid w:val="00C910F4"/>
    <w:rsid w:val="00C91216"/>
    <w:rsid w:val="00C9127A"/>
    <w:rsid w:val="00C91598"/>
    <w:rsid w:val="00C9159C"/>
    <w:rsid w:val="00C919D9"/>
    <w:rsid w:val="00C91CC2"/>
    <w:rsid w:val="00C920DC"/>
    <w:rsid w:val="00C9227D"/>
    <w:rsid w:val="00C9246D"/>
    <w:rsid w:val="00C92499"/>
    <w:rsid w:val="00C92583"/>
    <w:rsid w:val="00C925E2"/>
    <w:rsid w:val="00C9272B"/>
    <w:rsid w:val="00C927F7"/>
    <w:rsid w:val="00C929C9"/>
    <w:rsid w:val="00C92AFB"/>
    <w:rsid w:val="00C92D09"/>
    <w:rsid w:val="00C92DCC"/>
    <w:rsid w:val="00C92DE5"/>
    <w:rsid w:val="00C92E68"/>
    <w:rsid w:val="00C92F72"/>
    <w:rsid w:val="00C92F9A"/>
    <w:rsid w:val="00C93378"/>
    <w:rsid w:val="00C93443"/>
    <w:rsid w:val="00C935A7"/>
    <w:rsid w:val="00C93674"/>
    <w:rsid w:val="00C93799"/>
    <w:rsid w:val="00C938AD"/>
    <w:rsid w:val="00C93EFF"/>
    <w:rsid w:val="00C94049"/>
    <w:rsid w:val="00C9418B"/>
    <w:rsid w:val="00C94582"/>
    <w:rsid w:val="00C945AC"/>
    <w:rsid w:val="00C947B5"/>
    <w:rsid w:val="00C9484F"/>
    <w:rsid w:val="00C94B0D"/>
    <w:rsid w:val="00C94EA3"/>
    <w:rsid w:val="00C9502B"/>
    <w:rsid w:val="00C951D2"/>
    <w:rsid w:val="00C9520B"/>
    <w:rsid w:val="00C95297"/>
    <w:rsid w:val="00C952EB"/>
    <w:rsid w:val="00C954B7"/>
    <w:rsid w:val="00C95605"/>
    <w:rsid w:val="00C957DC"/>
    <w:rsid w:val="00C957F3"/>
    <w:rsid w:val="00C9583C"/>
    <w:rsid w:val="00C959A7"/>
    <w:rsid w:val="00C95A12"/>
    <w:rsid w:val="00C96620"/>
    <w:rsid w:val="00C9696A"/>
    <w:rsid w:val="00C969DD"/>
    <w:rsid w:val="00C96AB4"/>
    <w:rsid w:val="00C96D36"/>
    <w:rsid w:val="00C97197"/>
    <w:rsid w:val="00C97466"/>
    <w:rsid w:val="00C97478"/>
    <w:rsid w:val="00C97614"/>
    <w:rsid w:val="00C97661"/>
    <w:rsid w:val="00C97C1F"/>
    <w:rsid w:val="00C97EF4"/>
    <w:rsid w:val="00CA0063"/>
    <w:rsid w:val="00CA00EC"/>
    <w:rsid w:val="00CA02FB"/>
    <w:rsid w:val="00CA059F"/>
    <w:rsid w:val="00CA0664"/>
    <w:rsid w:val="00CA078A"/>
    <w:rsid w:val="00CA0A49"/>
    <w:rsid w:val="00CA0AB5"/>
    <w:rsid w:val="00CA0C36"/>
    <w:rsid w:val="00CA0C98"/>
    <w:rsid w:val="00CA0E28"/>
    <w:rsid w:val="00CA1453"/>
    <w:rsid w:val="00CA17E8"/>
    <w:rsid w:val="00CA184E"/>
    <w:rsid w:val="00CA19C7"/>
    <w:rsid w:val="00CA1BB9"/>
    <w:rsid w:val="00CA1E3F"/>
    <w:rsid w:val="00CA2013"/>
    <w:rsid w:val="00CA219D"/>
    <w:rsid w:val="00CA22E1"/>
    <w:rsid w:val="00CA26A5"/>
    <w:rsid w:val="00CA2725"/>
    <w:rsid w:val="00CA2A5E"/>
    <w:rsid w:val="00CA2AD5"/>
    <w:rsid w:val="00CA2B1C"/>
    <w:rsid w:val="00CA2CBD"/>
    <w:rsid w:val="00CA2CC2"/>
    <w:rsid w:val="00CA2DA6"/>
    <w:rsid w:val="00CA2DC5"/>
    <w:rsid w:val="00CA30AE"/>
    <w:rsid w:val="00CA313F"/>
    <w:rsid w:val="00CA31A7"/>
    <w:rsid w:val="00CA31B8"/>
    <w:rsid w:val="00CA3581"/>
    <w:rsid w:val="00CA3678"/>
    <w:rsid w:val="00CA3B5C"/>
    <w:rsid w:val="00CA3D73"/>
    <w:rsid w:val="00CA409F"/>
    <w:rsid w:val="00CA4182"/>
    <w:rsid w:val="00CA4293"/>
    <w:rsid w:val="00CA42BD"/>
    <w:rsid w:val="00CA4417"/>
    <w:rsid w:val="00CA4485"/>
    <w:rsid w:val="00CA466A"/>
    <w:rsid w:val="00CA4998"/>
    <w:rsid w:val="00CA4C52"/>
    <w:rsid w:val="00CA4F04"/>
    <w:rsid w:val="00CA5092"/>
    <w:rsid w:val="00CA555B"/>
    <w:rsid w:val="00CA55A1"/>
    <w:rsid w:val="00CA5638"/>
    <w:rsid w:val="00CA58B6"/>
    <w:rsid w:val="00CA5986"/>
    <w:rsid w:val="00CA599D"/>
    <w:rsid w:val="00CA5E9A"/>
    <w:rsid w:val="00CA5EB1"/>
    <w:rsid w:val="00CA6067"/>
    <w:rsid w:val="00CA60D2"/>
    <w:rsid w:val="00CA65E5"/>
    <w:rsid w:val="00CA69C4"/>
    <w:rsid w:val="00CA69C6"/>
    <w:rsid w:val="00CA6AFB"/>
    <w:rsid w:val="00CA6DE1"/>
    <w:rsid w:val="00CA6F3F"/>
    <w:rsid w:val="00CA72CA"/>
    <w:rsid w:val="00CA764C"/>
    <w:rsid w:val="00CA777F"/>
    <w:rsid w:val="00CA7881"/>
    <w:rsid w:val="00CA79FD"/>
    <w:rsid w:val="00CA7A13"/>
    <w:rsid w:val="00CA7A19"/>
    <w:rsid w:val="00CA7A79"/>
    <w:rsid w:val="00CA7C99"/>
    <w:rsid w:val="00CA7CD8"/>
    <w:rsid w:val="00CA7D2E"/>
    <w:rsid w:val="00CA7F9B"/>
    <w:rsid w:val="00CA7FB5"/>
    <w:rsid w:val="00CB0224"/>
    <w:rsid w:val="00CB063B"/>
    <w:rsid w:val="00CB0724"/>
    <w:rsid w:val="00CB07CB"/>
    <w:rsid w:val="00CB0AAD"/>
    <w:rsid w:val="00CB0B43"/>
    <w:rsid w:val="00CB0DC6"/>
    <w:rsid w:val="00CB0DC7"/>
    <w:rsid w:val="00CB142E"/>
    <w:rsid w:val="00CB1C35"/>
    <w:rsid w:val="00CB1C68"/>
    <w:rsid w:val="00CB1DC9"/>
    <w:rsid w:val="00CB1EDE"/>
    <w:rsid w:val="00CB1F01"/>
    <w:rsid w:val="00CB24C4"/>
    <w:rsid w:val="00CB273C"/>
    <w:rsid w:val="00CB282F"/>
    <w:rsid w:val="00CB28BF"/>
    <w:rsid w:val="00CB29B6"/>
    <w:rsid w:val="00CB2D59"/>
    <w:rsid w:val="00CB2E15"/>
    <w:rsid w:val="00CB3158"/>
    <w:rsid w:val="00CB32A9"/>
    <w:rsid w:val="00CB3669"/>
    <w:rsid w:val="00CB367A"/>
    <w:rsid w:val="00CB377C"/>
    <w:rsid w:val="00CB37B2"/>
    <w:rsid w:val="00CB3A81"/>
    <w:rsid w:val="00CB3B55"/>
    <w:rsid w:val="00CB3B5F"/>
    <w:rsid w:val="00CB3DBD"/>
    <w:rsid w:val="00CB3E7B"/>
    <w:rsid w:val="00CB40F2"/>
    <w:rsid w:val="00CB4384"/>
    <w:rsid w:val="00CB445A"/>
    <w:rsid w:val="00CB44AE"/>
    <w:rsid w:val="00CB472F"/>
    <w:rsid w:val="00CB487A"/>
    <w:rsid w:val="00CB4B22"/>
    <w:rsid w:val="00CB4D23"/>
    <w:rsid w:val="00CB4D6C"/>
    <w:rsid w:val="00CB4E1D"/>
    <w:rsid w:val="00CB4F14"/>
    <w:rsid w:val="00CB500D"/>
    <w:rsid w:val="00CB512A"/>
    <w:rsid w:val="00CB524B"/>
    <w:rsid w:val="00CB526C"/>
    <w:rsid w:val="00CB5308"/>
    <w:rsid w:val="00CB53A8"/>
    <w:rsid w:val="00CB5430"/>
    <w:rsid w:val="00CB57C4"/>
    <w:rsid w:val="00CB5E7B"/>
    <w:rsid w:val="00CB638B"/>
    <w:rsid w:val="00CB6499"/>
    <w:rsid w:val="00CB65B6"/>
    <w:rsid w:val="00CB65DF"/>
    <w:rsid w:val="00CB6998"/>
    <w:rsid w:val="00CB6B63"/>
    <w:rsid w:val="00CB6DA9"/>
    <w:rsid w:val="00CB6E1C"/>
    <w:rsid w:val="00CB6F16"/>
    <w:rsid w:val="00CB6F98"/>
    <w:rsid w:val="00CB7115"/>
    <w:rsid w:val="00CB723B"/>
    <w:rsid w:val="00CB7316"/>
    <w:rsid w:val="00CB75AF"/>
    <w:rsid w:val="00CB79CB"/>
    <w:rsid w:val="00CB7A8F"/>
    <w:rsid w:val="00CB7B21"/>
    <w:rsid w:val="00CB7BC9"/>
    <w:rsid w:val="00CB7FB4"/>
    <w:rsid w:val="00CC014F"/>
    <w:rsid w:val="00CC0268"/>
    <w:rsid w:val="00CC0496"/>
    <w:rsid w:val="00CC05B9"/>
    <w:rsid w:val="00CC0937"/>
    <w:rsid w:val="00CC0A77"/>
    <w:rsid w:val="00CC0AB9"/>
    <w:rsid w:val="00CC0B21"/>
    <w:rsid w:val="00CC0B4D"/>
    <w:rsid w:val="00CC0C42"/>
    <w:rsid w:val="00CC0C56"/>
    <w:rsid w:val="00CC0FF0"/>
    <w:rsid w:val="00CC12DD"/>
    <w:rsid w:val="00CC1301"/>
    <w:rsid w:val="00CC17BD"/>
    <w:rsid w:val="00CC19A4"/>
    <w:rsid w:val="00CC19DA"/>
    <w:rsid w:val="00CC1B38"/>
    <w:rsid w:val="00CC1B81"/>
    <w:rsid w:val="00CC1B8D"/>
    <w:rsid w:val="00CC1C30"/>
    <w:rsid w:val="00CC1DA9"/>
    <w:rsid w:val="00CC1E08"/>
    <w:rsid w:val="00CC2076"/>
    <w:rsid w:val="00CC2239"/>
    <w:rsid w:val="00CC2360"/>
    <w:rsid w:val="00CC2362"/>
    <w:rsid w:val="00CC24B3"/>
    <w:rsid w:val="00CC24D8"/>
    <w:rsid w:val="00CC2622"/>
    <w:rsid w:val="00CC2737"/>
    <w:rsid w:val="00CC287A"/>
    <w:rsid w:val="00CC28C6"/>
    <w:rsid w:val="00CC2CE4"/>
    <w:rsid w:val="00CC2E3B"/>
    <w:rsid w:val="00CC2E52"/>
    <w:rsid w:val="00CC3057"/>
    <w:rsid w:val="00CC3065"/>
    <w:rsid w:val="00CC3243"/>
    <w:rsid w:val="00CC330F"/>
    <w:rsid w:val="00CC3370"/>
    <w:rsid w:val="00CC3973"/>
    <w:rsid w:val="00CC3AEC"/>
    <w:rsid w:val="00CC3D46"/>
    <w:rsid w:val="00CC3E0B"/>
    <w:rsid w:val="00CC3FF9"/>
    <w:rsid w:val="00CC44B3"/>
    <w:rsid w:val="00CC4570"/>
    <w:rsid w:val="00CC4626"/>
    <w:rsid w:val="00CC4846"/>
    <w:rsid w:val="00CC49DB"/>
    <w:rsid w:val="00CC4EBF"/>
    <w:rsid w:val="00CC4F32"/>
    <w:rsid w:val="00CC4F33"/>
    <w:rsid w:val="00CC5095"/>
    <w:rsid w:val="00CC5460"/>
    <w:rsid w:val="00CC56A3"/>
    <w:rsid w:val="00CC5720"/>
    <w:rsid w:val="00CC57A9"/>
    <w:rsid w:val="00CC5838"/>
    <w:rsid w:val="00CC595E"/>
    <w:rsid w:val="00CC5C8B"/>
    <w:rsid w:val="00CC5EA8"/>
    <w:rsid w:val="00CC5EE3"/>
    <w:rsid w:val="00CC5FCA"/>
    <w:rsid w:val="00CC60C3"/>
    <w:rsid w:val="00CC60F8"/>
    <w:rsid w:val="00CC6295"/>
    <w:rsid w:val="00CC657C"/>
    <w:rsid w:val="00CC660D"/>
    <w:rsid w:val="00CC6791"/>
    <w:rsid w:val="00CC6826"/>
    <w:rsid w:val="00CC6947"/>
    <w:rsid w:val="00CC69FC"/>
    <w:rsid w:val="00CC6ACB"/>
    <w:rsid w:val="00CC6BD2"/>
    <w:rsid w:val="00CC6DBB"/>
    <w:rsid w:val="00CC6EA5"/>
    <w:rsid w:val="00CC6FE9"/>
    <w:rsid w:val="00CC71B5"/>
    <w:rsid w:val="00CC754B"/>
    <w:rsid w:val="00CC754E"/>
    <w:rsid w:val="00CC7576"/>
    <w:rsid w:val="00CC7628"/>
    <w:rsid w:val="00CC7698"/>
    <w:rsid w:val="00CC7A91"/>
    <w:rsid w:val="00CC7BF9"/>
    <w:rsid w:val="00CC7C75"/>
    <w:rsid w:val="00CD0358"/>
    <w:rsid w:val="00CD0363"/>
    <w:rsid w:val="00CD073A"/>
    <w:rsid w:val="00CD08CB"/>
    <w:rsid w:val="00CD0A4C"/>
    <w:rsid w:val="00CD0C7A"/>
    <w:rsid w:val="00CD0D6A"/>
    <w:rsid w:val="00CD10A0"/>
    <w:rsid w:val="00CD1199"/>
    <w:rsid w:val="00CD1A3C"/>
    <w:rsid w:val="00CD2037"/>
    <w:rsid w:val="00CD2219"/>
    <w:rsid w:val="00CD2306"/>
    <w:rsid w:val="00CD2348"/>
    <w:rsid w:val="00CD249F"/>
    <w:rsid w:val="00CD2515"/>
    <w:rsid w:val="00CD2941"/>
    <w:rsid w:val="00CD2B95"/>
    <w:rsid w:val="00CD2F57"/>
    <w:rsid w:val="00CD3214"/>
    <w:rsid w:val="00CD326B"/>
    <w:rsid w:val="00CD3A21"/>
    <w:rsid w:val="00CD3C5C"/>
    <w:rsid w:val="00CD3D75"/>
    <w:rsid w:val="00CD3E72"/>
    <w:rsid w:val="00CD3E7B"/>
    <w:rsid w:val="00CD3E95"/>
    <w:rsid w:val="00CD4083"/>
    <w:rsid w:val="00CD4595"/>
    <w:rsid w:val="00CD479C"/>
    <w:rsid w:val="00CD4810"/>
    <w:rsid w:val="00CD484B"/>
    <w:rsid w:val="00CD48B8"/>
    <w:rsid w:val="00CD4C40"/>
    <w:rsid w:val="00CD4DCB"/>
    <w:rsid w:val="00CD4E03"/>
    <w:rsid w:val="00CD4ED4"/>
    <w:rsid w:val="00CD4EE3"/>
    <w:rsid w:val="00CD4F1F"/>
    <w:rsid w:val="00CD4F56"/>
    <w:rsid w:val="00CD4F72"/>
    <w:rsid w:val="00CD4FD1"/>
    <w:rsid w:val="00CD50B8"/>
    <w:rsid w:val="00CD5151"/>
    <w:rsid w:val="00CD53B6"/>
    <w:rsid w:val="00CD53DE"/>
    <w:rsid w:val="00CD54FB"/>
    <w:rsid w:val="00CD5619"/>
    <w:rsid w:val="00CD5627"/>
    <w:rsid w:val="00CD57B3"/>
    <w:rsid w:val="00CD582E"/>
    <w:rsid w:val="00CD591B"/>
    <w:rsid w:val="00CD612F"/>
    <w:rsid w:val="00CD61C9"/>
    <w:rsid w:val="00CD6266"/>
    <w:rsid w:val="00CD64E8"/>
    <w:rsid w:val="00CD657B"/>
    <w:rsid w:val="00CD6696"/>
    <w:rsid w:val="00CD6780"/>
    <w:rsid w:val="00CD693F"/>
    <w:rsid w:val="00CD6B0D"/>
    <w:rsid w:val="00CD6BB6"/>
    <w:rsid w:val="00CD6DA8"/>
    <w:rsid w:val="00CD6EC5"/>
    <w:rsid w:val="00CD6EDE"/>
    <w:rsid w:val="00CD6EFB"/>
    <w:rsid w:val="00CD6FF3"/>
    <w:rsid w:val="00CD70E7"/>
    <w:rsid w:val="00CD72FE"/>
    <w:rsid w:val="00CD749F"/>
    <w:rsid w:val="00CD7534"/>
    <w:rsid w:val="00CD782D"/>
    <w:rsid w:val="00CD7881"/>
    <w:rsid w:val="00CD79D5"/>
    <w:rsid w:val="00CD7B8F"/>
    <w:rsid w:val="00CD7DE2"/>
    <w:rsid w:val="00CE00E2"/>
    <w:rsid w:val="00CE01FA"/>
    <w:rsid w:val="00CE02DF"/>
    <w:rsid w:val="00CE05F2"/>
    <w:rsid w:val="00CE068A"/>
    <w:rsid w:val="00CE078C"/>
    <w:rsid w:val="00CE0830"/>
    <w:rsid w:val="00CE08A5"/>
    <w:rsid w:val="00CE0B9D"/>
    <w:rsid w:val="00CE1477"/>
    <w:rsid w:val="00CE155D"/>
    <w:rsid w:val="00CE155E"/>
    <w:rsid w:val="00CE16D5"/>
    <w:rsid w:val="00CE173C"/>
    <w:rsid w:val="00CE17BC"/>
    <w:rsid w:val="00CE19AA"/>
    <w:rsid w:val="00CE1A6E"/>
    <w:rsid w:val="00CE1C3A"/>
    <w:rsid w:val="00CE206D"/>
    <w:rsid w:val="00CE20AB"/>
    <w:rsid w:val="00CE20C2"/>
    <w:rsid w:val="00CE2234"/>
    <w:rsid w:val="00CE238F"/>
    <w:rsid w:val="00CE24CA"/>
    <w:rsid w:val="00CE2545"/>
    <w:rsid w:val="00CE25AD"/>
    <w:rsid w:val="00CE26D2"/>
    <w:rsid w:val="00CE28B2"/>
    <w:rsid w:val="00CE2981"/>
    <w:rsid w:val="00CE2B98"/>
    <w:rsid w:val="00CE2BB3"/>
    <w:rsid w:val="00CE2BD4"/>
    <w:rsid w:val="00CE2F44"/>
    <w:rsid w:val="00CE314D"/>
    <w:rsid w:val="00CE3154"/>
    <w:rsid w:val="00CE3313"/>
    <w:rsid w:val="00CE3553"/>
    <w:rsid w:val="00CE365D"/>
    <w:rsid w:val="00CE3776"/>
    <w:rsid w:val="00CE38FC"/>
    <w:rsid w:val="00CE395C"/>
    <w:rsid w:val="00CE3BD1"/>
    <w:rsid w:val="00CE3C62"/>
    <w:rsid w:val="00CE3CFB"/>
    <w:rsid w:val="00CE3DFD"/>
    <w:rsid w:val="00CE3E78"/>
    <w:rsid w:val="00CE3FA1"/>
    <w:rsid w:val="00CE4035"/>
    <w:rsid w:val="00CE4044"/>
    <w:rsid w:val="00CE4450"/>
    <w:rsid w:val="00CE445B"/>
    <w:rsid w:val="00CE45AD"/>
    <w:rsid w:val="00CE4BDC"/>
    <w:rsid w:val="00CE4E34"/>
    <w:rsid w:val="00CE4FF8"/>
    <w:rsid w:val="00CE50FD"/>
    <w:rsid w:val="00CE51D0"/>
    <w:rsid w:val="00CE52F1"/>
    <w:rsid w:val="00CE553E"/>
    <w:rsid w:val="00CE5545"/>
    <w:rsid w:val="00CE55E1"/>
    <w:rsid w:val="00CE5695"/>
    <w:rsid w:val="00CE5879"/>
    <w:rsid w:val="00CE5927"/>
    <w:rsid w:val="00CE5A4D"/>
    <w:rsid w:val="00CE5BEE"/>
    <w:rsid w:val="00CE5C0C"/>
    <w:rsid w:val="00CE5C58"/>
    <w:rsid w:val="00CE60A3"/>
    <w:rsid w:val="00CE6665"/>
    <w:rsid w:val="00CE675F"/>
    <w:rsid w:val="00CE6A7A"/>
    <w:rsid w:val="00CE6AA2"/>
    <w:rsid w:val="00CE6DC8"/>
    <w:rsid w:val="00CE6E44"/>
    <w:rsid w:val="00CE71B9"/>
    <w:rsid w:val="00CE7722"/>
    <w:rsid w:val="00CE780F"/>
    <w:rsid w:val="00CE789C"/>
    <w:rsid w:val="00CE7992"/>
    <w:rsid w:val="00CE7ADA"/>
    <w:rsid w:val="00CE7C3A"/>
    <w:rsid w:val="00CE7C84"/>
    <w:rsid w:val="00CE7D3C"/>
    <w:rsid w:val="00CE7F58"/>
    <w:rsid w:val="00CEA6F8"/>
    <w:rsid w:val="00CF02BB"/>
    <w:rsid w:val="00CF07A8"/>
    <w:rsid w:val="00CF0889"/>
    <w:rsid w:val="00CF0B35"/>
    <w:rsid w:val="00CF0BF0"/>
    <w:rsid w:val="00CF0D08"/>
    <w:rsid w:val="00CF0D65"/>
    <w:rsid w:val="00CF0DA3"/>
    <w:rsid w:val="00CF1080"/>
    <w:rsid w:val="00CF1148"/>
    <w:rsid w:val="00CF119E"/>
    <w:rsid w:val="00CF1306"/>
    <w:rsid w:val="00CF1348"/>
    <w:rsid w:val="00CF1595"/>
    <w:rsid w:val="00CF159D"/>
    <w:rsid w:val="00CF15F3"/>
    <w:rsid w:val="00CF17D5"/>
    <w:rsid w:val="00CF1A0C"/>
    <w:rsid w:val="00CF1DF3"/>
    <w:rsid w:val="00CF1DFA"/>
    <w:rsid w:val="00CF1FD9"/>
    <w:rsid w:val="00CF2130"/>
    <w:rsid w:val="00CF2217"/>
    <w:rsid w:val="00CF22D2"/>
    <w:rsid w:val="00CF231E"/>
    <w:rsid w:val="00CF23C1"/>
    <w:rsid w:val="00CF2413"/>
    <w:rsid w:val="00CF24AE"/>
    <w:rsid w:val="00CF24B1"/>
    <w:rsid w:val="00CF2709"/>
    <w:rsid w:val="00CF2795"/>
    <w:rsid w:val="00CF28BD"/>
    <w:rsid w:val="00CF2A4B"/>
    <w:rsid w:val="00CF2A52"/>
    <w:rsid w:val="00CF2B38"/>
    <w:rsid w:val="00CF2B66"/>
    <w:rsid w:val="00CF2F04"/>
    <w:rsid w:val="00CF3177"/>
    <w:rsid w:val="00CF31EA"/>
    <w:rsid w:val="00CF3349"/>
    <w:rsid w:val="00CF33A3"/>
    <w:rsid w:val="00CF361C"/>
    <w:rsid w:val="00CF36A2"/>
    <w:rsid w:val="00CF3B56"/>
    <w:rsid w:val="00CF3BB4"/>
    <w:rsid w:val="00CF3C90"/>
    <w:rsid w:val="00CF3FB9"/>
    <w:rsid w:val="00CF42BF"/>
    <w:rsid w:val="00CF437C"/>
    <w:rsid w:val="00CF44C0"/>
    <w:rsid w:val="00CF481D"/>
    <w:rsid w:val="00CF4872"/>
    <w:rsid w:val="00CF4ABE"/>
    <w:rsid w:val="00CF4D65"/>
    <w:rsid w:val="00CF4DE3"/>
    <w:rsid w:val="00CF50F9"/>
    <w:rsid w:val="00CF5182"/>
    <w:rsid w:val="00CF54A5"/>
    <w:rsid w:val="00CF558A"/>
    <w:rsid w:val="00CF56E5"/>
    <w:rsid w:val="00CF583F"/>
    <w:rsid w:val="00CF593E"/>
    <w:rsid w:val="00CF5AE3"/>
    <w:rsid w:val="00CF5C73"/>
    <w:rsid w:val="00CF5D00"/>
    <w:rsid w:val="00CF5F4B"/>
    <w:rsid w:val="00CF5F85"/>
    <w:rsid w:val="00CF600C"/>
    <w:rsid w:val="00CF62B9"/>
    <w:rsid w:val="00CF64CC"/>
    <w:rsid w:val="00CF682C"/>
    <w:rsid w:val="00CF6855"/>
    <w:rsid w:val="00CF6891"/>
    <w:rsid w:val="00CF69A5"/>
    <w:rsid w:val="00CF6CCB"/>
    <w:rsid w:val="00CF6DB9"/>
    <w:rsid w:val="00CF6F82"/>
    <w:rsid w:val="00CF707E"/>
    <w:rsid w:val="00CF7240"/>
    <w:rsid w:val="00CF74B7"/>
    <w:rsid w:val="00CF76D0"/>
    <w:rsid w:val="00CF7965"/>
    <w:rsid w:val="00CF7B67"/>
    <w:rsid w:val="00CF7B8C"/>
    <w:rsid w:val="00CF7D6C"/>
    <w:rsid w:val="00D000C7"/>
    <w:rsid w:val="00D001EC"/>
    <w:rsid w:val="00D006B4"/>
    <w:rsid w:val="00D0079B"/>
    <w:rsid w:val="00D00A3E"/>
    <w:rsid w:val="00D00C77"/>
    <w:rsid w:val="00D00F31"/>
    <w:rsid w:val="00D011B6"/>
    <w:rsid w:val="00D011B8"/>
    <w:rsid w:val="00D01221"/>
    <w:rsid w:val="00D0157C"/>
    <w:rsid w:val="00D016FF"/>
    <w:rsid w:val="00D01AF7"/>
    <w:rsid w:val="00D01C03"/>
    <w:rsid w:val="00D01C4B"/>
    <w:rsid w:val="00D01F68"/>
    <w:rsid w:val="00D01F81"/>
    <w:rsid w:val="00D022FB"/>
    <w:rsid w:val="00D0262A"/>
    <w:rsid w:val="00D0263A"/>
    <w:rsid w:val="00D029B2"/>
    <w:rsid w:val="00D02A06"/>
    <w:rsid w:val="00D02B3A"/>
    <w:rsid w:val="00D02C38"/>
    <w:rsid w:val="00D02E1F"/>
    <w:rsid w:val="00D02EE8"/>
    <w:rsid w:val="00D02F53"/>
    <w:rsid w:val="00D03058"/>
    <w:rsid w:val="00D032EB"/>
    <w:rsid w:val="00D032F6"/>
    <w:rsid w:val="00D03413"/>
    <w:rsid w:val="00D036DE"/>
    <w:rsid w:val="00D03742"/>
    <w:rsid w:val="00D0378E"/>
    <w:rsid w:val="00D03795"/>
    <w:rsid w:val="00D03BB2"/>
    <w:rsid w:val="00D03C2A"/>
    <w:rsid w:val="00D03DB9"/>
    <w:rsid w:val="00D03E5E"/>
    <w:rsid w:val="00D03FD9"/>
    <w:rsid w:val="00D042AC"/>
    <w:rsid w:val="00D045C5"/>
    <w:rsid w:val="00D0463A"/>
    <w:rsid w:val="00D04665"/>
    <w:rsid w:val="00D046B2"/>
    <w:rsid w:val="00D0496F"/>
    <w:rsid w:val="00D04A17"/>
    <w:rsid w:val="00D04FFD"/>
    <w:rsid w:val="00D05237"/>
    <w:rsid w:val="00D055E9"/>
    <w:rsid w:val="00D05831"/>
    <w:rsid w:val="00D05D3C"/>
    <w:rsid w:val="00D05EFB"/>
    <w:rsid w:val="00D06215"/>
    <w:rsid w:val="00D063BE"/>
    <w:rsid w:val="00D06652"/>
    <w:rsid w:val="00D06660"/>
    <w:rsid w:val="00D068D8"/>
    <w:rsid w:val="00D06BB7"/>
    <w:rsid w:val="00D06F87"/>
    <w:rsid w:val="00D07215"/>
    <w:rsid w:val="00D07217"/>
    <w:rsid w:val="00D0729C"/>
    <w:rsid w:val="00D073DE"/>
    <w:rsid w:val="00D07526"/>
    <w:rsid w:val="00D07713"/>
    <w:rsid w:val="00D07870"/>
    <w:rsid w:val="00D07901"/>
    <w:rsid w:val="00D07925"/>
    <w:rsid w:val="00D079DE"/>
    <w:rsid w:val="00D07B2E"/>
    <w:rsid w:val="00D07B56"/>
    <w:rsid w:val="00D07CBE"/>
    <w:rsid w:val="00D07CD1"/>
    <w:rsid w:val="00D07DED"/>
    <w:rsid w:val="00D101AA"/>
    <w:rsid w:val="00D104F3"/>
    <w:rsid w:val="00D10570"/>
    <w:rsid w:val="00D1068B"/>
    <w:rsid w:val="00D10713"/>
    <w:rsid w:val="00D10759"/>
    <w:rsid w:val="00D1082D"/>
    <w:rsid w:val="00D10C24"/>
    <w:rsid w:val="00D10CD9"/>
    <w:rsid w:val="00D11037"/>
    <w:rsid w:val="00D11474"/>
    <w:rsid w:val="00D114F0"/>
    <w:rsid w:val="00D117AB"/>
    <w:rsid w:val="00D118B4"/>
    <w:rsid w:val="00D11A1A"/>
    <w:rsid w:val="00D11C8C"/>
    <w:rsid w:val="00D11CDD"/>
    <w:rsid w:val="00D11EE9"/>
    <w:rsid w:val="00D11F65"/>
    <w:rsid w:val="00D12002"/>
    <w:rsid w:val="00D121DF"/>
    <w:rsid w:val="00D12438"/>
    <w:rsid w:val="00D125AB"/>
    <w:rsid w:val="00D1281A"/>
    <w:rsid w:val="00D12825"/>
    <w:rsid w:val="00D12922"/>
    <w:rsid w:val="00D12A98"/>
    <w:rsid w:val="00D12ACA"/>
    <w:rsid w:val="00D12B46"/>
    <w:rsid w:val="00D12FD9"/>
    <w:rsid w:val="00D132E5"/>
    <w:rsid w:val="00D13306"/>
    <w:rsid w:val="00D1330D"/>
    <w:rsid w:val="00D1340D"/>
    <w:rsid w:val="00D1363C"/>
    <w:rsid w:val="00D13713"/>
    <w:rsid w:val="00D13B32"/>
    <w:rsid w:val="00D13BDE"/>
    <w:rsid w:val="00D13BF5"/>
    <w:rsid w:val="00D13C21"/>
    <w:rsid w:val="00D13DB5"/>
    <w:rsid w:val="00D1417D"/>
    <w:rsid w:val="00D14720"/>
    <w:rsid w:val="00D1542D"/>
    <w:rsid w:val="00D154B7"/>
    <w:rsid w:val="00D155BE"/>
    <w:rsid w:val="00D1562E"/>
    <w:rsid w:val="00D157D9"/>
    <w:rsid w:val="00D15D4D"/>
    <w:rsid w:val="00D15DF4"/>
    <w:rsid w:val="00D15E27"/>
    <w:rsid w:val="00D15E35"/>
    <w:rsid w:val="00D15F99"/>
    <w:rsid w:val="00D16233"/>
    <w:rsid w:val="00D163C6"/>
    <w:rsid w:val="00D16A88"/>
    <w:rsid w:val="00D16D1A"/>
    <w:rsid w:val="00D16FAC"/>
    <w:rsid w:val="00D16FE0"/>
    <w:rsid w:val="00D1704B"/>
    <w:rsid w:val="00D179F8"/>
    <w:rsid w:val="00D17CBA"/>
    <w:rsid w:val="00D17FE6"/>
    <w:rsid w:val="00D2041E"/>
    <w:rsid w:val="00D206FA"/>
    <w:rsid w:val="00D20711"/>
    <w:rsid w:val="00D20DDB"/>
    <w:rsid w:val="00D20E87"/>
    <w:rsid w:val="00D20F27"/>
    <w:rsid w:val="00D212F5"/>
    <w:rsid w:val="00D21305"/>
    <w:rsid w:val="00D215D9"/>
    <w:rsid w:val="00D2175E"/>
    <w:rsid w:val="00D2191F"/>
    <w:rsid w:val="00D21C09"/>
    <w:rsid w:val="00D21CEC"/>
    <w:rsid w:val="00D22056"/>
    <w:rsid w:val="00D22379"/>
    <w:rsid w:val="00D226D2"/>
    <w:rsid w:val="00D2289C"/>
    <w:rsid w:val="00D22B11"/>
    <w:rsid w:val="00D22BAD"/>
    <w:rsid w:val="00D22BF7"/>
    <w:rsid w:val="00D22D6F"/>
    <w:rsid w:val="00D22EA1"/>
    <w:rsid w:val="00D23020"/>
    <w:rsid w:val="00D23045"/>
    <w:rsid w:val="00D230B6"/>
    <w:rsid w:val="00D233C8"/>
    <w:rsid w:val="00D23648"/>
    <w:rsid w:val="00D23A03"/>
    <w:rsid w:val="00D23B85"/>
    <w:rsid w:val="00D23BEF"/>
    <w:rsid w:val="00D23F73"/>
    <w:rsid w:val="00D240C2"/>
    <w:rsid w:val="00D24348"/>
    <w:rsid w:val="00D24709"/>
    <w:rsid w:val="00D24760"/>
    <w:rsid w:val="00D24809"/>
    <w:rsid w:val="00D24AEA"/>
    <w:rsid w:val="00D24C0C"/>
    <w:rsid w:val="00D24C34"/>
    <w:rsid w:val="00D24D6E"/>
    <w:rsid w:val="00D24EC8"/>
    <w:rsid w:val="00D25098"/>
    <w:rsid w:val="00D253F3"/>
    <w:rsid w:val="00D25593"/>
    <w:rsid w:val="00D256DE"/>
    <w:rsid w:val="00D256E2"/>
    <w:rsid w:val="00D25A58"/>
    <w:rsid w:val="00D2605E"/>
    <w:rsid w:val="00D260DE"/>
    <w:rsid w:val="00D26207"/>
    <w:rsid w:val="00D26712"/>
    <w:rsid w:val="00D2673E"/>
    <w:rsid w:val="00D2679E"/>
    <w:rsid w:val="00D26B36"/>
    <w:rsid w:val="00D26B99"/>
    <w:rsid w:val="00D26CAE"/>
    <w:rsid w:val="00D26FCC"/>
    <w:rsid w:val="00D27015"/>
    <w:rsid w:val="00D271D4"/>
    <w:rsid w:val="00D27229"/>
    <w:rsid w:val="00D2742B"/>
    <w:rsid w:val="00D27607"/>
    <w:rsid w:val="00D27788"/>
    <w:rsid w:val="00D277A4"/>
    <w:rsid w:val="00D2788C"/>
    <w:rsid w:val="00D3005E"/>
    <w:rsid w:val="00D300B3"/>
    <w:rsid w:val="00D30156"/>
    <w:rsid w:val="00D302BD"/>
    <w:rsid w:val="00D302BE"/>
    <w:rsid w:val="00D307CD"/>
    <w:rsid w:val="00D30A3A"/>
    <w:rsid w:val="00D30A4A"/>
    <w:rsid w:val="00D30AE9"/>
    <w:rsid w:val="00D30C84"/>
    <w:rsid w:val="00D30DAA"/>
    <w:rsid w:val="00D30F59"/>
    <w:rsid w:val="00D31174"/>
    <w:rsid w:val="00D315DF"/>
    <w:rsid w:val="00D3167A"/>
    <w:rsid w:val="00D31697"/>
    <w:rsid w:val="00D316AB"/>
    <w:rsid w:val="00D31B21"/>
    <w:rsid w:val="00D321AD"/>
    <w:rsid w:val="00D3227B"/>
    <w:rsid w:val="00D32334"/>
    <w:rsid w:val="00D32A4E"/>
    <w:rsid w:val="00D32B63"/>
    <w:rsid w:val="00D32BFD"/>
    <w:rsid w:val="00D32D2B"/>
    <w:rsid w:val="00D32E9B"/>
    <w:rsid w:val="00D33035"/>
    <w:rsid w:val="00D331B4"/>
    <w:rsid w:val="00D335BA"/>
    <w:rsid w:val="00D33ABD"/>
    <w:rsid w:val="00D33C04"/>
    <w:rsid w:val="00D33DDE"/>
    <w:rsid w:val="00D33E55"/>
    <w:rsid w:val="00D33F82"/>
    <w:rsid w:val="00D3414A"/>
    <w:rsid w:val="00D3444A"/>
    <w:rsid w:val="00D34450"/>
    <w:rsid w:val="00D346CD"/>
    <w:rsid w:val="00D34814"/>
    <w:rsid w:val="00D3495D"/>
    <w:rsid w:val="00D34B09"/>
    <w:rsid w:val="00D34DCC"/>
    <w:rsid w:val="00D34F26"/>
    <w:rsid w:val="00D35098"/>
    <w:rsid w:val="00D3514B"/>
    <w:rsid w:val="00D3529E"/>
    <w:rsid w:val="00D352BE"/>
    <w:rsid w:val="00D35415"/>
    <w:rsid w:val="00D3542F"/>
    <w:rsid w:val="00D354FA"/>
    <w:rsid w:val="00D355DF"/>
    <w:rsid w:val="00D3570C"/>
    <w:rsid w:val="00D35792"/>
    <w:rsid w:val="00D3585F"/>
    <w:rsid w:val="00D35A3E"/>
    <w:rsid w:val="00D35C21"/>
    <w:rsid w:val="00D35D6A"/>
    <w:rsid w:val="00D35E7F"/>
    <w:rsid w:val="00D35FC2"/>
    <w:rsid w:val="00D36491"/>
    <w:rsid w:val="00D3649D"/>
    <w:rsid w:val="00D36731"/>
    <w:rsid w:val="00D36820"/>
    <w:rsid w:val="00D3694C"/>
    <w:rsid w:val="00D36AB3"/>
    <w:rsid w:val="00D36E66"/>
    <w:rsid w:val="00D36EA6"/>
    <w:rsid w:val="00D36F5F"/>
    <w:rsid w:val="00D372D9"/>
    <w:rsid w:val="00D37790"/>
    <w:rsid w:val="00D37FC5"/>
    <w:rsid w:val="00D37FEB"/>
    <w:rsid w:val="00D40252"/>
    <w:rsid w:val="00D4034B"/>
    <w:rsid w:val="00D4039A"/>
    <w:rsid w:val="00D405AB"/>
    <w:rsid w:val="00D40716"/>
    <w:rsid w:val="00D40DCE"/>
    <w:rsid w:val="00D41282"/>
    <w:rsid w:val="00D413FE"/>
    <w:rsid w:val="00D4173A"/>
    <w:rsid w:val="00D41836"/>
    <w:rsid w:val="00D4187C"/>
    <w:rsid w:val="00D41CB8"/>
    <w:rsid w:val="00D41D4A"/>
    <w:rsid w:val="00D4202B"/>
    <w:rsid w:val="00D4211E"/>
    <w:rsid w:val="00D4242F"/>
    <w:rsid w:val="00D42491"/>
    <w:rsid w:val="00D425F9"/>
    <w:rsid w:val="00D42995"/>
    <w:rsid w:val="00D42B48"/>
    <w:rsid w:val="00D42FFB"/>
    <w:rsid w:val="00D43033"/>
    <w:rsid w:val="00D43220"/>
    <w:rsid w:val="00D4322D"/>
    <w:rsid w:val="00D433A4"/>
    <w:rsid w:val="00D4371E"/>
    <w:rsid w:val="00D43914"/>
    <w:rsid w:val="00D43A13"/>
    <w:rsid w:val="00D43AAC"/>
    <w:rsid w:val="00D43B11"/>
    <w:rsid w:val="00D43C8D"/>
    <w:rsid w:val="00D43CE7"/>
    <w:rsid w:val="00D441DD"/>
    <w:rsid w:val="00D44455"/>
    <w:rsid w:val="00D44684"/>
    <w:rsid w:val="00D4498F"/>
    <w:rsid w:val="00D44A2F"/>
    <w:rsid w:val="00D44AFC"/>
    <w:rsid w:val="00D44BF2"/>
    <w:rsid w:val="00D44C02"/>
    <w:rsid w:val="00D45200"/>
    <w:rsid w:val="00D4523A"/>
    <w:rsid w:val="00D45287"/>
    <w:rsid w:val="00D453FC"/>
    <w:rsid w:val="00D4556B"/>
    <w:rsid w:val="00D458FB"/>
    <w:rsid w:val="00D45AAD"/>
    <w:rsid w:val="00D45ADB"/>
    <w:rsid w:val="00D45D0C"/>
    <w:rsid w:val="00D45D43"/>
    <w:rsid w:val="00D45D77"/>
    <w:rsid w:val="00D45F68"/>
    <w:rsid w:val="00D460AD"/>
    <w:rsid w:val="00D461BA"/>
    <w:rsid w:val="00D46225"/>
    <w:rsid w:val="00D46616"/>
    <w:rsid w:val="00D46750"/>
    <w:rsid w:val="00D469FD"/>
    <w:rsid w:val="00D46B87"/>
    <w:rsid w:val="00D46DB7"/>
    <w:rsid w:val="00D46F10"/>
    <w:rsid w:val="00D4716C"/>
    <w:rsid w:val="00D4719A"/>
    <w:rsid w:val="00D4750E"/>
    <w:rsid w:val="00D4761E"/>
    <w:rsid w:val="00D4767E"/>
    <w:rsid w:val="00D476A6"/>
    <w:rsid w:val="00D477FC"/>
    <w:rsid w:val="00D47B2D"/>
    <w:rsid w:val="00D47C65"/>
    <w:rsid w:val="00D47CF0"/>
    <w:rsid w:val="00D47D16"/>
    <w:rsid w:val="00D47DD2"/>
    <w:rsid w:val="00D500B5"/>
    <w:rsid w:val="00D5018A"/>
    <w:rsid w:val="00D50205"/>
    <w:rsid w:val="00D5039F"/>
    <w:rsid w:val="00D50534"/>
    <w:rsid w:val="00D505CB"/>
    <w:rsid w:val="00D507AC"/>
    <w:rsid w:val="00D508C0"/>
    <w:rsid w:val="00D50939"/>
    <w:rsid w:val="00D509DB"/>
    <w:rsid w:val="00D50B81"/>
    <w:rsid w:val="00D50CDF"/>
    <w:rsid w:val="00D50DA5"/>
    <w:rsid w:val="00D51108"/>
    <w:rsid w:val="00D51158"/>
    <w:rsid w:val="00D51356"/>
    <w:rsid w:val="00D51411"/>
    <w:rsid w:val="00D51469"/>
    <w:rsid w:val="00D514E8"/>
    <w:rsid w:val="00D515D2"/>
    <w:rsid w:val="00D51602"/>
    <w:rsid w:val="00D51714"/>
    <w:rsid w:val="00D517D4"/>
    <w:rsid w:val="00D520C4"/>
    <w:rsid w:val="00D520C6"/>
    <w:rsid w:val="00D52273"/>
    <w:rsid w:val="00D524E3"/>
    <w:rsid w:val="00D52802"/>
    <w:rsid w:val="00D52B29"/>
    <w:rsid w:val="00D52C04"/>
    <w:rsid w:val="00D52F8B"/>
    <w:rsid w:val="00D52FFC"/>
    <w:rsid w:val="00D53266"/>
    <w:rsid w:val="00D532D1"/>
    <w:rsid w:val="00D53375"/>
    <w:rsid w:val="00D533B7"/>
    <w:rsid w:val="00D53471"/>
    <w:rsid w:val="00D535D1"/>
    <w:rsid w:val="00D53636"/>
    <w:rsid w:val="00D53758"/>
    <w:rsid w:val="00D5379D"/>
    <w:rsid w:val="00D53842"/>
    <w:rsid w:val="00D538A5"/>
    <w:rsid w:val="00D538E1"/>
    <w:rsid w:val="00D539C6"/>
    <w:rsid w:val="00D53B41"/>
    <w:rsid w:val="00D53E41"/>
    <w:rsid w:val="00D53EF8"/>
    <w:rsid w:val="00D543BE"/>
    <w:rsid w:val="00D54446"/>
    <w:rsid w:val="00D5446C"/>
    <w:rsid w:val="00D54A9C"/>
    <w:rsid w:val="00D54F24"/>
    <w:rsid w:val="00D54FC2"/>
    <w:rsid w:val="00D55341"/>
    <w:rsid w:val="00D5555E"/>
    <w:rsid w:val="00D556D6"/>
    <w:rsid w:val="00D557A2"/>
    <w:rsid w:val="00D55CEE"/>
    <w:rsid w:val="00D55E28"/>
    <w:rsid w:val="00D55E2C"/>
    <w:rsid w:val="00D5603A"/>
    <w:rsid w:val="00D56380"/>
    <w:rsid w:val="00D565A0"/>
    <w:rsid w:val="00D56725"/>
    <w:rsid w:val="00D5693D"/>
    <w:rsid w:val="00D56B07"/>
    <w:rsid w:val="00D56CEC"/>
    <w:rsid w:val="00D56FEE"/>
    <w:rsid w:val="00D57173"/>
    <w:rsid w:val="00D5721D"/>
    <w:rsid w:val="00D57251"/>
    <w:rsid w:val="00D5742B"/>
    <w:rsid w:val="00D5745E"/>
    <w:rsid w:val="00D57510"/>
    <w:rsid w:val="00D57F86"/>
    <w:rsid w:val="00D606A6"/>
    <w:rsid w:val="00D607A3"/>
    <w:rsid w:val="00D6080D"/>
    <w:rsid w:val="00D60824"/>
    <w:rsid w:val="00D6085D"/>
    <w:rsid w:val="00D608AF"/>
    <w:rsid w:val="00D60949"/>
    <w:rsid w:val="00D60A84"/>
    <w:rsid w:val="00D60CDD"/>
    <w:rsid w:val="00D60D3C"/>
    <w:rsid w:val="00D60D85"/>
    <w:rsid w:val="00D60FAE"/>
    <w:rsid w:val="00D61166"/>
    <w:rsid w:val="00D6127E"/>
    <w:rsid w:val="00D613C4"/>
    <w:rsid w:val="00D614B6"/>
    <w:rsid w:val="00D615F8"/>
    <w:rsid w:val="00D61954"/>
    <w:rsid w:val="00D61984"/>
    <w:rsid w:val="00D6199C"/>
    <w:rsid w:val="00D61A34"/>
    <w:rsid w:val="00D61AAB"/>
    <w:rsid w:val="00D61AD6"/>
    <w:rsid w:val="00D61E83"/>
    <w:rsid w:val="00D620F6"/>
    <w:rsid w:val="00D62204"/>
    <w:rsid w:val="00D62426"/>
    <w:rsid w:val="00D62486"/>
    <w:rsid w:val="00D62704"/>
    <w:rsid w:val="00D6293B"/>
    <w:rsid w:val="00D629DE"/>
    <w:rsid w:val="00D62A85"/>
    <w:rsid w:val="00D62EB9"/>
    <w:rsid w:val="00D63026"/>
    <w:rsid w:val="00D63295"/>
    <w:rsid w:val="00D6350A"/>
    <w:rsid w:val="00D6386F"/>
    <w:rsid w:val="00D639CE"/>
    <w:rsid w:val="00D648BF"/>
    <w:rsid w:val="00D64AAC"/>
    <w:rsid w:val="00D64E3C"/>
    <w:rsid w:val="00D64E7B"/>
    <w:rsid w:val="00D65068"/>
    <w:rsid w:val="00D650A6"/>
    <w:rsid w:val="00D6542F"/>
    <w:rsid w:val="00D6561F"/>
    <w:rsid w:val="00D65703"/>
    <w:rsid w:val="00D65AA7"/>
    <w:rsid w:val="00D65AC7"/>
    <w:rsid w:val="00D65AFB"/>
    <w:rsid w:val="00D65BED"/>
    <w:rsid w:val="00D65CB8"/>
    <w:rsid w:val="00D65CDC"/>
    <w:rsid w:val="00D65D29"/>
    <w:rsid w:val="00D65DBF"/>
    <w:rsid w:val="00D65E85"/>
    <w:rsid w:val="00D6605C"/>
    <w:rsid w:val="00D660A9"/>
    <w:rsid w:val="00D66238"/>
    <w:rsid w:val="00D66269"/>
    <w:rsid w:val="00D665D7"/>
    <w:rsid w:val="00D66842"/>
    <w:rsid w:val="00D668AE"/>
    <w:rsid w:val="00D66B57"/>
    <w:rsid w:val="00D6704A"/>
    <w:rsid w:val="00D67156"/>
    <w:rsid w:val="00D671E7"/>
    <w:rsid w:val="00D671EF"/>
    <w:rsid w:val="00D674BA"/>
    <w:rsid w:val="00D677F9"/>
    <w:rsid w:val="00D67BA9"/>
    <w:rsid w:val="00D67CEF"/>
    <w:rsid w:val="00D67D6E"/>
    <w:rsid w:val="00D67E97"/>
    <w:rsid w:val="00D700C3"/>
    <w:rsid w:val="00D70550"/>
    <w:rsid w:val="00D7068B"/>
    <w:rsid w:val="00D7083F"/>
    <w:rsid w:val="00D708A4"/>
    <w:rsid w:val="00D708F1"/>
    <w:rsid w:val="00D70B81"/>
    <w:rsid w:val="00D70BE5"/>
    <w:rsid w:val="00D70EB5"/>
    <w:rsid w:val="00D70FB3"/>
    <w:rsid w:val="00D714BA"/>
    <w:rsid w:val="00D715CF"/>
    <w:rsid w:val="00D71687"/>
    <w:rsid w:val="00D71C4F"/>
    <w:rsid w:val="00D71CDC"/>
    <w:rsid w:val="00D71E24"/>
    <w:rsid w:val="00D71EAC"/>
    <w:rsid w:val="00D720CE"/>
    <w:rsid w:val="00D7234A"/>
    <w:rsid w:val="00D72671"/>
    <w:rsid w:val="00D726EB"/>
    <w:rsid w:val="00D727B5"/>
    <w:rsid w:val="00D729B2"/>
    <w:rsid w:val="00D72BA9"/>
    <w:rsid w:val="00D72BBE"/>
    <w:rsid w:val="00D72DF6"/>
    <w:rsid w:val="00D72EDD"/>
    <w:rsid w:val="00D73214"/>
    <w:rsid w:val="00D7377C"/>
    <w:rsid w:val="00D73BE6"/>
    <w:rsid w:val="00D73C35"/>
    <w:rsid w:val="00D73D70"/>
    <w:rsid w:val="00D73E73"/>
    <w:rsid w:val="00D7410E"/>
    <w:rsid w:val="00D74147"/>
    <w:rsid w:val="00D74715"/>
    <w:rsid w:val="00D74789"/>
    <w:rsid w:val="00D74BBA"/>
    <w:rsid w:val="00D74DB9"/>
    <w:rsid w:val="00D74DCB"/>
    <w:rsid w:val="00D75054"/>
    <w:rsid w:val="00D756C7"/>
    <w:rsid w:val="00D759AC"/>
    <w:rsid w:val="00D75CA5"/>
    <w:rsid w:val="00D7636D"/>
    <w:rsid w:val="00D7649B"/>
    <w:rsid w:val="00D766BA"/>
    <w:rsid w:val="00D76A18"/>
    <w:rsid w:val="00D76BEA"/>
    <w:rsid w:val="00D76CD0"/>
    <w:rsid w:val="00D76ED0"/>
    <w:rsid w:val="00D76EDC"/>
    <w:rsid w:val="00D76FE6"/>
    <w:rsid w:val="00D771F2"/>
    <w:rsid w:val="00D77204"/>
    <w:rsid w:val="00D775CE"/>
    <w:rsid w:val="00D77D5F"/>
    <w:rsid w:val="00D77FEC"/>
    <w:rsid w:val="00D8007D"/>
    <w:rsid w:val="00D80B76"/>
    <w:rsid w:val="00D80D7F"/>
    <w:rsid w:val="00D80E54"/>
    <w:rsid w:val="00D80EFD"/>
    <w:rsid w:val="00D80F8A"/>
    <w:rsid w:val="00D810CC"/>
    <w:rsid w:val="00D8123C"/>
    <w:rsid w:val="00D81399"/>
    <w:rsid w:val="00D81565"/>
    <w:rsid w:val="00D815A6"/>
    <w:rsid w:val="00D81696"/>
    <w:rsid w:val="00D8171A"/>
    <w:rsid w:val="00D81CD4"/>
    <w:rsid w:val="00D81FB1"/>
    <w:rsid w:val="00D8223D"/>
    <w:rsid w:val="00D82875"/>
    <w:rsid w:val="00D82D54"/>
    <w:rsid w:val="00D83068"/>
    <w:rsid w:val="00D832FB"/>
    <w:rsid w:val="00D8330D"/>
    <w:rsid w:val="00D83525"/>
    <w:rsid w:val="00D835B8"/>
    <w:rsid w:val="00D836E3"/>
    <w:rsid w:val="00D83794"/>
    <w:rsid w:val="00D83B6F"/>
    <w:rsid w:val="00D83C51"/>
    <w:rsid w:val="00D83CDC"/>
    <w:rsid w:val="00D83E75"/>
    <w:rsid w:val="00D83EDD"/>
    <w:rsid w:val="00D841AD"/>
    <w:rsid w:val="00D842B9"/>
    <w:rsid w:val="00D84342"/>
    <w:rsid w:val="00D843AE"/>
    <w:rsid w:val="00D8479F"/>
    <w:rsid w:val="00D84A84"/>
    <w:rsid w:val="00D84AEE"/>
    <w:rsid w:val="00D84AFA"/>
    <w:rsid w:val="00D84B03"/>
    <w:rsid w:val="00D84BF4"/>
    <w:rsid w:val="00D84E6F"/>
    <w:rsid w:val="00D855A9"/>
    <w:rsid w:val="00D855F6"/>
    <w:rsid w:val="00D858D2"/>
    <w:rsid w:val="00D859D9"/>
    <w:rsid w:val="00D85B6D"/>
    <w:rsid w:val="00D85B98"/>
    <w:rsid w:val="00D85BD3"/>
    <w:rsid w:val="00D85C2D"/>
    <w:rsid w:val="00D85CF8"/>
    <w:rsid w:val="00D85E10"/>
    <w:rsid w:val="00D85F39"/>
    <w:rsid w:val="00D85F91"/>
    <w:rsid w:val="00D86555"/>
    <w:rsid w:val="00D86996"/>
    <w:rsid w:val="00D86A09"/>
    <w:rsid w:val="00D86B92"/>
    <w:rsid w:val="00D871D8"/>
    <w:rsid w:val="00D87365"/>
    <w:rsid w:val="00D8773F"/>
    <w:rsid w:val="00D877D7"/>
    <w:rsid w:val="00D8789E"/>
    <w:rsid w:val="00D878D0"/>
    <w:rsid w:val="00D87AA4"/>
    <w:rsid w:val="00D87BFD"/>
    <w:rsid w:val="00D87CE8"/>
    <w:rsid w:val="00D87CEC"/>
    <w:rsid w:val="00D87E19"/>
    <w:rsid w:val="00D87E98"/>
    <w:rsid w:val="00D87F3C"/>
    <w:rsid w:val="00D903A9"/>
    <w:rsid w:val="00D90B19"/>
    <w:rsid w:val="00D90B55"/>
    <w:rsid w:val="00D90C30"/>
    <w:rsid w:val="00D90C46"/>
    <w:rsid w:val="00D90C6D"/>
    <w:rsid w:val="00D90E2F"/>
    <w:rsid w:val="00D90FEB"/>
    <w:rsid w:val="00D90FF9"/>
    <w:rsid w:val="00D90FFC"/>
    <w:rsid w:val="00D91290"/>
    <w:rsid w:val="00D914CE"/>
    <w:rsid w:val="00D91654"/>
    <w:rsid w:val="00D91683"/>
    <w:rsid w:val="00D919B0"/>
    <w:rsid w:val="00D919C0"/>
    <w:rsid w:val="00D91E05"/>
    <w:rsid w:val="00D91F5F"/>
    <w:rsid w:val="00D92002"/>
    <w:rsid w:val="00D921A3"/>
    <w:rsid w:val="00D92424"/>
    <w:rsid w:val="00D92577"/>
    <w:rsid w:val="00D927D9"/>
    <w:rsid w:val="00D92C37"/>
    <w:rsid w:val="00D92D43"/>
    <w:rsid w:val="00D92EB2"/>
    <w:rsid w:val="00D9310D"/>
    <w:rsid w:val="00D93341"/>
    <w:rsid w:val="00D933C9"/>
    <w:rsid w:val="00D93475"/>
    <w:rsid w:val="00D93574"/>
    <w:rsid w:val="00D935C2"/>
    <w:rsid w:val="00D93613"/>
    <w:rsid w:val="00D93635"/>
    <w:rsid w:val="00D93701"/>
    <w:rsid w:val="00D93706"/>
    <w:rsid w:val="00D93882"/>
    <w:rsid w:val="00D9392F"/>
    <w:rsid w:val="00D93C73"/>
    <w:rsid w:val="00D93FC4"/>
    <w:rsid w:val="00D9417E"/>
    <w:rsid w:val="00D9421F"/>
    <w:rsid w:val="00D945C9"/>
    <w:rsid w:val="00D94607"/>
    <w:rsid w:val="00D94648"/>
    <w:rsid w:val="00D9464B"/>
    <w:rsid w:val="00D94714"/>
    <w:rsid w:val="00D9480D"/>
    <w:rsid w:val="00D94A0D"/>
    <w:rsid w:val="00D94CF7"/>
    <w:rsid w:val="00D94F0D"/>
    <w:rsid w:val="00D95046"/>
    <w:rsid w:val="00D951CA"/>
    <w:rsid w:val="00D95B82"/>
    <w:rsid w:val="00D95BDE"/>
    <w:rsid w:val="00D95D9F"/>
    <w:rsid w:val="00D95DCC"/>
    <w:rsid w:val="00D95E35"/>
    <w:rsid w:val="00D95F0B"/>
    <w:rsid w:val="00D96013"/>
    <w:rsid w:val="00D963DA"/>
    <w:rsid w:val="00D963E6"/>
    <w:rsid w:val="00D9657A"/>
    <w:rsid w:val="00D96694"/>
    <w:rsid w:val="00D9677E"/>
    <w:rsid w:val="00D96AD4"/>
    <w:rsid w:val="00D96AD7"/>
    <w:rsid w:val="00D96AEC"/>
    <w:rsid w:val="00D96BD6"/>
    <w:rsid w:val="00D96CAA"/>
    <w:rsid w:val="00D96F7A"/>
    <w:rsid w:val="00D97247"/>
    <w:rsid w:val="00D97389"/>
    <w:rsid w:val="00D974D9"/>
    <w:rsid w:val="00D97601"/>
    <w:rsid w:val="00DA0018"/>
    <w:rsid w:val="00DA077B"/>
    <w:rsid w:val="00DA0939"/>
    <w:rsid w:val="00DA09F4"/>
    <w:rsid w:val="00DA09F8"/>
    <w:rsid w:val="00DA0A76"/>
    <w:rsid w:val="00DA0B01"/>
    <w:rsid w:val="00DA0C02"/>
    <w:rsid w:val="00DA0C97"/>
    <w:rsid w:val="00DA0D07"/>
    <w:rsid w:val="00DA0F48"/>
    <w:rsid w:val="00DA0F71"/>
    <w:rsid w:val="00DA0FC2"/>
    <w:rsid w:val="00DA10D7"/>
    <w:rsid w:val="00DA1160"/>
    <w:rsid w:val="00DA118D"/>
    <w:rsid w:val="00DA1291"/>
    <w:rsid w:val="00DA1554"/>
    <w:rsid w:val="00DA159F"/>
    <w:rsid w:val="00DA175F"/>
    <w:rsid w:val="00DA1780"/>
    <w:rsid w:val="00DA1B4D"/>
    <w:rsid w:val="00DA1BC3"/>
    <w:rsid w:val="00DA1C22"/>
    <w:rsid w:val="00DA1CB5"/>
    <w:rsid w:val="00DA1EA9"/>
    <w:rsid w:val="00DA1EEC"/>
    <w:rsid w:val="00DA2002"/>
    <w:rsid w:val="00DA213D"/>
    <w:rsid w:val="00DA23CF"/>
    <w:rsid w:val="00DA24F2"/>
    <w:rsid w:val="00DA26AB"/>
    <w:rsid w:val="00DA28C5"/>
    <w:rsid w:val="00DA359A"/>
    <w:rsid w:val="00DA3802"/>
    <w:rsid w:val="00DA3938"/>
    <w:rsid w:val="00DA3A2F"/>
    <w:rsid w:val="00DA3AD2"/>
    <w:rsid w:val="00DA3C64"/>
    <w:rsid w:val="00DA3CE0"/>
    <w:rsid w:val="00DA3CEE"/>
    <w:rsid w:val="00DA3D6F"/>
    <w:rsid w:val="00DA3FEF"/>
    <w:rsid w:val="00DA41C3"/>
    <w:rsid w:val="00DA42FD"/>
    <w:rsid w:val="00DA4583"/>
    <w:rsid w:val="00DA4861"/>
    <w:rsid w:val="00DA49A8"/>
    <w:rsid w:val="00DA4B5C"/>
    <w:rsid w:val="00DA4F9B"/>
    <w:rsid w:val="00DA5136"/>
    <w:rsid w:val="00DA55BF"/>
    <w:rsid w:val="00DA5BA4"/>
    <w:rsid w:val="00DA5D01"/>
    <w:rsid w:val="00DA5D6C"/>
    <w:rsid w:val="00DA5DC4"/>
    <w:rsid w:val="00DA5E86"/>
    <w:rsid w:val="00DA5E9D"/>
    <w:rsid w:val="00DA6126"/>
    <w:rsid w:val="00DA614E"/>
    <w:rsid w:val="00DA6158"/>
    <w:rsid w:val="00DA646B"/>
    <w:rsid w:val="00DA652B"/>
    <w:rsid w:val="00DA6669"/>
    <w:rsid w:val="00DA6724"/>
    <w:rsid w:val="00DA67F1"/>
    <w:rsid w:val="00DA68FA"/>
    <w:rsid w:val="00DA6BB4"/>
    <w:rsid w:val="00DA6DC0"/>
    <w:rsid w:val="00DA6EB1"/>
    <w:rsid w:val="00DA6ECC"/>
    <w:rsid w:val="00DA7170"/>
    <w:rsid w:val="00DA7455"/>
    <w:rsid w:val="00DA7477"/>
    <w:rsid w:val="00DA76A2"/>
    <w:rsid w:val="00DA7A9F"/>
    <w:rsid w:val="00DA7CA5"/>
    <w:rsid w:val="00DA7CCE"/>
    <w:rsid w:val="00DA7D14"/>
    <w:rsid w:val="00DB00DA"/>
    <w:rsid w:val="00DB05EB"/>
    <w:rsid w:val="00DB0D9E"/>
    <w:rsid w:val="00DB0F83"/>
    <w:rsid w:val="00DB13B1"/>
    <w:rsid w:val="00DB165D"/>
    <w:rsid w:val="00DB17AC"/>
    <w:rsid w:val="00DB17E6"/>
    <w:rsid w:val="00DB1C08"/>
    <w:rsid w:val="00DB1D89"/>
    <w:rsid w:val="00DB1E3E"/>
    <w:rsid w:val="00DB20D9"/>
    <w:rsid w:val="00DB211B"/>
    <w:rsid w:val="00DB2164"/>
    <w:rsid w:val="00DB2235"/>
    <w:rsid w:val="00DB23AF"/>
    <w:rsid w:val="00DB2570"/>
    <w:rsid w:val="00DB2609"/>
    <w:rsid w:val="00DB2722"/>
    <w:rsid w:val="00DB27D0"/>
    <w:rsid w:val="00DB28AB"/>
    <w:rsid w:val="00DB2B0E"/>
    <w:rsid w:val="00DB2BB7"/>
    <w:rsid w:val="00DB2E7B"/>
    <w:rsid w:val="00DB3068"/>
    <w:rsid w:val="00DB332C"/>
    <w:rsid w:val="00DB344B"/>
    <w:rsid w:val="00DB350D"/>
    <w:rsid w:val="00DB3541"/>
    <w:rsid w:val="00DB3557"/>
    <w:rsid w:val="00DB362D"/>
    <w:rsid w:val="00DB368B"/>
    <w:rsid w:val="00DB37E1"/>
    <w:rsid w:val="00DB38E2"/>
    <w:rsid w:val="00DB38F7"/>
    <w:rsid w:val="00DB3AF8"/>
    <w:rsid w:val="00DB3BDC"/>
    <w:rsid w:val="00DB3BF6"/>
    <w:rsid w:val="00DB3E7A"/>
    <w:rsid w:val="00DB4142"/>
    <w:rsid w:val="00DB456A"/>
    <w:rsid w:val="00DB4817"/>
    <w:rsid w:val="00DB48FD"/>
    <w:rsid w:val="00DB49A2"/>
    <w:rsid w:val="00DB49DA"/>
    <w:rsid w:val="00DB4AEA"/>
    <w:rsid w:val="00DB4CC9"/>
    <w:rsid w:val="00DB4F6E"/>
    <w:rsid w:val="00DB4FF2"/>
    <w:rsid w:val="00DB52E0"/>
    <w:rsid w:val="00DB5629"/>
    <w:rsid w:val="00DB57D1"/>
    <w:rsid w:val="00DB59BE"/>
    <w:rsid w:val="00DB5B97"/>
    <w:rsid w:val="00DB5BB8"/>
    <w:rsid w:val="00DB5BC2"/>
    <w:rsid w:val="00DB5BD1"/>
    <w:rsid w:val="00DB5E01"/>
    <w:rsid w:val="00DB5E97"/>
    <w:rsid w:val="00DB6001"/>
    <w:rsid w:val="00DB628D"/>
    <w:rsid w:val="00DB6909"/>
    <w:rsid w:val="00DB6A63"/>
    <w:rsid w:val="00DB6F66"/>
    <w:rsid w:val="00DB6F77"/>
    <w:rsid w:val="00DB753B"/>
    <w:rsid w:val="00DB76D3"/>
    <w:rsid w:val="00DB7894"/>
    <w:rsid w:val="00DB7918"/>
    <w:rsid w:val="00DB7A14"/>
    <w:rsid w:val="00DB7A18"/>
    <w:rsid w:val="00DB7ABF"/>
    <w:rsid w:val="00DB7C57"/>
    <w:rsid w:val="00DB7CDA"/>
    <w:rsid w:val="00DB7EFC"/>
    <w:rsid w:val="00DB7FE3"/>
    <w:rsid w:val="00DC0152"/>
    <w:rsid w:val="00DC0295"/>
    <w:rsid w:val="00DC05C5"/>
    <w:rsid w:val="00DC079E"/>
    <w:rsid w:val="00DC0968"/>
    <w:rsid w:val="00DC0BF2"/>
    <w:rsid w:val="00DC0CC3"/>
    <w:rsid w:val="00DC0D3C"/>
    <w:rsid w:val="00DC1070"/>
    <w:rsid w:val="00DC10CF"/>
    <w:rsid w:val="00DC1587"/>
    <w:rsid w:val="00DC169D"/>
    <w:rsid w:val="00DC16E5"/>
    <w:rsid w:val="00DC181E"/>
    <w:rsid w:val="00DC189D"/>
    <w:rsid w:val="00DC1A02"/>
    <w:rsid w:val="00DC1A82"/>
    <w:rsid w:val="00DC1AAC"/>
    <w:rsid w:val="00DC201E"/>
    <w:rsid w:val="00DC21C9"/>
    <w:rsid w:val="00DC239B"/>
    <w:rsid w:val="00DC2696"/>
    <w:rsid w:val="00DC27EB"/>
    <w:rsid w:val="00DC2911"/>
    <w:rsid w:val="00DC297D"/>
    <w:rsid w:val="00DC344B"/>
    <w:rsid w:val="00DC34CD"/>
    <w:rsid w:val="00DC3624"/>
    <w:rsid w:val="00DC37EB"/>
    <w:rsid w:val="00DC37F7"/>
    <w:rsid w:val="00DC3940"/>
    <w:rsid w:val="00DC39B6"/>
    <w:rsid w:val="00DC3AEA"/>
    <w:rsid w:val="00DC3DB2"/>
    <w:rsid w:val="00DC3E12"/>
    <w:rsid w:val="00DC3E48"/>
    <w:rsid w:val="00DC3F61"/>
    <w:rsid w:val="00DC4268"/>
    <w:rsid w:val="00DC49D3"/>
    <w:rsid w:val="00DC4A36"/>
    <w:rsid w:val="00DC4C67"/>
    <w:rsid w:val="00DC4D20"/>
    <w:rsid w:val="00DC4DAF"/>
    <w:rsid w:val="00DC4DB5"/>
    <w:rsid w:val="00DC51BE"/>
    <w:rsid w:val="00DC51C3"/>
    <w:rsid w:val="00DC5577"/>
    <w:rsid w:val="00DC58FC"/>
    <w:rsid w:val="00DC5C2B"/>
    <w:rsid w:val="00DC5F0D"/>
    <w:rsid w:val="00DC5F0F"/>
    <w:rsid w:val="00DC615C"/>
    <w:rsid w:val="00DC6164"/>
    <w:rsid w:val="00DC64DB"/>
    <w:rsid w:val="00DC662A"/>
    <w:rsid w:val="00DC6872"/>
    <w:rsid w:val="00DC6B1A"/>
    <w:rsid w:val="00DC6CFF"/>
    <w:rsid w:val="00DC6E74"/>
    <w:rsid w:val="00DC6F74"/>
    <w:rsid w:val="00DC6FD2"/>
    <w:rsid w:val="00DC70A9"/>
    <w:rsid w:val="00DC72D4"/>
    <w:rsid w:val="00DC7450"/>
    <w:rsid w:val="00DC74A8"/>
    <w:rsid w:val="00DC74AD"/>
    <w:rsid w:val="00DC7B2D"/>
    <w:rsid w:val="00DC7C14"/>
    <w:rsid w:val="00DC7D8E"/>
    <w:rsid w:val="00DC7DE8"/>
    <w:rsid w:val="00DC7F45"/>
    <w:rsid w:val="00DC7F6D"/>
    <w:rsid w:val="00DD0507"/>
    <w:rsid w:val="00DD05B0"/>
    <w:rsid w:val="00DD073C"/>
    <w:rsid w:val="00DD0804"/>
    <w:rsid w:val="00DD09B7"/>
    <w:rsid w:val="00DD0BD7"/>
    <w:rsid w:val="00DD0C1B"/>
    <w:rsid w:val="00DD11AD"/>
    <w:rsid w:val="00DD136B"/>
    <w:rsid w:val="00DD1450"/>
    <w:rsid w:val="00DD16A9"/>
    <w:rsid w:val="00DD16FA"/>
    <w:rsid w:val="00DD1859"/>
    <w:rsid w:val="00DD195C"/>
    <w:rsid w:val="00DD1CF1"/>
    <w:rsid w:val="00DD21AF"/>
    <w:rsid w:val="00DD244B"/>
    <w:rsid w:val="00DD26E7"/>
    <w:rsid w:val="00DD27C7"/>
    <w:rsid w:val="00DD281D"/>
    <w:rsid w:val="00DD28D1"/>
    <w:rsid w:val="00DD2A8E"/>
    <w:rsid w:val="00DD2D69"/>
    <w:rsid w:val="00DD2ECB"/>
    <w:rsid w:val="00DD2F06"/>
    <w:rsid w:val="00DD2F45"/>
    <w:rsid w:val="00DD3108"/>
    <w:rsid w:val="00DD3157"/>
    <w:rsid w:val="00DD317F"/>
    <w:rsid w:val="00DD350C"/>
    <w:rsid w:val="00DD354F"/>
    <w:rsid w:val="00DD35AA"/>
    <w:rsid w:val="00DD3648"/>
    <w:rsid w:val="00DD365E"/>
    <w:rsid w:val="00DD36DE"/>
    <w:rsid w:val="00DD3741"/>
    <w:rsid w:val="00DD3D65"/>
    <w:rsid w:val="00DD3EBA"/>
    <w:rsid w:val="00DD3F29"/>
    <w:rsid w:val="00DD3FC7"/>
    <w:rsid w:val="00DD3FFE"/>
    <w:rsid w:val="00DD4165"/>
    <w:rsid w:val="00DD41B8"/>
    <w:rsid w:val="00DD45F6"/>
    <w:rsid w:val="00DD47E5"/>
    <w:rsid w:val="00DD4AC2"/>
    <w:rsid w:val="00DD4B85"/>
    <w:rsid w:val="00DD4C39"/>
    <w:rsid w:val="00DD4F5C"/>
    <w:rsid w:val="00DD4F90"/>
    <w:rsid w:val="00DD50BD"/>
    <w:rsid w:val="00DD5198"/>
    <w:rsid w:val="00DD5586"/>
    <w:rsid w:val="00DD567B"/>
    <w:rsid w:val="00DD5719"/>
    <w:rsid w:val="00DD5B05"/>
    <w:rsid w:val="00DD5B67"/>
    <w:rsid w:val="00DD619C"/>
    <w:rsid w:val="00DD62FB"/>
    <w:rsid w:val="00DD673A"/>
    <w:rsid w:val="00DD67F6"/>
    <w:rsid w:val="00DD6809"/>
    <w:rsid w:val="00DD688E"/>
    <w:rsid w:val="00DD6B56"/>
    <w:rsid w:val="00DD6D1C"/>
    <w:rsid w:val="00DD6D3E"/>
    <w:rsid w:val="00DD6E5F"/>
    <w:rsid w:val="00DD704B"/>
    <w:rsid w:val="00DD72EE"/>
    <w:rsid w:val="00DD7324"/>
    <w:rsid w:val="00DD75CF"/>
    <w:rsid w:val="00DD77E9"/>
    <w:rsid w:val="00DD7B9C"/>
    <w:rsid w:val="00DD7E3B"/>
    <w:rsid w:val="00DD7F3C"/>
    <w:rsid w:val="00DE01B8"/>
    <w:rsid w:val="00DE07A1"/>
    <w:rsid w:val="00DE08A4"/>
    <w:rsid w:val="00DE0990"/>
    <w:rsid w:val="00DE09A9"/>
    <w:rsid w:val="00DE09B5"/>
    <w:rsid w:val="00DE0B29"/>
    <w:rsid w:val="00DE13C5"/>
    <w:rsid w:val="00DE154B"/>
    <w:rsid w:val="00DE16BE"/>
    <w:rsid w:val="00DE1893"/>
    <w:rsid w:val="00DE1B8D"/>
    <w:rsid w:val="00DE1C2F"/>
    <w:rsid w:val="00DE21F9"/>
    <w:rsid w:val="00DE22E9"/>
    <w:rsid w:val="00DE2351"/>
    <w:rsid w:val="00DE2413"/>
    <w:rsid w:val="00DE264F"/>
    <w:rsid w:val="00DE3055"/>
    <w:rsid w:val="00DE312F"/>
    <w:rsid w:val="00DE322B"/>
    <w:rsid w:val="00DE3287"/>
    <w:rsid w:val="00DE32A9"/>
    <w:rsid w:val="00DE3592"/>
    <w:rsid w:val="00DE3882"/>
    <w:rsid w:val="00DE39E1"/>
    <w:rsid w:val="00DE3A16"/>
    <w:rsid w:val="00DE3AC6"/>
    <w:rsid w:val="00DE3C81"/>
    <w:rsid w:val="00DE3CD8"/>
    <w:rsid w:val="00DE4125"/>
    <w:rsid w:val="00DE41A8"/>
    <w:rsid w:val="00DE4240"/>
    <w:rsid w:val="00DE42C3"/>
    <w:rsid w:val="00DE453D"/>
    <w:rsid w:val="00DE48D3"/>
    <w:rsid w:val="00DE48E3"/>
    <w:rsid w:val="00DE4B42"/>
    <w:rsid w:val="00DE4CE1"/>
    <w:rsid w:val="00DE4D39"/>
    <w:rsid w:val="00DE4D72"/>
    <w:rsid w:val="00DE4DB4"/>
    <w:rsid w:val="00DE4FDE"/>
    <w:rsid w:val="00DE559E"/>
    <w:rsid w:val="00DE5708"/>
    <w:rsid w:val="00DE5972"/>
    <w:rsid w:val="00DE5A62"/>
    <w:rsid w:val="00DE5BA6"/>
    <w:rsid w:val="00DE622D"/>
    <w:rsid w:val="00DE64AC"/>
    <w:rsid w:val="00DE655C"/>
    <w:rsid w:val="00DE65FE"/>
    <w:rsid w:val="00DE671E"/>
    <w:rsid w:val="00DE6786"/>
    <w:rsid w:val="00DE6DE6"/>
    <w:rsid w:val="00DE6F81"/>
    <w:rsid w:val="00DE6FF0"/>
    <w:rsid w:val="00DE70E7"/>
    <w:rsid w:val="00DE70F7"/>
    <w:rsid w:val="00DE716A"/>
    <w:rsid w:val="00DE71B1"/>
    <w:rsid w:val="00DE735D"/>
    <w:rsid w:val="00DE7365"/>
    <w:rsid w:val="00DE7646"/>
    <w:rsid w:val="00DE764B"/>
    <w:rsid w:val="00DE76B9"/>
    <w:rsid w:val="00DE77EB"/>
    <w:rsid w:val="00DE780E"/>
    <w:rsid w:val="00DE7CFE"/>
    <w:rsid w:val="00DE7E95"/>
    <w:rsid w:val="00DF007B"/>
    <w:rsid w:val="00DF02B4"/>
    <w:rsid w:val="00DF03E6"/>
    <w:rsid w:val="00DF05EC"/>
    <w:rsid w:val="00DF0874"/>
    <w:rsid w:val="00DF089C"/>
    <w:rsid w:val="00DF0BC2"/>
    <w:rsid w:val="00DF0C4B"/>
    <w:rsid w:val="00DF0CCE"/>
    <w:rsid w:val="00DF0CD5"/>
    <w:rsid w:val="00DF0F71"/>
    <w:rsid w:val="00DF1219"/>
    <w:rsid w:val="00DF147B"/>
    <w:rsid w:val="00DF1CBA"/>
    <w:rsid w:val="00DF1D0C"/>
    <w:rsid w:val="00DF2043"/>
    <w:rsid w:val="00DF2103"/>
    <w:rsid w:val="00DF29C6"/>
    <w:rsid w:val="00DF2AB5"/>
    <w:rsid w:val="00DF2C7C"/>
    <w:rsid w:val="00DF2E39"/>
    <w:rsid w:val="00DF3419"/>
    <w:rsid w:val="00DF34AE"/>
    <w:rsid w:val="00DF35FB"/>
    <w:rsid w:val="00DF38FC"/>
    <w:rsid w:val="00DF399E"/>
    <w:rsid w:val="00DF3B1A"/>
    <w:rsid w:val="00DF3F17"/>
    <w:rsid w:val="00DF41F0"/>
    <w:rsid w:val="00DF4563"/>
    <w:rsid w:val="00DF45E3"/>
    <w:rsid w:val="00DF4675"/>
    <w:rsid w:val="00DF46B6"/>
    <w:rsid w:val="00DF48A5"/>
    <w:rsid w:val="00DF49DA"/>
    <w:rsid w:val="00DF4B72"/>
    <w:rsid w:val="00DF4E96"/>
    <w:rsid w:val="00DF4F5A"/>
    <w:rsid w:val="00DF4F8F"/>
    <w:rsid w:val="00DF5043"/>
    <w:rsid w:val="00DF5403"/>
    <w:rsid w:val="00DF56C7"/>
    <w:rsid w:val="00DF58CD"/>
    <w:rsid w:val="00DF58FC"/>
    <w:rsid w:val="00DF595D"/>
    <w:rsid w:val="00DF5A14"/>
    <w:rsid w:val="00DF5C5D"/>
    <w:rsid w:val="00DF5EBB"/>
    <w:rsid w:val="00DF6779"/>
    <w:rsid w:val="00DF6798"/>
    <w:rsid w:val="00DF6A3E"/>
    <w:rsid w:val="00DF6C7D"/>
    <w:rsid w:val="00DF6D19"/>
    <w:rsid w:val="00DF6D45"/>
    <w:rsid w:val="00DF7133"/>
    <w:rsid w:val="00DF744C"/>
    <w:rsid w:val="00DF74B1"/>
    <w:rsid w:val="00DF773F"/>
    <w:rsid w:val="00DF79AB"/>
    <w:rsid w:val="00DF7EA3"/>
    <w:rsid w:val="00DF7EF0"/>
    <w:rsid w:val="00DF7F0B"/>
    <w:rsid w:val="00E000B4"/>
    <w:rsid w:val="00E00346"/>
    <w:rsid w:val="00E00352"/>
    <w:rsid w:val="00E003D3"/>
    <w:rsid w:val="00E0043D"/>
    <w:rsid w:val="00E00543"/>
    <w:rsid w:val="00E00B0C"/>
    <w:rsid w:val="00E00B62"/>
    <w:rsid w:val="00E00C80"/>
    <w:rsid w:val="00E00D1A"/>
    <w:rsid w:val="00E01012"/>
    <w:rsid w:val="00E0114C"/>
    <w:rsid w:val="00E0129B"/>
    <w:rsid w:val="00E013E6"/>
    <w:rsid w:val="00E0142F"/>
    <w:rsid w:val="00E01533"/>
    <w:rsid w:val="00E017A7"/>
    <w:rsid w:val="00E018BF"/>
    <w:rsid w:val="00E01946"/>
    <w:rsid w:val="00E01D91"/>
    <w:rsid w:val="00E01F03"/>
    <w:rsid w:val="00E01F30"/>
    <w:rsid w:val="00E023AF"/>
    <w:rsid w:val="00E02AE0"/>
    <w:rsid w:val="00E02C8E"/>
    <w:rsid w:val="00E030AC"/>
    <w:rsid w:val="00E031B0"/>
    <w:rsid w:val="00E03217"/>
    <w:rsid w:val="00E0328E"/>
    <w:rsid w:val="00E03685"/>
    <w:rsid w:val="00E03906"/>
    <w:rsid w:val="00E03A83"/>
    <w:rsid w:val="00E03B4D"/>
    <w:rsid w:val="00E03D78"/>
    <w:rsid w:val="00E041BA"/>
    <w:rsid w:val="00E04460"/>
    <w:rsid w:val="00E045B8"/>
    <w:rsid w:val="00E04832"/>
    <w:rsid w:val="00E04E06"/>
    <w:rsid w:val="00E04E24"/>
    <w:rsid w:val="00E04F34"/>
    <w:rsid w:val="00E0514E"/>
    <w:rsid w:val="00E053E5"/>
    <w:rsid w:val="00E0552A"/>
    <w:rsid w:val="00E05B4C"/>
    <w:rsid w:val="00E05D64"/>
    <w:rsid w:val="00E05E55"/>
    <w:rsid w:val="00E0602F"/>
    <w:rsid w:val="00E06068"/>
    <w:rsid w:val="00E06349"/>
    <w:rsid w:val="00E06526"/>
    <w:rsid w:val="00E065C2"/>
    <w:rsid w:val="00E065CA"/>
    <w:rsid w:val="00E066B8"/>
    <w:rsid w:val="00E06715"/>
    <w:rsid w:val="00E067FA"/>
    <w:rsid w:val="00E067FB"/>
    <w:rsid w:val="00E068E7"/>
    <w:rsid w:val="00E06AA5"/>
    <w:rsid w:val="00E06BF6"/>
    <w:rsid w:val="00E06FAF"/>
    <w:rsid w:val="00E07146"/>
    <w:rsid w:val="00E071B4"/>
    <w:rsid w:val="00E071E4"/>
    <w:rsid w:val="00E07372"/>
    <w:rsid w:val="00E07535"/>
    <w:rsid w:val="00E0761C"/>
    <w:rsid w:val="00E07676"/>
    <w:rsid w:val="00E07984"/>
    <w:rsid w:val="00E07AAB"/>
    <w:rsid w:val="00E07B54"/>
    <w:rsid w:val="00E07CF8"/>
    <w:rsid w:val="00E07DE9"/>
    <w:rsid w:val="00E1006B"/>
    <w:rsid w:val="00E1019A"/>
    <w:rsid w:val="00E10272"/>
    <w:rsid w:val="00E1037E"/>
    <w:rsid w:val="00E1047E"/>
    <w:rsid w:val="00E107C4"/>
    <w:rsid w:val="00E10A76"/>
    <w:rsid w:val="00E10B6C"/>
    <w:rsid w:val="00E10BC9"/>
    <w:rsid w:val="00E10D34"/>
    <w:rsid w:val="00E10DEF"/>
    <w:rsid w:val="00E10E3C"/>
    <w:rsid w:val="00E10F46"/>
    <w:rsid w:val="00E1137B"/>
    <w:rsid w:val="00E11426"/>
    <w:rsid w:val="00E11630"/>
    <w:rsid w:val="00E117DE"/>
    <w:rsid w:val="00E117F8"/>
    <w:rsid w:val="00E118FD"/>
    <w:rsid w:val="00E11B9A"/>
    <w:rsid w:val="00E11D35"/>
    <w:rsid w:val="00E11DD8"/>
    <w:rsid w:val="00E11EA1"/>
    <w:rsid w:val="00E1203C"/>
    <w:rsid w:val="00E1217F"/>
    <w:rsid w:val="00E12265"/>
    <w:rsid w:val="00E12412"/>
    <w:rsid w:val="00E125E4"/>
    <w:rsid w:val="00E1288E"/>
    <w:rsid w:val="00E12926"/>
    <w:rsid w:val="00E12AD1"/>
    <w:rsid w:val="00E12C13"/>
    <w:rsid w:val="00E12CBA"/>
    <w:rsid w:val="00E1345E"/>
    <w:rsid w:val="00E1378C"/>
    <w:rsid w:val="00E13B45"/>
    <w:rsid w:val="00E14253"/>
    <w:rsid w:val="00E14362"/>
    <w:rsid w:val="00E143F2"/>
    <w:rsid w:val="00E14419"/>
    <w:rsid w:val="00E1462C"/>
    <w:rsid w:val="00E14715"/>
    <w:rsid w:val="00E148D2"/>
    <w:rsid w:val="00E14CB9"/>
    <w:rsid w:val="00E15868"/>
    <w:rsid w:val="00E158C7"/>
    <w:rsid w:val="00E159A9"/>
    <w:rsid w:val="00E15A0A"/>
    <w:rsid w:val="00E15A0E"/>
    <w:rsid w:val="00E15A3F"/>
    <w:rsid w:val="00E15A4B"/>
    <w:rsid w:val="00E15F4B"/>
    <w:rsid w:val="00E15F77"/>
    <w:rsid w:val="00E16081"/>
    <w:rsid w:val="00E160E2"/>
    <w:rsid w:val="00E1613B"/>
    <w:rsid w:val="00E16235"/>
    <w:rsid w:val="00E16518"/>
    <w:rsid w:val="00E166B6"/>
    <w:rsid w:val="00E1681C"/>
    <w:rsid w:val="00E169F8"/>
    <w:rsid w:val="00E16C43"/>
    <w:rsid w:val="00E16EB3"/>
    <w:rsid w:val="00E170CD"/>
    <w:rsid w:val="00E17312"/>
    <w:rsid w:val="00E1734F"/>
    <w:rsid w:val="00E17A22"/>
    <w:rsid w:val="00E17AF7"/>
    <w:rsid w:val="00E17C24"/>
    <w:rsid w:val="00E17C36"/>
    <w:rsid w:val="00E17C51"/>
    <w:rsid w:val="00E2038D"/>
    <w:rsid w:val="00E20541"/>
    <w:rsid w:val="00E206D0"/>
    <w:rsid w:val="00E208EC"/>
    <w:rsid w:val="00E209A8"/>
    <w:rsid w:val="00E209BB"/>
    <w:rsid w:val="00E20B29"/>
    <w:rsid w:val="00E210B3"/>
    <w:rsid w:val="00E21180"/>
    <w:rsid w:val="00E2126B"/>
    <w:rsid w:val="00E21490"/>
    <w:rsid w:val="00E21564"/>
    <w:rsid w:val="00E215D2"/>
    <w:rsid w:val="00E215F9"/>
    <w:rsid w:val="00E21737"/>
    <w:rsid w:val="00E218DB"/>
    <w:rsid w:val="00E21F48"/>
    <w:rsid w:val="00E22096"/>
    <w:rsid w:val="00E221B4"/>
    <w:rsid w:val="00E22335"/>
    <w:rsid w:val="00E226C8"/>
    <w:rsid w:val="00E22833"/>
    <w:rsid w:val="00E22B6D"/>
    <w:rsid w:val="00E22BD8"/>
    <w:rsid w:val="00E22C1E"/>
    <w:rsid w:val="00E22DA1"/>
    <w:rsid w:val="00E22F3A"/>
    <w:rsid w:val="00E23088"/>
    <w:rsid w:val="00E23869"/>
    <w:rsid w:val="00E23926"/>
    <w:rsid w:val="00E23A7C"/>
    <w:rsid w:val="00E23BAB"/>
    <w:rsid w:val="00E23C10"/>
    <w:rsid w:val="00E23C7F"/>
    <w:rsid w:val="00E23CBC"/>
    <w:rsid w:val="00E23F73"/>
    <w:rsid w:val="00E241E1"/>
    <w:rsid w:val="00E2482A"/>
    <w:rsid w:val="00E249AC"/>
    <w:rsid w:val="00E24B63"/>
    <w:rsid w:val="00E2508A"/>
    <w:rsid w:val="00E254E3"/>
    <w:rsid w:val="00E254F6"/>
    <w:rsid w:val="00E2574D"/>
    <w:rsid w:val="00E25C98"/>
    <w:rsid w:val="00E262DA"/>
    <w:rsid w:val="00E2632B"/>
    <w:rsid w:val="00E266FD"/>
    <w:rsid w:val="00E2686E"/>
    <w:rsid w:val="00E270F4"/>
    <w:rsid w:val="00E2718C"/>
    <w:rsid w:val="00E271BC"/>
    <w:rsid w:val="00E27266"/>
    <w:rsid w:val="00E2773E"/>
    <w:rsid w:val="00E2793E"/>
    <w:rsid w:val="00E27A73"/>
    <w:rsid w:val="00E27AB6"/>
    <w:rsid w:val="00E27ACD"/>
    <w:rsid w:val="00E27B71"/>
    <w:rsid w:val="00E27C2E"/>
    <w:rsid w:val="00E27C37"/>
    <w:rsid w:val="00E27F6B"/>
    <w:rsid w:val="00E302FD"/>
    <w:rsid w:val="00E3030F"/>
    <w:rsid w:val="00E30334"/>
    <w:rsid w:val="00E303F0"/>
    <w:rsid w:val="00E305CE"/>
    <w:rsid w:val="00E306D2"/>
    <w:rsid w:val="00E306EB"/>
    <w:rsid w:val="00E3079B"/>
    <w:rsid w:val="00E3081B"/>
    <w:rsid w:val="00E308D1"/>
    <w:rsid w:val="00E30BA7"/>
    <w:rsid w:val="00E30BBD"/>
    <w:rsid w:val="00E30CA0"/>
    <w:rsid w:val="00E30DB5"/>
    <w:rsid w:val="00E30E1D"/>
    <w:rsid w:val="00E30F94"/>
    <w:rsid w:val="00E30FAF"/>
    <w:rsid w:val="00E31001"/>
    <w:rsid w:val="00E31177"/>
    <w:rsid w:val="00E31245"/>
    <w:rsid w:val="00E313F6"/>
    <w:rsid w:val="00E3167D"/>
    <w:rsid w:val="00E316D5"/>
    <w:rsid w:val="00E31ABD"/>
    <w:rsid w:val="00E31BFD"/>
    <w:rsid w:val="00E32286"/>
    <w:rsid w:val="00E32391"/>
    <w:rsid w:val="00E3255C"/>
    <w:rsid w:val="00E327D8"/>
    <w:rsid w:val="00E32908"/>
    <w:rsid w:val="00E32BF8"/>
    <w:rsid w:val="00E33317"/>
    <w:rsid w:val="00E336B4"/>
    <w:rsid w:val="00E33745"/>
    <w:rsid w:val="00E33A5E"/>
    <w:rsid w:val="00E33B22"/>
    <w:rsid w:val="00E33CEE"/>
    <w:rsid w:val="00E33E3B"/>
    <w:rsid w:val="00E33EAE"/>
    <w:rsid w:val="00E34200"/>
    <w:rsid w:val="00E343A8"/>
    <w:rsid w:val="00E3470D"/>
    <w:rsid w:val="00E34711"/>
    <w:rsid w:val="00E34778"/>
    <w:rsid w:val="00E348C0"/>
    <w:rsid w:val="00E349C1"/>
    <w:rsid w:val="00E34B6B"/>
    <w:rsid w:val="00E34B7C"/>
    <w:rsid w:val="00E34C24"/>
    <w:rsid w:val="00E34CF2"/>
    <w:rsid w:val="00E352A8"/>
    <w:rsid w:val="00E35535"/>
    <w:rsid w:val="00E355A9"/>
    <w:rsid w:val="00E35870"/>
    <w:rsid w:val="00E3595E"/>
    <w:rsid w:val="00E35B2B"/>
    <w:rsid w:val="00E35B34"/>
    <w:rsid w:val="00E35B74"/>
    <w:rsid w:val="00E35E6D"/>
    <w:rsid w:val="00E36146"/>
    <w:rsid w:val="00E362A1"/>
    <w:rsid w:val="00E3663A"/>
    <w:rsid w:val="00E368D4"/>
    <w:rsid w:val="00E36A64"/>
    <w:rsid w:val="00E36AF6"/>
    <w:rsid w:val="00E36D61"/>
    <w:rsid w:val="00E36D97"/>
    <w:rsid w:val="00E36E7A"/>
    <w:rsid w:val="00E36E9B"/>
    <w:rsid w:val="00E37019"/>
    <w:rsid w:val="00E3706F"/>
    <w:rsid w:val="00E3739E"/>
    <w:rsid w:val="00E37555"/>
    <w:rsid w:val="00E37580"/>
    <w:rsid w:val="00E37A52"/>
    <w:rsid w:val="00E37E83"/>
    <w:rsid w:val="00E37ED5"/>
    <w:rsid w:val="00E37F34"/>
    <w:rsid w:val="00E40406"/>
    <w:rsid w:val="00E40639"/>
    <w:rsid w:val="00E40A27"/>
    <w:rsid w:val="00E40A2D"/>
    <w:rsid w:val="00E40B2E"/>
    <w:rsid w:val="00E40C76"/>
    <w:rsid w:val="00E40DE2"/>
    <w:rsid w:val="00E41147"/>
    <w:rsid w:val="00E41401"/>
    <w:rsid w:val="00E41853"/>
    <w:rsid w:val="00E41B1C"/>
    <w:rsid w:val="00E41CEA"/>
    <w:rsid w:val="00E41D16"/>
    <w:rsid w:val="00E41E9E"/>
    <w:rsid w:val="00E42029"/>
    <w:rsid w:val="00E42121"/>
    <w:rsid w:val="00E42158"/>
    <w:rsid w:val="00E42172"/>
    <w:rsid w:val="00E42389"/>
    <w:rsid w:val="00E425F4"/>
    <w:rsid w:val="00E427F8"/>
    <w:rsid w:val="00E42D8A"/>
    <w:rsid w:val="00E42F2B"/>
    <w:rsid w:val="00E4307E"/>
    <w:rsid w:val="00E43092"/>
    <w:rsid w:val="00E43189"/>
    <w:rsid w:val="00E43544"/>
    <w:rsid w:val="00E43844"/>
    <w:rsid w:val="00E439BF"/>
    <w:rsid w:val="00E43CF2"/>
    <w:rsid w:val="00E43D17"/>
    <w:rsid w:val="00E43DA9"/>
    <w:rsid w:val="00E43E39"/>
    <w:rsid w:val="00E4460E"/>
    <w:rsid w:val="00E446D5"/>
    <w:rsid w:val="00E44748"/>
    <w:rsid w:val="00E447E4"/>
    <w:rsid w:val="00E44CD4"/>
    <w:rsid w:val="00E44D0F"/>
    <w:rsid w:val="00E44D2A"/>
    <w:rsid w:val="00E44DCF"/>
    <w:rsid w:val="00E44E1A"/>
    <w:rsid w:val="00E44E59"/>
    <w:rsid w:val="00E44E5F"/>
    <w:rsid w:val="00E44F0E"/>
    <w:rsid w:val="00E44FFA"/>
    <w:rsid w:val="00E450A6"/>
    <w:rsid w:val="00E4531E"/>
    <w:rsid w:val="00E45386"/>
    <w:rsid w:val="00E45570"/>
    <w:rsid w:val="00E45BE8"/>
    <w:rsid w:val="00E45C5A"/>
    <w:rsid w:val="00E45FC6"/>
    <w:rsid w:val="00E4619E"/>
    <w:rsid w:val="00E461E7"/>
    <w:rsid w:val="00E4622E"/>
    <w:rsid w:val="00E462D7"/>
    <w:rsid w:val="00E46597"/>
    <w:rsid w:val="00E467DE"/>
    <w:rsid w:val="00E46CD1"/>
    <w:rsid w:val="00E46EEB"/>
    <w:rsid w:val="00E47005"/>
    <w:rsid w:val="00E471DF"/>
    <w:rsid w:val="00E471F8"/>
    <w:rsid w:val="00E476DA"/>
    <w:rsid w:val="00E47A30"/>
    <w:rsid w:val="00E47CB6"/>
    <w:rsid w:val="00E47E10"/>
    <w:rsid w:val="00E47F63"/>
    <w:rsid w:val="00E47FE0"/>
    <w:rsid w:val="00E50262"/>
    <w:rsid w:val="00E50264"/>
    <w:rsid w:val="00E502F3"/>
    <w:rsid w:val="00E50368"/>
    <w:rsid w:val="00E5053C"/>
    <w:rsid w:val="00E505EF"/>
    <w:rsid w:val="00E506AA"/>
    <w:rsid w:val="00E50986"/>
    <w:rsid w:val="00E50A08"/>
    <w:rsid w:val="00E50A84"/>
    <w:rsid w:val="00E50B90"/>
    <w:rsid w:val="00E50CEA"/>
    <w:rsid w:val="00E50E8D"/>
    <w:rsid w:val="00E50EFF"/>
    <w:rsid w:val="00E50F0A"/>
    <w:rsid w:val="00E51194"/>
    <w:rsid w:val="00E511E4"/>
    <w:rsid w:val="00E51292"/>
    <w:rsid w:val="00E512EB"/>
    <w:rsid w:val="00E515C6"/>
    <w:rsid w:val="00E517C3"/>
    <w:rsid w:val="00E51973"/>
    <w:rsid w:val="00E51BF4"/>
    <w:rsid w:val="00E51CA1"/>
    <w:rsid w:val="00E51EA5"/>
    <w:rsid w:val="00E52025"/>
    <w:rsid w:val="00E5229B"/>
    <w:rsid w:val="00E523CA"/>
    <w:rsid w:val="00E52A1A"/>
    <w:rsid w:val="00E52A1C"/>
    <w:rsid w:val="00E52C91"/>
    <w:rsid w:val="00E52CD7"/>
    <w:rsid w:val="00E52D6B"/>
    <w:rsid w:val="00E531A0"/>
    <w:rsid w:val="00E53352"/>
    <w:rsid w:val="00E533A7"/>
    <w:rsid w:val="00E53430"/>
    <w:rsid w:val="00E53482"/>
    <w:rsid w:val="00E535FC"/>
    <w:rsid w:val="00E53A47"/>
    <w:rsid w:val="00E53D75"/>
    <w:rsid w:val="00E53DB9"/>
    <w:rsid w:val="00E540B9"/>
    <w:rsid w:val="00E5431A"/>
    <w:rsid w:val="00E5472F"/>
    <w:rsid w:val="00E54A8D"/>
    <w:rsid w:val="00E54CC3"/>
    <w:rsid w:val="00E54D98"/>
    <w:rsid w:val="00E54F5B"/>
    <w:rsid w:val="00E54F9C"/>
    <w:rsid w:val="00E55254"/>
    <w:rsid w:val="00E552D2"/>
    <w:rsid w:val="00E5538C"/>
    <w:rsid w:val="00E5580B"/>
    <w:rsid w:val="00E55934"/>
    <w:rsid w:val="00E55C09"/>
    <w:rsid w:val="00E55FC4"/>
    <w:rsid w:val="00E5600A"/>
    <w:rsid w:val="00E56241"/>
    <w:rsid w:val="00E56325"/>
    <w:rsid w:val="00E56687"/>
    <w:rsid w:val="00E5668B"/>
    <w:rsid w:val="00E56769"/>
    <w:rsid w:val="00E56839"/>
    <w:rsid w:val="00E56ABE"/>
    <w:rsid w:val="00E56F6D"/>
    <w:rsid w:val="00E56FD4"/>
    <w:rsid w:val="00E5708A"/>
    <w:rsid w:val="00E57096"/>
    <w:rsid w:val="00E5765D"/>
    <w:rsid w:val="00E5766C"/>
    <w:rsid w:val="00E577F2"/>
    <w:rsid w:val="00E57BE2"/>
    <w:rsid w:val="00E57DDF"/>
    <w:rsid w:val="00E57E7D"/>
    <w:rsid w:val="00E57EA5"/>
    <w:rsid w:val="00E57F23"/>
    <w:rsid w:val="00E6031F"/>
    <w:rsid w:val="00E6032A"/>
    <w:rsid w:val="00E60412"/>
    <w:rsid w:val="00E6046D"/>
    <w:rsid w:val="00E604EC"/>
    <w:rsid w:val="00E60729"/>
    <w:rsid w:val="00E607E3"/>
    <w:rsid w:val="00E609F0"/>
    <w:rsid w:val="00E60B2A"/>
    <w:rsid w:val="00E60DE3"/>
    <w:rsid w:val="00E6113C"/>
    <w:rsid w:val="00E61183"/>
    <w:rsid w:val="00E61385"/>
    <w:rsid w:val="00E613CB"/>
    <w:rsid w:val="00E615FF"/>
    <w:rsid w:val="00E61677"/>
    <w:rsid w:val="00E61695"/>
    <w:rsid w:val="00E6190E"/>
    <w:rsid w:val="00E61BC5"/>
    <w:rsid w:val="00E61CC7"/>
    <w:rsid w:val="00E61E52"/>
    <w:rsid w:val="00E61E65"/>
    <w:rsid w:val="00E620D9"/>
    <w:rsid w:val="00E62199"/>
    <w:rsid w:val="00E62791"/>
    <w:rsid w:val="00E628E4"/>
    <w:rsid w:val="00E6294A"/>
    <w:rsid w:val="00E62A33"/>
    <w:rsid w:val="00E62BAD"/>
    <w:rsid w:val="00E62C03"/>
    <w:rsid w:val="00E62C97"/>
    <w:rsid w:val="00E62CC2"/>
    <w:rsid w:val="00E62D66"/>
    <w:rsid w:val="00E62F77"/>
    <w:rsid w:val="00E6311A"/>
    <w:rsid w:val="00E63440"/>
    <w:rsid w:val="00E6349D"/>
    <w:rsid w:val="00E63701"/>
    <w:rsid w:val="00E63869"/>
    <w:rsid w:val="00E63ADC"/>
    <w:rsid w:val="00E63C80"/>
    <w:rsid w:val="00E63D9D"/>
    <w:rsid w:val="00E64035"/>
    <w:rsid w:val="00E64136"/>
    <w:rsid w:val="00E64747"/>
    <w:rsid w:val="00E64756"/>
    <w:rsid w:val="00E6484F"/>
    <w:rsid w:val="00E649A1"/>
    <w:rsid w:val="00E64E36"/>
    <w:rsid w:val="00E64FCF"/>
    <w:rsid w:val="00E65019"/>
    <w:rsid w:val="00E6519A"/>
    <w:rsid w:val="00E653F5"/>
    <w:rsid w:val="00E65468"/>
    <w:rsid w:val="00E65581"/>
    <w:rsid w:val="00E656D1"/>
    <w:rsid w:val="00E65C52"/>
    <w:rsid w:val="00E65D74"/>
    <w:rsid w:val="00E65EEA"/>
    <w:rsid w:val="00E6601F"/>
    <w:rsid w:val="00E6604C"/>
    <w:rsid w:val="00E6609B"/>
    <w:rsid w:val="00E66191"/>
    <w:rsid w:val="00E662B5"/>
    <w:rsid w:val="00E66389"/>
    <w:rsid w:val="00E66861"/>
    <w:rsid w:val="00E668D0"/>
    <w:rsid w:val="00E66935"/>
    <w:rsid w:val="00E66A20"/>
    <w:rsid w:val="00E66C76"/>
    <w:rsid w:val="00E66DE0"/>
    <w:rsid w:val="00E66EE2"/>
    <w:rsid w:val="00E66F0E"/>
    <w:rsid w:val="00E66F63"/>
    <w:rsid w:val="00E66FA7"/>
    <w:rsid w:val="00E67459"/>
    <w:rsid w:val="00E67465"/>
    <w:rsid w:val="00E67580"/>
    <w:rsid w:val="00E67697"/>
    <w:rsid w:val="00E676E9"/>
    <w:rsid w:val="00E677D1"/>
    <w:rsid w:val="00E67967"/>
    <w:rsid w:val="00E67F91"/>
    <w:rsid w:val="00E6E876"/>
    <w:rsid w:val="00E70572"/>
    <w:rsid w:val="00E70752"/>
    <w:rsid w:val="00E7090C"/>
    <w:rsid w:val="00E70955"/>
    <w:rsid w:val="00E709AB"/>
    <w:rsid w:val="00E70A5A"/>
    <w:rsid w:val="00E70AAC"/>
    <w:rsid w:val="00E70CAA"/>
    <w:rsid w:val="00E70D8C"/>
    <w:rsid w:val="00E711FA"/>
    <w:rsid w:val="00E714CC"/>
    <w:rsid w:val="00E714E4"/>
    <w:rsid w:val="00E715B6"/>
    <w:rsid w:val="00E7161E"/>
    <w:rsid w:val="00E716C5"/>
    <w:rsid w:val="00E71EBF"/>
    <w:rsid w:val="00E720F1"/>
    <w:rsid w:val="00E72A04"/>
    <w:rsid w:val="00E72D65"/>
    <w:rsid w:val="00E7307E"/>
    <w:rsid w:val="00E731B7"/>
    <w:rsid w:val="00E7320B"/>
    <w:rsid w:val="00E73933"/>
    <w:rsid w:val="00E73B07"/>
    <w:rsid w:val="00E73ECC"/>
    <w:rsid w:val="00E73F83"/>
    <w:rsid w:val="00E740BE"/>
    <w:rsid w:val="00E74152"/>
    <w:rsid w:val="00E74271"/>
    <w:rsid w:val="00E74640"/>
    <w:rsid w:val="00E746CF"/>
    <w:rsid w:val="00E74C5E"/>
    <w:rsid w:val="00E74CE9"/>
    <w:rsid w:val="00E74FC4"/>
    <w:rsid w:val="00E752D1"/>
    <w:rsid w:val="00E755A5"/>
    <w:rsid w:val="00E75821"/>
    <w:rsid w:val="00E75915"/>
    <w:rsid w:val="00E75A46"/>
    <w:rsid w:val="00E75AD0"/>
    <w:rsid w:val="00E75B5E"/>
    <w:rsid w:val="00E75C0A"/>
    <w:rsid w:val="00E75F5D"/>
    <w:rsid w:val="00E76305"/>
    <w:rsid w:val="00E764D1"/>
    <w:rsid w:val="00E76530"/>
    <w:rsid w:val="00E76679"/>
    <w:rsid w:val="00E76A52"/>
    <w:rsid w:val="00E76C3D"/>
    <w:rsid w:val="00E76C49"/>
    <w:rsid w:val="00E76EB3"/>
    <w:rsid w:val="00E7717F"/>
    <w:rsid w:val="00E77433"/>
    <w:rsid w:val="00E77783"/>
    <w:rsid w:val="00E77951"/>
    <w:rsid w:val="00E77B4F"/>
    <w:rsid w:val="00E77C26"/>
    <w:rsid w:val="00E77C38"/>
    <w:rsid w:val="00E77CFB"/>
    <w:rsid w:val="00E8006E"/>
    <w:rsid w:val="00E80094"/>
    <w:rsid w:val="00E8009F"/>
    <w:rsid w:val="00E8010F"/>
    <w:rsid w:val="00E80646"/>
    <w:rsid w:val="00E806D4"/>
    <w:rsid w:val="00E806EC"/>
    <w:rsid w:val="00E807D6"/>
    <w:rsid w:val="00E808FA"/>
    <w:rsid w:val="00E80A4E"/>
    <w:rsid w:val="00E80A96"/>
    <w:rsid w:val="00E80B6F"/>
    <w:rsid w:val="00E80EC5"/>
    <w:rsid w:val="00E80F48"/>
    <w:rsid w:val="00E81316"/>
    <w:rsid w:val="00E81421"/>
    <w:rsid w:val="00E8177F"/>
    <w:rsid w:val="00E81890"/>
    <w:rsid w:val="00E8197D"/>
    <w:rsid w:val="00E81BF5"/>
    <w:rsid w:val="00E8209A"/>
    <w:rsid w:val="00E82269"/>
    <w:rsid w:val="00E82701"/>
    <w:rsid w:val="00E827F1"/>
    <w:rsid w:val="00E828D5"/>
    <w:rsid w:val="00E828F2"/>
    <w:rsid w:val="00E82969"/>
    <w:rsid w:val="00E82AD3"/>
    <w:rsid w:val="00E82B24"/>
    <w:rsid w:val="00E83004"/>
    <w:rsid w:val="00E8305E"/>
    <w:rsid w:val="00E83122"/>
    <w:rsid w:val="00E834BA"/>
    <w:rsid w:val="00E83544"/>
    <w:rsid w:val="00E8366D"/>
    <w:rsid w:val="00E836F6"/>
    <w:rsid w:val="00E83B3A"/>
    <w:rsid w:val="00E83B90"/>
    <w:rsid w:val="00E83CAC"/>
    <w:rsid w:val="00E83E2F"/>
    <w:rsid w:val="00E83ED7"/>
    <w:rsid w:val="00E8449B"/>
    <w:rsid w:val="00E845FD"/>
    <w:rsid w:val="00E8468D"/>
    <w:rsid w:val="00E848F6"/>
    <w:rsid w:val="00E84DA5"/>
    <w:rsid w:val="00E84DD7"/>
    <w:rsid w:val="00E84F3E"/>
    <w:rsid w:val="00E84F6B"/>
    <w:rsid w:val="00E85197"/>
    <w:rsid w:val="00E852B2"/>
    <w:rsid w:val="00E8551C"/>
    <w:rsid w:val="00E85C43"/>
    <w:rsid w:val="00E85EA3"/>
    <w:rsid w:val="00E8601C"/>
    <w:rsid w:val="00E86612"/>
    <w:rsid w:val="00E86B7E"/>
    <w:rsid w:val="00E86CFA"/>
    <w:rsid w:val="00E86D23"/>
    <w:rsid w:val="00E86E29"/>
    <w:rsid w:val="00E86F3C"/>
    <w:rsid w:val="00E86FFE"/>
    <w:rsid w:val="00E8726A"/>
    <w:rsid w:val="00E87312"/>
    <w:rsid w:val="00E8746B"/>
    <w:rsid w:val="00E8768E"/>
    <w:rsid w:val="00E876A4"/>
    <w:rsid w:val="00E8789F"/>
    <w:rsid w:val="00E87949"/>
    <w:rsid w:val="00E879D6"/>
    <w:rsid w:val="00E87A80"/>
    <w:rsid w:val="00E87AE7"/>
    <w:rsid w:val="00E90119"/>
    <w:rsid w:val="00E90134"/>
    <w:rsid w:val="00E901C5"/>
    <w:rsid w:val="00E90209"/>
    <w:rsid w:val="00E9026A"/>
    <w:rsid w:val="00E903B4"/>
    <w:rsid w:val="00E903D2"/>
    <w:rsid w:val="00E90434"/>
    <w:rsid w:val="00E905A9"/>
    <w:rsid w:val="00E9084C"/>
    <w:rsid w:val="00E908D9"/>
    <w:rsid w:val="00E908FF"/>
    <w:rsid w:val="00E9093C"/>
    <w:rsid w:val="00E90F06"/>
    <w:rsid w:val="00E911BF"/>
    <w:rsid w:val="00E915FD"/>
    <w:rsid w:val="00E91AAE"/>
    <w:rsid w:val="00E91ED8"/>
    <w:rsid w:val="00E91FB9"/>
    <w:rsid w:val="00E92293"/>
    <w:rsid w:val="00E923D1"/>
    <w:rsid w:val="00E9268F"/>
    <w:rsid w:val="00E9272D"/>
    <w:rsid w:val="00E92B19"/>
    <w:rsid w:val="00E92BE2"/>
    <w:rsid w:val="00E92D4E"/>
    <w:rsid w:val="00E93117"/>
    <w:rsid w:val="00E93151"/>
    <w:rsid w:val="00E933F8"/>
    <w:rsid w:val="00E93426"/>
    <w:rsid w:val="00E9352E"/>
    <w:rsid w:val="00E93541"/>
    <w:rsid w:val="00E93982"/>
    <w:rsid w:val="00E93A18"/>
    <w:rsid w:val="00E93AF9"/>
    <w:rsid w:val="00E93B33"/>
    <w:rsid w:val="00E93B5C"/>
    <w:rsid w:val="00E93DDB"/>
    <w:rsid w:val="00E93E73"/>
    <w:rsid w:val="00E9415A"/>
    <w:rsid w:val="00E943D7"/>
    <w:rsid w:val="00E94466"/>
    <w:rsid w:val="00E94520"/>
    <w:rsid w:val="00E9482C"/>
    <w:rsid w:val="00E9484C"/>
    <w:rsid w:val="00E94AC4"/>
    <w:rsid w:val="00E94BF2"/>
    <w:rsid w:val="00E94BFA"/>
    <w:rsid w:val="00E957BD"/>
    <w:rsid w:val="00E95AB5"/>
    <w:rsid w:val="00E95CD8"/>
    <w:rsid w:val="00E965F6"/>
    <w:rsid w:val="00E96736"/>
    <w:rsid w:val="00E9686F"/>
    <w:rsid w:val="00E96A01"/>
    <w:rsid w:val="00E96AF9"/>
    <w:rsid w:val="00E96C5B"/>
    <w:rsid w:val="00E96DAA"/>
    <w:rsid w:val="00E973E1"/>
    <w:rsid w:val="00E977E2"/>
    <w:rsid w:val="00E97900"/>
    <w:rsid w:val="00E97CDB"/>
    <w:rsid w:val="00EA02AD"/>
    <w:rsid w:val="00EA0387"/>
    <w:rsid w:val="00EA04BC"/>
    <w:rsid w:val="00EA061D"/>
    <w:rsid w:val="00EA06B9"/>
    <w:rsid w:val="00EA08DA"/>
    <w:rsid w:val="00EA0A15"/>
    <w:rsid w:val="00EA0A31"/>
    <w:rsid w:val="00EA0BDC"/>
    <w:rsid w:val="00EA0C5C"/>
    <w:rsid w:val="00EA0EFD"/>
    <w:rsid w:val="00EA0F5F"/>
    <w:rsid w:val="00EA103A"/>
    <w:rsid w:val="00EA107F"/>
    <w:rsid w:val="00EA10A0"/>
    <w:rsid w:val="00EA1139"/>
    <w:rsid w:val="00EA1408"/>
    <w:rsid w:val="00EA1414"/>
    <w:rsid w:val="00EA1579"/>
    <w:rsid w:val="00EA180D"/>
    <w:rsid w:val="00EA182F"/>
    <w:rsid w:val="00EA1851"/>
    <w:rsid w:val="00EA19E9"/>
    <w:rsid w:val="00EA1B76"/>
    <w:rsid w:val="00EA1D6D"/>
    <w:rsid w:val="00EA21E1"/>
    <w:rsid w:val="00EA2300"/>
    <w:rsid w:val="00EA2A5F"/>
    <w:rsid w:val="00EA2B10"/>
    <w:rsid w:val="00EA2FDD"/>
    <w:rsid w:val="00EA2FF7"/>
    <w:rsid w:val="00EA3045"/>
    <w:rsid w:val="00EA3372"/>
    <w:rsid w:val="00EA34CF"/>
    <w:rsid w:val="00EA358B"/>
    <w:rsid w:val="00EA35E2"/>
    <w:rsid w:val="00EA3F2F"/>
    <w:rsid w:val="00EA41E2"/>
    <w:rsid w:val="00EA438C"/>
    <w:rsid w:val="00EA4698"/>
    <w:rsid w:val="00EA4D67"/>
    <w:rsid w:val="00EA5059"/>
    <w:rsid w:val="00EA57C2"/>
    <w:rsid w:val="00EA58A8"/>
    <w:rsid w:val="00EA5AC1"/>
    <w:rsid w:val="00EA5DD8"/>
    <w:rsid w:val="00EA5F3A"/>
    <w:rsid w:val="00EA60B8"/>
    <w:rsid w:val="00EA6441"/>
    <w:rsid w:val="00EA659B"/>
    <w:rsid w:val="00EA65A8"/>
    <w:rsid w:val="00EA66F2"/>
    <w:rsid w:val="00EA6737"/>
    <w:rsid w:val="00EA68A9"/>
    <w:rsid w:val="00EA6A93"/>
    <w:rsid w:val="00EA6AA7"/>
    <w:rsid w:val="00EA6B9B"/>
    <w:rsid w:val="00EA6BCB"/>
    <w:rsid w:val="00EA70B4"/>
    <w:rsid w:val="00EA713D"/>
    <w:rsid w:val="00EA718D"/>
    <w:rsid w:val="00EA7389"/>
    <w:rsid w:val="00EA7411"/>
    <w:rsid w:val="00EA74B6"/>
    <w:rsid w:val="00EA75DD"/>
    <w:rsid w:val="00EA77A9"/>
    <w:rsid w:val="00EA77AF"/>
    <w:rsid w:val="00EA7B75"/>
    <w:rsid w:val="00EA7E5F"/>
    <w:rsid w:val="00EA7E7D"/>
    <w:rsid w:val="00EA7ED0"/>
    <w:rsid w:val="00EB017F"/>
    <w:rsid w:val="00EB0185"/>
    <w:rsid w:val="00EB02A4"/>
    <w:rsid w:val="00EB02E4"/>
    <w:rsid w:val="00EB0CF8"/>
    <w:rsid w:val="00EB0D84"/>
    <w:rsid w:val="00EB0E14"/>
    <w:rsid w:val="00EB0E4C"/>
    <w:rsid w:val="00EB0EE6"/>
    <w:rsid w:val="00EB11A7"/>
    <w:rsid w:val="00EB1233"/>
    <w:rsid w:val="00EB1515"/>
    <w:rsid w:val="00EB16B7"/>
    <w:rsid w:val="00EB1AD5"/>
    <w:rsid w:val="00EB1BAF"/>
    <w:rsid w:val="00EB1C49"/>
    <w:rsid w:val="00EB1D15"/>
    <w:rsid w:val="00EB1D6C"/>
    <w:rsid w:val="00EB1E94"/>
    <w:rsid w:val="00EB23A0"/>
    <w:rsid w:val="00EB247D"/>
    <w:rsid w:val="00EB252F"/>
    <w:rsid w:val="00EB25D9"/>
    <w:rsid w:val="00EB275D"/>
    <w:rsid w:val="00EB2957"/>
    <w:rsid w:val="00EB298C"/>
    <w:rsid w:val="00EB2A1B"/>
    <w:rsid w:val="00EB2C64"/>
    <w:rsid w:val="00EB2D48"/>
    <w:rsid w:val="00EB304C"/>
    <w:rsid w:val="00EB318B"/>
    <w:rsid w:val="00EB3391"/>
    <w:rsid w:val="00EB35F7"/>
    <w:rsid w:val="00EB39AB"/>
    <w:rsid w:val="00EB3C22"/>
    <w:rsid w:val="00EB3CA2"/>
    <w:rsid w:val="00EB3F0C"/>
    <w:rsid w:val="00EB3F1D"/>
    <w:rsid w:val="00EB4254"/>
    <w:rsid w:val="00EB4478"/>
    <w:rsid w:val="00EB44C0"/>
    <w:rsid w:val="00EB4B94"/>
    <w:rsid w:val="00EB4F8A"/>
    <w:rsid w:val="00EB4FD8"/>
    <w:rsid w:val="00EB4FDC"/>
    <w:rsid w:val="00EB4FE1"/>
    <w:rsid w:val="00EB54B9"/>
    <w:rsid w:val="00EB556F"/>
    <w:rsid w:val="00EB56BA"/>
    <w:rsid w:val="00EB573C"/>
    <w:rsid w:val="00EB5C47"/>
    <w:rsid w:val="00EB5E36"/>
    <w:rsid w:val="00EB5E52"/>
    <w:rsid w:val="00EB5E7F"/>
    <w:rsid w:val="00EB6207"/>
    <w:rsid w:val="00EB6413"/>
    <w:rsid w:val="00EB6910"/>
    <w:rsid w:val="00EB6922"/>
    <w:rsid w:val="00EB6EB8"/>
    <w:rsid w:val="00EB7179"/>
    <w:rsid w:val="00EB720D"/>
    <w:rsid w:val="00EB775B"/>
    <w:rsid w:val="00EB77D1"/>
    <w:rsid w:val="00EB78E6"/>
    <w:rsid w:val="00EB7AC1"/>
    <w:rsid w:val="00EB7BB3"/>
    <w:rsid w:val="00EB7BD4"/>
    <w:rsid w:val="00EB7DE3"/>
    <w:rsid w:val="00EC0089"/>
    <w:rsid w:val="00EC0500"/>
    <w:rsid w:val="00EC0775"/>
    <w:rsid w:val="00EC077E"/>
    <w:rsid w:val="00EC09A4"/>
    <w:rsid w:val="00EC0E5C"/>
    <w:rsid w:val="00EC10DF"/>
    <w:rsid w:val="00EC10E1"/>
    <w:rsid w:val="00EC132C"/>
    <w:rsid w:val="00EC1394"/>
    <w:rsid w:val="00EC1696"/>
    <w:rsid w:val="00EC16DD"/>
    <w:rsid w:val="00EC172B"/>
    <w:rsid w:val="00EC18BD"/>
    <w:rsid w:val="00EC1C73"/>
    <w:rsid w:val="00EC1CC5"/>
    <w:rsid w:val="00EC1CD0"/>
    <w:rsid w:val="00EC1DC9"/>
    <w:rsid w:val="00EC1E7D"/>
    <w:rsid w:val="00EC1FE4"/>
    <w:rsid w:val="00EC2107"/>
    <w:rsid w:val="00EC2297"/>
    <w:rsid w:val="00EC23CC"/>
    <w:rsid w:val="00EC24C2"/>
    <w:rsid w:val="00EC28E6"/>
    <w:rsid w:val="00EC2A6A"/>
    <w:rsid w:val="00EC2C28"/>
    <w:rsid w:val="00EC2E02"/>
    <w:rsid w:val="00EC3539"/>
    <w:rsid w:val="00EC357F"/>
    <w:rsid w:val="00EC373E"/>
    <w:rsid w:val="00EC3967"/>
    <w:rsid w:val="00EC3C89"/>
    <w:rsid w:val="00EC3DFD"/>
    <w:rsid w:val="00EC40FB"/>
    <w:rsid w:val="00EC434A"/>
    <w:rsid w:val="00EC45CD"/>
    <w:rsid w:val="00EC4638"/>
    <w:rsid w:val="00EC4A9D"/>
    <w:rsid w:val="00EC4AED"/>
    <w:rsid w:val="00EC4DA8"/>
    <w:rsid w:val="00EC4DCC"/>
    <w:rsid w:val="00EC5358"/>
    <w:rsid w:val="00EC5509"/>
    <w:rsid w:val="00EC5542"/>
    <w:rsid w:val="00EC5776"/>
    <w:rsid w:val="00EC588B"/>
    <w:rsid w:val="00EC5AC4"/>
    <w:rsid w:val="00EC5D05"/>
    <w:rsid w:val="00EC5D65"/>
    <w:rsid w:val="00EC5D78"/>
    <w:rsid w:val="00EC5E64"/>
    <w:rsid w:val="00EC5FA5"/>
    <w:rsid w:val="00EC6009"/>
    <w:rsid w:val="00EC60B4"/>
    <w:rsid w:val="00EC620A"/>
    <w:rsid w:val="00EC621D"/>
    <w:rsid w:val="00EC68D8"/>
    <w:rsid w:val="00EC6BB9"/>
    <w:rsid w:val="00EC7121"/>
    <w:rsid w:val="00EC7126"/>
    <w:rsid w:val="00EC71A5"/>
    <w:rsid w:val="00EC7535"/>
    <w:rsid w:val="00EC758A"/>
    <w:rsid w:val="00EC75C8"/>
    <w:rsid w:val="00EC7750"/>
    <w:rsid w:val="00EC7831"/>
    <w:rsid w:val="00ED00DD"/>
    <w:rsid w:val="00ED0153"/>
    <w:rsid w:val="00ED0331"/>
    <w:rsid w:val="00ED039F"/>
    <w:rsid w:val="00ED03EB"/>
    <w:rsid w:val="00ED047A"/>
    <w:rsid w:val="00ED0535"/>
    <w:rsid w:val="00ED0621"/>
    <w:rsid w:val="00ED063B"/>
    <w:rsid w:val="00ED0BEF"/>
    <w:rsid w:val="00ED0BFA"/>
    <w:rsid w:val="00ED0EB2"/>
    <w:rsid w:val="00ED0F5F"/>
    <w:rsid w:val="00ED0F80"/>
    <w:rsid w:val="00ED0FAB"/>
    <w:rsid w:val="00ED1221"/>
    <w:rsid w:val="00ED13E3"/>
    <w:rsid w:val="00ED1667"/>
    <w:rsid w:val="00ED1A13"/>
    <w:rsid w:val="00ED1E46"/>
    <w:rsid w:val="00ED1ECF"/>
    <w:rsid w:val="00ED2793"/>
    <w:rsid w:val="00ED2C34"/>
    <w:rsid w:val="00ED2F62"/>
    <w:rsid w:val="00ED3A93"/>
    <w:rsid w:val="00ED3B78"/>
    <w:rsid w:val="00ED3BE8"/>
    <w:rsid w:val="00ED3C13"/>
    <w:rsid w:val="00ED3CEE"/>
    <w:rsid w:val="00ED3D2D"/>
    <w:rsid w:val="00ED3E21"/>
    <w:rsid w:val="00ED3F41"/>
    <w:rsid w:val="00ED3F6A"/>
    <w:rsid w:val="00ED4051"/>
    <w:rsid w:val="00ED42E3"/>
    <w:rsid w:val="00ED441D"/>
    <w:rsid w:val="00ED4459"/>
    <w:rsid w:val="00ED4571"/>
    <w:rsid w:val="00ED4637"/>
    <w:rsid w:val="00ED4708"/>
    <w:rsid w:val="00ED4734"/>
    <w:rsid w:val="00ED4ADA"/>
    <w:rsid w:val="00ED4CCD"/>
    <w:rsid w:val="00ED4D07"/>
    <w:rsid w:val="00ED4E4C"/>
    <w:rsid w:val="00ED4EAB"/>
    <w:rsid w:val="00ED50E4"/>
    <w:rsid w:val="00ED571B"/>
    <w:rsid w:val="00ED5850"/>
    <w:rsid w:val="00ED589C"/>
    <w:rsid w:val="00ED5C2B"/>
    <w:rsid w:val="00ED6141"/>
    <w:rsid w:val="00ED631D"/>
    <w:rsid w:val="00ED6580"/>
    <w:rsid w:val="00ED66D0"/>
    <w:rsid w:val="00ED6BDB"/>
    <w:rsid w:val="00ED6C2F"/>
    <w:rsid w:val="00ED6CF3"/>
    <w:rsid w:val="00ED6DAE"/>
    <w:rsid w:val="00ED711F"/>
    <w:rsid w:val="00ED71A4"/>
    <w:rsid w:val="00ED72A9"/>
    <w:rsid w:val="00ED7301"/>
    <w:rsid w:val="00ED730C"/>
    <w:rsid w:val="00ED74BD"/>
    <w:rsid w:val="00ED7620"/>
    <w:rsid w:val="00ED7741"/>
    <w:rsid w:val="00ED7889"/>
    <w:rsid w:val="00ED79A7"/>
    <w:rsid w:val="00ED79C2"/>
    <w:rsid w:val="00EE0005"/>
    <w:rsid w:val="00EE00FF"/>
    <w:rsid w:val="00EE0139"/>
    <w:rsid w:val="00EE01A2"/>
    <w:rsid w:val="00EE0400"/>
    <w:rsid w:val="00EE061F"/>
    <w:rsid w:val="00EE06C3"/>
    <w:rsid w:val="00EE090B"/>
    <w:rsid w:val="00EE096C"/>
    <w:rsid w:val="00EE0C2C"/>
    <w:rsid w:val="00EE11DF"/>
    <w:rsid w:val="00EE142B"/>
    <w:rsid w:val="00EE1473"/>
    <w:rsid w:val="00EE150F"/>
    <w:rsid w:val="00EE15B7"/>
    <w:rsid w:val="00EE1790"/>
    <w:rsid w:val="00EE17BA"/>
    <w:rsid w:val="00EE180D"/>
    <w:rsid w:val="00EE1AEB"/>
    <w:rsid w:val="00EE1FCD"/>
    <w:rsid w:val="00EE23AF"/>
    <w:rsid w:val="00EE23DD"/>
    <w:rsid w:val="00EE2616"/>
    <w:rsid w:val="00EE2DFC"/>
    <w:rsid w:val="00EE31EA"/>
    <w:rsid w:val="00EE33C5"/>
    <w:rsid w:val="00EE3B27"/>
    <w:rsid w:val="00EE3B84"/>
    <w:rsid w:val="00EE3C97"/>
    <w:rsid w:val="00EE40FB"/>
    <w:rsid w:val="00EE43E3"/>
    <w:rsid w:val="00EE45FF"/>
    <w:rsid w:val="00EE48ED"/>
    <w:rsid w:val="00EE4A49"/>
    <w:rsid w:val="00EE4B55"/>
    <w:rsid w:val="00EE4DEA"/>
    <w:rsid w:val="00EE50F9"/>
    <w:rsid w:val="00EE520D"/>
    <w:rsid w:val="00EE5253"/>
    <w:rsid w:val="00EE53FC"/>
    <w:rsid w:val="00EE54AF"/>
    <w:rsid w:val="00EE55CA"/>
    <w:rsid w:val="00EE56CE"/>
    <w:rsid w:val="00EE587E"/>
    <w:rsid w:val="00EE5AF0"/>
    <w:rsid w:val="00EE5E21"/>
    <w:rsid w:val="00EE5E43"/>
    <w:rsid w:val="00EE5EB3"/>
    <w:rsid w:val="00EE603A"/>
    <w:rsid w:val="00EE61AB"/>
    <w:rsid w:val="00EE621F"/>
    <w:rsid w:val="00EE646B"/>
    <w:rsid w:val="00EE6757"/>
    <w:rsid w:val="00EE67E1"/>
    <w:rsid w:val="00EE69C4"/>
    <w:rsid w:val="00EE6A5A"/>
    <w:rsid w:val="00EE6AF8"/>
    <w:rsid w:val="00EE6D68"/>
    <w:rsid w:val="00EE6E18"/>
    <w:rsid w:val="00EE6EAF"/>
    <w:rsid w:val="00EE751E"/>
    <w:rsid w:val="00EE7AB2"/>
    <w:rsid w:val="00EE7AFA"/>
    <w:rsid w:val="00EE7E89"/>
    <w:rsid w:val="00EF0100"/>
    <w:rsid w:val="00EF0153"/>
    <w:rsid w:val="00EF02E2"/>
    <w:rsid w:val="00EF034F"/>
    <w:rsid w:val="00EF0559"/>
    <w:rsid w:val="00EF0608"/>
    <w:rsid w:val="00EF066A"/>
    <w:rsid w:val="00EF0718"/>
    <w:rsid w:val="00EF0A25"/>
    <w:rsid w:val="00EF0CD9"/>
    <w:rsid w:val="00EF126F"/>
    <w:rsid w:val="00EF132F"/>
    <w:rsid w:val="00EF158F"/>
    <w:rsid w:val="00EF15B5"/>
    <w:rsid w:val="00EF15EA"/>
    <w:rsid w:val="00EF15EB"/>
    <w:rsid w:val="00EF1839"/>
    <w:rsid w:val="00EF1964"/>
    <w:rsid w:val="00EF19FD"/>
    <w:rsid w:val="00EF1E19"/>
    <w:rsid w:val="00EF1EF0"/>
    <w:rsid w:val="00EF21F3"/>
    <w:rsid w:val="00EF242C"/>
    <w:rsid w:val="00EF2565"/>
    <w:rsid w:val="00EF27D7"/>
    <w:rsid w:val="00EF2AFA"/>
    <w:rsid w:val="00EF2BDD"/>
    <w:rsid w:val="00EF2D73"/>
    <w:rsid w:val="00EF2F27"/>
    <w:rsid w:val="00EF30D2"/>
    <w:rsid w:val="00EF329C"/>
    <w:rsid w:val="00EF33A3"/>
    <w:rsid w:val="00EF33AF"/>
    <w:rsid w:val="00EF38EC"/>
    <w:rsid w:val="00EF3966"/>
    <w:rsid w:val="00EF39D5"/>
    <w:rsid w:val="00EF3C7E"/>
    <w:rsid w:val="00EF3F3E"/>
    <w:rsid w:val="00EF4145"/>
    <w:rsid w:val="00EF421C"/>
    <w:rsid w:val="00EF42F2"/>
    <w:rsid w:val="00EF439F"/>
    <w:rsid w:val="00EF4413"/>
    <w:rsid w:val="00EF4BD7"/>
    <w:rsid w:val="00EF4C36"/>
    <w:rsid w:val="00EF4FFA"/>
    <w:rsid w:val="00EF519A"/>
    <w:rsid w:val="00EF53C4"/>
    <w:rsid w:val="00EF547C"/>
    <w:rsid w:val="00EF54EB"/>
    <w:rsid w:val="00EF54FE"/>
    <w:rsid w:val="00EF5889"/>
    <w:rsid w:val="00EF58D3"/>
    <w:rsid w:val="00EF59EF"/>
    <w:rsid w:val="00EF5A43"/>
    <w:rsid w:val="00EF5AC9"/>
    <w:rsid w:val="00EF5B44"/>
    <w:rsid w:val="00EF5C99"/>
    <w:rsid w:val="00EF5E61"/>
    <w:rsid w:val="00EF6055"/>
    <w:rsid w:val="00EF627D"/>
    <w:rsid w:val="00EF6282"/>
    <w:rsid w:val="00EF631D"/>
    <w:rsid w:val="00EF6369"/>
    <w:rsid w:val="00EF6696"/>
    <w:rsid w:val="00EF678B"/>
    <w:rsid w:val="00EF683B"/>
    <w:rsid w:val="00EF68CF"/>
    <w:rsid w:val="00EF6A4F"/>
    <w:rsid w:val="00EF6A5E"/>
    <w:rsid w:val="00EF6AFD"/>
    <w:rsid w:val="00EF703E"/>
    <w:rsid w:val="00EF7215"/>
    <w:rsid w:val="00EF7293"/>
    <w:rsid w:val="00EF7514"/>
    <w:rsid w:val="00EF7C27"/>
    <w:rsid w:val="00EF7D0A"/>
    <w:rsid w:val="00EF7F01"/>
    <w:rsid w:val="00EF7FC5"/>
    <w:rsid w:val="00F00084"/>
    <w:rsid w:val="00F00383"/>
    <w:rsid w:val="00F004B5"/>
    <w:rsid w:val="00F008E1"/>
    <w:rsid w:val="00F0097C"/>
    <w:rsid w:val="00F009A5"/>
    <w:rsid w:val="00F00CE3"/>
    <w:rsid w:val="00F00D88"/>
    <w:rsid w:val="00F01432"/>
    <w:rsid w:val="00F01692"/>
    <w:rsid w:val="00F0182F"/>
    <w:rsid w:val="00F018BC"/>
    <w:rsid w:val="00F018EF"/>
    <w:rsid w:val="00F01C14"/>
    <w:rsid w:val="00F01C7C"/>
    <w:rsid w:val="00F023BD"/>
    <w:rsid w:val="00F02528"/>
    <w:rsid w:val="00F02532"/>
    <w:rsid w:val="00F0268D"/>
    <w:rsid w:val="00F02711"/>
    <w:rsid w:val="00F02DA7"/>
    <w:rsid w:val="00F02F92"/>
    <w:rsid w:val="00F0330B"/>
    <w:rsid w:val="00F03B8F"/>
    <w:rsid w:val="00F0426A"/>
    <w:rsid w:val="00F042A6"/>
    <w:rsid w:val="00F04400"/>
    <w:rsid w:val="00F04511"/>
    <w:rsid w:val="00F0468A"/>
    <w:rsid w:val="00F0483F"/>
    <w:rsid w:val="00F04D8A"/>
    <w:rsid w:val="00F04F2D"/>
    <w:rsid w:val="00F051A2"/>
    <w:rsid w:val="00F05304"/>
    <w:rsid w:val="00F054FD"/>
    <w:rsid w:val="00F05617"/>
    <w:rsid w:val="00F05649"/>
    <w:rsid w:val="00F056C3"/>
    <w:rsid w:val="00F05838"/>
    <w:rsid w:val="00F05E17"/>
    <w:rsid w:val="00F06027"/>
    <w:rsid w:val="00F06310"/>
    <w:rsid w:val="00F064F1"/>
    <w:rsid w:val="00F0651A"/>
    <w:rsid w:val="00F0676C"/>
    <w:rsid w:val="00F0684B"/>
    <w:rsid w:val="00F07680"/>
    <w:rsid w:val="00F077AD"/>
    <w:rsid w:val="00F0780E"/>
    <w:rsid w:val="00F07A0C"/>
    <w:rsid w:val="00F07B8C"/>
    <w:rsid w:val="00F10355"/>
    <w:rsid w:val="00F1038F"/>
    <w:rsid w:val="00F104FC"/>
    <w:rsid w:val="00F10592"/>
    <w:rsid w:val="00F10CF5"/>
    <w:rsid w:val="00F10E6E"/>
    <w:rsid w:val="00F10E81"/>
    <w:rsid w:val="00F10F3C"/>
    <w:rsid w:val="00F10F55"/>
    <w:rsid w:val="00F1124B"/>
    <w:rsid w:val="00F113C2"/>
    <w:rsid w:val="00F11604"/>
    <w:rsid w:val="00F118E2"/>
    <w:rsid w:val="00F119CB"/>
    <w:rsid w:val="00F11A64"/>
    <w:rsid w:val="00F11B55"/>
    <w:rsid w:val="00F11BBB"/>
    <w:rsid w:val="00F11E53"/>
    <w:rsid w:val="00F12438"/>
    <w:rsid w:val="00F1245B"/>
    <w:rsid w:val="00F12521"/>
    <w:rsid w:val="00F1261C"/>
    <w:rsid w:val="00F1279E"/>
    <w:rsid w:val="00F127DE"/>
    <w:rsid w:val="00F127EB"/>
    <w:rsid w:val="00F12F2C"/>
    <w:rsid w:val="00F130D4"/>
    <w:rsid w:val="00F132CF"/>
    <w:rsid w:val="00F135C1"/>
    <w:rsid w:val="00F137F7"/>
    <w:rsid w:val="00F13D13"/>
    <w:rsid w:val="00F14016"/>
    <w:rsid w:val="00F1418D"/>
    <w:rsid w:val="00F14238"/>
    <w:rsid w:val="00F14416"/>
    <w:rsid w:val="00F1452B"/>
    <w:rsid w:val="00F14996"/>
    <w:rsid w:val="00F14B29"/>
    <w:rsid w:val="00F14B98"/>
    <w:rsid w:val="00F14C63"/>
    <w:rsid w:val="00F14D3A"/>
    <w:rsid w:val="00F14DC9"/>
    <w:rsid w:val="00F15343"/>
    <w:rsid w:val="00F15746"/>
    <w:rsid w:val="00F1575E"/>
    <w:rsid w:val="00F1576A"/>
    <w:rsid w:val="00F158DA"/>
    <w:rsid w:val="00F158FC"/>
    <w:rsid w:val="00F15906"/>
    <w:rsid w:val="00F15980"/>
    <w:rsid w:val="00F15A47"/>
    <w:rsid w:val="00F15A8C"/>
    <w:rsid w:val="00F15B07"/>
    <w:rsid w:val="00F15E49"/>
    <w:rsid w:val="00F15EC4"/>
    <w:rsid w:val="00F1619C"/>
    <w:rsid w:val="00F162D5"/>
    <w:rsid w:val="00F16878"/>
    <w:rsid w:val="00F16D14"/>
    <w:rsid w:val="00F16D29"/>
    <w:rsid w:val="00F16DB2"/>
    <w:rsid w:val="00F16FD4"/>
    <w:rsid w:val="00F17287"/>
    <w:rsid w:val="00F173DE"/>
    <w:rsid w:val="00F173FC"/>
    <w:rsid w:val="00F1758F"/>
    <w:rsid w:val="00F1760C"/>
    <w:rsid w:val="00F178B3"/>
    <w:rsid w:val="00F17CF9"/>
    <w:rsid w:val="00F17CFC"/>
    <w:rsid w:val="00F17DA5"/>
    <w:rsid w:val="00F17EC8"/>
    <w:rsid w:val="00F17F39"/>
    <w:rsid w:val="00F17F7F"/>
    <w:rsid w:val="00F17FE9"/>
    <w:rsid w:val="00F203C2"/>
    <w:rsid w:val="00F2069C"/>
    <w:rsid w:val="00F206F2"/>
    <w:rsid w:val="00F2085C"/>
    <w:rsid w:val="00F20899"/>
    <w:rsid w:val="00F20BE8"/>
    <w:rsid w:val="00F20C9D"/>
    <w:rsid w:val="00F21120"/>
    <w:rsid w:val="00F21250"/>
    <w:rsid w:val="00F21323"/>
    <w:rsid w:val="00F214AF"/>
    <w:rsid w:val="00F2172A"/>
    <w:rsid w:val="00F2179D"/>
    <w:rsid w:val="00F21856"/>
    <w:rsid w:val="00F21A48"/>
    <w:rsid w:val="00F21B23"/>
    <w:rsid w:val="00F21B95"/>
    <w:rsid w:val="00F21CD0"/>
    <w:rsid w:val="00F21D2C"/>
    <w:rsid w:val="00F21F37"/>
    <w:rsid w:val="00F21F4D"/>
    <w:rsid w:val="00F22300"/>
    <w:rsid w:val="00F2240C"/>
    <w:rsid w:val="00F224E6"/>
    <w:rsid w:val="00F22559"/>
    <w:rsid w:val="00F2268B"/>
    <w:rsid w:val="00F228B9"/>
    <w:rsid w:val="00F22B1F"/>
    <w:rsid w:val="00F22D4D"/>
    <w:rsid w:val="00F22FD5"/>
    <w:rsid w:val="00F23109"/>
    <w:rsid w:val="00F2312F"/>
    <w:rsid w:val="00F23390"/>
    <w:rsid w:val="00F23814"/>
    <w:rsid w:val="00F23BB8"/>
    <w:rsid w:val="00F24100"/>
    <w:rsid w:val="00F24693"/>
    <w:rsid w:val="00F246D9"/>
    <w:rsid w:val="00F246EB"/>
    <w:rsid w:val="00F24BEC"/>
    <w:rsid w:val="00F24E37"/>
    <w:rsid w:val="00F24F09"/>
    <w:rsid w:val="00F25137"/>
    <w:rsid w:val="00F25189"/>
    <w:rsid w:val="00F256DA"/>
    <w:rsid w:val="00F256F7"/>
    <w:rsid w:val="00F25856"/>
    <w:rsid w:val="00F25967"/>
    <w:rsid w:val="00F25B59"/>
    <w:rsid w:val="00F25C56"/>
    <w:rsid w:val="00F25D7D"/>
    <w:rsid w:val="00F25E6E"/>
    <w:rsid w:val="00F25FC1"/>
    <w:rsid w:val="00F262D0"/>
    <w:rsid w:val="00F26450"/>
    <w:rsid w:val="00F2666E"/>
    <w:rsid w:val="00F268B6"/>
    <w:rsid w:val="00F26929"/>
    <w:rsid w:val="00F26B76"/>
    <w:rsid w:val="00F26B94"/>
    <w:rsid w:val="00F27509"/>
    <w:rsid w:val="00F2763D"/>
    <w:rsid w:val="00F2765D"/>
    <w:rsid w:val="00F27E5F"/>
    <w:rsid w:val="00F303C9"/>
    <w:rsid w:val="00F305BF"/>
    <w:rsid w:val="00F3068F"/>
    <w:rsid w:val="00F306FC"/>
    <w:rsid w:val="00F307F2"/>
    <w:rsid w:val="00F30A05"/>
    <w:rsid w:val="00F30A2A"/>
    <w:rsid w:val="00F30BF8"/>
    <w:rsid w:val="00F30C42"/>
    <w:rsid w:val="00F31056"/>
    <w:rsid w:val="00F31101"/>
    <w:rsid w:val="00F31877"/>
    <w:rsid w:val="00F3195C"/>
    <w:rsid w:val="00F31BB0"/>
    <w:rsid w:val="00F32044"/>
    <w:rsid w:val="00F32155"/>
    <w:rsid w:val="00F32471"/>
    <w:rsid w:val="00F324D9"/>
    <w:rsid w:val="00F32754"/>
    <w:rsid w:val="00F328A0"/>
    <w:rsid w:val="00F328DC"/>
    <w:rsid w:val="00F32C4C"/>
    <w:rsid w:val="00F32DF9"/>
    <w:rsid w:val="00F32F88"/>
    <w:rsid w:val="00F33366"/>
    <w:rsid w:val="00F335CD"/>
    <w:rsid w:val="00F336BA"/>
    <w:rsid w:val="00F33A96"/>
    <w:rsid w:val="00F33B8C"/>
    <w:rsid w:val="00F33D49"/>
    <w:rsid w:val="00F33F82"/>
    <w:rsid w:val="00F34131"/>
    <w:rsid w:val="00F3419D"/>
    <w:rsid w:val="00F344FC"/>
    <w:rsid w:val="00F34A70"/>
    <w:rsid w:val="00F34AB0"/>
    <w:rsid w:val="00F34B0E"/>
    <w:rsid w:val="00F34C43"/>
    <w:rsid w:val="00F34C61"/>
    <w:rsid w:val="00F35126"/>
    <w:rsid w:val="00F3519A"/>
    <w:rsid w:val="00F351DB"/>
    <w:rsid w:val="00F35243"/>
    <w:rsid w:val="00F3527E"/>
    <w:rsid w:val="00F35309"/>
    <w:rsid w:val="00F354BF"/>
    <w:rsid w:val="00F3558A"/>
    <w:rsid w:val="00F355F6"/>
    <w:rsid w:val="00F35974"/>
    <w:rsid w:val="00F35AC1"/>
    <w:rsid w:val="00F35C4B"/>
    <w:rsid w:val="00F35F04"/>
    <w:rsid w:val="00F3630D"/>
    <w:rsid w:val="00F36724"/>
    <w:rsid w:val="00F36830"/>
    <w:rsid w:val="00F3687D"/>
    <w:rsid w:val="00F375F3"/>
    <w:rsid w:val="00F379A8"/>
    <w:rsid w:val="00F37AF0"/>
    <w:rsid w:val="00F37C7A"/>
    <w:rsid w:val="00F37F02"/>
    <w:rsid w:val="00F40469"/>
    <w:rsid w:val="00F4054F"/>
    <w:rsid w:val="00F40561"/>
    <w:rsid w:val="00F40800"/>
    <w:rsid w:val="00F4090B"/>
    <w:rsid w:val="00F40AD6"/>
    <w:rsid w:val="00F40B32"/>
    <w:rsid w:val="00F40DC4"/>
    <w:rsid w:val="00F41120"/>
    <w:rsid w:val="00F411C2"/>
    <w:rsid w:val="00F412FA"/>
    <w:rsid w:val="00F41430"/>
    <w:rsid w:val="00F4151E"/>
    <w:rsid w:val="00F4173E"/>
    <w:rsid w:val="00F4175C"/>
    <w:rsid w:val="00F41889"/>
    <w:rsid w:val="00F41B04"/>
    <w:rsid w:val="00F41B20"/>
    <w:rsid w:val="00F41B39"/>
    <w:rsid w:val="00F41B47"/>
    <w:rsid w:val="00F41C2C"/>
    <w:rsid w:val="00F41DC5"/>
    <w:rsid w:val="00F4222C"/>
    <w:rsid w:val="00F42311"/>
    <w:rsid w:val="00F42335"/>
    <w:rsid w:val="00F428E4"/>
    <w:rsid w:val="00F42AB9"/>
    <w:rsid w:val="00F42D79"/>
    <w:rsid w:val="00F42ED8"/>
    <w:rsid w:val="00F42F17"/>
    <w:rsid w:val="00F431FC"/>
    <w:rsid w:val="00F432E3"/>
    <w:rsid w:val="00F43416"/>
    <w:rsid w:val="00F434C9"/>
    <w:rsid w:val="00F43500"/>
    <w:rsid w:val="00F4378D"/>
    <w:rsid w:val="00F4392B"/>
    <w:rsid w:val="00F43A1E"/>
    <w:rsid w:val="00F43D77"/>
    <w:rsid w:val="00F43D78"/>
    <w:rsid w:val="00F4400E"/>
    <w:rsid w:val="00F44266"/>
    <w:rsid w:val="00F44294"/>
    <w:rsid w:val="00F44660"/>
    <w:rsid w:val="00F44B40"/>
    <w:rsid w:val="00F44E2D"/>
    <w:rsid w:val="00F44F5D"/>
    <w:rsid w:val="00F44FF8"/>
    <w:rsid w:val="00F4509D"/>
    <w:rsid w:val="00F4541F"/>
    <w:rsid w:val="00F4590D"/>
    <w:rsid w:val="00F459E2"/>
    <w:rsid w:val="00F45CBE"/>
    <w:rsid w:val="00F45D02"/>
    <w:rsid w:val="00F45D24"/>
    <w:rsid w:val="00F46037"/>
    <w:rsid w:val="00F4613A"/>
    <w:rsid w:val="00F465AF"/>
    <w:rsid w:val="00F468B0"/>
    <w:rsid w:val="00F46AA4"/>
    <w:rsid w:val="00F46B86"/>
    <w:rsid w:val="00F46C3D"/>
    <w:rsid w:val="00F46D11"/>
    <w:rsid w:val="00F46D89"/>
    <w:rsid w:val="00F47035"/>
    <w:rsid w:val="00F47174"/>
    <w:rsid w:val="00F47283"/>
    <w:rsid w:val="00F4758D"/>
    <w:rsid w:val="00F475C1"/>
    <w:rsid w:val="00F47612"/>
    <w:rsid w:val="00F479AD"/>
    <w:rsid w:val="00F47C16"/>
    <w:rsid w:val="00F47CEC"/>
    <w:rsid w:val="00F47E65"/>
    <w:rsid w:val="00F5063D"/>
    <w:rsid w:val="00F5073C"/>
    <w:rsid w:val="00F508F5"/>
    <w:rsid w:val="00F50C53"/>
    <w:rsid w:val="00F50CF4"/>
    <w:rsid w:val="00F511D6"/>
    <w:rsid w:val="00F51535"/>
    <w:rsid w:val="00F51667"/>
    <w:rsid w:val="00F5198F"/>
    <w:rsid w:val="00F51B25"/>
    <w:rsid w:val="00F51D66"/>
    <w:rsid w:val="00F51E04"/>
    <w:rsid w:val="00F51F61"/>
    <w:rsid w:val="00F51FBF"/>
    <w:rsid w:val="00F52062"/>
    <w:rsid w:val="00F520AE"/>
    <w:rsid w:val="00F5217D"/>
    <w:rsid w:val="00F52263"/>
    <w:rsid w:val="00F5262E"/>
    <w:rsid w:val="00F5278D"/>
    <w:rsid w:val="00F52876"/>
    <w:rsid w:val="00F529A2"/>
    <w:rsid w:val="00F529AE"/>
    <w:rsid w:val="00F52ECC"/>
    <w:rsid w:val="00F5301A"/>
    <w:rsid w:val="00F53373"/>
    <w:rsid w:val="00F537DC"/>
    <w:rsid w:val="00F53BB8"/>
    <w:rsid w:val="00F53D1A"/>
    <w:rsid w:val="00F53FC3"/>
    <w:rsid w:val="00F54070"/>
    <w:rsid w:val="00F541E2"/>
    <w:rsid w:val="00F5430A"/>
    <w:rsid w:val="00F5449C"/>
    <w:rsid w:val="00F5461B"/>
    <w:rsid w:val="00F54692"/>
    <w:rsid w:val="00F546CF"/>
    <w:rsid w:val="00F54762"/>
    <w:rsid w:val="00F54864"/>
    <w:rsid w:val="00F54913"/>
    <w:rsid w:val="00F54BE8"/>
    <w:rsid w:val="00F54C94"/>
    <w:rsid w:val="00F5524A"/>
    <w:rsid w:val="00F552C5"/>
    <w:rsid w:val="00F5544E"/>
    <w:rsid w:val="00F55457"/>
    <w:rsid w:val="00F554AE"/>
    <w:rsid w:val="00F55AA5"/>
    <w:rsid w:val="00F55C9E"/>
    <w:rsid w:val="00F55D05"/>
    <w:rsid w:val="00F560A2"/>
    <w:rsid w:val="00F56129"/>
    <w:rsid w:val="00F56582"/>
    <w:rsid w:val="00F566A3"/>
    <w:rsid w:val="00F566B5"/>
    <w:rsid w:val="00F567FD"/>
    <w:rsid w:val="00F568DB"/>
    <w:rsid w:val="00F56B8C"/>
    <w:rsid w:val="00F56C55"/>
    <w:rsid w:val="00F56C78"/>
    <w:rsid w:val="00F56D72"/>
    <w:rsid w:val="00F56DAA"/>
    <w:rsid w:val="00F56E7C"/>
    <w:rsid w:val="00F56F72"/>
    <w:rsid w:val="00F56FC6"/>
    <w:rsid w:val="00F57080"/>
    <w:rsid w:val="00F57456"/>
    <w:rsid w:val="00F574C6"/>
    <w:rsid w:val="00F57556"/>
    <w:rsid w:val="00F57851"/>
    <w:rsid w:val="00F57A1B"/>
    <w:rsid w:val="00F57B7E"/>
    <w:rsid w:val="00F57DC3"/>
    <w:rsid w:val="00F602A0"/>
    <w:rsid w:val="00F604BA"/>
    <w:rsid w:val="00F6059C"/>
    <w:rsid w:val="00F605DB"/>
    <w:rsid w:val="00F60687"/>
    <w:rsid w:val="00F60730"/>
    <w:rsid w:val="00F608D1"/>
    <w:rsid w:val="00F60994"/>
    <w:rsid w:val="00F60E74"/>
    <w:rsid w:val="00F60EC1"/>
    <w:rsid w:val="00F61247"/>
    <w:rsid w:val="00F6159F"/>
    <w:rsid w:val="00F619B7"/>
    <w:rsid w:val="00F61A17"/>
    <w:rsid w:val="00F61C9D"/>
    <w:rsid w:val="00F61E4F"/>
    <w:rsid w:val="00F61EA0"/>
    <w:rsid w:val="00F61ED9"/>
    <w:rsid w:val="00F62009"/>
    <w:rsid w:val="00F6201F"/>
    <w:rsid w:val="00F623C5"/>
    <w:rsid w:val="00F623F0"/>
    <w:rsid w:val="00F6254A"/>
    <w:rsid w:val="00F626BC"/>
    <w:rsid w:val="00F627FC"/>
    <w:rsid w:val="00F62CD7"/>
    <w:rsid w:val="00F62DE0"/>
    <w:rsid w:val="00F62E27"/>
    <w:rsid w:val="00F63038"/>
    <w:rsid w:val="00F6313E"/>
    <w:rsid w:val="00F6332C"/>
    <w:rsid w:val="00F634E1"/>
    <w:rsid w:val="00F636C2"/>
    <w:rsid w:val="00F6370A"/>
    <w:rsid w:val="00F6371D"/>
    <w:rsid w:val="00F63B6B"/>
    <w:rsid w:val="00F63CF6"/>
    <w:rsid w:val="00F6409F"/>
    <w:rsid w:val="00F642D3"/>
    <w:rsid w:val="00F6485A"/>
    <w:rsid w:val="00F64AB1"/>
    <w:rsid w:val="00F64E12"/>
    <w:rsid w:val="00F6507E"/>
    <w:rsid w:val="00F65246"/>
    <w:rsid w:val="00F658CC"/>
    <w:rsid w:val="00F660FC"/>
    <w:rsid w:val="00F66154"/>
    <w:rsid w:val="00F66356"/>
    <w:rsid w:val="00F6636B"/>
    <w:rsid w:val="00F6643A"/>
    <w:rsid w:val="00F66834"/>
    <w:rsid w:val="00F66ADF"/>
    <w:rsid w:val="00F66BB5"/>
    <w:rsid w:val="00F66C8A"/>
    <w:rsid w:val="00F66E04"/>
    <w:rsid w:val="00F66E15"/>
    <w:rsid w:val="00F66F74"/>
    <w:rsid w:val="00F6724A"/>
    <w:rsid w:val="00F67393"/>
    <w:rsid w:val="00F674B0"/>
    <w:rsid w:val="00F677FA"/>
    <w:rsid w:val="00F679B9"/>
    <w:rsid w:val="00F67BA7"/>
    <w:rsid w:val="00F67BED"/>
    <w:rsid w:val="00F67DF1"/>
    <w:rsid w:val="00F67E61"/>
    <w:rsid w:val="00F67FF1"/>
    <w:rsid w:val="00F6E61A"/>
    <w:rsid w:val="00F70061"/>
    <w:rsid w:val="00F704AE"/>
    <w:rsid w:val="00F704D7"/>
    <w:rsid w:val="00F70521"/>
    <w:rsid w:val="00F70818"/>
    <w:rsid w:val="00F7085B"/>
    <w:rsid w:val="00F70DAB"/>
    <w:rsid w:val="00F70E9D"/>
    <w:rsid w:val="00F711AF"/>
    <w:rsid w:val="00F714C1"/>
    <w:rsid w:val="00F71A29"/>
    <w:rsid w:val="00F71BCE"/>
    <w:rsid w:val="00F71C72"/>
    <w:rsid w:val="00F71C8E"/>
    <w:rsid w:val="00F71DDC"/>
    <w:rsid w:val="00F728F8"/>
    <w:rsid w:val="00F72ABD"/>
    <w:rsid w:val="00F72CDA"/>
    <w:rsid w:val="00F73006"/>
    <w:rsid w:val="00F732D4"/>
    <w:rsid w:val="00F734A4"/>
    <w:rsid w:val="00F73648"/>
    <w:rsid w:val="00F739B6"/>
    <w:rsid w:val="00F73DF4"/>
    <w:rsid w:val="00F73E4A"/>
    <w:rsid w:val="00F73FA1"/>
    <w:rsid w:val="00F7427F"/>
    <w:rsid w:val="00F742D4"/>
    <w:rsid w:val="00F74783"/>
    <w:rsid w:val="00F74F82"/>
    <w:rsid w:val="00F751AC"/>
    <w:rsid w:val="00F75556"/>
    <w:rsid w:val="00F75574"/>
    <w:rsid w:val="00F757DC"/>
    <w:rsid w:val="00F75CC1"/>
    <w:rsid w:val="00F764BF"/>
    <w:rsid w:val="00F76D15"/>
    <w:rsid w:val="00F76D54"/>
    <w:rsid w:val="00F76DBE"/>
    <w:rsid w:val="00F76ED6"/>
    <w:rsid w:val="00F77260"/>
    <w:rsid w:val="00F77B8F"/>
    <w:rsid w:val="00F77B9B"/>
    <w:rsid w:val="00F803F9"/>
    <w:rsid w:val="00F80576"/>
    <w:rsid w:val="00F8066B"/>
    <w:rsid w:val="00F807A7"/>
    <w:rsid w:val="00F8081A"/>
    <w:rsid w:val="00F80888"/>
    <w:rsid w:val="00F809EE"/>
    <w:rsid w:val="00F80A0D"/>
    <w:rsid w:val="00F80DDC"/>
    <w:rsid w:val="00F811F8"/>
    <w:rsid w:val="00F812C3"/>
    <w:rsid w:val="00F81687"/>
    <w:rsid w:val="00F817C9"/>
    <w:rsid w:val="00F818CF"/>
    <w:rsid w:val="00F81B2D"/>
    <w:rsid w:val="00F81C45"/>
    <w:rsid w:val="00F81CDD"/>
    <w:rsid w:val="00F81EFD"/>
    <w:rsid w:val="00F81FD6"/>
    <w:rsid w:val="00F822CB"/>
    <w:rsid w:val="00F824FD"/>
    <w:rsid w:val="00F82595"/>
    <w:rsid w:val="00F8289A"/>
    <w:rsid w:val="00F829C0"/>
    <w:rsid w:val="00F82C12"/>
    <w:rsid w:val="00F82C5A"/>
    <w:rsid w:val="00F831BB"/>
    <w:rsid w:val="00F83309"/>
    <w:rsid w:val="00F835EA"/>
    <w:rsid w:val="00F83761"/>
    <w:rsid w:val="00F8378B"/>
    <w:rsid w:val="00F837AC"/>
    <w:rsid w:val="00F8389B"/>
    <w:rsid w:val="00F83AD8"/>
    <w:rsid w:val="00F841CE"/>
    <w:rsid w:val="00F841DA"/>
    <w:rsid w:val="00F84394"/>
    <w:rsid w:val="00F8493F"/>
    <w:rsid w:val="00F84A23"/>
    <w:rsid w:val="00F84AA4"/>
    <w:rsid w:val="00F84C65"/>
    <w:rsid w:val="00F84FA4"/>
    <w:rsid w:val="00F85069"/>
    <w:rsid w:val="00F8520A"/>
    <w:rsid w:val="00F8564C"/>
    <w:rsid w:val="00F85778"/>
    <w:rsid w:val="00F85973"/>
    <w:rsid w:val="00F859A1"/>
    <w:rsid w:val="00F85A2D"/>
    <w:rsid w:val="00F85A4C"/>
    <w:rsid w:val="00F86449"/>
    <w:rsid w:val="00F86606"/>
    <w:rsid w:val="00F869B1"/>
    <w:rsid w:val="00F86BF2"/>
    <w:rsid w:val="00F86CBE"/>
    <w:rsid w:val="00F86DE4"/>
    <w:rsid w:val="00F86E41"/>
    <w:rsid w:val="00F86E4B"/>
    <w:rsid w:val="00F86E61"/>
    <w:rsid w:val="00F871A0"/>
    <w:rsid w:val="00F8724C"/>
    <w:rsid w:val="00F8754A"/>
    <w:rsid w:val="00F875BD"/>
    <w:rsid w:val="00F877C2"/>
    <w:rsid w:val="00F879D3"/>
    <w:rsid w:val="00F87ACE"/>
    <w:rsid w:val="00F87D0E"/>
    <w:rsid w:val="00F87D45"/>
    <w:rsid w:val="00F87D6C"/>
    <w:rsid w:val="00F87D73"/>
    <w:rsid w:val="00F900F1"/>
    <w:rsid w:val="00F9010D"/>
    <w:rsid w:val="00F90124"/>
    <w:rsid w:val="00F90528"/>
    <w:rsid w:val="00F9057C"/>
    <w:rsid w:val="00F905DA"/>
    <w:rsid w:val="00F905DF"/>
    <w:rsid w:val="00F90609"/>
    <w:rsid w:val="00F906BC"/>
    <w:rsid w:val="00F908E2"/>
    <w:rsid w:val="00F90A55"/>
    <w:rsid w:val="00F90C49"/>
    <w:rsid w:val="00F90CA1"/>
    <w:rsid w:val="00F90F34"/>
    <w:rsid w:val="00F911CD"/>
    <w:rsid w:val="00F912C5"/>
    <w:rsid w:val="00F91620"/>
    <w:rsid w:val="00F9167C"/>
    <w:rsid w:val="00F917A1"/>
    <w:rsid w:val="00F9194C"/>
    <w:rsid w:val="00F91A2A"/>
    <w:rsid w:val="00F91A7C"/>
    <w:rsid w:val="00F91C79"/>
    <w:rsid w:val="00F92025"/>
    <w:rsid w:val="00F920DF"/>
    <w:rsid w:val="00F92178"/>
    <w:rsid w:val="00F921ED"/>
    <w:rsid w:val="00F9246F"/>
    <w:rsid w:val="00F9255A"/>
    <w:rsid w:val="00F92641"/>
    <w:rsid w:val="00F92DFA"/>
    <w:rsid w:val="00F93322"/>
    <w:rsid w:val="00F93395"/>
    <w:rsid w:val="00F93574"/>
    <w:rsid w:val="00F93742"/>
    <w:rsid w:val="00F937D3"/>
    <w:rsid w:val="00F93925"/>
    <w:rsid w:val="00F94217"/>
    <w:rsid w:val="00F94270"/>
    <w:rsid w:val="00F942E1"/>
    <w:rsid w:val="00F944B7"/>
    <w:rsid w:val="00F944C6"/>
    <w:rsid w:val="00F944D1"/>
    <w:rsid w:val="00F94AC9"/>
    <w:rsid w:val="00F94CC7"/>
    <w:rsid w:val="00F95092"/>
    <w:rsid w:val="00F95346"/>
    <w:rsid w:val="00F955F4"/>
    <w:rsid w:val="00F95901"/>
    <w:rsid w:val="00F95A03"/>
    <w:rsid w:val="00F95A75"/>
    <w:rsid w:val="00F95E86"/>
    <w:rsid w:val="00F963E4"/>
    <w:rsid w:val="00F966CC"/>
    <w:rsid w:val="00F966D9"/>
    <w:rsid w:val="00F968C5"/>
    <w:rsid w:val="00F971F8"/>
    <w:rsid w:val="00F97347"/>
    <w:rsid w:val="00F973B1"/>
    <w:rsid w:val="00F97639"/>
    <w:rsid w:val="00F976E5"/>
    <w:rsid w:val="00FA01BF"/>
    <w:rsid w:val="00FA02B7"/>
    <w:rsid w:val="00FA0798"/>
    <w:rsid w:val="00FA07A6"/>
    <w:rsid w:val="00FA08DC"/>
    <w:rsid w:val="00FA0A12"/>
    <w:rsid w:val="00FA0B06"/>
    <w:rsid w:val="00FA0EC6"/>
    <w:rsid w:val="00FA1031"/>
    <w:rsid w:val="00FA106A"/>
    <w:rsid w:val="00FA12F8"/>
    <w:rsid w:val="00FA1708"/>
    <w:rsid w:val="00FA199F"/>
    <w:rsid w:val="00FA19D5"/>
    <w:rsid w:val="00FA1C24"/>
    <w:rsid w:val="00FA1D78"/>
    <w:rsid w:val="00FA1F39"/>
    <w:rsid w:val="00FA1FCD"/>
    <w:rsid w:val="00FA2564"/>
    <w:rsid w:val="00FA2896"/>
    <w:rsid w:val="00FA2A89"/>
    <w:rsid w:val="00FA2BCB"/>
    <w:rsid w:val="00FA30B3"/>
    <w:rsid w:val="00FA330B"/>
    <w:rsid w:val="00FA35BC"/>
    <w:rsid w:val="00FA3681"/>
    <w:rsid w:val="00FA3790"/>
    <w:rsid w:val="00FA389F"/>
    <w:rsid w:val="00FA3AF0"/>
    <w:rsid w:val="00FA3CBE"/>
    <w:rsid w:val="00FA3E32"/>
    <w:rsid w:val="00FA3F79"/>
    <w:rsid w:val="00FA40E3"/>
    <w:rsid w:val="00FA4141"/>
    <w:rsid w:val="00FA439A"/>
    <w:rsid w:val="00FA4551"/>
    <w:rsid w:val="00FA470F"/>
    <w:rsid w:val="00FA49CC"/>
    <w:rsid w:val="00FA4A13"/>
    <w:rsid w:val="00FA4A55"/>
    <w:rsid w:val="00FA4E5B"/>
    <w:rsid w:val="00FA4E9D"/>
    <w:rsid w:val="00FA4F0B"/>
    <w:rsid w:val="00FA500D"/>
    <w:rsid w:val="00FA50D2"/>
    <w:rsid w:val="00FA572B"/>
    <w:rsid w:val="00FA577F"/>
    <w:rsid w:val="00FA5838"/>
    <w:rsid w:val="00FA5998"/>
    <w:rsid w:val="00FA5C72"/>
    <w:rsid w:val="00FA5E3D"/>
    <w:rsid w:val="00FA5F4F"/>
    <w:rsid w:val="00FA5F5F"/>
    <w:rsid w:val="00FA6128"/>
    <w:rsid w:val="00FA6508"/>
    <w:rsid w:val="00FA658F"/>
    <w:rsid w:val="00FA673F"/>
    <w:rsid w:val="00FA67E3"/>
    <w:rsid w:val="00FA7130"/>
    <w:rsid w:val="00FA726F"/>
    <w:rsid w:val="00FA7356"/>
    <w:rsid w:val="00FA7555"/>
    <w:rsid w:val="00FA7764"/>
    <w:rsid w:val="00FA77DB"/>
    <w:rsid w:val="00FA78C3"/>
    <w:rsid w:val="00FA7931"/>
    <w:rsid w:val="00FA7967"/>
    <w:rsid w:val="00FA7BB3"/>
    <w:rsid w:val="00FA7C3F"/>
    <w:rsid w:val="00FB015B"/>
    <w:rsid w:val="00FB073D"/>
    <w:rsid w:val="00FB08FF"/>
    <w:rsid w:val="00FB0C6B"/>
    <w:rsid w:val="00FB0D53"/>
    <w:rsid w:val="00FB1AAE"/>
    <w:rsid w:val="00FB1DA3"/>
    <w:rsid w:val="00FB1F16"/>
    <w:rsid w:val="00FB1FA2"/>
    <w:rsid w:val="00FB2035"/>
    <w:rsid w:val="00FB2231"/>
    <w:rsid w:val="00FB259B"/>
    <w:rsid w:val="00FB26C9"/>
    <w:rsid w:val="00FB279E"/>
    <w:rsid w:val="00FB2FFE"/>
    <w:rsid w:val="00FB3260"/>
    <w:rsid w:val="00FB353F"/>
    <w:rsid w:val="00FB3701"/>
    <w:rsid w:val="00FB378A"/>
    <w:rsid w:val="00FB39D5"/>
    <w:rsid w:val="00FB3AB5"/>
    <w:rsid w:val="00FB3ABF"/>
    <w:rsid w:val="00FB3C9D"/>
    <w:rsid w:val="00FB3E59"/>
    <w:rsid w:val="00FB3EE0"/>
    <w:rsid w:val="00FB400D"/>
    <w:rsid w:val="00FB410E"/>
    <w:rsid w:val="00FB4123"/>
    <w:rsid w:val="00FB4157"/>
    <w:rsid w:val="00FB42B7"/>
    <w:rsid w:val="00FB42F7"/>
    <w:rsid w:val="00FB433F"/>
    <w:rsid w:val="00FB43CD"/>
    <w:rsid w:val="00FB4481"/>
    <w:rsid w:val="00FB456C"/>
    <w:rsid w:val="00FB46E4"/>
    <w:rsid w:val="00FB49AB"/>
    <w:rsid w:val="00FB4CAF"/>
    <w:rsid w:val="00FB4CB9"/>
    <w:rsid w:val="00FB4DA0"/>
    <w:rsid w:val="00FB4F3A"/>
    <w:rsid w:val="00FB50AB"/>
    <w:rsid w:val="00FB51CB"/>
    <w:rsid w:val="00FB52D2"/>
    <w:rsid w:val="00FB53DE"/>
    <w:rsid w:val="00FB5555"/>
    <w:rsid w:val="00FB55D2"/>
    <w:rsid w:val="00FB5882"/>
    <w:rsid w:val="00FB58AE"/>
    <w:rsid w:val="00FB5990"/>
    <w:rsid w:val="00FB5CA4"/>
    <w:rsid w:val="00FB5CC7"/>
    <w:rsid w:val="00FB5DBD"/>
    <w:rsid w:val="00FB5E02"/>
    <w:rsid w:val="00FB5EB7"/>
    <w:rsid w:val="00FB626A"/>
    <w:rsid w:val="00FB63A9"/>
    <w:rsid w:val="00FB63AF"/>
    <w:rsid w:val="00FB63D8"/>
    <w:rsid w:val="00FB658F"/>
    <w:rsid w:val="00FB668A"/>
    <w:rsid w:val="00FB67B1"/>
    <w:rsid w:val="00FB67BA"/>
    <w:rsid w:val="00FB6831"/>
    <w:rsid w:val="00FB68AD"/>
    <w:rsid w:val="00FB6956"/>
    <w:rsid w:val="00FB6994"/>
    <w:rsid w:val="00FB6C9B"/>
    <w:rsid w:val="00FB6E1C"/>
    <w:rsid w:val="00FB708A"/>
    <w:rsid w:val="00FB71CF"/>
    <w:rsid w:val="00FB72F7"/>
    <w:rsid w:val="00FB739A"/>
    <w:rsid w:val="00FB7605"/>
    <w:rsid w:val="00FB7626"/>
    <w:rsid w:val="00FB787A"/>
    <w:rsid w:val="00FB79D0"/>
    <w:rsid w:val="00FB7B27"/>
    <w:rsid w:val="00FB7C30"/>
    <w:rsid w:val="00FB7D09"/>
    <w:rsid w:val="00FB7F0B"/>
    <w:rsid w:val="00FB7F33"/>
    <w:rsid w:val="00FC00FE"/>
    <w:rsid w:val="00FC027D"/>
    <w:rsid w:val="00FC03B7"/>
    <w:rsid w:val="00FC040E"/>
    <w:rsid w:val="00FC0647"/>
    <w:rsid w:val="00FC06D0"/>
    <w:rsid w:val="00FC0790"/>
    <w:rsid w:val="00FC09AB"/>
    <w:rsid w:val="00FC0B15"/>
    <w:rsid w:val="00FC103A"/>
    <w:rsid w:val="00FC1214"/>
    <w:rsid w:val="00FC1420"/>
    <w:rsid w:val="00FC1659"/>
    <w:rsid w:val="00FC18BF"/>
    <w:rsid w:val="00FC1904"/>
    <w:rsid w:val="00FC1925"/>
    <w:rsid w:val="00FC1978"/>
    <w:rsid w:val="00FC1A9F"/>
    <w:rsid w:val="00FC1D2F"/>
    <w:rsid w:val="00FC206B"/>
    <w:rsid w:val="00FC21E1"/>
    <w:rsid w:val="00FC25E7"/>
    <w:rsid w:val="00FC2600"/>
    <w:rsid w:val="00FC2908"/>
    <w:rsid w:val="00FC2927"/>
    <w:rsid w:val="00FC2C67"/>
    <w:rsid w:val="00FC2DF3"/>
    <w:rsid w:val="00FC2FBA"/>
    <w:rsid w:val="00FC3020"/>
    <w:rsid w:val="00FC306E"/>
    <w:rsid w:val="00FC3521"/>
    <w:rsid w:val="00FC362A"/>
    <w:rsid w:val="00FC3637"/>
    <w:rsid w:val="00FC3779"/>
    <w:rsid w:val="00FC382E"/>
    <w:rsid w:val="00FC3892"/>
    <w:rsid w:val="00FC3987"/>
    <w:rsid w:val="00FC3ADA"/>
    <w:rsid w:val="00FC3BF1"/>
    <w:rsid w:val="00FC3D2E"/>
    <w:rsid w:val="00FC4130"/>
    <w:rsid w:val="00FC42E7"/>
    <w:rsid w:val="00FC462B"/>
    <w:rsid w:val="00FC463C"/>
    <w:rsid w:val="00FC47C0"/>
    <w:rsid w:val="00FC492B"/>
    <w:rsid w:val="00FC4A25"/>
    <w:rsid w:val="00FC4B5D"/>
    <w:rsid w:val="00FC4C83"/>
    <w:rsid w:val="00FC4DF7"/>
    <w:rsid w:val="00FC514D"/>
    <w:rsid w:val="00FC51AE"/>
    <w:rsid w:val="00FC51C5"/>
    <w:rsid w:val="00FC52B6"/>
    <w:rsid w:val="00FC53B3"/>
    <w:rsid w:val="00FC53C7"/>
    <w:rsid w:val="00FC573F"/>
    <w:rsid w:val="00FC5785"/>
    <w:rsid w:val="00FC5839"/>
    <w:rsid w:val="00FC5873"/>
    <w:rsid w:val="00FC5A7E"/>
    <w:rsid w:val="00FC5BBE"/>
    <w:rsid w:val="00FC5EF0"/>
    <w:rsid w:val="00FC63D2"/>
    <w:rsid w:val="00FC65D7"/>
    <w:rsid w:val="00FC6602"/>
    <w:rsid w:val="00FC6981"/>
    <w:rsid w:val="00FC69C3"/>
    <w:rsid w:val="00FC6D03"/>
    <w:rsid w:val="00FC6DA5"/>
    <w:rsid w:val="00FC7043"/>
    <w:rsid w:val="00FC7932"/>
    <w:rsid w:val="00FC79BE"/>
    <w:rsid w:val="00FC7A9F"/>
    <w:rsid w:val="00FC7B0E"/>
    <w:rsid w:val="00FC7B42"/>
    <w:rsid w:val="00FC7E8F"/>
    <w:rsid w:val="00FD003B"/>
    <w:rsid w:val="00FD00DE"/>
    <w:rsid w:val="00FD017E"/>
    <w:rsid w:val="00FD034C"/>
    <w:rsid w:val="00FD050A"/>
    <w:rsid w:val="00FD06CC"/>
    <w:rsid w:val="00FD0CAD"/>
    <w:rsid w:val="00FD0E6D"/>
    <w:rsid w:val="00FD1044"/>
    <w:rsid w:val="00FD10F9"/>
    <w:rsid w:val="00FD1130"/>
    <w:rsid w:val="00FD1148"/>
    <w:rsid w:val="00FD122D"/>
    <w:rsid w:val="00FD1496"/>
    <w:rsid w:val="00FD164E"/>
    <w:rsid w:val="00FD1AD4"/>
    <w:rsid w:val="00FD1B42"/>
    <w:rsid w:val="00FD1D06"/>
    <w:rsid w:val="00FD204A"/>
    <w:rsid w:val="00FD228E"/>
    <w:rsid w:val="00FD2371"/>
    <w:rsid w:val="00FD266B"/>
    <w:rsid w:val="00FD291D"/>
    <w:rsid w:val="00FD2AC9"/>
    <w:rsid w:val="00FD2B97"/>
    <w:rsid w:val="00FD306B"/>
    <w:rsid w:val="00FD31B0"/>
    <w:rsid w:val="00FD3259"/>
    <w:rsid w:val="00FD35F5"/>
    <w:rsid w:val="00FD3F03"/>
    <w:rsid w:val="00FD3F1A"/>
    <w:rsid w:val="00FD40C3"/>
    <w:rsid w:val="00FD4242"/>
    <w:rsid w:val="00FD4361"/>
    <w:rsid w:val="00FD4525"/>
    <w:rsid w:val="00FD478A"/>
    <w:rsid w:val="00FD4E28"/>
    <w:rsid w:val="00FD51AE"/>
    <w:rsid w:val="00FD51B0"/>
    <w:rsid w:val="00FD5218"/>
    <w:rsid w:val="00FD539C"/>
    <w:rsid w:val="00FD54D5"/>
    <w:rsid w:val="00FD5522"/>
    <w:rsid w:val="00FD5655"/>
    <w:rsid w:val="00FD5914"/>
    <w:rsid w:val="00FD59D2"/>
    <w:rsid w:val="00FD5C4A"/>
    <w:rsid w:val="00FD5DB0"/>
    <w:rsid w:val="00FD6284"/>
    <w:rsid w:val="00FD6366"/>
    <w:rsid w:val="00FD660C"/>
    <w:rsid w:val="00FD6729"/>
    <w:rsid w:val="00FD69E9"/>
    <w:rsid w:val="00FD6E0D"/>
    <w:rsid w:val="00FD6F1E"/>
    <w:rsid w:val="00FD7161"/>
    <w:rsid w:val="00FD7458"/>
    <w:rsid w:val="00FD750E"/>
    <w:rsid w:val="00FD77F1"/>
    <w:rsid w:val="00FD7837"/>
    <w:rsid w:val="00FD7B02"/>
    <w:rsid w:val="00FD7BEB"/>
    <w:rsid w:val="00FD7C61"/>
    <w:rsid w:val="00FD7DB6"/>
    <w:rsid w:val="00FD7DD2"/>
    <w:rsid w:val="00FD7EB0"/>
    <w:rsid w:val="00FD7EEF"/>
    <w:rsid w:val="00FE0160"/>
    <w:rsid w:val="00FE0191"/>
    <w:rsid w:val="00FE0491"/>
    <w:rsid w:val="00FE0580"/>
    <w:rsid w:val="00FE07B2"/>
    <w:rsid w:val="00FE084C"/>
    <w:rsid w:val="00FE09C0"/>
    <w:rsid w:val="00FE0BCA"/>
    <w:rsid w:val="00FE0E1E"/>
    <w:rsid w:val="00FE0F2A"/>
    <w:rsid w:val="00FE108A"/>
    <w:rsid w:val="00FE11E0"/>
    <w:rsid w:val="00FE1418"/>
    <w:rsid w:val="00FE1598"/>
    <w:rsid w:val="00FE179B"/>
    <w:rsid w:val="00FE17BE"/>
    <w:rsid w:val="00FE1B0B"/>
    <w:rsid w:val="00FE1B9E"/>
    <w:rsid w:val="00FE1C54"/>
    <w:rsid w:val="00FE1FA9"/>
    <w:rsid w:val="00FE1FD9"/>
    <w:rsid w:val="00FE257A"/>
    <w:rsid w:val="00FE25E8"/>
    <w:rsid w:val="00FE260A"/>
    <w:rsid w:val="00FE2727"/>
    <w:rsid w:val="00FE29CC"/>
    <w:rsid w:val="00FE29E8"/>
    <w:rsid w:val="00FE2A36"/>
    <w:rsid w:val="00FE2BB0"/>
    <w:rsid w:val="00FE2CDA"/>
    <w:rsid w:val="00FE2D1C"/>
    <w:rsid w:val="00FE32AD"/>
    <w:rsid w:val="00FE3427"/>
    <w:rsid w:val="00FE36C9"/>
    <w:rsid w:val="00FE36D4"/>
    <w:rsid w:val="00FE3AFE"/>
    <w:rsid w:val="00FE3BD4"/>
    <w:rsid w:val="00FE3DDA"/>
    <w:rsid w:val="00FE4000"/>
    <w:rsid w:val="00FE4275"/>
    <w:rsid w:val="00FE44D5"/>
    <w:rsid w:val="00FE4608"/>
    <w:rsid w:val="00FE4794"/>
    <w:rsid w:val="00FE4B16"/>
    <w:rsid w:val="00FE4CD4"/>
    <w:rsid w:val="00FE4E65"/>
    <w:rsid w:val="00FE513E"/>
    <w:rsid w:val="00FE5597"/>
    <w:rsid w:val="00FE58F9"/>
    <w:rsid w:val="00FE5BC6"/>
    <w:rsid w:val="00FE5CAC"/>
    <w:rsid w:val="00FE5DB5"/>
    <w:rsid w:val="00FE6209"/>
    <w:rsid w:val="00FE62FE"/>
    <w:rsid w:val="00FE63C7"/>
    <w:rsid w:val="00FE6525"/>
    <w:rsid w:val="00FE66F7"/>
    <w:rsid w:val="00FE697D"/>
    <w:rsid w:val="00FE6A51"/>
    <w:rsid w:val="00FE6BF9"/>
    <w:rsid w:val="00FE6C7C"/>
    <w:rsid w:val="00FE6EC7"/>
    <w:rsid w:val="00FE717F"/>
    <w:rsid w:val="00FE7861"/>
    <w:rsid w:val="00FE7933"/>
    <w:rsid w:val="00FE794A"/>
    <w:rsid w:val="00FE7991"/>
    <w:rsid w:val="00FE7D1E"/>
    <w:rsid w:val="00FF00D5"/>
    <w:rsid w:val="00FF0641"/>
    <w:rsid w:val="00FF0A79"/>
    <w:rsid w:val="00FF0AA9"/>
    <w:rsid w:val="00FF0AD5"/>
    <w:rsid w:val="00FF0B83"/>
    <w:rsid w:val="00FF0C3D"/>
    <w:rsid w:val="00FF0CF7"/>
    <w:rsid w:val="00FF0DDD"/>
    <w:rsid w:val="00FF0E55"/>
    <w:rsid w:val="00FF0F3D"/>
    <w:rsid w:val="00FF1503"/>
    <w:rsid w:val="00FF1778"/>
    <w:rsid w:val="00FF18FF"/>
    <w:rsid w:val="00FF1AB8"/>
    <w:rsid w:val="00FF1B09"/>
    <w:rsid w:val="00FF1DC6"/>
    <w:rsid w:val="00FF1E23"/>
    <w:rsid w:val="00FF1EA2"/>
    <w:rsid w:val="00FF1ECE"/>
    <w:rsid w:val="00FF201F"/>
    <w:rsid w:val="00FF2157"/>
    <w:rsid w:val="00FF2543"/>
    <w:rsid w:val="00FF26AB"/>
    <w:rsid w:val="00FF28CA"/>
    <w:rsid w:val="00FF2BE6"/>
    <w:rsid w:val="00FF2CE7"/>
    <w:rsid w:val="00FF2EAB"/>
    <w:rsid w:val="00FF307B"/>
    <w:rsid w:val="00FF3420"/>
    <w:rsid w:val="00FF3880"/>
    <w:rsid w:val="00FF38DB"/>
    <w:rsid w:val="00FF390A"/>
    <w:rsid w:val="00FF39C0"/>
    <w:rsid w:val="00FF3A8B"/>
    <w:rsid w:val="00FF3AA9"/>
    <w:rsid w:val="00FF3B0E"/>
    <w:rsid w:val="00FF3BA5"/>
    <w:rsid w:val="00FF3D02"/>
    <w:rsid w:val="00FF3D27"/>
    <w:rsid w:val="00FF3FAF"/>
    <w:rsid w:val="00FF423A"/>
    <w:rsid w:val="00FF4296"/>
    <w:rsid w:val="00FF4388"/>
    <w:rsid w:val="00FF4463"/>
    <w:rsid w:val="00FF460E"/>
    <w:rsid w:val="00FF4771"/>
    <w:rsid w:val="00FF49F2"/>
    <w:rsid w:val="00FF4AD0"/>
    <w:rsid w:val="00FF4B03"/>
    <w:rsid w:val="00FF4C89"/>
    <w:rsid w:val="00FF566E"/>
    <w:rsid w:val="00FF57D5"/>
    <w:rsid w:val="00FF59CA"/>
    <w:rsid w:val="00FF5D45"/>
    <w:rsid w:val="00FF5E93"/>
    <w:rsid w:val="00FF5FA4"/>
    <w:rsid w:val="00FF6124"/>
    <w:rsid w:val="00FF628A"/>
    <w:rsid w:val="00FF629E"/>
    <w:rsid w:val="00FF6389"/>
    <w:rsid w:val="00FF6520"/>
    <w:rsid w:val="00FF65B1"/>
    <w:rsid w:val="00FF664E"/>
    <w:rsid w:val="00FF673E"/>
    <w:rsid w:val="00FF6769"/>
    <w:rsid w:val="00FF6915"/>
    <w:rsid w:val="00FF6B81"/>
    <w:rsid w:val="00FF6BB9"/>
    <w:rsid w:val="00FF6BF3"/>
    <w:rsid w:val="00FF6BF6"/>
    <w:rsid w:val="00FF6EE4"/>
    <w:rsid w:val="00FF6FF5"/>
    <w:rsid w:val="00FF7202"/>
    <w:rsid w:val="00FF7637"/>
    <w:rsid w:val="00FF785F"/>
    <w:rsid w:val="00FF7BC3"/>
    <w:rsid w:val="00FF7DF4"/>
    <w:rsid w:val="01003380"/>
    <w:rsid w:val="01035164"/>
    <w:rsid w:val="01092ABC"/>
    <w:rsid w:val="010C1E2D"/>
    <w:rsid w:val="010C2A66"/>
    <w:rsid w:val="010C8EC8"/>
    <w:rsid w:val="010E8565"/>
    <w:rsid w:val="010EB3F0"/>
    <w:rsid w:val="01117753"/>
    <w:rsid w:val="01139B52"/>
    <w:rsid w:val="01180205"/>
    <w:rsid w:val="011B27BB"/>
    <w:rsid w:val="011DABC0"/>
    <w:rsid w:val="011FAAAF"/>
    <w:rsid w:val="01288398"/>
    <w:rsid w:val="0128BCE2"/>
    <w:rsid w:val="013874D0"/>
    <w:rsid w:val="0141B1EB"/>
    <w:rsid w:val="01454F96"/>
    <w:rsid w:val="014AE647"/>
    <w:rsid w:val="0154D501"/>
    <w:rsid w:val="01563FD2"/>
    <w:rsid w:val="01593B7B"/>
    <w:rsid w:val="0159E199"/>
    <w:rsid w:val="015B0B79"/>
    <w:rsid w:val="015C39AC"/>
    <w:rsid w:val="016367A5"/>
    <w:rsid w:val="0166BE7E"/>
    <w:rsid w:val="016738FE"/>
    <w:rsid w:val="01767625"/>
    <w:rsid w:val="017EED3C"/>
    <w:rsid w:val="01806CE7"/>
    <w:rsid w:val="018969BB"/>
    <w:rsid w:val="018C25B9"/>
    <w:rsid w:val="018D15FC"/>
    <w:rsid w:val="018F9E32"/>
    <w:rsid w:val="019169DF"/>
    <w:rsid w:val="01947249"/>
    <w:rsid w:val="01962659"/>
    <w:rsid w:val="0197431B"/>
    <w:rsid w:val="019ADD4C"/>
    <w:rsid w:val="019C9D2D"/>
    <w:rsid w:val="019DE919"/>
    <w:rsid w:val="019EB434"/>
    <w:rsid w:val="019EE940"/>
    <w:rsid w:val="01A42425"/>
    <w:rsid w:val="01A7B408"/>
    <w:rsid w:val="01B102DA"/>
    <w:rsid w:val="01B3CD46"/>
    <w:rsid w:val="01B423CE"/>
    <w:rsid w:val="01B571F4"/>
    <w:rsid w:val="01BECAF3"/>
    <w:rsid w:val="01C76DE2"/>
    <w:rsid w:val="01CB2B95"/>
    <w:rsid w:val="01CD0012"/>
    <w:rsid w:val="01D24D3F"/>
    <w:rsid w:val="01D43755"/>
    <w:rsid w:val="01D5641A"/>
    <w:rsid w:val="01DBBF59"/>
    <w:rsid w:val="01DC386F"/>
    <w:rsid w:val="01E45949"/>
    <w:rsid w:val="01EE18B5"/>
    <w:rsid w:val="01F284DD"/>
    <w:rsid w:val="01F2B98F"/>
    <w:rsid w:val="01F9339E"/>
    <w:rsid w:val="01FCE892"/>
    <w:rsid w:val="01FEDA5A"/>
    <w:rsid w:val="02008FFD"/>
    <w:rsid w:val="0206B0DC"/>
    <w:rsid w:val="020E94AC"/>
    <w:rsid w:val="02143E78"/>
    <w:rsid w:val="02146EA2"/>
    <w:rsid w:val="0217CA6D"/>
    <w:rsid w:val="021D03C5"/>
    <w:rsid w:val="021FC0E4"/>
    <w:rsid w:val="02234983"/>
    <w:rsid w:val="02248ABA"/>
    <w:rsid w:val="0226B129"/>
    <w:rsid w:val="023047BA"/>
    <w:rsid w:val="0233E60C"/>
    <w:rsid w:val="0235405A"/>
    <w:rsid w:val="02397560"/>
    <w:rsid w:val="023BB36A"/>
    <w:rsid w:val="023FE4B0"/>
    <w:rsid w:val="0242A53B"/>
    <w:rsid w:val="0244D66C"/>
    <w:rsid w:val="02495596"/>
    <w:rsid w:val="0249AE01"/>
    <w:rsid w:val="024B1D61"/>
    <w:rsid w:val="024C6A6B"/>
    <w:rsid w:val="025549BA"/>
    <w:rsid w:val="025A13D7"/>
    <w:rsid w:val="025ACC25"/>
    <w:rsid w:val="025ACF0D"/>
    <w:rsid w:val="025BC1D6"/>
    <w:rsid w:val="025EB827"/>
    <w:rsid w:val="0261578B"/>
    <w:rsid w:val="02621452"/>
    <w:rsid w:val="0263EFF2"/>
    <w:rsid w:val="02652718"/>
    <w:rsid w:val="02671A39"/>
    <w:rsid w:val="026AD94C"/>
    <w:rsid w:val="026B0F47"/>
    <w:rsid w:val="026DF196"/>
    <w:rsid w:val="026E7173"/>
    <w:rsid w:val="02757B37"/>
    <w:rsid w:val="0278EC9F"/>
    <w:rsid w:val="027ABEEC"/>
    <w:rsid w:val="02800DB3"/>
    <w:rsid w:val="028848BA"/>
    <w:rsid w:val="02891D22"/>
    <w:rsid w:val="029495C8"/>
    <w:rsid w:val="029910A2"/>
    <w:rsid w:val="029AD070"/>
    <w:rsid w:val="029D9520"/>
    <w:rsid w:val="02A9E4F5"/>
    <w:rsid w:val="02AC5A1D"/>
    <w:rsid w:val="02AF1760"/>
    <w:rsid w:val="02B55290"/>
    <w:rsid w:val="02BBB8BA"/>
    <w:rsid w:val="02BC29D5"/>
    <w:rsid w:val="02BC9430"/>
    <w:rsid w:val="02BF7049"/>
    <w:rsid w:val="02CA39CC"/>
    <w:rsid w:val="02CDF18E"/>
    <w:rsid w:val="02D55461"/>
    <w:rsid w:val="02DF678C"/>
    <w:rsid w:val="02E23FA6"/>
    <w:rsid w:val="02E9A32D"/>
    <w:rsid w:val="02E9DD17"/>
    <w:rsid w:val="02EB5CAB"/>
    <w:rsid w:val="02F017F1"/>
    <w:rsid w:val="02F13EB3"/>
    <w:rsid w:val="02F145DF"/>
    <w:rsid w:val="02F1E167"/>
    <w:rsid w:val="02F2BADD"/>
    <w:rsid w:val="02F4EEDA"/>
    <w:rsid w:val="02FA828D"/>
    <w:rsid w:val="02FDAA54"/>
    <w:rsid w:val="02FED70C"/>
    <w:rsid w:val="0301765D"/>
    <w:rsid w:val="030570DF"/>
    <w:rsid w:val="030659B4"/>
    <w:rsid w:val="03072293"/>
    <w:rsid w:val="0309C5B9"/>
    <w:rsid w:val="030A38F7"/>
    <w:rsid w:val="030E130D"/>
    <w:rsid w:val="030FB3BC"/>
    <w:rsid w:val="0314AFB2"/>
    <w:rsid w:val="03166840"/>
    <w:rsid w:val="03189055"/>
    <w:rsid w:val="0318CC61"/>
    <w:rsid w:val="0318D290"/>
    <w:rsid w:val="031CBF59"/>
    <w:rsid w:val="0323600D"/>
    <w:rsid w:val="0328F461"/>
    <w:rsid w:val="032A1CED"/>
    <w:rsid w:val="032AAF7F"/>
    <w:rsid w:val="032B6BB9"/>
    <w:rsid w:val="0333E083"/>
    <w:rsid w:val="0343C3B5"/>
    <w:rsid w:val="03449A66"/>
    <w:rsid w:val="0344E8F1"/>
    <w:rsid w:val="0345A230"/>
    <w:rsid w:val="034B9F37"/>
    <w:rsid w:val="034C61E8"/>
    <w:rsid w:val="035019E6"/>
    <w:rsid w:val="0350FCFA"/>
    <w:rsid w:val="03517526"/>
    <w:rsid w:val="035AE9CB"/>
    <w:rsid w:val="0363670E"/>
    <w:rsid w:val="03646A3E"/>
    <w:rsid w:val="036470E2"/>
    <w:rsid w:val="036484B8"/>
    <w:rsid w:val="0367CA0B"/>
    <w:rsid w:val="036A25A5"/>
    <w:rsid w:val="036FEAAA"/>
    <w:rsid w:val="03702BA4"/>
    <w:rsid w:val="037CBAF3"/>
    <w:rsid w:val="037DD554"/>
    <w:rsid w:val="037F9874"/>
    <w:rsid w:val="0382C0A6"/>
    <w:rsid w:val="03832CF9"/>
    <w:rsid w:val="038806DD"/>
    <w:rsid w:val="038B84C2"/>
    <w:rsid w:val="038BEC9F"/>
    <w:rsid w:val="03911A7D"/>
    <w:rsid w:val="039388E7"/>
    <w:rsid w:val="03981AC5"/>
    <w:rsid w:val="039B6312"/>
    <w:rsid w:val="039FC849"/>
    <w:rsid w:val="03A3615B"/>
    <w:rsid w:val="03A4BCA8"/>
    <w:rsid w:val="03AB490A"/>
    <w:rsid w:val="03AC72E8"/>
    <w:rsid w:val="03B3E7E7"/>
    <w:rsid w:val="03B8B438"/>
    <w:rsid w:val="03B924C7"/>
    <w:rsid w:val="03BE0BCB"/>
    <w:rsid w:val="03BED32F"/>
    <w:rsid w:val="03C12509"/>
    <w:rsid w:val="03C370AB"/>
    <w:rsid w:val="03C42038"/>
    <w:rsid w:val="03C43893"/>
    <w:rsid w:val="03C499E5"/>
    <w:rsid w:val="03C60050"/>
    <w:rsid w:val="03C81A48"/>
    <w:rsid w:val="03C92C44"/>
    <w:rsid w:val="03CBDC1A"/>
    <w:rsid w:val="03D558A0"/>
    <w:rsid w:val="03D77C47"/>
    <w:rsid w:val="03E2AA52"/>
    <w:rsid w:val="03E64AF8"/>
    <w:rsid w:val="03E8A5F3"/>
    <w:rsid w:val="03E8AFD5"/>
    <w:rsid w:val="03E93F8B"/>
    <w:rsid w:val="03E96333"/>
    <w:rsid w:val="03EC0F67"/>
    <w:rsid w:val="03EDFE94"/>
    <w:rsid w:val="03F30CA5"/>
    <w:rsid w:val="03F69F29"/>
    <w:rsid w:val="03F6BF01"/>
    <w:rsid w:val="03F79E7B"/>
    <w:rsid w:val="03F82297"/>
    <w:rsid w:val="040274A8"/>
    <w:rsid w:val="0402F8B5"/>
    <w:rsid w:val="04051D85"/>
    <w:rsid w:val="0406C70F"/>
    <w:rsid w:val="04092183"/>
    <w:rsid w:val="040D2539"/>
    <w:rsid w:val="040DCD81"/>
    <w:rsid w:val="04103784"/>
    <w:rsid w:val="04184C29"/>
    <w:rsid w:val="042155CF"/>
    <w:rsid w:val="0424E1CF"/>
    <w:rsid w:val="042C70C9"/>
    <w:rsid w:val="042EAF1C"/>
    <w:rsid w:val="04318889"/>
    <w:rsid w:val="04364036"/>
    <w:rsid w:val="0440BCA2"/>
    <w:rsid w:val="04412F65"/>
    <w:rsid w:val="044287BF"/>
    <w:rsid w:val="0445AF76"/>
    <w:rsid w:val="0447E36B"/>
    <w:rsid w:val="0450798D"/>
    <w:rsid w:val="0453334E"/>
    <w:rsid w:val="04597DAD"/>
    <w:rsid w:val="04615F8C"/>
    <w:rsid w:val="04663CE4"/>
    <w:rsid w:val="046A5D3B"/>
    <w:rsid w:val="04730E87"/>
    <w:rsid w:val="04739275"/>
    <w:rsid w:val="0475CD77"/>
    <w:rsid w:val="047BDDA0"/>
    <w:rsid w:val="047E92BA"/>
    <w:rsid w:val="047F15C1"/>
    <w:rsid w:val="04825DDD"/>
    <w:rsid w:val="04855BFC"/>
    <w:rsid w:val="0489E3C2"/>
    <w:rsid w:val="048AD1E7"/>
    <w:rsid w:val="0492A7A2"/>
    <w:rsid w:val="0493B06C"/>
    <w:rsid w:val="04963C68"/>
    <w:rsid w:val="049662CC"/>
    <w:rsid w:val="049DCF38"/>
    <w:rsid w:val="049F2502"/>
    <w:rsid w:val="04A32992"/>
    <w:rsid w:val="04A32D59"/>
    <w:rsid w:val="04A72EC2"/>
    <w:rsid w:val="04AA742A"/>
    <w:rsid w:val="04AC32D8"/>
    <w:rsid w:val="04AC34E2"/>
    <w:rsid w:val="04AD794C"/>
    <w:rsid w:val="04B14F54"/>
    <w:rsid w:val="04B184E2"/>
    <w:rsid w:val="04B3C7AE"/>
    <w:rsid w:val="04B49F22"/>
    <w:rsid w:val="04B54FAB"/>
    <w:rsid w:val="04B688F3"/>
    <w:rsid w:val="04B94E36"/>
    <w:rsid w:val="04C5F4E7"/>
    <w:rsid w:val="04CCC372"/>
    <w:rsid w:val="04D7F3B9"/>
    <w:rsid w:val="04D9597E"/>
    <w:rsid w:val="04D9EDCB"/>
    <w:rsid w:val="04E0A105"/>
    <w:rsid w:val="04E1A4A8"/>
    <w:rsid w:val="04E1E648"/>
    <w:rsid w:val="04E6C6CE"/>
    <w:rsid w:val="04E6FD0E"/>
    <w:rsid w:val="04EAACE8"/>
    <w:rsid w:val="04EB1E07"/>
    <w:rsid w:val="04EB79F3"/>
    <w:rsid w:val="04F094BE"/>
    <w:rsid w:val="04F68B2D"/>
    <w:rsid w:val="04F8F2DE"/>
    <w:rsid w:val="04F9F18E"/>
    <w:rsid w:val="04FA8314"/>
    <w:rsid w:val="04FAE9F6"/>
    <w:rsid w:val="050DF8CC"/>
    <w:rsid w:val="05123574"/>
    <w:rsid w:val="05125C9E"/>
    <w:rsid w:val="051AAA74"/>
    <w:rsid w:val="051C30F8"/>
    <w:rsid w:val="051E4EA0"/>
    <w:rsid w:val="05227874"/>
    <w:rsid w:val="0524884E"/>
    <w:rsid w:val="05262A46"/>
    <w:rsid w:val="05277E9B"/>
    <w:rsid w:val="0527A52C"/>
    <w:rsid w:val="052D975E"/>
    <w:rsid w:val="052FEE29"/>
    <w:rsid w:val="05396D7F"/>
    <w:rsid w:val="053DE6EB"/>
    <w:rsid w:val="05414407"/>
    <w:rsid w:val="0544BDD0"/>
    <w:rsid w:val="05472287"/>
    <w:rsid w:val="054B9FE8"/>
    <w:rsid w:val="054ED828"/>
    <w:rsid w:val="054FADC7"/>
    <w:rsid w:val="054FE377"/>
    <w:rsid w:val="055679B8"/>
    <w:rsid w:val="055B2717"/>
    <w:rsid w:val="055F11A9"/>
    <w:rsid w:val="05620EE1"/>
    <w:rsid w:val="05665C56"/>
    <w:rsid w:val="05675F20"/>
    <w:rsid w:val="0568979F"/>
    <w:rsid w:val="056A3305"/>
    <w:rsid w:val="056A862A"/>
    <w:rsid w:val="056BBFD4"/>
    <w:rsid w:val="0570A360"/>
    <w:rsid w:val="058162E7"/>
    <w:rsid w:val="0582D71B"/>
    <w:rsid w:val="058667B6"/>
    <w:rsid w:val="05868B06"/>
    <w:rsid w:val="0586E41D"/>
    <w:rsid w:val="058C5FB0"/>
    <w:rsid w:val="058CA68C"/>
    <w:rsid w:val="05997A77"/>
    <w:rsid w:val="059AC991"/>
    <w:rsid w:val="059E6348"/>
    <w:rsid w:val="05A243C4"/>
    <w:rsid w:val="05A3252D"/>
    <w:rsid w:val="05A90ACE"/>
    <w:rsid w:val="05A981BD"/>
    <w:rsid w:val="05ABDA1B"/>
    <w:rsid w:val="05AE069C"/>
    <w:rsid w:val="05B0498C"/>
    <w:rsid w:val="05B22EC5"/>
    <w:rsid w:val="05B7DAD8"/>
    <w:rsid w:val="05B7E9B5"/>
    <w:rsid w:val="05BB2D51"/>
    <w:rsid w:val="05BD9351"/>
    <w:rsid w:val="05BEC886"/>
    <w:rsid w:val="05BF04B7"/>
    <w:rsid w:val="05BFEFC3"/>
    <w:rsid w:val="05C1F03F"/>
    <w:rsid w:val="05CAD1D0"/>
    <w:rsid w:val="05CF5B9F"/>
    <w:rsid w:val="05D3A249"/>
    <w:rsid w:val="05D79330"/>
    <w:rsid w:val="05DE6471"/>
    <w:rsid w:val="05E7D68E"/>
    <w:rsid w:val="05EA1967"/>
    <w:rsid w:val="05EFF0AC"/>
    <w:rsid w:val="05EFFA83"/>
    <w:rsid w:val="05F22688"/>
    <w:rsid w:val="05FB8895"/>
    <w:rsid w:val="05FE7491"/>
    <w:rsid w:val="06091E91"/>
    <w:rsid w:val="060B23FE"/>
    <w:rsid w:val="060B7FBC"/>
    <w:rsid w:val="060D97F3"/>
    <w:rsid w:val="060FC5DC"/>
    <w:rsid w:val="0610656C"/>
    <w:rsid w:val="0611EF7A"/>
    <w:rsid w:val="0612BBBB"/>
    <w:rsid w:val="061E29E9"/>
    <w:rsid w:val="06250FFD"/>
    <w:rsid w:val="062FC65E"/>
    <w:rsid w:val="062FF249"/>
    <w:rsid w:val="06369494"/>
    <w:rsid w:val="063B08AE"/>
    <w:rsid w:val="063CC87F"/>
    <w:rsid w:val="063EF361"/>
    <w:rsid w:val="06402BE6"/>
    <w:rsid w:val="06468BEB"/>
    <w:rsid w:val="0648FC3E"/>
    <w:rsid w:val="064944BC"/>
    <w:rsid w:val="064D92CF"/>
    <w:rsid w:val="0650CD29"/>
    <w:rsid w:val="065BE32E"/>
    <w:rsid w:val="065C6AC9"/>
    <w:rsid w:val="06640060"/>
    <w:rsid w:val="06696E47"/>
    <w:rsid w:val="066AE7D0"/>
    <w:rsid w:val="066E34A7"/>
    <w:rsid w:val="0670CEBC"/>
    <w:rsid w:val="0673165A"/>
    <w:rsid w:val="06733A26"/>
    <w:rsid w:val="0674A46F"/>
    <w:rsid w:val="0679B4FA"/>
    <w:rsid w:val="067D30F7"/>
    <w:rsid w:val="0680041D"/>
    <w:rsid w:val="06802F6C"/>
    <w:rsid w:val="06826AA5"/>
    <w:rsid w:val="0682E8D8"/>
    <w:rsid w:val="0684215D"/>
    <w:rsid w:val="0686EA48"/>
    <w:rsid w:val="06895C50"/>
    <w:rsid w:val="068DB8FA"/>
    <w:rsid w:val="069470BD"/>
    <w:rsid w:val="0696BBAD"/>
    <w:rsid w:val="06981D65"/>
    <w:rsid w:val="069F194F"/>
    <w:rsid w:val="06A03137"/>
    <w:rsid w:val="06A3BDD8"/>
    <w:rsid w:val="06A536B0"/>
    <w:rsid w:val="06A5CC8B"/>
    <w:rsid w:val="06A9F622"/>
    <w:rsid w:val="06AA7B7B"/>
    <w:rsid w:val="06AE767C"/>
    <w:rsid w:val="06AEB72F"/>
    <w:rsid w:val="06B06E19"/>
    <w:rsid w:val="06B49D8F"/>
    <w:rsid w:val="06B9ABC3"/>
    <w:rsid w:val="06B9F9FD"/>
    <w:rsid w:val="06BBA44D"/>
    <w:rsid w:val="06CC710A"/>
    <w:rsid w:val="06D14E03"/>
    <w:rsid w:val="06D2160B"/>
    <w:rsid w:val="06D44538"/>
    <w:rsid w:val="06DBE3FA"/>
    <w:rsid w:val="06E3E8C6"/>
    <w:rsid w:val="06E42C09"/>
    <w:rsid w:val="06E4DB5C"/>
    <w:rsid w:val="06E62BBB"/>
    <w:rsid w:val="06E6700A"/>
    <w:rsid w:val="06E6C791"/>
    <w:rsid w:val="06E8EC40"/>
    <w:rsid w:val="06F66E14"/>
    <w:rsid w:val="06F7138C"/>
    <w:rsid w:val="06FBEF3E"/>
    <w:rsid w:val="06FD16F3"/>
    <w:rsid w:val="06FD7BCB"/>
    <w:rsid w:val="06FE9671"/>
    <w:rsid w:val="07009F99"/>
    <w:rsid w:val="0709B627"/>
    <w:rsid w:val="070D9A08"/>
    <w:rsid w:val="0716766C"/>
    <w:rsid w:val="0717C3CA"/>
    <w:rsid w:val="0719E27F"/>
    <w:rsid w:val="071EE3E9"/>
    <w:rsid w:val="0722619C"/>
    <w:rsid w:val="0726495C"/>
    <w:rsid w:val="0730DB7C"/>
    <w:rsid w:val="073120D5"/>
    <w:rsid w:val="0731C208"/>
    <w:rsid w:val="0732E5D3"/>
    <w:rsid w:val="0733E945"/>
    <w:rsid w:val="07388914"/>
    <w:rsid w:val="0742F024"/>
    <w:rsid w:val="07438894"/>
    <w:rsid w:val="07463E5C"/>
    <w:rsid w:val="074713C1"/>
    <w:rsid w:val="074BF422"/>
    <w:rsid w:val="074E55D3"/>
    <w:rsid w:val="074ECBD4"/>
    <w:rsid w:val="07500BE2"/>
    <w:rsid w:val="0750D93E"/>
    <w:rsid w:val="07515C4F"/>
    <w:rsid w:val="07546443"/>
    <w:rsid w:val="07571375"/>
    <w:rsid w:val="0759D599"/>
    <w:rsid w:val="075BD976"/>
    <w:rsid w:val="075D65EC"/>
    <w:rsid w:val="075F37F5"/>
    <w:rsid w:val="0760FF90"/>
    <w:rsid w:val="07639E37"/>
    <w:rsid w:val="0764B6ED"/>
    <w:rsid w:val="0769D45A"/>
    <w:rsid w:val="076BAD41"/>
    <w:rsid w:val="076C6E01"/>
    <w:rsid w:val="0771DD94"/>
    <w:rsid w:val="077512F7"/>
    <w:rsid w:val="077B17E1"/>
    <w:rsid w:val="077B8924"/>
    <w:rsid w:val="0781771E"/>
    <w:rsid w:val="0781CE7B"/>
    <w:rsid w:val="078954C6"/>
    <w:rsid w:val="07916E5F"/>
    <w:rsid w:val="079537B6"/>
    <w:rsid w:val="079B165D"/>
    <w:rsid w:val="079C8855"/>
    <w:rsid w:val="079D67CC"/>
    <w:rsid w:val="079EF847"/>
    <w:rsid w:val="07A015B2"/>
    <w:rsid w:val="07A0E859"/>
    <w:rsid w:val="07AD5326"/>
    <w:rsid w:val="07B18988"/>
    <w:rsid w:val="07B1CEE0"/>
    <w:rsid w:val="07B1ED2B"/>
    <w:rsid w:val="07B3E01F"/>
    <w:rsid w:val="07B702F4"/>
    <w:rsid w:val="07BDC2C1"/>
    <w:rsid w:val="07C3373F"/>
    <w:rsid w:val="07CA3811"/>
    <w:rsid w:val="07CB574D"/>
    <w:rsid w:val="07D4B10C"/>
    <w:rsid w:val="07D5B8EB"/>
    <w:rsid w:val="07DAEEE8"/>
    <w:rsid w:val="07DCA596"/>
    <w:rsid w:val="07E01B81"/>
    <w:rsid w:val="07E0FF82"/>
    <w:rsid w:val="07E4875C"/>
    <w:rsid w:val="07E6BA07"/>
    <w:rsid w:val="07E7FAD6"/>
    <w:rsid w:val="07F32593"/>
    <w:rsid w:val="07F5B017"/>
    <w:rsid w:val="07F7D549"/>
    <w:rsid w:val="07FE1696"/>
    <w:rsid w:val="080643F3"/>
    <w:rsid w:val="080C73E3"/>
    <w:rsid w:val="08109CE1"/>
    <w:rsid w:val="081669D7"/>
    <w:rsid w:val="081AD271"/>
    <w:rsid w:val="081DD1CE"/>
    <w:rsid w:val="081E3731"/>
    <w:rsid w:val="0821A400"/>
    <w:rsid w:val="08278B61"/>
    <w:rsid w:val="082BFB82"/>
    <w:rsid w:val="08300571"/>
    <w:rsid w:val="08335B7D"/>
    <w:rsid w:val="08346702"/>
    <w:rsid w:val="084069CC"/>
    <w:rsid w:val="08415FCB"/>
    <w:rsid w:val="08427B92"/>
    <w:rsid w:val="0847DFF1"/>
    <w:rsid w:val="084F1639"/>
    <w:rsid w:val="0854B4F1"/>
    <w:rsid w:val="08564A12"/>
    <w:rsid w:val="08571A66"/>
    <w:rsid w:val="085BCC1E"/>
    <w:rsid w:val="085C18D4"/>
    <w:rsid w:val="085F91C5"/>
    <w:rsid w:val="0866FBFA"/>
    <w:rsid w:val="0868C8EC"/>
    <w:rsid w:val="086AF2C4"/>
    <w:rsid w:val="086E44DB"/>
    <w:rsid w:val="08701918"/>
    <w:rsid w:val="087034BA"/>
    <w:rsid w:val="087A93E0"/>
    <w:rsid w:val="087F5C3D"/>
    <w:rsid w:val="087FB1E7"/>
    <w:rsid w:val="087FBDFC"/>
    <w:rsid w:val="08827D93"/>
    <w:rsid w:val="0882EA48"/>
    <w:rsid w:val="0884CF4E"/>
    <w:rsid w:val="088A019B"/>
    <w:rsid w:val="088AD93B"/>
    <w:rsid w:val="088B427A"/>
    <w:rsid w:val="088E2CE4"/>
    <w:rsid w:val="088F0CE3"/>
    <w:rsid w:val="08956B2F"/>
    <w:rsid w:val="089CC46C"/>
    <w:rsid w:val="08A108B4"/>
    <w:rsid w:val="08A6472E"/>
    <w:rsid w:val="08B2DFDC"/>
    <w:rsid w:val="08B55D71"/>
    <w:rsid w:val="08B6F86C"/>
    <w:rsid w:val="08B996A1"/>
    <w:rsid w:val="08BC8185"/>
    <w:rsid w:val="08BE37E7"/>
    <w:rsid w:val="08C050DA"/>
    <w:rsid w:val="08C06575"/>
    <w:rsid w:val="08C68ACB"/>
    <w:rsid w:val="08C84AB5"/>
    <w:rsid w:val="08CA5A3F"/>
    <w:rsid w:val="08CEE61C"/>
    <w:rsid w:val="08D27F39"/>
    <w:rsid w:val="08D3002E"/>
    <w:rsid w:val="08D509CF"/>
    <w:rsid w:val="08D5697A"/>
    <w:rsid w:val="08D9EA3A"/>
    <w:rsid w:val="08DC15E7"/>
    <w:rsid w:val="08E28D5F"/>
    <w:rsid w:val="08E69545"/>
    <w:rsid w:val="08E93B65"/>
    <w:rsid w:val="08EF0375"/>
    <w:rsid w:val="08EFDA8F"/>
    <w:rsid w:val="08F05E12"/>
    <w:rsid w:val="08F5133D"/>
    <w:rsid w:val="08F81EDB"/>
    <w:rsid w:val="08FC69B6"/>
    <w:rsid w:val="08FDE710"/>
    <w:rsid w:val="09060CE6"/>
    <w:rsid w:val="09068BD4"/>
    <w:rsid w:val="09075759"/>
    <w:rsid w:val="09081F84"/>
    <w:rsid w:val="0909FF02"/>
    <w:rsid w:val="090EF52B"/>
    <w:rsid w:val="090F4216"/>
    <w:rsid w:val="091F96A0"/>
    <w:rsid w:val="0928E013"/>
    <w:rsid w:val="09294F36"/>
    <w:rsid w:val="092B4870"/>
    <w:rsid w:val="09373641"/>
    <w:rsid w:val="09398F64"/>
    <w:rsid w:val="093B306B"/>
    <w:rsid w:val="093CD249"/>
    <w:rsid w:val="093E938D"/>
    <w:rsid w:val="093EAD93"/>
    <w:rsid w:val="094230E1"/>
    <w:rsid w:val="094A507B"/>
    <w:rsid w:val="094C119E"/>
    <w:rsid w:val="094E77A8"/>
    <w:rsid w:val="09504739"/>
    <w:rsid w:val="095275F0"/>
    <w:rsid w:val="095B92CF"/>
    <w:rsid w:val="095BE604"/>
    <w:rsid w:val="095DA614"/>
    <w:rsid w:val="095E658F"/>
    <w:rsid w:val="095E9053"/>
    <w:rsid w:val="095EB855"/>
    <w:rsid w:val="0960AFF5"/>
    <w:rsid w:val="096188DC"/>
    <w:rsid w:val="09677E59"/>
    <w:rsid w:val="096A0921"/>
    <w:rsid w:val="096AD725"/>
    <w:rsid w:val="096B9E77"/>
    <w:rsid w:val="096F3EBE"/>
    <w:rsid w:val="09798395"/>
    <w:rsid w:val="097B20DA"/>
    <w:rsid w:val="097E3C22"/>
    <w:rsid w:val="09802534"/>
    <w:rsid w:val="098173FE"/>
    <w:rsid w:val="0983FE6F"/>
    <w:rsid w:val="098729BC"/>
    <w:rsid w:val="09875381"/>
    <w:rsid w:val="098B47BE"/>
    <w:rsid w:val="098DC524"/>
    <w:rsid w:val="09928D87"/>
    <w:rsid w:val="0992BD36"/>
    <w:rsid w:val="09978999"/>
    <w:rsid w:val="099A36F9"/>
    <w:rsid w:val="099A3875"/>
    <w:rsid w:val="099C9FFE"/>
    <w:rsid w:val="099DBBD7"/>
    <w:rsid w:val="09A1B36A"/>
    <w:rsid w:val="09A38AD8"/>
    <w:rsid w:val="09A680F2"/>
    <w:rsid w:val="09AD40AC"/>
    <w:rsid w:val="09B02D08"/>
    <w:rsid w:val="09B3E1B0"/>
    <w:rsid w:val="09B7598F"/>
    <w:rsid w:val="09B97E98"/>
    <w:rsid w:val="09C53494"/>
    <w:rsid w:val="09CA93A4"/>
    <w:rsid w:val="09CD3139"/>
    <w:rsid w:val="09DA0C96"/>
    <w:rsid w:val="09DA6A02"/>
    <w:rsid w:val="09E2169A"/>
    <w:rsid w:val="09F1BAAA"/>
    <w:rsid w:val="09F5588F"/>
    <w:rsid w:val="09F681E2"/>
    <w:rsid w:val="09F98811"/>
    <w:rsid w:val="09FA7686"/>
    <w:rsid w:val="09FADB23"/>
    <w:rsid w:val="09FFF17C"/>
    <w:rsid w:val="0A04D1C1"/>
    <w:rsid w:val="0A05D3FC"/>
    <w:rsid w:val="0A07A2EF"/>
    <w:rsid w:val="0A0CEF82"/>
    <w:rsid w:val="0A13E904"/>
    <w:rsid w:val="0A19D5B6"/>
    <w:rsid w:val="0A1E41B8"/>
    <w:rsid w:val="0A20F256"/>
    <w:rsid w:val="0A264C3C"/>
    <w:rsid w:val="0A27258B"/>
    <w:rsid w:val="0A299906"/>
    <w:rsid w:val="0A2F5C91"/>
    <w:rsid w:val="0A2FB4F6"/>
    <w:rsid w:val="0A339A9D"/>
    <w:rsid w:val="0A37DA7C"/>
    <w:rsid w:val="0A398FA9"/>
    <w:rsid w:val="0A472ECC"/>
    <w:rsid w:val="0A491B00"/>
    <w:rsid w:val="0A4B2170"/>
    <w:rsid w:val="0A4E3855"/>
    <w:rsid w:val="0A50BA9D"/>
    <w:rsid w:val="0A53061D"/>
    <w:rsid w:val="0A575593"/>
    <w:rsid w:val="0A5B17E0"/>
    <w:rsid w:val="0A5BAFF5"/>
    <w:rsid w:val="0A5E8346"/>
    <w:rsid w:val="0A63865C"/>
    <w:rsid w:val="0A65FD58"/>
    <w:rsid w:val="0A68E6FA"/>
    <w:rsid w:val="0A6EFF4A"/>
    <w:rsid w:val="0A7211D3"/>
    <w:rsid w:val="0A77858E"/>
    <w:rsid w:val="0A78E580"/>
    <w:rsid w:val="0A7A3E2E"/>
    <w:rsid w:val="0A7AED2C"/>
    <w:rsid w:val="0A80423B"/>
    <w:rsid w:val="0A859E1B"/>
    <w:rsid w:val="0A8C7551"/>
    <w:rsid w:val="0A8C84A2"/>
    <w:rsid w:val="0A94A39C"/>
    <w:rsid w:val="0AA062CC"/>
    <w:rsid w:val="0AB443AE"/>
    <w:rsid w:val="0AC69C36"/>
    <w:rsid w:val="0AC8F557"/>
    <w:rsid w:val="0ACF96CD"/>
    <w:rsid w:val="0AD6BDF3"/>
    <w:rsid w:val="0AD6D76E"/>
    <w:rsid w:val="0AD91287"/>
    <w:rsid w:val="0AE2E195"/>
    <w:rsid w:val="0AE90C71"/>
    <w:rsid w:val="0AF9E3A5"/>
    <w:rsid w:val="0AFD412A"/>
    <w:rsid w:val="0AFD54B9"/>
    <w:rsid w:val="0AFFEAAE"/>
    <w:rsid w:val="0B019F35"/>
    <w:rsid w:val="0B07E5A1"/>
    <w:rsid w:val="0B0858E0"/>
    <w:rsid w:val="0B104996"/>
    <w:rsid w:val="0B11C1D4"/>
    <w:rsid w:val="0B1696D2"/>
    <w:rsid w:val="0B17ADB9"/>
    <w:rsid w:val="0B19C0F3"/>
    <w:rsid w:val="0B21498E"/>
    <w:rsid w:val="0B24C817"/>
    <w:rsid w:val="0B255B5E"/>
    <w:rsid w:val="0B32709C"/>
    <w:rsid w:val="0B32D759"/>
    <w:rsid w:val="0B33F30B"/>
    <w:rsid w:val="0B3ACE6C"/>
    <w:rsid w:val="0B3B9541"/>
    <w:rsid w:val="0B406ADF"/>
    <w:rsid w:val="0B4116CE"/>
    <w:rsid w:val="0B455C7E"/>
    <w:rsid w:val="0B492DB2"/>
    <w:rsid w:val="0B540ECE"/>
    <w:rsid w:val="0B560797"/>
    <w:rsid w:val="0B581113"/>
    <w:rsid w:val="0B5986A2"/>
    <w:rsid w:val="0B5ABF49"/>
    <w:rsid w:val="0B5CDDF1"/>
    <w:rsid w:val="0B6044BA"/>
    <w:rsid w:val="0B659B94"/>
    <w:rsid w:val="0B66796E"/>
    <w:rsid w:val="0B67996A"/>
    <w:rsid w:val="0B6B37A9"/>
    <w:rsid w:val="0B6D18D7"/>
    <w:rsid w:val="0B6D4234"/>
    <w:rsid w:val="0B6D48BF"/>
    <w:rsid w:val="0B6D918A"/>
    <w:rsid w:val="0B777963"/>
    <w:rsid w:val="0B7E8196"/>
    <w:rsid w:val="0B7F97EA"/>
    <w:rsid w:val="0B802EA3"/>
    <w:rsid w:val="0B89E435"/>
    <w:rsid w:val="0B8D2BD3"/>
    <w:rsid w:val="0B8F5714"/>
    <w:rsid w:val="0B949830"/>
    <w:rsid w:val="0B94F105"/>
    <w:rsid w:val="0B95FD31"/>
    <w:rsid w:val="0BABB33F"/>
    <w:rsid w:val="0BAD1E7D"/>
    <w:rsid w:val="0BB13B4C"/>
    <w:rsid w:val="0BB3948D"/>
    <w:rsid w:val="0BB683E9"/>
    <w:rsid w:val="0BB91774"/>
    <w:rsid w:val="0BB962C7"/>
    <w:rsid w:val="0BBD3627"/>
    <w:rsid w:val="0BBEB677"/>
    <w:rsid w:val="0BC06818"/>
    <w:rsid w:val="0BC2FE98"/>
    <w:rsid w:val="0BC3D7F7"/>
    <w:rsid w:val="0BC3F41F"/>
    <w:rsid w:val="0BC744DC"/>
    <w:rsid w:val="0BCB46C3"/>
    <w:rsid w:val="0BD685AE"/>
    <w:rsid w:val="0BD9B41E"/>
    <w:rsid w:val="0BDDB34E"/>
    <w:rsid w:val="0BDDB866"/>
    <w:rsid w:val="0BE290D6"/>
    <w:rsid w:val="0BE49B55"/>
    <w:rsid w:val="0BE74CD9"/>
    <w:rsid w:val="0BEA4285"/>
    <w:rsid w:val="0BEC2F96"/>
    <w:rsid w:val="0BEFB1DA"/>
    <w:rsid w:val="0BF0BB2F"/>
    <w:rsid w:val="0BF1D543"/>
    <w:rsid w:val="0BF4F7B7"/>
    <w:rsid w:val="0BF4FC82"/>
    <w:rsid w:val="0BFA1BA7"/>
    <w:rsid w:val="0BFB36D2"/>
    <w:rsid w:val="0C006A83"/>
    <w:rsid w:val="0C046C95"/>
    <w:rsid w:val="0C08B4B4"/>
    <w:rsid w:val="0C08D014"/>
    <w:rsid w:val="0C0AFBCC"/>
    <w:rsid w:val="0C0D7C04"/>
    <w:rsid w:val="0C110767"/>
    <w:rsid w:val="0C11384E"/>
    <w:rsid w:val="0C1C2EF8"/>
    <w:rsid w:val="0C1D960E"/>
    <w:rsid w:val="0C23AFB3"/>
    <w:rsid w:val="0C2556B5"/>
    <w:rsid w:val="0C334CC2"/>
    <w:rsid w:val="0C3575A2"/>
    <w:rsid w:val="0C390DC9"/>
    <w:rsid w:val="0C3BD168"/>
    <w:rsid w:val="0C3C6453"/>
    <w:rsid w:val="0C3D05BC"/>
    <w:rsid w:val="0C409597"/>
    <w:rsid w:val="0C4456D4"/>
    <w:rsid w:val="0C4E6C67"/>
    <w:rsid w:val="0C4FD3A0"/>
    <w:rsid w:val="0C5740C2"/>
    <w:rsid w:val="0C5AF9B4"/>
    <w:rsid w:val="0C62B9CB"/>
    <w:rsid w:val="0C634B92"/>
    <w:rsid w:val="0C63F024"/>
    <w:rsid w:val="0C64BA9F"/>
    <w:rsid w:val="0C69B02B"/>
    <w:rsid w:val="0C6A2229"/>
    <w:rsid w:val="0C6BBD5F"/>
    <w:rsid w:val="0C6E775F"/>
    <w:rsid w:val="0C76950F"/>
    <w:rsid w:val="0C7B643B"/>
    <w:rsid w:val="0C7B8296"/>
    <w:rsid w:val="0C7D8E23"/>
    <w:rsid w:val="0C80AE97"/>
    <w:rsid w:val="0C869491"/>
    <w:rsid w:val="0C872B5A"/>
    <w:rsid w:val="0C880668"/>
    <w:rsid w:val="0C884FAF"/>
    <w:rsid w:val="0C897F1F"/>
    <w:rsid w:val="0C8D4BC0"/>
    <w:rsid w:val="0C8E77DD"/>
    <w:rsid w:val="0C9241DB"/>
    <w:rsid w:val="0C92CA74"/>
    <w:rsid w:val="0C956020"/>
    <w:rsid w:val="0C9D89AD"/>
    <w:rsid w:val="0CA5AD49"/>
    <w:rsid w:val="0CAAAE1C"/>
    <w:rsid w:val="0CB39197"/>
    <w:rsid w:val="0CB6CF04"/>
    <w:rsid w:val="0CBC4D50"/>
    <w:rsid w:val="0CBCC112"/>
    <w:rsid w:val="0CC360E6"/>
    <w:rsid w:val="0CC3A14F"/>
    <w:rsid w:val="0CC4EF26"/>
    <w:rsid w:val="0CCBE32F"/>
    <w:rsid w:val="0CD6F1A5"/>
    <w:rsid w:val="0CDB4515"/>
    <w:rsid w:val="0CDCFC76"/>
    <w:rsid w:val="0CE3DCF1"/>
    <w:rsid w:val="0CE74363"/>
    <w:rsid w:val="0CEB53EC"/>
    <w:rsid w:val="0CF4553C"/>
    <w:rsid w:val="0CF712E5"/>
    <w:rsid w:val="0CFA46C0"/>
    <w:rsid w:val="0D0A16A0"/>
    <w:rsid w:val="0D0D308D"/>
    <w:rsid w:val="0D0DB2C8"/>
    <w:rsid w:val="0D0DBF0F"/>
    <w:rsid w:val="0D11869F"/>
    <w:rsid w:val="0D11BA94"/>
    <w:rsid w:val="0D1A8D6F"/>
    <w:rsid w:val="0D1EAC2A"/>
    <w:rsid w:val="0D1EEF0C"/>
    <w:rsid w:val="0D2235EA"/>
    <w:rsid w:val="0D2AFA21"/>
    <w:rsid w:val="0D314EAB"/>
    <w:rsid w:val="0D343D63"/>
    <w:rsid w:val="0D3479C1"/>
    <w:rsid w:val="0D34C37C"/>
    <w:rsid w:val="0D3974FD"/>
    <w:rsid w:val="0D3E61C4"/>
    <w:rsid w:val="0D3FF31A"/>
    <w:rsid w:val="0D42DF41"/>
    <w:rsid w:val="0D4A0A1C"/>
    <w:rsid w:val="0D4C7E5E"/>
    <w:rsid w:val="0D4CCD60"/>
    <w:rsid w:val="0D5673C1"/>
    <w:rsid w:val="0D5736DA"/>
    <w:rsid w:val="0D59A26E"/>
    <w:rsid w:val="0D5A15D8"/>
    <w:rsid w:val="0D5B852D"/>
    <w:rsid w:val="0D60FB6D"/>
    <w:rsid w:val="0D6B4D6F"/>
    <w:rsid w:val="0D71C89B"/>
    <w:rsid w:val="0D78A758"/>
    <w:rsid w:val="0D7A0234"/>
    <w:rsid w:val="0D7DC651"/>
    <w:rsid w:val="0D841AF3"/>
    <w:rsid w:val="0D841BF5"/>
    <w:rsid w:val="0D889597"/>
    <w:rsid w:val="0D8A2BF4"/>
    <w:rsid w:val="0D8CA382"/>
    <w:rsid w:val="0D937EFB"/>
    <w:rsid w:val="0D94127F"/>
    <w:rsid w:val="0D99CBCC"/>
    <w:rsid w:val="0DA6E485"/>
    <w:rsid w:val="0DAC9D7D"/>
    <w:rsid w:val="0DAD830C"/>
    <w:rsid w:val="0DB09023"/>
    <w:rsid w:val="0DB2AEE5"/>
    <w:rsid w:val="0DB377AB"/>
    <w:rsid w:val="0DBAC8EE"/>
    <w:rsid w:val="0DC1A70A"/>
    <w:rsid w:val="0DC1ABD4"/>
    <w:rsid w:val="0DC57507"/>
    <w:rsid w:val="0DC77FEA"/>
    <w:rsid w:val="0DC89F47"/>
    <w:rsid w:val="0DCA8260"/>
    <w:rsid w:val="0DD03B6C"/>
    <w:rsid w:val="0DD60855"/>
    <w:rsid w:val="0DD82320"/>
    <w:rsid w:val="0DDB24F7"/>
    <w:rsid w:val="0DDD8CB7"/>
    <w:rsid w:val="0DE099E8"/>
    <w:rsid w:val="0DE45A3F"/>
    <w:rsid w:val="0DE689DE"/>
    <w:rsid w:val="0DE746C7"/>
    <w:rsid w:val="0DE76DF4"/>
    <w:rsid w:val="0DEA4EEE"/>
    <w:rsid w:val="0DEB262A"/>
    <w:rsid w:val="0DEBFBB8"/>
    <w:rsid w:val="0DECE268"/>
    <w:rsid w:val="0DEE4A5A"/>
    <w:rsid w:val="0DEFB5D2"/>
    <w:rsid w:val="0DF1CA59"/>
    <w:rsid w:val="0DF20F4B"/>
    <w:rsid w:val="0DF2C097"/>
    <w:rsid w:val="0DF75317"/>
    <w:rsid w:val="0DF8A5C8"/>
    <w:rsid w:val="0DFC2E9E"/>
    <w:rsid w:val="0DFE16B0"/>
    <w:rsid w:val="0E00430D"/>
    <w:rsid w:val="0E02C59A"/>
    <w:rsid w:val="0E0C3F66"/>
    <w:rsid w:val="0E0C77BC"/>
    <w:rsid w:val="0E14719A"/>
    <w:rsid w:val="0E14B0F2"/>
    <w:rsid w:val="0E181DB5"/>
    <w:rsid w:val="0E209C26"/>
    <w:rsid w:val="0E24089C"/>
    <w:rsid w:val="0E24881C"/>
    <w:rsid w:val="0E27EA1F"/>
    <w:rsid w:val="0E2FA699"/>
    <w:rsid w:val="0E2FCA32"/>
    <w:rsid w:val="0E329455"/>
    <w:rsid w:val="0E36CE78"/>
    <w:rsid w:val="0E38054B"/>
    <w:rsid w:val="0E4CFDC9"/>
    <w:rsid w:val="0E525F4E"/>
    <w:rsid w:val="0E58BF05"/>
    <w:rsid w:val="0E5CE8BD"/>
    <w:rsid w:val="0E5DB7A4"/>
    <w:rsid w:val="0E5DFD1E"/>
    <w:rsid w:val="0E62885C"/>
    <w:rsid w:val="0E68C3BF"/>
    <w:rsid w:val="0E6F69EE"/>
    <w:rsid w:val="0E6FDC34"/>
    <w:rsid w:val="0E713B12"/>
    <w:rsid w:val="0E735803"/>
    <w:rsid w:val="0E7B4F48"/>
    <w:rsid w:val="0E7EA6E7"/>
    <w:rsid w:val="0E8818BE"/>
    <w:rsid w:val="0E88CD52"/>
    <w:rsid w:val="0E894500"/>
    <w:rsid w:val="0E8A4896"/>
    <w:rsid w:val="0E8AAD1E"/>
    <w:rsid w:val="0E8C7CA9"/>
    <w:rsid w:val="0E975FB3"/>
    <w:rsid w:val="0E9D7E04"/>
    <w:rsid w:val="0EA564EF"/>
    <w:rsid w:val="0EA715BE"/>
    <w:rsid w:val="0EAD9E0E"/>
    <w:rsid w:val="0EADAE4D"/>
    <w:rsid w:val="0EB3A014"/>
    <w:rsid w:val="0EB7FA38"/>
    <w:rsid w:val="0EB83FCD"/>
    <w:rsid w:val="0EB85ABB"/>
    <w:rsid w:val="0EB9977A"/>
    <w:rsid w:val="0EBA24FC"/>
    <w:rsid w:val="0EBB6ABE"/>
    <w:rsid w:val="0EBF3ABB"/>
    <w:rsid w:val="0EBF59CD"/>
    <w:rsid w:val="0EC1C73F"/>
    <w:rsid w:val="0ECC230B"/>
    <w:rsid w:val="0ECE80C0"/>
    <w:rsid w:val="0ECFFE29"/>
    <w:rsid w:val="0ED0234A"/>
    <w:rsid w:val="0ED1C422"/>
    <w:rsid w:val="0ED1D4D6"/>
    <w:rsid w:val="0ED37E3E"/>
    <w:rsid w:val="0ED58E83"/>
    <w:rsid w:val="0EDC0F1F"/>
    <w:rsid w:val="0EE16920"/>
    <w:rsid w:val="0EE78DBF"/>
    <w:rsid w:val="0EE90DC8"/>
    <w:rsid w:val="0EE9F32C"/>
    <w:rsid w:val="0EEF6FE0"/>
    <w:rsid w:val="0EF209DB"/>
    <w:rsid w:val="0EF2B193"/>
    <w:rsid w:val="0EFC405B"/>
    <w:rsid w:val="0F0386FF"/>
    <w:rsid w:val="0F05C284"/>
    <w:rsid w:val="0F08D20B"/>
    <w:rsid w:val="0F08F2D8"/>
    <w:rsid w:val="0F0A3518"/>
    <w:rsid w:val="0F0ABE33"/>
    <w:rsid w:val="0F0D6E11"/>
    <w:rsid w:val="0F15CF3B"/>
    <w:rsid w:val="0F174A98"/>
    <w:rsid w:val="0F1DE2BC"/>
    <w:rsid w:val="0F1EB0EE"/>
    <w:rsid w:val="0F1F3F25"/>
    <w:rsid w:val="0F2012C4"/>
    <w:rsid w:val="0F2086F8"/>
    <w:rsid w:val="0F21D3BB"/>
    <w:rsid w:val="0F25471B"/>
    <w:rsid w:val="0F287344"/>
    <w:rsid w:val="0F2A8F04"/>
    <w:rsid w:val="0F2FC2B0"/>
    <w:rsid w:val="0F398284"/>
    <w:rsid w:val="0F3CE62B"/>
    <w:rsid w:val="0F3DE1A7"/>
    <w:rsid w:val="0F4363FD"/>
    <w:rsid w:val="0F49E3C2"/>
    <w:rsid w:val="0F4ABB80"/>
    <w:rsid w:val="0F4FAFE7"/>
    <w:rsid w:val="0F51EBA5"/>
    <w:rsid w:val="0F53E7EB"/>
    <w:rsid w:val="0F554AF1"/>
    <w:rsid w:val="0F56FD7E"/>
    <w:rsid w:val="0F5C8529"/>
    <w:rsid w:val="0F5E9839"/>
    <w:rsid w:val="0F624626"/>
    <w:rsid w:val="0F6364BA"/>
    <w:rsid w:val="0F689D50"/>
    <w:rsid w:val="0F6B716A"/>
    <w:rsid w:val="0F6BEECE"/>
    <w:rsid w:val="0F6C5279"/>
    <w:rsid w:val="0F6DBBA5"/>
    <w:rsid w:val="0F6EDAB3"/>
    <w:rsid w:val="0F707129"/>
    <w:rsid w:val="0F752BA5"/>
    <w:rsid w:val="0F75A4AC"/>
    <w:rsid w:val="0F75A565"/>
    <w:rsid w:val="0F7705E9"/>
    <w:rsid w:val="0F781BBF"/>
    <w:rsid w:val="0F7A1ED6"/>
    <w:rsid w:val="0F7B6A2C"/>
    <w:rsid w:val="0F7C9050"/>
    <w:rsid w:val="0F7F6605"/>
    <w:rsid w:val="0F816F7E"/>
    <w:rsid w:val="0F86227F"/>
    <w:rsid w:val="0F874F43"/>
    <w:rsid w:val="0F885875"/>
    <w:rsid w:val="0F8B7ACD"/>
    <w:rsid w:val="0F8E97D7"/>
    <w:rsid w:val="0F9187FC"/>
    <w:rsid w:val="0F92B362"/>
    <w:rsid w:val="0F99FDC5"/>
    <w:rsid w:val="0F9AD1F9"/>
    <w:rsid w:val="0F9C3AC5"/>
    <w:rsid w:val="0F9CDD70"/>
    <w:rsid w:val="0F9E130E"/>
    <w:rsid w:val="0F9EA665"/>
    <w:rsid w:val="0FA4AFB9"/>
    <w:rsid w:val="0FA93542"/>
    <w:rsid w:val="0FA9C8E4"/>
    <w:rsid w:val="0FB0C0DF"/>
    <w:rsid w:val="0FB262EC"/>
    <w:rsid w:val="0FB46CC1"/>
    <w:rsid w:val="0FB4E6F6"/>
    <w:rsid w:val="0FB5AB44"/>
    <w:rsid w:val="0FB85D28"/>
    <w:rsid w:val="0FB90A9A"/>
    <w:rsid w:val="0FC1CCF7"/>
    <w:rsid w:val="0FC4FD8B"/>
    <w:rsid w:val="0FD9DE2C"/>
    <w:rsid w:val="0FE273B7"/>
    <w:rsid w:val="0FE2EE73"/>
    <w:rsid w:val="0FE4FCB7"/>
    <w:rsid w:val="0FE8579D"/>
    <w:rsid w:val="0FEA4EBB"/>
    <w:rsid w:val="0FEDB23F"/>
    <w:rsid w:val="0FF3139F"/>
    <w:rsid w:val="0FF39883"/>
    <w:rsid w:val="0FF59EE2"/>
    <w:rsid w:val="0FF681D7"/>
    <w:rsid w:val="0FF69566"/>
    <w:rsid w:val="0FF6B9FF"/>
    <w:rsid w:val="0FFB9092"/>
    <w:rsid w:val="0FFB98B4"/>
    <w:rsid w:val="0FFC0E44"/>
    <w:rsid w:val="10026067"/>
    <w:rsid w:val="100291CC"/>
    <w:rsid w:val="10067EF0"/>
    <w:rsid w:val="10088377"/>
    <w:rsid w:val="100B48DA"/>
    <w:rsid w:val="100DF98D"/>
    <w:rsid w:val="1013515E"/>
    <w:rsid w:val="1014180B"/>
    <w:rsid w:val="10237BC6"/>
    <w:rsid w:val="102384DD"/>
    <w:rsid w:val="1023B437"/>
    <w:rsid w:val="1024C2B2"/>
    <w:rsid w:val="10282115"/>
    <w:rsid w:val="102A3BBF"/>
    <w:rsid w:val="102D5873"/>
    <w:rsid w:val="102E7672"/>
    <w:rsid w:val="102F838F"/>
    <w:rsid w:val="10321B8B"/>
    <w:rsid w:val="103236C3"/>
    <w:rsid w:val="103656B5"/>
    <w:rsid w:val="1037D721"/>
    <w:rsid w:val="10400F85"/>
    <w:rsid w:val="1041EFF4"/>
    <w:rsid w:val="1043CC70"/>
    <w:rsid w:val="1047FF2E"/>
    <w:rsid w:val="1048381A"/>
    <w:rsid w:val="10499B91"/>
    <w:rsid w:val="104BD283"/>
    <w:rsid w:val="104CDD25"/>
    <w:rsid w:val="104EF6DC"/>
    <w:rsid w:val="1051B61E"/>
    <w:rsid w:val="1051EC28"/>
    <w:rsid w:val="10523C2A"/>
    <w:rsid w:val="105583CF"/>
    <w:rsid w:val="1055E937"/>
    <w:rsid w:val="105963EE"/>
    <w:rsid w:val="105B7A63"/>
    <w:rsid w:val="10616C7D"/>
    <w:rsid w:val="10634067"/>
    <w:rsid w:val="1064C818"/>
    <w:rsid w:val="10654E23"/>
    <w:rsid w:val="1066A5CB"/>
    <w:rsid w:val="106A8647"/>
    <w:rsid w:val="106AC226"/>
    <w:rsid w:val="106E5C3A"/>
    <w:rsid w:val="106FDE54"/>
    <w:rsid w:val="1076905E"/>
    <w:rsid w:val="107A31C6"/>
    <w:rsid w:val="1084689E"/>
    <w:rsid w:val="1085556A"/>
    <w:rsid w:val="1087D39F"/>
    <w:rsid w:val="108972FF"/>
    <w:rsid w:val="108A4BE7"/>
    <w:rsid w:val="108FCFB0"/>
    <w:rsid w:val="1094C6CE"/>
    <w:rsid w:val="10970116"/>
    <w:rsid w:val="1098CA0C"/>
    <w:rsid w:val="109EF858"/>
    <w:rsid w:val="10A26006"/>
    <w:rsid w:val="10A40EBB"/>
    <w:rsid w:val="10A68BF2"/>
    <w:rsid w:val="10A9A658"/>
    <w:rsid w:val="10A9F0F9"/>
    <w:rsid w:val="10AACE90"/>
    <w:rsid w:val="10AF85D7"/>
    <w:rsid w:val="10B685C0"/>
    <w:rsid w:val="10BA7C5B"/>
    <w:rsid w:val="10BFF487"/>
    <w:rsid w:val="10C0520E"/>
    <w:rsid w:val="10C18068"/>
    <w:rsid w:val="10C1DC54"/>
    <w:rsid w:val="10C37C6F"/>
    <w:rsid w:val="10C4C1CD"/>
    <w:rsid w:val="10C93F84"/>
    <w:rsid w:val="10D33086"/>
    <w:rsid w:val="10D472B4"/>
    <w:rsid w:val="10E46CE9"/>
    <w:rsid w:val="10E6BDA5"/>
    <w:rsid w:val="10E8FC61"/>
    <w:rsid w:val="10F0FA4C"/>
    <w:rsid w:val="10F1CAED"/>
    <w:rsid w:val="10F3ACEF"/>
    <w:rsid w:val="11099678"/>
    <w:rsid w:val="111585CB"/>
    <w:rsid w:val="11190CF0"/>
    <w:rsid w:val="111A92C7"/>
    <w:rsid w:val="111DA377"/>
    <w:rsid w:val="1124B7F4"/>
    <w:rsid w:val="112DA6A7"/>
    <w:rsid w:val="11370780"/>
    <w:rsid w:val="1137A1D8"/>
    <w:rsid w:val="1137F1E7"/>
    <w:rsid w:val="11381B53"/>
    <w:rsid w:val="113A5036"/>
    <w:rsid w:val="113C901A"/>
    <w:rsid w:val="113CBAEC"/>
    <w:rsid w:val="1140A0DB"/>
    <w:rsid w:val="1143A894"/>
    <w:rsid w:val="1143D256"/>
    <w:rsid w:val="1147AE36"/>
    <w:rsid w:val="11498907"/>
    <w:rsid w:val="114B1CE8"/>
    <w:rsid w:val="114C9D74"/>
    <w:rsid w:val="1151414F"/>
    <w:rsid w:val="1151BA0F"/>
    <w:rsid w:val="115283A5"/>
    <w:rsid w:val="11550E09"/>
    <w:rsid w:val="115550CB"/>
    <w:rsid w:val="115E9B42"/>
    <w:rsid w:val="11627983"/>
    <w:rsid w:val="116896B1"/>
    <w:rsid w:val="116A7E02"/>
    <w:rsid w:val="11745A84"/>
    <w:rsid w:val="1174938A"/>
    <w:rsid w:val="1175C536"/>
    <w:rsid w:val="11761437"/>
    <w:rsid w:val="11765E68"/>
    <w:rsid w:val="11790182"/>
    <w:rsid w:val="117959B7"/>
    <w:rsid w:val="1179D3E8"/>
    <w:rsid w:val="117C8BE7"/>
    <w:rsid w:val="117FC894"/>
    <w:rsid w:val="118240CD"/>
    <w:rsid w:val="1183486B"/>
    <w:rsid w:val="11867828"/>
    <w:rsid w:val="1186BEAF"/>
    <w:rsid w:val="118828F3"/>
    <w:rsid w:val="118BB6C8"/>
    <w:rsid w:val="118EF52F"/>
    <w:rsid w:val="1191F62D"/>
    <w:rsid w:val="1192A6A4"/>
    <w:rsid w:val="119323EA"/>
    <w:rsid w:val="119C8FED"/>
    <w:rsid w:val="119D4EA3"/>
    <w:rsid w:val="119D9EBA"/>
    <w:rsid w:val="119DA357"/>
    <w:rsid w:val="119E0B40"/>
    <w:rsid w:val="119FC877"/>
    <w:rsid w:val="11A44A4D"/>
    <w:rsid w:val="11A4C798"/>
    <w:rsid w:val="11A62073"/>
    <w:rsid w:val="11A8179F"/>
    <w:rsid w:val="11A9CFAF"/>
    <w:rsid w:val="11AA8428"/>
    <w:rsid w:val="11AAE620"/>
    <w:rsid w:val="11ACC649"/>
    <w:rsid w:val="11AEECDA"/>
    <w:rsid w:val="11AF369C"/>
    <w:rsid w:val="11B73640"/>
    <w:rsid w:val="11B778B7"/>
    <w:rsid w:val="11BF9098"/>
    <w:rsid w:val="11C0186A"/>
    <w:rsid w:val="11CE14D5"/>
    <w:rsid w:val="11DE0100"/>
    <w:rsid w:val="11E3DD1A"/>
    <w:rsid w:val="11EA2272"/>
    <w:rsid w:val="11EBA73B"/>
    <w:rsid w:val="11F69F1D"/>
    <w:rsid w:val="11F7725A"/>
    <w:rsid w:val="11F7E3F6"/>
    <w:rsid w:val="11F8E80B"/>
    <w:rsid w:val="12012B47"/>
    <w:rsid w:val="12047DBF"/>
    <w:rsid w:val="12084239"/>
    <w:rsid w:val="120A35E5"/>
    <w:rsid w:val="12163E6D"/>
    <w:rsid w:val="1216EC34"/>
    <w:rsid w:val="1217E9F2"/>
    <w:rsid w:val="121A3920"/>
    <w:rsid w:val="121CC740"/>
    <w:rsid w:val="121D20A4"/>
    <w:rsid w:val="1220387B"/>
    <w:rsid w:val="12214B14"/>
    <w:rsid w:val="12246BE0"/>
    <w:rsid w:val="12254267"/>
    <w:rsid w:val="122618FF"/>
    <w:rsid w:val="1227F8FE"/>
    <w:rsid w:val="122BC47D"/>
    <w:rsid w:val="122EC16F"/>
    <w:rsid w:val="1231B24A"/>
    <w:rsid w:val="1237E297"/>
    <w:rsid w:val="123B7CBB"/>
    <w:rsid w:val="1240605F"/>
    <w:rsid w:val="1241E125"/>
    <w:rsid w:val="1244C35A"/>
    <w:rsid w:val="1247534F"/>
    <w:rsid w:val="124E0384"/>
    <w:rsid w:val="12545112"/>
    <w:rsid w:val="1254B61C"/>
    <w:rsid w:val="12574ECC"/>
    <w:rsid w:val="12587F54"/>
    <w:rsid w:val="1259969C"/>
    <w:rsid w:val="125B6DBC"/>
    <w:rsid w:val="125D986C"/>
    <w:rsid w:val="126A0A87"/>
    <w:rsid w:val="126A71A8"/>
    <w:rsid w:val="126D2141"/>
    <w:rsid w:val="12715156"/>
    <w:rsid w:val="1273A4F1"/>
    <w:rsid w:val="1273E4A2"/>
    <w:rsid w:val="12778212"/>
    <w:rsid w:val="1277F108"/>
    <w:rsid w:val="127B9D7D"/>
    <w:rsid w:val="127D40C4"/>
    <w:rsid w:val="1282505B"/>
    <w:rsid w:val="1285E52A"/>
    <w:rsid w:val="12870F02"/>
    <w:rsid w:val="128AA911"/>
    <w:rsid w:val="128F6AF7"/>
    <w:rsid w:val="1291F042"/>
    <w:rsid w:val="12946CBC"/>
    <w:rsid w:val="1294C5AF"/>
    <w:rsid w:val="12966B8C"/>
    <w:rsid w:val="12976A9B"/>
    <w:rsid w:val="129AAEB9"/>
    <w:rsid w:val="129BC7F5"/>
    <w:rsid w:val="129EC8CF"/>
    <w:rsid w:val="129ECE55"/>
    <w:rsid w:val="12A72ADE"/>
    <w:rsid w:val="12AA734D"/>
    <w:rsid w:val="12BC2DB9"/>
    <w:rsid w:val="12C94B3F"/>
    <w:rsid w:val="12CAC841"/>
    <w:rsid w:val="12CEC05C"/>
    <w:rsid w:val="12CF9059"/>
    <w:rsid w:val="12D4A633"/>
    <w:rsid w:val="12D70959"/>
    <w:rsid w:val="12D8524D"/>
    <w:rsid w:val="12DB9C8C"/>
    <w:rsid w:val="12DE97FF"/>
    <w:rsid w:val="12DEC3FD"/>
    <w:rsid w:val="12E40365"/>
    <w:rsid w:val="12E48044"/>
    <w:rsid w:val="12E5E77B"/>
    <w:rsid w:val="12F2D8B5"/>
    <w:rsid w:val="12FFAB86"/>
    <w:rsid w:val="1300E3D6"/>
    <w:rsid w:val="130114EC"/>
    <w:rsid w:val="13012EB5"/>
    <w:rsid w:val="1310D05C"/>
    <w:rsid w:val="1310D136"/>
    <w:rsid w:val="13155D58"/>
    <w:rsid w:val="13197100"/>
    <w:rsid w:val="131A6AA4"/>
    <w:rsid w:val="131ABE96"/>
    <w:rsid w:val="131E154C"/>
    <w:rsid w:val="13227D5E"/>
    <w:rsid w:val="1322DE1C"/>
    <w:rsid w:val="1327FCB2"/>
    <w:rsid w:val="132D5070"/>
    <w:rsid w:val="132F42CF"/>
    <w:rsid w:val="13341FFB"/>
    <w:rsid w:val="133E710F"/>
    <w:rsid w:val="13412895"/>
    <w:rsid w:val="1344A39C"/>
    <w:rsid w:val="134C6952"/>
    <w:rsid w:val="134D4382"/>
    <w:rsid w:val="134EB23A"/>
    <w:rsid w:val="13514A24"/>
    <w:rsid w:val="13556F2C"/>
    <w:rsid w:val="1356EF7F"/>
    <w:rsid w:val="135F41B9"/>
    <w:rsid w:val="13616F9B"/>
    <w:rsid w:val="1367E644"/>
    <w:rsid w:val="1368B592"/>
    <w:rsid w:val="136AE6A2"/>
    <w:rsid w:val="136F0545"/>
    <w:rsid w:val="136FB2C8"/>
    <w:rsid w:val="1370C47F"/>
    <w:rsid w:val="137121CE"/>
    <w:rsid w:val="137203EE"/>
    <w:rsid w:val="1383507B"/>
    <w:rsid w:val="138767D3"/>
    <w:rsid w:val="1390E783"/>
    <w:rsid w:val="1390EECA"/>
    <w:rsid w:val="13923BBB"/>
    <w:rsid w:val="139BF501"/>
    <w:rsid w:val="139EAB58"/>
    <w:rsid w:val="13A9EF41"/>
    <w:rsid w:val="13B268EF"/>
    <w:rsid w:val="13BD12F6"/>
    <w:rsid w:val="13BEC702"/>
    <w:rsid w:val="13BEE730"/>
    <w:rsid w:val="13BF8891"/>
    <w:rsid w:val="13C612A4"/>
    <w:rsid w:val="13D14C0D"/>
    <w:rsid w:val="13D21DA1"/>
    <w:rsid w:val="13D275B9"/>
    <w:rsid w:val="13DB86E5"/>
    <w:rsid w:val="13E0C1B3"/>
    <w:rsid w:val="13E31981"/>
    <w:rsid w:val="13E62936"/>
    <w:rsid w:val="13E9525B"/>
    <w:rsid w:val="13EC83BA"/>
    <w:rsid w:val="13FDA657"/>
    <w:rsid w:val="1403F013"/>
    <w:rsid w:val="140C6327"/>
    <w:rsid w:val="140CF9A7"/>
    <w:rsid w:val="140D7387"/>
    <w:rsid w:val="140EDCD3"/>
    <w:rsid w:val="140F22FB"/>
    <w:rsid w:val="14100F57"/>
    <w:rsid w:val="14117CC8"/>
    <w:rsid w:val="1415DAD2"/>
    <w:rsid w:val="1416698E"/>
    <w:rsid w:val="141D1C15"/>
    <w:rsid w:val="141D9F43"/>
    <w:rsid w:val="1420CD7E"/>
    <w:rsid w:val="1431EE2A"/>
    <w:rsid w:val="14388E45"/>
    <w:rsid w:val="143A98BC"/>
    <w:rsid w:val="143C5EE4"/>
    <w:rsid w:val="144462C7"/>
    <w:rsid w:val="1444EDD3"/>
    <w:rsid w:val="14468660"/>
    <w:rsid w:val="1447FEBE"/>
    <w:rsid w:val="144B6E5D"/>
    <w:rsid w:val="144DD872"/>
    <w:rsid w:val="144ECD67"/>
    <w:rsid w:val="144EE5C9"/>
    <w:rsid w:val="14511C9C"/>
    <w:rsid w:val="14596597"/>
    <w:rsid w:val="145C17C0"/>
    <w:rsid w:val="145F0458"/>
    <w:rsid w:val="145FA14B"/>
    <w:rsid w:val="1460F4D7"/>
    <w:rsid w:val="14616C04"/>
    <w:rsid w:val="146266F2"/>
    <w:rsid w:val="1465232C"/>
    <w:rsid w:val="146779DB"/>
    <w:rsid w:val="1467BABE"/>
    <w:rsid w:val="1467C3A1"/>
    <w:rsid w:val="1467CE76"/>
    <w:rsid w:val="1467E122"/>
    <w:rsid w:val="146BBACB"/>
    <w:rsid w:val="146E4A05"/>
    <w:rsid w:val="14784C95"/>
    <w:rsid w:val="1478AADC"/>
    <w:rsid w:val="147C062E"/>
    <w:rsid w:val="147F8DE1"/>
    <w:rsid w:val="14816C6A"/>
    <w:rsid w:val="148295F4"/>
    <w:rsid w:val="1485A491"/>
    <w:rsid w:val="14897AF5"/>
    <w:rsid w:val="148E775A"/>
    <w:rsid w:val="149A0D64"/>
    <w:rsid w:val="149B9050"/>
    <w:rsid w:val="149CC1CB"/>
    <w:rsid w:val="149F3757"/>
    <w:rsid w:val="149F9AA0"/>
    <w:rsid w:val="14A34BCD"/>
    <w:rsid w:val="14A5E0DD"/>
    <w:rsid w:val="14A95105"/>
    <w:rsid w:val="14AB10A0"/>
    <w:rsid w:val="14B1242B"/>
    <w:rsid w:val="14B3BD3E"/>
    <w:rsid w:val="14B8518A"/>
    <w:rsid w:val="14BC673F"/>
    <w:rsid w:val="14C7B1B6"/>
    <w:rsid w:val="14CF86B4"/>
    <w:rsid w:val="14D4407C"/>
    <w:rsid w:val="14DD9C50"/>
    <w:rsid w:val="14E06FE3"/>
    <w:rsid w:val="14E5088E"/>
    <w:rsid w:val="14E7FFA5"/>
    <w:rsid w:val="14E9E321"/>
    <w:rsid w:val="14EE1438"/>
    <w:rsid w:val="14EE91CE"/>
    <w:rsid w:val="14FCD924"/>
    <w:rsid w:val="14FF61BF"/>
    <w:rsid w:val="1508FAF7"/>
    <w:rsid w:val="150A3C37"/>
    <w:rsid w:val="150C0824"/>
    <w:rsid w:val="150E5DE4"/>
    <w:rsid w:val="1513F4B0"/>
    <w:rsid w:val="15141A79"/>
    <w:rsid w:val="151776BD"/>
    <w:rsid w:val="151A4BA3"/>
    <w:rsid w:val="151D47D3"/>
    <w:rsid w:val="15201035"/>
    <w:rsid w:val="1525ED1E"/>
    <w:rsid w:val="15297928"/>
    <w:rsid w:val="152A18BB"/>
    <w:rsid w:val="152A2C08"/>
    <w:rsid w:val="152ED9DC"/>
    <w:rsid w:val="153174C7"/>
    <w:rsid w:val="15323F67"/>
    <w:rsid w:val="15389531"/>
    <w:rsid w:val="1539411C"/>
    <w:rsid w:val="153C53B9"/>
    <w:rsid w:val="153C55B4"/>
    <w:rsid w:val="153C8DB8"/>
    <w:rsid w:val="1542BD28"/>
    <w:rsid w:val="154FC668"/>
    <w:rsid w:val="15519E60"/>
    <w:rsid w:val="1553B545"/>
    <w:rsid w:val="15544D00"/>
    <w:rsid w:val="15568F91"/>
    <w:rsid w:val="1557DF17"/>
    <w:rsid w:val="155C2AD4"/>
    <w:rsid w:val="155CBD5B"/>
    <w:rsid w:val="15621836"/>
    <w:rsid w:val="1566079D"/>
    <w:rsid w:val="156AF246"/>
    <w:rsid w:val="156AFC9C"/>
    <w:rsid w:val="157121D2"/>
    <w:rsid w:val="1574580C"/>
    <w:rsid w:val="1576ECC9"/>
    <w:rsid w:val="157C9BC4"/>
    <w:rsid w:val="157D8357"/>
    <w:rsid w:val="157F4A0D"/>
    <w:rsid w:val="1581F45F"/>
    <w:rsid w:val="1582CCE3"/>
    <w:rsid w:val="159625A8"/>
    <w:rsid w:val="1596FFFD"/>
    <w:rsid w:val="159B8334"/>
    <w:rsid w:val="159DEE42"/>
    <w:rsid w:val="159FE0D2"/>
    <w:rsid w:val="15A01EAC"/>
    <w:rsid w:val="15A0E333"/>
    <w:rsid w:val="15A4EEA6"/>
    <w:rsid w:val="15A61169"/>
    <w:rsid w:val="15A70097"/>
    <w:rsid w:val="15B011F2"/>
    <w:rsid w:val="15B19858"/>
    <w:rsid w:val="15B9392C"/>
    <w:rsid w:val="15BCA874"/>
    <w:rsid w:val="15BE50F1"/>
    <w:rsid w:val="15C21C19"/>
    <w:rsid w:val="15C35199"/>
    <w:rsid w:val="15C3E546"/>
    <w:rsid w:val="15C54A8A"/>
    <w:rsid w:val="15CBD0EB"/>
    <w:rsid w:val="15CCC31C"/>
    <w:rsid w:val="15D143AB"/>
    <w:rsid w:val="15D1644C"/>
    <w:rsid w:val="15D59197"/>
    <w:rsid w:val="15D6094C"/>
    <w:rsid w:val="15D9966E"/>
    <w:rsid w:val="15E37F2B"/>
    <w:rsid w:val="15E5FA5A"/>
    <w:rsid w:val="15E7DA16"/>
    <w:rsid w:val="15E838BC"/>
    <w:rsid w:val="15EE97E3"/>
    <w:rsid w:val="15F2D519"/>
    <w:rsid w:val="15F4A1A6"/>
    <w:rsid w:val="15F8C4A6"/>
    <w:rsid w:val="15F9CE84"/>
    <w:rsid w:val="15FA7E97"/>
    <w:rsid w:val="15FAA497"/>
    <w:rsid w:val="15FE687D"/>
    <w:rsid w:val="15FFE5D5"/>
    <w:rsid w:val="1608E411"/>
    <w:rsid w:val="16104E35"/>
    <w:rsid w:val="1612179A"/>
    <w:rsid w:val="16198BE1"/>
    <w:rsid w:val="161A0DD0"/>
    <w:rsid w:val="1623EA1A"/>
    <w:rsid w:val="162BC459"/>
    <w:rsid w:val="162D7541"/>
    <w:rsid w:val="1634D590"/>
    <w:rsid w:val="163F36F6"/>
    <w:rsid w:val="163F4FC6"/>
    <w:rsid w:val="163FA1FA"/>
    <w:rsid w:val="16413C7D"/>
    <w:rsid w:val="16435F73"/>
    <w:rsid w:val="1646CDEA"/>
    <w:rsid w:val="164B9C7F"/>
    <w:rsid w:val="164C89EA"/>
    <w:rsid w:val="1650D54E"/>
    <w:rsid w:val="1652B858"/>
    <w:rsid w:val="16547498"/>
    <w:rsid w:val="165B96B3"/>
    <w:rsid w:val="165C56CC"/>
    <w:rsid w:val="1661301D"/>
    <w:rsid w:val="166E8EE7"/>
    <w:rsid w:val="167555BF"/>
    <w:rsid w:val="167596B1"/>
    <w:rsid w:val="167CDEEA"/>
    <w:rsid w:val="16860167"/>
    <w:rsid w:val="16896377"/>
    <w:rsid w:val="1689F6D8"/>
    <w:rsid w:val="1697F20D"/>
    <w:rsid w:val="16A0B11F"/>
    <w:rsid w:val="16A6D953"/>
    <w:rsid w:val="16AAC38A"/>
    <w:rsid w:val="16B6D073"/>
    <w:rsid w:val="16B792D8"/>
    <w:rsid w:val="16BA6723"/>
    <w:rsid w:val="16BFAFB3"/>
    <w:rsid w:val="16C45B4B"/>
    <w:rsid w:val="16C47DE8"/>
    <w:rsid w:val="16C8874D"/>
    <w:rsid w:val="16C93D74"/>
    <w:rsid w:val="16CE1ED9"/>
    <w:rsid w:val="16D39204"/>
    <w:rsid w:val="16D3EF81"/>
    <w:rsid w:val="16D98612"/>
    <w:rsid w:val="16DA1BCD"/>
    <w:rsid w:val="16DACDBF"/>
    <w:rsid w:val="16DF9C24"/>
    <w:rsid w:val="16F4756D"/>
    <w:rsid w:val="16F77480"/>
    <w:rsid w:val="17023408"/>
    <w:rsid w:val="1704FBF0"/>
    <w:rsid w:val="17077393"/>
    <w:rsid w:val="1708A5A5"/>
    <w:rsid w:val="1708C5D8"/>
    <w:rsid w:val="170CADBA"/>
    <w:rsid w:val="170DFB6D"/>
    <w:rsid w:val="1710AB6B"/>
    <w:rsid w:val="17149158"/>
    <w:rsid w:val="171A190A"/>
    <w:rsid w:val="1723CFCB"/>
    <w:rsid w:val="172785D7"/>
    <w:rsid w:val="1729D224"/>
    <w:rsid w:val="172A0F94"/>
    <w:rsid w:val="172CF868"/>
    <w:rsid w:val="172FD157"/>
    <w:rsid w:val="1739E241"/>
    <w:rsid w:val="173FF94C"/>
    <w:rsid w:val="1741F3B4"/>
    <w:rsid w:val="1742E2B2"/>
    <w:rsid w:val="17436678"/>
    <w:rsid w:val="1743EA96"/>
    <w:rsid w:val="17446B69"/>
    <w:rsid w:val="17485372"/>
    <w:rsid w:val="1749FC36"/>
    <w:rsid w:val="174BCFFA"/>
    <w:rsid w:val="17501071"/>
    <w:rsid w:val="17534AFF"/>
    <w:rsid w:val="17560FC6"/>
    <w:rsid w:val="1757D348"/>
    <w:rsid w:val="175D28A0"/>
    <w:rsid w:val="175E70D9"/>
    <w:rsid w:val="176388A4"/>
    <w:rsid w:val="17649E92"/>
    <w:rsid w:val="1769A2C1"/>
    <w:rsid w:val="176B9665"/>
    <w:rsid w:val="176BCAF2"/>
    <w:rsid w:val="1770D092"/>
    <w:rsid w:val="1771FEEE"/>
    <w:rsid w:val="17738CD2"/>
    <w:rsid w:val="177524C5"/>
    <w:rsid w:val="17774F18"/>
    <w:rsid w:val="17798792"/>
    <w:rsid w:val="177A54EE"/>
    <w:rsid w:val="177DBA7A"/>
    <w:rsid w:val="177FA727"/>
    <w:rsid w:val="1783514E"/>
    <w:rsid w:val="1783A2B5"/>
    <w:rsid w:val="1786AF18"/>
    <w:rsid w:val="178BE9AB"/>
    <w:rsid w:val="178C9395"/>
    <w:rsid w:val="178E980F"/>
    <w:rsid w:val="178EB11A"/>
    <w:rsid w:val="1792B514"/>
    <w:rsid w:val="1792F1D5"/>
    <w:rsid w:val="179E4120"/>
    <w:rsid w:val="17A6D554"/>
    <w:rsid w:val="17A82854"/>
    <w:rsid w:val="17AC6377"/>
    <w:rsid w:val="17AE1E76"/>
    <w:rsid w:val="17AE8ACB"/>
    <w:rsid w:val="17AF5DDD"/>
    <w:rsid w:val="17AF7FD5"/>
    <w:rsid w:val="17AF98C8"/>
    <w:rsid w:val="17AFDE0A"/>
    <w:rsid w:val="17B0BCC0"/>
    <w:rsid w:val="17B48836"/>
    <w:rsid w:val="17B5AA09"/>
    <w:rsid w:val="17BCDCB2"/>
    <w:rsid w:val="17BDDBA1"/>
    <w:rsid w:val="17BE56F9"/>
    <w:rsid w:val="17BEAEBA"/>
    <w:rsid w:val="17BF4AC6"/>
    <w:rsid w:val="17C1A1FF"/>
    <w:rsid w:val="17CABB76"/>
    <w:rsid w:val="17CD60C0"/>
    <w:rsid w:val="17CEA9B3"/>
    <w:rsid w:val="17D20E96"/>
    <w:rsid w:val="17D27BBF"/>
    <w:rsid w:val="17D53274"/>
    <w:rsid w:val="17D54237"/>
    <w:rsid w:val="17DE212B"/>
    <w:rsid w:val="17DFE2D3"/>
    <w:rsid w:val="17E04DF0"/>
    <w:rsid w:val="17E2C894"/>
    <w:rsid w:val="17E33A0C"/>
    <w:rsid w:val="17E60B3E"/>
    <w:rsid w:val="17E67FD9"/>
    <w:rsid w:val="17EB91C8"/>
    <w:rsid w:val="17EBDA79"/>
    <w:rsid w:val="17F1E7A5"/>
    <w:rsid w:val="17FE699D"/>
    <w:rsid w:val="17FF8EB4"/>
    <w:rsid w:val="1800FB7A"/>
    <w:rsid w:val="1803FEAC"/>
    <w:rsid w:val="1807BD87"/>
    <w:rsid w:val="1808C1BE"/>
    <w:rsid w:val="18096629"/>
    <w:rsid w:val="180CAA86"/>
    <w:rsid w:val="180D54E1"/>
    <w:rsid w:val="1815A8E2"/>
    <w:rsid w:val="181A175C"/>
    <w:rsid w:val="181A762E"/>
    <w:rsid w:val="181F33F7"/>
    <w:rsid w:val="181FDCDF"/>
    <w:rsid w:val="1823941F"/>
    <w:rsid w:val="18253710"/>
    <w:rsid w:val="18258BD3"/>
    <w:rsid w:val="1826D9F6"/>
    <w:rsid w:val="18279990"/>
    <w:rsid w:val="182A5855"/>
    <w:rsid w:val="182B940E"/>
    <w:rsid w:val="183E0009"/>
    <w:rsid w:val="183E4276"/>
    <w:rsid w:val="183F0BD9"/>
    <w:rsid w:val="183F8B0D"/>
    <w:rsid w:val="184057C4"/>
    <w:rsid w:val="1841E358"/>
    <w:rsid w:val="1842A76D"/>
    <w:rsid w:val="1843F31B"/>
    <w:rsid w:val="184B1961"/>
    <w:rsid w:val="184B3B2D"/>
    <w:rsid w:val="184F9A1E"/>
    <w:rsid w:val="18510D1A"/>
    <w:rsid w:val="18530004"/>
    <w:rsid w:val="1855E533"/>
    <w:rsid w:val="18564708"/>
    <w:rsid w:val="1859BEE8"/>
    <w:rsid w:val="18626826"/>
    <w:rsid w:val="18685A52"/>
    <w:rsid w:val="186E6DD6"/>
    <w:rsid w:val="186FEEA7"/>
    <w:rsid w:val="18743F78"/>
    <w:rsid w:val="1882A253"/>
    <w:rsid w:val="18845164"/>
    <w:rsid w:val="188E98DF"/>
    <w:rsid w:val="189AAD1A"/>
    <w:rsid w:val="189FF1A1"/>
    <w:rsid w:val="18A3106B"/>
    <w:rsid w:val="18A3D9B9"/>
    <w:rsid w:val="18A544EB"/>
    <w:rsid w:val="18A97A71"/>
    <w:rsid w:val="18AD4676"/>
    <w:rsid w:val="18B2375F"/>
    <w:rsid w:val="18B2B56D"/>
    <w:rsid w:val="18B2EE02"/>
    <w:rsid w:val="18BC0708"/>
    <w:rsid w:val="18C8E905"/>
    <w:rsid w:val="18D8D9F6"/>
    <w:rsid w:val="18DC6674"/>
    <w:rsid w:val="18DEA993"/>
    <w:rsid w:val="18E0EFDF"/>
    <w:rsid w:val="18E44071"/>
    <w:rsid w:val="18E6ED1C"/>
    <w:rsid w:val="18EBA67E"/>
    <w:rsid w:val="18ED3FE3"/>
    <w:rsid w:val="18EDDD67"/>
    <w:rsid w:val="18FBF9AB"/>
    <w:rsid w:val="18FDE1C2"/>
    <w:rsid w:val="190ABF30"/>
    <w:rsid w:val="19105C64"/>
    <w:rsid w:val="19114219"/>
    <w:rsid w:val="1916F810"/>
    <w:rsid w:val="1918110C"/>
    <w:rsid w:val="191B5CC9"/>
    <w:rsid w:val="192B0ED2"/>
    <w:rsid w:val="1932D72B"/>
    <w:rsid w:val="1935AF20"/>
    <w:rsid w:val="19364C71"/>
    <w:rsid w:val="1937B480"/>
    <w:rsid w:val="193AC7FE"/>
    <w:rsid w:val="193BB7CE"/>
    <w:rsid w:val="193D6BB9"/>
    <w:rsid w:val="193FE2E3"/>
    <w:rsid w:val="1940E503"/>
    <w:rsid w:val="1941203D"/>
    <w:rsid w:val="1945FC53"/>
    <w:rsid w:val="194B0C09"/>
    <w:rsid w:val="195092BC"/>
    <w:rsid w:val="19538B46"/>
    <w:rsid w:val="1953C50C"/>
    <w:rsid w:val="19546ADE"/>
    <w:rsid w:val="1958670D"/>
    <w:rsid w:val="1959EB7C"/>
    <w:rsid w:val="195A5A79"/>
    <w:rsid w:val="195E7247"/>
    <w:rsid w:val="1961BF8A"/>
    <w:rsid w:val="19639712"/>
    <w:rsid w:val="196753FC"/>
    <w:rsid w:val="196BCABD"/>
    <w:rsid w:val="196D62E9"/>
    <w:rsid w:val="196DDA21"/>
    <w:rsid w:val="196E0493"/>
    <w:rsid w:val="197016EA"/>
    <w:rsid w:val="1973050A"/>
    <w:rsid w:val="1975576F"/>
    <w:rsid w:val="198E6B48"/>
    <w:rsid w:val="19960168"/>
    <w:rsid w:val="1997455D"/>
    <w:rsid w:val="1998C812"/>
    <w:rsid w:val="199A21F6"/>
    <w:rsid w:val="19A84B05"/>
    <w:rsid w:val="19A9836D"/>
    <w:rsid w:val="19A9DD48"/>
    <w:rsid w:val="19B01F3A"/>
    <w:rsid w:val="19B46BCC"/>
    <w:rsid w:val="19BC6ADF"/>
    <w:rsid w:val="19BD19DA"/>
    <w:rsid w:val="19C6B43C"/>
    <w:rsid w:val="19C881A1"/>
    <w:rsid w:val="19D011EA"/>
    <w:rsid w:val="19D85FC4"/>
    <w:rsid w:val="19DB9458"/>
    <w:rsid w:val="19DF06DA"/>
    <w:rsid w:val="19DF5D3E"/>
    <w:rsid w:val="19E0B466"/>
    <w:rsid w:val="19E11460"/>
    <w:rsid w:val="19E74613"/>
    <w:rsid w:val="19E8A057"/>
    <w:rsid w:val="19F1CD11"/>
    <w:rsid w:val="19F811F3"/>
    <w:rsid w:val="19FC7B39"/>
    <w:rsid w:val="1A014D08"/>
    <w:rsid w:val="1A02E4E8"/>
    <w:rsid w:val="1A069DC1"/>
    <w:rsid w:val="1A073088"/>
    <w:rsid w:val="1A09A740"/>
    <w:rsid w:val="1A0FD357"/>
    <w:rsid w:val="1A107C39"/>
    <w:rsid w:val="1A12D377"/>
    <w:rsid w:val="1A1581AB"/>
    <w:rsid w:val="1A167624"/>
    <w:rsid w:val="1A18B532"/>
    <w:rsid w:val="1A18CA08"/>
    <w:rsid w:val="1A1B175C"/>
    <w:rsid w:val="1A1D0E22"/>
    <w:rsid w:val="1A1DAC83"/>
    <w:rsid w:val="1A1F7283"/>
    <w:rsid w:val="1A2A8350"/>
    <w:rsid w:val="1A2AFE9B"/>
    <w:rsid w:val="1A3147A7"/>
    <w:rsid w:val="1A316EF0"/>
    <w:rsid w:val="1A32E3AE"/>
    <w:rsid w:val="1A33ED0C"/>
    <w:rsid w:val="1A3434EC"/>
    <w:rsid w:val="1A34366E"/>
    <w:rsid w:val="1A35625B"/>
    <w:rsid w:val="1A3B2980"/>
    <w:rsid w:val="1A3BD16C"/>
    <w:rsid w:val="1A47F130"/>
    <w:rsid w:val="1A482E7D"/>
    <w:rsid w:val="1A4A7090"/>
    <w:rsid w:val="1A4B3CBD"/>
    <w:rsid w:val="1A4EDE08"/>
    <w:rsid w:val="1A50889B"/>
    <w:rsid w:val="1A50E10D"/>
    <w:rsid w:val="1A51CAC9"/>
    <w:rsid w:val="1A536115"/>
    <w:rsid w:val="1A577399"/>
    <w:rsid w:val="1A5F2257"/>
    <w:rsid w:val="1A610A97"/>
    <w:rsid w:val="1A62748C"/>
    <w:rsid w:val="1A6E4E2E"/>
    <w:rsid w:val="1A70577E"/>
    <w:rsid w:val="1A795374"/>
    <w:rsid w:val="1A7AFED0"/>
    <w:rsid w:val="1A80383E"/>
    <w:rsid w:val="1A81EB38"/>
    <w:rsid w:val="1A82F3A6"/>
    <w:rsid w:val="1A83F02F"/>
    <w:rsid w:val="1A861C44"/>
    <w:rsid w:val="1A888310"/>
    <w:rsid w:val="1A89F8F0"/>
    <w:rsid w:val="1A8C7B58"/>
    <w:rsid w:val="1A9581F9"/>
    <w:rsid w:val="1A998CB0"/>
    <w:rsid w:val="1A9A92D7"/>
    <w:rsid w:val="1AA63889"/>
    <w:rsid w:val="1AAE604A"/>
    <w:rsid w:val="1AAE7833"/>
    <w:rsid w:val="1AB1824C"/>
    <w:rsid w:val="1AB19C28"/>
    <w:rsid w:val="1AB66399"/>
    <w:rsid w:val="1AB7B61D"/>
    <w:rsid w:val="1AB8CA46"/>
    <w:rsid w:val="1ABA7EAF"/>
    <w:rsid w:val="1ABEF03E"/>
    <w:rsid w:val="1ACE7F86"/>
    <w:rsid w:val="1AD0EB20"/>
    <w:rsid w:val="1AD3FC2F"/>
    <w:rsid w:val="1AD6FCC5"/>
    <w:rsid w:val="1ADC73C7"/>
    <w:rsid w:val="1AED219C"/>
    <w:rsid w:val="1AF27760"/>
    <w:rsid w:val="1AF63B7D"/>
    <w:rsid w:val="1AF8DB8F"/>
    <w:rsid w:val="1AFA58BA"/>
    <w:rsid w:val="1B02CB63"/>
    <w:rsid w:val="1B06F475"/>
    <w:rsid w:val="1B0C3E38"/>
    <w:rsid w:val="1B0D8666"/>
    <w:rsid w:val="1B0F0DDC"/>
    <w:rsid w:val="1B134A2E"/>
    <w:rsid w:val="1B1B5DC3"/>
    <w:rsid w:val="1B1B96F0"/>
    <w:rsid w:val="1B1D48E0"/>
    <w:rsid w:val="1B20D0A7"/>
    <w:rsid w:val="1B20E040"/>
    <w:rsid w:val="1B214987"/>
    <w:rsid w:val="1B223CEC"/>
    <w:rsid w:val="1B27FBDB"/>
    <w:rsid w:val="1B2D8F74"/>
    <w:rsid w:val="1B2F565E"/>
    <w:rsid w:val="1B30BD9C"/>
    <w:rsid w:val="1B32E946"/>
    <w:rsid w:val="1B3AADEB"/>
    <w:rsid w:val="1B3D3AA0"/>
    <w:rsid w:val="1B413400"/>
    <w:rsid w:val="1B416B7B"/>
    <w:rsid w:val="1B423745"/>
    <w:rsid w:val="1B45EC6A"/>
    <w:rsid w:val="1B49960D"/>
    <w:rsid w:val="1B49ED08"/>
    <w:rsid w:val="1B4A3130"/>
    <w:rsid w:val="1B4D3F25"/>
    <w:rsid w:val="1B57AF64"/>
    <w:rsid w:val="1B596B35"/>
    <w:rsid w:val="1B59B292"/>
    <w:rsid w:val="1B614083"/>
    <w:rsid w:val="1B624306"/>
    <w:rsid w:val="1B642F27"/>
    <w:rsid w:val="1B66ECE2"/>
    <w:rsid w:val="1B85BA4F"/>
    <w:rsid w:val="1B8BE9A1"/>
    <w:rsid w:val="1B8C5AC6"/>
    <w:rsid w:val="1B8D005D"/>
    <w:rsid w:val="1B999336"/>
    <w:rsid w:val="1BA06E10"/>
    <w:rsid w:val="1BAB3C37"/>
    <w:rsid w:val="1BACA4A0"/>
    <w:rsid w:val="1BAEEDAC"/>
    <w:rsid w:val="1BB00A3B"/>
    <w:rsid w:val="1BB30E74"/>
    <w:rsid w:val="1BB458CC"/>
    <w:rsid w:val="1BB46056"/>
    <w:rsid w:val="1BB56370"/>
    <w:rsid w:val="1BB92692"/>
    <w:rsid w:val="1BB9DDB2"/>
    <w:rsid w:val="1BB9ECD6"/>
    <w:rsid w:val="1BC34E37"/>
    <w:rsid w:val="1BC5998C"/>
    <w:rsid w:val="1BC8F956"/>
    <w:rsid w:val="1BCAE173"/>
    <w:rsid w:val="1BD12D30"/>
    <w:rsid w:val="1BD19131"/>
    <w:rsid w:val="1BD1BB7A"/>
    <w:rsid w:val="1BD67942"/>
    <w:rsid w:val="1BD6AAA9"/>
    <w:rsid w:val="1BD7A013"/>
    <w:rsid w:val="1BDA4786"/>
    <w:rsid w:val="1BDF0214"/>
    <w:rsid w:val="1BE2D9B9"/>
    <w:rsid w:val="1BE43EDD"/>
    <w:rsid w:val="1BE5FF50"/>
    <w:rsid w:val="1BE77742"/>
    <w:rsid w:val="1BE81623"/>
    <w:rsid w:val="1BEC0ACB"/>
    <w:rsid w:val="1BEE0331"/>
    <w:rsid w:val="1BF2910E"/>
    <w:rsid w:val="1BF67CE6"/>
    <w:rsid w:val="1BF715CC"/>
    <w:rsid w:val="1BFD8CFA"/>
    <w:rsid w:val="1C11E20D"/>
    <w:rsid w:val="1C1B7BB0"/>
    <w:rsid w:val="1C1D3438"/>
    <w:rsid w:val="1C1DB185"/>
    <w:rsid w:val="1C21ADEF"/>
    <w:rsid w:val="1C2221AB"/>
    <w:rsid w:val="1C2370A3"/>
    <w:rsid w:val="1C24F768"/>
    <w:rsid w:val="1C25A09D"/>
    <w:rsid w:val="1C284C71"/>
    <w:rsid w:val="1C292C85"/>
    <w:rsid w:val="1C294948"/>
    <w:rsid w:val="1C344CBE"/>
    <w:rsid w:val="1C395137"/>
    <w:rsid w:val="1C3BC231"/>
    <w:rsid w:val="1C48D2AE"/>
    <w:rsid w:val="1C49643D"/>
    <w:rsid w:val="1C4B3AD4"/>
    <w:rsid w:val="1C4CF50C"/>
    <w:rsid w:val="1C4D0B8D"/>
    <w:rsid w:val="1C4D5AF4"/>
    <w:rsid w:val="1C4E796C"/>
    <w:rsid w:val="1C558C89"/>
    <w:rsid w:val="1C56F31D"/>
    <w:rsid w:val="1C5E9BCE"/>
    <w:rsid w:val="1C5FD3BC"/>
    <w:rsid w:val="1C644D90"/>
    <w:rsid w:val="1C6521DD"/>
    <w:rsid w:val="1C6AB0C4"/>
    <w:rsid w:val="1C6D4068"/>
    <w:rsid w:val="1C6D6148"/>
    <w:rsid w:val="1C6E67AB"/>
    <w:rsid w:val="1C70B8D0"/>
    <w:rsid w:val="1C72AE57"/>
    <w:rsid w:val="1C7874A0"/>
    <w:rsid w:val="1C7BF22D"/>
    <w:rsid w:val="1C7E1A82"/>
    <w:rsid w:val="1C865D85"/>
    <w:rsid w:val="1C8AE7BD"/>
    <w:rsid w:val="1C8B9BB3"/>
    <w:rsid w:val="1C8FD069"/>
    <w:rsid w:val="1C9A08F3"/>
    <w:rsid w:val="1C9AD5A9"/>
    <w:rsid w:val="1C9E4E79"/>
    <w:rsid w:val="1CA07898"/>
    <w:rsid w:val="1CA3AFC2"/>
    <w:rsid w:val="1CA3CDAA"/>
    <w:rsid w:val="1CA6CE56"/>
    <w:rsid w:val="1CA8CE37"/>
    <w:rsid w:val="1CA9EBB5"/>
    <w:rsid w:val="1CAA69F1"/>
    <w:rsid w:val="1CAB5ED0"/>
    <w:rsid w:val="1CABEFF6"/>
    <w:rsid w:val="1CB00801"/>
    <w:rsid w:val="1CB04829"/>
    <w:rsid w:val="1CB4A7A7"/>
    <w:rsid w:val="1CBA7BE2"/>
    <w:rsid w:val="1CC39735"/>
    <w:rsid w:val="1CCDB8F3"/>
    <w:rsid w:val="1CCF1050"/>
    <w:rsid w:val="1CD46097"/>
    <w:rsid w:val="1CD51C43"/>
    <w:rsid w:val="1CD9C65B"/>
    <w:rsid w:val="1CDF6F5D"/>
    <w:rsid w:val="1CE13D02"/>
    <w:rsid w:val="1CE23088"/>
    <w:rsid w:val="1CE39D50"/>
    <w:rsid w:val="1CE3E6E6"/>
    <w:rsid w:val="1CE91957"/>
    <w:rsid w:val="1CF14167"/>
    <w:rsid w:val="1CF421F5"/>
    <w:rsid w:val="1CF8BA7A"/>
    <w:rsid w:val="1CFCAFA9"/>
    <w:rsid w:val="1D01B2A2"/>
    <w:rsid w:val="1D031E2E"/>
    <w:rsid w:val="1D056CA7"/>
    <w:rsid w:val="1D061A10"/>
    <w:rsid w:val="1D075AC3"/>
    <w:rsid w:val="1D09DE16"/>
    <w:rsid w:val="1D0A57EC"/>
    <w:rsid w:val="1D0F77AA"/>
    <w:rsid w:val="1D10DA47"/>
    <w:rsid w:val="1D113EF0"/>
    <w:rsid w:val="1D11C814"/>
    <w:rsid w:val="1D145609"/>
    <w:rsid w:val="1D16DEEA"/>
    <w:rsid w:val="1D16FCF2"/>
    <w:rsid w:val="1D1897EF"/>
    <w:rsid w:val="1D1B3E89"/>
    <w:rsid w:val="1D25743D"/>
    <w:rsid w:val="1D2A169E"/>
    <w:rsid w:val="1D2BA67C"/>
    <w:rsid w:val="1D2CEC67"/>
    <w:rsid w:val="1D2F887F"/>
    <w:rsid w:val="1D33FD29"/>
    <w:rsid w:val="1D3C2FD5"/>
    <w:rsid w:val="1D3DD191"/>
    <w:rsid w:val="1D3E2900"/>
    <w:rsid w:val="1D422AC7"/>
    <w:rsid w:val="1D436285"/>
    <w:rsid w:val="1D45A3AC"/>
    <w:rsid w:val="1D4D473F"/>
    <w:rsid w:val="1D5F74A4"/>
    <w:rsid w:val="1D600D56"/>
    <w:rsid w:val="1D60280A"/>
    <w:rsid w:val="1D6B5E75"/>
    <w:rsid w:val="1D6C8F6F"/>
    <w:rsid w:val="1D6FD2A4"/>
    <w:rsid w:val="1D715A46"/>
    <w:rsid w:val="1D72D0D2"/>
    <w:rsid w:val="1D776716"/>
    <w:rsid w:val="1D77D4F8"/>
    <w:rsid w:val="1D84F3A3"/>
    <w:rsid w:val="1D886244"/>
    <w:rsid w:val="1D8915DB"/>
    <w:rsid w:val="1D8E8A8B"/>
    <w:rsid w:val="1D8F9639"/>
    <w:rsid w:val="1D9660B0"/>
    <w:rsid w:val="1D9C86E2"/>
    <w:rsid w:val="1DA2A314"/>
    <w:rsid w:val="1DAA5962"/>
    <w:rsid w:val="1DAB4162"/>
    <w:rsid w:val="1DAC3C86"/>
    <w:rsid w:val="1DB1A6E4"/>
    <w:rsid w:val="1DB7CDA2"/>
    <w:rsid w:val="1DBF9FA5"/>
    <w:rsid w:val="1DC04AB8"/>
    <w:rsid w:val="1DC43FAB"/>
    <w:rsid w:val="1DC47336"/>
    <w:rsid w:val="1DCD7C93"/>
    <w:rsid w:val="1DCDB241"/>
    <w:rsid w:val="1DD26AAC"/>
    <w:rsid w:val="1DD36C69"/>
    <w:rsid w:val="1DD5E1C4"/>
    <w:rsid w:val="1DD789EE"/>
    <w:rsid w:val="1DD96D23"/>
    <w:rsid w:val="1DDA9FB9"/>
    <w:rsid w:val="1DDC1850"/>
    <w:rsid w:val="1DDCF92E"/>
    <w:rsid w:val="1DDD643F"/>
    <w:rsid w:val="1DE393DB"/>
    <w:rsid w:val="1DE4D3BE"/>
    <w:rsid w:val="1DE8EB0A"/>
    <w:rsid w:val="1DEB46AF"/>
    <w:rsid w:val="1DF28953"/>
    <w:rsid w:val="1DF87CE3"/>
    <w:rsid w:val="1DFA01A3"/>
    <w:rsid w:val="1DFB294A"/>
    <w:rsid w:val="1DFC293E"/>
    <w:rsid w:val="1DFC7333"/>
    <w:rsid w:val="1E0285B2"/>
    <w:rsid w:val="1E046B97"/>
    <w:rsid w:val="1E058A67"/>
    <w:rsid w:val="1E147267"/>
    <w:rsid w:val="1E1E5AF7"/>
    <w:rsid w:val="1E2369CF"/>
    <w:rsid w:val="1E281B4A"/>
    <w:rsid w:val="1E2CA2BA"/>
    <w:rsid w:val="1E2E223F"/>
    <w:rsid w:val="1E31FA5B"/>
    <w:rsid w:val="1E335625"/>
    <w:rsid w:val="1E377D7D"/>
    <w:rsid w:val="1E479C91"/>
    <w:rsid w:val="1E4CEE3F"/>
    <w:rsid w:val="1E5095C9"/>
    <w:rsid w:val="1E5A6AAD"/>
    <w:rsid w:val="1E5B6873"/>
    <w:rsid w:val="1E5B84C2"/>
    <w:rsid w:val="1E5E7242"/>
    <w:rsid w:val="1E60C5F3"/>
    <w:rsid w:val="1E620776"/>
    <w:rsid w:val="1E628C6A"/>
    <w:rsid w:val="1E676F20"/>
    <w:rsid w:val="1E6BEADD"/>
    <w:rsid w:val="1E6EF93C"/>
    <w:rsid w:val="1E6F894C"/>
    <w:rsid w:val="1E6FE9FB"/>
    <w:rsid w:val="1E76507F"/>
    <w:rsid w:val="1E76555F"/>
    <w:rsid w:val="1E7A768A"/>
    <w:rsid w:val="1E83447A"/>
    <w:rsid w:val="1E84A5AE"/>
    <w:rsid w:val="1E8611DF"/>
    <w:rsid w:val="1E879DA5"/>
    <w:rsid w:val="1E8875B6"/>
    <w:rsid w:val="1E8BAA47"/>
    <w:rsid w:val="1E90E319"/>
    <w:rsid w:val="1E93D6D6"/>
    <w:rsid w:val="1E94061D"/>
    <w:rsid w:val="1E951760"/>
    <w:rsid w:val="1E9A6414"/>
    <w:rsid w:val="1EA329E6"/>
    <w:rsid w:val="1EB2824D"/>
    <w:rsid w:val="1EB8A929"/>
    <w:rsid w:val="1EC495D5"/>
    <w:rsid w:val="1EC74D10"/>
    <w:rsid w:val="1ECEBF3F"/>
    <w:rsid w:val="1EE2DDDE"/>
    <w:rsid w:val="1EE693DF"/>
    <w:rsid w:val="1EE81F4E"/>
    <w:rsid w:val="1EE8CE41"/>
    <w:rsid w:val="1EEF4FCC"/>
    <w:rsid w:val="1EEFCC8C"/>
    <w:rsid w:val="1EF1BDE2"/>
    <w:rsid w:val="1EF51CEA"/>
    <w:rsid w:val="1EF6B954"/>
    <w:rsid w:val="1EFA49A7"/>
    <w:rsid w:val="1EFB7883"/>
    <w:rsid w:val="1EFDA27C"/>
    <w:rsid w:val="1F01CF20"/>
    <w:rsid w:val="1F0E856C"/>
    <w:rsid w:val="1F1103E6"/>
    <w:rsid w:val="1F1759FE"/>
    <w:rsid w:val="1F1765D8"/>
    <w:rsid w:val="1F1A9622"/>
    <w:rsid w:val="1F1B9425"/>
    <w:rsid w:val="1F1EEF00"/>
    <w:rsid w:val="1F2049C2"/>
    <w:rsid w:val="1F20800A"/>
    <w:rsid w:val="1F230BD9"/>
    <w:rsid w:val="1F25665D"/>
    <w:rsid w:val="1F28E2BD"/>
    <w:rsid w:val="1F29160C"/>
    <w:rsid w:val="1F353723"/>
    <w:rsid w:val="1F3674D4"/>
    <w:rsid w:val="1F3A1728"/>
    <w:rsid w:val="1F3C9042"/>
    <w:rsid w:val="1F3D77EF"/>
    <w:rsid w:val="1F51905C"/>
    <w:rsid w:val="1F521941"/>
    <w:rsid w:val="1F533541"/>
    <w:rsid w:val="1F548CD1"/>
    <w:rsid w:val="1F55911F"/>
    <w:rsid w:val="1F58917E"/>
    <w:rsid w:val="1F5921EC"/>
    <w:rsid w:val="1F5C3E3E"/>
    <w:rsid w:val="1F5CE02F"/>
    <w:rsid w:val="1F60B197"/>
    <w:rsid w:val="1F63280C"/>
    <w:rsid w:val="1F68900C"/>
    <w:rsid w:val="1F6C3A78"/>
    <w:rsid w:val="1F6C9BE7"/>
    <w:rsid w:val="1F6E5374"/>
    <w:rsid w:val="1F7ABB1C"/>
    <w:rsid w:val="1F8F5E41"/>
    <w:rsid w:val="1F97FDE4"/>
    <w:rsid w:val="1F98D5B6"/>
    <w:rsid w:val="1F999EB8"/>
    <w:rsid w:val="1F9BD6CF"/>
    <w:rsid w:val="1FA1CE2B"/>
    <w:rsid w:val="1FA7360A"/>
    <w:rsid w:val="1FAF08FE"/>
    <w:rsid w:val="1FAF970B"/>
    <w:rsid w:val="1FB2184F"/>
    <w:rsid w:val="1FB65642"/>
    <w:rsid w:val="1FBF4E4E"/>
    <w:rsid w:val="1FC50AF5"/>
    <w:rsid w:val="1FC666BB"/>
    <w:rsid w:val="1FC9CA4A"/>
    <w:rsid w:val="1FCDC09B"/>
    <w:rsid w:val="1FCEF7B8"/>
    <w:rsid w:val="1FCFFE98"/>
    <w:rsid w:val="1FD191C2"/>
    <w:rsid w:val="1FD8AF1C"/>
    <w:rsid w:val="1FEB9735"/>
    <w:rsid w:val="1FEE0D32"/>
    <w:rsid w:val="1FF12864"/>
    <w:rsid w:val="1FF1C294"/>
    <w:rsid w:val="1FF24DDD"/>
    <w:rsid w:val="1FF3AC28"/>
    <w:rsid w:val="1FFCC9CE"/>
    <w:rsid w:val="1FFCE398"/>
    <w:rsid w:val="1FFE1A91"/>
    <w:rsid w:val="20032BB7"/>
    <w:rsid w:val="20085E19"/>
    <w:rsid w:val="200FAB02"/>
    <w:rsid w:val="201236AF"/>
    <w:rsid w:val="201569AB"/>
    <w:rsid w:val="2016DCF4"/>
    <w:rsid w:val="201A69B4"/>
    <w:rsid w:val="201E324B"/>
    <w:rsid w:val="201F0009"/>
    <w:rsid w:val="201F90C2"/>
    <w:rsid w:val="202165AA"/>
    <w:rsid w:val="2021AB10"/>
    <w:rsid w:val="2022BD7B"/>
    <w:rsid w:val="2022E533"/>
    <w:rsid w:val="20234E13"/>
    <w:rsid w:val="20275C10"/>
    <w:rsid w:val="202CF9A3"/>
    <w:rsid w:val="2030545A"/>
    <w:rsid w:val="2030590F"/>
    <w:rsid w:val="2042C65F"/>
    <w:rsid w:val="20509F7F"/>
    <w:rsid w:val="205BE9EF"/>
    <w:rsid w:val="205D4AF6"/>
    <w:rsid w:val="205DD150"/>
    <w:rsid w:val="205DFE9A"/>
    <w:rsid w:val="2060DF6C"/>
    <w:rsid w:val="20668F3F"/>
    <w:rsid w:val="2066BEE8"/>
    <w:rsid w:val="2071077D"/>
    <w:rsid w:val="207A7B21"/>
    <w:rsid w:val="207CF41E"/>
    <w:rsid w:val="207F37F0"/>
    <w:rsid w:val="20829B7E"/>
    <w:rsid w:val="2086F418"/>
    <w:rsid w:val="20887746"/>
    <w:rsid w:val="20889430"/>
    <w:rsid w:val="208A74D0"/>
    <w:rsid w:val="208CB5BC"/>
    <w:rsid w:val="208D383C"/>
    <w:rsid w:val="208D808B"/>
    <w:rsid w:val="209322C3"/>
    <w:rsid w:val="2094A125"/>
    <w:rsid w:val="209B53F1"/>
    <w:rsid w:val="20A27756"/>
    <w:rsid w:val="20A65813"/>
    <w:rsid w:val="20A73DF4"/>
    <w:rsid w:val="20B860DB"/>
    <w:rsid w:val="20B8EC86"/>
    <w:rsid w:val="20B9AEA8"/>
    <w:rsid w:val="20BC1ED2"/>
    <w:rsid w:val="20C10B2E"/>
    <w:rsid w:val="20C75A3D"/>
    <w:rsid w:val="20D45F12"/>
    <w:rsid w:val="20D6B6AD"/>
    <w:rsid w:val="20D86BEB"/>
    <w:rsid w:val="20E1929C"/>
    <w:rsid w:val="20E33AA3"/>
    <w:rsid w:val="20E4F231"/>
    <w:rsid w:val="20E507F4"/>
    <w:rsid w:val="20E88301"/>
    <w:rsid w:val="20EAB1D9"/>
    <w:rsid w:val="20EC6E19"/>
    <w:rsid w:val="20F46FBC"/>
    <w:rsid w:val="20F7E735"/>
    <w:rsid w:val="20FA5E25"/>
    <w:rsid w:val="20FDBA1B"/>
    <w:rsid w:val="21039501"/>
    <w:rsid w:val="21042A63"/>
    <w:rsid w:val="21057354"/>
    <w:rsid w:val="2105A779"/>
    <w:rsid w:val="2108B9C1"/>
    <w:rsid w:val="210997D8"/>
    <w:rsid w:val="210CF479"/>
    <w:rsid w:val="210DFF90"/>
    <w:rsid w:val="210FABE0"/>
    <w:rsid w:val="2113FFCF"/>
    <w:rsid w:val="21142F6E"/>
    <w:rsid w:val="2115DD05"/>
    <w:rsid w:val="2115EE86"/>
    <w:rsid w:val="211823E1"/>
    <w:rsid w:val="2119A7F2"/>
    <w:rsid w:val="211A7517"/>
    <w:rsid w:val="21207B95"/>
    <w:rsid w:val="212157E7"/>
    <w:rsid w:val="212DAA92"/>
    <w:rsid w:val="212ED3B7"/>
    <w:rsid w:val="21326804"/>
    <w:rsid w:val="213286DB"/>
    <w:rsid w:val="21378590"/>
    <w:rsid w:val="213D6F32"/>
    <w:rsid w:val="21438E32"/>
    <w:rsid w:val="2143DF17"/>
    <w:rsid w:val="214447D8"/>
    <w:rsid w:val="214A3F99"/>
    <w:rsid w:val="214D7F66"/>
    <w:rsid w:val="21504610"/>
    <w:rsid w:val="215DE784"/>
    <w:rsid w:val="215FE3CF"/>
    <w:rsid w:val="21600D3E"/>
    <w:rsid w:val="21608149"/>
    <w:rsid w:val="2160F20B"/>
    <w:rsid w:val="21633F7F"/>
    <w:rsid w:val="2163CABD"/>
    <w:rsid w:val="21648054"/>
    <w:rsid w:val="217725BD"/>
    <w:rsid w:val="217ED981"/>
    <w:rsid w:val="217FE3A9"/>
    <w:rsid w:val="2182747A"/>
    <w:rsid w:val="218A7EE4"/>
    <w:rsid w:val="219A32DD"/>
    <w:rsid w:val="219DA1A8"/>
    <w:rsid w:val="21A618BD"/>
    <w:rsid w:val="21AC9CE9"/>
    <w:rsid w:val="21B65E22"/>
    <w:rsid w:val="21B97528"/>
    <w:rsid w:val="21BA1049"/>
    <w:rsid w:val="21BA5439"/>
    <w:rsid w:val="21C02DD8"/>
    <w:rsid w:val="21D4798D"/>
    <w:rsid w:val="21D71E6B"/>
    <w:rsid w:val="21E23F24"/>
    <w:rsid w:val="21E2FF24"/>
    <w:rsid w:val="21ED353B"/>
    <w:rsid w:val="21EECC0F"/>
    <w:rsid w:val="21F1EDFE"/>
    <w:rsid w:val="21F5428D"/>
    <w:rsid w:val="22006E00"/>
    <w:rsid w:val="2204FF27"/>
    <w:rsid w:val="2209CBE6"/>
    <w:rsid w:val="2210A974"/>
    <w:rsid w:val="2213CAC1"/>
    <w:rsid w:val="221622F9"/>
    <w:rsid w:val="2221E64D"/>
    <w:rsid w:val="22224D9B"/>
    <w:rsid w:val="22226CAF"/>
    <w:rsid w:val="2225EBEF"/>
    <w:rsid w:val="222A162A"/>
    <w:rsid w:val="222B4F57"/>
    <w:rsid w:val="222BADA1"/>
    <w:rsid w:val="223263F0"/>
    <w:rsid w:val="22344D8F"/>
    <w:rsid w:val="22381191"/>
    <w:rsid w:val="223892E2"/>
    <w:rsid w:val="2239E730"/>
    <w:rsid w:val="223A3359"/>
    <w:rsid w:val="223C32F1"/>
    <w:rsid w:val="22433C2F"/>
    <w:rsid w:val="2244A176"/>
    <w:rsid w:val="2244FCF5"/>
    <w:rsid w:val="224780A8"/>
    <w:rsid w:val="224797B5"/>
    <w:rsid w:val="224C5763"/>
    <w:rsid w:val="22551F66"/>
    <w:rsid w:val="2256CCB5"/>
    <w:rsid w:val="2258294D"/>
    <w:rsid w:val="225ACD3C"/>
    <w:rsid w:val="2261163E"/>
    <w:rsid w:val="22633482"/>
    <w:rsid w:val="22655D39"/>
    <w:rsid w:val="226A12A7"/>
    <w:rsid w:val="226EC920"/>
    <w:rsid w:val="22741DD5"/>
    <w:rsid w:val="227522DB"/>
    <w:rsid w:val="227772E8"/>
    <w:rsid w:val="228030F1"/>
    <w:rsid w:val="2287154D"/>
    <w:rsid w:val="228CED37"/>
    <w:rsid w:val="228CF729"/>
    <w:rsid w:val="22936374"/>
    <w:rsid w:val="229911BC"/>
    <w:rsid w:val="229AA337"/>
    <w:rsid w:val="229C047D"/>
    <w:rsid w:val="229D598D"/>
    <w:rsid w:val="22A147D7"/>
    <w:rsid w:val="22A3D075"/>
    <w:rsid w:val="22A737F0"/>
    <w:rsid w:val="22AD827F"/>
    <w:rsid w:val="22AEF045"/>
    <w:rsid w:val="22B40B11"/>
    <w:rsid w:val="22B80DA3"/>
    <w:rsid w:val="22BC4F62"/>
    <w:rsid w:val="22BC6BEC"/>
    <w:rsid w:val="22BF4352"/>
    <w:rsid w:val="22BF489F"/>
    <w:rsid w:val="22C2DF9C"/>
    <w:rsid w:val="22C4961B"/>
    <w:rsid w:val="22C85417"/>
    <w:rsid w:val="22C8D069"/>
    <w:rsid w:val="22CA7C8E"/>
    <w:rsid w:val="22CB6E09"/>
    <w:rsid w:val="22CF4234"/>
    <w:rsid w:val="22CF4D08"/>
    <w:rsid w:val="22D145A0"/>
    <w:rsid w:val="22D1DEFA"/>
    <w:rsid w:val="22D28D6A"/>
    <w:rsid w:val="22D2B98E"/>
    <w:rsid w:val="22D2D3A5"/>
    <w:rsid w:val="22D609A1"/>
    <w:rsid w:val="22D8403F"/>
    <w:rsid w:val="22DBF844"/>
    <w:rsid w:val="22DC4B42"/>
    <w:rsid w:val="22DCAD7A"/>
    <w:rsid w:val="22DE2134"/>
    <w:rsid w:val="22E7D95E"/>
    <w:rsid w:val="22EB76FA"/>
    <w:rsid w:val="22EBBD7A"/>
    <w:rsid w:val="22F03F5A"/>
    <w:rsid w:val="22F3526D"/>
    <w:rsid w:val="22F5B030"/>
    <w:rsid w:val="22F898D5"/>
    <w:rsid w:val="22FA856D"/>
    <w:rsid w:val="22FD0768"/>
    <w:rsid w:val="22FD6EEA"/>
    <w:rsid w:val="22FE22B4"/>
    <w:rsid w:val="22FF8F84"/>
    <w:rsid w:val="23120919"/>
    <w:rsid w:val="231268C7"/>
    <w:rsid w:val="23151EC0"/>
    <w:rsid w:val="23218AB8"/>
    <w:rsid w:val="23235802"/>
    <w:rsid w:val="2328D4DF"/>
    <w:rsid w:val="23290A05"/>
    <w:rsid w:val="23365E13"/>
    <w:rsid w:val="2340E387"/>
    <w:rsid w:val="2341E395"/>
    <w:rsid w:val="23436486"/>
    <w:rsid w:val="234540E3"/>
    <w:rsid w:val="23507AA6"/>
    <w:rsid w:val="2351851F"/>
    <w:rsid w:val="23576DFD"/>
    <w:rsid w:val="235A72F1"/>
    <w:rsid w:val="235FECCA"/>
    <w:rsid w:val="2361428D"/>
    <w:rsid w:val="236AB345"/>
    <w:rsid w:val="236AD78A"/>
    <w:rsid w:val="236DAC55"/>
    <w:rsid w:val="236F2C5C"/>
    <w:rsid w:val="2374CE28"/>
    <w:rsid w:val="23784369"/>
    <w:rsid w:val="237EA382"/>
    <w:rsid w:val="23808EEC"/>
    <w:rsid w:val="23859700"/>
    <w:rsid w:val="2387B9BC"/>
    <w:rsid w:val="238A3F2E"/>
    <w:rsid w:val="238CB4CC"/>
    <w:rsid w:val="23944FBE"/>
    <w:rsid w:val="239A310C"/>
    <w:rsid w:val="23A0AE62"/>
    <w:rsid w:val="23AC079A"/>
    <w:rsid w:val="23AD5907"/>
    <w:rsid w:val="23AFE764"/>
    <w:rsid w:val="23B037E5"/>
    <w:rsid w:val="23B97C3C"/>
    <w:rsid w:val="23C15105"/>
    <w:rsid w:val="23C2CE3C"/>
    <w:rsid w:val="23C4105B"/>
    <w:rsid w:val="23C4B341"/>
    <w:rsid w:val="23C6ABCA"/>
    <w:rsid w:val="23C7D1EE"/>
    <w:rsid w:val="23CD9E08"/>
    <w:rsid w:val="23D370F4"/>
    <w:rsid w:val="23D7A20C"/>
    <w:rsid w:val="23DA3141"/>
    <w:rsid w:val="23DA5FAC"/>
    <w:rsid w:val="23DD0E73"/>
    <w:rsid w:val="23E45176"/>
    <w:rsid w:val="23E4C658"/>
    <w:rsid w:val="23EA9908"/>
    <w:rsid w:val="23EF03D4"/>
    <w:rsid w:val="23F081AC"/>
    <w:rsid w:val="23F7CA06"/>
    <w:rsid w:val="23FCAD2D"/>
    <w:rsid w:val="23FDC6D1"/>
    <w:rsid w:val="23FF8CA3"/>
    <w:rsid w:val="24031F13"/>
    <w:rsid w:val="240A8351"/>
    <w:rsid w:val="240C68BB"/>
    <w:rsid w:val="240E9BAD"/>
    <w:rsid w:val="240EBC10"/>
    <w:rsid w:val="240FB5D3"/>
    <w:rsid w:val="24114421"/>
    <w:rsid w:val="241C141D"/>
    <w:rsid w:val="241E33E4"/>
    <w:rsid w:val="242375DB"/>
    <w:rsid w:val="24248A15"/>
    <w:rsid w:val="2427E214"/>
    <w:rsid w:val="2428498E"/>
    <w:rsid w:val="2429CE00"/>
    <w:rsid w:val="242E606A"/>
    <w:rsid w:val="2436EB89"/>
    <w:rsid w:val="243C08C1"/>
    <w:rsid w:val="24413EDB"/>
    <w:rsid w:val="24440435"/>
    <w:rsid w:val="24459317"/>
    <w:rsid w:val="244A797C"/>
    <w:rsid w:val="244A9043"/>
    <w:rsid w:val="24502AB4"/>
    <w:rsid w:val="2450795D"/>
    <w:rsid w:val="2450A942"/>
    <w:rsid w:val="2451B52A"/>
    <w:rsid w:val="24571C37"/>
    <w:rsid w:val="24596DFB"/>
    <w:rsid w:val="245BE46E"/>
    <w:rsid w:val="245FF4E3"/>
    <w:rsid w:val="246040AB"/>
    <w:rsid w:val="2462B116"/>
    <w:rsid w:val="2462F4A5"/>
    <w:rsid w:val="2463343B"/>
    <w:rsid w:val="2468D449"/>
    <w:rsid w:val="24690665"/>
    <w:rsid w:val="24697065"/>
    <w:rsid w:val="24724F4A"/>
    <w:rsid w:val="2474AD04"/>
    <w:rsid w:val="24753508"/>
    <w:rsid w:val="24792D08"/>
    <w:rsid w:val="247F1D06"/>
    <w:rsid w:val="247FF9D0"/>
    <w:rsid w:val="2484BBA7"/>
    <w:rsid w:val="24878BD8"/>
    <w:rsid w:val="24894A80"/>
    <w:rsid w:val="24894F5A"/>
    <w:rsid w:val="248B2303"/>
    <w:rsid w:val="2490D137"/>
    <w:rsid w:val="2496F882"/>
    <w:rsid w:val="24980BB1"/>
    <w:rsid w:val="2499C505"/>
    <w:rsid w:val="249FA7DA"/>
    <w:rsid w:val="24ABF02F"/>
    <w:rsid w:val="24ADCA9E"/>
    <w:rsid w:val="24B47B88"/>
    <w:rsid w:val="24B4D36E"/>
    <w:rsid w:val="24B61DA3"/>
    <w:rsid w:val="24B76AD6"/>
    <w:rsid w:val="24B8E666"/>
    <w:rsid w:val="24C44553"/>
    <w:rsid w:val="24CC44C2"/>
    <w:rsid w:val="24D24602"/>
    <w:rsid w:val="24D355CC"/>
    <w:rsid w:val="24D4D51E"/>
    <w:rsid w:val="24D69A64"/>
    <w:rsid w:val="24D78B94"/>
    <w:rsid w:val="24E00CA1"/>
    <w:rsid w:val="24E4F99B"/>
    <w:rsid w:val="24ED9B33"/>
    <w:rsid w:val="24EE0BA6"/>
    <w:rsid w:val="24EE292F"/>
    <w:rsid w:val="24F1000B"/>
    <w:rsid w:val="24F20A52"/>
    <w:rsid w:val="24F6CF61"/>
    <w:rsid w:val="24FA66D5"/>
    <w:rsid w:val="24FC31A6"/>
    <w:rsid w:val="24FF5B02"/>
    <w:rsid w:val="24FF77CB"/>
    <w:rsid w:val="25058C0C"/>
    <w:rsid w:val="2506CF41"/>
    <w:rsid w:val="250DE783"/>
    <w:rsid w:val="2512027A"/>
    <w:rsid w:val="2513A689"/>
    <w:rsid w:val="25147DCB"/>
    <w:rsid w:val="25194A15"/>
    <w:rsid w:val="251969C6"/>
    <w:rsid w:val="251AC7E2"/>
    <w:rsid w:val="25282A0C"/>
    <w:rsid w:val="2528AC17"/>
    <w:rsid w:val="252E87CC"/>
    <w:rsid w:val="25357F57"/>
    <w:rsid w:val="25364053"/>
    <w:rsid w:val="253AB7C5"/>
    <w:rsid w:val="253D7D76"/>
    <w:rsid w:val="2542B42F"/>
    <w:rsid w:val="254338E7"/>
    <w:rsid w:val="25435547"/>
    <w:rsid w:val="25450319"/>
    <w:rsid w:val="254527FC"/>
    <w:rsid w:val="25467F06"/>
    <w:rsid w:val="25472F75"/>
    <w:rsid w:val="254895EF"/>
    <w:rsid w:val="2551A5DA"/>
    <w:rsid w:val="2552B261"/>
    <w:rsid w:val="25555F3F"/>
    <w:rsid w:val="255593AB"/>
    <w:rsid w:val="255F2596"/>
    <w:rsid w:val="255F67FA"/>
    <w:rsid w:val="256386E9"/>
    <w:rsid w:val="2565E1D7"/>
    <w:rsid w:val="2566125F"/>
    <w:rsid w:val="256762D6"/>
    <w:rsid w:val="256789FC"/>
    <w:rsid w:val="256B2CAB"/>
    <w:rsid w:val="256B84D8"/>
    <w:rsid w:val="256C87B0"/>
    <w:rsid w:val="256EEB8D"/>
    <w:rsid w:val="257F1844"/>
    <w:rsid w:val="25814204"/>
    <w:rsid w:val="25817377"/>
    <w:rsid w:val="2582BB31"/>
    <w:rsid w:val="25844A5F"/>
    <w:rsid w:val="258727A8"/>
    <w:rsid w:val="2589D068"/>
    <w:rsid w:val="2596A9D4"/>
    <w:rsid w:val="259A2669"/>
    <w:rsid w:val="259B804A"/>
    <w:rsid w:val="259CB4CD"/>
    <w:rsid w:val="259EEE09"/>
    <w:rsid w:val="25A0E241"/>
    <w:rsid w:val="25A33FA2"/>
    <w:rsid w:val="25A467F0"/>
    <w:rsid w:val="25A60D6C"/>
    <w:rsid w:val="25A90247"/>
    <w:rsid w:val="25A9062D"/>
    <w:rsid w:val="25A9F0AB"/>
    <w:rsid w:val="25AA1BD2"/>
    <w:rsid w:val="25AB7929"/>
    <w:rsid w:val="25ABCCD2"/>
    <w:rsid w:val="25ADFB82"/>
    <w:rsid w:val="25AF40BA"/>
    <w:rsid w:val="25B0659A"/>
    <w:rsid w:val="25B4A2C9"/>
    <w:rsid w:val="25BF8911"/>
    <w:rsid w:val="25BFFA13"/>
    <w:rsid w:val="25C1A204"/>
    <w:rsid w:val="25C3788A"/>
    <w:rsid w:val="25C460C2"/>
    <w:rsid w:val="25D085C9"/>
    <w:rsid w:val="25E17F9B"/>
    <w:rsid w:val="25E459D2"/>
    <w:rsid w:val="25E7B1E0"/>
    <w:rsid w:val="25EB568D"/>
    <w:rsid w:val="25F4A718"/>
    <w:rsid w:val="25F73D0E"/>
    <w:rsid w:val="25F74723"/>
    <w:rsid w:val="25FE9D25"/>
    <w:rsid w:val="2601AD8B"/>
    <w:rsid w:val="2605DD6D"/>
    <w:rsid w:val="260769D2"/>
    <w:rsid w:val="2607F792"/>
    <w:rsid w:val="260A16E0"/>
    <w:rsid w:val="2615FFCA"/>
    <w:rsid w:val="26161982"/>
    <w:rsid w:val="26166B16"/>
    <w:rsid w:val="26180AAF"/>
    <w:rsid w:val="2618E82D"/>
    <w:rsid w:val="261F820E"/>
    <w:rsid w:val="261FD92C"/>
    <w:rsid w:val="26214F32"/>
    <w:rsid w:val="262A72B3"/>
    <w:rsid w:val="262B0950"/>
    <w:rsid w:val="262D5C32"/>
    <w:rsid w:val="262DDF5A"/>
    <w:rsid w:val="262FE7DD"/>
    <w:rsid w:val="2632CBD0"/>
    <w:rsid w:val="2638A758"/>
    <w:rsid w:val="263AC811"/>
    <w:rsid w:val="263CAC41"/>
    <w:rsid w:val="263E73E6"/>
    <w:rsid w:val="263EBCE2"/>
    <w:rsid w:val="263F6FA6"/>
    <w:rsid w:val="2642F31E"/>
    <w:rsid w:val="26438AC8"/>
    <w:rsid w:val="264497A3"/>
    <w:rsid w:val="2645205E"/>
    <w:rsid w:val="26460650"/>
    <w:rsid w:val="2647718F"/>
    <w:rsid w:val="2648F4DD"/>
    <w:rsid w:val="26554AD5"/>
    <w:rsid w:val="26577873"/>
    <w:rsid w:val="26580B7A"/>
    <w:rsid w:val="265A55BD"/>
    <w:rsid w:val="265F1323"/>
    <w:rsid w:val="265FA9A3"/>
    <w:rsid w:val="26613D80"/>
    <w:rsid w:val="26626405"/>
    <w:rsid w:val="26631654"/>
    <w:rsid w:val="26649447"/>
    <w:rsid w:val="2665FDD3"/>
    <w:rsid w:val="2667DCFA"/>
    <w:rsid w:val="266E5527"/>
    <w:rsid w:val="267254E5"/>
    <w:rsid w:val="2674BBC9"/>
    <w:rsid w:val="267516FD"/>
    <w:rsid w:val="2679709B"/>
    <w:rsid w:val="267A1260"/>
    <w:rsid w:val="267A3730"/>
    <w:rsid w:val="267E6C7E"/>
    <w:rsid w:val="2680BF43"/>
    <w:rsid w:val="26834E7F"/>
    <w:rsid w:val="268389A6"/>
    <w:rsid w:val="26857A75"/>
    <w:rsid w:val="26899140"/>
    <w:rsid w:val="268ACCBA"/>
    <w:rsid w:val="268C197F"/>
    <w:rsid w:val="268E8A73"/>
    <w:rsid w:val="2692188D"/>
    <w:rsid w:val="269A82A0"/>
    <w:rsid w:val="269B9307"/>
    <w:rsid w:val="269CC556"/>
    <w:rsid w:val="26A72DC1"/>
    <w:rsid w:val="26A9C22C"/>
    <w:rsid w:val="26B319BC"/>
    <w:rsid w:val="26B8FC52"/>
    <w:rsid w:val="26BBA14B"/>
    <w:rsid w:val="26BFAD16"/>
    <w:rsid w:val="26C96FA7"/>
    <w:rsid w:val="26C9C7E4"/>
    <w:rsid w:val="26CB1B50"/>
    <w:rsid w:val="26CF1767"/>
    <w:rsid w:val="26D0024F"/>
    <w:rsid w:val="26DA7C17"/>
    <w:rsid w:val="26DE8FC8"/>
    <w:rsid w:val="26E612EA"/>
    <w:rsid w:val="26ED4575"/>
    <w:rsid w:val="26EF531E"/>
    <w:rsid w:val="26F1C696"/>
    <w:rsid w:val="26F1F773"/>
    <w:rsid w:val="26F43C6A"/>
    <w:rsid w:val="26F57BE6"/>
    <w:rsid w:val="26F7B59E"/>
    <w:rsid w:val="26FF6F18"/>
    <w:rsid w:val="27029875"/>
    <w:rsid w:val="270F5F51"/>
    <w:rsid w:val="27105513"/>
    <w:rsid w:val="27136696"/>
    <w:rsid w:val="27148C85"/>
    <w:rsid w:val="271534D4"/>
    <w:rsid w:val="271D2DD6"/>
    <w:rsid w:val="272126A1"/>
    <w:rsid w:val="272157A7"/>
    <w:rsid w:val="272159FE"/>
    <w:rsid w:val="272A2E4C"/>
    <w:rsid w:val="272A43CB"/>
    <w:rsid w:val="272C2E90"/>
    <w:rsid w:val="27365BA0"/>
    <w:rsid w:val="273AF362"/>
    <w:rsid w:val="2745CB1D"/>
    <w:rsid w:val="2748FC3A"/>
    <w:rsid w:val="275561F2"/>
    <w:rsid w:val="2756B37D"/>
    <w:rsid w:val="275F262C"/>
    <w:rsid w:val="27603C83"/>
    <w:rsid w:val="276255D2"/>
    <w:rsid w:val="27664D10"/>
    <w:rsid w:val="2769E243"/>
    <w:rsid w:val="276AC385"/>
    <w:rsid w:val="276ED9D6"/>
    <w:rsid w:val="276F4032"/>
    <w:rsid w:val="27712509"/>
    <w:rsid w:val="2774D88D"/>
    <w:rsid w:val="277588D5"/>
    <w:rsid w:val="2775C4DF"/>
    <w:rsid w:val="27789C00"/>
    <w:rsid w:val="277ADA3D"/>
    <w:rsid w:val="27822EFF"/>
    <w:rsid w:val="2787AC98"/>
    <w:rsid w:val="2787CAE9"/>
    <w:rsid w:val="2787DB68"/>
    <w:rsid w:val="278B7090"/>
    <w:rsid w:val="278C4740"/>
    <w:rsid w:val="278DBC69"/>
    <w:rsid w:val="27901F74"/>
    <w:rsid w:val="27940533"/>
    <w:rsid w:val="27954F32"/>
    <w:rsid w:val="2798CDC9"/>
    <w:rsid w:val="27A3EDC0"/>
    <w:rsid w:val="27A4B02D"/>
    <w:rsid w:val="27A705B9"/>
    <w:rsid w:val="27B2AC44"/>
    <w:rsid w:val="27BA8962"/>
    <w:rsid w:val="27BDE546"/>
    <w:rsid w:val="27C30CB2"/>
    <w:rsid w:val="27C54D82"/>
    <w:rsid w:val="27C65480"/>
    <w:rsid w:val="27C84B65"/>
    <w:rsid w:val="27C9883A"/>
    <w:rsid w:val="27CDB8AE"/>
    <w:rsid w:val="27D78730"/>
    <w:rsid w:val="27DD3A34"/>
    <w:rsid w:val="27DE4E73"/>
    <w:rsid w:val="27E451FD"/>
    <w:rsid w:val="27E71639"/>
    <w:rsid w:val="27E8DC3C"/>
    <w:rsid w:val="27EA176B"/>
    <w:rsid w:val="27EC5C51"/>
    <w:rsid w:val="27F0F956"/>
    <w:rsid w:val="27F13C32"/>
    <w:rsid w:val="27F219C2"/>
    <w:rsid w:val="27F2B848"/>
    <w:rsid w:val="27F5A088"/>
    <w:rsid w:val="27F95CC6"/>
    <w:rsid w:val="27F9CF85"/>
    <w:rsid w:val="27FB4D4B"/>
    <w:rsid w:val="27FCB6C2"/>
    <w:rsid w:val="2801DA2A"/>
    <w:rsid w:val="2804A025"/>
    <w:rsid w:val="28053938"/>
    <w:rsid w:val="280AB4FB"/>
    <w:rsid w:val="2810FF47"/>
    <w:rsid w:val="28113493"/>
    <w:rsid w:val="281478FF"/>
    <w:rsid w:val="28147BF5"/>
    <w:rsid w:val="281A1C2E"/>
    <w:rsid w:val="281CE8CB"/>
    <w:rsid w:val="281F36AB"/>
    <w:rsid w:val="282684A4"/>
    <w:rsid w:val="282C9252"/>
    <w:rsid w:val="282D17A1"/>
    <w:rsid w:val="282DFBCE"/>
    <w:rsid w:val="283088DB"/>
    <w:rsid w:val="283F407A"/>
    <w:rsid w:val="2842C0B3"/>
    <w:rsid w:val="284B84B9"/>
    <w:rsid w:val="284E1225"/>
    <w:rsid w:val="28507EAE"/>
    <w:rsid w:val="28558E05"/>
    <w:rsid w:val="2859302B"/>
    <w:rsid w:val="285DEB8D"/>
    <w:rsid w:val="28650A88"/>
    <w:rsid w:val="286B33A8"/>
    <w:rsid w:val="286CB0AD"/>
    <w:rsid w:val="286EB9EB"/>
    <w:rsid w:val="2872D8C0"/>
    <w:rsid w:val="28737424"/>
    <w:rsid w:val="287E90B0"/>
    <w:rsid w:val="287FED15"/>
    <w:rsid w:val="28805041"/>
    <w:rsid w:val="28811FE6"/>
    <w:rsid w:val="2882258C"/>
    <w:rsid w:val="288AD503"/>
    <w:rsid w:val="288E64BA"/>
    <w:rsid w:val="288F14E2"/>
    <w:rsid w:val="2891F3DF"/>
    <w:rsid w:val="28943239"/>
    <w:rsid w:val="289535DC"/>
    <w:rsid w:val="2896F448"/>
    <w:rsid w:val="28974F57"/>
    <w:rsid w:val="2897DF19"/>
    <w:rsid w:val="289B159B"/>
    <w:rsid w:val="289F779D"/>
    <w:rsid w:val="289F8C78"/>
    <w:rsid w:val="28A4709F"/>
    <w:rsid w:val="28A59757"/>
    <w:rsid w:val="28A684CC"/>
    <w:rsid w:val="28AFE987"/>
    <w:rsid w:val="28B1D737"/>
    <w:rsid w:val="28BA2995"/>
    <w:rsid w:val="28BFD465"/>
    <w:rsid w:val="28C4D0A7"/>
    <w:rsid w:val="28CCF964"/>
    <w:rsid w:val="28D1B756"/>
    <w:rsid w:val="28D1FF7F"/>
    <w:rsid w:val="28D25609"/>
    <w:rsid w:val="28DF67AD"/>
    <w:rsid w:val="28E68F92"/>
    <w:rsid w:val="28E6B27C"/>
    <w:rsid w:val="28ED6BF7"/>
    <w:rsid w:val="28F29FE6"/>
    <w:rsid w:val="28F3CD5B"/>
    <w:rsid w:val="28FB8737"/>
    <w:rsid w:val="29014540"/>
    <w:rsid w:val="290877FB"/>
    <w:rsid w:val="290A0018"/>
    <w:rsid w:val="290A51DA"/>
    <w:rsid w:val="290FA732"/>
    <w:rsid w:val="2910799D"/>
    <w:rsid w:val="2910CC92"/>
    <w:rsid w:val="2912891B"/>
    <w:rsid w:val="29161619"/>
    <w:rsid w:val="29191040"/>
    <w:rsid w:val="291C43F1"/>
    <w:rsid w:val="292F7662"/>
    <w:rsid w:val="293065BF"/>
    <w:rsid w:val="29326EA8"/>
    <w:rsid w:val="2938B31B"/>
    <w:rsid w:val="293A0BA7"/>
    <w:rsid w:val="293B1A3D"/>
    <w:rsid w:val="2940CCFE"/>
    <w:rsid w:val="2940E91F"/>
    <w:rsid w:val="29436E5A"/>
    <w:rsid w:val="29477BB6"/>
    <w:rsid w:val="2949FA70"/>
    <w:rsid w:val="294F1A6A"/>
    <w:rsid w:val="29509755"/>
    <w:rsid w:val="295437B0"/>
    <w:rsid w:val="2957760C"/>
    <w:rsid w:val="295B4385"/>
    <w:rsid w:val="295D0789"/>
    <w:rsid w:val="295D1F2F"/>
    <w:rsid w:val="295D3D78"/>
    <w:rsid w:val="295F892E"/>
    <w:rsid w:val="29626BB7"/>
    <w:rsid w:val="2962856A"/>
    <w:rsid w:val="29665861"/>
    <w:rsid w:val="2968B790"/>
    <w:rsid w:val="296E8855"/>
    <w:rsid w:val="296EF143"/>
    <w:rsid w:val="296F6668"/>
    <w:rsid w:val="2972586C"/>
    <w:rsid w:val="29755574"/>
    <w:rsid w:val="2977C81D"/>
    <w:rsid w:val="297F3014"/>
    <w:rsid w:val="2980634C"/>
    <w:rsid w:val="29837DFA"/>
    <w:rsid w:val="29883292"/>
    <w:rsid w:val="29904695"/>
    <w:rsid w:val="2990787C"/>
    <w:rsid w:val="29914E48"/>
    <w:rsid w:val="2991D381"/>
    <w:rsid w:val="2995EA71"/>
    <w:rsid w:val="299DDCA6"/>
    <w:rsid w:val="29A16EC7"/>
    <w:rsid w:val="29A1A54B"/>
    <w:rsid w:val="29B5F856"/>
    <w:rsid w:val="29B80AD8"/>
    <w:rsid w:val="29C100C4"/>
    <w:rsid w:val="29C188E5"/>
    <w:rsid w:val="29C34FA6"/>
    <w:rsid w:val="29C67647"/>
    <w:rsid w:val="29C8CBFE"/>
    <w:rsid w:val="29CA4CAE"/>
    <w:rsid w:val="29CADFF3"/>
    <w:rsid w:val="29CCB893"/>
    <w:rsid w:val="29D27E00"/>
    <w:rsid w:val="29D47775"/>
    <w:rsid w:val="29DF8B73"/>
    <w:rsid w:val="29E68333"/>
    <w:rsid w:val="29EA719B"/>
    <w:rsid w:val="29EF2A3E"/>
    <w:rsid w:val="29F055C1"/>
    <w:rsid w:val="29F0D245"/>
    <w:rsid w:val="29F2B51A"/>
    <w:rsid w:val="2A040294"/>
    <w:rsid w:val="2A067BAF"/>
    <w:rsid w:val="2A06CBEC"/>
    <w:rsid w:val="2A09774E"/>
    <w:rsid w:val="2A0CE5DE"/>
    <w:rsid w:val="2A0D928C"/>
    <w:rsid w:val="2A100961"/>
    <w:rsid w:val="2A146B3D"/>
    <w:rsid w:val="2A15A56E"/>
    <w:rsid w:val="2A1BCFD7"/>
    <w:rsid w:val="2A2372D4"/>
    <w:rsid w:val="2A237427"/>
    <w:rsid w:val="2A27C744"/>
    <w:rsid w:val="2A2A85BF"/>
    <w:rsid w:val="2A2FF624"/>
    <w:rsid w:val="2A30A619"/>
    <w:rsid w:val="2A311503"/>
    <w:rsid w:val="2A34B57F"/>
    <w:rsid w:val="2A38EBB9"/>
    <w:rsid w:val="2A453F48"/>
    <w:rsid w:val="2A4A8054"/>
    <w:rsid w:val="2A4DCAAA"/>
    <w:rsid w:val="2A52DE15"/>
    <w:rsid w:val="2A579BF3"/>
    <w:rsid w:val="2A60EE9A"/>
    <w:rsid w:val="2A688FE2"/>
    <w:rsid w:val="2A6B6E12"/>
    <w:rsid w:val="2A6EC44B"/>
    <w:rsid w:val="2A6F2E67"/>
    <w:rsid w:val="2A7103AA"/>
    <w:rsid w:val="2A7841AD"/>
    <w:rsid w:val="2A810AA8"/>
    <w:rsid w:val="2A843990"/>
    <w:rsid w:val="2A86DF08"/>
    <w:rsid w:val="2A8EB3B6"/>
    <w:rsid w:val="2A8F402C"/>
    <w:rsid w:val="2A931B7D"/>
    <w:rsid w:val="2A98E13D"/>
    <w:rsid w:val="2A9C9CEF"/>
    <w:rsid w:val="2AAF19F9"/>
    <w:rsid w:val="2AAF59FC"/>
    <w:rsid w:val="2AB05269"/>
    <w:rsid w:val="2AB7F0F3"/>
    <w:rsid w:val="2ABB36F3"/>
    <w:rsid w:val="2AC0127E"/>
    <w:rsid w:val="2AC0697C"/>
    <w:rsid w:val="2AC6E08F"/>
    <w:rsid w:val="2ACD9738"/>
    <w:rsid w:val="2ACE16A1"/>
    <w:rsid w:val="2AD5EC75"/>
    <w:rsid w:val="2AD94180"/>
    <w:rsid w:val="2ADA2052"/>
    <w:rsid w:val="2AE000A0"/>
    <w:rsid w:val="2AE1C898"/>
    <w:rsid w:val="2AE3804C"/>
    <w:rsid w:val="2AE5C22F"/>
    <w:rsid w:val="2AEB4E36"/>
    <w:rsid w:val="2AEC6DC9"/>
    <w:rsid w:val="2AF3CE0F"/>
    <w:rsid w:val="2AF4A836"/>
    <w:rsid w:val="2AF4CB8C"/>
    <w:rsid w:val="2AF92355"/>
    <w:rsid w:val="2AFDDC05"/>
    <w:rsid w:val="2B010C02"/>
    <w:rsid w:val="2B014C0D"/>
    <w:rsid w:val="2B040B94"/>
    <w:rsid w:val="2B050B48"/>
    <w:rsid w:val="2B0A625A"/>
    <w:rsid w:val="2B0B3B88"/>
    <w:rsid w:val="2B0F9CDB"/>
    <w:rsid w:val="2B101FB7"/>
    <w:rsid w:val="2B1473AD"/>
    <w:rsid w:val="2B1BB41B"/>
    <w:rsid w:val="2B28348F"/>
    <w:rsid w:val="2B295FE7"/>
    <w:rsid w:val="2B296161"/>
    <w:rsid w:val="2B2F0C22"/>
    <w:rsid w:val="2B334E90"/>
    <w:rsid w:val="2B3CD82D"/>
    <w:rsid w:val="2B3DB3E0"/>
    <w:rsid w:val="2B3DEBEC"/>
    <w:rsid w:val="2B43B48F"/>
    <w:rsid w:val="2B4AC88E"/>
    <w:rsid w:val="2B512EFC"/>
    <w:rsid w:val="2B542F20"/>
    <w:rsid w:val="2B543CA3"/>
    <w:rsid w:val="2B5654D1"/>
    <w:rsid w:val="2B567B0C"/>
    <w:rsid w:val="2B5D926A"/>
    <w:rsid w:val="2B5FCA44"/>
    <w:rsid w:val="2B655B8B"/>
    <w:rsid w:val="2B662BDE"/>
    <w:rsid w:val="2B693678"/>
    <w:rsid w:val="2B6AF9AD"/>
    <w:rsid w:val="2B6B20B8"/>
    <w:rsid w:val="2B6B2784"/>
    <w:rsid w:val="2B6E52E6"/>
    <w:rsid w:val="2B76F3BA"/>
    <w:rsid w:val="2B77B384"/>
    <w:rsid w:val="2B7FC1F4"/>
    <w:rsid w:val="2B829712"/>
    <w:rsid w:val="2B847757"/>
    <w:rsid w:val="2B84FAF1"/>
    <w:rsid w:val="2B8AB0D3"/>
    <w:rsid w:val="2B8B5145"/>
    <w:rsid w:val="2B8E3CA4"/>
    <w:rsid w:val="2B937702"/>
    <w:rsid w:val="2B977F64"/>
    <w:rsid w:val="2B9915A5"/>
    <w:rsid w:val="2B9A47C0"/>
    <w:rsid w:val="2B9EE31F"/>
    <w:rsid w:val="2B9FF566"/>
    <w:rsid w:val="2BA0B7B8"/>
    <w:rsid w:val="2BA2AC5A"/>
    <w:rsid w:val="2BA54CF8"/>
    <w:rsid w:val="2BAB2D95"/>
    <w:rsid w:val="2BABB462"/>
    <w:rsid w:val="2BABD725"/>
    <w:rsid w:val="2BADDD62"/>
    <w:rsid w:val="2BAEAFD5"/>
    <w:rsid w:val="2BAEE459"/>
    <w:rsid w:val="2BB6B2D1"/>
    <w:rsid w:val="2BB86D3D"/>
    <w:rsid w:val="2BBB1077"/>
    <w:rsid w:val="2BBBBF1E"/>
    <w:rsid w:val="2BBD0633"/>
    <w:rsid w:val="2BBD96E0"/>
    <w:rsid w:val="2BBEA89A"/>
    <w:rsid w:val="2BBEAC3F"/>
    <w:rsid w:val="2BC3742F"/>
    <w:rsid w:val="2BC6E1C9"/>
    <w:rsid w:val="2BC89F08"/>
    <w:rsid w:val="2BCFA0DF"/>
    <w:rsid w:val="2BD30016"/>
    <w:rsid w:val="2BD672C9"/>
    <w:rsid w:val="2BD68E0D"/>
    <w:rsid w:val="2BDBEEF6"/>
    <w:rsid w:val="2BE44289"/>
    <w:rsid w:val="2BE50B79"/>
    <w:rsid w:val="2BEB4B9E"/>
    <w:rsid w:val="2BF03AC1"/>
    <w:rsid w:val="2BF30F71"/>
    <w:rsid w:val="2BFF8EB3"/>
    <w:rsid w:val="2C04CD6F"/>
    <w:rsid w:val="2C0B763A"/>
    <w:rsid w:val="2C0D41EB"/>
    <w:rsid w:val="2C120EA9"/>
    <w:rsid w:val="2C156A66"/>
    <w:rsid w:val="2C196DAC"/>
    <w:rsid w:val="2C1B800D"/>
    <w:rsid w:val="2C2499AC"/>
    <w:rsid w:val="2C26D0A1"/>
    <w:rsid w:val="2C3083BF"/>
    <w:rsid w:val="2C30FDCB"/>
    <w:rsid w:val="2C329704"/>
    <w:rsid w:val="2C3316A7"/>
    <w:rsid w:val="2C336352"/>
    <w:rsid w:val="2C3581A7"/>
    <w:rsid w:val="2C3D3BC4"/>
    <w:rsid w:val="2C3DF399"/>
    <w:rsid w:val="2C41B822"/>
    <w:rsid w:val="2C4257C2"/>
    <w:rsid w:val="2C44FF85"/>
    <w:rsid w:val="2C4AE2B1"/>
    <w:rsid w:val="2C4B3594"/>
    <w:rsid w:val="2C4EF1D5"/>
    <w:rsid w:val="2C4F9B61"/>
    <w:rsid w:val="2C55BC5F"/>
    <w:rsid w:val="2C590BF3"/>
    <w:rsid w:val="2C591A4F"/>
    <w:rsid w:val="2C59714B"/>
    <w:rsid w:val="2C5AF697"/>
    <w:rsid w:val="2C616F89"/>
    <w:rsid w:val="2C63A5E6"/>
    <w:rsid w:val="2C6C617E"/>
    <w:rsid w:val="2C6D549A"/>
    <w:rsid w:val="2C6DA13C"/>
    <w:rsid w:val="2C712299"/>
    <w:rsid w:val="2C730CE5"/>
    <w:rsid w:val="2C7759DD"/>
    <w:rsid w:val="2C7B764F"/>
    <w:rsid w:val="2C7BC71A"/>
    <w:rsid w:val="2C7DE987"/>
    <w:rsid w:val="2C83FB73"/>
    <w:rsid w:val="2C8A3553"/>
    <w:rsid w:val="2C8AE35D"/>
    <w:rsid w:val="2C8D1056"/>
    <w:rsid w:val="2C8DA726"/>
    <w:rsid w:val="2C8E9665"/>
    <w:rsid w:val="2C8EC5F5"/>
    <w:rsid w:val="2C8FF0D1"/>
    <w:rsid w:val="2C9030C5"/>
    <w:rsid w:val="2C90AB47"/>
    <w:rsid w:val="2C953883"/>
    <w:rsid w:val="2C9A010E"/>
    <w:rsid w:val="2C9A5D50"/>
    <w:rsid w:val="2C9BB7A0"/>
    <w:rsid w:val="2C9C3D8D"/>
    <w:rsid w:val="2C9F89EF"/>
    <w:rsid w:val="2CA04A88"/>
    <w:rsid w:val="2CA56494"/>
    <w:rsid w:val="2CA66904"/>
    <w:rsid w:val="2CA99622"/>
    <w:rsid w:val="2CACFF56"/>
    <w:rsid w:val="2CADE28C"/>
    <w:rsid w:val="2CAE2DC0"/>
    <w:rsid w:val="2CB00D4E"/>
    <w:rsid w:val="2CB518BA"/>
    <w:rsid w:val="2CB84105"/>
    <w:rsid w:val="2CB8D590"/>
    <w:rsid w:val="2CBF475D"/>
    <w:rsid w:val="2CBF793E"/>
    <w:rsid w:val="2CC0B83B"/>
    <w:rsid w:val="2CC1682F"/>
    <w:rsid w:val="2CC4AE5F"/>
    <w:rsid w:val="2CC60D56"/>
    <w:rsid w:val="2CCC0208"/>
    <w:rsid w:val="2CCE69A9"/>
    <w:rsid w:val="2CCF8EE9"/>
    <w:rsid w:val="2CD416A4"/>
    <w:rsid w:val="2CD9EE37"/>
    <w:rsid w:val="2CDBE6C4"/>
    <w:rsid w:val="2CE7502F"/>
    <w:rsid w:val="2CEBD26A"/>
    <w:rsid w:val="2CF0DCB4"/>
    <w:rsid w:val="2CF1E80B"/>
    <w:rsid w:val="2CF2A537"/>
    <w:rsid w:val="2CF458BC"/>
    <w:rsid w:val="2CF60F57"/>
    <w:rsid w:val="2CF64659"/>
    <w:rsid w:val="2CF990F3"/>
    <w:rsid w:val="2D03D2B1"/>
    <w:rsid w:val="2D080B67"/>
    <w:rsid w:val="2D0B8A00"/>
    <w:rsid w:val="2D0CED33"/>
    <w:rsid w:val="2D103224"/>
    <w:rsid w:val="2D142F6F"/>
    <w:rsid w:val="2D158914"/>
    <w:rsid w:val="2D17A62A"/>
    <w:rsid w:val="2D1BA079"/>
    <w:rsid w:val="2D1CE87E"/>
    <w:rsid w:val="2D22D527"/>
    <w:rsid w:val="2D25C91D"/>
    <w:rsid w:val="2D2A563D"/>
    <w:rsid w:val="2D2AC8A2"/>
    <w:rsid w:val="2D2BF254"/>
    <w:rsid w:val="2D2F36C4"/>
    <w:rsid w:val="2D322103"/>
    <w:rsid w:val="2D32479E"/>
    <w:rsid w:val="2D3E2B48"/>
    <w:rsid w:val="2D429B1B"/>
    <w:rsid w:val="2D452CBA"/>
    <w:rsid w:val="2D47878A"/>
    <w:rsid w:val="2D4E2B58"/>
    <w:rsid w:val="2D5BCDAF"/>
    <w:rsid w:val="2D5C56EC"/>
    <w:rsid w:val="2D5D8070"/>
    <w:rsid w:val="2D5F1F76"/>
    <w:rsid w:val="2D612C54"/>
    <w:rsid w:val="2D614A9B"/>
    <w:rsid w:val="2D6274FA"/>
    <w:rsid w:val="2D721882"/>
    <w:rsid w:val="2D78DD47"/>
    <w:rsid w:val="2D7FA851"/>
    <w:rsid w:val="2D86B851"/>
    <w:rsid w:val="2D8BD36A"/>
    <w:rsid w:val="2D8F61CA"/>
    <w:rsid w:val="2D9029A6"/>
    <w:rsid w:val="2D91FB0F"/>
    <w:rsid w:val="2D933A9E"/>
    <w:rsid w:val="2D956287"/>
    <w:rsid w:val="2D98A7FA"/>
    <w:rsid w:val="2D991643"/>
    <w:rsid w:val="2D9B65EE"/>
    <w:rsid w:val="2D9DAA76"/>
    <w:rsid w:val="2D9EEFFC"/>
    <w:rsid w:val="2DA91BCE"/>
    <w:rsid w:val="2DADB183"/>
    <w:rsid w:val="2DB81BDB"/>
    <w:rsid w:val="2DB89A6D"/>
    <w:rsid w:val="2DC1E41A"/>
    <w:rsid w:val="2DCA3E91"/>
    <w:rsid w:val="2DCD4A8A"/>
    <w:rsid w:val="2DCF9E96"/>
    <w:rsid w:val="2DD00942"/>
    <w:rsid w:val="2DD5EC8B"/>
    <w:rsid w:val="2DD751EA"/>
    <w:rsid w:val="2DDAD8AF"/>
    <w:rsid w:val="2DDB121F"/>
    <w:rsid w:val="2DE34BCA"/>
    <w:rsid w:val="2DEA9A24"/>
    <w:rsid w:val="2DFD2244"/>
    <w:rsid w:val="2E06DE02"/>
    <w:rsid w:val="2E084C4B"/>
    <w:rsid w:val="2E0D0ED7"/>
    <w:rsid w:val="2E0E079F"/>
    <w:rsid w:val="2E0E3E46"/>
    <w:rsid w:val="2E0E4A13"/>
    <w:rsid w:val="2E1387F5"/>
    <w:rsid w:val="2E1B636B"/>
    <w:rsid w:val="2E2159CE"/>
    <w:rsid w:val="2E24D274"/>
    <w:rsid w:val="2E263E2C"/>
    <w:rsid w:val="2E30434F"/>
    <w:rsid w:val="2E32DA63"/>
    <w:rsid w:val="2E37D5B7"/>
    <w:rsid w:val="2E3B282C"/>
    <w:rsid w:val="2E41E5DD"/>
    <w:rsid w:val="2E44F02B"/>
    <w:rsid w:val="2E45057A"/>
    <w:rsid w:val="2E466AAB"/>
    <w:rsid w:val="2E473E74"/>
    <w:rsid w:val="2E4E7D6E"/>
    <w:rsid w:val="2E529248"/>
    <w:rsid w:val="2E5468F8"/>
    <w:rsid w:val="2E55563F"/>
    <w:rsid w:val="2E56AD77"/>
    <w:rsid w:val="2E5B0EC3"/>
    <w:rsid w:val="2E643387"/>
    <w:rsid w:val="2E64AFE4"/>
    <w:rsid w:val="2E673B6D"/>
    <w:rsid w:val="2E6ECD98"/>
    <w:rsid w:val="2E71BB2C"/>
    <w:rsid w:val="2E736653"/>
    <w:rsid w:val="2E784E4A"/>
    <w:rsid w:val="2E832154"/>
    <w:rsid w:val="2E882B6B"/>
    <w:rsid w:val="2E8C6E4B"/>
    <w:rsid w:val="2E99D7C7"/>
    <w:rsid w:val="2E9E3479"/>
    <w:rsid w:val="2E9F8369"/>
    <w:rsid w:val="2EA3F05F"/>
    <w:rsid w:val="2EA95270"/>
    <w:rsid w:val="2EAA66C5"/>
    <w:rsid w:val="2EAD2DDD"/>
    <w:rsid w:val="2EAED253"/>
    <w:rsid w:val="2EB8059A"/>
    <w:rsid w:val="2EBEC4C5"/>
    <w:rsid w:val="2EBECF80"/>
    <w:rsid w:val="2EC0A0D2"/>
    <w:rsid w:val="2EC50E2C"/>
    <w:rsid w:val="2EC6CCEA"/>
    <w:rsid w:val="2EC6FF7B"/>
    <w:rsid w:val="2ED98F8E"/>
    <w:rsid w:val="2ED9D73A"/>
    <w:rsid w:val="2EDB99F8"/>
    <w:rsid w:val="2EE47FCD"/>
    <w:rsid w:val="2EE5A2DB"/>
    <w:rsid w:val="2EE90D8A"/>
    <w:rsid w:val="2EE94D85"/>
    <w:rsid w:val="2EEEEC4A"/>
    <w:rsid w:val="2EF6E692"/>
    <w:rsid w:val="2EF90087"/>
    <w:rsid w:val="2EF9C903"/>
    <w:rsid w:val="2EFA00A7"/>
    <w:rsid w:val="2EFBFA18"/>
    <w:rsid w:val="2EFE968D"/>
    <w:rsid w:val="2F01AC36"/>
    <w:rsid w:val="2F0491EF"/>
    <w:rsid w:val="2F0719BF"/>
    <w:rsid w:val="2F08808D"/>
    <w:rsid w:val="2F08CB80"/>
    <w:rsid w:val="2F10D454"/>
    <w:rsid w:val="2F1A9982"/>
    <w:rsid w:val="2F1BD8EB"/>
    <w:rsid w:val="2F1D0D59"/>
    <w:rsid w:val="2F1F98BE"/>
    <w:rsid w:val="2F212E76"/>
    <w:rsid w:val="2F3104FF"/>
    <w:rsid w:val="2F339C16"/>
    <w:rsid w:val="2F33CB4B"/>
    <w:rsid w:val="2F368C75"/>
    <w:rsid w:val="2F3C101E"/>
    <w:rsid w:val="2F41ADC4"/>
    <w:rsid w:val="2F438537"/>
    <w:rsid w:val="2F4618D2"/>
    <w:rsid w:val="2F482A76"/>
    <w:rsid w:val="2F48E698"/>
    <w:rsid w:val="2F52E8FC"/>
    <w:rsid w:val="2F543531"/>
    <w:rsid w:val="2F61ACF3"/>
    <w:rsid w:val="2F661B3E"/>
    <w:rsid w:val="2F666120"/>
    <w:rsid w:val="2F695448"/>
    <w:rsid w:val="2F70E403"/>
    <w:rsid w:val="2F748172"/>
    <w:rsid w:val="2F74876C"/>
    <w:rsid w:val="2F773C5D"/>
    <w:rsid w:val="2F781FEB"/>
    <w:rsid w:val="2F81C42D"/>
    <w:rsid w:val="2F823EA7"/>
    <w:rsid w:val="2F85526C"/>
    <w:rsid w:val="2F869EA1"/>
    <w:rsid w:val="2F874C3F"/>
    <w:rsid w:val="2F8774B1"/>
    <w:rsid w:val="2F907468"/>
    <w:rsid w:val="2F91DD50"/>
    <w:rsid w:val="2F921ADE"/>
    <w:rsid w:val="2F96712A"/>
    <w:rsid w:val="2F96C597"/>
    <w:rsid w:val="2F99BB1F"/>
    <w:rsid w:val="2F9A0BC7"/>
    <w:rsid w:val="2FA14ADD"/>
    <w:rsid w:val="2FA637C7"/>
    <w:rsid w:val="2FA6C704"/>
    <w:rsid w:val="2FA90A08"/>
    <w:rsid w:val="2FB20257"/>
    <w:rsid w:val="2FBAEBE7"/>
    <w:rsid w:val="2FCB27E9"/>
    <w:rsid w:val="2FD3555A"/>
    <w:rsid w:val="2FD4113B"/>
    <w:rsid w:val="2FD71837"/>
    <w:rsid w:val="2FD84809"/>
    <w:rsid w:val="2FDFA0A2"/>
    <w:rsid w:val="2FE7174E"/>
    <w:rsid w:val="2FE8BF66"/>
    <w:rsid w:val="2FEC7FEE"/>
    <w:rsid w:val="2FECCD0D"/>
    <w:rsid w:val="2FED2BB5"/>
    <w:rsid w:val="2FEE27CC"/>
    <w:rsid w:val="2FEF7AB1"/>
    <w:rsid w:val="2FEF8BEA"/>
    <w:rsid w:val="2FF13887"/>
    <w:rsid w:val="2FF30102"/>
    <w:rsid w:val="2FF46B55"/>
    <w:rsid w:val="2FF4B398"/>
    <w:rsid w:val="2FF54B3B"/>
    <w:rsid w:val="2FF6F530"/>
    <w:rsid w:val="2FFB6B4F"/>
    <w:rsid w:val="2FFE3DDF"/>
    <w:rsid w:val="300B53B8"/>
    <w:rsid w:val="300BE162"/>
    <w:rsid w:val="300DC14D"/>
    <w:rsid w:val="3012922B"/>
    <w:rsid w:val="30171D12"/>
    <w:rsid w:val="301834F2"/>
    <w:rsid w:val="3019EB53"/>
    <w:rsid w:val="3019F64E"/>
    <w:rsid w:val="301A9330"/>
    <w:rsid w:val="301BF372"/>
    <w:rsid w:val="3021BE1B"/>
    <w:rsid w:val="302359D9"/>
    <w:rsid w:val="302C9C9F"/>
    <w:rsid w:val="3037608F"/>
    <w:rsid w:val="303B3C0A"/>
    <w:rsid w:val="303C0DD8"/>
    <w:rsid w:val="303DABBC"/>
    <w:rsid w:val="303E3E57"/>
    <w:rsid w:val="303EF66E"/>
    <w:rsid w:val="30422C81"/>
    <w:rsid w:val="30448350"/>
    <w:rsid w:val="3045753E"/>
    <w:rsid w:val="3065B809"/>
    <w:rsid w:val="306A5449"/>
    <w:rsid w:val="306D54D4"/>
    <w:rsid w:val="307E865A"/>
    <w:rsid w:val="3080A4DD"/>
    <w:rsid w:val="3082AB28"/>
    <w:rsid w:val="3088DC4A"/>
    <w:rsid w:val="308D6DC3"/>
    <w:rsid w:val="30914E9E"/>
    <w:rsid w:val="30948BEC"/>
    <w:rsid w:val="3096D45D"/>
    <w:rsid w:val="309B24D4"/>
    <w:rsid w:val="309CDF14"/>
    <w:rsid w:val="309E25CA"/>
    <w:rsid w:val="30A42CDC"/>
    <w:rsid w:val="30A5196C"/>
    <w:rsid w:val="30A8E568"/>
    <w:rsid w:val="30AD98CB"/>
    <w:rsid w:val="30AEC985"/>
    <w:rsid w:val="30B22485"/>
    <w:rsid w:val="30B247BA"/>
    <w:rsid w:val="30B69DB0"/>
    <w:rsid w:val="30BA40F2"/>
    <w:rsid w:val="30C039A2"/>
    <w:rsid w:val="30C043E7"/>
    <w:rsid w:val="30C3F9FD"/>
    <w:rsid w:val="30C637CC"/>
    <w:rsid w:val="30C66BC9"/>
    <w:rsid w:val="30CA064A"/>
    <w:rsid w:val="30CB9DF1"/>
    <w:rsid w:val="30DAF7A3"/>
    <w:rsid w:val="30DCBE52"/>
    <w:rsid w:val="30E65962"/>
    <w:rsid w:val="30EB422A"/>
    <w:rsid w:val="30ED1989"/>
    <w:rsid w:val="30ED57ED"/>
    <w:rsid w:val="30ED6404"/>
    <w:rsid w:val="30EF78F8"/>
    <w:rsid w:val="30F4AE10"/>
    <w:rsid w:val="30F50252"/>
    <w:rsid w:val="30F97551"/>
    <w:rsid w:val="30FB9321"/>
    <w:rsid w:val="30FBDBFF"/>
    <w:rsid w:val="30FC28F2"/>
    <w:rsid w:val="3106F464"/>
    <w:rsid w:val="3107A9A1"/>
    <w:rsid w:val="31098796"/>
    <w:rsid w:val="31102487"/>
    <w:rsid w:val="311456E7"/>
    <w:rsid w:val="311BBD1E"/>
    <w:rsid w:val="31239542"/>
    <w:rsid w:val="3126147E"/>
    <w:rsid w:val="3127E404"/>
    <w:rsid w:val="312C4926"/>
    <w:rsid w:val="312E09A5"/>
    <w:rsid w:val="31352912"/>
    <w:rsid w:val="31372F7F"/>
    <w:rsid w:val="31380506"/>
    <w:rsid w:val="31424DCC"/>
    <w:rsid w:val="314346B2"/>
    <w:rsid w:val="314547FA"/>
    <w:rsid w:val="31466D06"/>
    <w:rsid w:val="31474706"/>
    <w:rsid w:val="314D3675"/>
    <w:rsid w:val="314E819A"/>
    <w:rsid w:val="3153691E"/>
    <w:rsid w:val="3154578B"/>
    <w:rsid w:val="31597604"/>
    <w:rsid w:val="315EE35D"/>
    <w:rsid w:val="315FEF93"/>
    <w:rsid w:val="3162E82B"/>
    <w:rsid w:val="3166D3E3"/>
    <w:rsid w:val="316B21B8"/>
    <w:rsid w:val="316BACAA"/>
    <w:rsid w:val="317B6DB0"/>
    <w:rsid w:val="317D7076"/>
    <w:rsid w:val="31805D52"/>
    <w:rsid w:val="3180E5CC"/>
    <w:rsid w:val="31848089"/>
    <w:rsid w:val="318622F2"/>
    <w:rsid w:val="31898FDE"/>
    <w:rsid w:val="318A1680"/>
    <w:rsid w:val="318B2B53"/>
    <w:rsid w:val="318E5029"/>
    <w:rsid w:val="319105D5"/>
    <w:rsid w:val="319DAEFC"/>
    <w:rsid w:val="319E2E63"/>
    <w:rsid w:val="319E75FF"/>
    <w:rsid w:val="31A57983"/>
    <w:rsid w:val="31A5ECE9"/>
    <w:rsid w:val="31AD4E85"/>
    <w:rsid w:val="31B0103A"/>
    <w:rsid w:val="31B287E5"/>
    <w:rsid w:val="31B9603F"/>
    <w:rsid w:val="31BDBA50"/>
    <w:rsid w:val="31BE83DB"/>
    <w:rsid w:val="31C226C4"/>
    <w:rsid w:val="31C3FBB1"/>
    <w:rsid w:val="31C5C0CD"/>
    <w:rsid w:val="31C627C7"/>
    <w:rsid w:val="31CA2511"/>
    <w:rsid w:val="31CCC71D"/>
    <w:rsid w:val="31CD2C81"/>
    <w:rsid w:val="31CD54A2"/>
    <w:rsid w:val="31CF09F6"/>
    <w:rsid w:val="31CFCEB1"/>
    <w:rsid w:val="31D1E65B"/>
    <w:rsid w:val="31D6001E"/>
    <w:rsid w:val="31D87188"/>
    <w:rsid w:val="31D9F248"/>
    <w:rsid w:val="31DA0A44"/>
    <w:rsid w:val="31DC2D81"/>
    <w:rsid w:val="31E50CFE"/>
    <w:rsid w:val="31EACB62"/>
    <w:rsid w:val="31ECBC22"/>
    <w:rsid w:val="31EEB32C"/>
    <w:rsid w:val="31F760FE"/>
    <w:rsid w:val="31F872D3"/>
    <w:rsid w:val="31FAA10D"/>
    <w:rsid w:val="31FB10F2"/>
    <w:rsid w:val="31FD7883"/>
    <w:rsid w:val="31FF5F21"/>
    <w:rsid w:val="31FFC5B6"/>
    <w:rsid w:val="31FFDF28"/>
    <w:rsid w:val="3208BBDC"/>
    <w:rsid w:val="320B25FE"/>
    <w:rsid w:val="32189DE4"/>
    <w:rsid w:val="321C54EC"/>
    <w:rsid w:val="322E5097"/>
    <w:rsid w:val="3230CFE2"/>
    <w:rsid w:val="3233BCDF"/>
    <w:rsid w:val="323A2574"/>
    <w:rsid w:val="323D1EFE"/>
    <w:rsid w:val="3243A650"/>
    <w:rsid w:val="3243BAFF"/>
    <w:rsid w:val="32445FDA"/>
    <w:rsid w:val="32469401"/>
    <w:rsid w:val="324CF129"/>
    <w:rsid w:val="325161A1"/>
    <w:rsid w:val="32519926"/>
    <w:rsid w:val="3252DAA4"/>
    <w:rsid w:val="32572A06"/>
    <w:rsid w:val="326059B1"/>
    <w:rsid w:val="3261E7B7"/>
    <w:rsid w:val="32622D23"/>
    <w:rsid w:val="326B4C8E"/>
    <w:rsid w:val="326CF4B5"/>
    <w:rsid w:val="326CFFFB"/>
    <w:rsid w:val="327085D1"/>
    <w:rsid w:val="32755B6F"/>
    <w:rsid w:val="3278D8A3"/>
    <w:rsid w:val="327A510E"/>
    <w:rsid w:val="328424FA"/>
    <w:rsid w:val="32865797"/>
    <w:rsid w:val="3296A6FD"/>
    <w:rsid w:val="32993044"/>
    <w:rsid w:val="32A33691"/>
    <w:rsid w:val="32A4F88A"/>
    <w:rsid w:val="32A56BC0"/>
    <w:rsid w:val="32A73D5A"/>
    <w:rsid w:val="32A7846C"/>
    <w:rsid w:val="32A9FF3D"/>
    <w:rsid w:val="32AA18EB"/>
    <w:rsid w:val="32AB549C"/>
    <w:rsid w:val="32B14AD2"/>
    <w:rsid w:val="32B3F812"/>
    <w:rsid w:val="32BB8450"/>
    <w:rsid w:val="32BDF1CF"/>
    <w:rsid w:val="32BF288D"/>
    <w:rsid w:val="32C0151E"/>
    <w:rsid w:val="32C08A15"/>
    <w:rsid w:val="32C3448B"/>
    <w:rsid w:val="32CF48FF"/>
    <w:rsid w:val="32D9DD7D"/>
    <w:rsid w:val="32DB65E5"/>
    <w:rsid w:val="32E08B66"/>
    <w:rsid w:val="32E0A6FB"/>
    <w:rsid w:val="32E28363"/>
    <w:rsid w:val="32E32CDD"/>
    <w:rsid w:val="32E51794"/>
    <w:rsid w:val="32E6DB0C"/>
    <w:rsid w:val="32E882C8"/>
    <w:rsid w:val="32EB0BA6"/>
    <w:rsid w:val="32EE2662"/>
    <w:rsid w:val="32EF2646"/>
    <w:rsid w:val="32F17AFF"/>
    <w:rsid w:val="32F899F7"/>
    <w:rsid w:val="32FAEA57"/>
    <w:rsid w:val="32FC6007"/>
    <w:rsid w:val="33035424"/>
    <w:rsid w:val="33066394"/>
    <w:rsid w:val="3307C668"/>
    <w:rsid w:val="3308BEE2"/>
    <w:rsid w:val="330BC341"/>
    <w:rsid w:val="330DA234"/>
    <w:rsid w:val="330E150D"/>
    <w:rsid w:val="330F29B9"/>
    <w:rsid w:val="330F2CE3"/>
    <w:rsid w:val="3310C10B"/>
    <w:rsid w:val="33112127"/>
    <w:rsid w:val="33156259"/>
    <w:rsid w:val="3316F053"/>
    <w:rsid w:val="33215585"/>
    <w:rsid w:val="332190AD"/>
    <w:rsid w:val="33234219"/>
    <w:rsid w:val="33325958"/>
    <w:rsid w:val="33327845"/>
    <w:rsid w:val="3335EE98"/>
    <w:rsid w:val="3337E288"/>
    <w:rsid w:val="333B24DD"/>
    <w:rsid w:val="33403115"/>
    <w:rsid w:val="33420DA7"/>
    <w:rsid w:val="33427E39"/>
    <w:rsid w:val="334697E0"/>
    <w:rsid w:val="334928B1"/>
    <w:rsid w:val="334C88B8"/>
    <w:rsid w:val="334EBE54"/>
    <w:rsid w:val="33556CA4"/>
    <w:rsid w:val="335A0314"/>
    <w:rsid w:val="335DD753"/>
    <w:rsid w:val="335E091C"/>
    <w:rsid w:val="3360FDD0"/>
    <w:rsid w:val="3364CB3E"/>
    <w:rsid w:val="3365A612"/>
    <w:rsid w:val="336BFBE1"/>
    <w:rsid w:val="336DF246"/>
    <w:rsid w:val="33709CFC"/>
    <w:rsid w:val="3370F57E"/>
    <w:rsid w:val="33739560"/>
    <w:rsid w:val="33742087"/>
    <w:rsid w:val="337A9B5F"/>
    <w:rsid w:val="337B2C0E"/>
    <w:rsid w:val="33852EBA"/>
    <w:rsid w:val="33886F4F"/>
    <w:rsid w:val="338B19B9"/>
    <w:rsid w:val="338D926F"/>
    <w:rsid w:val="33983185"/>
    <w:rsid w:val="33992795"/>
    <w:rsid w:val="33997AE4"/>
    <w:rsid w:val="339AADF6"/>
    <w:rsid w:val="339B9227"/>
    <w:rsid w:val="339C0DBD"/>
    <w:rsid w:val="339D33F3"/>
    <w:rsid w:val="339F9F92"/>
    <w:rsid w:val="33A3A7DC"/>
    <w:rsid w:val="33A546B6"/>
    <w:rsid w:val="33A60EB9"/>
    <w:rsid w:val="33A75DBB"/>
    <w:rsid w:val="33A83DE7"/>
    <w:rsid w:val="33ADFA01"/>
    <w:rsid w:val="33AE8138"/>
    <w:rsid w:val="33B5C39A"/>
    <w:rsid w:val="33BBD097"/>
    <w:rsid w:val="33BD07A1"/>
    <w:rsid w:val="33BDEE77"/>
    <w:rsid w:val="33BEE2D0"/>
    <w:rsid w:val="33BEF70F"/>
    <w:rsid w:val="33BFC901"/>
    <w:rsid w:val="33C223C9"/>
    <w:rsid w:val="33C2F18F"/>
    <w:rsid w:val="33CAE2C7"/>
    <w:rsid w:val="33D0C834"/>
    <w:rsid w:val="33D28EE3"/>
    <w:rsid w:val="33D60C57"/>
    <w:rsid w:val="33E86009"/>
    <w:rsid w:val="33EC48A8"/>
    <w:rsid w:val="33ED5910"/>
    <w:rsid w:val="33F02BCD"/>
    <w:rsid w:val="33F58310"/>
    <w:rsid w:val="33F9508F"/>
    <w:rsid w:val="33FEDE2E"/>
    <w:rsid w:val="340025F0"/>
    <w:rsid w:val="34019249"/>
    <w:rsid w:val="3402DD33"/>
    <w:rsid w:val="340BBD6C"/>
    <w:rsid w:val="3411D992"/>
    <w:rsid w:val="3414DD99"/>
    <w:rsid w:val="3419E5E9"/>
    <w:rsid w:val="341A15C5"/>
    <w:rsid w:val="341C339C"/>
    <w:rsid w:val="341CA471"/>
    <w:rsid w:val="341FD1EF"/>
    <w:rsid w:val="34219762"/>
    <w:rsid w:val="34239E0D"/>
    <w:rsid w:val="34244092"/>
    <w:rsid w:val="34381B42"/>
    <w:rsid w:val="343DAAB3"/>
    <w:rsid w:val="343F8F12"/>
    <w:rsid w:val="3440206E"/>
    <w:rsid w:val="3440C2A2"/>
    <w:rsid w:val="34477105"/>
    <w:rsid w:val="3447BBF1"/>
    <w:rsid w:val="3449A6AC"/>
    <w:rsid w:val="344E4E1C"/>
    <w:rsid w:val="344EF284"/>
    <w:rsid w:val="345ABA25"/>
    <w:rsid w:val="34659565"/>
    <w:rsid w:val="3467B5A3"/>
    <w:rsid w:val="346CFFFB"/>
    <w:rsid w:val="34709094"/>
    <w:rsid w:val="3474EB0B"/>
    <w:rsid w:val="347A56C9"/>
    <w:rsid w:val="34829AA1"/>
    <w:rsid w:val="34845CDA"/>
    <w:rsid w:val="348512B4"/>
    <w:rsid w:val="34892CB1"/>
    <w:rsid w:val="348A11ED"/>
    <w:rsid w:val="348E14DE"/>
    <w:rsid w:val="3492198E"/>
    <w:rsid w:val="3492B00C"/>
    <w:rsid w:val="34962E13"/>
    <w:rsid w:val="349805E0"/>
    <w:rsid w:val="34986F4A"/>
    <w:rsid w:val="34988943"/>
    <w:rsid w:val="349AE81B"/>
    <w:rsid w:val="34A12C61"/>
    <w:rsid w:val="34A1F0DD"/>
    <w:rsid w:val="34A29D72"/>
    <w:rsid w:val="34ACAD52"/>
    <w:rsid w:val="34ADAAAC"/>
    <w:rsid w:val="34AED052"/>
    <w:rsid w:val="34AED479"/>
    <w:rsid w:val="34B05667"/>
    <w:rsid w:val="34BBB69E"/>
    <w:rsid w:val="34C5B9E0"/>
    <w:rsid w:val="34CD636D"/>
    <w:rsid w:val="34CE136F"/>
    <w:rsid w:val="34D5F689"/>
    <w:rsid w:val="34DED74D"/>
    <w:rsid w:val="34E19A30"/>
    <w:rsid w:val="34E8ABA8"/>
    <w:rsid w:val="34EC1A63"/>
    <w:rsid w:val="3504D222"/>
    <w:rsid w:val="35088E8D"/>
    <w:rsid w:val="350F3B54"/>
    <w:rsid w:val="351D47EB"/>
    <w:rsid w:val="352AAA3A"/>
    <w:rsid w:val="352E6AAB"/>
    <w:rsid w:val="35302E08"/>
    <w:rsid w:val="35306486"/>
    <w:rsid w:val="3531BCA0"/>
    <w:rsid w:val="35400551"/>
    <w:rsid w:val="35464DC1"/>
    <w:rsid w:val="3546A2CC"/>
    <w:rsid w:val="354873EC"/>
    <w:rsid w:val="3548EA40"/>
    <w:rsid w:val="3553F270"/>
    <w:rsid w:val="3554CDE7"/>
    <w:rsid w:val="355B1940"/>
    <w:rsid w:val="355B563F"/>
    <w:rsid w:val="355C75D3"/>
    <w:rsid w:val="355C8C04"/>
    <w:rsid w:val="355E25E0"/>
    <w:rsid w:val="356AED98"/>
    <w:rsid w:val="35721F0E"/>
    <w:rsid w:val="357A52A0"/>
    <w:rsid w:val="357BA689"/>
    <w:rsid w:val="357F678E"/>
    <w:rsid w:val="357F7C49"/>
    <w:rsid w:val="3580529E"/>
    <w:rsid w:val="358395AE"/>
    <w:rsid w:val="3583E8B3"/>
    <w:rsid w:val="358506EB"/>
    <w:rsid w:val="3586590C"/>
    <w:rsid w:val="358968BB"/>
    <w:rsid w:val="358B5CA2"/>
    <w:rsid w:val="3591C1C6"/>
    <w:rsid w:val="35929DDB"/>
    <w:rsid w:val="3595BB1D"/>
    <w:rsid w:val="3598B47A"/>
    <w:rsid w:val="35A4F94D"/>
    <w:rsid w:val="35A55052"/>
    <w:rsid w:val="35A57F66"/>
    <w:rsid w:val="35A6A618"/>
    <w:rsid w:val="35AA0BF7"/>
    <w:rsid w:val="35AB49EA"/>
    <w:rsid w:val="35ACBDB4"/>
    <w:rsid w:val="35B4BCE7"/>
    <w:rsid w:val="35B5833B"/>
    <w:rsid w:val="35B58470"/>
    <w:rsid w:val="35B743B5"/>
    <w:rsid w:val="35B813DE"/>
    <w:rsid w:val="35B9CC93"/>
    <w:rsid w:val="35C59ED1"/>
    <w:rsid w:val="35CB415D"/>
    <w:rsid w:val="35CCA893"/>
    <w:rsid w:val="35CFBDF4"/>
    <w:rsid w:val="35CFC5DB"/>
    <w:rsid w:val="35D3D008"/>
    <w:rsid w:val="35D4A056"/>
    <w:rsid w:val="35D4FDD7"/>
    <w:rsid w:val="35D68D43"/>
    <w:rsid w:val="35DCA84F"/>
    <w:rsid w:val="35DEB5B2"/>
    <w:rsid w:val="35DEDC0C"/>
    <w:rsid w:val="35E0FCD7"/>
    <w:rsid w:val="35E18186"/>
    <w:rsid w:val="35E1D71D"/>
    <w:rsid w:val="35E3171B"/>
    <w:rsid w:val="35E57788"/>
    <w:rsid w:val="35EC405C"/>
    <w:rsid w:val="35F17A3E"/>
    <w:rsid w:val="35F5AB53"/>
    <w:rsid w:val="35F782F5"/>
    <w:rsid w:val="35F8A491"/>
    <w:rsid w:val="35F92986"/>
    <w:rsid w:val="35FB3A20"/>
    <w:rsid w:val="3616FB18"/>
    <w:rsid w:val="36287101"/>
    <w:rsid w:val="3628CAB2"/>
    <w:rsid w:val="362D32BD"/>
    <w:rsid w:val="36317B3B"/>
    <w:rsid w:val="3634B993"/>
    <w:rsid w:val="363B92C0"/>
    <w:rsid w:val="364084AC"/>
    <w:rsid w:val="3640CAC4"/>
    <w:rsid w:val="36427F43"/>
    <w:rsid w:val="3644DC94"/>
    <w:rsid w:val="3649FC9A"/>
    <w:rsid w:val="364A4219"/>
    <w:rsid w:val="3651A24F"/>
    <w:rsid w:val="3652F156"/>
    <w:rsid w:val="36596EE4"/>
    <w:rsid w:val="365E2437"/>
    <w:rsid w:val="365F8469"/>
    <w:rsid w:val="3663225F"/>
    <w:rsid w:val="3664EBFF"/>
    <w:rsid w:val="366B76AD"/>
    <w:rsid w:val="366C6C69"/>
    <w:rsid w:val="366EB739"/>
    <w:rsid w:val="366F04E1"/>
    <w:rsid w:val="366F901E"/>
    <w:rsid w:val="36707A08"/>
    <w:rsid w:val="3671B407"/>
    <w:rsid w:val="367A29C5"/>
    <w:rsid w:val="367ABA31"/>
    <w:rsid w:val="367D3A15"/>
    <w:rsid w:val="36800483"/>
    <w:rsid w:val="3680C5C3"/>
    <w:rsid w:val="368B2A5A"/>
    <w:rsid w:val="368D0365"/>
    <w:rsid w:val="3694B6B0"/>
    <w:rsid w:val="369DF853"/>
    <w:rsid w:val="36A89C3B"/>
    <w:rsid w:val="36AADD61"/>
    <w:rsid w:val="36AF7F0E"/>
    <w:rsid w:val="36B022C4"/>
    <w:rsid w:val="36B3D600"/>
    <w:rsid w:val="36B6C0E2"/>
    <w:rsid w:val="36B8EC24"/>
    <w:rsid w:val="36BFCF83"/>
    <w:rsid w:val="36C1C9D7"/>
    <w:rsid w:val="36CA1C64"/>
    <w:rsid w:val="36CA320B"/>
    <w:rsid w:val="36CB07A0"/>
    <w:rsid w:val="36D0DE05"/>
    <w:rsid w:val="36D2DA9F"/>
    <w:rsid w:val="36D46CC6"/>
    <w:rsid w:val="36D5B81F"/>
    <w:rsid w:val="36E36A35"/>
    <w:rsid w:val="36ED02D9"/>
    <w:rsid w:val="36EF59CE"/>
    <w:rsid w:val="36F1A756"/>
    <w:rsid w:val="36F1D9AE"/>
    <w:rsid w:val="36F5EDC2"/>
    <w:rsid w:val="36F5F303"/>
    <w:rsid w:val="36F5FFA1"/>
    <w:rsid w:val="36F67C5E"/>
    <w:rsid w:val="36FCF105"/>
    <w:rsid w:val="36FD94A6"/>
    <w:rsid w:val="370039FC"/>
    <w:rsid w:val="37009C96"/>
    <w:rsid w:val="37098D18"/>
    <w:rsid w:val="370A35F8"/>
    <w:rsid w:val="3710C0BE"/>
    <w:rsid w:val="371169C1"/>
    <w:rsid w:val="371548A1"/>
    <w:rsid w:val="371B72C6"/>
    <w:rsid w:val="371B7ED5"/>
    <w:rsid w:val="371CC5AA"/>
    <w:rsid w:val="371CD0D8"/>
    <w:rsid w:val="3725EAD5"/>
    <w:rsid w:val="3726E7DA"/>
    <w:rsid w:val="372B3BF1"/>
    <w:rsid w:val="3732EC14"/>
    <w:rsid w:val="373585C3"/>
    <w:rsid w:val="373AAF63"/>
    <w:rsid w:val="373F5E86"/>
    <w:rsid w:val="3743D399"/>
    <w:rsid w:val="37445CD7"/>
    <w:rsid w:val="37447A6C"/>
    <w:rsid w:val="374D44A2"/>
    <w:rsid w:val="374E6662"/>
    <w:rsid w:val="3758F1A8"/>
    <w:rsid w:val="37631719"/>
    <w:rsid w:val="37631D44"/>
    <w:rsid w:val="37667790"/>
    <w:rsid w:val="3766E9EB"/>
    <w:rsid w:val="3768BE63"/>
    <w:rsid w:val="376E2D3C"/>
    <w:rsid w:val="376EE6E7"/>
    <w:rsid w:val="37703CE9"/>
    <w:rsid w:val="3772C1B4"/>
    <w:rsid w:val="3774B4C5"/>
    <w:rsid w:val="3779FCE9"/>
    <w:rsid w:val="377B6A55"/>
    <w:rsid w:val="37890FDA"/>
    <w:rsid w:val="378B7CC6"/>
    <w:rsid w:val="378BA4FD"/>
    <w:rsid w:val="37906709"/>
    <w:rsid w:val="379135FC"/>
    <w:rsid w:val="379160CC"/>
    <w:rsid w:val="379243F1"/>
    <w:rsid w:val="379E4687"/>
    <w:rsid w:val="379F044B"/>
    <w:rsid w:val="37A0CD54"/>
    <w:rsid w:val="37A2F9A3"/>
    <w:rsid w:val="37AFF9F0"/>
    <w:rsid w:val="37B084FE"/>
    <w:rsid w:val="37B8DD9B"/>
    <w:rsid w:val="37BB08D2"/>
    <w:rsid w:val="37BBC46E"/>
    <w:rsid w:val="37C0B011"/>
    <w:rsid w:val="37C3FFE2"/>
    <w:rsid w:val="37C43A20"/>
    <w:rsid w:val="37C6C264"/>
    <w:rsid w:val="37CBB041"/>
    <w:rsid w:val="37D34D7A"/>
    <w:rsid w:val="37D3C39B"/>
    <w:rsid w:val="37E43BC3"/>
    <w:rsid w:val="37E7C83C"/>
    <w:rsid w:val="37EA64EB"/>
    <w:rsid w:val="37ED8E8E"/>
    <w:rsid w:val="37EE5EF2"/>
    <w:rsid w:val="37F00332"/>
    <w:rsid w:val="37F115C1"/>
    <w:rsid w:val="37F33E43"/>
    <w:rsid w:val="37F82B63"/>
    <w:rsid w:val="37FDDF25"/>
    <w:rsid w:val="3801A48C"/>
    <w:rsid w:val="3801A887"/>
    <w:rsid w:val="3802A765"/>
    <w:rsid w:val="3809608E"/>
    <w:rsid w:val="380F5BF2"/>
    <w:rsid w:val="3827FEC5"/>
    <w:rsid w:val="382A350C"/>
    <w:rsid w:val="382A4B3A"/>
    <w:rsid w:val="382E25BC"/>
    <w:rsid w:val="382E59AD"/>
    <w:rsid w:val="38330791"/>
    <w:rsid w:val="38338B56"/>
    <w:rsid w:val="38345E1F"/>
    <w:rsid w:val="3834B584"/>
    <w:rsid w:val="38354C16"/>
    <w:rsid w:val="3836D58D"/>
    <w:rsid w:val="383A1928"/>
    <w:rsid w:val="383D6D14"/>
    <w:rsid w:val="383F2C73"/>
    <w:rsid w:val="384156C4"/>
    <w:rsid w:val="38423A7A"/>
    <w:rsid w:val="384371A4"/>
    <w:rsid w:val="3844C0C6"/>
    <w:rsid w:val="3848A210"/>
    <w:rsid w:val="384CBC07"/>
    <w:rsid w:val="38556389"/>
    <w:rsid w:val="38586B4C"/>
    <w:rsid w:val="3858E609"/>
    <w:rsid w:val="385AD2D0"/>
    <w:rsid w:val="385B1F32"/>
    <w:rsid w:val="3866279E"/>
    <w:rsid w:val="386A565F"/>
    <w:rsid w:val="386B26F2"/>
    <w:rsid w:val="386DFD7F"/>
    <w:rsid w:val="38730275"/>
    <w:rsid w:val="3874465F"/>
    <w:rsid w:val="387639C7"/>
    <w:rsid w:val="3876888F"/>
    <w:rsid w:val="387A5337"/>
    <w:rsid w:val="387E02CD"/>
    <w:rsid w:val="38808F53"/>
    <w:rsid w:val="3884D136"/>
    <w:rsid w:val="388512A3"/>
    <w:rsid w:val="3885A8BA"/>
    <w:rsid w:val="388A0C17"/>
    <w:rsid w:val="388A4EFF"/>
    <w:rsid w:val="38924799"/>
    <w:rsid w:val="38933E5D"/>
    <w:rsid w:val="38948CDE"/>
    <w:rsid w:val="38980260"/>
    <w:rsid w:val="3898BBAE"/>
    <w:rsid w:val="3898C9D4"/>
    <w:rsid w:val="3899350F"/>
    <w:rsid w:val="389A29A4"/>
    <w:rsid w:val="389A5576"/>
    <w:rsid w:val="38A032BD"/>
    <w:rsid w:val="38A2A9F6"/>
    <w:rsid w:val="38A87D8F"/>
    <w:rsid w:val="38B143E2"/>
    <w:rsid w:val="38B5928F"/>
    <w:rsid w:val="38B689CD"/>
    <w:rsid w:val="38B74377"/>
    <w:rsid w:val="38B856E0"/>
    <w:rsid w:val="38C34F86"/>
    <w:rsid w:val="38C64AB9"/>
    <w:rsid w:val="38C8E36D"/>
    <w:rsid w:val="38CA9723"/>
    <w:rsid w:val="38CAB652"/>
    <w:rsid w:val="38CB0549"/>
    <w:rsid w:val="38CB86A8"/>
    <w:rsid w:val="38CBFDA6"/>
    <w:rsid w:val="38D32F10"/>
    <w:rsid w:val="38D4AACF"/>
    <w:rsid w:val="38D4B41B"/>
    <w:rsid w:val="38D4ED80"/>
    <w:rsid w:val="38D6EF7B"/>
    <w:rsid w:val="38D731D4"/>
    <w:rsid w:val="38E086E7"/>
    <w:rsid w:val="38E1297D"/>
    <w:rsid w:val="38E6775C"/>
    <w:rsid w:val="38EB8E80"/>
    <w:rsid w:val="38ED3C44"/>
    <w:rsid w:val="38F59E11"/>
    <w:rsid w:val="38F8D04C"/>
    <w:rsid w:val="38F9C60E"/>
    <w:rsid w:val="38FD00ED"/>
    <w:rsid w:val="39065756"/>
    <w:rsid w:val="39159FFB"/>
    <w:rsid w:val="391B8DA8"/>
    <w:rsid w:val="391C725D"/>
    <w:rsid w:val="391CE628"/>
    <w:rsid w:val="391F9B82"/>
    <w:rsid w:val="39202C9F"/>
    <w:rsid w:val="392206DF"/>
    <w:rsid w:val="39251121"/>
    <w:rsid w:val="39263A3C"/>
    <w:rsid w:val="39297EC2"/>
    <w:rsid w:val="392A9EEF"/>
    <w:rsid w:val="393556D7"/>
    <w:rsid w:val="39377A60"/>
    <w:rsid w:val="393B06ED"/>
    <w:rsid w:val="393CEF2B"/>
    <w:rsid w:val="393F3DC1"/>
    <w:rsid w:val="394148AF"/>
    <w:rsid w:val="39457D1E"/>
    <w:rsid w:val="3945A8C5"/>
    <w:rsid w:val="394D2F60"/>
    <w:rsid w:val="394D84F8"/>
    <w:rsid w:val="394EBF78"/>
    <w:rsid w:val="39569452"/>
    <w:rsid w:val="395B9176"/>
    <w:rsid w:val="395D1767"/>
    <w:rsid w:val="395D559C"/>
    <w:rsid w:val="3960956D"/>
    <w:rsid w:val="39648B3F"/>
    <w:rsid w:val="39652699"/>
    <w:rsid w:val="396A1749"/>
    <w:rsid w:val="396A369E"/>
    <w:rsid w:val="396AD537"/>
    <w:rsid w:val="39739C2A"/>
    <w:rsid w:val="3974B03D"/>
    <w:rsid w:val="397F345A"/>
    <w:rsid w:val="39819254"/>
    <w:rsid w:val="399216DB"/>
    <w:rsid w:val="39A18C86"/>
    <w:rsid w:val="39A6F966"/>
    <w:rsid w:val="39A9D647"/>
    <w:rsid w:val="39ADADEB"/>
    <w:rsid w:val="39AFF43A"/>
    <w:rsid w:val="39B60D8D"/>
    <w:rsid w:val="39B9A335"/>
    <w:rsid w:val="39BA2312"/>
    <w:rsid w:val="39BD8FAA"/>
    <w:rsid w:val="39C47234"/>
    <w:rsid w:val="39C51C20"/>
    <w:rsid w:val="39C68E74"/>
    <w:rsid w:val="39C9935F"/>
    <w:rsid w:val="39CD174B"/>
    <w:rsid w:val="39CD3931"/>
    <w:rsid w:val="39CE36A0"/>
    <w:rsid w:val="39CF83C8"/>
    <w:rsid w:val="39D149FE"/>
    <w:rsid w:val="39D2FD93"/>
    <w:rsid w:val="39D731A9"/>
    <w:rsid w:val="39E09D1D"/>
    <w:rsid w:val="39E1495F"/>
    <w:rsid w:val="39E16F2E"/>
    <w:rsid w:val="39E26CAC"/>
    <w:rsid w:val="39E38463"/>
    <w:rsid w:val="39E4381C"/>
    <w:rsid w:val="39E997B8"/>
    <w:rsid w:val="39EE1CB2"/>
    <w:rsid w:val="39EE9A8B"/>
    <w:rsid w:val="39F164ED"/>
    <w:rsid w:val="39F1A3D3"/>
    <w:rsid w:val="39F48EEA"/>
    <w:rsid w:val="39F6DF1E"/>
    <w:rsid w:val="3A001ECA"/>
    <w:rsid w:val="3A0AB1F1"/>
    <w:rsid w:val="3A0D5C21"/>
    <w:rsid w:val="3A0F5AE6"/>
    <w:rsid w:val="3A187257"/>
    <w:rsid w:val="3A2496C4"/>
    <w:rsid w:val="3A25BC11"/>
    <w:rsid w:val="3A34D3B2"/>
    <w:rsid w:val="3A36551B"/>
    <w:rsid w:val="3A369220"/>
    <w:rsid w:val="3A39981E"/>
    <w:rsid w:val="3A424B2C"/>
    <w:rsid w:val="3A42D55F"/>
    <w:rsid w:val="3A442BF6"/>
    <w:rsid w:val="3A4580DC"/>
    <w:rsid w:val="3A4C266C"/>
    <w:rsid w:val="3A4C9919"/>
    <w:rsid w:val="3A555324"/>
    <w:rsid w:val="3A58972D"/>
    <w:rsid w:val="3A6153E4"/>
    <w:rsid w:val="3A62E4AB"/>
    <w:rsid w:val="3A6391C8"/>
    <w:rsid w:val="3A73E046"/>
    <w:rsid w:val="3A7A9522"/>
    <w:rsid w:val="3A927FDD"/>
    <w:rsid w:val="3A9BFB64"/>
    <w:rsid w:val="3AA8C4BB"/>
    <w:rsid w:val="3AA9BCE6"/>
    <w:rsid w:val="3AADAD19"/>
    <w:rsid w:val="3AB0BBFD"/>
    <w:rsid w:val="3AB26EC8"/>
    <w:rsid w:val="3AB27684"/>
    <w:rsid w:val="3AB3750F"/>
    <w:rsid w:val="3AB3AC18"/>
    <w:rsid w:val="3AB65396"/>
    <w:rsid w:val="3AB7BBA1"/>
    <w:rsid w:val="3ABF5C0F"/>
    <w:rsid w:val="3AC058AD"/>
    <w:rsid w:val="3AC1D1FC"/>
    <w:rsid w:val="3AC3C121"/>
    <w:rsid w:val="3AC3F433"/>
    <w:rsid w:val="3AC5B8F8"/>
    <w:rsid w:val="3AC629DA"/>
    <w:rsid w:val="3AC6B7BE"/>
    <w:rsid w:val="3ACBFFDE"/>
    <w:rsid w:val="3AD1FD7F"/>
    <w:rsid w:val="3AD7E1A1"/>
    <w:rsid w:val="3ADA05B4"/>
    <w:rsid w:val="3AE43C64"/>
    <w:rsid w:val="3AE6EEE4"/>
    <w:rsid w:val="3AE80C6A"/>
    <w:rsid w:val="3AEA3552"/>
    <w:rsid w:val="3AEDE7FD"/>
    <w:rsid w:val="3AF63425"/>
    <w:rsid w:val="3AF90135"/>
    <w:rsid w:val="3AFDF41C"/>
    <w:rsid w:val="3AFE40E8"/>
    <w:rsid w:val="3B046977"/>
    <w:rsid w:val="3B08F44B"/>
    <w:rsid w:val="3B0A6055"/>
    <w:rsid w:val="3B103FC2"/>
    <w:rsid w:val="3B15595B"/>
    <w:rsid w:val="3B16A915"/>
    <w:rsid w:val="3B1A0583"/>
    <w:rsid w:val="3B1B2412"/>
    <w:rsid w:val="3B2A4CCD"/>
    <w:rsid w:val="3B2B7580"/>
    <w:rsid w:val="3B2C74E0"/>
    <w:rsid w:val="3B330002"/>
    <w:rsid w:val="3B394BC5"/>
    <w:rsid w:val="3B39F004"/>
    <w:rsid w:val="3B3C4146"/>
    <w:rsid w:val="3B4271BF"/>
    <w:rsid w:val="3B43572A"/>
    <w:rsid w:val="3B440961"/>
    <w:rsid w:val="3B47B339"/>
    <w:rsid w:val="3B48B046"/>
    <w:rsid w:val="3B4E4097"/>
    <w:rsid w:val="3B50FA51"/>
    <w:rsid w:val="3B510B94"/>
    <w:rsid w:val="3B512CCA"/>
    <w:rsid w:val="3B51549A"/>
    <w:rsid w:val="3B537CEF"/>
    <w:rsid w:val="3B57B133"/>
    <w:rsid w:val="3B5E1A8D"/>
    <w:rsid w:val="3B5E2D11"/>
    <w:rsid w:val="3B6029C6"/>
    <w:rsid w:val="3B6D906F"/>
    <w:rsid w:val="3B71D19E"/>
    <w:rsid w:val="3B73022E"/>
    <w:rsid w:val="3B734332"/>
    <w:rsid w:val="3B7AB765"/>
    <w:rsid w:val="3B7BF468"/>
    <w:rsid w:val="3B7EF269"/>
    <w:rsid w:val="3B81D078"/>
    <w:rsid w:val="3B83D311"/>
    <w:rsid w:val="3B84BFAF"/>
    <w:rsid w:val="3B88D4FF"/>
    <w:rsid w:val="3B8A13F3"/>
    <w:rsid w:val="3B8C0061"/>
    <w:rsid w:val="3B901B4D"/>
    <w:rsid w:val="3B908518"/>
    <w:rsid w:val="3B91C098"/>
    <w:rsid w:val="3B92A146"/>
    <w:rsid w:val="3B92C424"/>
    <w:rsid w:val="3B947EFF"/>
    <w:rsid w:val="3B9B5B51"/>
    <w:rsid w:val="3BA8C58D"/>
    <w:rsid w:val="3BA9AD46"/>
    <w:rsid w:val="3BA9D443"/>
    <w:rsid w:val="3BA9F46F"/>
    <w:rsid w:val="3BADA1B2"/>
    <w:rsid w:val="3BAE2AB0"/>
    <w:rsid w:val="3BAFBA1A"/>
    <w:rsid w:val="3BB264FF"/>
    <w:rsid w:val="3BBB00FE"/>
    <w:rsid w:val="3BBC1F95"/>
    <w:rsid w:val="3BC040ED"/>
    <w:rsid w:val="3BC1D93E"/>
    <w:rsid w:val="3BC66633"/>
    <w:rsid w:val="3BC8D6C5"/>
    <w:rsid w:val="3BCABC26"/>
    <w:rsid w:val="3BCCE737"/>
    <w:rsid w:val="3BCE4004"/>
    <w:rsid w:val="3BD12DD3"/>
    <w:rsid w:val="3BD1ADA5"/>
    <w:rsid w:val="3BD587EC"/>
    <w:rsid w:val="3BDA86E1"/>
    <w:rsid w:val="3BE31E76"/>
    <w:rsid w:val="3BE479C4"/>
    <w:rsid w:val="3BE62E68"/>
    <w:rsid w:val="3BEB6796"/>
    <w:rsid w:val="3BEC6268"/>
    <w:rsid w:val="3BEE33BA"/>
    <w:rsid w:val="3BEE4150"/>
    <w:rsid w:val="3BF0D199"/>
    <w:rsid w:val="3BF26D85"/>
    <w:rsid w:val="3BF48FC8"/>
    <w:rsid w:val="3BF4F5BF"/>
    <w:rsid w:val="3BF73AB2"/>
    <w:rsid w:val="3BF8C50C"/>
    <w:rsid w:val="3BF98EDB"/>
    <w:rsid w:val="3C01B3C0"/>
    <w:rsid w:val="3C0493F4"/>
    <w:rsid w:val="3C0E3F90"/>
    <w:rsid w:val="3C103136"/>
    <w:rsid w:val="3C153CF9"/>
    <w:rsid w:val="3C1CC44C"/>
    <w:rsid w:val="3C1DED97"/>
    <w:rsid w:val="3C203ED1"/>
    <w:rsid w:val="3C221729"/>
    <w:rsid w:val="3C22E269"/>
    <w:rsid w:val="3C284726"/>
    <w:rsid w:val="3C2F4452"/>
    <w:rsid w:val="3C32265B"/>
    <w:rsid w:val="3C336534"/>
    <w:rsid w:val="3C41FA62"/>
    <w:rsid w:val="3C45DB85"/>
    <w:rsid w:val="3C49D7EB"/>
    <w:rsid w:val="3C4A01D8"/>
    <w:rsid w:val="3C4F0A41"/>
    <w:rsid w:val="3C5514D0"/>
    <w:rsid w:val="3C559FEA"/>
    <w:rsid w:val="3C594818"/>
    <w:rsid w:val="3C632298"/>
    <w:rsid w:val="3C68B833"/>
    <w:rsid w:val="3C68FC15"/>
    <w:rsid w:val="3C6A2B72"/>
    <w:rsid w:val="3C6A8D0C"/>
    <w:rsid w:val="3C6B1AC5"/>
    <w:rsid w:val="3C6CAE09"/>
    <w:rsid w:val="3C6E8F6D"/>
    <w:rsid w:val="3C73332E"/>
    <w:rsid w:val="3C776230"/>
    <w:rsid w:val="3C7DD9AD"/>
    <w:rsid w:val="3C8092CC"/>
    <w:rsid w:val="3C80BF4D"/>
    <w:rsid w:val="3C84F785"/>
    <w:rsid w:val="3C860EE4"/>
    <w:rsid w:val="3C868C1C"/>
    <w:rsid w:val="3C88E40D"/>
    <w:rsid w:val="3C8D5BBC"/>
    <w:rsid w:val="3C8F6F44"/>
    <w:rsid w:val="3C96D78C"/>
    <w:rsid w:val="3C9E9EA7"/>
    <w:rsid w:val="3CB169D3"/>
    <w:rsid w:val="3CB40E48"/>
    <w:rsid w:val="3CB65575"/>
    <w:rsid w:val="3CB9F8DC"/>
    <w:rsid w:val="3CBAF0DB"/>
    <w:rsid w:val="3CC00DAF"/>
    <w:rsid w:val="3CC2C506"/>
    <w:rsid w:val="3CC389A7"/>
    <w:rsid w:val="3CC561FF"/>
    <w:rsid w:val="3CCB93A2"/>
    <w:rsid w:val="3CD0C39B"/>
    <w:rsid w:val="3CD27EB8"/>
    <w:rsid w:val="3CD80299"/>
    <w:rsid w:val="3CD8ECA8"/>
    <w:rsid w:val="3CE1233C"/>
    <w:rsid w:val="3CE2A6C4"/>
    <w:rsid w:val="3CE8022C"/>
    <w:rsid w:val="3CEA7CE4"/>
    <w:rsid w:val="3CEEB18E"/>
    <w:rsid w:val="3CEF3063"/>
    <w:rsid w:val="3CF46CB1"/>
    <w:rsid w:val="3CFB1745"/>
    <w:rsid w:val="3CFD1027"/>
    <w:rsid w:val="3CFFFE4B"/>
    <w:rsid w:val="3D011962"/>
    <w:rsid w:val="3D03DA58"/>
    <w:rsid w:val="3D05A2F1"/>
    <w:rsid w:val="3D076DAA"/>
    <w:rsid w:val="3D09452C"/>
    <w:rsid w:val="3D0A4513"/>
    <w:rsid w:val="3D0B7EAA"/>
    <w:rsid w:val="3D131239"/>
    <w:rsid w:val="3D17402A"/>
    <w:rsid w:val="3D17D29E"/>
    <w:rsid w:val="3D21CF63"/>
    <w:rsid w:val="3D239CD1"/>
    <w:rsid w:val="3D26D560"/>
    <w:rsid w:val="3D285ACA"/>
    <w:rsid w:val="3D290CB4"/>
    <w:rsid w:val="3D2A5DF1"/>
    <w:rsid w:val="3D2AC431"/>
    <w:rsid w:val="3D2C406B"/>
    <w:rsid w:val="3D3878D1"/>
    <w:rsid w:val="3D38C364"/>
    <w:rsid w:val="3D3944AB"/>
    <w:rsid w:val="3D3ECDAD"/>
    <w:rsid w:val="3D45E002"/>
    <w:rsid w:val="3D48BF10"/>
    <w:rsid w:val="3D4B9386"/>
    <w:rsid w:val="3D521BA7"/>
    <w:rsid w:val="3D535C53"/>
    <w:rsid w:val="3D5540B4"/>
    <w:rsid w:val="3D598CF1"/>
    <w:rsid w:val="3D59B0C9"/>
    <w:rsid w:val="3D5AE1FD"/>
    <w:rsid w:val="3D5B2BB6"/>
    <w:rsid w:val="3D6EAE0D"/>
    <w:rsid w:val="3D6FFF8B"/>
    <w:rsid w:val="3D70FAC7"/>
    <w:rsid w:val="3D7381F6"/>
    <w:rsid w:val="3D743B81"/>
    <w:rsid w:val="3D750CAD"/>
    <w:rsid w:val="3D7578EE"/>
    <w:rsid w:val="3D81E2AA"/>
    <w:rsid w:val="3D8297F8"/>
    <w:rsid w:val="3D82ACF4"/>
    <w:rsid w:val="3D869B41"/>
    <w:rsid w:val="3D8A49AF"/>
    <w:rsid w:val="3D8C83B1"/>
    <w:rsid w:val="3D8CB350"/>
    <w:rsid w:val="3D94221C"/>
    <w:rsid w:val="3D9455EC"/>
    <w:rsid w:val="3D94EEDF"/>
    <w:rsid w:val="3D971C2E"/>
    <w:rsid w:val="3D98451A"/>
    <w:rsid w:val="3D9AC256"/>
    <w:rsid w:val="3DA1C7BC"/>
    <w:rsid w:val="3DA897C5"/>
    <w:rsid w:val="3DAA84EC"/>
    <w:rsid w:val="3DAAF749"/>
    <w:rsid w:val="3DB077CC"/>
    <w:rsid w:val="3DB43A36"/>
    <w:rsid w:val="3DB69711"/>
    <w:rsid w:val="3DB70A38"/>
    <w:rsid w:val="3DB88345"/>
    <w:rsid w:val="3DB9E166"/>
    <w:rsid w:val="3DBAF223"/>
    <w:rsid w:val="3DBE0A93"/>
    <w:rsid w:val="3DC5CB37"/>
    <w:rsid w:val="3DC76150"/>
    <w:rsid w:val="3DC855FC"/>
    <w:rsid w:val="3DCB1085"/>
    <w:rsid w:val="3DCB4911"/>
    <w:rsid w:val="3DD71242"/>
    <w:rsid w:val="3DD950B8"/>
    <w:rsid w:val="3DDC514B"/>
    <w:rsid w:val="3DDDAA27"/>
    <w:rsid w:val="3DDFFDE2"/>
    <w:rsid w:val="3DE77572"/>
    <w:rsid w:val="3DE78E9F"/>
    <w:rsid w:val="3DE8094D"/>
    <w:rsid w:val="3DEA46DB"/>
    <w:rsid w:val="3DED8CC2"/>
    <w:rsid w:val="3DEDD31D"/>
    <w:rsid w:val="3DEE5644"/>
    <w:rsid w:val="3DEEDD1E"/>
    <w:rsid w:val="3DF1641A"/>
    <w:rsid w:val="3DF4BA90"/>
    <w:rsid w:val="3DFD6792"/>
    <w:rsid w:val="3DFE4482"/>
    <w:rsid w:val="3E053F36"/>
    <w:rsid w:val="3E0A1698"/>
    <w:rsid w:val="3E0ADDC0"/>
    <w:rsid w:val="3E0C7451"/>
    <w:rsid w:val="3E0C9924"/>
    <w:rsid w:val="3E15853C"/>
    <w:rsid w:val="3E19B3B3"/>
    <w:rsid w:val="3E1E96E3"/>
    <w:rsid w:val="3E213763"/>
    <w:rsid w:val="3E23A541"/>
    <w:rsid w:val="3E26A248"/>
    <w:rsid w:val="3E3198F4"/>
    <w:rsid w:val="3E32B15D"/>
    <w:rsid w:val="3E32F29F"/>
    <w:rsid w:val="3E335525"/>
    <w:rsid w:val="3E345797"/>
    <w:rsid w:val="3E345B76"/>
    <w:rsid w:val="3E35368E"/>
    <w:rsid w:val="3E37B308"/>
    <w:rsid w:val="3E37D140"/>
    <w:rsid w:val="3E38A978"/>
    <w:rsid w:val="3E3BD6AD"/>
    <w:rsid w:val="3E41AB02"/>
    <w:rsid w:val="3E4271D7"/>
    <w:rsid w:val="3E49F4B2"/>
    <w:rsid w:val="3E4C49C0"/>
    <w:rsid w:val="3E4D722C"/>
    <w:rsid w:val="3E508955"/>
    <w:rsid w:val="3E5192A6"/>
    <w:rsid w:val="3E52A926"/>
    <w:rsid w:val="3E570565"/>
    <w:rsid w:val="3E5A39A5"/>
    <w:rsid w:val="3E5C56C7"/>
    <w:rsid w:val="3E5D953D"/>
    <w:rsid w:val="3E61CDB0"/>
    <w:rsid w:val="3E6485A7"/>
    <w:rsid w:val="3E649078"/>
    <w:rsid w:val="3E657051"/>
    <w:rsid w:val="3E6DBB0C"/>
    <w:rsid w:val="3E6EA598"/>
    <w:rsid w:val="3E73D963"/>
    <w:rsid w:val="3E7768B7"/>
    <w:rsid w:val="3E7B435C"/>
    <w:rsid w:val="3E814DC5"/>
    <w:rsid w:val="3E8B0C2E"/>
    <w:rsid w:val="3E8D4CDA"/>
    <w:rsid w:val="3E8DF09A"/>
    <w:rsid w:val="3E97505C"/>
    <w:rsid w:val="3EA4E72C"/>
    <w:rsid w:val="3EA6C4CA"/>
    <w:rsid w:val="3EAD0142"/>
    <w:rsid w:val="3EAEA3A4"/>
    <w:rsid w:val="3EB5B9A4"/>
    <w:rsid w:val="3EB73C70"/>
    <w:rsid w:val="3EB78FFE"/>
    <w:rsid w:val="3EB8E389"/>
    <w:rsid w:val="3EBB3B86"/>
    <w:rsid w:val="3EC5A5B5"/>
    <w:rsid w:val="3EC5D538"/>
    <w:rsid w:val="3ECA96DE"/>
    <w:rsid w:val="3ECD9CAC"/>
    <w:rsid w:val="3ED1967D"/>
    <w:rsid w:val="3ED27EE6"/>
    <w:rsid w:val="3ED355B8"/>
    <w:rsid w:val="3ED3EB19"/>
    <w:rsid w:val="3ED8E7C5"/>
    <w:rsid w:val="3ED9D784"/>
    <w:rsid w:val="3EE7F227"/>
    <w:rsid w:val="3EEB88C3"/>
    <w:rsid w:val="3EF3135E"/>
    <w:rsid w:val="3EF8881B"/>
    <w:rsid w:val="3F0169D8"/>
    <w:rsid w:val="3F0313BB"/>
    <w:rsid w:val="3F049629"/>
    <w:rsid w:val="3F056D7B"/>
    <w:rsid w:val="3F079D8F"/>
    <w:rsid w:val="3F101A22"/>
    <w:rsid w:val="3F10D392"/>
    <w:rsid w:val="3F20B464"/>
    <w:rsid w:val="3F21EA7D"/>
    <w:rsid w:val="3F2385AF"/>
    <w:rsid w:val="3F24A301"/>
    <w:rsid w:val="3F2764B2"/>
    <w:rsid w:val="3F27B7A3"/>
    <w:rsid w:val="3F2AB998"/>
    <w:rsid w:val="3F3018DA"/>
    <w:rsid w:val="3F3332E8"/>
    <w:rsid w:val="3F3359DF"/>
    <w:rsid w:val="3F3DBADE"/>
    <w:rsid w:val="3F3F8598"/>
    <w:rsid w:val="3F3FECC1"/>
    <w:rsid w:val="3F480903"/>
    <w:rsid w:val="3F483DF9"/>
    <w:rsid w:val="3F5537ED"/>
    <w:rsid w:val="3F55B6DA"/>
    <w:rsid w:val="3F566B30"/>
    <w:rsid w:val="3F57F7E8"/>
    <w:rsid w:val="3F593B6C"/>
    <w:rsid w:val="3F5A2463"/>
    <w:rsid w:val="3F5C57AA"/>
    <w:rsid w:val="3F6096B4"/>
    <w:rsid w:val="3F63770C"/>
    <w:rsid w:val="3F63F9EE"/>
    <w:rsid w:val="3F69373F"/>
    <w:rsid w:val="3F701044"/>
    <w:rsid w:val="3F77D1EF"/>
    <w:rsid w:val="3F7881B5"/>
    <w:rsid w:val="3F799E7B"/>
    <w:rsid w:val="3F89D5A4"/>
    <w:rsid w:val="3F8C6DE0"/>
    <w:rsid w:val="3F8E9539"/>
    <w:rsid w:val="3F930B70"/>
    <w:rsid w:val="3F9E0E06"/>
    <w:rsid w:val="3F9F97F3"/>
    <w:rsid w:val="3FA11341"/>
    <w:rsid w:val="3FA26B78"/>
    <w:rsid w:val="3FA2888B"/>
    <w:rsid w:val="3FA3FD5D"/>
    <w:rsid w:val="3FA413E8"/>
    <w:rsid w:val="3FAAF258"/>
    <w:rsid w:val="3FACD127"/>
    <w:rsid w:val="3FBA6A2E"/>
    <w:rsid w:val="3FBFD0F6"/>
    <w:rsid w:val="3FC22292"/>
    <w:rsid w:val="3FC9CCFF"/>
    <w:rsid w:val="3FCB13EA"/>
    <w:rsid w:val="3FCCD0FF"/>
    <w:rsid w:val="3FD3C1FA"/>
    <w:rsid w:val="3FD455C8"/>
    <w:rsid w:val="3FD8E0C3"/>
    <w:rsid w:val="3FDA3DA9"/>
    <w:rsid w:val="3FDADB7E"/>
    <w:rsid w:val="3FDFD7BD"/>
    <w:rsid w:val="3FE37532"/>
    <w:rsid w:val="3FEB721B"/>
    <w:rsid w:val="3FF1FFC8"/>
    <w:rsid w:val="3FF2D7FF"/>
    <w:rsid w:val="3FF70530"/>
    <w:rsid w:val="3FF9C3CE"/>
    <w:rsid w:val="3FFCB659"/>
    <w:rsid w:val="3FFD1794"/>
    <w:rsid w:val="4004AD8B"/>
    <w:rsid w:val="40062B6E"/>
    <w:rsid w:val="40078867"/>
    <w:rsid w:val="4007AF63"/>
    <w:rsid w:val="400EEA08"/>
    <w:rsid w:val="401490AF"/>
    <w:rsid w:val="4015D3DA"/>
    <w:rsid w:val="401B1F67"/>
    <w:rsid w:val="401CD346"/>
    <w:rsid w:val="40210C9E"/>
    <w:rsid w:val="40248FA1"/>
    <w:rsid w:val="40279971"/>
    <w:rsid w:val="402DAA2E"/>
    <w:rsid w:val="4030B2F7"/>
    <w:rsid w:val="4037E126"/>
    <w:rsid w:val="4037F3F7"/>
    <w:rsid w:val="40394A7E"/>
    <w:rsid w:val="403959A9"/>
    <w:rsid w:val="403EB235"/>
    <w:rsid w:val="4047C924"/>
    <w:rsid w:val="404834EA"/>
    <w:rsid w:val="404ABC02"/>
    <w:rsid w:val="404D0926"/>
    <w:rsid w:val="4053DCAF"/>
    <w:rsid w:val="405EE082"/>
    <w:rsid w:val="406148CE"/>
    <w:rsid w:val="40647F1D"/>
    <w:rsid w:val="4065EEDC"/>
    <w:rsid w:val="40672423"/>
    <w:rsid w:val="40689A6F"/>
    <w:rsid w:val="4069A760"/>
    <w:rsid w:val="4069F35F"/>
    <w:rsid w:val="406D8DE8"/>
    <w:rsid w:val="406DD4C3"/>
    <w:rsid w:val="406EC492"/>
    <w:rsid w:val="406EF581"/>
    <w:rsid w:val="406F4DC5"/>
    <w:rsid w:val="4071A708"/>
    <w:rsid w:val="40755A16"/>
    <w:rsid w:val="4075B888"/>
    <w:rsid w:val="4075DFE6"/>
    <w:rsid w:val="407A9ADC"/>
    <w:rsid w:val="407B26A2"/>
    <w:rsid w:val="407BDCFD"/>
    <w:rsid w:val="407D0D51"/>
    <w:rsid w:val="4084059E"/>
    <w:rsid w:val="4087F487"/>
    <w:rsid w:val="4089BA6B"/>
    <w:rsid w:val="408B4679"/>
    <w:rsid w:val="408E3CFE"/>
    <w:rsid w:val="408FE3C6"/>
    <w:rsid w:val="40925932"/>
    <w:rsid w:val="40929C83"/>
    <w:rsid w:val="40942CE4"/>
    <w:rsid w:val="4094BABA"/>
    <w:rsid w:val="4097E388"/>
    <w:rsid w:val="40984879"/>
    <w:rsid w:val="40986502"/>
    <w:rsid w:val="4099A414"/>
    <w:rsid w:val="409DBC36"/>
    <w:rsid w:val="409F4325"/>
    <w:rsid w:val="40A6B088"/>
    <w:rsid w:val="40A7F43F"/>
    <w:rsid w:val="40AFBBFA"/>
    <w:rsid w:val="40B45F3A"/>
    <w:rsid w:val="40B4BD45"/>
    <w:rsid w:val="40B6A632"/>
    <w:rsid w:val="40B75834"/>
    <w:rsid w:val="40C781DA"/>
    <w:rsid w:val="40C886B8"/>
    <w:rsid w:val="40CA609B"/>
    <w:rsid w:val="40CDA627"/>
    <w:rsid w:val="40D028B9"/>
    <w:rsid w:val="40D0F81D"/>
    <w:rsid w:val="40DB0D0E"/>
    <w:rsid w:val="40DFBBC9"/>
    <w:rsid w:val="40E08B41"/>
    <w:rsid w:val="40E39D05"/>
    <w:rsid w:val="40E3AE54"/>
    <w:rsid w:val="40EE5282"/>
    <w:rsid w:val="40EEFCD6"/>
    <w:rsid w:val="40F156EE"/>
    <w:rsid w:val="40F215E0"/>
    <w:rsid w:val="40F6554B"/>
    <w:rsid w:val="40F7C265"/>
    <w:rsid w:val="40F7F401"/>
    <w:rsid w:val="40F89ED7"/>
    <w:rsid w:val="40FB7C38"/>
    <w:rsid w:val="41015DB9"/>
    <w:rsid w:val="4102DA9E"/>
    <w:rsid w:val="41032587"/>
    <w:rsid w:val="41036943"/>
    <w:rsid w:val="41036D8D"/>
    <w:rsid w:val="410E875F"/>
    <w:rsid w:val="410FDD9F"/>
    <w:rsid w:val="41108024"/>
    <w:rsid w:val="4115543D"/>
    <w:rsid w:val="4118BD2C"/>
    <w:rsid w:val="411935FD"/>
    <w:rsid w:val="411B9F9A"/>
    <w:rsid w:val="411D2C0B"/>
    <w:rsid w:val="411D8960"/>
    <w:rsid w:val="411E4586"/>
    <w:rsid w:val="412258A4"/>
    <w:rsid w:val="4122A57B"/>
    <w:rsid w:val="4127A963"/>
    <w:rsid w:val="412C4D44"/>
    <w:rsid w:val="412FCAEA"/>
    <w:rsid w:val="4130DC31"/>
    <w:rsid w:val="4139461B"/>
    <w:rsid w:val="41399090"/>
    <w:rsid w:val="413C11AF"/>
    <w:rsid w:val="413C1B59"/>
    <w:rsid w:val="413E6130"/>
    <w:rsid w:val="413FF526"/>
    <w:rsid w:val="4140056A"/>
    <w:rsid w:val="4142FED3"/>
    <w:rsid w:val="4144E35C"/>
    <w:rsid w:val="41451554"/>
    <w:rsid w:val="41465F4A"/>
    <w:rsid w:val="414A984D"/>
    <w:rsid w:val="414D5F8F"/>
    <w:rsid w:val="41527C40"/>
    <w:rsid w:val="4166FCFA"/>
    <w:rsid w:val="416B14BE"/>
    <w:rsid w:val="416C976B"/>
    <w:rsid w:val="416EC130"/>
    <w:rsid w:val="4172A1AE"/>
    <w:rsid w:val="41749C9D"/>
    <w:rsid w:val="417DCB84"/>
    <w:rsid w:val="417E84AD"/>
    <w:rsid w:val="4182A154"/>
    <w:rsid w:val="41855EEE"/>
    <w:rsid w:val="418597A2"/>
    <w:rsid w:val="4186819D"/>
    <w:rsid w:val="4187E373"/>
    <w:rsid w:val="418E1C1F"/>
    <w:rsid w:val="41954B36"/>
    <w:rsid w:val="41966EAB"/>
    <w:rsid w:val="41970C8E"/>
    <w:rsid w:val="41992851"/>
    <w:rsid w:val="419A332E"/>
    <w:rsid w:val="419A3A25"/>
    <w:rsid w:val="419CE65D"/>
    <w:rsid w:val="41A21DD9"/>
    <w:rsid w:val="41A5A869"/>
    <w:rsid w:val="41A74215"/>
    <w:rsid w:val="41A8990C"/>
    <w:rsid w:val="41AB8A54"/>
    <w:rsid w:val="41B06DFA"/>
    <w:rsid w:val="41B20C6A"/>
    <w:rsid w:val="41B34492"/>
    <w:rsid w:val="41B9AF0D"/>
    <w:rsid w:val="41BB6C96"/>
    <w:rsid w:val="41BEE94B"/>
    <w:rsid w:val="41CD65CD"/>
    <w:rsid w:val="41D615A8"/>
    <w:rsid w:val="41D62526"/>
    <w:rsid w:val="41D8D674"/>
    <w:rsid w:val="41DC297F"/>
    <w:rsid w:val="41E6B6E8"/>
    <w:rsid w:val="41E768C1"/>
    <w:rsid w:val="41E7F3F2"/>
    <w:rsid w:val="41E92010"/>
    <w:rsid w:val="41E94D29"/>
    <w:rsid w:val="41EB7571"/>
    <w:rsid w:val="41F10A0F"/>
    <w:rsid w:val="41F8ECD0"/>
    <w:rsid w:val="42059941"/>
    <w:rsid w:val="4206DA71"/>
    <w:rsid w:val="4206FA9E"/>
    <w:rsid w:val="420E08C1"/>
    <w:rsid w:val="421553A2"/>
    <w:rsid w:val="4215743D"/>
    <w:rsid w:val="421A2F86"/>
    <w:rsid w:val="4225EE41"/>
    <w:rsid w:val="422992B2"/>
    <w:rsid w:val="422BBF47"/>
    <w:rsid w:val="422E3EFC"/>
    <w:rsid w:val="422E6896"/>
    <w:rsid w:val="42324549"/>
    <w:rsid w:val="42328CC0"/>
    <w:rsid w:val="4234CDCE"/>
    <w:rsid w:val="42356BCD"/>
    <w:rsid w:val="4235BEA0"/>
    <w:rsid w:val="423D7D72"/>
    <w:rsid w:val="423E56B4"/>
    <w:rsid w:val="424D8551"/>
    <w:rsid w:val="4254EAD9"/>
    <w:rsid w:val="42565D43"/>
    <w:rsid w:val="4256E9CB"/>
    <w:rsid w:val="42589A64"/>
    <w:rsid w:val="425C7998"/>
    <w:rsid w:val="425CA637"/>
    <w:rsid w:val="425D4DFC"/>
    <w:rsid w:val="425DA928"/>
    <w:rsid w:val="425F46D9"/>
    <w:rsid w:val="42619FE4"/>
    <w:rsid w:val="4264990B"/>
    <w:rsid w:val="4268848D"/>
    <w:rsid w:val="42689B5B"/>
    <w:rsid w:val="426A1807"/>
    <w:rsid w:val="4270D3D8"/>
    <w:rsid w:val="42717A5A"/>
    <w:rsid w:val="427E75BF"/>
    <w:rsid w:val="427F075C"/>
    <w:rsid w:val="427FDD45"/>
    <w:rsid w:val="42828D37"/>
    <w:rsid w:val="428898AD"/>
    <w:rsid w:val="428EBE76"/>
    <w:rsid w:val="4290B383"/>
    <w:rsid w:val="429B47D4"/>
    <w:rsid w:val="42A40702"/>
    <w:rsid w:val="42AD6C2F"/>
    <w:rsid w:val="42B13C9C"/>
    <w:rsid w:val="42B35EEC"/>
    <w:rsid w:val="42C6BA27"/>
    <w:rsid w:val="42D00716"/>
    <w:rsid w:val="42DD6253"/>
    <w:rsid w:val="42E12BA3"/>
    <w:rsid w:val="42E5D335"/>
    <w:rsid w:val="42E96760"/>
    <w:rsid w:val="42EA9DC2"/>
    <w:rsid w:val="42EB88DA"/>
    <w:rsid w:val="42EC3843"/>
    <w:rsid w:val="42EC4A4E"/>
    <w:rsid w:val="42EF2CC6"/>
    <w:rsid w:val="42F11CBD"/>
    <w:rsid w:val="42F200EA"/>
    <w:rsid w:val="42F510F8"/>
    <w:rsid w:val="42F60DE9"/>
    <w:rsid w:val="42F75080"/>
    <w:rsid w:val="42F7EBE7"/>
    <w:rsid w:val="42FE778A"/>
    <w:rsid w:val="42FE853B"/>
    <w:rsid w:val="43038FD2"/>
    <w:rsid w:val="43050AD9"/>
    <w:rsid w:val="430ACEB7"/>
    <w:rsid w:val="4311B2E6"/>
    <w:rsid w:val="4312A4ED"/>
    <w:rsid w:val="4313864D"/>
    <w:rsid w:val="4317521C"/>
    <w:rsid w:val="43191F2F"/>
    <w:rsid w:val="431975AE"/>
    <w:rsid w:val="432064E2"/>
    <w:rsid w:val="4321A0E2"/>
    <w:rsid w:val="432329D6"/>
    <w:rsid w:val="4323CB67"/>
    <w:rsid w:val="432C1D06"/>
    <w:rsid w:val="433177E4"/>
    <w:rsid w:val="4331CB3B"/>
    <w:rsid w:val="4331E0B2"/>
    <w:rsid w:val="433362D1"/>
    <w:rsid w:val="43339E8A"/>
    <w:rsid w:val="43358066"/>
    <w:rsid w:val="4335E4B6"/>
    <w:rsid w:val="4343878D"/>
    <w:rsid w:val="43452EBB"/>
    <w:rsid w:val="4347017B"/>
    <w:rsid w:val="4347A2FD"/>
    <w:rsid w:val="434EFFE8"/>
    <w:rsid w:val="434F5C7D"/>
    <w:rsid w:val="434F6BCC"/>
    <w:rsid w:val="4352C024"/>
    <w:rsid w:val="43549C18"/>
    <w:rsid w:val="43557B57"/>
    <w:rsid w:val="4358969B"/>
    <w:rsid w:val="435FA9D4"/>
    <w:rsid w:val="43609F82"/>
    <w:rsid w:val="43672BCA"/>
    <w:rsid w:val="436BB870"/>
    <w:rsid w:val="436C2628"/>
    <w:rsid w:val="436CA089"/>
    <w:rsid w:val="43701E04"/>
    <w:rsid w:val="43792751"/>
    <w:rsid w:val="437BC92F"/>
    <w:rsid w:val="437D6E83"/>
    <w:rsid w:val="4380B53E"/>
    <w:rsid w:val="438177E1"/>
    <w:rsid w:val="43828A3C"/>
    <w:rsid w:val="4382D76C"/>
    <w:rsid w:val="4385C007"/>
    <w:rsid w:val="4389C4E7"/>
    <w:rsid w:val="438A3ACE"/>
    <w:rsid w:val="438AF7DF"/>
    <w:rsid w:val="4397C037"/>
    <w:rsid w:val="439AE65D"/>
    <w:rsid w:val="439B05C6"/>
    <w:rsid w:val="43A36BDF"/>
    <w:rsid w:val="43A3FB2D"/>
    <w:rsid w:val="43A4BE6C"/>
    <w:rsid w:val="43A87586"/>
    <w:rsid w:val="43ACF1FE"/>
    <w:rsid w:val="43AD484F"/>
    <w:rsid w:val="43B0F74F"/>
    <w:rsid w:val="43B9A7CD"/>
    <w:rsid w:val="43C15C7F"/>
    <w:rsid w:val="43C20750"/>
    <w:rsid w:val="43C599F7"/>
    <w:rsid w:val="43C650F3"/>
    <w:rsid w:val="43D55720"/>
    <w:rsid w:val="43E2869B"/>
    <w:rsid w:val="43E2E2C0"/>
    <w:rsid w:val="43E4EB62"/>
    <w:rsid w:val="43E812F3"/>
    <w:rsid w:val="43E8891C"/>
    <w:rsid w:val="43ECE0BC"/>
    <w:rsid w:val="43ED41F3"/>
    <w:rsid w:val="43F1330A"/>
    <w:rsid w:val="43F47CFC"/>
    <w:rsid w:val="43F87A55"/>
    <w:rsid w:val="4405E80C"/>
    <w:rsid w:val="44097588"/>
    <w:rsid w:val="441E9861"/>
    <w:rsid w:val="4423D8FF"/>
    <w:rsid w:val="4429F9D8"/>
    <w:rsid w:val="442E6D29"/>
    <w:rsid w:val="4431B32F"/>
    <w:rsid w:val="44333409"/>
    <w:rsid w:val="4437D956"/>
    <w:rsid w:val="4439B3CF"/>
    <w:rsid w:val="443A32DD"/>
    <w:rsid w:val="443C9127"/>
    <w:rsid w:val="443E9010"/>
    <w:rsid w:val="4440A6FD"/>
    <w:rsid w:val="44449F58"/>
    <w:rsid w:val="44478C18"/>
    <w:rsid w:val="444D3056"/>
    <w:rsid w:val="4454E990"/>
    <w:rsid w:val="445B22CA"/>
    <w:rsid w:val="445B6C51"/>
    <w:rsid w:val="445D63ED"/>
    <w:rsid w:val="44646E76"/>
    <w:rsid w:val="447535AE"/>
    <w:rsid w:val="44798057"/>
    <w:rsid w:val="447EA59C"/>
    <w:rsid w:val="447F1F64"/>
    <w:rsid w:val="44805657"/>
    <w:rsid w:val="44852CC6"/>
    <w:rsid w:val="448C7F81"/>
    <w:rsid w:val="448CF5BD"/>
    <w:rsid w:val="44920160"/>
    <w:rsid w:val="44929329"/>
    <w:rsid w:val="4496C1EF"/>
    <w:rsid w:val="449FFB2E"/>
    <w:rsid w:val="44A9A5BF"/>
    <w:rsid w:val="44AABBD6"/>
    <w:rsid w:val="44AC92F2"/>
    <w:rsid w:val="44ACDD55"/>
    <w:rsid w:val="44AE8F38"/>
    <w:rsid w:val="44AFAC44"/>
    <w:rsid w:val="44C594EE"/>
    <w:rsid w:val="44C5A513"/>
    <w:rsid w:val="44C888BE"/>
    <w:rsid w:val="44C888C2"/>
    <w:rsid w:val="44C8B9A8"/>
    <w:rsid w:val="44D08183"/>
    <w:rsid w:val="44D47DE4"/>
    <w:rsid w:val="44D7812F"/>
    <w:rsid w:val="44D81D8E"/>
    <w:rsid w:val="44DAC6E2"/>
    <w:rsid w:val="44DD6584"/>
    <w:rsid w:val="44E14D19"/>
    <w:rsid w:val="44E404D8"/>
    <w:rsid w:val="44EA2FBA"/>
    <w:rsid w:val="44ECA5F6"/>
    <w:rsid w:val="44ED9A66"/>
    <w:rsid w:val="44F51034"/>
    <w:rsid w:val="44FC238B"/>
    <w:rsid w:val="44FE7034"/>
    <w:rsid w:val="4501F7F8"/>
    <w:rsid w:val="450B2C0E"/>
    <w:rsid w:val="4519BEB4"/>
    <w:rsid w:val="451B925B"/>
    <w:rsid w:val="451F8A80"/>
    <w:rsid w:val="452484CD"/>
    <w:rsid w:val="4524B6CD"/>
    <w:rsid w:val="4525833A"/>
    <w:rsid w:val="45260F0B"/>
    <w:rsid w:val="45283463"/>
    <w:rsid w:val="4529600F"/>
    <w:rsid w:val="452BB0E8"/>
    <w:rsid w:val="453169F1"/>
    <w:rsid w:val="4534DCCE"/>
    <w:rsid w:val="4541B217"/>
    <w:rsid w:val="4545FF46"/>
    <w:rsid w:val="454631AF"/>
    <w:rsid w:val="4546DEC7"/>
    <w:rsid w:val="45508022"/>
    <w:rsid w:val="455813E9"/>
    <w:rsid w:val="4558A227"/>
    <w:rsid w:val="45599212"/>
    <w:rsid w:val="455B6932"/>
    <w:rsid w:val="455F19CB"/>
    <w:rsid w:val="4569D989"/>
    <w:rsid w:val="4572B162"/>
    <w:rsid w:val="4575A9E5"/>
    <w:rsid w:val="45841334"/>
    <w:rsid w:val="45858796"/>
    <w:rsid w:val="458906F8"/>
    <w:rsid w:val="458CE9A1"/>
    <w:rsid w:val="458FB322"/>
    <w:rsid w:val="458FED28"/>
    <w:rsid w:val="4591A9FE"/>
    <w:rsid w:val="4596CE58"/>
    <w:rsid w:val="45974634"/>
    <w:rsid w:val="4597BB6F"/>
    <w:rsid w:val="4598375C"/>
    <w:rsid w:val="4598F96F"/>
    <w:rsid w:val="459918D5"/>
    <w:rsid w:val="459C73F3"/>
    <w:rsid w:val="45A768B8"/>
    <w:rsid w:val="45AA08D0"/>
    <w:rsid w:val="45B34410"/>
    <w:rsid w:val="45B91BAB"/>
    <w:rsid w:val="45BC2101"/>
    <w:rsid w:val="45BC7C1C"/>
    <w:rsid w:val="45C257D5"/>
    <w:rsid w:val="45C3B1E8"/>
    <w:rsid w:val="45C3E5C3"/>
    <w:rsid w:val="45C824C6"/>
    <w:rsid w:val="45D39756"/>
    <w:rsid w:val="45DE888D"/>
    <w:rsid w:val="45DF4B02"/>
    <w:rsid w:val="45E20D81"/>
    <w:rsid w:val="45E5919A"/>
    <w:rsid w:val="45E7DD0C"/>
    <w:rsid w:val="45F1287B"/>
    <w:rsid w:val="45F7B793"/>
    <w:rsid w:val="45FDF395"/>
    <w:rsid w:val="45FF61A6"/>
    <w:rsid w:val="46011394"/>
    <w:rsid w:val="4605C027"/>
    <w:rsid w:val="460631BA"/>
    <w:rsid w:val="460C5AAA"/>
    <w:rsid w:val="460FA97D"/>
    <w:rsid w:val="4619089D"/>
    <w:rsid w:val="461B9F1B"/>
    <w:rsid w:val="461D0D66"/>
    <w:rsid w:val="461DF43D"/>
    <w:rsid w:val="4620023A"/>
    <w:rsid w:val="46237A86"/>
    <w:rsid w:val="4627CF22"/>
    <w:rsid w:val="463211E5"/>
    <w:rsid w:val="46389985"/>
    <w:rsid w:val="4638ABF5"/>
    <w:rsid w:val="463E0402"/>
    <w:rsid w:val="464A5C80"/>
    <w:rsid w:val="464A8C3F"/>
    <w:rsid w:val="46516675"/>
    <w:rsid w:val="465957A7"/>
    <w:rsid w:val="465C4813"/>
    <w:rsid w:val="4661BC26"/>
    <w:rsid w:val="46620C70"/>
    <w:rsid w:val="4663A9AE"/>
    <w:rsid w:val="466591C1"/>
    <w:rsid w:val="466FA1F3"/>
    <w:rsid w:val="4672E280"/>
    <w:rsid w:val="467BD02C"/>
    <w:rsid w:val="467C53A1"/>
    <w:rsid w:val="467E5D5E"/>
    <w:rsid w:val="4682C48E"/>
    <w:rsid w:val="468D3ACB"/>
    <w:rsid w:val="4693D758"/>
    <w:rsid w:val="4696D051"/>
    <w:rsid w:val="46979854"/>
    <w:rsid w:val="469D7C3C"/>
    <w:rsid w:val="46A054DC"/>
    <w:rsid w:val="46A81A75"/>
    <w:rsid w:val="46ABA1B4"/>
    <w:rsid w:val="46B4D9DA"/>
    <w:rsid w:val="46BF59C8"/>
    <w:rsid w:val="46C2DAFC"/>
    <w:rsid w:val="46C5B8A3"/>
    <w:rsid w:val="46C6D1F8"/>
    <w:rsid w:val="46C78EC5"/>
    <w:rsid w:val="46C89230"/>
    <w:rsid w:val="46C9468A"/>
    <w:rsid w:val="46CADDE5"/>
    <w:rsid w:val="46CC724A"/>
    <w:rsid w:val="46D16CA8"/>
    <w:rsid w:val="46D3929C"/>
    <w:rsid w:val="46D42657"/>
    <w:rsid w:val="46D7A3E6"/>
    <w:rsid w:val="46D98D31"/>
    <w:rsid w:val="46DAEDC4"/>
    <w:rsid w:val="46DCC02E"/>
    <w:rsid w:val="46E24875"/>
    <w:rsid w:val="46E3988A"/>
    <w:rsid w:val="46E458A9"/>
    <w:rsid w:val="46EC7C4D"/>
    <w:rsid w:val="46F37DAF"/>
    <w:rsid w:val="46F7DC9F"/>
    <w:rsid w:val="46FB8A87"/>
    <w:rsid w:val="46FD8EB4"/>
    <w:rsid w:val="46FF40B0"/>
    <w:rsid w:val="46FFDE22"/>
    <w:rsid w:val="4701506C"/>
    <w:rsid w:val="47047DD7"/>
    <w:rsid w:val="4706E300"/>
    <w:rsid w:val="47094197"/>
    <w:rsid w:val="4709526A"/>
    <w:rsid w:val="470DBA6D"/>
    <w:rsid w:val="4710466D"/>
    <w:rsid w:val="471252B0"/>
    <w:rsid w:val="47164D47"/>
    <w:rsid w:val="471B9C41"/>
    <w:rsid w:val="47201F34"/>
    <w:rsid w:val="4720A666"/>
    <w:rsid w:val="4723D0FD"/>
    <w:rsid w:val="4725B3C3"/>
    <w:rsid w:val="47262032"/>
    <w:rsid w:val="47330C1D"/>
    <w:rsid w:val="4742BEE4"/>
    <w:rsid w:val="4743B31D"/>
    <w:rsid w:val="47479A4B"/>
    <w:rsid w:val="4747A02F"/>
    <w:rsid w:val="474AF673"/>
    <w:rsid w:val="474D2EB2"/>
    <w:rsid w:val="47509965"/>
    <w:rsid w:val="47524A3B"/>
    <w:rsid w:val="475AF429"/>
    <w:rsid w:val="475DDCC9"/>
    <w:rsid w:val="47654F78"/>
    <w:rsid w:val="47737358"/>
    <w:rsid w:val="477891C8"/>
    <w:rsid w:val="47792B41"/>
    <w:rsid w:val="477A8158"/>
    <w:rsid w:val="477C9B0B"/>
    <w:rsid w:val="4782BE1D"/>
    <w:rsid w:val="4788FA7A"/>
    <w:rsid w:val="47890042"/>
    <w:rsid w:val="478C0653"/>
    <w:rsid w:val="478E1028"/>
    <w:rsid w:val="4790300B"/>
    <w:rsid w:val="4791CF09"/>
    <w:rsid w:val="4792E02D"/>
    <w:rsid w:val="4792F233"/>
    <w:rsid w:val="47960BCF"/>
    <w:rsid w:val="4796650D"/>
    <w:rsid w:val="47976118"/>
    <w:rsid w:val="47A0AF3E"/>
    <w:rsid w:val="47A3543F"/>
    <w:rsid w:val="47A71CB0"/>
    <w:rsid w:val="47AAE018"/>
    <w:rsid w:val="47ACE784"/>
    <w:rsid w:val="47AD59BB"/>
    <w:rsid w:val="47B4A255"/>
    <w:rsid w:val="47B60F28"/>
    <w:rsid w:val="47BAD107"/>
    <w:rsid w:val="47C547BC"/>
    <w:rsid w:val="47C9D6B9"/>
    <w:rsid w:val="47D031FA"/>
    <w:rsid w:val="47D66FA9"/>
    <w:rsid w:val="47D9E9AE"/>
    <w:rsid w:val="47DA63FD"/>
    <w:rsid w:val="47DCC933"/>
    <w:rsid w:val="47E28733"/>
    <w:rsid w:val="47ECAE06"/>
    <w:rsid w:val="47EE077E"/>
    <w:rsid w:val="47EED114"/>
    <w:rsid w:val="47F11D3A"/>
    <w:rsid w:val="47F57C62"/>
    <w:rsid w:val="47FDB668"/>
    <w:rsid w:val="480140DC"/>
    <w:rsid w:val="4803E5B6"/>
    <w:rsid w:val="48044D1A"/>
    <w:rsid w:val="4804DFCC"/>
    <w:rsid w:val="4805AABD"/>
    <w:rsid w:val="4805B67C"/>
    <w:rsid w:val="4806208C"/>
    <w:rsid w:val="48067372"/>
    <w:rsid w:val="480B1BA7"/>
    <w:rsid w:val="480D88C0"/>
    <w:rsid w:val="480FA952"/>
    <w:rsid w:val="481301B0"/>
    <w:rsid w:val="48197E5C"/>
    <w:rsid w:val="48251342"/>
    <w:rsid w:val="482F94E4"/>
    <w:rsid w:val="483C9D18"/>
    <w:rsid w:val="48431081"/>
    <w:rsid w:val="48436F45"/>
    <w:rsid w:val="4846622B"/>
    <w:rsid w:val="48482571"/>
    <w:rsid w:val="484F379A"/>
    <w:rsid w:val="4855B21E"/>
    <w:rsid w:val="485F530A"/>
    <w:rsid w:val="48611F86"/>
    <w:rsid w:val="48624749"/>
    <w:rsid w:val="486E65B3"/>
    <w:rsid w:val="486E715D"/>
    <w:rsid w:val="486F0170"/>
    <w:rsid w:val="48701518"/>
    <w:rsid w:val="487490D5"/>
    <w:rsid w:val="4876FE6A"/>
    <w:rsid w:val="4877AF67"/>
    <w:rsid w:val="4879AB55"/>
    <w:rsid w:val="487D5E8C"/>
    <w:rsid w:val="487F6AB3"/>
    <w:rsid w:val="48822FD1"/>
    <w:rsid w:val="48829FA9"/>
    <w:rsid w:val="48899937"/>
    <w:rsid w:val="488A08E2"/>
    <w:rsid w:val="488D1D85"/>
    <w:rsid w:val="488EF9C8"/>
    <w:rsid w:val="4895665F"/>
    <w:rsid w:val="489C61D2"/>
    <w:rsid w:val="489D76AA"/>
    <w:rsid w:val="48A21260"/>
    <w:rsid w:val="48A7147A"/>
    <w:rsid w:val="48A9EBC7"/>
    <w:rsid w:val="48AA31CA"/>
    <w:rsid w:val="48B2D01A"/>
    <w:rsid w:val="48B59A2A"/>
    <w:rsid w:val="48B89352"/>
    <w:rsid w:val="48B8BC8E"/>
    <w:rsid w:val="48BACAE9"/>
    <w:rsid w:val="48BC9C20"/>
    <w:rsid w:val="48BCE9F3"/>
    <w:rsid w:val="48C52E33"/>
    <w:rsid w:val="48C61B7A"/>
    <w:rsid w:val="48CB39A3"/>
    <w:rsid w:val="48D442D4"/>
    <w:rsid w:val="48D6CF2F"/>
    <w:rsid w:val="48E01988"/>
    <w:rsid w:val="48E65D8B"/>
    <w:rsid w:val="48EA460C"/>
    <w:rsid w:val="48EE5D7B"/>
    <w:rsid w:val="48F723DE"/>
    <w:rsid w:val="48FD1179"/>
    <w:rsid w:val="490044EB"/>
    <w:rsid w:val="4907A6F8"/>
    <w:rsid w:val="490C4963"/>
    <w:rsid w:val="490CBDCD"/>
    <w:rsid w:val="491E6CC0"/>
    <w:rsid w:val="4924F44D"/>
    <w:rsid w:val="4925C106"/>
    <w:rsid w:val="49327FA4"/>
    <w:rsid w:val="49329DA7"/>
    <w:rsid w:val="493301D9"/>
    <w:rsid w:val="4934681C"/>
    <w:rsid w:val="49408304"/>
    <w:rsid w:val="494F4259"/>
    <w:rsid w:val="4951C8C3"/>
    <w:rsid w:val="495D93E2"/>
    <w:rsid w:val="49624F1A"/>
    <w:rsid w:val="496563D4"/>
    <w:rsid w:val="496739F9"/>
    <w:rsid w:val="496A025A"/>
    <w:rsid w:val="496C8738"/>
    <w:rsid w:val="4972E2E0"/>
    <w:rsid w:val="4973E067"/>
    <w:rsid w:val="4974EF88"/>
    <w:rsid w:val="49754D2B"/>
    <w:rsid w:val="4976FF79"/>
    <w:rsid w:val="49792861"/>
    <w:rsid w:val="49793856"/>
    <w:rsid w:val="497E5A08"/>
    <w:rsid w:val="4981699C"/>
    <w:rsid w:val="4986184B"/>
    <w:rsid w:val="498720E2"/>
    <w:rsid w:val="498BC9EC"/>
    <w:rsid w:val="498F401A"/>
    <w:rsid w:val="499178A1"/>
    <w:rsid w:val="4993A668"/>
    <w:rsid w:val="49975190"/>
    <w:rsid w:val="499EA1C6"/>
    <w:rsid w:val="49A2BA82"/>
    <w:rsid w:val="49A623E1"/>
    <w:rsid w:val="49A637E9"/>
    <w:rsid w:val="49A6484D"/>
    <w:rsid w:val="49A9BEB3"/>
    <w:rsid w:val="49AB64DD"/>
    <w:rsid w:val="49AD27C6"/>
    <w:rsid w:val="49AF1485"/>
    <w:rsid w:val="49B12B3C"/>
    <w:rsid w:val="49B3C06A"/>
    <w:rsid w:val="49B6E3C2"/>
    <w:rsid w:val="49BE9226"/>
    <w:rsid w:val="49C712C5"/>
    <w:rsid w:val="49CCF225"/>
    <w:rsid w:val="49CE9EF2"/>
    <w:rsid w:val="49D33147"/>
    <w:rsid w:val="49D3A364"/>
    <w:rsid w:val="49D44189"/>
    <w:rsid w:val="49D5153B"/>
    <w:rsid w:val="49D560D8"/>
    <w:rsid w:val="49D63C35"/>
    <w:rsid w:val="49D651AF"/>
    <w:rsid w:val="49D964A8"/>
    <w:rsid w:val="49DB0A6B"/>
    <w:rsid w:val="49DEE7F9"/>
    <w:rsid w:val="49E1B96C"/>
    <w:rsid w:val="49E2422F"/>
    <w:rsid w:val="49E55A08"/>
    <w:rsid w:val="49E674E8"/>
    <w:rsid w:val="49EC022F"/>
    <w:rsid w:val="49F140FF"/>
    <w:rsid w:val="49F5C8C6"/>
    <w:rsid w:val="4A096DF8"/>
    <w:rsid w:val="4A0DA2CC"/>
    <w:rsid w:val="4A0E267E"/>
    <w:rsid w:val="4A10C5CA"/>
    <w:rsid w:val="4A112351"/>
    <w:rsid w:val="4A12884F"/>
    <w:rsid w:val="4A1B18BD"/>
    <w:rsid w:val="4A1F6A10"/>
    <w:rsid w:val="4A1FEA8F"/>
    <w:rsid w:val="4A20769F"/>
    <w:rsid w:val="4A2C163F"/>
    <w:rsid w:val="4A2D4B3D"/>
    <w:rsid w:val="4A2E7290"/>
    <w:rsid w:val="4A2E8AA8"/>
    <w:rsid w:val="4A3B4971"/>
    <w:rsid w:val="4A42DCB2"/>
    <w:rsid w:val="4A455219"/>
    <w:rsid w:val="4A4FAE40"/>
    <w:rsid w:val="4A507823"/>
    <w:rsid w:val="4A5371FA"/>
    <w:rsid w:val="4A5659FF"/>
    <w:rsid w:val="4A570C16"/>
    <w:rsid w:val="4A5CC74D"/>
    <w:rsid w:val="4A621ECE"/>
    <w:rsid w:val="4A6D0436"/>
    <w:rsid w:val="4A70EA1C"/>
    <w:rsid w:val="4A74EF18"/>
    <w:rsid w:val="4A77FCC6"/>
    <w:rsid w:val="4A880ABC"/>
    <w:rsid w:val="4A948563"/>
    <w:rsid w:val="4A95A0B8"/>
    <w:rsid w:val="4A961FEF"/>
    <w:rsid w:val="4A97A84D"/>
    <w:rsid w:val="4A9BF660"/>
    <w:rsid w:val="4A9CE51B"/>
    <w:rsid w:val="4AA47D38"/>
    <w:rsid w:val="4AA94590"/>
    <w:rsid w:val="4AA95B6B"/>
    <w:rsid w:val="4AAB3E43"/>
    <w:rsid w:val="4AAD5A3A"/>
    <w:rsid w:val="4AAE7B98"/>
    <w:rsid w:val="4AB0A25B"/>
    <w:rsid w:val="4AB15136"/>
    <w:rsid w:val="4AB444D2"/>
    <w:rsid w:val="4AB7C90F"/>
    <w:rsid w:val="4AB86608"/>
    <w:rsid w:val="4AC11E2F"/>
    <w:rsid w:val="4AC30584"/>
    <w:rsid w:val="4AC4B916"/>
    <w:rsid w:val="4AD2D78D"/>
    <w:rsid w:val="4AD45491"/>
    <w:rsid w:val="4AD4A300"/>
    <w:rsid w:val="4AD87C71"/>
    <w:rsid w:val="4ADA7C4F"/>
    <w:rsid w:val="4ADDAE70"/>
    <w:rsid w:val="4AE23816"/>
    <w:rsid w:val="4AEAAFED"/>
    <w:rsid w:val="4AEDEC2A"/>
    <w:rsid w:val="4AF00775"/>
    <w:rsid w:val="4AF641A8"/>
    <w:rsid w:val="4AF6F56C"/>
    <w:rsid w:val="4AF76154"/>
    <w:rsid w:val="4AFF4B5B"/>
    <w:rsid w:val="4AFF7892"/>
    <w:rsid w:val="4B003EC1"/>
    <w:rsid w:val="4B033BEE"/>
    <w:rsid w:val="4B06EFD5"/>
    <w:rsid w:val="4B09232A"/>
    <w:rsid w:val="4B0BB572"/>
    <w:rsid w:val="4B1190E1"/>
    <w:rsid w:val="4B11E011"/>
    <w:rsid w:val="4B15FE93"/>
    <w:rsid w:val="4B19C989"/>
    <w:rsid w:val="4B1A36EC"/>
    <w:rsid w:val="4B1A429F"/>
    <w:rsid w:val="4B1B1BF6"/>
    <w:rsid w:val="4B1E20DB"/>
    <w:rsid w:val="4B204E35"/>
    <w:rsid w:val="4B21348E"/>
    <w:rsid w:val="4B238BAB"/>
    <w:rsid w:val="4B2649C9"/>
    <w:rsid w:val="4B2D3516"/>
    <w:rsid w:val="4B31899E"/>
    <w:rsid w:val="4B32AE15"/>
    <w:rsid w:val="4B34F6D3"/>
    <w:rsid w:val="4B3AAEC0"/>
    <w:rsid w:val="4B42414A"/>
    <w:rsid w:val="4B42BDDA"/>
    <w:rsid w:val="4B483C7B"/>
    <w:rsid w:val="4B49D1A9"/>
    <w:rsid w:val="4B4CC19F"/>
    <w:rsid w:val="4B56C434"/>
    <w:rsid w:val="4B5A95AF"/>
    <w:rsid w:val="4B5DA170"/>
    <w:rsid w:val="4B641655"/>
    <w:rsid w:val="4B642656"/>
    <w:rsid w:val="4B64ED2B"/>
    <w:rsid w:val="4B697F3B"/>
    <w:rsid w:val="4B6C1F0F"/>
    <w:rsid w:val="4B6E8E4C"/>
    <w:rsid w:val="4B7CA819"/>
    <w:rsid w:val="4B85AA08"/>
    <w:rsid w:val="4B8BFA2F"/>
    <w:rsid w:val="4B8CBEAA"/>
    <w:rsid w:val="4B8EC282"/>
    <w:rsid w:val="4B900458"/>
    <w:rsid w:val="4B97E6D5"/>
    <w:rsid w:val="4B98043A"/>
    <w:rsid w:val="4B99AB15"/>
    <w:rsid w:val="4B9AB1DC"/>
    <w:rsid w:val="4B9D7C31"/>
    <w:rsid w:val="4BA199AA"/>
    <w:rsid w:val="4BA5DAFD"/>
    <w:rsid w:val="4BA99501"/>
    <w:rsid w:val="4BAF54E0"/>
    <w:rsid w:val="4BB080CA"/>
    <w:rsid w:val="4BB0C55E"/>
    <w:rsid w:val="4BB0FB4E"/>
    <w:rsid w:val="4BB73471"/>
    <w:rsid w:val="4BC0CC2B"/>
    <w:rsid w:val="4BC5C63E"/>
    <w:rsid w:val="4BC7F5C7"/>
    <w:rsid w:val="4BCAA4A5"/>
    <w:rsid w:val="4BCAFC8B"/>
    <w:rsid w:val="4BCD5FFC"/>
    <w:rsid w:val="4BD1B5B4"/>
    <w:rsid w:val="4BD4A928"/>
    <w:rsid w:val="4BD5BF07"/>
    <w:rsid w:val="4BD5C2B0"/>
    <w:rsid w:val="4BDF495F"/>
    <w:rsid w:val="4BE0267E"/>
    <w:rsid w:val="4BE1641B"/>
    <w:rsid w:val="4BE4C884"/>
    <w:rsid w:val="4BE4E7FE"/>
    <w:rsid w:val="4BEC32EA"/>
    <w:rsid w:val="4BF249CD"/>
    <w:rsid w:val="4BF28BAE"/>
    <w:rsid w:val="4BF5A5A6"/>
    <w:rsid w:val="4BF85025"/>
    <w:rsid w:val="4C020F49"/>
    <w:rsid w:val="4C02C17B"/>
    <w:rsid w:val="4C02FDA4"/>
    <w:rsid w:val="4C0A880C"/>
    <w:rsid w:val="4C1524A6"/>
    <w:rsid w:val="4C15EC4F"/>
    <w:rsid w:val="4C182C8B"/>
    <w:rsid w:val="4C18DD5D"/>
    <w:rsid w:val="4C19636A"/>
    <w:rsid w:val="4C19AA0F"/>
    <w:rsid w:val="4C1A1C35"/>
    <w:rsid w:val="4C1B2DD5"/>
    <w:rsid w:val="4C1D6401"/>
    <w:rsid w:val="4C1E41B5"/>
    <w:rsid w:val="4C221F9C"/>
    <w:rsid w:val="4C230007"/>
    <w:rsid w:val="4C28C2FA"/>
    <w:rsid w:val="4C2FF7A4"/>
    <w:rsid w:val="4C32D2EF"/>
    <w:rsid w:val="4C348085"/>
    <w:rsid w:val="4C3B4ABE"/>
    <w:rsid w:val="4C405DC7"/>
    <w:rsid w:val="4C41B342"/>
    <w:rsid w:val="4C429397"/>
    <w:rsid w:val="4C455030"/>
    <w:rsid w:val="4C468EE4"/>
    <w:rsid w:val="4C4A140C"/>
    <w:rsid w:val="4C4AA73F"/>
    <w:rsid w:val="4C50DF78"/>
    <w:rsid w:val="4C51F950"/>
    <w:rsid w:val="4C54D56F"/>
    <w:rsid w:val="4C5E5851"/>
    <w:rsid w:val="4C5E5A2D"/>
    <w:rsid w:val="4C5F4D29"/>
    <w:rsid w:val="4C6B4DD9"/>
    <w:rsid w:val="4C6BC3D0"/>
    <w:rsid w:val="4C6E0C16"/>
    <w:rsid w:val="4C70A6A3"/>
    <w:rsid w:val="4C7906B1"/>
    <w:rsid w:val="4C80BE63"/>
    <w:rsid w:val="4C8416B1"/>
    <w:rsid w:val="4C8961CA"/>
    <w:rsid w:val="4C8B75F5"/>
    <w:rsid w:val="4C8FD791"/>
    <w:rsid w:val="4C93AA89"/>
    <w:rsid w:val="4C93BE4B"/>
    <w:rsid w:val="4C95D490"/>
    <w:rsid w:val="4C977C80"/>
    <w:rsid w:val="4C99212B"/>
    <w:rsid w:val="4C9BC541"/>
    <w:rsid w:val="4C9C6526"/>
    <w:rsid w:val="4CA25C52"/>
    <w:rsid w:val="4CA261D5"/>
    <w:rsid w:val="4CA812AB"/>
    <w:rsid w:val="4CAA01A8"/>
    <w:rsid w:val="4CAB89DF"/>
    <w:rsid w:val="4CB06497"/>
    <w:rsid w:val="4CB14C99"/>
    <w:rsid w:val="4CBAA8F6"/>
    <w:rsid w:val="4CC189E5"/>
    <w:rsid w:val="4CC25BFB"/>
    <w:rsid w:val="4CC38BE1"/>
    <w:rsid w:val="4CC4A64E"/>
    <w:rsid w:val="4CC79C52"/>
    <w:rsid w:val="4CCA1713"/>
    <w:rsid w:val="4CCE765D"/>
    <w:rsid w:val="4CDC262A"/>
    <w:rsid w:val="4CDF7030"/>
    <w:rsid w:val="4CDF8385"/>
    <w:rsid w:val="4CE37C93"/>
    <w:rsid w:val="4CE621C6"/>
    <w:rsid w:val="4CECCFE2"/>
    <w:rsid w:val="4CEF75AF"/>
    <w:rsid w:val="4CEFCF6E"/>
    <w:rsid w:val="4CEFF67B"/>
    <w:rsid w:val="4CF56C29"/>
    <w:rsid w:val="4CF5AEA7"/>
    <w:rsid w:val="4CF6C69D"/>
    <w:rsid w:val="4CF8C283"/>
    <w:rsid w:val="4CF90A97"/>
    <w:rsid w:val="4CF9626F"/>
    <w:rsid w:val="4CFCF06A"/>
    <w:rsid w:val="4D012BEB"/>
    <w:rsid w:val="4D02B71C"/>
    <w:rsid w:val="4D0F4286"/>
    <w:rsid w:val="4D125694"/>
    <w:rsid w:val="4D12EA49"/>
    <w:rsid w:val="4D17AEDB"/>
    <w:rsid w:val="4D1B4F0D"/>
    <w:rsid w:val="4D1B9339"/>
    <w:rsid w:val="4D1C6192"/>
    <w:rsid w:val="4D1D2D3F"/>
    <w:rsid w:val="4D1D98E4"/>
    <w:rsid w:val="4D1F5E7C"/>
    <w:rsid w:val="4D2552F8"/>
    <w:rsid w:val="4D277C7D"/>
    <w:rsid w:val="4D29A142"/>
    <w:rsid w:val="4D2B30A5"/>
    <w:rsid w:val="4D2B8F98"/>
    <w:rsid w:val="4D2CFD67"/>
    <w:rsid w:val="4D30AD9E"/>
    <w:rsid w:val="4D35876B"/>
    <w:rsid w:val="4D39FFF4"/>
    <w:rsid w:val="4D43AFF5"/>
    <w:rsid w:val="4D43CBD0"/>
    <w:rsid w:val="4D446200"/>
    <w:rsid w:val="4D4982C6"/>
    <w:rsid w:val="4D4B6678"/>
    <w:rsid w:val="4D4CC135"/>
    <w:rsid w:val="4D4D5D96"/>
    <w:rsid w:val="4D4D9927"/>
    <w:rsid w:val="4D4FD203"/>
    <w:rsid w:val="4D505AF8"/>
    <w:rsid w:val="4D50795D"/>
    <w:rsid w:val="4D59927B"/>
    <w:rsid w:val="4D5E2A27"/>
    <w:rsid w:val="4D60E4A5"/>
    <w:rsid w:val="4D61E7BD"/>
    <w:rsid w:val="4D628299"/>
    <w:rsid w:val="4D63042C"/>
    <w:rsid w:val="4D686C03"/>
    <w:rsid w:val="4D6A6648"/>
    <w:rsid w:val="4D700760"/>
    <w:rsid w:val="4D7458FB"/>
    <w:rsid w:val="4D7864C3"/>
    <w:rsid w:val="4D7BFE3B"/>
    <w:rsid w:val="4D7D09AE"/>
    <w:rsid w:val="4D821336"/>
    <w:rsid w:val="4D874966"/>
    <w:rsid w:val="4D88512F"/>
    <w:rsid w:val="4D8A84FF"/>
    <w:rsid w:val="4D90314B"/>
    <w:rsid w:val="4D910436"/>
    <w:rsid w:val="4D97DA1B"/>
    <w:rsid w:val="4D97EE75"/>
    <w:rsid w:val="4D98B20D"/>
    <w:rsid w:val="4D99FA11"/>
    <w:rsid w:val="4D9E3DA7"/>
    <w:rsid w:val="4DA1C722"/>
    <w:rsid w:val="4DA57BDA"/>
    <w:rsid w:val="4DABFA19"/>
    <w:rsid w:val="4DAE8284"/>
    <w:rsid w:val="4DB26CAF"/>
    <w:rsid w:val="4DB5875E"/>
    <w:rsid w:val="4DB8BA6D"/>
    <w:rsid w:val="4DBAE0B8"/>
    <w:rsid w:val="4DBCC2EC"/>
    <w:rsid w:val="4DBCDDF8"/>
    <w:rsid w:val="4DBCEF17"/>
    <w:rsid w:val="4DBD808E"/>
    <w:rsid w:val="4DC1FC15"/>
    <w:rsid w:val="4DC93823"/>
    <w:rsid w:val="4DD74396"/>
    <w:rsid w:val="4DDC248B"/>
    <w:rsid w:val="4DDCD76C"/>
    <w:rsid w:val="4DE1A9D3"/>
    <w:rsid w:val="4DE65252"/>
    <w:rsid w:val="4DE7FA87"/>
    <w:rsid w:val="4DE8DD58"/>
    <w:rsid w:val="4DEBE791"/>
    <w:rsid w:val="4DEE6594"/>
    <w:rsid w:val="4DEEEC8E"/>
    <w:rsid w:val="4DFE6BA1"/>
    <w:rsid w:val="4DFF6DEF"/>
    <w:rsid w:val="4E0462EE"/>
    <w:rsid w:val="4E1051EF"/>
    <w:rsid w:val="4E10D41D"/>
    <w:rsid w:val="4E16D03F"/>
    <w:rsid w:val="4E1A79BA"/>
    <w:rsid w:val="4E1F002E"/>
    <w:rsid w:val="4E264167"/>
    <w:rsid w:val="4E27012C"/>
    <w:rsid w:val="4E290D87"/>
    <w:rsid w:val="4E29988F"/>
    <w:rsid w:val="4E2A2B1A"/>
    <w:rsid w:val="4E2BE584"/>
    <w:rsid w:val="4E334B13"/>
    <w:rsid w:val="4E33C4FD"/>
    <w:rsid w:val="4E35D214"/>
    <w:rsid w:val="4E3A4962"/>
    <w:rsid w:val="4E3D0E83"/>
    <w:rsid w:val="4E3DAE3E"/>
    <w:rsid w:val="4E4643D8"/>
    <w:rsid w:val="4E49553E"/>
    <w:rsid w:val="4E4A2F81"/>
    <w:rsid w:val="4E4DCD9C"/>
    <w:rsid w:val="4E4DFD5E"/>
    <w:rsid w:val="4E4F4B87"/>
    <w:rsid w:val="4E50C47B"/>
    <w:rsid w:val="4E572C08"/>
    <w:rsid w:val="4E603DC2"/>
    <w:rsid w:val="4E60DF1F"/>
    <w:rsid w:val="4E6197E6"/>
    <w:rsid w:val="4E688B53"/>
    <w:rsid w:val="4E6A5763"/>
    <w:rsid w:val="4E6CF854"/>
    <w:rsid w:val="4E6F4C27"/>
    <w:rsid w:val="4E71C1CC"/>
    <w:rsid w:val="4E73AC53"/>
    <w:rsid w:val="4E7A9BB4"/>
    <w:rsid w:val="4E7C8750"/>
    <w:rsid w:val="4E83D801"/>
    <w:rsid w:val="4E87A4BA"/>
    <w:rsid w:val="4E8803B4"/>
    <w:rsid w:val="4E8DE9A4"/>
    <w:rsid w:val="4E8E369E"/>
    <w:rsid w:val="4E9EA288"/>
    <w:rsid w:val="4E9FFAB6"/>
    <w:rsid w:val="4EA27D62"/>
    <w:rsid w:val="4EA2C128"/>
    <w:rsid w:val="4EA5BC11"/>
    <w:rsid w:val="4EA9B7B7"/>
    <w:rsid w:val="4EACA45A"/>
    <w:rsid w:val="4EADA6DC"/>
    <w:rsid w:val="4EAE9C36"/>
    <w:rsid w:val="4EBA6884"/>
    <w:rsid w:val="4EBC2ED4"/>
    <w:rsid w:val="4EBC774F"/>
    <w:rsid w:val="4EBD82B3"/>
    <w:rsid w:val="4EC09910"/>
    <w:rsid w:val="4EC5C5E5"/>
    <w:rsid w:val="4ECDAFA8"/>
    <w:rsid w:val="4ED1830F"/>
    <w:rsid w:val="4ED49BF9"/>
    <w:rsid w:val="4ED4D6CA"/>
    <w:rsid w:val="4ED5F25F"/>
    <w:rsid w:val="4ED94DA6"/>
    <w:rsid w:val="4EDFC97C"/>
    <w:rsid w:val="4EE23A55"/>
    <w:rsid w:val="4EE9FF12"/>
    <w:rsid w:val="4EEDC3E7"/>
    <w:rsid w:val="4EF1B6A1"/>
    <w:rsid w:val="4EF4646B"/>
    <w:rsid w:val="4EF62197"/>
    <w:rsid w:val="4EF7F97B"/>
    <w:rsid w:val="4EF93456"/>
    <w:rsid w:val="4F014A84"/>
    <w:rsid w:val="4F1407A6"/>
    <w:rsid w:val="4F17B751"/>
    <w:rsid w:val="4F190C6F"/>
    <w:rsid w:val="4F196B7C"/>
    <w:rsid w:val="4F1EACA9"/>
    <w:rsid w:val="4F22D63A"/>
    <w:rsid w:val="4F25E9D9"/>
    <w:rsid w:val="4F272232"/>
    <w:rsid w:val="4F290BBE"/>
    <w:rsid w:val="4F2C14C9"/>
    <w:rsid w:val="4F2F4710"/>
    <w:rsid w:val="4F2FF69E"/>
    <w:rsid w:val="4F324164"/>
    <w:rsid w:val="4F33895B"/>
    <w:rsid w:val="4F34165F"/>
    <w:rsid w:val="4F3684FF"/>
    <w:rsid w:val="4F38C6A3"/>
    <w:rsid w:val="4F38FB04"/>
    <w:rsid w:val="4F391CCE"/>
    <w:rsid w:val="4F3C068E"/>
    <w:rsid w:val="4F41BB7E"/>
    <w:rsid w:val="4F480C98"/>
    <w:rsid w:val="4F4CE681"/>
    <w:rsid w:val="4F52650E"/>
    <w:rsid w:val="4F52DD26"/>
    <w:rsid w:val="4F5962DD"/>
    <w:rsid w:val="4F6430C0"/>
    <w:rsid w:val="4F6504C6"/>
    <w:rsid w:val="4F68C282"/>
    <w:rsid w:val="4F6AD8D1"/>
    <w:rsid w:val="4F6CE808"/>
    <w:rsid w:val="4F6EB058"/>
    <w:rsid w:val="4F7C3C93"/>
    <w:rsid w:val="4F7CEB2A"/>
    <w:rsid w:val="4F7FECF3"/>
    <w:rsid w:val="4F821613"/>
    <w:rsid w:val="4F84D224"/>
    <w:rsid w:val="4F867C4D"/>
    <w:rsid w:val="4F8A87E5"/>
    <w:rsid w:val="4F8E72DE"/>
    <w:rsid w:val="4F920E93"/>
    <w:rsid w:val="4F948F29"/>
    <w:rsid w:val="4F95F5CA"/>
    <w:rsid w:val="4F9E8D54"/>
    <w:rsid w:val="4FA9BC63"/>
    <w:rsid w:val="4FB84967"/>
    <w:rsid w:val="4FBD8F8D"/>
    <w:rsid w:val="4FC0B56B"/>
    <w:rsid w:val="4FC6C7AF"/>
    <w:rsid w:val="4FCC26B4"/>
    <w:rsid w:val="4FCF92E4"/>
    <w:rsid w:val="4FD2E97E"/>
    <w:rsid w:val="4FD36730"/>
    <w:rsid w:val="4FDF4D36"/>
    <w:rsid w:val="4FE207BD"/>
    <w:rsid w:val="4FE3DABE"/>
    <w:rsid w:val="4FED5006"/>
    <w:rsid w:val="4FEFB486"/>
    <w:rsid w:val="4FFC4BAF"/>
    <w:rsid w:val="4FFD6D18"/>
    <w:rsid w:val="5005BD28"/>
    <w:rsid w:val="500B63B6"/>
    <w:rsid w:val="500E92A8"/>
    <w:rsid w:val="500FECEC"/>
    <w:rsid w:val="50161553"/>
    <w:rsid w:val="5020FFF0"/>
    <w:rsid w:val="50247EB1"/>
    <w:rsid w:val="5024BB6A"/>
    <w:rsid w:val="502A2F47"/>
    <w:rsid w:val="502A2F67"/>
    <w:rsid w:val="502A92AC"/>
    <w:rsid w:val="50334D77"/>
    <w:rsid w:val="5034A7FD"/>
    <w:rsid w:val="503E737A"/>
    <w:rsid w:val="503F0E6A"/>
    <w:rsid w:val="503F93A1"/>
    <w:rsid w:val="504427BD"/>
    <w:rsid w:val="5049B641"/>
    <w:rsid w:val="504BF448"/>
    <w:rsid w:val="504C664A"/>
    <w:rsid w:val="50517BF4"/>
    <w:rsid w:val="5054F86E"/>
    <w:rsid w:val="5056638D"/>
    <w:rsid w:val="505BA025"/>
    <w:rsid w:val="50659FB5"/>
    <w:rsid w:val="506EE7B1"/>
    <w:rsid w:val="5074B84F"/>
    <w:rsid w:val="5076F6C3"/>
    <w:rsid w:val="507701CD"/>
    <w:rsid w:val="50771C0D"/>
    <w:rsid w:val="507B02C1"/>
    <w:rsid w:val="50803BAB"/>
    <w:rsid w:val="50849ED9"/>
    <w:rsid w:val="50850964"/>
    <w:rsid w:val="50851A63"/>
    <w:rsid w:val="508BA565"/>
    <w:rsid w:val="509072E6"/>
    <w:rsid w:val="50958059"/>
    <w:rsid w:val="5099195D"/>
    <w:rsid w:val="5099CDF1"/>
    <w:rsid w:val="509D517A"/>
    <w:rsid w:val="509F56D5"/>
    <w:rsid w:val="50A03AA5"/>
    <w:rsid w:val="50A36DFE"/>
    <w:rsid w:val="50A90682"/>
    <w:rsid w:val="50AAC668"/>
    <w:rsid w:val="50AB206B"/>
    <w:rsid w:val="50AF2908"/>
    <w:rsid w:val="50C440CD"/>
    <w:rsid w:val="50D1DF4F"/>
    <w:rsid w:val="50D596DE"/>
    <w:rsid w:val="50D64119"/>
    <w:rsid w:val="50D842A3"/>
    <w:rsid w:val="50DDE173"/>
    <w:rsid w:val="50E21A0B"/>
    <w:rsid w:val="50E28912"/>
    <w:rsid w:val="50E34BFF"/>
    <w:rsid w:val="50E42853"/>
    <w:rsid w:val="50E58DBF"/>
    <w:rsid w:val="50E7E8DF"/>
    <w:rsid w:val="50EF8827"/>
    <w:rsid w:val="50EFF611"/>
    <w:rsid w:val="50F166FA"/>
    <w:rsid w:val="50F18F1B"/>
    <w:rsid w:val="50F486D2"/>
    <w:rsid w:val="50F77F0B"/>
    <w:rsid w:val="5100D982"/>
    <w:rsid w:val="5103032A"/>
    <w:rsid w:val="51089B6B"/>
    <w:rsid w:val="51090720"/>
    <w:rsid w:val="510B5D79"/>
    <w:rsid w:val="510B6205"/>
    <w:rsid w:val="510DE939"/>
    <w:rsid w:val="51109DF7"/>
    <w:rsid w:val="5112EA64"/>
    <w:rsid w:val="51198A71"/>
    <w:rsid w:val="511AF703"/>
    <w:rsid w:val="5123CF90"/>
    <w:rsid w:val="512417A2"/>
    <w:rsid w:val="51289B35"/>
    <w:rsid w:val="5128C8F4"/>
    <w:rsid w:val="51298B92"/>
    <w:rsid w:val="512C79EE"/>
    <w:rsid w:val="512F061E"/>
    <w:rsid w:val="512F450D"/>
    <w:rsid w:val="5131AA54"/>
    <w:rsid w:val="51326665"/>
    <w:rsid w:val="51327EE2"/>
    <w:rsid w:val="5133E6C1"/>
    <w:rsid w:val="51342B9F"/>
    <w:rsid w:val="5134DAEF"/>
    <w:rsid w:val="51393A9B"/>
    <w:rsid w:val="513F8094"/>
    <w:rsid w:val="5141D4CB"/>
    <w:rsid w:val="5142BC4D"/>
    <w:rsid w:val="514541C1"/>
    <w:rsid w:val="5146A822"/>
    <w:rsid w:val="514771C8"/>
    <w:rsid w:val="5147D13A"/>
    <w:rsid w:val="5148085B"/>
    <w:rsid w:val="5152B899"/>
    <w:rsid w:val="5155C2DF"/>
    <w:rsid w:val="515AF65C"/>
    <w:rsid w:val="515BE1C6"/>
    <w:rsid w:val="515F5AEA"/>
    <w:rsid w:val="51606C43"/>
    <w:rsid w:val="516115EA"/>
    <w:rsid w:val="516621C1"/>
    <w:rsid w:val="516FBF20"/>
    <w:rsid w:val="5171D07A"/>
    <w:rsid w:val="5177061E"/>
    <w:rsid w:val="517A69C0"/>
    <w:rsid w:val="517AC1EA"/>
    <w:rsid w:val="517B0381"/>
    <w:rsid w:val="517B2DD3"/>
    <w:rsid w:val="517B499C"/>
    <w:rsid w:val="517BBA56"/>
    <w:rsid w:val="517BBAD4"/>
    <w:rsid w:val="5183802E"/>
    <w:rsid w:val="5184BD42"/>
    <w:rsid w:val="518D8817"/>
    <w:rsid w:val="518DBF89"/>
    <w:rsid w:val="518F1EFB"/>
    <w:rsid w:val="519AC29C"/>
    <w:rsid w:val="51A2ED57"/>
    <w:rsid w:val="51A529E8"/>
    <w:rsid w:val="51A61DEA"/>
    <w:rsid w:val="51AB8E1C"/>
    <w:rsid w:val="51C06B73"/>
    <w:rsid w:val="51C4220F"/>
    <w:rsid w:val="51C9B779"/>
    <w:rsid w:val="51CA64BD"/>
    <w:rsid w:val="51CD49A9"/>
    <w:rsid w:val="51D16296"/>
    <w:rsid w:val="51D37A27"/>
    <w:rsid w:val="51D3A1CD"/>
    <w:rsid w:val="51D74F2D"/>
    <w:rsid w:val="51D8B352"/>
    <w:rsid w:val="51DF0B45"/>
    <w:rsid w:val="51EC53A3"/>
    <w:rsid w:val="51EE6F8B"/>
    <w:rsid w:val="51EF5052"/>
    <w:rsid w:val="51F38CE7"/>
    <w:rsid w:val="51F85DA6"/>
    <w:rsid w:val="51FF9D3C"/>
    <w:rsid w:val="51FFAC4B"/>
    <w:rsid w:val="52045275"/>
    <w:rsid w:val="520E9751"/>
    <w:rsid w:val="520EDC74"/>
    <w:rsid w:val="5211AE24"/>
    <w:rsid w:val="521329FB"/>
    <w:rsid w:val="52175D68"/>
    <w:rsid w:val="52182AF9"/>
    <w:rsid w:val="521DD0E1"/>
    <w:rsid w:val="522989D0"/>
    <w:rsid w:val="5229D0E5"/>
    <w:rsid w:val="522A727F"/>
    <w:rsid w:val="522C5598"/>
    <w:rsid w:val="522EFC30"/>
    <w:rsid w:val="5230E425"/>
    <w:rsid w:val="52316D88"/>
    <w:rsid w:val="52318E05"/>
    <w:rsid w:val="5233BAE6"/>
    <w:rsid w:val="52358A11"/>
    <w:rsid w:val="52397E02"/>
    <w:rsid w:val="52404979"/>
    <w:rsid w:val="5241D3D7"/>
    <w:rsid w:val="5242D3E5"/>
    <w:rsid w:val="524301F4"/>
    <w:rsid w:val="5244A4E1"/>
    <w:rsid w:val="5247F31D"/>
    <w:rsid w:val="5248047F"/>
    <w:rsid w:val="52500202"/>
    <w:rsid w:val="52585D5A"/>
    <w:rsid w:val="525C5017"/>
    <w:rsid w:val="5260C071"/>
    <w:rsid w:val="5260EFCB"/>
    <w:rsid w:val="5262BAF9"/>
    <w:rsid w:val="526A0043"/>
    <w:rsid w:val="526A2A94"/>
    <w:rsid w:val="526C29B7"/>
    <w:rsid w:val="526EB962"/>
    <w:rsid w:val="526EF7DA"/>
    <w:rsid w:val="52737039"/>
    <w:rsid w:val="527ADD40"/>
    <w:rsid w:val="527DBE7A"/>
    <w:rsid w:val="5284FDC6"/>
    <w:rsid w:val="5285295D"/>
    <w:rsid w:val="5286250E"/>
    <w:rsid w:val="5287E137"/>
    <w:rsid w:val="52896089"/>
    <w:rsid w:val="528ED0D7"/>
    <w:rsid w:val="52935A30"/>
    <w:rsid w:val="529E8D6A"/>
    <w:rsid w:val="52A13131"/>
    <w:rsid w:val="52ABF58D"/>
    <w:rsid w:val="52AF67E4"/>
    <w:rsid w:val="52AFA9CD"/>
    <w:rsid w:val="52B1B6C3"/>
    <w:rsid w:val="52B283EC"/>
    <w:rsid w:val="52B3F39F"/>
    <w:rsid w:val="52C24AEE"/>
    <w:rsid w:val="52C467E8"/>
    <w:rsid w:val="52C6891B"/>
    <w:rsid w:val="52C8A034"/>
    <w:rsid w:val="52CA29BB"/>
    <w:rsid w:val="52CCFD68"/>
    <w:rsid w:val="52CE97FF"/>
    <w:rsid w:val="52CEDD65"/>
    <w:rsid w:val="52D007D7"/>
    <w:rsid w:val="52E41706"/>
    <w:rsid w:val="52E47861"/>
    <w:rsid w:val="52E5C7EA"/>
    <w:rsid w:val="52E6DC67"/>
    <w:rsid w:val="52EC57CA"/>
    <w:rsid w:val="52EF8A59"/>
    <w:rsid w:val="52F03231"/>
    <w:rsid w:val="52F1BCDB"/>
    <w:rsid w:val="52F95D6F"/>
    <w:rsid w:val="52FD625E"/>
    <w:rsid w:val="5301D9D0"/>
    <w:rsid w:val="5302BB32"/>
    <w:rsid w:val="530312F6"/>
    <w:rsid w:val="53064852"/>
    <w:rsid w:val="530D2DD5"/>
    <w:rsid w:val="530E6AC8"/>
    <w:rsid w:val="530F183A"/>
    <w:rsid w:val="531C2154"/>
    <w:rsid w:val="531CD6D5"/>
    <w:rsid w:val="531EC8D9"/>
    <w:rsid w:val="531F2B5D"/>
    <w:rsid w:val="5321947A"/>
    <w:rsid w:val="53245A1B"/>
    <w:rsid w:val="53292D96"/>
    <w:rsid w:val="532A01DF"/>
    <w:rsid w:val="53307F87"/>
    <w:rsid w:val="5335EB0D"/>
    <w:rsid w:val="5339D90A"/>
    <w:rsid w:val="533FC8BE"/>
    <w:rsid w:val="5342134D"/>
    <w:rsid w:val="5342C134"/>
    <w:rsid w:val="534527C5"/>
    <w:rsid w:val="534676D0"/>
    <w:rsid w:val="53488473"/>
    <w:rsid w:val="534F2678"/>
    <w:rsid w:val="534FC8A8"/>
    <w:rsid w:val="53513170"/>
    <w:rsid w:val="5355684D"/>
    <w:rsid w:val="5357C7EC"/>
    <w:rsid w:val="535AD4C3"/>
    <w:rsid w:val="535D1446"/>
    <w:rsid w:val="5360EBA0"/>
    <w:rsid w:val="5361365C"/>
    <w:rsid w:val="5362535B"/>
    <w:rsid w:val="536821D6"/>
    <w:rsid w:val="536E6971"/>
    <w:rsid w:val="536F7DAD"/>
    <w:rsid w:val="537DF587"/>
    <w:rsid w:val="537E5E66"/>
    <w:rsid w:val="53874F06"/>
    <w:rsid w:val="5387C44B"/>
    <w:rsid w:val="538E1085"/>
    <w:rsid w:val="53943BBE"/>
    <w:rsid w:val="539A51CA"/>
    <w:rsid w:val="539CCDCB"/>
    <w:rsid w:val="53A10F64"/>
    <w:rsid w:val="53A1A19A"/>
    <w:rsid w:val="53A8EFB7"/>
    <w:rsid w:val="53A98084"/>
    <w:rsid w:val="53AB0D03"/>
    <w:rsid w:val="53B0755F"/>
    <w:rsid w:val="53B0D851"/>
    <w:rsid w:val="53B14AAA"/>
    <w:rsid w:val="53B6C8E6"/>
    <w:rsid w:val="53B870EC"/>
    <w:rsid w:val="53BFD4E0"/>
    <w:rsid w:val="53C238B3"/>
    <w:rsid w:val="53C3D303"/>
    <w:rsid w:val="53C78A82"/>
    <w:rsid w:val="53C9C4C9"/>
    <w:rsid w:val="53CCF447"/>
    <w:rsid w:val="53CD2D55"/>
    <w:rsid w:val="53CEDED1"/>
    <w:rsid w:val="53D02657"/>
    <w:rsid w:val="53D26139"/>
    <w:rsid w:val="53DF9B8E"/>
    <w:rsid w:val="53DFD3EC"/>
    <w:rsid w:val="53EA7578"/>
    <w:rsid w:val="53EBA250"/>
    <w:rsid w:val="53ED2C99"/>
    <w:rsid w:val="53EE7DEE"/>
    <w:rsid w:val="53F08EC3"/>
    <w:rsid w:val="53F30BF6"/>
    <w:rsid w:val="53F4DB9B"/>
    <w:rsid w:val="53F62ED0"/>
    <w:rsid w:val="53F85AB4"/>
    <w:rsid w:val="53F87F06"/>
    <w:rsid w:val="53FB5162"/>
    <w:rsid w:val="53FC66DC"/>
    <w:rsid w:val="53FF5F3F"/>
    <w:rsid w:val="54049B84"/>
    <w:rsid w:val="5405B083"/>
    <w:rsid w:val="5405BAD9"/>
    <w:rsid w:val="540FDE49"/>
    <w:rsid w:val="54104B5D"/>
    <w:rsid w:val="5422CA24"/>
    <w:rsid w:val="542386D6"/>
    <w:rsid w:val="5427A7F7"/>
    <w:rsid w:val="542908B0"/>
    <w:rsid w:val="542A340A"/>
    <w:rsid w:val="542A9E23"/>
    <w:rsid w:val="542B2DA5"/>
    <w:rsid w:val="542F1096"/>
    <w:rsid w:val="5437D2C8"/>
    <w:rsid w:val="543E71DD"/>
    <w:rsid w:val="54477B6D"/>
    <w:rsid w:val="5449C106"/>
    <w:rsid w:val="544A6949"/>
    <w:rsid w:val="544FA486"/>
    <w:rsid w:val="5452ABAC"/>
    <w:rsid w:val="5456DA8E"/>
    <w:rsid w:val="545A6098"/>
    <w:rsid w:val="545D514B"/>
    <w:rsid w:val="545E9825"/>
    <w:rsid w:val="546143D0"/>
    <w:rsid w:val="5461C739"/>
    <w:rsid w:val="54625518"/>
    <w:rsid w:val="546AC987"/>
    <w:rsid w:val="546B44CB"/>
    <w:rsid w:val="546C8B14"/>
    <w:rsid w:val="546D1A1A"/>
    <w:rsid w:val="546EC4DF"/>
    <w:rsid w:val="546FAD8B"/>
    <w:rsid w:val="54717E71"/>
    <w:rsid w:val="5480C977"/>
    <w:rsid w:val="54814755"/>
    <w:rsid w:val="5481530C"/>
    <w:rsid w:val="5481D9C9"/>
    <w:rsid w:val="5484B14A"/>
    <w:rsid w:val="548C5BE9"/>
    <w:rsid w:val="5491CC71"/>
    <w:rsid w:val="549CCFA1"/>
    <w:rsid w:val="549EFCE6"/>
    <w:rsid w:val="54A2B8DA"/>
    <w:rsid w:val="54A74C1E"/>
    <w:rsid w:val="54ABABEE"/>
    <w:rsid w:val="54AC2923"/>
    <w:rsid w:val="54B1CA82"/>
    <w:rsid w:val="54B42522"/>
    <w:rsid w:val="54B50AC3"/>
    <w:rsid w:val="54BB6AFF"/>
    <w:rsid w:val="54BD5BE4"/>
    <w:rsid w:val="54C08261"/>
    <w:rsid w:val="54C2A63F"/>
    <w:rsid w:val="54C36670"/>
    <w:rsid w:val="54C557E7"/>
    <w:rsid w:val="54C616F5"/>
    <w:rsid w:val="54D7F1D1"/>
    <w:rsid w:val="54D8F588"/>
    <w:rsid w:val="54D9D6EB"/>
    <w:rsid w:val="54E453F9"/>
    <w:rsid w:val="54E61919"/>
    <w:rsid w:val="54E77DA2"/>
    <w:rsid w:val="54F03A49"/>
    <w:rsid w:val="54F20C5D"/>
    <w:rsid w:val="54F6C7C7"/>
    <w:rsid w:val="54F870E0"/>
    <w:rsid w:val="54F97AA8"/>
    <w:rsid w:val="550057CA"/>
    <w:rsid w:val="55052E35"/>
    <w:rsid w:val="550AA737"/>
    <w:rsid w:val="550F4980"/>
    <w:rsid w:val="551B34CE"/>
    <w:rsid w:val="551C33DB"/>
    <w:rsid w:val="5521097A"/>
    <w:rsid w:val="5522095B"/>
    <w:rsid w:val="55264611"/>
    <w:rsid w:val="5528D7C0"/>
    <w:rsid w:val="552C2C99"/>
    <w:rsid w:val="55370DE9"/>
    <w:rsid w:val="55385F3F"/>
    <w:rsid w:val="5539A45F"/>
    <w:rsid w:val="553AB1B5"/>
    <w:rsid w:val="554A18A2"/>
    <w:rsid w:val="554B25A1"/>
    <w:rsid w:val="5551A1D6"/>
    <w:rsid w:val="55522F26"/>
    <w:rsid w:val="5554D192"/>
    <w:rsid w:val="555B9249"/>
    <w:rsid w:val="555DBE9D"/>
    <w:rsid w:val="55639FB6"/>
    <w:rsid w:val="556B3413"/>
    <w:rsid w:val="55717FB9"/>
    <w:rsid w:val="5571ECFE"/>
    <w:rsid w:val="5572E3BE"/>
    <w:rsid w:val="5577587B"/>
    <w:rsid w:val="5579D4D4"/>
    <w:rsid w:val="557A4402"/>
    <w:rsid w:val="55809A18"/>
    <w:rsid w:val="55814F1D"/>
    <w:rsid w:val="5581689C"/>
    <w:rsid w:val="55829E0E"/>
    <w:rsid w:val="55836202"/>
    <w:rsid w:val="558E6872"/>
    <w:rsid w:val="55930695"/>
    <w:rsid w:val="559915EB"/>
    <w:rsid w:val="559F7A7D"/>
    <w:rsid w:val="55A092EA"/>
    <w:rsid w:val="55A0F740"/>
    <w:rsid w:val="55A26D61"/>
    <w:rsid w:val="55A6719D"/>
    <w:rsid w:val="55A6F590"/>
    <w:rsid w:val="55A92163"/>
    <w:rsid w:val="55A9F7EB"/>
    <w:rsid w:val="55AF1D3E"/>
    <w:rsid w:val="55B0A436"/>
    <w:rsid w:val="55B3706A"/>
    <w:rsid w:val="55B8DBFF"/>
    <w:rsid w:val="55B9DA49"/>
    <w:rsid w:val="55BE9BF6"/>
    <w:rsid w:val="55BF7EC7"/>
    <w:rsid w:val="55C13FFC"/>
    <w:rsid w:val="55C32B2A"/>
    <w:rsid w:val="55C930AA"/>
    <w:rsid w:val="55CC6A2A"/>
    <w:rsid w:val="55CDD14E"/>
    <w:rsid w:val="55D1F067"/>
    <w:rsid w:val="55D34FE6"/>
    <w:rsid w:val="55D411BB"/>
    <w:rsid w:val="55D90B8E"/>
    <w:rsid w:val="55DD176F"/>
    <w:rsid w:val="55E0067E"/>
    <w:rsid w:val="55E24C05"/>
    <w:rsid w:val="55E34956"/>
    <w:rsid w:val="55E387CE"/>
    <w:rsid w:val="55E3E9D6"/>
    <w:rsid w:val="55EB8330"/>
    <w:rsid w:val="55F4AE19"/>
    <w:rsid w:val="55F535FB"/>
    <w:rsid w:val="55F80857"/>
    <w:rsid w:val="55FC6628"/>
    <w:rsid w:val="560C2CA7"/>
    <w:rsid w:val="5617F985"/>
    <w:rsid w:val="561EB8C3"/>
    <w:rsid w:val="56229022"/>
    <w:rsid w:val="5627E351"/>
    <w:rsid w:val="562C4688"/>
    <w:rsid w:val="5637500D"/>
    <w:rsid w:val="56376A9A"/>
    <w:rsid w:val="56397846"/>
    <w:rsid w:val="563DF023"/>
    <w:rsid w:val="56426C8E"/>
    <w:rsid w:val="564285CF"/>
    <w:rsid w:val="56458F4B"/>
    <w:rsid w:val="5646A997"/>
    <w:rsid w:val="564B8E0E"/>
    <w:rsid w:val="564BA056"/>
    <w:rsid w:val="565D8F49"/>
    <w:rsid w:val="565D92FD"/>
    <w:rsid w:val="565E26E7"/>
    <w:rsid w:val="56603939"/>
    <w:rsid w:val="5661A3EC"/>
    <w:rsid w:val="5662487E"/>
    <w:rsid w:val="56649550"/>
    <w:rsid w:val="56652591"/>
    <w:rsid w:val="5666E5EF"/>
    <w:rsid w:val="566816FD"/>
    <w:rsid w:val="56693746"/>
    <w:rsid w:val="56732B79"/>
    <w:rsid w:val="5674FDDC"/>
    <w:rsid w:val="56777108"/>
    <w:rsid w:val="5677B7AC"/>
    <w:rsid w:val="56782C22"/>
    <w:rsid w:val="56794CEB"/>
    <w:rsid w:val="56834832"/>
    <w:rsid w:val="56834FFC"/>
    <w:rsid w:val="56848FD4"/>
    <w:rsid w:val="56854D64"/>
    <w:rsid w:val="56888C1B"/>
    <w:rsid w:val="568CF87C"/>
    <w:rsid w:val="568E8C9D"/>
    <w:rsid w:val="5692A1DE"/>
    <w:rsid w:val="5697C36D"/>
    <w:rsid w:val="569EF474"/>
    <w:rsid w:val="569F975F"/>
    <w:rsid w:val="56A6D8A5"/>
    <w:rsid w:val="56A7033E"/>
    <w:rsid w:val="56AD494D"/>
    <w:rsid w:val="56B2A74E"/>
    <w:rsid w:val="56B30CB0"/>
    <w:rsid w:val="56B5356E"/>
    <w:rsid w:val="56B69B25"/>
    <w:rsid w:val="56B8DBE3"/>
    <w:rsid w:val="56BEF062"/>
    <w:rsid w:val="56BF067E"/>
    <w:rsid w:val="56C19471"/>
    <w:rsid w:val="56C1A847"/>
    <w:rsid w:val="56C4FA99"/>
    <w:rsid w:val="56C5E458"/>
    <w:rsid w:val="56C9F1B3"/>
    <w:rsid w:val="56CC1A7D"/>
    <w:rsid w:val="56CE1C14"/>
    <w:rsid w:val="56CE9BCE"/>
    <w:rsid w:val="56D9653F"/>
    <w:rsid w:val="56DE92F0"/>
    <w:rsid w:val="56EC9B88"/>
    <w:rsid w:val="56F29D1E"/>
    <w:rsid w:val="56F2BB46"/>
    <w:rsid w:val="56F5162C"/>
    <w:rsid w:val="56F906CB"/>
    <w:rsid w:val="56F97196"/>
    <w:rsid w:val="56FAB6B1"/>
    <w:rsid w:val="56FD4B8B"/>
    <w:rsid w:val="57006C06"/>
    <w:rsid w:val="570217A1"/>
    <w:rsid w:val="57028BC1"/>
    <w:rsid w:val="57045BB5"/>
    <w:rsid w:val="57092387"/>
    <w:rsid w:val="5715B481"/>
    <w:rsid w:val="57176150"/>
    <w:rsid w:val="57196114"/>
    <w:rsid w:val="571B5B47"/>
    <w:rsid w:val="571E5D6C"/>
    <w:rsid w:val="571F4320"/>
    <w:rsid w:val="572083B9"/>
    <w:rsid w:val="572245C0"/>
    <w:rsid w:val="5727A695"/>
    <w:rsid w:val="57299FCB"/>
    <w:rsid w:val="57330CA6"/>
    <w:rsid w:val="5734061D"/>
    <w:rsid w:val="57370DA9"/>
    <w:rsid w:val="573752E8"/>
    <w:rsid w:val="57398299"/>
    <w:rsid w:val="573C16C4"/>
    <w:rsid w:val="573C94B0"/>
    <w:rsid w:val="573F4C96"/>
    <w:rsid w:val="573F9792"/>
    <w:rsid w:val="574511E2"/>
    <w:rsid w:val="5749BB0C"/>
    <w:rsid w:val="5750079C"/>
    <w:rsid w:val="5756F508"/>
    <w:rsid w:val="575A84A6"/>
    <w:rsid w:val="576151D4"/>
    <w:rsid w:val="5761577D"/>
    <w:rsid w:val="576D3AE2"/>
    <w:rsid w:val="576D5801"/>
    <w:rsid w:val="576E9CB5"/>
    <w:rsid w:val="57711808"/>
    <w:rsid w:val="5778A0C4"/>
    <w:rsid w:val="577DAA15"/>
    <w:rsid w:val="578644FB"/>
    <w:rsid w:val="57892312"/>
    <w:rsid w:val="57948EDF"/>
    <w:rsid w:val="5798F592"/>
    <w:rsid w:val="579C922A"/>
    <w:rsid w:val="57A36952"/>
    <w:rsid w:val="57A52899"/>
    <w:rsid w:val="57A74A0E"/>
    <w:rsid w:val="57A8B9BD"/>
    <w:rsid w:val="57A8F51F"/>
    <w:rsid w:val="57AB60E0"/>
    <w:rsid w:val="57AFF36E"/>
    <w:rsid w:val="57B0BC58"/>
    <w:rsid w:val="57B29D7E"/>
    <w:rsid w:val="57B343C1"/>
    <w:rsid w:val="57B372B6"/>
    <w:rsid w:val="57BC55F8"/>
    <w:rsid w:val="57BCE5A8"/>
    <w:rsid w:val="57BFF133"/>
    <w:rsid w:val="57C079A2"/>
    <w:rsid w:val="57C2A3C6"/>
    <w:rsid w:val="57C5BD62"/>
    <w:rsid w:val="57D3495B"/>
    <w:rsid w:val="57D68316"/>
    <w:rsid w:val="57D8F781"/>
    <w:rsid w:val="57E3DB8F"/>
    <w:rsid w:val="57EE6391"/>
    <w:rsid w:val="57F13EBA"/>
    <w:rsid w:val="57F37FC4"/>
    <w:rsid w:val="57F44587"/>
    <w:rsid w:val="57F8A4ED"/>
    <w:rsid w:val="57FD3F14"/>
    <w:rsid w:val="58046ACC"/>
    <w:rsid w:val="5805E556"/>
    <w:rsid w:val="5808E472"/>
    <w:rsid w:val="580DB752"/>
    <w:rsid w:val="580FC432"/>
    <w:rsid w:val="58135BAA"/>
    <w:rsid w:val="5814D0EB"/>
    <w:rsid w:val="5819CE29"/>
    <w:rsid w:val="581A01A8"/>
    <w:rsid w:val="581AC3E8"/>
    <w:rsid w:val="581EC2A6"/>
    <w:rsid w:val="5820DC81"/>
    <w:rsid w:val="5821FAD0"/>
    <w:rsid w:val="5822D56E"/>
    <w:rsid w:val="5823D662"/>
    <w:rsid w:val="582651F8"/>
    <w:rsid w:val="582D66D6"/>
    <w:rsid w:val="582F731E"/>
    <w:rsid w:val="5830BAD3"/>
    <w:rsid w:val="5830F27F"/>
    <w:rsid w:val="5833BEB6"/>
    <w:rsid w:val="58366A30"/>
    <w:rsid w:val="5836DB50"/>
    <w:rsid w:val="58390562"/>
    <w:rsid w:val="58391265"/>
    <w:rsid w:val="583B3B54"/>
    <w:rsid w:val="58487083"/>
    <w:rsid w:val="5849350F"/>
    <w:rsid w:val="584F3880"/>
    <w:rsid w:val="5850E40A"/>
    <w:rsid w:val="5866C6E3"/>
    <w:rsid w:val="58674F28"/>
    <w:rsid w:val="586AF39A"/>
    <w:rsid w:val="586C087B"/>
    <w:rsid w:val="586C9036"/>
    <w:rsid w:val="58724C81"/>
    <w:rsid w:val="5872F43F"/>
    <w:rsid w:val="587A53C9"/>
    <w:rsid w:val="587B4677"/>
    <w:rsid w:val="5881ACBD"/>
    <w:rsid w:val="5886A9AC"/>
    <w:rsid w:val="588FA1BE"/>
    <w:rsid w:val="58926BB4"/>
    <w:rsid w:val="589EC685"/>
    <w:rsid w:val="589F6580"/>
    <w:rsid w:val="58A3C1B7"/>
    <w:rsid w:val="58A43ECE"/>
    <w:rsid w:val="58A4C7E7"/>
    <w:rsid w:val="58A6E157"/>
    <w:rsid w:val="58A9C19B"/>
    <w:rsid w:val="58AC134E"/>
    <w:rsid w:val="58ACC8A8"/>
    <w:rsid w:val="58AE465C"/>
    <w:rsid w:val="58AF01B7"/>
    <w:rsid w:val="58AF4D9D"/>
    <w:rsid w:val="58B1ABC7"/>
    <w:rsid w:val="58B3FA54"/>
    <w:rsid w:val="58B5F3C1"/>
    <w:rsid w:val="58BAB747"/>
    <w:rsid w:val="58BBBF8D"/>
    <w:rsid w:val="58CE6EB6"/>
    <w:rsid w:val="58D4C1A8"/>
    <w:rsid w:val="58D829E3"/>
    <w:rsid w:val="58DD17AE"/>
    <w:rsid w:val="58E04CBE"/>
    <w:rsid w:val="58E1F83C"/>
    <w:rsid w:val="58E82293"/>
    <w:rsid w:val="58EE2D7E"/>
    <w:rsid w:val="58FB647E"/>
    <w:rsid w:val="590003A0"/>
    <w:rsid w:val="59002FC1"/>
    <w:rsid w:val="5900DE3C"/>
    <w:rsid w:val="59044CF9"/>
    <w:rsid w:val="590765AF"/>
    <w:rsid w:val="590B49C5"/>
    <w:rsid w:val="59140D7F"/>
    <w:rsid w:val="5916716F"/>
    <w:rsid w:val="5917BC75"/>
    <w:rsid w:val="591A43F9"/>
    <w:rsid w:val="591D6E29"/>
    <w:rsid w:val="592114B5"/>
    <w:rsid w:val="5922D8E7"/>
    <w:rsid w:val="59277AAB"/>
    <w:rsid w:val="592848D8"/>
    <w:rsid w:val="59297C6C"/>
    <w:rsid w:val="592E2AC1"/>
    <w:rsid w:val="592ED0D3"/>
    <w:rsid w:val="593736BF"/>
    <w:rsid w:val="59376C9C"/>
    <w:rsid w:val="5939ADA0"/>
    <w:rsid w:val="593BCF06"/>
    <w:rsid w:val="59420A33"/>
    <w:rsid w:val="5946462D"/>
    <w:rsid w:val="59478FA9"/>
    <w:rsid w:val="5948FFF8"/>
    <w:rsid w:val="594F59C9"/>
    <w:rsid w:val="594FBF6F"/>
    <w:rsid w:val="5951BD23"/>
    <w:rsid w:val="5958B834"/>
    <w:rsid w:val="595FA80D"/>
    <w:rsid w:val="5961DC3D"/>
    <w:rsid w:val="5967E9F8"/>
    <w:rsid w:val="596B5DD0"/>
    <w:rsid w:val="596CA9A7"/>
    <w:rsid w:val="5973BB19"/>
    <w:rsid w:val="597A1CFC"/>
    <w:rsid w:val="597CB110"/>
    <w:rsid w:val="597D7606"/>
    <w:rsid w:val="59822400"/>
    <w:rsid w:val="59863CCB"/>
    <w:rsid w:val="59893ACA"/>
    <w:rsid w:val="598C7174"/>
    <w:rsid w:val="598EC9E4"/>
    <w:rsid w:val="599434F5"/>
    <w:rsid w:val="5998B335"/>
    <w:rsid w:val="599937C4"/>
    <w:rsid w:val="5999A302"/>
    <w:rsid w:val="599EC629"/>
    <w:rsid w:val="599F1DCC"/>
    <w:rsid w:val="59A0921A"/>
    <w:rsid w:val="59A16D7A"/>
    <w:rsid w:val="59A40116"/>
    <w:rsid w:val="59A43C9D"/>
    <w:rsid w:val="59A54996"/>
    <w:rsid w:val="59A9763A"/>
    <w:rsid w:val="59AAF0F5"/>
    <w:rsid w:val="59ABE858"/>
    <w:rsid w:val="59B14354"/>
    <w:rsid w:val="59B19E0F"/>
    <w:rsid w:val="59B9A8F3"/>
    <w:rsid w:val="59BB6271"/>
    <w:rsid w:val="59BC183C"/>
    <w:rsid w:val="59C01468"/>
    <w:rsid w:val="59C28190"/>
    <w:rsid w:val="59C73A92"/>
    <w:rsid w:val="59C79E31"/>
    <w:rsid w:val="59CDFD05"/>
    <w:rsid w:val="59D33B13"/>
    <w:rsid w:val="59D4BFFF"/>
    <w:rsid w:val="59D8B767"/>
    <w:rsid w:val="59E1FD54"/>
    <w:rsid w:val="59E43C60"/>
    <w:rsid w:val="59E572DF"/>
    <w:rsid w:val="59E7A94A"/>
    <w:rsid w:val="59E97B29"/>
    <w:rsid w:val="59EFC829"/>
    <w:rsid w:val="59F27201"/>
    <w:rsid w:val="59F79A73"/>
    <w:rsid w:val="59F9AA71"/>
    <w:rsid w:val="59FB5785"/>
    <w:rsid w:val="59FCA5AE"/>
    <w:rsid w:val="5A02A463"/>
    <w:rsid w:val="5A03028B"/>
    <w:rsid w:val="5A08A7A3"/>
    <w:rsid w:val="5A09C9C6"/>
    <w:rsid w:val="5A0AFE2F"/>
    <w:rsid w:val="5A0D229A"/>
    <w:rsid w:val="5A11F0E9"/>
    <w:rsid w:val="5A148809"/>
    <w:rsid w:val="5A14906F"/>
    <w:rsid w:val="5A15A91E"/>
    <w:rsid w:val="5A17C1AD"/>
    <w:rsid w:val="5A1A94FC"/>
    <w:rsid w:val="5A1AAAB8"/>
    <w:rsid w:val="5A1B4C5B"/>
    <w:rsid w:val="5A1CA57C"/>
    <w:rsid w:val="5A2051F1"/>
    <w:rsid w:val="5A22734C"/>
    <w:rsid w:val="5A2357A8"/>
    <w:rsid w:val="5A2380BA"/>
    <w:rsid w:val="5A238E42"/>
    <w:rsid w:val="5A24D57B"/>
    <w:rsid w:val="5A2C74A8"/>
    <w:rsid w:val="5A2FC47E"/>
    <w:rsid w:val="5A3302D5"/>
    <w:rsid w:val="5A3C0C4A"/>
    <w:rsid w:val="5A3F84B8"/>
    <w:rsid w:val="5A43142C"/>
    <w:rsid w:val="5A47B1A0"/>
    <w:rsid w:val="5A4A1B2A"/>
    <w:rsid w:val="5A4CE620"/>
    <w:rsid w:val="5A53179B"/>
    <w:rsid w:val="5A544714"/>
    <w:rsid w:val="5A54E3A0"/>
    <w:rsid w:val="5A59EC62"/>
    <w:rsid w:val="5A5DF8D0"/>
    <w:rsid w:val="5A60E827"/>
    <w:rsid w:val="5A62A688"/>
    <w:rsid w:val="5A62CC3B"/>
    <w:rsid w:val="5A630D2B"/>
    <w:rsid w:val="5A68977D"/>
    <w:rsid w:val="5A6C0527"/>
    <w:rsid w:val="5A6D1FAB"/>
    <w:rsid w:val="5A7893DC"/>
    <w:rsid w:val="5A7A4372"/>
    <w:rsid w:val="5A7A8640"/>
    <w:rsid w:val="5A7C3E22"/>
    <w:rsid w:val="5A7F7392"/>
    <w:rsid w:val="5A8441FC"/>
    <w:rsid w:val="5A84EF46"/>
    <w:rsid w:val="5A879360"/>
    <w:rsid w:val="5A880F03"/>
    <w:rsid w:val="5A8AFEC3"/>
    <w:rsid w:val="5A911E13"/>
    <w:rsid w:val="5A9ADBAE"/>
    <w:rsid w:val="5A9EF55C"/>
    <w:rsid w:val="5AA031E8"/>
    <w:rsid w:val="5AA557E7"/>
    <w:rsid w:val="5AAA2206"/>
    <w:rsid w:val="5AAA79B8"/>
    <w:rsid w:val="5AAB15C4"/>
    <w:rsid w:val="5AACAC83"/>
    <w:rsid w:val="5AAF9B72"/>
    <w:rsid w:val="5AB1B895"/>
    <w:rsid w:val="5AB5222D"/>
    <w:rsid w:val="5AB75AA9"/>
    <w:rsid w:val="5ABDB486"/>
    <w:rsid w:val="5ABFAEED"/>
    <w:rsid w:val="5AC83D8A"/>
    <w:rsid w:val="5AC94D1D"/>
    <w:rsid w:val="5ACEE364"/>
    <w:rsid w:val="5ACF5FC2"/>
    <w:rsid w:val="5AD0A2FD"/>
    <w:rsid w:val="5AD1DA99"/>
    <w:rsid w:val="5AD6157B"/>
    <w:rsid w:val="5ADC3710"/>
    <w:rsid w:val="5AE2D4DC"/>
    <w:rsid w:val="5AE6FC4E"/>
    <w:rsid w:val="5AEFA50F"/>
    <w:rsid w:val="5AF21964"/>
    <w:rsid w:val="5AF546B2"/>
    <w:rsid w:val="5AFA35D2"/>
    <w:rsid w:val="5AFBD4C2"/>
    <w:rsid w:val="5B008B61"/>
    <w:rsid w:val="5B04B948"/>
    <w:rsid w:val="5B04F0D6"/>
    <w:rsid w:val="5B09A66B"/>
    <w:rsid w:val="5B0B7804"/>
    <w:rsid w:val="5B0E721C"/>
    <w:rsid w:val="5B145B9E"/>
    <w:rsid w:val="5B155AAB"/>
    <w:rsid w:val="5B159392"/>
    <w:rsid w:val="5B1EF126"/>
    <w:rsid w:val="5B1FF2D7"/>
    <w:rsid w:val="5B21A7A7"/>
    <w:rsid w:val="5B240B15"/>
    <w:rsid w:val="5B245700"/>
    <w:rsid w:val="5B280415"/>
    <w:rsid w:val="5B280C2E"/>
    <w:rsid w:val="5B2AE406"/>
    <w:rsid w:val="5B2B1D61"/>
    <w:rsid w:val="5B2DA0B8"/>
    <w:rsid w:val="5B339FBD"/>
    <w:rsid w:val="5B3EE9E6"/>
    <w:rsid w:val="5B43D8CF"/>
    <w:rsid w:val="5B45BEA3"/>
    <w:rsid w:val="5B474C9B"/>
    <w:rsid w:val="5B494244"/>
    <w:rsid w:val="5B4EEF8B"/>
    <w:rsid w:val="5B503478"/>
    <w:rsid w:val="5B56CFA7"/>
    <w:rsid w:val="5B56EE04"/>
    <w:rsid w:val="5B57F3E6"/>
    <w:rsid w:val="5B5C04BB"/>
    <w:rsid w:val="5B6030C4"/>
    <w:rsid w:val="5B611F81"/>
    <w:rsid w:val="5B68AF28"/>
    <w:rsid w:val="5B705D80"/>
    <w:rsid w:val="5B7C2D09"/>
    <w:rsid w:val="5B871EC2"/>
    <w:rsid w:val="5B886A75"/>
    <w:rsid w:val="5B887587"/>
    <w:rsid w:val="5B958B90"/>
    <w:rsid w:val="5B9A18CA"/>
    <w:rsid w:val="5B9C7186"/>
    <w:rsid w:val="5B9C8C2B"/>
    <w:rsid w:val="5B9CEAB6"/>
    <w:rsid w:val="5B9E9D2D"/>
    <w:rsid w:val="5BA2AD3C"/>
    <w:rsid w:val="5BA41037"/>
    <w:rsid w:val="5BA7E79C"/>
    <w:rsid w:val="5BAD9A02"/>
    <w:rsid w:val="5BADE04C"/>
    <w:rsid w:val="5BB0C952"/>
    <w:rsid w:val="5BB36E83"/>
    <w:rsid w:val="5BB73186"/>
    <w:rsid w:val="5BBA39AA"/>
    <w:rsid w:val="5BBC6AC3"/>
    <w:rsid w:val="5BC36BD6"/>
    <w:rsid w:val="5BC72A9B"/>
    <w:rsid w:val="5BCA85AF"/>
    <w:rsid w:val="5BCB6218"/>
    <w:rsid w:val="5BCBD4CC"/>
    <w:rsid w:val="5BCF825A"/>
    <w:rsid w:val="5BD3C0EB"/>
    <w:rsid w:val="5BDC7919"/>
    <w:rsid w:val="5BE276E3"/>
    <w:rsid w:val="5BE3F472"/>
    <w:rsid w:val="5BE560E3"/>
    <w:rsid w:val="5BE6B4F3"/>
    <w:rsid w:val="5BEC5EBA"/>
    <w:rsid w:val="5BED1A46"/>
    <w:rsid w:val="5BEFC6E5"/>
    <w:rsid w:val="5BF132A3"/>
    <w:rsid w:val="5BF5ED5E"/>
    <w:rsid w:val="5BF6A625"/>
    <w:rsid w:val="5BF871D2"/>
    <w:rsid w:val="5BF95FC4"/>
    <w:rsid w:val="5C034A7F"/>
    <w:rsid w:val="5C0510A4"/>
    <w:rsid w:val="5C05CC76"/>
    <w:rsid w:val="5C066C31"/>
    <w:rsid w:val="5C0AB26B"/>
    <w:rsid w:val="5C0C7BC8"/>
    <w:rsid w:val="5C0D55FF"/>
    <w:rsid w:val="5C1175AB"/>
    <w:rsid w:val="5C14268B"/>
    <w:rsid w:val="5C1BD49D"/>
    <w:rsid w:val="5C1DCD52"/>
    <w:rsid w:val="5C23D5E3"/>
    <w:rsid w:val="5C24200F"/>
    <w:rsid w:val="5C25F150"/>
    <w:rsid w:val="5C313E40"/>
    <w:rsid w:val="5C32911D"/>
    <w:rsid w:val="5C35062E"/>
    <w:rsid w:val="5C380626"/>
    <w:rsid w:val="5C3AB7C6"/>
    <w:rsid w:val="5C3F94CE"/>
    <w:rsid w:val="5C474BF3"/>
    <w:rsid w:val="5C54DE26"/>
    <w:rsid w:val="5C55C117"/>
    <w:rsid w:val="5C55D9D2"/>
    <w:rsid w:val="5C5A3E19"/>
    <w:rsid w:val="5C5F4D9C"/>
    <w:rsid w:val="5C600576"/>
    <w:rsid w:val="5C64E1B6"/>
    <w:rsid w:val="5C6D063C"/>
    <w:rsid w:val="5C73CD2B"/>
    <w:rsid w:val="5C743DD6"/>
    <w:rsid w:val="5C7752B2"/>
    <w:rsid w:val="5C7BF3FE"/>
    <w:rsid w:val="5C7CC513"/>
    <w:rsid w:val="5C7F42B7"/>
    <w:rsid w:val="5C7F5DB8"/>
    <w:rsid w:val="5C836221"/>
    <w:rsid w:val="5C846532"/>
    <w:rsid w:val="5C848043"/>
    <w:rsid w:val="5C84B86F"/>
    <w:rsid w:val="5C86CD25"/>
    <w:rsid w:val="5C89427D"/>
    <w:rsid w:val="5C89D11B"/>
    <w:rsid w:val="5C8DA344"/>
    <w:rsid w:val="5C953B27"/>
    <w:rsid w:val="5C97C8A5"/>
    <w:rsid w:val="5C9B30E2"/>
    <w:rsid w:val="5C9DBE13"/>
    <w:rsid w:val="5C9F0181"/>
    <w:rsid w:val="5CA1CCD5"/>
    <w:rsid w:val="5CA211B5"/>
    <w:rsid w:val="5CA310F0"/>
    <w:rsid w:val="5CA84795"/>
    <w:rsid w:val="5CA8D617"/>
    <w:rsid w:val="5CAAB9B4"/>
    <w:rsid w:val="5CAABC30"/>
    <w:rsid w:val="5CB16985"/>
    <w:rsid w:val="5CB63154"/>
    <w:rsid w:val="5CBD55BF"/>
    <w:rsid w:val="5CC13144"/>
    <w:rsid w:val="5CC2A493"/>
    <w:rsid w:val="5CCA3BC6"/>
    <w:rsid w:val="5CCC7CF7"/>
    <w:rsid w:val="5CD1F199"/>
    <w:rsid w:val="5CD2EE73"/>
    <w:rsid w:val="5CD71E8E"/>
    <w:rsid w:val="5CD92030"/>
    <w:rsid w:val="5CDCCFDF"/>
    <w:rsid w:val="5CDE848C"/>
    <w:rsid w:val="5CE355C7"/>
    <w:rsid w:val="5CE87912"/>
    <w:rsid w:val="5CEB05A4"/>
    <w:rsid w:val="5CEEFF1B"/>
    <w:rsid w:val="5CF5C65F"/>
    <w:rsid w:val="5CF8D55C"/>
    <w:rsid w:val="5CF8F805"/>
    <w:rsid w:val="5CF9D0E2"/>
    <w:rsid w:val="5CFA2AAE"/>
    <w:rsid w:val="5CFD04B8"/>
    <w:rsid w:val="5D0725AF"/>
    <w:rsid w:val="5D07324C"/>
    <w:rsid w:val="5D0BB92E"/>
    <w:rsid w:val="5D1206C1"/>
    <w:rsid w:val="5D140E87"/>
    <w:rsid w:val="5D150909"/>
    <w:rsid w:val="5D175823"/>
    <w:rsid w:val="5D1EF678"/>
    <w:rsid w:val="5D29BE7F"/>
    <w:rsid w:val="5D2D9FB8"/>
    <w:rsid w:val="5D2E1DDD"/>
    <w:rsid w:val="5D3113C4"/>
    <w:rsid w:val="5D31DFA2"/>
    <w:rsid w:val="5D3214FF"/>
    <w:rsid w:val="5D32E878"/>
    <w:rsid w:val="5D3652CE"/>
    <w:rsid w:val="5D37079A"/>
    <w:rsid w:val="5D3902AA"/>
    <w:rsid w:val="5D40426D"/>
    <w:rsid w:val="5D464F8B"/>
    <w:rsid w:val="5D504D86"/>
    <w:rsid w:val="5D5736C6"/>
    <w:rsid w:val="5D58426F"/>
    <w:rsid w:val="5D5FB00B"/>
    <w:rsid w:val="5D63A5F6"/>
    <w:rsid w:val="5D6422B6"/>
    <w:rsid w:val="5D756C87"/>
    <w:rsid w:val="5D78CE7A"/>
    <w:rsid w:val="5D791AF9"/>
    <w:rsid w:val="5D794B01"/>
    <w:rsid w:val="5D8199D9"/>
    <w:rsid w:val="5D83446C"/>
    <w:rsid w:val="5D83C04D"/>
    <w:rsid w:val="5D85330F"/>
    <w:rsid w:val="5D87A1DA"/>
    <w:rsid w:val="5D87B049"/>
    <w:rsid w:val="5D886240"/>
    <w:rsid w:val="5D889815"/>
    <w:rsid w:val="5D892BDA"/>
    <w:rsid w:val="5D910018"/>
    <w:rsid w:val="5D92825F"/>
    <w:rsid w:val="5D9361FE"/>
    <w:rsid w:val="5D96381F"/>
    <w:rsid w:val="5DA2800E"/>
    <w:rsid w:val="5DA5B4A9"/>
    <w:rsid w:val="5DA5C777"/>
    <w:rsid w:val="5DA67F13"/>
    <w:rsid w:val="5DA6D117"/>
    <w:rsid w:val="5DA8D53B"/>
    <w:rsid w:val="5DAD61A7"/>
    <w:rsid w:val="5DADFBBF"/>
    <w:rsid w:val="5DB74CEB"/>
    <w:rsid w:val="5DB92496"/>
    <w:rsid w:val="5DBCF620"/>
    <w:rsid w:val="5DC3C80B"/>
    <w:rsid w:val="5DC46636"/>
    <w:rsid w:val="5DC9E1E5"/>
    <w:rsid w:val="5DCBB556"/>
    <w:rsid w:val="5DCF1BAA"/>
    <w:rsid w:val="5DD05787"/>
    <w:rsid w:val="5DD2CD94"/>
    <w:rsid w:val="5DDD7612"/>
    <w:rsid w:val="5DE22EE8"/>
    <w:rsid w:val="5DEA8C91"/>
    <w:rsid w:val="5DED5A53"/>
    <w:rsid w:val="5DF17A36"/>
    <w:rsid w:val="5DF53082"/>
    <w:rsid w:val="5DF5D3F4"/>
    <w:rsid w:val="5E0091A2"/>
    <w:rsid w:val="5E0104BE"/>
    <w:rsid w:val="5E02B8F5"/>
    <w:rsid w:val="5E063270"/>
    <w:rsid w:val="5E075004"/>
    <w:rsid w:val="5E0A96AF"/>
    <w:rsid w:val="5E0D34E3"/>
    <w:rsid w:val="5E158653"/>
    <w:rsid w:val="5E16688F"/>
    <w:rsid w:val="5E18BC4D"/>
    <w:rsid w:val="5E1F06BC"/>
    <w:rsid w:val="5E25170A"/>
    <w:rsid w:val="5E28271D"/>
    <w:rsid w:val="5E2AED24"/>
    <w:rsid w:val="5E30DEDE"/>
    <w:rsid w:val="5E32EBDD"/>
    <w:rsid w:val="5E357055"/>
    <w:rsid w:val="5E35DEE5"/>
    <w:rsid w:val="5E36D8B5"/>
    <w:rsid w:val="5E37AFBF"/>
    <w:rsid w:val="5E4649C8"/>
    <w:rsid w:val="5E51DF06"/>
    <w:rsid w:val="5E52583E"/>
    <w:rsid w:val="5E54F848"/>
    <w:rsid w:val="5E5669C1"/>
    <w:rsid w:val="5E59652A"/>
    <w:rsid w:val="5E5A8416"/>
    <w:rsid w:val="5E5EAECC"/>
    <w:rsid w:val="5E5EB78B"/>
    <w:rsid w:val="5E5F912D"/>
    <w:rsid w:val="5E614D02"/>
    <w:rsid w:val="5E623D10"/>
    <w:rsid w:val="5E6380AA"/>
    <w:rsid w:val="5E63FFDF"/>
    <w:rsid w:val="5E6451F5"/>
    <w:rsid w:val="5E69A455"/>
    <w:rsid w:val="5E6C169A"/>
    <w:rsid w:val="5E6D1788"/>
    <w:rsid w:val="5E6D6BA9"/>
    <w:rsid w:val="5E713247"/>
    <w:rsid w:val="5E745FD1"/>
    <w:rsid w:val="5E74BF06"/>
    <w:rsid w:val="5E7541C4"/>
    <w:rsid w:val="5E762C61"/>
    <w:rsid w:val="5E771B0F"/>
    <w:rsid w:val="5E7B8B7D"/>
    <w:rsid w:val="5E7E44B4"/>
    <w:rsid w:val="5E7FCE11"/>
    <w:rsid w:val="5E7FDDB2"/>
    <w:rsid w:val="5E8005FE"/>
    <w:rsid w:val="5E81DB41"/>
    <w:rsid w:val="5E844181"/>
    <w:rsid w:val="5E857C50"/>
    <w:rsid w:val="5E8B2AE8"/>
    <w:rsid w:val="5E8CCC5B"/>
    <w:rsid w:val="5E8CD9F0"/>
    <w:rsid w:val="5E90600C"/>
    <w:rsid w:val="5E914970"/>
    <w:rsid w:val="5E9B54BC"/>
    <w:rsid w:val="5E9BDBDF"/>
    <w:rsid w:val="5E9EC444"/>
    <w:rsid w:val="5EA559F1"/>
    <w:rsid w:val="5EA564EB"/>
    <w:rsid w:val="5EA65232"/>
    <w:rsid w:val="5EA7A3DD"/>
    <w:rsid w:val="5EA91757"/>
    <w:rsid w:val="5EA94C84"/>
    <w:rsid w:val="5EAD0BEC"/>
    <w:rsid w:val="5EADE757"/>
    <w:rsid w:val="5EB509AD"/>
    <w:rsid w:val="5EB76717"/>
    <w:rsid w:val="5EB80C34"/>
    <w:rsid w:val="5EBAA944"/>
    <w:rsid w:val="5EBBA534"/>
    <w:rsid w:val="5EBC45DB"/>
    <w:rsid w:val="5EBE6960"/>
    <w:rsid w:val="5EC09316"/>
    <w:rsid w:val="5EC14D91"/>
    <w:rsid w:val="5EC1ECF1"/>
    <w:rsid w:val="5EC5FE2B"/>
    <w:rsid w:val="5ECB9D32"/>
    <w:rsid w:val="5ED48FC4"/>
    <w:rsid w:val="5ED9F513"/>
    <w:rsid w:val="5EDAA647"/>
    <w:rsid w:val="5EDB855F"/>
    <w:rsid w:val="5EDC264D"/>
    <w:rsid w:val="5EE36676"/>
    <w:rsid w:val="5EEB5DAD"/>
    <w:rsid w:val="5EF0A122"/>
    <w:rsid w:val="5EF0B03C"/>
    <w:rsid w:val="5EF190B3"/>
    <w:rsid w:val="5EF1A85B"/>
    <w:rsid w:val="5EF27E4C"/>
    <w:rsid w:val="5EF3577E"/>
    <w:rsid w:val="5EF41F58"/>
    <w:rsid w:val="5EF43DAC"/>
    <w:rsid w:val="5EFE606C"/>
    <w:rsid w:val="5F056057"/>
    <w:rsid w:val="5F05BADD"/>
    <w:rsid w:val="5F07292C"/>
    <w:rsid w:val="5F152081"/>
    <w:rsid w:val="5F1F91F7"/>
    <w:rsid w:val="5F20DA14"/>
    <w:rsid w:val="5F235901"/>
    <w:rsid w:val="5F245665"/>
    <w:rsid w:val="5F2B0D42"/>
    <w:rsid w:val="5F2BB4C9"/>
    <w:rsid w:val="5F2DF788"/>
    <w:rsid w:val="5F2F9EDA"/>
    <w:rsid w:val="5F31813A"/>
    <w:rsid w:val="5F322014"/>
    <w:rsid w:val="5F343E90"/>
    <w:rsid w:val="5F370489"/>
    <w:rsid w:val="5F37655D"/>
    <w:rsid w:val="5F38CAF5"/>
    <w:rsid w:val="5F3A3BBB"/>
    <w:rsid w:val="5F3F0960"/>
    <w:rsid w:val="5F43C31F"/>
    <w:rsid w:val="5F49E98F"/>
    <w:rsid w:val="5F4BD35E"/>
    <w:rsid w:val="5F4E0E35"/>
    <w:rsid w:val="5F53EB43"/>
    <w:rsid w:val="5F58887E"/>
    <w:rsid w:val="5F5B0070"/>
    <w:rsid w:val="5F5EFFA4"/>
    <w:rsid w:val="5F63FD40"/>
    <w:rsid w:val="5F6D6DD0"/>
    <w:rsid w:val="5F6F19D7"/>
    <w:rsid w:val="5F74B6C2"/>
    <w:rsid w:val="5F76324E"/>
    <w:rsid w:val="5F775864"/>
    <w:rsid w:val="5F7E5DC5"/>
    <w:rsid w:val="5F843DC8"/>
    <w:rsid w:val="5F844F4B"/>
    <w:rsid w:val="5F8515CD"/>
    <w:rsid w:val="5F880098"/>
    <w:rsid w:val="5F8ABB65"/>
    <w:rsid w:val="5F92F180"/>
    <w:rsid w:val="5F9C5C1F"/>
    <w:rsid w:val="5F9E7061"/>
    <w:rsid w:val="5FA2B21E"/>
    <w:rsid w:val="5FAB158A"/>
    <w:rsid w:val="5FB427A0"/>
    <w:rsid w:val="5FB43A05"/>
    <w:rsid w:val="5FC66067"/>
    <w:rsid w:val="5FCED2BC"/>
    <w:rsid w:val="5FD0EB43"/>
    <w:rsid w:val="5FD54D13"/>
    <w:rsid w:val="5FDD531F"/>
    <w:rsid w:val="5FE5D2B5"/>
    <w:rsid w:val="5FED7D40"/>
    <w:rsid w:val="5FF30BBF"/>
    <w:rsid w:val="5FF35853"/>
    <w:rsid w:val="5FF37E04"/>
    <w:rsid w:val="5FF96A5F"/>
    <w:rsid w:val="6001C631"/>
    <w:rsid w:val="6001CEB6"/>
    <w:rsid w:val="6003F8E7"/>
    <w:rsid w:val="6008CFAE"/>
    <w:rsid w:val="60098C58"/>
    <w:rsid w:val="600C3DEC"/>
    <w:rsid w:val="6013D2FA"/>
    <w:rsid w:val="601582B2"/>
    <w:rsid w:val="60170193"/>
    <w:rsid w:val="601DA0A7"/>
    <w:rsid w:val="601FB459"/>
    <w:rsid w:val="60224D26"/>
    <w:rsid w:val="6024BEC4"/>
    <w:rsid w:val="6026DD8C"/>
    <w:rsid w:val="6027C806"/>
    <w:rsid w:val="602B73E6"/>
    <w:rsid w:val="602C2BF9"/>
    <w:rsid w:val="602DD642"/>
    <w:rsid w:val="602ECFB1"/>
    <w:rsid w:val="602F3FED"/>
    <w:rsid w:val="60304852"/>
    <w:rsid w:val="60306FE3"/>
    <w:rsid w:val="603201A9"/>
    <w:rsid w:val="6035FAC9"/>
    <w:rsid w:val="603FF779"/>
    <w:rsid w:val="6041E6DB"/>
    <w:rsid w:val="604551EE"/>
    <w:rsid w:val="6045859F"/>
    <w:rsid w:val="604661CE"/>
    <w:rsid w:val="604A3A9A"/>
    <w:rsid w:val="6050239B"/>
    <w:rsid w:val="6050BF1B"/>
    <w:rsid w:val="6052C65A"/>
    <w:rsid w:val="605876DE"/>
    <w:rsid w:val="60588D5A"/>
    <w:rsid w:val="605A20B9"/>
    <w:rsid w:val="605A6896"/>
    <w:rsid w:val="605C220A"/>
    <w:rsid w:val="605D372E"/>
    <w:rsid w:val="6064B41A"/>
    <w:rsid w:val="6071BB4A"/>
    <w:rsid w:val="607282FE"/>
    <w:rsid w:val="6075BAEA"/>
    <w:rsid w:val="60781747"/>
    <w:rsid w:val="60799504"/>
    <w:rsid w:val="607E0A3A"/>
    <w:rsid w:val="60804BFE"/>
    <w:rsid w:val="60850461"/>
    <w:rsid w:val="60875E58"/>
    <w:rsid w:val="60895CD9"/>
    <w:rsid w:val="608C182A"/>
    <w:rsid w:val="608C6AD1"/>
    <w:rsid w:val="60943E67"/>
    <w:rsid w:val="6097DE93"/>
    <w:rsid w:val="609A8110"/>
    <w:rsid w:val="609AE556"/>
    <w:rsid w:val="609CF008"/>
    <w:rsid w:val="609F9FD5"/>
    <w:rsid w:val="60A06B5D"/>
    <w:rsid w:val="60A0CE3E"/>
    <w:rsid w:val="60A1667E"/>
    <w:rsid w:val="60A20E72"/>
    <w:rsid w:val="60A2D25A"/>
    <w:rsid w:val="60A37F64"/>
    <w:rsid w:val="60A395D8"/>
    <w:rsid w:val="60A57304"/>
    <w:rsid w:val="60A6E74C"/>
    <w:rsid w:val="60ACBD90"/>
    <w:rsid w:val="60B70647"/>
    <w:rsid w:val="60B7B86E"/>
    <w:rsid w:val="60C06839"/>
    <w:rsid w:val="60C23586"/>
    <w:rsid w:val="60C3301E"/>
    <w:rsid w:val="60CB2A3A"/>
    <w:rsid w:val="60CDF5B6"/>
    <w:rsid w:val="60CEAA9D"/>
    <w:rsid w:val="60D6B841"/>
    <w:rsid w:val="60D8B1CD"/>
    <w:rsid w:val="60DA22D5"/>
    <w:rsid w:val="60DA3631"/>
    <w:rsid w:val="60DA7361"/>
    <w:rsid w:val="60DB3D35"/>
    <w:rsid w:val="60DD54DF"/>
    <w:rsid w:val="60DEFE66"/>
    <w:rsid w:val="60E02E8D"/>
    <w:rsid w:val="60E511BF"/>
    <w:rsid w:val="60F3756F"/>
    <w:rsid w:val="60FBC127"/>
    <w:rsid w:val="60FBC61B"/>
    <w:rsid w:val="60FC1579"/>
    <w:rsid w:val="60FD7CD2"/>
    <w:rsid w:val="60FE16DF"/>
    <w:rsid w:val="610691E2"/>
    <w:rsid w:val="610796AA"/>
    <w:rsid w:val="610B1E21"/>
    <w:rsid w:val="610B77C1"/>
    <w:rsid w:val="610C28BB"/>
    <w:rsid w:val="610DD787"/>
    <w:rsid w:val="61117EC7"/>
    <w:rsid w:val="611562DD"/>
    <w:rsid w:val="611649D1"/>
    <w:rsid w:val="611692F4"/>
    <w:rsid w:val="61183467"/>
    <w:rsid w:val="611B6659"/>
    <w:rsid w:val="6122D27D"/>
    <w:rsid w:val="612334E5"/>
    <w:rsid w:val="61238B50"/>
    <w:rsid w:val="61266BEE"/>
    <w:rsid w:val="6128B5A4"/>
    <w:rsid w:val="612CFB0E"/>
    <w:rsid w:val="612D3F4F"/>
    <w:rsid w:val="61351B3B"/>
    <w:rsid w:val="61402F6F"/>
    <w:rsid w:val="614220B8"/>
    <w:rsid w:val="61475E7A"/>
    <w:rsid w:val="61483782"/>
    <w:rsid w:val="614CED94"/>
    <w:rsid w:val="6150D9A4"/>
    <w:rsid w:val="61592E25"/>
    <w:rsid w:val="615C720D"/>
    <w:rsid w:val="615E5D20"/>
    <w:rsid w:val="616279DE"/>
    <w:rsid w:val="61669172"/>
    <w:rsid w:val="6166B7AF"/>
    <w:rsid w:val="616F5A62"/>
    <w:rsid w:val="61772E37"/>
    <w:rsid w:val="617801B0"/>
    <w:rsid w:val="617A6726"/>
    <w:rsid w:val="6187812B"/>
    <w:rsid w:val="6187D663"/>
    <w:rsid w:val="618A2AAD"/>
    <w:rsid w:val="618DF6EB"/>
    <w:rsid w:val="6198F706"/>
    <w:rsid w:val="61A5892F"/>
    <w:rsid w:val="61A8FF3C"/>
    <w:rsid w:val="61AB77C7"/>
    <w:rsid w:val="61B279B8"/>
    <w:rsid w:val="61B887D5"/>
    <w:rsid w:val="61BE435A"/>
    <w:rsid w:val="61BF0CE7"/>
    <w:rsid w:val="61C21679"/>
    <w:rsid w:val="61C2664A"/>
    <w:rsid w:val="61C70677"/>
    <w:rsid w:val="61CAA181"/>
    <w:rsid w:val="61CD701B"/>
    <w:rsid w:val="61CDA68E"/>
    <w:rsid w:val="61CF1362"/>
    <w:rsid w:val="61CFA0FC"/>
    <w:rsid w:val="61D4F1F5"/>
    <w:rsid w:val="61DD116A"/>
    <w:rsid w:val="61E2713E"/>
    <w:rsid w:val="61E581ED"/>
    <w:rsid w:val="61E98F77"/>
    <w:rsid w:val="61EE95F4"/>
    <w:rsid w:val="61F34A93"/>
    <w:rsid w:val="61F52DE4"/>
    <w:rsid w:val="61F5ED94"/>
    <w:rsid w:val="61F607E9"/>
    <w:rsid w:val="61F9F09C"/>
    <w:rsid w:val="62060414"/>
    <w:rsid w:val="620C933F"/>
    <w:rsid w:val="6210BC43"/>
    <w:rsid w:val="62128738"/>
    <w:rsid w:val="62149072"/>
    <w:rsid w:val="62153592"/>
    <w:rsid w:val="6216F9D7"/>
    <w:rsid w:val="62254B75"/>
    <w:rsid w:val="622C0BB2"/>
    <w:rsid w:val="622C7754"/>
    <w:rsid w:val="622E596E"/>
    <w:rsid w:val="6231F1DE"/>
    <w:rsid w:val="6233CF21"/>
    <w:rsid w:val="6235A0F6"/>
    <w:rsid w:val="623AD75C"/>
    <w:rsid w:val="62425E78"/>
    <w:rsid w:val="62434A42"/>
    <w:rsid w:val="6244FE85"/>
    <w:rsid w:val="6245FA2B"/>
    <w:rsid w:val="6249177A"/>
    <w:rsid w:val="624D3FF4"/>
    <w:rsid w:val="6252724C"/>
    <w:rsid w:val="6254FEFD"/>
    <w:rsid w:val="625B3BCA"/>
    <w:rsid w:val="625BA238"/>
    <w:rsid w:val="6262ABC9"/>
    <w:rsid w:val="6265738D"/>
    <w:rsid w:val="6266C17C"/>
    <w:rsid w:val="626C58B9"/>
    <w:rsid w:val="626CC4FA"/>
    <w:rsid w:val="626CF858"/>
    <w:rsid w:val="6270FB3E"/>
    <w:rsid w:val="6275CC3E"/>
    <w:rsid w:val="62772E25"/>
    <w:rsid w:val="627DF7C5"/>
    <w:rsid w:val="627ED8BD"/>
    <w:rsid w:val="62802671"/>
    <w:rsid w:val="6282B7D1"/>
    <w:rsid w:val="62861B12"/>
    <w:rsid w:val="628F5EF2"/>
    <w:rsid w:val="6294DE2B"/>
    <w:rsid w:val="629AA918"/>
    <w:rsid w:val="62A27F6F"/>
    <w:rsid w:val="62AF0546"/>
    <w:rsid w:val="62B6AF22"/>
    <w:rsid w:val="62BE037D"/>
    <w:rsid w:val="62BED41D"/>
    <w:rsid w:val="62C84553"/>
    <w:rsid w:val="62CB018A"/>
    <w:rsid w:val="62CE2729"/>
    <w:rsid w:val="62CE3313"/>
    <w:rsid w:val="62CE9995"/>
    <w:rsid w:val="62D0BB3E"/>
    <w:rsid w:val="62D6F95C"/>
    <w:rsid w:val="62DA9BEB"/>
    <w:rsid w:val="62E0B2BA"/>
    <w:rsid w:val="62E554C3"/>
    <w:rsid w:val="62F1FAEE"/>
    <w:rsid w:val="62F5D0C3"/>
    <w:rsid w:val="62F7B028"/>
    <w:rsid w:val="62F82825"/>
    <w:rsid w:val="62FF2008"/>
    <w:rsid w:val="63003DEB"/>
    <w:rsid w:val="63035EF0"/>
    <w:rsid w:val="630F22F5"/>
    <w:rsid w:val="63118A80"/>
    <w:rsid w:val="63128976"/>
    <w:rsid w:val="63140940"/>
    <w:rsid w:val="631755EB"/>
    <w:rsid w:val="631A2812"/>
    <w:rsid w:val="631A35FA"/>
    <w:rsid w:val="631E3556"/>
    <w:rsid w:val="631EB2DE"/>
    <w:rsid w:val="6320268B"/>
    <w:rsid w:val="63205101"/>
    <w:rsid w:val="63287DD9"/>
    <w:rsid w:val="632A1D8B"/>
    <w:rsid w:val="632D7E30"/>
    <w:rsid w:val="632F2B08"/>
    <w:rsid w:val="632F4C2F"/>
    <w:rsid w:val="63313E8C"/>
    <w:rsid w:val="63319273"/>
    <w:rsid w:val="633522F9"/>
    <w:rsid w:val="63359C89"/>
    <w:rsid w:val="6335FB54"/>
    <w:rsid w:val="63383060"/>
    <w:rsid w:val="633E50E7"/>
    <w:rsid w:val="6340AECD"/>
    <w:rsid w:val="6340BAAD"/>
    <w:rsid w:val="6343BC15"/>
    <w:rsid w:val="6343D6A9"/>
    <w:rsid w:val="6344E437"/>
    <w:rsid w:val="6348EDEF"/>
    <w:rsid w:val="6349354A"/>
    <w:rsid w:val="6350B2BC"/>
    <w:rsid w:val="6351E8C7"/>
    <w:rsid w:val="63523DF6"/>
    <w:rsid w:val="635BC652"/>
    <w:rsid w:val="635DEEA5"/>
    <w:rsid w:val="635E50F9"/>
    <w:rsid w:val="635F8BEA"/>
    <w:rsid w:val="635FFD2C"/>
    <w:rsid w:val="63603201"/>
    <w:rsid w:val="63604E7B"/>
    <w:rsid w:val="6363A957"/>
    <w:rsid w:val="6366025F"/>
    <w:rsid w:val="6366BDD3"/>
    <w:rsid w:val="636B3308"/>
    <w:rsid w:val="636CFE7B"/>
    <w:rsid w:val="63709533"/>
    <w:rsid w:val="6370A7CE"/>
    <w:rsid w:val="63764984"/>
    <w:rsid w:val="6382B506"/>
    <w:rsid w:val="6382EBD1"/>
    <w:rsid w:val="6383AD52"/>
    <w:rsid w:val="63878DFE"/>
    <w:rsid w:val="638BCA28"/>
    <w:rsid w:val="638F8C52"/>
    <w:rsid w:val="63945C39"/>
    <w:rsid w:val="639F2796"/>
    <w:rsid w:val="63A0028C"/>
    <w:rsid w:val="63A56370"/>
    <w:rsid w:val="63A88286"/>
    <w:rsid w:val="63AACCF4"/>
    <w:rsid w:val="63AC8C43"/>
    <w:rsid w:val="63B15B09"/>
    <w:rsid w:val="63B5EDAB"/>
    <w:rsid w:val="63BD1DD9"/>
    <w:rsid w:val="63C40C2B"/>
    <w:rsid w:val="63C731CA"/>
    <w:rsid w:val="63C73CE7"/>
    <w:rsid w:val="63C8554E"/>
    <w:rsid w:val="63CE3884"/>
    <w:rsid w:val="63CFBD15"/>
    <w:rsid w:val="63D4100E"/>
    <w:rsid w:val="63D81128"/>
    <w:rsid w:val="63DE3D7E"/>
    <w:rsid w:val="63DF1924"/>
    <w:rsid w:val="63E01A86"/>
    <w:rsid w:val="63E84705"/>
    <w:rsid w:val="63EAA4BB"/>
    <w:rsid w:val="63F6271A"/>
    <w:rsid w:val="63F78655"/>
    <w:rsid w:val="63F7C03C"/>
    <w:rsid w:val="63F8DCC8"/>
    <w:rsid w:val="63FA67CF"/>
    <w:rsid w:val="6404D11F"/>
    <w:rsid w:val="64086348"/>
    <w:rsid w:val="6409B2B2"/>
    <w:rsid w:val="640AAAAD"/>
    <w:rsid w:val="640B3AA2"/>
    <w:rsid w:val="640BC019"/>
    <w:rsid w:val="6412F10B"/>
    <w:rsid w:val="641BE566"/>
    <w:rsid w:val="64203A38"/>
    <w:rsid w:val="6422A603"/>
    <w:rsid w:val="6422F7AA"/>
    <w:rsid w:val="642507EC"/>
    <w:rsid w:val="6428B3E0"/>
    <w:rsid w:val="6429C106"/>
    <w:rsid w:val="643A44C1"/>
    <w:rsid w:val="643EBA03"/>
    <w:rsid w:val="6440461A"/>
    <w:rsid w:val="64411C5C"/>
    <w:rsid w:val="644936D2"/>
    <w:rsid w:val="644D83F7"/>
    <w:rsid w:val="644E457D"/>
    <w:rsid w:val="645664A6"/>
    <w:rsid w:val="645BA097"/>
    <w:rsid w:val="645F0AAE"/>
    <w:rsid w:val="64615338"/>
    <w:rsid w:val="6461FBDF"/>
    <w:rsid w:val="646310F9"/>
    <w:rsid w:val="6465C99E"/>
    <w:rsid w:val="6469496F"/>
    <w:rsid w:val="6478DD90"/>
    <w:rsid w:val="647AB115"/>
    <w:rsid w:val="647AF30B"/>
    <w:rsid w:val="647DDAEA"/>
    <w:rsid w:val="6480B8A0"/>
    <w:rsid w:val="64823E05"/>
    <w:rsid w:val="6483BD2F"/>
    <w:rsid w:val="64865DF2"/>
    <w:rsid w:val="648B8939"/>
    <w:rsid w:val="6493286B"/>
    <w:rsid w:val="649D2592"/>
    <w:rsid w:val="64A013F4"/>
    <w:rsid w:val="64A9B0BA"/>
    <w:rsid w:val="64AC3174"/>
    <w:rsid w:val="64B2F524"/>
    <w:rsid w:val="64B83FE0"/>
    <w:rsid w:val="64B90F2A"/>
    <w:rsid w:val="64C196AA"/>
    <w:rsid w:val="64CA4076"/>
    <w:rsid w:val="64CADA39"/>
    <w:rsid w:val="64CB3FB4"/>
    <w:rsid w:val="64CD91E2"/>
    <w:rsid w:val="64D4001C"/>
    <w:rsid w:val="64D40047"/>
    <w:rsid w:val="64DAB3A1"/>
    <w:rsid w:val="64DB4735"/>
    <w:rsid w:val="64DB5023"/>
    <w:rsid w:val="64DC0944"/>
    <w:rsid w:val="64DCE86D"/>
    <w:rsid w:val="64DEAAA0"/>
    <w:rsid w:val="64E51535"/>
    <w:rsid w:val="64E61BC6"/>
    <w:rsid w:val="64E8C8AF"/>
    <w:rsid w:val="64E92C99"/>
    <w:rsid w:val="64F83101"/>
    <w:rsid w:val="64FF2F1F"/>
    <w:rsid w:val="65001D44"/>
    <w:rsid w:val="6502BD56"/>
    <w:rsid w:val="650C2281"/>
    <w:rsid w:val="650E03C9"/>
    <w:rsid w:val="650EB6BF"/>
    <w:rsid w:val="6510F163"/>
    <w:rsid w:val="651858C7"/>
    <w:rsid w:val="651F1DB0"/>
    <w:rsid w:val="65201254"/>
    <w:rsid w:val="65258C95"/>
    <w:rsid w:val="6527922A"/>
    <w:rsid w:val="652D6415"/>
    <w:rsid w:val="6531FD44"/>
    <w:rsid w:val="6536476B"/>
    <w:rsid w:val="65372A7E"/>
    <w:rsid w:val="653E8608"/>
    <w:rsid w:val="653EA62E"/>
    <w:rsid w:val="653F4CFA"/>
    <w:rsid w:val="654341B5"/>
    <w:rsid w:val="65446E93"/>
    <w:rsid w:val="654B03D6"/>
    <w:rsid w:val="65516B37"/>
    <w:rsid w:val="6555E124"/>
    <w:rsid w:val="655EF06A"/>
    <w:rsid w:val="65601CAD"/>
    <w:rsid w:val="656AF164"/>
    <w:rsid w:val="657130DB"/>
    <w:rsid w:val="6571D2E9"/>
    <w:rsid w:val="65731A16"/>
    <w:rsid w:val="657371EA"/>
    <w:rsid w:val="657C0C09"/>
    <w:rsid w:val="65804FA5"/>
    <w:rsid w:val="6584937A"/>
    <w:rsid w:val="65867392"/>
    <w:rsid w:val="658778A4"/>
    <w:rsid w:val="658A20D5"/>
    <w:rsid w:val="658C03B9"/>
    <w:rsid w:val="658D8A56"/>
    <w:rsid w:val="658F4599"/>
    <w:rsid w:val="659198E4"/>
    <w:rsid w:val="65981900"/>
    <w:rsid w:val="65A16D24"/>
    <w:rsid w:val="65A24E00"/>
    <w:rsid w:val="65A35F3F"/>
    <w:rsid w:val="65A85E42"/>
    <w:rsid w:val="65B92DFB"/>
    <w:rsid w:val="65BA5875"/>
    <w:rsid w:val="65BDE89B"/>
    <w:rsid w:val="65C70738"/>
    <w:rsid w:val="65CAF658"/>
    <w:rsid w:val="65CD9A4E"/>
    <w:rsid w:val="65CF4AE7"/>
    <w:rsid w:val="65D2D5D8"/>
    <w:rsid w:val="65D57482"/>
    <w:rsid w:val="65D62652"/>
    <w:rsid w:val="65D66FEC"/>
    <w:rsid w:val="65D76325"/>
    <w:rsid w:val="65DE1410"/>
    <w:rsid w:val="65E582DC"/>
    <w:rsid w:val="65E64A98"/>
    <w:rsid w:val="65E82AD2"/>
    <w:rsid w:val="65EB4095"/>
    <w:rsid w:val="65EB55CF"/>
    <w:rsid w:val="65F865B3"/>
    <w:rsid w:val="66071F1F"/>
    <w:rsid w:val="660F3372"/>
    <w:rsid w:val="66156E4F"/>
    <w:rsid w:val="661AA736"/>
    <w:rsid w:val="66219F39"/>
    <w:rsid w:val="6621BEC2"/>
    <w:rsid w:val="6623AC68"/>
    <w:rsid w:val="6628438D"/>
    <w:rsid w:val="662BA6C2"/>
    <w:rsid w:val="6632D9F2"/>
    <w:rsid w:val="66333E4C"/>
    <w:rsid w:val="663535CA"/>
    <w:rsid w:val="663B2252"/>
    <w:rsid w:val="663EC0B9"/>
    <w:rsid w:val="6641452F"/>
    <w:rsid w:val="66493FAE"/>
    <w:rsid w:val="664D3A3E"/>
    <w:rsid w:val="6654D4D8"/>
    <w:rsid w:val="66559ABE"/>
    <w:rsid w:val="6655ED08"/>
    <w:rsid w:val="665AF56F"/>
    <w:rsid w:val="665AF949"/>
    <w:rsid w:val="666685D4"/>
    <w:rsid w:val="666726FA"/>
    <w:rsid w:val="6667D3C9"/>
    <w:rsid w:val="6668786E"/>
    <w:rsid w:val="666C9083"/>
    <w:rsid w:val="6679B4BA"/>
    <w:rsid w:val="667B36B5"/>
    <w:rsid w:val="667BD9B9"/>
    <w:rsid w:val="6681AC83"/>
    <w:rsid w:val="6681EE01"/>
    <w:rsid w:val="6685926E"/>
    <w:rsid w:val="66877667"/>
    <w:rsid w:val="66894FAA"/>
    <w:rsid w:val="668A311D"/>
    <w:rsid w:val="668F5EC5"/>
    <w:rsid w:val="66930097"/>
    <w:rsid w:val="66938D1A"/>
    <w:rsid w:val="66969733"/>
    <w:rsid w:val="6698A8FD"/>
    <w:rsid w:val="669DEB60"/>
    <w:rsid w:val="66A4359B"/>
    <w:rsid w:val="66A85BD4"/>
    <w:rsid w:val="66AFF7C7"/>
    <w:rsid w:val="66B3F12A"/>
    <w:rsid w:val="66B685A6"/>
    <w:rsid w:val="66B7D81E"/>
    <w:rsid w:val="66B92260"/>
    <w:rsid w:val="66BB1374"/>
    <w:rsid w:val="66BB3125"/>
    <w:rsid w:val="66BD421B"/>
    <w:rsid w:val="66BF1A66"/>
    <w:rsid w:val="66C3B88E"/>
    <w:rsid w:val="66C998C2"/>
    <w:rsid w:val="66CFEE88"/>
    <w:rsid w:val="66D1BC56"/>
    <w:rsid w:val="66D8A9DA"/>
    <w:rsid w:val="66DB9417"/>
    <w:rsid w:val="66DCC6D9"/>
    <w:rsid w:val="66DD4B36"/>
    <w:rsid w:val="66E00F48"/>
    <w:rsid w:val="66E876DD"/>
    <w:rsid w:val="66E8F332"/>
    <w:rsid w:val="66EE59D9"/>
    <w:rsid w:val="66F04722"/>
    <w:rsid w:val="66F2A1BD"/>
    <w:rsid w:val="66F3B391"/>
    <w:rsid w:val="66F40F56"/>
    <w:rsid w:val="66F4EE39"/>
    <w:rsid w:val="66F57431"/>
    <w:rsid w:val="66F6D9EB"/>
    <w:rsid w:val="66F7B9D1"/>
    <w:rsid w:val="67038591"/>
    <w:rsid w:val="6703D00E"/>
    <w:rsid w:val="6706B7C9"/>
    <w:rsid w:val="6706DF74"/>
    <w:rsid w:val="6709CE33"/>
    <w:rsid w:val="6710034E"/>
    <w:rsid w:val="67127E06"/>
    <w:rsid w:val="6716A556"/>
    <w:rsid w:val="67179B03"/>
    <w:rsid w:val="6718302D"/>
    <w:rsid w:val="67214A37"/>
    <w:rsid w:val="672501BB"/>
    <w:rsid w:val="6731CF9F"/>
    <w:rsid w:val="673222CA"/>
    <w:rsid w:val="67415AFA"/>
    <w:rsid w:val="6745318E"/>
    <w:rsid w:val="67478346"/>
    <w:rsid w:val="674A3A4A"/>
    <w:rsid w:val="674C8DE2"/>
    <w:rsid w:val="674D0BB2"/>
    <w:rsid w:val="67530544"/>
    <w:rsid w:val="6757813F"/>
    <w:rsid w:val="675C91E1"/>
    <w:rsid w:val="675CD0E4"/>
    <w:rsid w:val="675D2225"/>
    <w:rsid w:val="6762DEAA"/>
    <w:rsid w:val="6766C6D4"/>
    <w:rsid w:val="676792B4"/>
    <w:rsid w:val="67705D9F"/>
    <w:rsid w:val="6771494A"/>
    <w:rsid w:val="67755AC8"/>
    <w:rsid w:val="677A923A"/>
    <w:rsid w:val="677B743A"/>
    <w:rsid w:val="677C0EAD"/>
    <w:rsid w:val="677CF19B"/>
    <w:rsid w:val="677D2231"/>
    <w:rsid w:val="677E0236"/>
    <w:rsid w:val="677F207D"/>
    <w:rsid w:val="6786FFF9"/>
    <w:rsid w:val="678A8AD9"/>
    <w:rsid w:val="678B0951"/>
    <w:rsid w:val="678D40B3"/>
    <w:rsid w:val="67967050"/>
    <w:rsid w:val="679D8957"/>
    <w:rsid w:val="679DC69B"/>
    <w:rsid w:val="679E1038"/>
    <w:rsid w:val="679F31E2"/>
    <w:rsid w:val="67A259B1"/>
    <w:rsid w:val="67A496C0"/>
    <w:rsid w:val="67B981F8"/>
    <w:rsid w:val="67BA17A6"/>
    <w:rsid w:val="67C68ED3"/>
    <w:rsid w:val="67C8590E"/>
    <w:rsid w:val="67CA05F4"/>
    <w:rsid w:val="67D7E53C"/>
    <w:rsid w:val="67DF5368"/>
    <w:rsid w:val="67E2816A"/>
    <w:rsid w:val="67E2FD55"/>
    <w:rsid w:val="67E30381"/>
    <w:rsid w:val="67E7A037"/>
    <w:rsid w:val="67E8B917"/>
    <w:rsid w:val="67EE1D44"/>
    <w:rsid w:val="67F628D7"/>
    <w:rsid w:val="67FCB631"/>
    <w:rsid w:val="6809C903"/>
    <w:rsid w:val="680C4803"/>
    <w:rsid w:val="680E53E6"/>
    <w:rsid w:val="680EED34"/>
    <w:rsid w:val="68117D33"/>
    <w:rsid w:val="6816CA9B"/>
    <w:rsid w:val="681B0C46"/>
    <w:rsid w:val="681CE324"/>
    <w:rsid w:val="681DCE07"/>
    <w:rsid w:val="681FFB40"/>
    <w:rsid w:val="682621F7"/>
    <w:rsid w:val="68290088"/>
    <w:rsid w:val="6829BB6E"/>
    <w:rsid w:val="682BC42C"/>
    <w:rsid w:val="682BFD04"/>
    <w:rsid w:val="682CEE8A"/>
    <w:rsid w:val="682D40BD"/>
    <w:rsid w:val="682FBC40"/>
    <w:rsid w:val="6834069A"/>
    <w:rsid w:val="6839A913"/>
    <w:rsid w:val="68410868"/>
    <w:rsid w:val="6845E49B"/>
    <w:rsid w:val="68481308"/>
    <w:rsid w:val="6848A7AC"/>
    <w:rsid w:val="68496DF0"/>
    <w:rsid w:val="6849F54D"/>
    <w:rsid w:val="684DA022"/>
    <w:rsid w:val="684E2E1D"/>
    <w:rsid w:val="68541F59"/>
    <w:rsid w:val="685715B1"/>
    <w:rsid w:val="6858F011"/>
    <w:rsid w:val="686E9BCF"/>
    <w:rsid w:val="687356B8"/>
    <w:rsid w:val="6878C88E"/>
    <w:rsid w:val="687A078C"/>
    <w:rsid w:val="687FDD08"/>
    <w:rsid w:val="6884088E"/>
    <w:rsid w:val="6887B4EB"/>
    <w:rsid w:val="688AB543"/>
    <w:rsid w:val="688B9F94"/>
    <w:rsid w:val="688F1A6A"/>
    <w:rsid w:val="68901B68"/>
    <w:rsid w:val="689128DE"/>
    <w:rsid w:val="68935B17"/>
    <w:rsid w:val="68948836"/>
    <w:rsid w:val="68957106"/>
    <w:rsid w:val="6899DF90"/>
    <w:rsid w:val="689EB8CF"/>
    <w:rsid w:val="68A55C9A"/>
    <w:rsid w:val="68A578AE"/>
    <w:rsid w:val="68B01BB1"/>
    <w:rsid w:val="68B21686"/>
    <w:rsid w:val="68B2ECEF"/>
    <w:rsid w:val="68B4565E"/>
    <w:rsid w:val="68B4A8CB"/>
    <w:rsid w:val="68BD03F0"/>
    <w:rsid w:val="68C0F6F3"/>
    <w:rsid w:val="68C30B23"/>
    <w:rsid w:val="68C67714"/>
    <w:rsid w:val="68C825CE"/>
    <w:rsid w:val="68D10ADC"/>
    <w:rsid w:val="68D69797"/>
    <w:rsid w:val="68DA151E"/>
    <w:rsid w:val="68DBD1FC"/>
    <w:rsid w:val="68E716E5"/>
    <w:rsid w:val="68EC337E"/>
    <w:rsid w:val="68F06240"/>
    <w:rsid w:val="68F32D17"/>
    <w:rsid w:val="68F342AB"/>
    <w:rsid w:val="68FDB51D"/>
    <w:rsid w:val="69083F49"/>
    <w:rsid w:val="6909DB10"/>
    <w:rsid w:val="690E409E"/>
    <w:rsid w:val="6914B42F"/>
    <w:rsid w:val="691B72CF"/>
    <w:rsid w:val="691CAE11"/>
    <w:rsid w:val="69206391"/>
    <w:rsid w:val="6921FA2F"/>
    <w:rsid w:val="6926F1CA"/>
    <w:rsid w:val="692AEC7B"/>
    <w:rsid w:val="692B0A54"/>
    <w:rsid w:val="6934EC54"/>
    <w:rsid w:val="6937BD59"/>
    <w:rsid w:val="693C302E"/>
    <w:rsid w:val="693F5607"/>
    <w:rsid w:val="693FE453"/>
    <w:rsid w:val="6941FE00"/>
    <w:rsid w:val="69458255"/>
    <w:rsid w:val="6949DF5B"/>
    <w:rsid w:val="694D646A"/>
    <w:rsid w:val="694E339E"/>
    <w:rsid w:val="69500321"/>
    <w:rsid w:val="6955E32C"/>
    <w:rsid w:val="695B647D"/>
    <w:rsid w:val="695E8D29"/>
    <w:rsid w:val="69651458"/>
    <w:rsid w:val="6968953B"/>
    <w:rsid w:val="696A1089"/>
    <w:rsid w:val="696A94E0"/>
    <w:rsid w:val="696C2CA4"/>
    <w:rsid w:val="696C8249"/>
    <w:rsid w:val="6971594E"/>
    <w:rsid w:val="6977CAF6"/>
    <w:rsid w:val="697BB72A"/>
    <w:rsid w:val="697E97D0"/>
    <w:rsid w:val="69807143"/>
    <w:rsid w:val="69855261"/>
    <w:rsid w:val="698689C4"/>
    <w:rsid w:val="69877CBD"/>
    <w:rsid w:val="698D2F63"/>
    <w:rsid w:val="699040E0"/>
    <w:rsid w:val="6997D7FF"/>
    <w:rsid w:val="699BC380"/>
    <w:rsid w:val="69A0DA50"/>
    <w:rsid w:val="69A420D0"/>
    <w:rsid w:val="69A4A5D2"/>
    <w:rsid w:val="69A50A59"/>
    <w:rsid w:val="69A5CC32"/>
    <w:rsid w:val="69ACAA55"/>
    <w:rsid w:val="69AEAF02"/>
    <w:rsid w:val="69AEF604"/>
    <w:rsid w:val="69B26E69"/>
    <w:rsid w:val="69B53625"/>
    <w:rsid w:val="69B6B9AC"/>
    <w:rsid w:val="69B975AC"/>
    <w:rsid w:val="69B9D243"/>
    <w:rsid w:val="69BA42F7"/>
    <w:rsid w:val="69BD7EC6"/>
    <w:rsid w:val="69C25287"/>
    <w:rsid w:val="69C5B4D3"/>
    <w:rsid w:val="69C8BFA4"/>
    <w:rsid w:val="69C9E956"/>
    <w:rsid w:val="69CCAD2C"/>
    <w:rsid w:val="69D1AB1F"/>
    <w:rsid w:val="69D1C766"/>
    <w:rsid w:val="69D54C92"/>
    <w:rsid w:val="69DA52B5"/>
    <w:rsid w:val="69DDF33F"/>
    <w:rsid w:val="69E721DA"/>
    <w:rsid w:val="69E87F00"/>
    <w:rsid w:val="69F2240B"/>
    <w:rsid w:val="69F2541F"/>
    <w:rsid w:val="69F6F70C"/>
    <w:rsid w:val="69F7F4BD"/>
    <w:rsid w:val="69FBBC0B"/>
    <w:rsid w:val="69FF71FB"/>
    <w:rsid w:val="69FFC138"/>
    <w:rsid w:val="6A06DCD5"/>
    <w:rsid w:val="6A146E7A"/>
    <w:rsid w:val="6A18D19E"/>
    <w:rsid w:val="6A1BFE43"/>
    <w:rsid w:val="6A1DA67A"/>
    <w:rsid w:val="6A1EBD7F"/>
    <w:rsid w:val="6A22B916"/>
    <w:rsid w:val="6A22EB47"/>
    <w:rsid w:val="6A280CD4"/>
    <w:rsid w:val="6A2BFD92"/>
    <w:rsid w:val="6A30F90F"/>
    <w:rsid w:val="6A31817F"/>
    <w:rsid w:val="6A34DAE3"/>
    <w:rsid w:val="6A3574E3"/>
    <w:rsid w:val="6A370059"/>
    <w:rsid w:val="6A380B9E"/>
    <w:rsid w:val="6A406C3B"/>
    <w:rsid w:val="6A4346A2"/>
    <w:rsid w:val="6A4494FB"/>
    <w:rsid w:val="6A470064"/>
    <w:rsid w:val="6A4B73A1"/>
    <w:rsid w:val="6A4E82D9"/>
    <w:rsid w:val="6A5107C3"/>
    <w:rsid w:val="6A53405F"/>
    <w:rsid w:val="6A539F8C"/>
    <w:rsid w:val="6A53AA9B"/>
    <w:rsid w:val="6A5655D5"/>
    <w:rsid w:val="6A581230"/>
    <w:rsid w:val="6A5B7B50"/>
    <w:rsid w:val="6A5D31C7"/>
    <w:rsid w:val="6A5ED77C"/>
    <w:rsid w:val="6A5F3C62"/>
    <w:rsid w:val="6A6165F6"/>
    <w:rsid w:val="6A6169F0"/>
    <w:rsid w:val="6A6367B2"/>
    <w:rsid w:val="6A640EF7"/>
    <w:rsid w:val="6A64129F"/>
    <w:rsid w:val="6A66DF6D"/>
    <w:rsid w:val="6A6B5AA7"/>
    <w:rsid w:val="6A6CE10D"/>
    <w:rsid w:val="6A701A92"/>
    <w:rsid w:val="6A73CC10"/>
    <w:rsid w:val="6A74ADDF"/>
    <w:rsid w:val="6A772DD6"/>
    <w:rsid w:val="6A791B2F"/>
    <w:rsid w:val="6A7AC957"/>
    <w:rsid w:val="6A80F8C7"/>
    <w:rsid w:val="6A852B04"/>
    <w:rsid w:val="6A89D5CD"/>
    <w:rsid w:val="6A8E6C88"/>
    <w:rsid w:val="6A938943"/>
    <w:rsid w:val="6A951725"/>
    <w:rsid w:val="6A975609"/>
    <w:rsid w:val="6A9D46FB"/>
    <w:rsid w:val="6AAB3272"/>
    <w:rsid w:val="6AAF35FD"/>
    <w:rsid w:val="6AB24D96"/>
    <w:rsid w:val="6AB39FC5"/>
    <w:rsid w:val="6AB65929"/>
    <w:rsid w:val="6AB901F4"/>
    <w:rsid w:val="6AC08E04"/>
    <w:rsid w:val="6AC1BF6C"/>
    <w:rsid w:val="6AD5E459"/>
    <w:rsid w:val="6ADA1A3C"/>
    <w:rsid w:val="6ADAE457"/>
    <w:rsid w:val="6AE0FFD7"/>
    <w:rsid w:val="6AE1289C"/>
    <w:rsid w:val="6AEB6B1B"/>
    <w:rsid w:val="6AEE9382"/>
    <w:rsid w:val="6AF47B55"/>
    <w:rsid w:val="6AF627E0"/>
    <w:rsid w:val="6AF688A7"/>
    <w:rsid w:val="6AFF6CF3"/>
    <w:rsid w:val="6B00590E"/>
    <w:rsid w:val="6B0866D3"/>
    <w:rsid w:val="6B0A4448"/>
    <w:rsid w:val="6B0BB785"/>
    <w:rsid w:val="6B0E2B06"/>
    <w:rsid w:val="6B1119F4"/>
    <w:rsid w:val="6B151BFC"/>
    <w:rsid w:val="6B18CCB5"/>
    <w:rsid w:val="6B1F905B"/>
    <w:rsid w:val="6B225AA5"/>
    <w:rsid w:val="6B248481"/>
    <w:rsid w:val="6B2C548E"/>
    <w:rsid w:val="6B2CDA46"/>
    <w:rsid w:val="6B2D3643"/>
    <w:rsid w:val="6B2F2F7D"/>
    <w:rsid w:val="6B30F504"/>
    <w:rsid w:val="6B31E6E7"/>
    <w:rsid w:val="6B39F0BA"/>
    <w:rsid w:val="6B406891"/>
    <w:rsid w:val="6B43FBBB"/>
    <w:rsid w:val="6B4AD293"/>
    <w:rsid w:val="6B4CBAE8"/>
    <w:rsid w:val="6B5406FC"/>
    <w:rsid w:val="6B5A2C0E"/>
    <w:rsid w:val="6B5FE851"/>
    <w:rsid w:val="6B5FFCB4"/>
    <w:rsid w:val="6B60BA4F"/>
    <w:rsid w:val="6B67EA25"/>
    <w:rsid w:val="6B68C1A1"/>
    <w:rsid w:val="6B697D27"/>
    <w:rsid w:val="6B6AAA6B"/>
    <w:rsid w:val="6B6F0F9A"/>
    <w:rsid w:val="6B6FA925"/>
    <w:rsid w:val="6B725AD8"/>
    <w:rsid w:val="6B72D935"/>
    <w:rsid w:val="6B757A0E"/>
    <w:rsid w:val="6B75B43D"/>
    <w:rsid w:val="6B77431E"/>
    <w:rsid w:val="6B7A89B8"/>
    <w:rsid w:val="6B7C35C0"/>
    <w:rsid w:val="6B8288B9"/>
    <w:rsid w:val="6B9A01AB"/>
    <w:rsid w:val="6B9F68D9"/>
    <w:rsid w:val="6BA03E13"/>
    <w:rsid w:val="6BA8C604"/>
    <w:rsid w:val="6BA92731"/>
    <w:rsid w:val="6BA9CB04"/>
    <w:rsid w:val="6BAD976B"/>
    <w:rsid w:val="6BB1113F"/>
    <w:rsid w:val="6BB36501"/>
    <w:rsid w:val="6BB5D14E"/>
    <w:rsid w:val="6BBCE6E0"/>
    <w:rsid w:val="6BC4022B"/>
    <w:rsid w:val="6BC73891"/>
    <w:rsid w:val="6BCA3E4C"/>
    <w:rsid w:val="6BCB024E"/>
    <w:rsid w:val="6BCB34DE"/>
    <w:rsid w:val="6BCDDA3E"/>
    <w:rsid w:val="6BCED5F4"/>
    <w:rsid w:val="6BD33D72"/>
    <w:rsid w:val="6BD3A32A"/>
    <w:rsid w:val="6BD4403F"/>
    <w:rsid w:val="6BD8CA9A"/>
    <w:rsid w:val="6BDD209C"/>
    <w:rsid w:val="6BE333BD"/>
    <w:rsid w:val="6BE33C80"/>
    <w:rsid w:val="6BE5C1CD"/>
    <w:rsid w:val="6BE8DE98"/>
    <w:rsid w:val="6BF5C329"/>
    <w:rsid w:val="6BF5CD6B"/>
    <w:rsid w:val="6BF6B6D7"/>
    <w:rsid w:val="6BFA55B5"/>
    <w:rsid w:val="6BFA5E4E"/>
    <w:rsid w:val="6BFBAE75"/>
    <w:rsid w:val="6BFC2A6F"/>
    <w:rsid w:val="6BFE2521"/>
    <w:rsid w:val="6C005CAB"/>
    <w:rsid w:val="6C0757E6"/>
    <w:rsid w:val="6C0D6767"/>
    <w:rsid w:val="6C0FAE81"/>
    <w:rsid w:val="6C138D74"/>
    <w:rsid w:val="6C16FB93"/>
    <w:rsid w:val="6C1BD24D"/>
    <w:rsid w:val="6C23A175"/>
    <w:rsid w:val="6C24A88E"/>
    <w:rsid w:val="6C27BA49"/>
    <w:rsid w:val="6C2ABCAF"/>
    <w:rsid w:val="6C2E169A"/>
    <w:rsid w:val="6C2F42B5"/>
    <w:rsid w:val="6C318BFE"/>
    <w:rsid w:val="6C31CD7A"/>
    <w:rsid w:val="6C343005"/>
    <w:rsid w:val="6C34D48C"/>
    <w:rsid w:val="6C358E3B"/>
    <w:rsid w:val="6C36ED47"/>
    <w:rsid w:val="6C3A714D"/>
    <w:rsid w:val="6C3B980C"/>
    <w:rsid w:val="6C3F4811"/>
    <w:rsid w:val="6C3FB463"/>
    <w:rsid w:val="6C457C1A"/>
    <w:rsid w:val="6C462273"/>
    <w:rsid w:val="6C464403"/>
    <w:rsid w:val="6C46834E"/>
    <w:rsid w:val="6C4B7473"/>
    <w:rsid w:val="6C4D34BB"/>
    <w:rsid w:val="6C4FF625"/>
    <w:rsid w:val="6C50C1E7"/>
    <w:rsid w:val="6C549C3B"/>
    <w:rsid w:val="6C55A564"/>
    <w:rsid w:val="6C563B03"/>
    <w:rsid w:val="6C591F04"/>
    <w:rsid w:val="6C5B6377"/>
    <w:rsid w:val="6C5C7BCC"/>
    <w:rsid w:val="6C5CD82D"/>
    <w:rsid w:val="6C71F729"/>
    <w:rsid w:val="6C786C52"/>
    <w:rsid w:val="6C7A1702"/>
    <w:rsid w:val="6C7EEC0D"/>
    <w:rsid w:val="6C7EF91F"/>
    <w:rsid w:val="6C8A23F1"/>
    <w:rsid w:val="6C8D355C"/>
    <w:rsid w:val="6C8EF58A"/>
    <w:rsid w:val="6C8EF744"/>
    <w:rsid w:val="6C8F14A0"/>
    <w:rsid w:val="6C93C44E"/>
    <w:rsid w:val="6C9639FA"/>
    <w:rsid w:val="6C9D754A"/>
    <w:rsid w:val="6CB026B6"/>
    <w:rsid w:val="6CB4E3E1"/>
    <w:rsid w:val="6CB52C4C"/>
    <w:rsid w:val="6CBBBF3D"/>
    <w:rsid w:val="6CC1ED0B"/>
    <w:rsid w:val="6CC1F34B"/>
    <w:rsid w:val="6CC3F55F"/>
    <w:rsid w:val="6CCFAB2D"/>
    <w:rsid w:val="6CCFB434"/>
    <w:rsid w:val="6CCFDE46"/>
    <w:rsid w:val="6CD43CEF"/>
    <w:rsid w:val="6CD7F403"/>
    <w:rsid w:val="6CE562B1"/>
    <w:rsid w:val="6CE689AF"/>
    <w:rsid w:val="6CE79E13"/>
    <w:rsid w:val="6CEF3C77"/>
    <w:rsid w:val="6CF21A79"/>
    <w:rsid w:val="6CF68D96"/>
    <w:rsid w:val="6CF7CEFD"/>
    <w:rsid w:val="6CFB2FD4"/>
    <w:rsid w:val="6CFE2EAA"/>
    <w:rsid w:val="6D099F72"/>
    <w:rsid w:val="6D15765F"/>
    <w:rsid w:val="6D17A1FC"/>
    <w:rsid w:val="6D19FCDB"/>
    <w:rsid w:val="6D1BAC1A"/>
    <w:rsid w:val="6D1E32E2"/>
    <w:rsid w:val="6D240504"/>
    <w:rsid w:val="6D249BCC"/>
    <w:rsid w:val="6D2C898F"/>
    <w:rsid w:val="6D2E356A"/>
    <w:rsid w:val="6D308B7B"/>
    <w:rsid w:val="6D31D1FB"/>
    <w:rsid w:val="6D343AEC"/>
    <w:rsid w:val="6D349AF3"/>
    <w:rsid w:val="6D373BF3"/>
    <w:rsid w:val="6D3A32F9"/>
    <w:rsid w:val="6D3D7959"/>
    <w:rsid w:val="6D484DE1"/>
    <w:rsid w:val="6D4CD354"/>
    <w:rsid w:val="6D4F3A85"/>
    <w:rsid w:val="6D51E9D3"/>
    <w:rsid w:val="6D554E33"/>
    <w:rsid w:val="6D570043"/>
    <w:rsid w:val="6D6D5ADC"/>
    <w:rsid w:val="6D6E35A7"/>
    <w:rsid w:val="6D701F93"/>
    <w:rsid w:val="6D7A50C3"/>
    <w:rsid w:val="6D7B52C4"/>
    <w:rsid w:val="6D8550CA"/>
    <w:rsid w:val="6D8909E7"/>
    <w:rsid w:val="6D8B3DB5"/>
    <w:rsid w:val="6D8BC423"/>
    <w:rsid w:val="6D94A9A9"/>
    <w:rsid w:val="6D9E675D"/>
    <w:rsid w:val="6DA39F25"/>
    <w:rsid w:val="6DA6708D"/>
    <w:rsid w:val="6DAEAE66"/>
    <w:rsid w:val="6DB6A451"/>
    <w:rsid w:val="6DB80C1F"/>
    <w:rsid w:val="6DBB3083"/>
    <w:rsid w:val="6DBD6C41"/>
    <w:rsid w:val="6DBDB8F0"/>
    <w:rsid w:val="6DBF56FE"/>
    <w:rsid w:val="6DC3220F"/>
    <w:rsid w:val="6DCFBD5C"/>
    <w:rsid w:val="6DD0603A"/>
    <w:rsid w:val="6DD23124"/>
    <w:rsid w:val="6DD3F7BA"/>
    <w:rsid w:val="6DD56BB4"/>
    <w:rsid w:val="6DD5C704"/>
    <w:rsid w:val="6DD785CA"/>
    <w:rsid w:val="6DE3590F"/>
    <w:rsid w:val="6DE54CD6"/>
    <w:rsid w:val="6DE7C862"/>
    <w:rsid w:val="6DE90AB1"/>
    <w:rsid w:val="6DEBD778"/>
    <w:rsid w:val="6DF54636"/>
    <w:rsid w:val="6DFE4B20"/>
    <w:rsid w:val="6E0233B5"/>
    <w:rsid w:val="6E0758F1"/>
    <w:rsid w:val="6E0D8A55"/>
    <w:rsid w:val="6E0E4FAB"/>
    <w:rsid w:val="6E11A054"/>
    <w:rsid w:val="6E19F9FC"/>
    <w:rsid w:val="6E1A35F6"/>
    <w:rsid w:val="6E1DADD4"/>
    <w:rsid w:val="6E1E829E"/>
    <w:rsid w:val="6E1E968F"/>
    <w:rsid w:val="6E1F1186"/>
    <w:rsid w:val="6E337A76"/>
    <w:rsid w:val="6E34C281"/>
    <w:rsid w:val="6E35FA62"/>
    <w:rsid w:val="6E36F8AD"/>
    <w:rsid w:val="6E3ACC85"/>
    <w:rsid w:val="6E3B5111"/>
    <w:rsid w:val="6E3E6081"/>
    <w:rsid w:val="6E40F449"/>
    <w:rsid w:val="6E44391D"/>
    <w:rsid w:val="6E466AE2"/>
    <w:rsid w:val="6E4AB22D"/>
    <w:rsid w:val="6E4CA12D"/>
    <w:rsid w:val="6E4D4358"/>
    <w:rsid w:val="6E4E20AD"/>
    <w:rsid w:val="6E4F48C5"/>
    <w:rsid w:val="6E4F7CA7"/>
    <w:rsid w:val="6E534370"/>
    <w:rsid w:val="6E536C61"/>
    <w:rsid w:val="6E54AAE8"/>
    <w:rsid w:val="6E57F720"/>
    <w:rsid w:val="6E59F00A"/>
    <w:rsid w:val="6E5D8C2F"/>
    <w:rsid w:val="6E5ED2BF"/>
    <w:rsid w:val="6E6550E1"/>
    <w:rsid w:val="6E6C3347"/>
    <w:rsid w:val="6E6D8D77"/>
    <w:rsid w:val="6E6FA6DA"/>
    <w:rsid w:val="6E717786"/>
    <w:rsid w:val="6E73DA21"/>
    <w:rsid w:val="6E76D453"/>
    <w:rsid w:val="6E77A103"/>
    <w:rsid w:val="6E7B6930"/>
    <w:rsid w:val="6E80CCD5"/>
    <w:rsid w:val="6E8EAB33"/>
    <w:rsid w:val="6E8F307A"/>
    <w:rsid w:val="6E95C11C"/>
    <w:rsid w:val="6E9C42F1"/>
    <w:rsid w:val="6EA01F19"/>
    <w:rsid w:val="6EA1C815"/>
    <w:rsid w:val="6EA4F4FC"/>
    <w:rsid w:val="6EA8F292"/>
    <w:rsid w:val="6EABC091"/>
    <w:rsid w:val="6EB6AE8F"/>
    <w:rsid w:val="6EBDE0EE"/>
    <w:rsid w:val="6EC2AFB8"/>
    <w:rsid w:val="6EC79E74"/>
    <w:rsid w:val="6ECA0418"/>
    <w:rsid w:val="6ECAC9D8"/>
    <w:rsid w:val="6ECF9471"/>
    <w:rsid w:val="6ED492A3"/>
    <w:rsid w:val="6EDCA203"/>
    <w:rsid w:val="6EDD3460"/>
    <w:rsid w:val="6EDD3BA7"/>
    <w:rsid w:val="6EDD733B"/>
    <w:rsid w:val="6EE7220C"/>
    <w:rsid w:val="6EF27F5C"/>
    <w:rsid w:val="6EF39FFD"/>
    <w:rsid w:val="6EF562A3"/>
    <w:rsid w:val="6EF8D965"/>
    <w:rsid w:val="6EF8E1CC"/>
    <w:rsid w:val="6EF9C45A"/>
    <w:rsid w:val="6EFB0C99"/>
    <w:rsid w:val="6EFB5F8B"/>
    <w:rsid w:val="6EFB7B4D"/>
    <w:rsid w:val="6EFE580E"/>
    <w:rsid w:val="6EFF648B"/>
    <w:rsid w:val="6F00D706"/>
    <w:rsid w:val="6F06F394"/>
    <w:rsid w:val="6F0A1CD6"/>
    <w:rsid w:val="6F0FAC14"/>
    <w:rsid w:val="6F10941D"/>
    <w:rsid w:val="6F10FD8D"/>
    <w:rsid w:val="6F11246E"/>
    <w:rsid w:val="6F123654"/>
    <w:rsid w:val="6F16A5C4"/>
    <w:rsid w:val="6F18DBD1"/>
    <w:rsid w:val="6F1E0B59"/>
    <w:rsid w:val="6F1FD41E"/>
    <w:rsid w:val="6F203E50"/>
    <w:rsid w:val="6F22BB55"/>
    <w:rsid w:val="6F23AFF5"/>
    <w:rsid w:val="6F28377C"/>
    <w:rsid w:val="6F299294"/>
    <w:rsid w:val="6F2AB7B7"/>
    <w:rsid w:val="6F2B5495"/>
    <w:rsid w:val="6F2FB83A"/>
    <w:rsid w:val="6F302125"/>
    <w:rsid w:val="6F308848"/>
    <w:rsid w:val="6F30E19B"/>
    <w:rsid w:val="6F356CA3"/>
    <w:rsid w:val="6F35E5A7"/>
    <w:rsid w:val="6F425700"/>
    <w:rsid w:val="6F458605"/>
    <w:rsid w:val="6F4845AA"/>
    <w:rsid w:val="6F488EAE"/>
    <w:rsid w:val="6F521E09"/>
    <w:rsid w:val="6F55DF4B"/>
    <w:rsid w:val="6F56CFEF"/>
    <w:rsid w:val="6F573A7E"/>
    <w:rsid w:val="6F585057"/>
    <w:rsid w:val="6F58A5AE"/>
    <w:rsid w:val="6F5BD667"/>
    <w:rsid w:val="6F5BEB83"/>
    <w:rsid w:val="6F5FD13C"/>
    <w:rsid w:val="6F634C18"/>
    <w:rsid w:val="6F638209"/>
    <w:rsid w:val="6F67C152"/>
    <w:rsid w:val="6F691EB4"/>
    <w:rsid w:val="6F6A3D5E"/>
    <w:rsid w:val="6F6AAFBB"/>
    <w:rsid w:val="6F6DFA7C"/>
    <w:rsid w:val="6F6F1298"/>
    <w:rsid w:val="6F6F455C"/>
    <w:rsid w:val="6F745605"/>
    <w:rsid w:val="6F777E04"/>
    <w:rsid w:val="6F77AE81"/>
    <w:rsid w:val="6F7F3CEE"/>
    <w:rsid w:val="6F8674AA"/>
    <w:rsid w:val="6F878F99"/>
    <w:rsid w:val="6F8898D3"/>
    <w:rsid w:val="6F920CBC"/>
    <w:rsid w:val="6F97258A"/>
    <w:rsid w:val="6F977611"/>
    <w:rsid w:val="6F97C2E9"/>
    <w:rsid w:val="6F97E179"/>
    <w:rsid w:val="6F99705F"/>
    <w:rsid w:val="6F9E84F0"/>
    <w:rsid w:val="6FA09951"/>
    <w:rsid w:val="6FA314ED"/>
    <w:rsid w:val="6FA4D5FD"/>
    <w:rsid w:val="6FA8D42E"/>
    <w:rsid w:val="6FBA6E27"/>
    <w:rsid w:val="6FBF81CE"/>
    <w:rsid w:val="6FC50403"/>
    <w:rsid w:val="6FCCC056"/>
    <w:rsid w:val="6FCECC04"/>
    <w:rsid w:val="6FCF35EA"/>
    <w:rsid w:val="6FD0D91B"/>
    <w:rsid w:val="6FD2DD66"/>
    <w:rsid w:val="6FD43FEA"/>
    <w:rsid w:val="6FD725D5"/>
    <w:rsid w:val="6FDDC582"/>
    <w:rsid w:val="6FDE0772"/>
    <w:rsid w:val="6FDF53A5"/>
    <w:rsid w:val="6FDFC4FD"/>
    <w:rsid w:val="6FE0AD46"/>
    <w:rsid w:val="6FE38F24"/>
    <w:rsid w:val="6FE9C7CD"/>
    <w:rsid w:val="6FEC79C8"/>
    <w:rsid w:val="6FEC84A3"/>
    <w:rsid w:val="6FED07FB"/>
    <w:rsid w:val="6FEE9B15"/>
    <w:rsid w:val="6FF0CC64"/>
    <w:rsid w:val="6FF158E0"/>
    <w:rsid w:val="6FF51F16"/>
    <w:rsid w:val="6FF78080"/>
    <w:rsid w:val="6FFA53A6"/>
    <w:rsid w:val="6FFBC573"/>
    <w:rsid w:val="6FFD83CD"/>
    <w:rsid w:val="70004F3A"/>
    <w:rsid w:val="7007E28B"/>
    <w:rsid w:val="70085B48"/>
    <w:rsid w:val="70090AC8"/>
    <w:rsid w:val="700A16CD"/>
    <w:rsid w:val="700ACA33"/>
    <w:rsid w:val="700D8DF5"/>
    <w:rsid w:val="701482C2"/>
    <w:rsid w:val="7016A5E5"/>
    <w:rsid w:val="7016DCAE"/>
    <w:rsid w:val="7017A3E1"/>
    <w:rsid w:val="70236B17"/>
    <w:rsid w:val="7024D6E8"/>
    <w:rsid w:val="702733EB"/>
    <w:rsid w:val="70273933"/>
    <w:rsid w:val="7028A772"/>
    <w:rsid w:val="702948EF"/>
    <w:rsid w:val="7029AB67"/>
    <w:rsid w:val="702C5419"/>
    <w:rsid w:val="702D2DC6"/>
    <w:rsid w:val="70302039"/>
    <w:rsid w:val="703033CB"/>
    <w:rsid w:val="7030936C"/>
    <w:rsid w:val="7032567A"/>
    <w:rsid w:val="703C491C"/>
    <w:rsid w:val="704516EC"/>
    <w:rsid w:val="70477AC8"/>
    <w:rsid w:val="70489DBB"/>
    <w:rsid w:val="704905A0"/>
    <w:rsid w:val="704BC508"/>
    <w:rsid w:val="70573E62"/>
    <w:rsid w:val="705BA7C1"/>
    <w:rsid w:val="705D1ECC"/>
    <w:rsid w:val="705D3AF6"/>
    <w:rsid w:val="705F6D50"/>
    <w:rsid w:val="7060B680"/>
    <w:rsid w:val="70648607"/>
    <w:rsid w:val="7065E471"/>
    <w:rsid w:val="7069F770"/>
    <w:rsid w:val="706AE339"/>
    <w:rsid w:val="7077D2D6"/>
    <w:rsid w:val="7079887E"/>
    <w:rsid w:val="70811745"/>
    <w:rsid w:val="70815388"/>
    <w:rsid w:val="70836835"/>
    <w:rsid w:val="708EF25E"/>
    <w:rsid w:val="7091D4E4"/>
    <w:rsid w:val="709BFD90"/>
    <w:rsid w:val="70AB2085"/>
    <w:rsid w:val="70AD451B"/>
    <w:rsid w:val="70B01A74"/>
    <w:rsid w:val="70B18C2A"/>
    <w:rsid w:val="70B5BC52"/>
    <w:rsid w:val="70BB705C"/>
    <w:rsid w:val="70BC3B96"/>
    <w:rsid w:val="70BE67F2"/>
    <w:rsid w:val="70BFF11F"/>
    <w:rsid w:val="70BFF99D"/>
    <w:rsid w:val="70C392AB"/>
    <w:rsid w:val="70C3B053"/>
    <w:rsid w:val="70C3E258"/>
    <w:rsid w:val="70C3F509"/>
    <w:rsid w:val="70C4B9B9"/>
    <w:rsid w:val="70C80E4A"/>
    <w:rsid w:val="70C92C1B"/>
    <w:rsid w:val="70C98C2B"/>
    <w:rsid w:val="70CC746A"/>
    <w:rsid w:val="70CE2310"/>
    <w:rsid w:val="70CF8100"/>
    <w:rsid w:val="70D16AC3"/>
    <w:rsid w:val="70DDC48E"/>
    <w:rsid w:val="70DE00A2"/>
    <w:rsid w:val="70E69677"/>
    <w:rsid w:val="70E8A29A"/>
    <w:rsid w:val="70EF25E0"/>
    <w:rsid w:val="70EF8CE1"/>
    <w:rsid w:val="70EFE43E"/>
    <w:rsid w:val="70F79E04"/>
    <w:rsid w:val="70F8EDE2"/>
    <w:rsid w:val="70FF56C4"/>
    <w:rsid w:val="70FF92DA"/>
    <w:rsid w:val="7104505F"/>
    <w:rsid w:val="7108DD75"/>
    <w:rsid w:val="710A2648"/>
    <w:rsid w:val="710F72C2"/>
    <w:rsid w:val="710FC79B"/>
    <w:rsid w:val="71128925"/>
    <w:rsid w:val="7114D408"/>
    <w:rsid w:val="71175FB0"/>
    <w:rsid w:val="7118D184"/>
    <w:rsid w:val="711C7640"/>
    <w:rsid w:val="711CB88F"/>
    <w:rsid w:val="7122A6CC"/>
    <w:rsid w:val="7128390A"/>
    <w:rsid w:val="712A616B"/>
    <w:rsid w:val="712F20E0"/>
    <w:rsid w:val="7133B8F8"/>
    <w:rsid w:val="71376527"/>
    <w:rsid w:val="713B1C18"/>
    <w:rsid w:val="713E037F"/>
    <w:rsid w:val="71450E84"/>
    <w:rsid w:val="714598A3"/>
    <w:rsid w:val="714C6094"/>
    <w:rsid w:val="714C6EFD"/>
    <w:rsid w:val="714E44D5"/>
    <w:rsid w:val="714EB50E"/>
    <w:rsid w:val="71501940"/>
    <w:rsid w:val="7151C368"/>
    <w:rsid w:val="71548550"/>
    <w:rsid w:val="71590153"/>
    <w:rsid w:val="71593076"/>
    <w:rsid w:val="7159CBD5"/>
    <w:rsid w:val="715A5D9D"/>
    <w:rsid w:val="715DAAA1"/>
    <w:rsid w:val="71636342"/>
    <w:rsid w:val="7166A5B4"/>
    <w:rsid w:val="71722493"/>
    <w:rsid w:val="71773894"/>
    <w:rsid w:val="717CF729"/>
    <w:rsid w:val="7180655C"/>
    <w:rsid w:val="71815365"/>
    <w:rsid w:val="718A3A84"/>
    <w:rsid w:val="718C505B"/>
    <w:rsid w:val="718D0654"/>
    <w:rsid w:val="71910B5F"/>
    <w:rsid w:val="7192B16D"/>
    <w:rsid w:val="7192D797"/>
    <w:rsid w:val="71965735"/>
    <w:rsid w:val="71A0151B"/>
    <w:rsid w:val="71A0D6AA"/>
    <w:rsid w:val="71A11BE6"/>
    <w:rsid w:val="71A4B4E7"/>
    <w:rsid w:val="71A6C549"/>
    <w:rsid w:val="71A8E53F"/>
    <w:rsid w:val="71A8E94F"/>
    <w:rsid w:val="71AACF03"/>
    <w:rsid w:val="71AC0F4A"/>
    <w:rsid w:val="71AD515F"/>
    <w:rsid w:val="71ADCDA9"/>
    <w:rsid w:val="71B2C820"/>
    <w:rsid w:val="71B3C4FB"/>
    <w:rsid w:val="71B3D868"/>
    <w:rsid w:val="71B65C9A"/>
    <w:rsid w:val="71BAAB89"/>
    <w:rsid w:val="71C2B880"/>
    <w:rsid w:val="71C4FB60"/>
    <w:rsid w:val="71C65BBA"/>
    <w:rsid w:val="71C728E6"/>
    <w:rsid w:val="71C79729"/>
    <w:rsid w:val="71C843AF"/>
    <w:rsid w:val="71CC5ADB"/>
    <w:rsid w:val="71CD12C1"/>
    <w:rsid w:val="71D2E1FF"/>
    <w:rsid w:val="71D3FC34"/>
    <w:rsid w:val="71D57C95"/>
    <w:rsid w:val="71D8EF30"/>
    <w:rsid w:val="71E2E7EF"/>
    <w:rsid w:val="71E7BDEB"/>
    <w:rsid w:val="71EDD3EC"/>
    <w:rsid w:val="71EE6993"/>
    <w:rsid w:val="71EEC346"/>
    <w:rsid w:val="71F0F563"/>
    <w:rsid w:val="71F61382"/>
    <w:rsid w:val="71F6697F"/>
    <w:rsid w:val="71F848BF"/>
    <w:rsid w:val="71F9BD12"/>
    <w:rsid w:val="71FAFCF8"/>
    <w:rsid w:val="71FC8C72"/>
    <w:rsid w:val="71FFB0E4"/>
    <w:rsid w:val="7200455F"/>
    <w:rsid w:val="7205757A"/>
    <w:rsid w:val="720B7B90"/>
    <w:rsid w:val="720BBE96"/>
    <w:rsid w:val="720C9C8B"/>
    <w:rsid w:val="720F38CD"/>
    <w:rsid w:val="721EF913"/>
    <w:rsid w:val="72263FCC"/>
    <w:rsid w:val="722953C8"/>
    <w:rsid w:val="7229B5FD"/>
    <w:rsid w:val="722CB5A5"/>
    <w:rsid w:val="722D982C"/>
    <w:rsid w:val="722E9016"/>
    <w:rsid w:val="72310702"/>
    <w:rsid w:val="7233B9F8"/>
    <w:rsid w:val="7236DD1A"/>
    <w:rsid w:val="7239198C"/>
    <w:rsid w:val="723AD42B"/>
    <w:rsid w:val="72414C6B"/>
    <w:rsid w:val="7244353E"/>
    <w:rsid w:val="7250D84A"/>
    <w:rsid w:val="725492E2"/>
    <w:rsid w:val="7260C6DC"/>
    <w:rsid w:val="72628FE1"/>
    <w:rsid w:val="72670D61"/>
    <w:rsid w:val="7281F9BC"/>
    <w:rsid w:val="7283044C"/>
    <w:rsid w:val="7283EAE6"/>
    <w:rsid w:val="7289FE3F"/>
    <w:rsid w:val="72903B6C"/>
    <w:rsid w:val="72904780"/>
    <w:rsid w:val="7295FAC5"/>
    <w:rsid w:val="7297B086"/>
    <w:rsid w:val="72A16A40"/>
    <w:rsid w:val="72A3BF81"/>
    <w:rsid w:val="72A4E741"/>
    <w:rsid w:val="72A709D8"/>
    <w:rsid w:val="72A92218"/>
    <w:rsid w:val="72AD1281"/>
    <w:rsid w:val="72B39D11"/>
    <w:rsid w:val="72B40CC7"/>
    <w:rsid w:val="72B4A2BD"/>
    <w:rsid w:val="72B8A2E2"/>
    <w:rsid w:val="72C3CA0E"/>
    <w:rsid w:val="72CA19FD"/>
    <w:rsid w:val="72CC287D"/>
    <w:rsid w:val="72CCECC0"/>
    <w:rsid w:val="72D1EFF0"/>
    <w:rsid w:val="72DD5297"/>
    <w:rsid w:val="72DF05C8"/>
    <w:rsid w:val="72E1E204"/>
    <w:rsid w:val="72EAA8CC"/>
    <w:rsid w:val="72EF06AF"/>
    <w:rsid w:val="72F42A00"/>
    <w:rsid w:val="72F66F87"/>
    <w:rsid w:val="72F78900"/>
    <w:rsid w:val="72FA8CAC"/>
    <w:rsid w:val="72FF9838"/>
    <w:rsid w:val="730281D4"/>
    <w:rsid w:val="7303050A"/>
    <w:rsid w:val="730ADCCC"/>
    <w:rsid w:val="730AE922"/>
    <w:rsid w:val="730C2763"/>
    <w:rsid w:val="73119A06"/>
    <w:rsid w:val="731206A5"/>
    <w:rsid w:val="73150AF5"/>
    <w:rsid w:val="7315A4CB"/>
    <w:rsid w:val="731D7DE3"/>
    <w:rsid w:val="7321D450"/>
    <w:rsid w:val="73251838"/>
    <w:rsid w:val="73252DF3"/>
    <w:rsid w:val="7325EDF1"/>
    <w:rsid w:val="7326CAF0"/>
    <w:rsid w:val="732C1474"/>
    <w:rsid w:val="732F3E21"/>
    <w:rsid w:val="7338787D"/>
    <w:rsid w:val="733A865A"/>
    <w:rsid w:val="733BC8C4"/>
    <w:rsid w:val="733EB4B6"/>
    <w:rsid w:val="733F9A8B"/>
    <w:rsid w:val="73430CFC"/>
    <w:rsid w:val="734A8169"/>
    <w:rsid w:val="734A9BC8"/>
    <w:rsid w:val="73532493"/>
    <w:rsid w:val="73576FD0"/>
    <w:rsid w:val="7358AAB8"/>
    <w:rsid w:val="735931AD"/>
    <w:rsid w:val="735D8291"/>
    <w:rsid w:val="735F2391"/>
    <w:rsid w:val="736A8FBA"/>
    <w:rsid w:val="736F8A97"/>
    <w:rsid w:val="737078BD"/>
    <w:rsid w:val="73743936"/>
    <w:rsid w:val="737B5DF6"/>
    <w:rsid w:val="737F6825"/>
    <w:rsid w:val="7386C700"/>
    <w:rsid w:val="738E5DF9"/>
    <w:rsid w:val="739218A9"/>
    <w:rsid w:val="739389CA"/>
    <w:rsid w:val="7394E783"/>
    <w:rsid w:val="739A1271"/>
    <w:rsid w:val="739D421F"/>
    <w:rsid w:val="739D45A4"/>
    <w:rsid w:val="73A0EB47"/>
    <w:rsid w:val="73A44B70"/>
    <w:rsid w:val="73A4C11E"/>
    <w:rsid w:val="73AB2869"/>
    <w:rsid w:val="73BCA038"/>
    <w:rsid w:val="73C02A7B"/>
    <w:rsid w:val="73C08FB1"/>
    <w:rsid w:val="73CA0C40"/>
    <w:rsid w:val="73CC32BE"/>
    <w:rsid w:val="73D3DBED"/>
    <w:rsid w:val="73D551A9"/>
    <w:rsid w:val="73D98770"/>
    <w:rsid w:val="73DBD99E"/>
    <w:rsid w:val="73DCE1D5"/>
    <w:rsid w:val="73E169A1"/>
    <w:rsid w:val="73E1D401"/>
    <w:rsid w:val="73E784C2"/>
    <w:rsid w:val="73F040DB"/>
    <w:rsid w:val="73F5E980"/>
    <w:rsid w:val="73F74868"/>
    <w:rsid w:val="73FBEE92"/>
    <w:rsid w:val="7401A3CB"/>
    <w:rsid w:val="74060464"/>
    <w:rsid w:val="7406214A"/>
    <w:rsid w:val="74083D77"/>
    <w:rsid w:val="740AE052"/>
    <w:rsid w:val="7412F559"/>
    <w:rsid w:val="7413D314"/>
    <w:rsid w:val="7413E076"/>
    <w:rsid w:val="7414B3C6"/>
    <w:rsid w:val="74158E62"/>
    <w:rsid w:val="74171C77"/>
    <w:rsid w:val="741AE8A1"/>
    <w:rsid w:val="741B9290"/>
    <w:rsid w:val="741CB3D4"/>
    <w:rsid w:val="741D9CF6"/>
    <w:rsid w:val="74212226"/>
    <w:rsid w:val="7422F733"/>
    <w:rsid w:val="7428CC80"/>
    <w:rsid w:val="742AD3D1"/>
    <w:rsid w:val="742E410C"/>
    <w:rsid w:val="7430D53E"/>
    <w:rsid w:val="74326E2D"/>
    <w:rsid w:val="743686C6"/>
    <w:rsid w:val="743AE370"/>
    <w:rsid w:val="743C6D33"/>
    <w:rsid w:val="744769A1"/>
    <w:rsid w:val="744870D8"/>
    <w:rsid w:val="7449F0CC"/>
    <w:rsid w:val="744BAA14"/>
    <w:rsid w:val="74541D16"/>
    <w:rsid w:val="74568765"/>
    <w:rsid w:val="74569C4F"/>
    <w:rsid w:val="745AD9EB"/>
    <w:rsid w:val="745BBA30"/>
    <w:rsid w:val="7462987A"/>
    <w:rsid w:val="74643174"/>
    <w:rsid w:val="746480B8"/>
    <w:rsid w:val="7466566D"/>
    <w:rsid w:val="746EE04C"/>
    <w:rsid w:val="7471BBAF"/>
    <w:rsid w:val="747460F4"/>
    <w:rsid w:val="7475E371"/>
    <w:rsid w:val="747BDAEA"/>
    <w:rsid w:val="747BFC4D"/>
    <w:rsid w:val="747E00E4"/>
    <w:rsid w:val="7483627D"/>
    <w:rsid w:val="74856890"/>
    <w:rsid w:val="748A06EB"/>
    <w:rsid w:val="748C79F7"/>
    <w:rsid w:val="74978DF2"/>
    <w:rsid w:val="749C2B64"/>
    <w:rsid w:val="74A0F4D2"/>
    <w:rsid w:val="74A40691"/>
    <w:rsid w:val="74A8E5DA"/>
    <w:rsid w:val="74AA37AB"/>
    <w:rsid w:val="74BB0017"/>
    <w:rsid w:val="74BCB393"/>
    <w:rsid w:val="74C38CB6"/>
    <w:rsid w:val="74C3C53D"/>
    <w:rsid w:val="74C96DAE"/>
    <w:rsid w:val="74CDAE56"/>
    <w:rsid w:val="74CEBD2C"/>
    <w:rsid w:val="74CF1749"/>
    <w:rsid w:val="74D47A5E"/>
    <w:rsid w:val="74D5FF4B"/>
    <w:rsid w:val="74DDE495"/>
    <w:rsid w:val="74E13482"/>
    <w:rsid w:val="74E22276"/>
    <w:rsid w:val="74E375F1"/>
    <w:rsid w:val="74E3FA81"/>
    <w:rsid w:val="74EABF83"/>
    <w:rsid w:val="74EEC3B2"/>
    <w:rsid w:val="74EF3A6B"/>
    <w:rsid w:val="74F731F2"/>
    <w:rsid w:val="74FBF17A"/>
    <w:rsid w:val="7503CA2D"/>
    <w:rsid w:val="7505A0C2"/>
    <w:rsid w:val="750798F2"/>
    <w:rsid w:val="750932C7"/>
    <w:rsid w:val="750A6060"/>
    <w:rsid w:val="751D59E0"/>
    <w:rsid w:val="7523D2FB"/>
    <w:rsid w:val="7525C15E"/>
    <w:rsid w:val="75294FB8"/>
    <w:rsid w:val="752A9503"/>
    <w:rsid w:val="752EC367"/>
    <w:rsid w:val="753412E9"/>
    <w:rsid w:val="753BB8C6"/>
    <w:rsid w:val="7543E75C"/>
    <w:rsid w:val="7546EB81"/>
    <w:rsid w:val="75482CFF"/>
    <w:rsid w:val="754AA65B"/>
    <w:rsid w:val="75537DEB"/>
    <w:rsid w:val="7562C5BB"/>
    <w:rsid w:val="7569236B"/>
    <w:rsid w:val="756BEEBA"/>
    <w:rsid w:val="756EB3AC"/>
    <w:rsid w:val="7571F239"/>
    <w:rsid w:val="7573A4E5"/>
    <w:rsid w:val="7577D8A7"/>
    <w:rsid w:val="757AC81E"/>
    <w:rsid w:val="757BB0DD"/>
    <w:rsid w:val="757D121D"/>
    <w:rsid w:val="757D7297"/>
    <w:rsid w:val="757DF9D3"/>
    <w:rsid w:val="757F3C31"/>
    <w:rsid w:val="7583F383"/>
    <w:rsid w:val="7586834F"/>
    <w:rsid w:val="7587A811"/>
    <w:rsid w:val="758913BB"/>
    <w:rsid w:val="758A1374"/>
    <w:rsid w:val="758EAAC9"/>
    <w:rsid w:val="7591AB4B"/>
    <w:rsid w:val="7592D0F3"/>
    <w:rsid w:val="7595729A"/>
    <w:rsid w:val="7595FE5D"/>
    <w:rsid w:val="75982526"/>
    <w:rsid w:val="759BE45C"/>
    <w:rsid w:val="759C5EE5"/>
    <w:rsid w:val="75A7AF98"/>
    <w:rsid w:val="75AD597E"/>
    <w:rsid w:val="75BB5057"/>
    <w:rsid w:val="75BF2AD8"/>
    <w:rsid w:val="75BF3699"/>
    <w:rsid w:val="75C25BFF"/>
    <w:rsid w:val="75C41793"/>
    <w:rsid w:val="75C90E3C"/>
    <w:rsid w:val="75CA60BE"/>
    <w:rsid w:val="75D39FFB"/>
    <w:rsid w:val="75D45DC3"/>
    <w:rsid w:val="75D851BE"/>
    <w:rsid w:val="75DADDCB"/>
    <w:rsid w:val="75DE565B"/>
    <w:rsid w:val="75DED46D"/>
    <w:rsid w:val="75DFBF62"/>
    <w:rsid w:val="75E04A4B"/>
    <w:rsid w:val="75E2CFEF"/>
    <w:rsid w:val="75E7D2E0"/>
    <w:rsid w:val="75E9990A"/>
    <w:rsid w:val="75E9F825"/>
    <w:rsid w:val="75EC6D11"/>
    <w:rsid w:val="75ECB727"/>
    <w:rsid w:val="75F1B329"/>
    <w:rsid w:val="75F1D0A8"/>
    <w:rsid w:val="7600C08E"/>
    <w:rsid w:val="7605E80E"/>
    <w:rsid w:val="76072EE5"/>
    <w:rsid w:val="760F8BCD"/>
    <w:rsid w:val="7614ED7C"/>
    <w:rsid w:val="7615923A"/>
    <w:rsid w:val="7615978F"/>
    <w:rsid w:val="76174BBC"/>
    <w:rsid w:val="761B265A"/>
    <w:rsid w:val="761EA269"/>
    <w:rsid w:val="761F2C78"/>
    <w:rsid w:val="76215AF4"/>
    <w:rsid w:val="76267D7D"/>
    <w:rsid w:val="762934AC"/>
    <w:rsid w:val="762F7A7E"/>
    <w:rsid w:val="76313C0E"/>
    <w:rsid w:val="763F141F"/>
    <w:rsid w:val="76499187"/>
    <w:rsid w:val="764B4516"/>
    <w:rsid w:val="764DEB67"/>
    <w:rsid w:val="765270A2"/>
    <w:rsid w:val="765B8043"/>
    <w:rsid w:val="7661A76E"/>
    <w:rsid w:val="766BD25C"/>
    <w:rsid w:val="766C3D7B"/>
    <w:rsid w:val="766E9027"/>
    <w:rsid w:val="76749F1E"/>
    <w:rsid w:val="76774E7E"/>
    <w:rsid w:val="76794B0F"/>
    <w:rsid w:val="767ADA4D"/>
    <w:rsid w:val="767C0E2C"/>
    <w:rsid w:val="767C4ADC"/>
    <w:rsid w:val="767D61F5"/>
    <w:rsid w:val="767E1B6E"/>
    <w:rsid w:val="7681AEC6"/>
    <w:rsid w:val="768C886C"/>
    <w:rsid w:val="768FFAA4"/>
    <w:rsid w:val="76907BDC"/>
    <w:rsid w:val="76915962"/>
    <w:rsid w:val="76927406"/>
    <w:rsid w:val="7693E433"/>
    <w:rsid w:val="7695585A"/>
    <w:rsid w:val="76958F09"/>
    <w:rsid w:val="76973801"/>
    <w:rsid w:val="769C4CFC"/>
    <w:rsid w:val="76A0B6A4"/>
    <w:rsid w:val="76A3FDA4"/>
    <w:rsid w:val="76A50DA9"/>
    <w:rsid w:val="76AD3378"/>
    <w:rsid w:val="76B29A24"/>
    <w:rsid w:val="76B3A26B"/>
    <w:rsid w:val="76BA38D4"/>
    <w:rsid w:val="76C01D4C"/>
    <w:rsid w:val="76C22605"/>
    <w:rsid w:val="76C4EAF3"/>
    <w:rsid w:val="76C635CC"/>
    <w:rsid w:val="76C7AC7D"/>
    <w:rsid w:val="76C92976"/>
    <w:rsid w:val="76CBD8AB"/>
    <w:rsid w:val="76CBDDE8"/>
    <w:rsid w:val="76D793F2"/>
    <w:rsid w:val="76D9BF93"/>
    <w:rsid w:val="76DAEC69"/>
    <w:rsid w:val="76DAEE56"/>
    <w:rsid w:val="76DB0E49"/>
    <w:rsid w:val="76DE3923"/>
    <w:rsid w:val="76DE85D5"/>
    <w:rsid w:val="76DFB6D9"/>
    <w:rsid w:val="76E047AA"/>
    <w:rsid w:val="76E804C7"/>
    <w:rsid w:val="76E8130F"/>
    <w:rsid w:val="76F918DD"/>
    <w:rsid w:val="76FB8AFF"/>
    <w:rsid w:val="77004E46"/>
    <w:rsid w:val="770BB308"/>
    <w:rsid w:val="770CECE1"/>
    <w:rsid w:val="771004E9"/>
    <w:rsid w:val="7715325F"/>
    <w:rsid w:val="77180EB2"/>
    <w:rsid w:val="77181DCE"/>
    <w:rsid w:val="771A248F"/>
    <w:rsid w:val="77239E83"/>
    <w:rsid w:val="7728095E"/>
    <w:rsid w:val="77286E78"/>
    <w:rsid w:val="772A2F6A"/>
    <w:rsid w:val="772A7607"/>
    <w:rsid w:val="772E3904"/>
    <w:rsid w:val="77315493"/>
    <w:rsid w:val="7733C9FE"/>
    <w:rsid w:val="77375087"/>
    <w:rsid w:val="773C4AE6"/>
    <w:rsid w:val="773E6E24"/>
    <w:rsid w:val="77406ACC"/>
    <w:rsid w:val="77425F06"/>
    <w:rsid w:val="7743BE82"/>
    <w:rsid w:val="774B015A"/>
    <w:rsid w:val="775026AC"/>
    <w:rsid w:val="7755D410"/>
    <w:rsid w:val="775769D8"/>
    <w:rsid w:val="7758E002"/>
    <w:rsid w:val="775DED7B"/>
    <w:rsid w:val="775F4738"/>
    <w:rsid w:val="7760D08D"/>
    <w:rsid w:val="77663DD3"/>
    <w:rsid w:val="776CB494"/>
    <w:rsid w:val="77748192"/>
    <w:rsid w:val="7776B110"/>
    <w:rsid w:val="7778F56F"/>
    <w:rsid w:val="777D8745"/>
    <w:rsid w:val="77821F58"/>
    <w:rsid w:val="7782E179"/>
    <w:rsid w:val="77839B20"/>
    <w:rsid w:val="7785A6E6"/>
    <w:rsid w:val="7788DF44"/>
    <w:rsid w:val="778D3F08"/>
    <w:rsid w:val="778E48BA"/>
    <w:rsid w:val="778FB8A1"/>
    <w:rsid w:val="77999695"/>
    <w:rsid w:val="779BFB6F"/>
    <w:rsid w:val="77A0E49D"/>
    <w:rsid w:val="77A0E713"/>
    <w:rsid w:val="77A240C1"/>
    <w:rsid w:val="77A5B7DD"/>
    <w:rsid w:val="77A94A6C"/>
    <w:rsid w:val="77A98EE2"/>
    <w:rsid w:val="77A9FDCD"/>
    <w:rsid w:val="77AA9361"/>
    <w:rsid w:val="77AB7A9C"/>
    <w:rsid w:val="77AFDA07"/>
    <w:rsid w:val="77B01185"/>
    <w:rsid w:val="77B68EA2"/>
    <w:rsid w:val="77B6F51E"/>
    <w:rsid w:val="77BE4BEC"/>
    <w:rsid w:val="77C248DF"/>
    <w:rsid w:val="77C37493"/>
    <w:rsid w:val="77C8B64B"/>
    <w:rsid w:val="77C9FBE2"/>
    <w:rsid w:val="77CA4733"/>
    <w:rsid w:val="77CB6EC8"/>
    <w:rsid w:val="77CDBFD2"/>
    <w:rsid w:val="77D0C9DC"/>
    <w:rsid w:val="77D4FF20"/>
    <w:rsid w:val="77DDE32B"/>
    <w:rsid w:val="77E0A204"/>
    <w:rsid w:val="77E16F3A"/>
    <w:rsid w:val="77E37470"/>
    <w:rsid w:val="77EA19E3"/>
    <w:rsid w:val="77EAA57F"/>
    <w:rsid w:val="77EAA986"/>
    <w:rsid w:val="77ECA026"/>
    <w:rsid w:val="77EEB81C"/>
    <w:rsid w:val="77F323E7"/>
    <w:rsid w:val="77F6BB82"/>
    <w:rsid w:val="77F8360F"/>
    <w:rsid w:val="78061903"/>
    <w:rsid w:val="7808DA46"/>
    <w:rsid w:val="780B0A2C"/>
    <w:rsid w:val="780BA3BE"/>
    <w:rsid w:val="781617C9"/>
    <w:rsid w:val="781B7BB3"/>
    <w:rsid w:val="781C695B"/>
    <w:rsid w:val="781CD89B"/>
    <w:rsid w:val="7821A277"/>
    <w:rsid w:val="7827696A"/>
    <w:rsid w:val="78316C9E"/>
    <w:rsid w:val="78318132"/>
    <w:rsid w:val="78362C6D"/>
    <w:rsid w:val="78384D3C"/>
    <w:rsid w:val="78394465"/>
    <w:rsid w:val="783C18F2"/>
    <w:rsid w:val="7845D1B9"/>
    <w:rsid w:val="7846A896"/>
    <w:rsid w:val="78478817"/>
    <w:rsid w:val="7847C295"/>
    <w:rsid w:val="78485BA0"/>
    <w:rsid w:val="7849FC2A"/>
    <w:rsid w:val="784DBEC0"/>
    <w:rsid w:val="784FD955"/>
    <w:rsid w:val="78501456"/>
    <w:rsid w:val="7850B8FC"/>
    <w:rsid w:val="7853026B"/>
    <w:rsid w:val="78565210"/>
    <w:rsid w:val="7857699D"/>
    <w:rsid w:val="78581F81"/>
    <w:rsid w:val="785999BA"/>
    <w:rsid w:val="7859EDB1"/>
    <w:rsid w:val="785E53C9"/>
    <w:rsid w:val="785F63DC"/>
    <w:rsid w:val="785FE0F1"/>
    <w:rsid w:val="78607787"/>
    <w:rsid w:val="78623764"/>
    <w:rsid w:val="7862C2C3"/>
    <w:rsid w:val="78658E1F"/>
    <w:rsid w:val="786C40B9"/>
    <w:rsid w:val="786E9461"/>
    <w:rsid w:val="7871A2AB"/>
    <w:rsid w:val="7871F10C"/>
    <w:rsid w:val="7874119E"/>
    <w:rsid w:val="7875029E"/>
    <w:rsid w:val="78767592"/>
    <w:rsid w:val="787A878D"/>
    <w:rsid w:val="787AB250"/>
    <w:rsid w:val="787B7E27"/>
    <w:rsid w:val="787FBD11"/>
    <w:rsid w:val="788269CA"/>
    <w:rsid w:val="78836C1E"/>
    <w:rsid w:val="788372DB"/>
    <w:rsid w:val="78858809"/>
    <w:rsid w:val="7887A329"/>
    <w:rsid w:val="788925AA"/>
    <w:rsid w:val="788C8A62"/>
    <w:rsid w:val="788D945F"/>
    <w:rsid w:val="788F0B2B"/>
    <w:rsid w:val="78955AE5"/>
    <w:rsid w:val="7895A67D"/>
    <w:rsid w:val="7897D2E3"/>
    <w:rsid w:val="789B8760"/>
    <w:rsid w:val="789E6285"/>
    <w:rsid w:val="78A12F92"/>
    <w:rsid w:val="78A84320"/>
    <w:rsid w:val="78AEF2C5"/>
    <w:rsid w:val="78AFA642"/>
    <w:rsid w:val="78B0D512"/>
    <w:rsid w:val="78B30C5D"/>
    <w:rsid w:val="78B6AAEA"/>
    <w:rsid w:val="78BC4922"/>
    <w:rsid w:val="78BF4AAB"/>
    <w:rsid w:val="78CA69CF"/>
    <w:rsid w:val="78D20F9C"/>
    <w:rsid w:val="78D3A79B"/>
    <w:rsid w:val="78D43D03"/>
    <w:rsid w:val="78D78667"/>
    <w:rsid w:val="78DDAEC2"/>
    <w:rsid w:val="78E030BD"/>
    <w:rsid w:val="78E37213"/>
    <w:rsid w:val="78E4E801"/>
    <w:rsid w:val="78E544A7"/>
    <w:rsid w:val="78E67FAC"/>
    <w:rsid w:val="78F1AE81"/>
    <w:rsid w:val="78F391F5"/>
    <w:rsid w:val="78FDEDA7"/>
    <w:rsid w:val="7901B518"/>
    <w:rsid w:val="79039757"/>
    <w:rsid w:val="790622B7"/>
    <w:rsid w:val="791351E4"/>
    <w:rsid w:val="791795B9"/>
    <w:rsid w:val="791946E6"/>
    <w:rsid w:val="791BB426"/>
    <w:rsid w:val="7928A0DA"/>
    <w:rsid w:val="79296AEF"/>
    <w:rsid w:val="792B4CAB"/>
    <w:rsid w:val="792D1A0B"/>
    <w:rsid w:val="79312371"/>
    <w:rsid w:val="7935A0ED"/>
    <w:rsid w:val="793C0B84"/>
    <w:rsid w:val="794305FC"/>
    <w:rsid w:val="794B9F7B"/>
    <w:rsid w:val="79521DEE"/>
    <w:rsid w:val="7952BC88"/>
    <w:rsid w:val="7958B960"/>
    <w:rsid w:val="795AD84C"/>
    <w:rsid w:val="795F970D"/>
    <w:rsid w:val="7964CC44"/>
    <w:rsid w:val="79650D57"/>
    <w:rsid w:val="796A656F"/>
    <w:rsid w:val="796A839B"/>
    <w:rsid w:val="796EDC8A"/>
    <w:rsid w:val="7970DB92"/>
    <w:rsid w:val="7974E446"/>
    <w:rsid w:val="797A2E8E"/>
    <w:rsid w:val="7982E5C4"/>
    <w:rsid w:val="7984A2C9"/>
    <w:rsid w:val="798B0202"/>
    <w:rsid w:val="798E7629"/>
    <w:rsid w:val="79960330"/>
    <w:rsid w:val="79966E03"/>
    <w:rsid w:val="7997CB9E"/>
    <w:rsid w:val="799FA340"/>
    <w:rsid w:val="79A83038"/>
    <w:rsid w:val="79A9FC02"/>
    <w:rsid w:val="79AF9BB7"/>
    <w:rsid w:val="79B441F5"/>
    <w:rsid w:val="79B79A8A"/>
    <w:rsid w:val="79BB09D4"/>
    <w:rsid w:val="79BDEF6D"/>
    <w:rsid w:val="79C23E17"/>
    <w:rsid w:val="79C5CC00"/>
    <w:rsid w:val="79C9B3C5"/>
    <w:rsid w:val="79CF2164"/>
    <w:rsid w:val="79D0F5DF"/>
    <w:rsid w:val="79D50D97"/>
    <w:rsid w:val="79DB56CB"/>
    <w:rsid w:val="79DEB5C7"/>
    <w:rsid w:val="79E0B89D"/>
    <w:rsid w:val="79E58D8A"/>
    <w:rsid w:val="79E6970D"/>
    <w:rsid w:val="79EC445F"/>
    <w:rsid w:val="79F11D3F"/>
    <w:rsid w:val="79F266A9"/>
    <w:rsid w:val="79F574ED"/>
    <w:rsid w:val="79F7A539"/>
    <w:rsid w:val="79F811D6"/>
    <w:rsid w:val="7A051217"/>
    <w:rsid w:val="7A063752"/>
    <w:rsid w:val="7A07696E"/>
    <w:rsid w:val="7A0B67F4"/>
    <w:rsid w:val="7A0EC6AB"/>
    <w:rsid w:val="7A0F22B6"/>
    <w:rsid w:val="7A18549E"/>
    <w:rsid w:val="7A1DF8E8"/>
    <w:rsid w:val="7A1EAD5E"/>
    <w:rsid w:val="7A1F7A88"/>
    <w:rsid w:val="7A20661D"/>
    <w:rsid w:val="7A297B4D"/>
    <w:rsid w:val="7A29FE46"/>
    <w:rsid w:val="7A29FEF2"/>
    <w:rsid w:val="7A2B4DE3"/>
    <w:rsid w:val="7A32FC8D"/>
    <w:rsid w:val="7A359E97"/>
    <w:rsid w:val="7A40B62D"/>
    <w:rsid w:val="7A4532D3"/>
    <w:rsid w:val="7A4815C1"/>
    <w:rsid w:val="7A484CC3"/>
    <w:rsid w:val="7A49F627"/>
    <w:rsid w:val="7A4CBF68"/>
    <w:rsid w:val="7A4F0C8C"/>
    <w:rsid w:val="7A4F802D"/>
    <w:rsid w:val="7A51B83B"/>
    <w:rsid w:val="7A528354"/>
    <w:rsid w:val="7A5EA283"/>
    <w:rsid w:val="7A62935A"/>
    <w:rsid w:val="7A669091"/>
    <w:rsid w:val="7A6D775A"/>
    <w:rsid w:val="7A6DC125"/>
    <w:rsid w:val="7A74A12B"/>
    <w:rsid w:val="7A794943"/>
    <w:rsid w:val="7A85B5C6"/>
    <w:rsid w:val="7A932948"/>
    <w:rsid w:val="7A95FD4F"/>
    <w:rsid w:val="7A9D2C8B"/>
    <w:rsid w:val="7A9DC4FE"/>
    <w:rsid w:val="7A9E7195"/>
    <w:rsid w:val="7A9FACAA"/>
    <w:rsid w:val="7AA0483F"/>
    <w:rsid w:val="7AA0C5D4"/>
    <w:rsid w:val="7AA5A400"/>
    <w:rsid w:val="7AAC5075"/>
    <w:rsid w:val="7AACE252"/>
    <w:rsid w:val="7AAF743A"/>
    <w:rsid w:val="7AB654BD"/>
    <w:rsid w:val="7ABE13EA"/>
    <w:rsid w:val="7AC36A2E"/>
    <w:rsid w:val="7AC6BAC5"/>
    <w:rsid w:val="7ACA8686"/>
    <w:rsid w:val="7ACB3BB7"/>
    <w:rsid w:val="7ACE3A14"/>
    <w:rsid w:val="7AD8A2AB"/>
    <w:rsid w:val="7ADA6365"/>
    <w:rsid w:val="7AE21CB1"/>
    <w:rsid w:val="7AE339D5"/>
    <w:rsid w:val="7AE3D4C6"/>
    <w:rsid w:val="7AE45AF6"/>
    <w:rsid w:val="7AE61027"/>
    <w:rsid w:val="7AEAE036"/>
    <w:rsid w:val="7AEC2D7D"/>
    <w:rsid w:val="7AED5E76"/>
    <w:rsid w:val="7AF045C9"/>
    <w:rsid w:val="7AFEB174"/>
    <w:rsid w:val="7B046282"/>
    <w:rsid w:val="7B078343"/>
    <w:rsid w:val="7B0AD606"/>
    <w:rsid w:val="7B0B3122"/>
    <w:rsid w:val="7B0C2353"/>
    <w:rsid w:val="7B0E52E3"/>
    <w:rsid w:val="7B10C2E7"/>
    <w:rsid w:val="7B19F3D5"/>
    <w:rsid w:val="7B1A2BF2"/>
    <w:rsid w:val="7B22BDE1"/>
    <w:rsid w:val="7B232C47"/>
    <w:rsid w:val="7B242979"/>
    <w:rsid w:val="7B2445EF"/>
    <w:rsid w:val="7B27C388"/>
    <w:rsid w:val="7B301083"/>
    <w:rsid w:val="7B33B21B"/>
    <w:rsid w:val="7B38F079"/>
    <w:rsid w:val="7B3C89B7"/>
    <w:rsid w:val="7B3EA492"/>
    <w:rsid w:val="7B3F7B5C"/>
    <w:rsid w:val="7B3FE0B5"/>
    <w:rsid w:val="7B443F6C"/>
    <w:rsid w:val="7B498258"/>
    <w:rsid w:val="7B4CA753"/>
    <w:rsid w:val="7B4EB16B"/>
    <w:rsid w:val="7B57BE84"/>
    <w:rsid w:val="7B5DA701"/>
    <w:rsid w:val="7B5DF9D6"/>
    <w:rsid w:val="7B62523F"/>
    <w:rsid w:val="7B627BAD"/>
    <w:rsid w:val="7B65BC3B"/>
    <w:rsid w:val="7B6AED97"/>
    <w:rsid w:val="7B6D36BD"/>
    <w:rsid w:val="7B6F44FC"/>
    <w:rsid w:val="7B736F44"/>
    <w:rsid w:val="7B78E897"/>
    <w:rsid w:val="7B7AAFBD"/>
    <w:rsid w:val="7B847DAC"/>
    <w:rsid w:val="7B89F130"/>
    <w:rsid w:val="7B8CC12E"/>
    <w:rsid w:val="7B8CE173"/>
    <w:rsid w:val="7B9378A2"/>
    <w:rsid w:val="7B951AF3"/>
    <w:rsid w:val="7B9F30F6"/>
    <w:rsid w:val="7B9F4674"/>
    <w:rsid w:val="7B9F5FAA"/>
    <w:rsid w:val="7BA4F103"/>
    <w:rsid w:val="7BA697CC"/>
    <w:rsid w:val="7BB0C8A1"/>
    <w:rsid w:val="7BB2673F"/>
    <w:rsid w:val="7BB4DD55"/>
    <w:rsid w:val="7BB78D26"/>
    <w:rsid w:val="7BBAB9EA"/>
    <w:rsid w:val="7BBC5ACF"/>
    <w:rsid w:val="7BBFB73E"/>
    <w:rsid w:val="7BD40715"/>
    <w:rsid w:val="7BDCB579"/>
    <w:rsid w:val="7BDD6DAC"/>
    <w:rsid w:val="7BDE3075"/>
    <w:rsid w:val="7BDE74BD"/>
    <w:rsid w:val="7BDE87CA"/>
    <w:rsid w:val="7BE18B41"/>
    <w:rsid w:val="7BE7D86C"/>
    <w:rsid w:val="7BE95173"/>
    <w:rsid w:val="7BF37D14"/>
    <w:rsid w:val="7BF3D412"/>
    <w:rsid w:val="7BFE961B"/>
    <w:rsid w:val="7BFF4504"/>
    <w:rsid w:val="7C021D25"/>
    <w:rsid w:val="7C029E4C"/>
    <w:rsid w:val="7C031F51"/>
    <w:rsid w:val="7C074D83"/>
    <w:rsid w:val="7C08378A"/>
    <w:rsid w:val="7C0C2620"/>
    <w:rsid w:val="7C19B036"/>
    <w:rsid w:val="7C204B54"/>
    <w:rsid w:val="7C244507"/>
    <w:rsid w:val="7C29CC52"/>
    <w:rsid w:val="7C2AFF0C"/>
    <w:rsid w:val="7C2EB800"/>
    <w:rsid w:val="7C3069CB"/>
    <w:rsid w:val="7C317524"/>
    <w:rsid w:val="7C35236E"/>
    <w:rsid w:val="7C3718E8"/>
    <w:rsid w:val="7C39620C"/>
    <w:rsid w:val="7C46FF36"/>
    <w:rsid w:val="7C4B903A"/>
    <w:rsid w:val="7C4B958E"/>
    <w:rsid w:val="7C4EEADA"/>
    <w:rsid w:val="7C54D715"/>
    <w:rsid w:val="7C566AB1"/>
    <w:rsid w:val="7C5C663D"/>
    <w:rsid w:val="7C5F1492"/>
    <w:rsid w:val="7C64A218"/>
    <w:rsid w:val="7C6AD15E"/>
    <w:rsid w:val="7C6DCB77"/>
    <w:rsid w:val="7C6EAD02"/>
    <w:rsid w:val="7C707467"/>
    <w:rsid w:val="7C744016"/>
    <w:rsid w:val="7C74BEDF"/>
    <w:rsid w:val="7C79B2B0"/>
    <w:rsid w:val="7C7C84BE"/>
    <w:rsid w:val="7C8D13F2"/>
    <w:rsid w:val="7C8D7C78"/>
    <w:rsid w:val="7C8DB66A"/>
    <w:rsid w:val="7C904A6C"/>
    <w:rsid w:val="7C90CD5B"/>
    <w:rsid w:val="7C92C312"/>
    <w:rsid w:val="7C95A2F1"/>
    <w:rsid w:val="7C95B84C"/>
    <w:rsid w:val="7C98F5B8"/>
    <w:rsid w:val="7CA31717"/>
    <w:rsid w:val="7CA6F82F"/>
    <w:rsid w:val="7CABE195"/>
    <w:rsid w:val="7CB4B0B8"/>
    <w:rsid w:val="7CB584F8"/>
    <w:rsid w:val="7CB692B5"/>
    <w:rsid w:val="7CB9E6B1"/>
    <w:rsid w:val="7CBE0487"/>
    <w:rsid w:val="7CC0F89F"/>
    <w:rsid w:val="7CC2AAA0"/>
    <w:rsid w:val="7CCCA56A"/>
    <w:rsid w:val="7CCEDD2C"/>
    <w:rsid w:val="7CCF9293"/>
    <w:rsid w:val="7CD14BC5"/>
    <w:rsid w:val="7CD18572"/>
    <w:rsid w:val="7CD2DA13"/>
    <w:rsid w:val="7CD5ED5B"/>
    <w:rsid w:val="7CDB340D"/>
    <w:rsid w:val="7CE08E42"/>
    <w:rsid w:val="7CE1C288"/>
    <w:rsid w:val="7CE23485"/>
    <w:rsid w:val="7CEF3EA5"/>
    <w:rsid w:val="7CF31D1E"/>
    <w:rsid w:val="7CF3D34C"/>
    <w:rsid w:val="7CF6C41A"/>
    <w:rsid w:val="7CF74425"/>
    <w:rsid w:val="7CFFE99E"/>
    <w:rsid w:val="7D009179"/>
    <w:rsid w:val="7D03FC07"/>
    <w:rsid w:val="7D04C212"/>
    <w:rsid w:val="7D0848E1"/>
    <w:rsid w:val="7D144DBD"/>
    <w:rsid w:val="7D1476DC"/>
    <w:rsid w:val="7D161AA0"/>
    <w:rsid w:val="7D179DB4"/>
    <w:rsid w:val="7D1F596F"/>
    <w:rsid w:val="7D225D19"/>
    <w:rsid w:val="7D235D00"/>
    <w:rsid w:val="7D268728"/>
    <w:rsid w:val="7D2706D8"/>
    <w:rsid w:val="7D2A7F5A"/>
    <w:rsid w:val="7D33295F"/>
    <w:rsid w:val="7D35E304"/>
    <w:rsid w:val="7D36B529"/>
    <w:rsid w:val="7D3963D5"/>
    <w:rsid w:val="7D3E16E4"/>
    <w:rsid w:val="7D3FC121"/>
    <w:rsid w:val="7D40CADF"/>
    <w:rsid w:val="7D412112"/>
    <w:rsid w:val="7D427442"/>
    <w:rsid w:val="7D47A1DE"/>
    <w:rsid w:val="7D517FC4"/>
    <w:rsid w:val="7D53A9F2"/>
    <w:rsid w:val="7D589A72"/>
    <w:rsid w:val="7D5B8F10"/>
    <w:rsid w:val="7D5EF998"/>
    <w:rsid w:val="7D620916"/>
    <w:rsid w:val="7D657D45"/>
    <w:rsid w:val="7D695524"/>
    <w:rsid w:val="7D6AC9CA"/>
    <w:rsid w:val="7D6D42EB"/>
    <w:rsid w:val="7D764AF2"/>
    <w:rsid w:val="7D7A4B51"/>
    <w:rsid w:val="7D7BDD50"/>
    <w:rsid w:val="7D7FAC6F"/>
    <w:rsid w:val="7D7FBBF2"/>
    <w:rsid w:val="7D81167B"/>
    <w:rsid w:val="7D832FC2"/>
    <w:rsid w:val="7D86CF3B"/>
    <w:rsid w:val="7D902C9F"/>
    <w:rsid w:val="7D939832"/>
    <w:rsid w:val="7D9434D7"/>
    <w:rsid w:val="7D951208"/>
    <w:rsid w:val="7D955660"/>
    <w:rsid w:val="7D95CBAF"/>
    <w:rsid w:val="7D9B3683"/>
    <w:rsid w:val="7D9C1B50"/>
    <w:rsid w:val="7D9CCE89"/>
    <w:rsid w:val="7D9EB070"/>
    <w:rsid w:val="7DA16EE4"/>
    <w:rsid w:val="7DA9C8B4"/>
    <w:rsid w:val="7DAB0FF9"/>
    <w:rsid w:val="7DAE59EF"/>
    <w:rsid w:val="7DB8FF2B"/>
    <w:rsid w:val="7DBAE45B"/>
    <w:rsid w:val="7DBB2475"/>
    <w:rsid w:val="7DBC1F53"/>
    <w:rsid w:val="7DBCBF92"/>
    <w:rsid w:val="7DBDF543"/>
    <w:rsid w:val="7DCC8DBC"/>
    <w:rsid w:val="7DCEAC2D"/>
    <w:rsid w:val="7DDC8CD4"/>
    <w:rsid w:val="7DE46529"/>
    <w:rsid w:val="7DE77E40"/>
    <w:rsid w:val="7DEA7DBD"/>
    <w:rsid w:val="7DEC708B"/>
    <w:rsid w:val="7DEFB769"/>
    <w:rsid w:val="7DF3399C"/>
    <w:rsid w:val="7DF9E477"/>
    <w:rsid w:val="7DFD7EA4"/>
    <w:rsid w:val="7E04DEB4"/>
    <w:rsid w:val="7E094CC9"/>
    <w:rsid w:val="7E0AF600"/>
    <w:rsid w:val="7E21DF04"/>
    <w:rsid w:val="7E22A6A4"/>
    <w:rsid w:val="7E27900E"/>
    <w:rsid w:val="7E2C75C7"/>
    <w:rsid w:val="7E2CFC9E"/>
    <w:rsid w:val="7E2DE4F1"/>
    <w:rsid w:val="7E308866"/>
    <w:rsid w:val="7E348D7B"/>
    <w:rsid w:val="7E388126"/>
    <w:rsid w:val="7E38A8CF"/>
    <w:rsid w:val="7E3CC24C"/>
    <w:rsid w:val="7E3F57AF"/>
    <w:rsid w:val="7E47E0A7"/>
    <w:rsid w:val="7E47F2F4"/>
    <w:rsid w:val="7E4B497B"/>
    <w:rsid w:val="7E4C3493"/>
    <w:rsid w:val="7E4E4502"/>
    <w:rsid w:val="7E51030D"/>
    <w:rsid w:val="7E556C27"/>
    <w:rsid w:val="7E562391"/>
    <w:rsid w:val="7E58D145"/>
    <w:rsid w:val="7E5A6A9C"/>
    <w:rsid w:val="7E5C9FB6"/>
    <w:rsid w:val="7E5D97CD"/>
    <w:rsid w:val="7E64EAD9"/>
    <w:rsid w:val="7E650D9F"/>
    <w:rsid w:val="7E684F9C"/>
    <w:rsid w:val="7E71649E"/>
    <w:rsid w:val="7E759565"/>
    <w:rsid w:val="7E760B96"/>
    <w:rsid w:val="7E7AD7E3"/>
    <w:rsid w:val="7E7EA33C"/>
    <w:rsid w:val="7E813879"/>
    <w:rsid w:val="7E832CF1"/>
    <w:rsid w:val="7E89C235"/>
    <w:rsid w:val="7E8BA871"/>
    <w:rsid w:val="7E8BC5E8"/>
    <w:rsid w:val="7E934332"/>
    <w:rsid w:val="7E99BACD"/>
    <w:rsid w:val="7E9DED50"/>
    <w:rsid w:val="7E9F76C4"/>
    <w:rsid w:val="7EA092DE"/>
    <w:rsid w:val="7EBA9483"/>
    <w:rsid w:val="7EBABD04"/>
    <w:rsid w:val="7EBC00EE"/>
    <w:rsid w:val="7EC422A0"/>
    <w:rsid w:val="7EC7EB69"/>
    <w:rsid w:val="7EC8052C"/>
    <w:rsid w:val="7ED178EC"/>
    <w:rsid w:val="7ED6CDBA"/>
    <w:rsid w:val="7EDB9C3D"/>
    <w:rsid w:val="7EDE5136"/>
    <w:rsid w:val="7EE45D25"/>
    <w:rsid w:val="7EE6FFA4"/>
    <w:rsid w:val="7EE8BE7B"/>
    <w:rsid w:val="7EEE36C1"/>
    <w:rsid w:val="7EF3381B"/>
    <w:rsid w:val="7EF4ED5A"/>
    <w:rsid w:val="7EF910BE"/>
    <w:rsid w:val="7EFBE74D"/>
    <w:rsid w:val="7EFD9061"/>
    <w:rsid w:val="7EFDB07D"/>
    <w:rsid w:val="7F019395"/>
    <w:rsid w:val="7F01D1F3"/>
    <w:rsid w:val="7F0319AA"/>
    <w:rsid w:val="7F050A6A"/>
    <w:rsid w:val="7F072765"/>
    <w:rsid w:val="7F0C5151"/>
    <w:rsid w:val="7F11FFFB"/>
    <w:rsid w:val="7F12CCAD"/>
    <w:rsid w:val="7F1BB657"/>
    <w:rsid w:val="7F1BF7CD"/>
    <w:rsid w:val="7F1D9236"/>
    <w:rsid w:val="7F21FDA9"/>
    <w:rsid w:val="7F22E23E"/>
    <w:rsid w:val="7F26C948"/>
    <w:rsid w:val="7F295EB4"/>
    <w:rsid w:val="7F2F2F2E"/>
    <w:rsid w:val="7F30BFCB"/>
    <w:rsid w:val="7F30D4CD"/>
    <w:rsid w:val="7F310196"/>
    <w:rsid w:val="7F33D067"/>
    <w:rsid w:val="7F350EE8"/>
    <w:rsid w:val="7F367894"/>
    <w:rsid w:val="7F380732"/>
    <w:rsid w:val="7F39C3A1"/>
    <w:rsid w:val="7F3D218B"/>
    <w:rsid w:val="7F51D5C9"/>
    <w:rsid w:val="7F525384"/>
    <w:rsid w:val="7F53B1B6"/>
    <w:rsid w:val="7F544DC2"/>
    <w:rsid w:val="7F54EDAE"/>
    <w:rsid w:val="7F5795DE"/>
    <w:rsid w:val="7F5B7636"/>
    <w:rsid w:val="7F5BE3AF"/>
    <w:rsid w:val="7F5BE862"/>
    <w:rsid w:val="7F619702"/>
    <w:rsid w:val="7F62E340"/>
    <w:rsid w:val="7F64279C"/>
    <w:rsid w:val="7F664777"/>
    <w:rsid w:val="7F693A8C"/>
    <w:rsid w:val="7F71C7AC"/>
    <w:rsid w:val="7F7BC74A"/>
    <w:rsid w:val="7F7BE726"/>
    <w:rsid w:val="7F7EEFB8"/>
    <w:rsid w:val="7F7F41C6"/>
    <w:rsid w:val="7F85583A"/>
    <w:rsid w:val="7F88EDF2"/>
    <w:rsid w:val="7F8B5D2A"/>
    <w:rsid w:val="7F91A670"/>
    <w:rsid w:val="7F96E83C"/>
    <w:rsid w:val="7F9B9FC6"/>
    <w:rsid w:val="7F9BC3BB"/>
    <w:rsid w:val="7F9C6A14"/>
    <w:rsid w:val="7FACDE85"/>
    <w:rsid w:val="7FAF53A1"/>
    <w:rsid w:val="7FB38385"/>
    <w:rsid w:val="7FB3AF10"/>
    <w:rsid w:val="7FB5B64B"/>
    <w:rsid w:val="7FB80B67"/>
    <w:rsid w:val="7FBAF40F"/>
    <w:rsid w:val="7FBBF841"/>
    <w:rsid w:val="7FBC4650"/>
    <w:rsid w:val="7FCDF9B7"/>
    <w:rsid w:val="7FCE59EC"/>
    <w:rsid w:val="7FD7F892"/>
    <w:rsid w:val="7FDCC180"/>
    <w:rsid w:val="7FDEC79F"/>
    <w:rsid w:val="7FE08E1C"/>
    <w:rsid w:val="7FE265F6"/>
    <w:rsid w:val="7FE5A544"/>
    <w:rsid w:val="7FE8CB74"/>
    <w:rsid w:val="7FE94FB0"/>
    <w:rsid w:val="7FE9C565"/>
    <w:rsid w:val="7FEA9597"/>
    <w:rsid w:val="7FEFAD2F"/>
    <w:rsid w:val="7FF6F802"/>
    <w:rsid w:val="7FFDA8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81F7D"/>
  <w15:chartTrackingRefBased/>
  <w15:docId w15:val="{3ADEEA37-EDAB-45D6-946F-4D9CC62B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36"/>
    <w:pPr>
      <w:spacing w:line="274" w:lineRule="auto"/>
    </w:pPr>
    <w:rPr>
      <w:rFonts w:ascii="Arial" w:eastAsia="Times New Roman" w:hAnsi="Arial" w:cs="Arial"/>
      <w:kern w:val="0"/>
      <w:szCs w:val="24"/>
      <w:lang w:eastAsia="en-GB"/>
      <w14:ligatures w14:val="none"/>
    </w:rPr>
  </w:style>
  <w:style w:type="paragraph" w:styleId="Heading1">
    <w:name w:val="heading 1"/>
    <w:basedOn w:val="Normal"/>
    <w:next w:val="Normal"/>
    <w:link w:val="Heading1Char"/>
    <w:uiPriority w:val="9"/>
    <w:qFormat/>
    <w:rsid w:val="00C725A5"/>
    <w:pPr>
      <w:keepNext/>
      <w:keepLines/>
      <w:numPr>
        <w:numId w:val="1"/>
      </w:numPr>
      <w:spacing w:before="360" w:after="360"/>
      <w:outlineLvl w:val="0"/>
    </w:pPr>
    <w:rPr>
      <w:rFonts w:eastAsiaTheme="majorEastAsia"/>
      <w:color w:val="6B3B57"/>
      <w:sz w:val="52"/>
      <w:szCs w:val="40"/>
      <w:lang w:eastAsia="en-AU"/>
    </w:rPr>
  </w:style>
  <w:style w:type="paragraph" w:styleId="Heading2">
    <w:name w:val="heading 2"/>
    <w:basedOn w:val="Normal"/>
    <w:next w:val="Normal"/>
    <w:link w:val="Heading2Char"/>
    <w:uiPriority w:val="9"/>
    <w:unhideWhenUsed/>
    <w:qFormat/>
    <w:rsid w:val="008C7722"/>
    <w:pPr>
      <w:keepNext/>
      <w:keepLines/>
      <w:numPr>
        <w:ilvl w:val="1"/>
        <w:numId w:val="3"/>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3F0ADC"/>
    <w:pPr>
      <w:keepNext/>
      <w:keepLines/>
      <w:numPr>
        <w:ilvl w:val="2"/>
        <w:numId w:val="3"/>
      </w:numPr>
      <w:spacing w:before="240" w:after="240"/>
      <w:outlineLvl w:val="2"/>
    </w:pPr>
    <w:rPr>
      <w:rFonts w:eastAsiaTheme="majorEastAsia" w:cstheme="majorBidi"/>
      <w:bCs/>
      <w:sz w:val="28"/>
      <w:szCs w:val="28"/>
    </w:rPr>
  </w:style>
  <w:style w:type="paragraph" w:styleId="Heading4">
    <w:name w:val="heading 4"/>
    <w:basedOn w:val="Heading3-Front"/>
    <w:next w:val="Normal"/>
    <w:link w:val="Heading4Char"/>
    <w:uiPriority w:val="9"/>
    <w:unhideWhenUsed/>
    <w:qFormat/>
    <w:rsid w:val="00F47E65"/>
    <w:pPr>
      <w:spacing w:after="120"/>
      <w:jc w:val="left"/>
      <w:outlineLvl w:val="3"/>
    </w:pPr>
    <w:rPr>
      <w:iCs/>
      <w:color w:val="6B3B57"/>
      <w:sz w:val="24"/>
    </w:rPr>
  </w:style>
  <w:style w:type="paragraph" w:styleId="Heading5">
    <w:name w:val="heading 5"/>
    <w:basedOn w:val="Normal"/>
    <w:next w:val="Normal"/>
    <w:link w:val="Heading5Char"/>
    <w:uiPriority w:val="9"/>
    <w:unhideWhenUsed/>
    <w:qFormat/>
    <w:rsid w:val="00ED72A9"/>
    <w:pPr>
      <w:keepNext/>
      <w:keepLines/>
      <w:numPr>
        <w:ilvl w:val="4"/>
        <w:numId w:val="3"/>
      </w:numPr>
      <w:tabs>
        <w:tab w:val="num" w:pos="360"/>
      </w:tabs>
      <w:spacing w:before="80" w:after="40"/>
      <w:outlineLvl w:val="4"/>
    </w:pPr>
    <w:rPr>
      <w:rFonts w:eastAsiaTheme="majorEastAsia" w:cstheme="majorBidi"/>
      <w:color w:val="6B3B57" w:themeColor="accent2"/>
    </w:rPr>
  </w:style>
  <w:style w:type="paragraph" w:styleId="Heading6">
    <w:name w:val="heading 6"/>
    <w:basedOn w:val="Normal"/>
    <w:next w:val="Normal"/>
    <w:link w:val="Heading6Char"/>
    <w:unhideWhenUsed/>
    <w:qFormat/>
    <w:rsid w:val="008C7722"/>
    <w:pPr>
      <w:keepNext/>
      <w:keepLines/>
      <w:numPr>
        <w:ilvl w:val="5"/>
        <w:numId w:val="3"/>
      </w:numPr>
      <w:tabs>
        <w:tab w:val="num" w:pos="360"/>
      </w:tabs>
      <w:spacing w:before="40"/>
      <w:outlineLvl w:val="5"/>
    </w:pPr>
    <w:rPr>
      <w:rFonts w:ascii="Times New Roman" w:eastAsiaTheme="majorEastAsia" w:hAnsi="Times New Roman"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3"/>
      </w:numPr>
      <w:tabs>
        <w:tab w:val="num" w:pos="360"/>
      </w:tabs>
      <w:spacing w:before="40"/>
      <w:outlineLvl w:val="6"/>
    </w:pPr>
    <w:rPr>
      <w:rFonts w:ascii="Times New Roman" w:eastAsiaTheme="majorEastAsia" w:hAnsi="Times New Roman"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1"/>
      </w:numPr>
      <w:tabs>
        <w:tab w:val="num" w:pos="360"/>
      </w:tabs>
      <w:outlineLvl w:val="7"/>
    </w:pPr>
    <w:rPr>
      <w:rFonts w:ascii="Times New Roman" w:eastAsiaTheme="majorEastAsia" w:hAnsi="Times New Roman"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1"/>
      </w:numPr>
      <w:tabs>
        <w:tab w:val="num" w:pos="360"/>
      </w:tabs>
      <w:outlineLvl w:val="8"/>
    </w:pPr>
    <w:rPr>
      <w:rFonts w:ascii="Times New Roman" w:eastAsiaTheme="majorEastAsia" w:hAnsi="Times New Roman"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5A5"/>
    <w:rPr>
      <w:rFonts w:ascii="Arial" w:eastAsiaTheme="majorEastAsia" w:hAnsi="Arial" w:cs="Arial"/>
      <w:color w:val="6B3B57"/>
      <w:kern w:val="0"/>
      <w:sz w:val="52"/>
      <w:szCs w:val="40"/>
      <w:lang w:eastAsia="en-AU"/>
      <w14:ligatures w14:val="none"/>
    </w:rPr>
  </w:style>
  <w:style w:type="character" w:customStyle="1" w:styleId="Heading2Char">
    <w:name w:val="Heading 2 Char"/>
    <w:basedOn w:val="DefaultParagraphFont"/>
    <w:link w:val="Heading2"/>
    <w:uiPriority w:val="9"/>
    <w:rsid w:val="008C7722"/>
    <w:rPr>
      <w:rFonts w:ascii="Arial" w:eastAsiaTheme="majorEastAsia" w:hAnsi="Arial" w:cstheme="majorBidi"/>
      <w:color w:val="6B3B57"/>
      <w:kern w:val="0"/>
      <w:sz w:val="40"/>
      <w:szCs w:val="40"/>
      <w:lang w:eastAsia="en-AU"/>
      <w14:ligatures w14:val="none"/>
    </w:rPr>
  </w:style>
  <w:style w:type="character" w:customStyle="1" w:styleId="Heading3Char">
    <w:name w:val="Heading 3 Char"/>
    <w:basedOn w:val="DefaultParagraphFont"/>
    <w:link w:val="Heading3"/>
    <w:uiPriority w:val="9"/>
    <w:rsid w:val="003F0ADC"/>
    <w:rPr>
      <w:rFonts w:ascii="Arial" w:eastAsiaTheme="majorEastAsia" w:hAnsi="Arial" w:cstheme="majorBidi"/>
      <w:bCs/>
      <w:kern w:val="0"/>
      <w:sz w:val="28"/>
      <w:szCs w:val="28"/>
      <w:lang w:eastAsia="en-GB"/>
      <w14:ligatures w14:val="none"/>
    </w:rPr>
  </w:style>
  <w:style w:type="paragraph" w:customStyle="1" w:styleId="Heading3-Front">
    <w:name w:val="Heading 3 - Front"/>
    <w:basedOn w:val="Normal"/>
    <w:qFormat/>
    <w:rsid w:val="00CF7D6C"/>
    <w:pPr>
      <w:spacing w:after="360"/>
      <w:jc w:val="center"/>
    </w:pPr>
    <w:rPr>
      <w:b/>
      <w:bCs/>
      <w:sz w:val="36"/>
      <w:szCs w:val="36"/>
      <w:lang w:val="en-GB"/>
    </w:rPr>
  </w:style>
  <w:style w:type="character" w:customStyle="1" w:styleId="Heading4Char">
    <w:name w:val="Heading 4 Char"/>
    <w:basedOn w:val="DefaultParagraphFont"/>
    <w:link w:val="Heading4"/>
    <w:uiPriority w:val="9"/>
    <w:rsid w:val="00F47E65"/>
    <w:rPr>
      <w:rFonts w:ascii="Arial" w:eastAsia="Times New Roman" w:hAnsi="Arial" w:cs="Arial"/>
      <w:b/>
      <w:bCs/>
      <w:iCs/>
      <w:color w:val="6B3B57"/>
      <w:kern w:val="0"/>
      <w:sz w:val="24"/>
      <w:szCs w:val="36"/>
      <w:lang w:val="en-GB" w:eastAsia="en-GB"/>
      <w14:ligatures w14:val="none"/>
    </w:rPr>
  </w:style>
  <w:style w:type="character" w:customStyle="1" w:styleId="Heading5Char">
    <w:name w:val="Heading 5 Char"/>
    <w:basedOn w:val="DefaultParagraphFont"/>
    <w:link w:val="Heading5"/>
    <w:uiPriority w:val="9"/>
    <w:rsid w:val="00ED72A9"/>
    <w:rPr>
      <w:rFonts w:ascii="Arial" w:eastAsiaTheme="majorEastAsia" w:hAnsi="Arial" w:cstheme="majorBidi"/>
      <w:color w:val="6B3B57" w:themeColor="accent2"/>
      <w:kern w:val="0"/>
      <w:szCs w:val="24"/>
      <w:lang w:eastAsia="en-GB"/>
      <w14:ligatures w14:val="none"/>
    </w:rPr>
  </w:style>
  <w:style w:type="character" w:customStyle="1" w:styleId="Heading6Char">
    <w:name w:val="Heading 6 Char"/>
    <w:basedOn w:val="DefaultParagraphFont"/>
    <w:link w:val="Heading6"/>
    <w:rsid w:val="008C7722"/>
    <w:rPr>
      <w:rFonts w:ascii="Times New Roman" w:eastAsiaTheme="majorEastAsia" w:hAnsi="Times New Roman" w:cstheme="majorBidi"/>
      <w:i/>
      <w:iCs/>
      <w:color w:val="964F6C" w:themeColor="text1" w:themeTint="A6"/>
      <w:kern w:val="0"/>
      <w:szCs w:val="24"/>
      <w:lang w:eastAsia="en-GB"/>
      <w14:ligatures w14:val="none"/>
    </w:rPr>
  </w:style>
  <w:style w:type="character" w:customStyle="1" w:styleId="Heading7Char">
    <w:name w:val="Heading 7 Char"/>
    <w:basedOn w:val="DefaultParagraphFont"/>
    <w:link w:val="Heading7"/>
    <w:uiPriority w:val="9"/>
    <w:semiHidden/>
    <w:rsid w:val="008C7722"/>
    <w:rPr>
      <w:rFonts w:ascii="Times New Roman" w:eastAsiaTheme="majorEastAsia" w:hAnsi="Times New Roman" w:cstheme="majorBidi"/>
      <w:color w:val="964F6C" w:themeColor="text1" w:themeTint="A6"/>
      <w:kern w:val="0"/>
      <w:szCs w:val="24"/>
      <w:lang w:eastAsia="en-GB"/>
      <w14:ligatures w14:val="none"/>
    </w:rPr>
  </w:style>
  <w:style w:type="character" w:customStyle="1" w:styleId="Heading8Char">
    <w:name w:val="Heading 8 Char"/>
    <w:basedOn w:val="DefaultParagraphFont"/>
    <w:link w:val="Heading8"/>
    <w:uiPriority w:val="9"/>
    <w:semiHidden/>
    <w:rsid w:val="008C7722"/>
    <w:rPr>
      <w:rFonts w:ascii="Times New Roman" w:eastAsiaTheme="majorEastAsia" w:hAnsi="Times New Roman" w:cstheme="majorBidi"/>
      <w:i/>
      <w:iCs/>
      <w:color w:val="5F3244" w:themeColor="text1" w:themeTint="D8"/>
      <w:kern w:val="0"/>
      <w:szCs w:val="24"/>
      <w:lang w:eastAsia="en-GB"/>
      <w14:ligatures w14:val="none"/>
    </w:rPr>
  </w:style>
  <w:style w:type="character" w:customStyle="1" w:styleId="Heading9Char">
    <w:name w:val="Heading 9 Char"/>
    <w:basedOn w:val="DefaultParagraphFont"/>
    <w:link w:val="Heading9"/>
    <w:uiPriority w:val="9"/>
    <w:semiHidden/>
    <w:rsid w:val="008C7722"/>
    <w:rPr>
      <w:rFonts w:ascii="Times New Roman" w:eastAsiaTheme="majorEastAsia" w:hAnsi="Times New Roman" w:cstheme="majorBidi"/>
      <w:color w:val="5F3244" w:themeColor="text1" w:themeTint="D8"/>
      <w:kern w:val="0"/>
      <w:szCs w:val="24"/>
      <w:lang w:eastAsia="en-GB"/>
      <w14:ligatures w14:val="none"/>
    </w:rPr>
  </w:style>
  <w:style w:type="paragraph" w:styleId="Title">
    <w:name w:val="Title"/>
    <w:basedOn w:val="Normal"/>
    <w:next w:val="Normal"/>
    <w:link w:val="TitleChar"/>
    <w:uiPriority w:val="10"/>
    <w:qFormat/>
    <w:rsid w:val="00DD5B67"/>
    <w:pPr>
      <w:spacing w:after="480" w:line="216" w:lineRule="auto"/>
    </w:pPr>
    <w:rPr>
      <w:color w:val="351C26" w:themeColor="text1"/>
      <w:sz w:val="104"/>
      <w:szCs w:val="104"/>
    </w:rPr>
  </w:style>
  <w:style w:type="character" w:customStyle="1" w:styleId="TitleChar">
    <w:name w:val="Title Char"/>
    <w:basedOn w:val="DefaultParagraphFont"/>
    <w:link w:val="Title"/>
    <w:uiPriority w:val="10"/>
    <w:rsid w:val="00DD5B67"/>
    <w:rPr>
      <w:rFonts w:ascii="Arial" w:eastAsia="Times New Roman" w:hAnsi="Arial" w:cs="Arial"/>
      <w:color w:val="351C26" w:themeColor="text1"/>
      <w:kern w:val="0"/>
      <w:sz w:val="104"/>
      <w:szCs w:val="104"/>
      <w:lang w:eastAsia="en-GB"/>
      <w14:ligatures w14:val="none"/>
    </w:rPr>
  </w:style>
  <w:style w:type="paragraph" w:styleId="Subtitle">
    <w:name w:val="Subtitle"/>
    <w:basedOn w:val="Normal"/>
    <w:next w:val="Normal"/>
    <w:link w:val="SubtitleChar"/>
    <w:uiPriority w:val="11"/>
    <w:qFormat/>
    <w:rsid w:val="00DD5B67"/>
    <w:pPr>
      <w:numPr>
        <w:ilvl w:val="1"/>
      </w:numPr>
    </w:pPr>
    <w:rPr>
      <w:rFonts w:ascii="Times New Roman" w:eastAsiaTheme="majorEastAsia" w:hAnsi="Times New Roman"/>
      <w:color w:val="6B3B57"/>
      <w:spacing w:val="15"/>
      <w:sz w:val="40"/>
    </w:rPr>
  </w:style>
  <w:style w:type="character" w:customStyle="1" w:styleId="SubtitleChar">
    <w:name w:val="Subtitle Char"/>
    <w:basedOn w:val="DefaultParagraphFont"/>
    <w:link w:val="Subtitle"/>
    <w:uiPriority w:val="11"/>
    <w:rsid w:val="00DD5B67"/>
    <w:rPr>
      <w:rFonts w:ascii="Times New Roman" w:eastAsiaTheme="majorEastAsia" w:hAnsi="Times New Roman" w:cs="Arial"/>
      <w:color w:val="6B3B57"/>
      <w:spacing w:val="15"/>
      <w:kern w:val="0"/>
      <w:sz w:val="40"/>
      <w:szCs w:val="24"/>
      <w:lang w:eastAsia="en-GB"/>
      <w14:ligatures w14:val="none"/>
    </w:rPr>
  </w:style>
  <w:style w:type="paragraph" w:styleId="Quote">
    <w:name w:val="Quote"/>
    <w:basedOn w:val="Normal"/>
    <w:next w:val="Normal"/>
    <w:link w:val="QuoteChar"/>
    <w:uiPriority w:val="29"/>
    <w:qFormat/>
    <w:rsid w:val="00A37FD0"/>
    <w:pPr>
      <w:ind w:left="567" w:right="567"/>
    </w:pPr>
    <w:rPr>
      <w:i/>
      <w:color w:val="7B4158" w:themeColor="text2" w:themeTint="BF"/>
      <w:sz w:val="20"/>
      <w:szCs w:val="20"/>
    </w:rPr>
  </w:style>
  <w:style w:type="character" w:customStyle="1" w:styleId="QuoteChar">
    <w:name w:val="Quote Char"/>
    <w:basedOn w:val="DefaultParagraphFont"/>
    <w:link w:val="Quote"/>
    <w:uiPriority w:val="29"/>
    <w:rsid w:val="008C7722"/>
    <w:rPr>
      <w:rFonts w:ascii="Arial" w:eastAsia="Times New Roman" w:hAnsi="Arial" w:cs="Arial"/>
      <w:i/>
      <w:color w:val="7B4158" w:themeColor="text2" w:themeTint="BF"/>
      <w:kern w:val="0"/>
      <w:sz w:val="20"/>
      <w:szCs w:val="20"/>
      <w:lang w:eastAsia="en-GB"/>
      <w14:ligatures w14:val="none"/>
    </w:rPr>
  </w:style>
  <w:style w:type="paragraph" w:styleId="ListParagraph">
    <w:name w:val="List Paragraph"/>
    <w:basedOn w:val="Normal"/>
    <w:uiPriority w:val="34"/>
    <w:qFormat/>
    <w:rsid w:val="00F871A0"/>
    <w:pPr>
      <w:numPr>
        <w:numId w:val="2"/>
      </w:num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201C50"/>
    <w:pPr>
      <w:spacing w:after="120"/>
    </w:pPr>
    <w:rPr>
      <w:szCs w:val="22"/>
    </w:rPr>
  </w:style>
  <w:style w:type="paragraph" w:styleId="TOCHeading">
    <w:name w:val="TOC Heading"/>
    <w:aliases w:val="Table Heading"/>
    <w:basedOn w:val="TableParagraph"/>
    <w:next w:val="Normal"/>
    <w:uiPriority w:val="39"/>
    <w:unhideWhenUsed/>
    <w:qFormat/>
    <w:rsid w:val="004D4F57"/>
    <w:pPr>
      <w:spacing w:after="160"/>
    </w:pPr>
    <w:rPr>
      <w:rFonts w:eastAsia="Arial"/>
      <w:bCs/>
      <w:i/>
      <w:iCs/>
    </w:rPr>
  </w:style>
  <w:style w:type="paragraph" w:styleId="TOC3">
    <w:name w:val="toc 3"/>
    <w:basedOn w:val="Normal"/>
    <w:next w:val="Normal"/>
    <w:autoRedefine/>
    <w:uiPriority w:val="39"/>
    <w:unhideWhenUsed/>
    <w:rsid w:val="000017F7"/>
    <w:pPr>
      <w:tabs>
        <w:tab w:val="left" w:pos="1200"/>
        <w:tab w:val="right" w:leader="dot" w:pos="9016"/>
      </w:tabs>
      <w:spacing w:after="100"/>
      <w:ind w:left="440"/>
    </w:pPr>
    <w:rPr>
      <w:rFonts w:eastAsia="Arial"/>
      <w:noProof/>
      <w:color w:val="351C26" w:themeColor="text1"/>
      <w:sz w:val="18"/>
    </w:rPr>
  </w:style>
  <w:style w:type="paragraph" w:styleId="TOC1">
    <w:name w:val="toc 1"/>
    <w:basedOn w:val="Normal"/>
    <w:next w:val="Normal"/>
    <w:autoRedefine/>
    <w:uiPriority w:val="39"/>
    <w:unhideWhenUsed/>
    <w:rsid w:val="00676493"/>
    <w:pPr>
      <w:spacing w:after="100"/>
    </w:pPr>
  </w:style>
  <w:style w:type="character" w:styleId="Hyperlink">
    <w:name w:val="Hyperlink"/>
    <w:basedOn w:val="DefaultParagraphFont"/>
    <w:uiPriority w:val="99"/>
    <w:unhideWhenUsed/>
    <w:rsid w:val="007B2474"/>
    <w:rPr>
      <w:color w:val="254C8C"/>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8C7722"/>
    <w:rPr>
      <w:rFonts w:ascii="Arial" w:eastAsia="Times New Roman" w:hAnsi="Arial" w:cs="Arial"/>
      <w:kern w:val="0"/>
      <w:sz w:val="20"/>
      <w:szCs w:val="20"/>
      <w:lang w:eastAsia="en-GB"/>
      <w14:ligatures w14:val="none"/>
    </w:rPr>
  </w:style>
  <w:style w:type="character" w:styleId="UnresolvedMention">
    <w:name w:val="Unresolved Mention"/>
    <w:basedOn w:val="DefaultParagraphFont"/>
    <w:uiPriority w:val="99"/>
    <w:semiHidden/>
    <w:unhideWhenUsed/>
    <w:rsid w:val="001273A5"/>
    <w:rPr>
      <w:color w:val="605E5C"/>
      <w:shd w:val="clear" w:color="auto" w:fill="E1DFDD"/>
    </w:rPr>
  </w:style>
  <w:style w:type="paragraph" w:styleId="Header">
    <w:name w:val="header"/>
    <w:basedOn w:val="Normal"/>
    <w:link w:val="HeaderChar"/>
    <w:uiPriority w:val="99"/>
    <w:unhideWhenUsed/>
    <w:rsid w:val="00964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Arial" w:eastAsia="Times New Roman" w:hAnsi="Arial" w:cs="Arial"/>
      <w:kern w:val="0"/>
      <w:szCs w:val="24"/>
      <w:lang w:eastAsia="en-GB"/>
      <w14:ligatures w14:val="none"/>
    </w:rPr>
  </w:style>
  <w:style w:type="paragraph" w:styleId="Footer">
    <w:name w:val="footer"/>
    <w:basedOn w:val="Normal"/>
    <w:link w:val="FooterChar"/>
    <w:uiPriority w:val="99"/>
    <w:unhideWhenUsed/>
    <w:rsid w:val="00964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Arial" w:eastAsia="Times New Roman" w:hAnsi="Arial" w:cs="Arial"/>
      <w:kern w:val="0"/>
      <w:szCs w:val="24"/>
      <w:lang w:eastAsia="en-GB"/>
      <w14:ligatures w14:val="none"/>
    </w:rPr>
  </w:style>
  <w:style w:type="character" w:styleId="FollowedHyperlink">
    <w:name w:val="FollowedHyperlink"/>
    <w:basedOn w:val="DefaultParagraphFont"/>
    <w:uiPriority w:val="99"/>
    <w:semiHidden/>
    <w:unhideWhenUsed/>
    <w:rsid w:val="002A2716"/>
    <w:rPr>
      <w:color w:val="FCBF86" w:themeColor="followedHyperlink"/>
      <w:u w:val="single"/>
    </w:rPr>
  </w:style>
  <w:style w:type="character" w:styleId="Strong">
    <w:name w:val="Strong"/>
    <w:basedOn w:val="DefaultParagraphFont"/>
    <w:uiPriority w:val="22"/>
    <w:qFormat/>
    <w:rsid w:val="002C72DF"/>
    <w:rPr>
      <w:b/>
      <w:bCs/>
      <w:color w:val="6B3B57" w:themeColor="accent2"/>
    </w:rPr>
  </w:style>
  <w:style w:type="paragraph" w:styleId="Revision">
    <w:name w:val="Revision"/>
    <w:hidden/>
    <w:uiPriority w:val="99"/>
    <w:semiHidden/>
    <w:rsid w:val="00C07358"/>
    <w:pPr>
      <w:spacing w:after="0" w:line="240" w:lineRule="auto"/>
    </w:pPr>
    <w:rPr>
      <w:rFonts w:ascii="Arial" w:eastAsia="Times New Roman" w:hAnsi="Arial" w:cs="Arial"/>
      <w:kern w:val="0"/>
      <w:szCs w:val="24"/>
      <w:lang w:eastAsia="en-GB"/>
      <w14:ligatures w14:val="none"/>
    </w:rPr>
  </w:style>
  <w:style w:type="paragraph" w:styleId="Caption">
    <w:name w:val="caption"/>
    <w:basedOn w:val="Normal"/>
    <w:next w:val="Normal"/>
    <w:uiPriority w:val="35"/>
    <w:unhideWhenUsed/>
    <w:qFormat/>
    <w:rsid w:val="00271D48"/>
    <w:pPr>
      <w:spacing w:after="200"/>
    </w:pPr>
    <w:rPr>
      <w:rFonts w:ascii="Times New Roman" w:hAnsi="Times New Roman"/>
      <w:i/>
      <w:iCs/>
      <w:color w:val="351C26" w:themeColor="text2"/>
      <w:sz w:val="18"/>
      <w:szCs w:val="18"/>
    </w:rPr>
  </w:style>
  <w:style w:type="table" w:styleId="TableGrid">
    <w:name w:val="Table Grid"/>
    <w:basedOn w:val="TableNormal"/>
    <w:uiPriority w:val="99"/>
    <w:rsid w:val="0027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710A3"/>
    <w:pPr>
      <w:spacing w:before="100" w:beforeAutospacing="1" w:after="100" w:afterAutospacing="1"/>
    </w:pPr>
    <w:rPr>
      <w:rFonts w:ascii="Times New Roman" w:hAnsi="Times New Roman"/>
    </w:rPr>
  </w:style>
  <w:style w:type="character" w:customStyle="1" w:styleId="normaltextrun">
    <w:name w:val="normaltextrun"/>
    <w:basedOn w:val="DefaultParagraphFont"/>
    <w:rsid w:val="006710A3"/>
  </w:style>
  <w:style w:type="character" w:customStyle="1" w:styleId="eop">
    <w:name w:val="eop"/>
    <w:basedOn w:val="DefaultParagraphFont"/>
    <w:rsid w:val="006710A3"/>
  </w:style>
  <w:style w:type="paragraph" w:styleId="BodyText">
    <w:name w:val="Body Text"/>
    <w:basedOn w:val="Normal"/>
    <w:link w:val="BodyTextChar"/>
    <w:uiPriority w:val="1"/>
    <w:qFormat/>
    <w:rsid w:val="00236D6B"/>
    <w:pPr>
      <w:widowControl w:val="0"/>
      <w:autoSpaceDE w:val="0"/>
      <w:autoSpaceDN w:val="0"/>
    </w:pPr>
    <w:rPr>
      <w:rFonts w:ascii="Times New Roman" w:eastAsia="Arial" w:hAnsi="Times New Roman"/>
    </w:rPr>
  </w:style>
  <w:style w:type="character" w:customStyle="1" w:styleId="BodyTextChar">
    <w:name w:val="Body Text Char"/>
    <w:basedOn w:val="DefaultParagraphFont"/>
    <w:link w:val="BodyText"/>
    <w:uiPriority w:val="1"/>
    <w:rsid w:val="00236D6B"/>
    <w:rPr>
      <w:rFonts w:ascii="Times New Roman" w:eastAsia="Arial" w:hAnsi="Times New Roman" w:cs="Arial"/>
      <w:kern w:val="0"/>
      <w:sz w:val="24"/>
      <w:szCs w:val="24"/>
      <w:lang w:eastAsia="en-GB"/>
      <w14:ligatures w14:val="none"/>
    </w:rPr>
  </w:style>
  <w:style w:type="paragraph" w:customStyle="1" w:styleId="Normal-9">
    <w:name w:val="Normal - 9"/>
    <w:basedOn w:val="Normal"/>
    <w:qFormat/>
    <w:rsid w:val="0082061A"/>
    <w:rPr>
      <w:sz w:val="18"/>
      <w:szCs w:val="20"/>
    </w:rPr>
  </w:style>
  <w:style w:type="paragraph" w:styleId="CommentSubject">
    <w:name w:val="annotation subject"/>
    <w:basedOn w:val="CommentText"/>
    <w:next w:val="CommentText"/>
    <w:link w:val="CommentSubjectChar"/>
    <w:uiPriority w:val="99"/>
    <w:semiHidden/>
    <w:unhideWhenUsed/>
    <w:rsid w:val="008E5D4E"/>
    <w:rPr>
      <w:b/>
      <w:bCs/>
    </w:rPr>
  </w:style>
  <w:style w:type="character" w:customStyle="1" w:styleId="CommentSubjectChar">
    <w:name w:val="Comment Subject Char"/>
    <w:basedOn w:val="CommentTextChar"/>
    <w:link w:val="CommentSubject"/>
    <w:uiPriority w:val="99"/>
    <w:semiHidden/>
    <w:rsid w:val="00237D88"/>
    <w:rPr>
      <w:rFonts w:ascii="Arial" w:eastAsia="Times New Roman" w:hAnsi="Arial" w:cs="Arial"/>
      <w:b/>
      <w:bCs/>
      <w:kern w:val="0"/>
      <w:sz w:val="20"/>
      <w:szCs w:val="20"/>
      <w:lang w:eastAsia="en-GB"/>
      <w14:ligatures w14:val="none"/>
    </w:rPr>
  </w:style>
  <w:style w:type="character" w:styleId="Emphasis">
    <w:name w:val="Emphasis"/>
    <w:basedOn w:val="DefaultParagraphFont"/>
    <w:uiPriority w:val="20"/>
    <w:qFormat/>
    <w:rsid w:val="008778E3"/>
    <w:rPr>
      <w:i/>
      <w:iCs/>
    </w:rPr>
  </w:style>
  <w:style w:type="character" w:styleId="Mention">
    <w:name w:val="Mention"/>
    <w:basedOn w:val="DefaultParagraphFont"/>
    <w:uiPriority w:val="99"/>
    <w:unhideWhenUsed/>
    <w:rsid w:val="00D76A18"/>
    <w:rPr>
      <w:color w:val="2B579A"/>
      <w:shd w:val="clear" w:color="auto" w:fill="E1DFDD"/>
    </w:rPr>
  </w:style>
  <w:style w:type="character" w:styleId="SubtleReference">
    <w:name w:val="Subtle Reference"/>
    <w:basedOn w:val="DefaultParagraphFont"/>
    <w:uiPriority w:val="31"/>
    <w:rsid w:val="008A715D"/>
    <w:rPr>
      <w:smallCaps/>
      <w:color w:val="98506D" w:themeColor="text1" w:themeTint="A5"/>
    </w:rPr>
  </w:style>
  <w:style w:type="paragraph" w:customStyle="1" w:styleId="Heading2-Front">
    <w:name w:val="Heading 2 - Front"/>
    <w:basedOn w:val="Normal"/>
    <w:qFormat/>
    <w:rsid w:val="005E23E7"/>
    <w:rPr>
      <w:rFonts w:eastAsiaTheme="majorEastAsia"/>
      <w:sz w:val="40"/>
      <w:szCs w:val="40"/>
      <w:lang w:val="en-GB"/>
    </w:rPr>
  </w:style>
  <w:style w:type="paragraph" w:customStyle="1" w:styleId="Heading1-No">
    <w:name w:val="Heading 1 - No #"/>
    <w:basedOn w:val="Heading1"/>
    <w:qFormat/>
    <w:rsid w:val="00FD0CAD"/>
    <w:pPr>
      <w:numPr>
        <w:numId w:val="0"/>
      </w:numPr>
      <w:ind w:left="851" w:hanging="851"/>
    </w:pPr>
  </w:style>
  <w:style w:type="paragraph" w:customStyle="1" w:styleId="Normal-Bold">
    <w:name w:val="Normal - Bold"/>
    <w:basedOn w:val="Normal"/>
    <w:qFormat/>
    <w:rsid w:val="005E1A8D"/>
    <w:rPr>
      <w:b/>
      <w:bCs/>
    </w:rPr>
  </w:style>
  <w:style w:type="paragraph" w:customStyle="1" w:styleId="Heading2-No">
    <w:name w:val="Heading 2 - No #"/>
    <w:basedOn w:val="Heading2"/>
    <w:qFormat/>
    <w:rsid w:val="00C725A5"/>
    <w:pPr>
      <w:numPr>
        <w:ilvl w:val="0"/>
        <w:numId w:val="0"/>
      </w:numPr>
      <w:ind w:left="851" w:hanging="851"/>
    </w:pPr>
    <w:rPr>
      <w:rFonts w:cs="Arial"/>
    </w:rPr>
  </w:style>
  <w:style w:type="paragraph" w:customStyle="1" w:styleId="TableNote">
    <w:name w:val="Table Note"/>
    <w:basedOn w:val="Normal"/>
    <w:qFormat/>
    <w:rsid w:val="001642C8"/>
    <w:rPr>
      <w:rFonts w:eastAsia="Arial"/>
      <w:sz w:val="18"/>
      <w:szCs w:val="20"/>
    </w:rPr>
  </w:style>
  <w:style w:type="paragraph" w:customStyle="1" w:styleId="Figureheading">
    <w:name w:val="Figure heading"/>
    <w:basedOn w:val="Normal"/>
    <w:qFormat/>
    <w:rsid w:val="005E1A8D"/>
    <w:rPr>
      <w:i/>
      <w:iCs/>
    </w:rPr>
  </w:style>
  <w:style w:type="paragraph" w:customStyle="1" w:styleId="Numberedparagraph">
    <w:name w:val="Numbered paragraph"/>
    <w:basedOn w:val="ListParagraph"/>
    <w:qFormat/>
    <w:rsid w:val="00C546B4"/>
    <w:pPr>
      <w:numPr>
        <w:numId w:val="0"/>
      </w:numPr>
      <w:ind w:left="720" w:hanging="360"/>
      <w:contextualSpacing w:val="0"/>
    </w:pPr>
  </w:style>
  <w:style w:type="character" w:styleId="SubtleEmphasis">
    <w:name w:val="Subtle Emphasis"/>
    <w:basedOn w:val="DefaultParagraphFont"/>
    <w:uiPriority w:val="19"/>
    <w:rsid w:val="00E84DD7"/>
    <w:rPr>
      <w:i/>
      <w:iCs/>
      <w:color w:val="7B4158" w:themeColor="text1" w:themeTint="BF"/>
    </w:rPr>
  </w:style>
  <w:style w:type="paragraph" w:customStyle="1" w:styleId="FigureNote">
    <w:name w:val="Figure Note"/>
    <w:basedOn w:val="Normal"/>
    <w:qFormat/>
    <w:rsid w:val="005F15D3"/>
    <w:rPr>
      <w:rFonts w:eastAsia="Inter Light"/>
      <w:sz w:val="18"/>
      <w:szCs w:val="20"/>
      <w:lang w:val="en-US"/>
    </w:rPr>
  </w:style>
  <w:style w:type="paragraph" w:styleId="TOC4">
    <w:name w:val="toc 4"/>
    <w:basedOn w:val="Normal"/>
    <w:next w:val="Normal"/>
    <w:uiPriority w:val="39"/>
    <w:unhideWhenUsed/>
    <w:rsid w:val="000E24E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745">
      <w:bodyDiv w:val="1"/>
      <w:marLeft w:val="0"/>
      <w:marRight w:val="0"/>
      <w:marTop w:val="0"/>
      <w:marBottom w:val="0"/>
      <w:divBdr>
        <w:top w:val="none" w:sz="0" w:space="0" w:color="auto"/>
        <w:left w:val="none" w:sz="0" w:space="0" w:color="auto"/>
        <w:bottom w:val="none" w:sz="0" w:space="0" w:color="auto"/>
        <w:right w:val="none" w:sz="0" w:space="0" w:color="auto"/>
      </w:divBdr>
      <w:divsChild>
        <w:div w:id="1828012727">
          <w:marLeft w:val="0"/>
          <w:marRight w:val="0"/>
          <w:marTop w:val="0"/>
          <w:marBottom w:val="0"/>
          <w:divBdr>
            <w:top w:val="none" w:sz="0" w:space="0" w:color="auto"/>
            <w:left w:val="none" w:sz="0" w:space="0" w:color="auto"/>
            <w:bottom w:val="none" w:sz="0" w:space="0" w:color="auto"/>
            <w:right w:val="none" w:sz="0" w:space="0" w:color="auto"/>
          </w:divBdr>
        </w:div>
      </w:divsChild>
    </w:div>
    <w:div w:id="347568136">
      <w:bodyDiv w:val="1"/>
      <w:marLeft w:val="0"/>
      <w:marRight w:val="0"/>
      <w:marTop w:val="0"/>
      <w:marBottom w:val="0"/>
      <w:divBdr>
        <w:top w:val="none" w:sz="0" w:space="0" w:color="auto"/>
        <w:left w:val="none" w:sz="0" w:space="0" w:color="auto"/>
        <w:bottom w:val="none" w:sz="0" w:space="0" w:color="auto"/>
        <w:right w:val="none" w:sz="0" w:space="0" w:color="auto"/>
      </w:divBdr>
      <w:divsChild>
        <w:div w:id="1610114970">
          <w:marLeft w:val="0"/>
          <w:marRight w:val="0"/>
          <w:marTop w:val="0"/>
          <w:marBottom w:val="0"/>
          <w:divBdr>
            <w:top w:val="none" w:sz="0" w:space="0" w:color="auto"/>
            <w:left w:val="none" w:sz="0" w:space="0" w:color="auto"/>
            <w:bottom w:val="none" w:sz="0" w:space="0" w:color="auto"/>
            <w:right w:val="none" w:sz="0" w:space="0" w:color="auto"/>
          </w:divBdr>
        </w:div>
      </w:divsChild>
    </w:div>
    <w:div w:id="381485611">
      <w:bodyDiv w:val="1"/>
      <w:marLeft w:val="0"/>
      <w:marRight w:val="0"/>
      <w:marTop w:val="0"/>
      <w:marBottom w:val="0"/>
      <w:divBdr>
        <w:top w:val="none" w:sz="0" w:space="0" w:color="auto"/>
        <w:left w:val="none" w:sz="0" w:space="0" w:color="auto"/>
        <w:bottom w:val="none" w:sz="0" w:space="0" w:color="auto"/>
        <w:right w:val="none" w:sz="0" w:space="0" w:color="auto"/>
      </w:divBdr>
      <w:divsChild>
        <w:div w:id="1864588652">
          <w:marLeft w:val="0"/>
          <w:marRight w:val="0"/>
          <w:marTop w:val="0"/>
          <w:marBottom w:val="0"/>
          <w:divBdr>
            <w:top w:val="none" w:sz="0" w:space="0" w:color="auto"/>
            <w:left w:val="none" w:sz="0" w:space="0" w:color="auto"/>
            <w:bottom w:val="none" w:sz="0" w:space="0" w:color="auto"/>
            <w:right w:val="none" w:sz="0" w:space="0" w:color="auto"/>
          </w:divBdr>
        </w:div>
      </w:divsChild>
    </w:div>
    <w:div w:id="397871536">
      <w:bodyDiv w:val="1"/>
      <w:marLeft w:val="0"/>
      <w:marRight w:val="0"/>
      <w:marTop w:val="0"/>
      <w:marBottom w:val="0"/>
      <w:divBdr>
        <w:top w:val="none" w:sz="0" w:space="0" w:color="auto"/>
        <w:left w:val="none" w:sz="0" w:space="0" w:color="auto"/>
        <w:bottom w:val="none" w:sz="0" w:space="0" w:color="auto"/>
        <w:right w:val="none" w:sz="0" w:space="0" w:color="auto"/>
      </w:divBdr>
      <w:divsChild>
        <w:div w:id="304895229">
          <w:marLeft w:val="0"/>
          <w:marRight w:val="0"/>
          <w:marTop w:val="0"/>
          <w:marBottom w:val="0"/>
          <w:divBdr>
            <w:top w:val="none" w:sz="0" w:space="0" w:color="auto"/>
            <w:left w:val="none" w:sz="0" w:space="0" w:color="auto"/>
            <w:bottom w:val="none" w:sz="0" w:space="0" w:color="auto"/>
            <w:right w:val="none" w:sz="0" w:space="0" w:color="auto"/>
          </w:divBdr>
        </w:div>
      </w:divsChild>
    </w:div>
    <w:div w:id="529339113">
      <w:bodyDiv w:val="1"/>
      <w:marLeft w:val="0"/>
      <w:marRight w:val="0"/>
      <w:marTop w:val="0"/>
      <w:marBottom w:val="0"/>
      <w:divBdr>
        <w:top w:val="none" w:sz="0" w:space="0" w:color="auto"/>
        <w:left w:val="none" w:sz="0" w:space="0" w:color="auto"/>
        <w:bottom w:val="none" w:sz="0" w:space="0" w:color="auto"/>
        <w:right w:val="none" w:sz="0" w:space="0" w:color="auto"/>
      </w:divBdr>
      <w:divsChild>
        <w:div w:id="307318680">
          <w:marLeft w:val="0"/>
          <w:marRight w:val="0"/>
          <w:marTop w:val="0"/>
          <w:marBottom w:val="0"/>
          <w:divBdr>
            <w:top w:val="none" w:sz="0" w:space="0" w:color="auto"/>
            <w:left w:val="none" w:sz="0" w:space="0" w:color="auto"/>
            <w:bottom w:val="none" w:sz="0" w:space="0" w:color="auto"/>
            <w:right w:val="none" w:sz="0" w:space="0" w:color="auto"/>
          </w:divBdr>
          <w:divsChild>
            <w:div w:id="597712643">
              <w:marLeft w:val="0"/>
              <w:marRight w:val="0"/>
              <w:marTop w:val="0"/>
              <w:marBottom w:val="0"/>
              <w:divBdr>
                <w:top w:val="none" w:sz="0" w:space="0" w:color="auto"/>
                <w:left w:val="none" w:sz="0" w:space="0" w:color="auto"/>
                <w:bottom w:val="none" w:sz="0" w:space="0" w:color="auto"/>
                <w:right w:val="none" w:sz="0" w:space="0" w:color="auto"/>
              </w:divBdr>
            </w:div>
            <w:div w:id="981690771">
              <w:marLeft w:val="0"/>
              <w:marRight w:val="0"/>
              <w:marTop w:val="0"/>
              <w:marBottom w:val="0"/>
              <w:divBdr>
                <w:top w:val="none" w:sz="0" w:space="0" w:color="auto"/>
                <w:left w:val="none" w:sz="0" w:space="0" w:color="auto"/>
                <w:bottom w:val="none" w:sz="0" w:space="0" w:color="auto"/>
                <w:right w:val="none" w:sz="0" w:space="0" w:color="auto"/>
              </w:divBdr>
            </w:div>
            <w:div w:id="1230463597">
              <w:marLeft w:val="0"/>
              <w:marRight w:val="0"/>
              <w:marTop w:val="0"/>
              <w:marBottom w:val="0"/>
              <w:divBdr>
                <w:top w:val="none" w:sz="0" w:space="0" w:color="auto"/>
                <w:left w:val="none" w:sz="0" w:space="0" w:color="auto"/>
                <w:bottom w:val="none" w:sz="0" w:space="0" w:color="auto"/>
                <w:right w:val="none" w:sz="0" w:space="0" w:color="auto"/>
              </w:divBdr>
            </w:div>
          </w:divsChild>
        </w:div>
        <w:div w:id="519781246">
          <w:marLeft w:val="0"/>
          <w:marRight w:val="0"/>
          <w:marTop w:val="0"/>
          <w:marBottom w:val="0"/>
          <w:divBdr>
            <w:top w:val="none" w:sz="0" w:space="0" w:color="auto"/>
            <w:left w:val="none" w:sz="0" w:space="0" w:color="auto"/>
            <w:bottom w:val="none" w:sz="0" w:space="0" w:color="auto"/>
            <w:right w:val="none" w:sz="0" w:space="0" w:color="auto"/>
          </w:divBdr>
          <w:divsChild>
            <w:div w:id="662246048">
              <w:marLeft w:val="-75"/>
              <w:marRight w:val="0"/>
              <w:marTop w:val="30"/>
              <w:marBottom w:val="30"/>
              <w:divBdr>
                <w:top w:val="none" w:sz="0" w:space="0" w:color="auto"/>
                <w:left w:val="none" w:sz="0" w:space="0" w:color="auto"/>
                <w:bottom w:val="none" w:sz="0" w:space="0" w:color="auto"/>
                <w:right w:val="none" w:sz="0" w:space="0" w:color="auto"/>
              </w:divBdr>
              <w:divsChild>
                <w:div w:id="378238648">
                  <w:marLeft w:val="0"/>
                  <w:marRight w:val="0"/>
                  <w:marTop w:val="0"/>
                  <w:marBottom w:val="0"/>
                  <w:divBdr>
                    <w:top w:val="none" w:sz="0" w:space="0" w:color="auto"/>
                    <w:left w:val="none" w:sz="0" w:space="0" w:color="auto"/>
                    <w:bottom w:val="none" w:sz="0" w:space="0" w:color="auto"/>
                    <w:right w:val="none" w:sz="0" w:space="0" w:color="auto"/>
                  </w:divBdr>
                  <w:divsChild>
                    <w:div w:id="501361214">
                      <w:marLeft w:val="0"/>
                      <w:marRight w:val="0"/>
                      <w:marTop w:val="0"/>
                      <w:marBottom w:val="0"/>
                      <w:divBdr>
                        <w:top w:val="none" w:sz="0" w:space="0" w:color="auto"/>
                        <w:left w:val="none" w:sz="0" w:space="0" w:color="auto"/>
                        <w:bottom w:val="none" w:sz="0" w:space="0" w:color="auto"/>
                        <w:right w:val="none" w:sz="0" w:space="0" w:color="auto"/>
                      </w:divBdr>
                    </w:div>
                  </w:divsChild>
                </w:div>
                <w:div w:id="417140347">
                  <w:marLeft w:val="0"/>
                  <w:marRight w:val="0"/>
                  <w:marTop w:val="0"/>
                  <w:marBottom w:val="0"/>
                  <w:divBdr>
                    <w:top w:val="none" w:sz="0" w:space="0" w:color="auto"/>
                    <w:left w:val="none" w:sz="0" w:space="0" w:color="auto"/>
                    <w:bottom w:val="none" w:sz="0" w:space="0" w:color="auto"/>
                    <w:right w:val="none" w:sz="0" w:space="0" w:color="auto"/>
                  </w:divBdr>
                  <w:divsChild>
                    <w:div w:id="1595046461">
                      <w:marLeft w:val="0"/>
                      <w:marRight w:val="0"/>
                      <w:marTop w:val="0"/>
                      <w:marBottom w:val="0"/>
                      <w:divBdr>
                        <w:top w:val="none" w:sz="0" w:space="0" w:color="auto"/>
                        <w:left w:val="none" w:sz="0" w:space="0" w:color="auto"/>
                        <w:bottom w:val="none" w:sz="0" w:space="0" w:color="auto"/>
                        <w:right w:val="none" w:sz="0" w:space="0" w:color="auto"/>
                      </w:divBdr>
                    </w:div>
                  </w:divsChild>
                </w:div>
                <w:div w:id="505872400">
                  <w:marLeft w:val="0"/>
                  <w:marRight w:val="0"/>
                  <w:marTop w:val="0"/>
                  <w:marBottom w:val="0"/>
                  <w:divBdr>
                    <w:top w:val="none" w:sz="0" w:space="0" w:color="auto"/>
                    <w:left w:val="none" w:sz="0" w:space="0" w:color="auto"/>
                    <w:bottom w:val="none" w:sz="0" w:space="0" w:color="auto"/>
                    <w:right w:val="none" w:sz="0" w:space="0" w:color="auto"/>
                  </w:divBdr>
                  <w:divsChild>
                    <w:div w:id="1434007700">
                      <w:marLeft w:val="0"/>
                      <w:marRight w:val="0"/>
                      <w:marTop w:val="0"/>
                      <w:marBottom w:val="0"/>
                      <w:divBdr>
                        <w:top w:val="none" w:sz="0" w:space="0" w:color="auto"/>
                        <w:left w:val="none" w:sz="0" w:space="0" w:color="auto"/>
                        <w:bottom w:val="none" w:sz="0" w:space="0" w:color="auto"/>
                        <w:right w:val="none" w:sz="0" w:space="0" w:color="auto"/>
                      </w:divBdr>
                    </w:div>
                  </w:divsChild>
                </w:div>
                <w:div w:id="595792690">
                  <w:marLeft w:val="0"/>
                  <w:marRight w:val="0"/>
                  <w:marTop w:val="0"/>
                  <w:marBottom w:val="0"/>
                  <w:divBdr>
                    <w:top w:val="none" w:sz="0" w:space="0" w:color="auto"/>
                    <w:left w:val="none" w:sz="0" w:space="0" w:color="auto"/>
                    <w:bottom w:val="none" w:sz="0" w:space="0" w:color="auto"/>
                    <w:right w:val="none" w:sz="0" w:space="0" w:color="auto"/>
                  </w:divBdr>
                  <w:divsChild>
                    <w:div w:id="598023691">
                      <w:marLeft w:val="0"/>
                      <w:marRight w:val="0"/>
                      <w:marTop w:val="0"/>
                      <w:marBottom w:val="0"/>
                      <w:divBdr>
                        <w:top w:val="none" w:sz="0" w:space="0" w:color="auto"/>
                        <w:left w:val="none" w:sz="0" w:space="0" w:color="auto"/>
                        <w:bottom w:val="none" w:sz="0" w:space="0" w:color="auto"/>
                        <w:right w:val="none" w:sz="0" w:space="0" w:color="auto"/>
                      </w:divBdr>
                    </w:div>
                  </w:divsChild>
                </w:div>
                <w:div w:id="632638885">
                  <w:marLeft w:val="0"/>
                  <w:marRight w:val="0"/>
                  <w:marTop w:val="0"/>
                  <w:marBottom w:val="0"/>
                  <w:divBdr>
                    <w:top w:val="none" w:sz="0" w:space="0" w:color="auto"/>
                    <w:left w:val="none" w:sz="0" w:space="0" w:color="auto"/>
                    <w:bottom w:val="none" w:sz="0" w:space="0" w:color="auto"/>
                    <w:right w:val="none" w:sz="0" w:space="0" w:color="auto"/>
                  </w:divBdr>
                  <w:divsChild>
                    <w:div w:id="1648433371">
                      <w:marLeft w:val="0"/>
                      <w:marRight w:val="0"/>
                      <w:marTop w:val="0"/>
                      <w:marBottom w:val="0"/>
                      <w:divBdr>
                        <w:top w:val="none" w:sz="0" w:space="0" w:color="auto"/>
                        <w:left w:val="none" w:sz="0" w:space="0" w:color="auto"/>
                        <w:bottom w:val="none" w:sz="0" w:space="0" w:color="auto"/>
                        <w:right w:val="none" w:sz="0" w:space="0" w:color="auto"/>
                      </w:divBdr>
                    </w:div>
                  </w:divsChild>
                </w:div>
                <w:div w:id="1499006082">
                  <w:marLeft w:val="0"/>
                  <w:marRight w:val="0"/>
                  <w:marTop w:val="0"/>
                  <w:marBottom w:val="0"/>
                  <w:divBdr>
                    <w:top w:val="none" w:sz="0" w:space="0" w:color="auto"/>
                    <w:left w:val="none" w:sz="0" w:space="0" w:color="auto"/>
                    <w:bottom w:val="none" w:sz="0" w:space="0" w:color="auto"/>
                    <w:right w:val="none" w:sz="0" w:space="0" w:color="auto"/>
                  </w:divBdr>
                  <w:divsChild>
                    <w:div w:id="1716810809">
                      <w:marLeft w:val="0"/>
                      <w:marRight w:val="0"/>
                      <w:marTop w:val="0"/>
                      <w:marBottom w:val="0"/>
                      <w:divBdr>
                        <w:top w:val="none" w:sz="0" w:space="0" w:color="auto"/>
                        <w:left w:val="none" w:sz="0" w:space="0" w:color="auto"/>
                        <w:bottom w:val="none" w:sz="0" w:space="0" w:color="auto"/>
                        <w:right w:val="none" w:sz="0" w:space="0" w:color="auto"/>
                      </w:divBdr>
                    </w:div>
                  </w:divsChild>
                </w:div>
                <w:div w:id="1693608187">
                  <w:marLeft w:val="0"/>
                  <w:marRight w:val="0"/>
                  <w:marTop w:val="0"/>
                  <w:marBottom w:val="0"/>
                  <w:divBdr>
                    <w:top w:val="none" w:sz="0" w:space="0" w:color="auto"/>
                    <w:left w:val="none" w:sz="0" w:space="0" w:color="auto"/>
                    <w:bottom w:val="none" w:sz="0" w:space="0" w:color="auto"/>
                    <w:right w:val="none" w:sz="0" w:space="0" w:color="auto"/>
                  </w:divBdr>
                  <w:divsChild>
                    <w:div w:id="2075815476">
                      <w:marLeft w:val="0"/>
                      <w:marRight w:val="0"/>
                      <w:marTop w:val="0"/>
                      <w:marBottom w:val="0"/>
                      <w:divBdr>
                        <w:top w:val="none" w:sz="0" w:space="0" w:color="auto"/>
                        <w:left w:val="none" w:sz="0" w:space="0" w:color="auto"/>
                        <w:bottom w:val="none" w:sz="0" w:space="0" w:color="auto"/>
                        <w:right w:val="none" w:sz="0" w:space="0" w:color="auto"/>
                      </w:divBdr>
                    </w:div>
                  </w:divsChild>
                </w:div>
                <w:div w:id="2013333155">
                  <w:marLeft w:val="0"/>
                  <w:marRight w:val="0"/>
                  <w:marTop w:val="0"/>
                  <w:marBottom w:val="0"/>
                  <w:divBdr>
                    <w:top w:val="none" w:sz="0" w:space="0" w:color="auto"/>
                    <w:left w:val="none" w:sz="0" w:space="0" w:color="auto"/>
                    <w:bottom w:val="none" w:sz="0" w:space="0" w:color="auto"/>
                    <w:right w:val="none" w:sz="0" w:space="0" w:color="auto"/>
                  </w:divBdr>
                  <w:divsChild>
                    <w:div w:id="495418153">
                      <w:marLeft w:val="0"/>
                      <w:marRight w:val="0"/>
                      <w:marTop w:val="0"/>
                      <w:marBottom w:val="0"/>
                      <w:divBdr>
                        <w:top w:val="none" w:sz="0" w:space="0" w:color="auto"/>
                        <w:left w:val="none" w:sz="0" w:space="0" w:color="auto"/>
                        <w:bottom w:val="none" w:sz="0" w:space="0" w:color="auto"/>
                        <w:right w:val="none" w:sz="0" w:space="0" w:color="auto"/>
                      </w:divBdr>
                    </w:div>
                  </w:divsChild>
                </w:div>
                <w:div w:id="2100904592">
                  <w:marLeft w:val="0"/>
                  <w:marRight w:val="0"/>
                  <w:marTop w:val="0"/>
                  <w:marBottom w:val="0"/>
                  <w:divBdr>
                    <w:top w:val="none" w:sz="0" w:space="0" w:color="auto"/>
                    <w:left w:val="none" w:sz="0" w:space="0" w:color="auto"/>
                    <w:bottom w:val="none" w:sz="0" w:space="0" w:color="auto"/>
                    <w:right w:val="none" w:sz="0" w:space="0" w:color="auto"/>
                  </w:divBdr>
                  <w:divsChild>
                    <w:div w:id="788205736">
                      <w:marLeft w:val="0"/>
                      <w:marRight w:val="0"/>
                      <w:marTop w:val="0"/>
                      <w:marBottom w:val="0"/>
                      <w:divBdr>
                        <w:top w:val="none" w:sz="0" w:space="0" w:color="auto"/>
                        <w:left w:val="none" w:sz="0" w:space="0" w:color="auto"/>
                        <w:bottom w:val="none" w:sz="0" w:space="0" w:color="auto"/>
                        <w:right w:val="none" w:sz="0" w:space="0" w:color="auto"/>
                      </w:divBdr>
                    </w:div>
                  </w:divsChild>
                </w:div>
                <w:div w:id="2142309910">
                  <w:marLeft w:val="0"/>
                  <w:marRight w:val="0"/>
                  <w:marTop w:val="0"/>
                  <w:marBottom w:val="0"/>
                  <w:divBdr>
                    <w:top w:val="none" w:sz="0" w:space="0" w:color="auto"/>
                    <w:left w:val="none" w:sz="0" w:space="0" w:color="auto"/>
                    <w:bottom w:val="none" w:sz="0" w:space="0" w:color="auto"/>
                    <w:right w:val="none" w:sz="0" w:space="0" w:color="auto"/>
                  </w:divBdr>
                  <w:divsChild>
                    <w:div w:id="16853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96714">
          <w:marLeft w:val="0"/>
          <w:marRight w:val="0"/>
          <w:marTop w:val="0"/>
          <w:marBottom w:val="0"/>
          <w:divBdr>
            <w:top w:val="none" w:sz="0" w:space="0" w:color="auto"/>
            <w:left w:val="none" w:sz="0" w:space="0" w:color="auto"/>
            <w:bottom w:val="none" w:sz="0" w:space="0" w:color="auto"/>
            <w:right w:val="none" w:sz="0" w:space="0" w:color="auto"/>
          </w:divBdr>
        </w:div>
        <w:div w:id="1017393712">
          <w:marLeft w:val="0"/>
          <w:marRight w:val="0"/>
          <w:marTop w:val="0"/>
          <w:marBottom w:val="0"/>
          <w:divBdr>
            <w:top w:val="none" w:sz="0" w:space="0" w:color="auto"/>
            <w:left w:val="none" w:sz="0" w:space="0" w:color="auto"/>
            <w:bottom w:val="none" w:sz="0" w:space="0" w:color="auto"/>
            <w:right w:val="none" w:sz="0" w:space="0" w:color="auto"/>
          </w:divBdr>
          <w:divsChild>
            <w:div w:id="41753272">
              <w:marLeft w:val="0"/>
              <w:marRight w:val="0"/>
              <w:marTop w:val="0"/>
              <w:marBottom w:val="0"/>
              <w:divBdr>
                <w:top w:val="none" w:sz="0" w:space="0" w:color="auto"/>
                <w:left w:val="none" w:sz="0" w:space="0" w:color="auto"/>
                <w:bottom w:val="none" w:sz="0" w:space="0" w:color="auto"/>
                <w:right w:val="none" w:sz="0" w:space="0" w:color="auto"/>
              </w:divBdr>
            </w:div>
            <w:div w:id="312803464">
              <w:marLeft w:val="0"/>
              <w:marRight w:val="0"/>
              <w:marTop w:val="0"/>
              <w:marBottom w:val="0"/>
              <w:divBdr>
                <w:top w:val="none" w:sz="0" w:space="0" w:color="auto"/>
                <w:left w:val="none" w:sz="0" w:space="0" w:color="auto"/>
                <w:bottom w:val="none" w:sz="0" w:space="0" w:color="auto"/>
                <w:right w:val="none" w:sz="0" w:space="0" w:color="auto"/>
              </w:divBdr>
            </w:div>
            <w:div w:id="343288078">
              <w:marLeft w:val="0"/>
              <w:marRight w:val="0"/>
              <w:marTop w:val="0"/>
              <w:marBottom w:val="0"/>
              <w:divBdr>
                <w:top w:val="none" w:sz="0" w:space="0" w:color="auto"/>
                <w:left w:val="none" w:sz="0" w:space="0" w:color="auto"/>
                <w:bottom w:val="none" w:sz="0" w:space="0" w:color="auto"/>
                <w:right w:val="none" w:sz="0" w:space="0" w:color="auto"/>
              </w:divBdr>
            </w:div>
            <w:div w:id="356348807">
              <w:marLeft w:val="0"/>
              <w:marRight w:val="0"/>
              <w:marTop w:val="0"/>
              <w:marBottom w:val="0"/>
              <w:divBdr>
                <w:top w:val="none" w:sz="0" w:space="0" w:color="auto"/>
                <w:left w:val="none" w:sz="0" w:space="0" w:color="auto"/>
                <w:bottom w:val="none" w:sz="0" w:space="0" w:color="auto"/>
                <w:right w:val="none" w:sz="0" w:space="0" w:color="auto"/>
              </w:divBdr>
            </w:div>
            <w:div w:id="476413562">
              <w:marLeft w:val="0"/>
              <w:marRight w:val="0"/>
              <w:marTop w:val="0"/>
              <w:marBottom w:val="0"/>
              <w:divBdr>
                <w:top w:val="none" w:sz="0" w:space="0" w:color="auto"/>
                <w:left w:val="none" w:sz="0" w:space="0" w:color="auto"/>
                <w:bottom w:val="none" w:sz="0" w:space="0" w:color="auto"/>
                <w:right w:val="none" w:sz="0" w:space="0" w:color="auto"/>
              </w:divBdr>
            </w:div>
            <w:div w:id="585458850">
              <w:marLeft w:val="0"/>
              <w:marRight w:val="0"/>
              <w:marTop w:val="0"/>
              <w:marBottom w:val="0"/>
              <w:divBdr>
                <w:top w:val="none" w:sz="0" w:space="0" w:color="auto"/>
                <w:left w:val="none" w:sz="0" w:space="0" w:color="auto"/>
                <w:bottom w:val="none" w:sz="0" w:space="0" w:color="auto"/>
                <w:right w:val="none" w:sz="0" w:space="0" w:color="auto"/>
              </w:divBdr>
            </w:div>
            <w:div w:id="712584596">
              <w:marLeft w:val="0"/>
              <w:marRight w:val="0"/>
              <w:marTop w:val="0"/>
              <w:marBottom w:val="0"/>
              <w:divBdr>
                <w:top w:val="none" w:sz="0" w:space="0" w:color="auto"/>
                <w:left w:val="none" w:sz="0" w:space="0" w:color="auto"/>
                <w:bottom w:val="none" w:sz="0" w:space="0" w:color="auto"/>
                <w:right w:val="none" w:sz="0" w:space="0" w:color="auto"/>
              </w:divBdr>
            </w:div>
            <w:div w:id="850296520">
              <w:marLeft w:val="0"/>
              <w:marRight w:val="0"/>
              <w:marTop w:val="0"/>
              <w:marBottom w:val="0"/>
              <w:divBdr>
                <w:top w:val="none" w:sz="0" w:space="0" w:color="auto"/>
                <w:left w:val="none" w:sz="0" w:space="0" w:color="auto"/>
                <w:bottom w:val="none" w:sz="0" w:space="0" w:color="auto"/>
                <w:right w:val="none" w:sz="0" w:space="0" w:color="auto"/>
              </w:divBdr>
            </w:div>
            <w:div w:id="990720641">
              <w:marLeft w:val="0"/>
              <w:marRight w:val="0"/>
              <w:marTop w:val="0"/>
              <w:marBottom w:val="0"/>
              <w:divBdr>
                <w:top w:val="none" w:sz="0" w:space="0" w:color="auto"/>
                <w:left w:val="none" w:sz="0" w:space="0" w:color="auto"/>
                <w:bottom w:val="none" w:sz="0" w:space="0" w:color="auto"/>
                <w:right w:val="none" w:sz="0" w:space="0" w:color="auto"/>
              </w:divBdr>
            </w:div>
            <w:div w:id="1042678337">
              <w:marLeft w:val="0"/>
              <w:marRight w:val="0"/>
              <w:marTop w:val="0"/>
              <w:marBottom w:val="0"/>
              <w:divBdr>
                <w:top w:val="none" w:sz="0" w:space="0" w:color="auto"/>
                <w:left w:val="none" w:sz="0" w:space="0" w:color="auto"/>
                <w:bottom w:val="none" w:sz="0" w:space="0" w:color="auto"/>
                <w:right w:val="none" w:sz="0" w:space="0" w:color="auto"/>
              </w:divBdr>
            </w:div>
            <w:div w:id="1117018480">
              <w:marLeft w:val="0"/>
              <w:marRight w:val="0"/>
              <w:marTop w:val="0"/>
              <w:marBottom w:val="0"/>
              <w:divBdr>
                <w:top w:val="none" w:sz="0" w:space="0" w:color="auto"/>
                <w:left w:val="none" w:sz="0" w:space="0" w:color="auto"/>
                <w:bottom w:val="none" w:sz="0" w:space="0" w:color="auto"/>
                <w:right w:val="none" w:sz="0" w:space="0" w:color="auto"/>
              </w:divBdr>
            </w:div>
            <w:div w:id="1154448841">
              <w:marLeft w:val="0"/>
              <w:marRight w:val="0"/>
              <w:marTop w:val="0"/>
              <w:marBottom w:val="0"/>
              <w:divBdr>
                <w:top w:val="none" w:sz="0" w:space="0" w:color="auto"/>
                <w:left w:val="none" w:sz="0" w:space="0" w:color="auto"/>
                <w:bottom w:val="none" w:sz="0" w:space="0" w:color="auto"/>
                <w:right w:val="none" w:sz="0" w:space="0" w:color="auto"/>
              </w:divBdr>
            </w:div>
            <w:div w:id="1170490984">
              <w:marLeft w:val="0"/>
              <w:marRight w:val="0"/>
              <w:marTop w:val="0"/>
              <w:marBottom w:val="0"/>
              <w:divBdr>
                <w:top w:val="none" w:sz="0" w:space="0" w:color="auto"/>
                <w:left w:val="none" w:sz="0" w:space="0" w:color="auto"/>
                <w:bottom w:val="none" w:sz="0" w:space="0" w:color="auto"/>
                <w:right w:val="none" w:sz="0" w:space="0" w:color="auto"/>
              </w:divBdr>
            </w:div>
            <w:div w:id="1207334282">
              <w:marLeft w:val="0"/>
              <w:marRight w:val="0"/>
              <w:marTop w:val="0"/>
              <w:marBottom w:val="0"/>
              <w:divBdr>
                <w:top w:val="none" w:sz="0" w:space="0" w:color="auto"/>
                <w:left w:val="none" w:sz="0" w:space="0" w:color="auto"/>
                <w:bottom w:val="none" w:sz="0" w:space="0" w:color="auto"/>
                <w:right w:val="none" w:sz="0" w:space="0" w:color="auto"/>
              </w:divBdr>
            </w:div>
            <w:div w:id="1328900258">
              <w:marLeft w:val="0"/>
              <w:marRight w:val="0"/>
              <w:marTop w:val="0"/>
              <w:marBottom w:val="0"/>
              <w:divBdr>
                <w:top w:val="none" w:sz="0" w:space="0" w:color="auto"/>
                <w:left w:val="none" w:sz="0" w:space="0" w:color="auto"/>
                <w:bottom w:val="none" w:sz="0" w:space="0" w:color="auto"/>
                <w:right w:val="none" w:sz="0" w:space="0" w:color="auto"/>
              </w:divBdr>
            </w:div>
            <w:div w:id="1771002200">
              <w:marLeft w:val="0"/>
              <w:marRight w:val="0"/>
              <w:marTop w:val="0"/>
              <w:marBottom w:val="0"/>
              <w:divBdr>
                <w:top w:val="none" w:sz="0" w:space="0" w:color="auto"/>
                <w:left w:val="none" w:sz="0" w:space="0" w:color="auto"/>
                <w:bottom w:val="none" w:sz="0" w:space="0" w:color="auto"/>
                <w:right w:val="none" w:sz="0" w:space="0" w:color="auto"/>
              </w:divBdr>
            </w:div>
            <w:div w:id="1885826766">
              <w:marLeft w:val="0"/>
              <w:marRight w:val="0"/>
              <w:marTop w:val="0"/>
              <w:marBottom w:val="0"/>
              <w:divBdr>
                <w:top w:val="none" w:sz="0" w:space="0" w:color="auto"/>
                <w:left w:val="none" w:sz="0" w:space="0" w:color="auto"/>
                <w:bottom w:val="none" w:sz="0" w:space="0" w:color="auto"/>
                <w:right w:val="none" w:sz="0" w:space="0" w:color="auto"/>
              </w:divBdr>
            </w:div>
            <w:div w:id="1905683059">
              <w:marLeft w:val="0"/>
              <w:marRight w:val="0"/>
              <w:marTop w:val="0"/>
              <w:marBottom w:val="0"/>
              <w:divBdr>
                <w:top w:val="none" w:sz="0" w:space="0" w:color="auto"/>
                <w:left w:val="none" w:sz="0" w:space="0" w:color="auto"/>
                <w:bottom w:val="none" w:sz="0" w:space="0" w:color="auto"/>
                <w:right w:val="none" w:sz="0" w:space="0" w:color="auto"/>
              </w:divBdr>
            </w:div>
            <w:div w:id="1963265484">
              <w:marLeft w:val="0"/>
              <w:marRight w:val="0"/>
              <w:marTop w:val="0"/>
              <w:marBottom w:val="0"/>
              <w:divBdr>
                <w:top w:val="none" w:sz="0" w:space="0" w:color="auto"/>
                <w:left w:val="none" w:sz="0" w:space="0" w:color="auto"/>
                <w:bottom w:val="none" w:sz="0" w:space="0" w:color="auto"/>
                <w:right w:val="none" w:sz="0" w:space="0" w:color="auto"/>
              </w:divBdr>
            </w:div>
            <w:div w:id="2019892084">
              <w:marLeft w:val="0"/>
              <w:marRight w:val="0"/>
              <w:marTop w:val="0"/>
              <w:marBottom w:val="0"/>
              <w:divBdr>
                <w:top w:val="none" w:sz="0" w:space="0" w:color="auto"/>
                <w:left w:val="none" w:sz="0" w:space="0" w:color="auto"/>
                <w:bottom w:val="none" w:sz="0" w:space="0" w:color="auto"/>
                <w:right w:val="none" w:sz="0" w:space="0" w:color="auto"/>
              </w:divBdr>
            </w:div>
          </w:divsChild>
        </w:div>
        <w:div w:id="1243876478">
          <w:marLeft w:val="0"/>
          <w:marRight w:val="0"/>
          <w:marTop w:val="0"/>
          <w:marBottom w:val="0"/>
          <w:divBdr>
            <w:top w:val="none" w:sz="0" w:space="0" w:color="auto"/>
            <w:left w:val="none" w:sz="0" w:space="0" w:color="auto"/>
            <w:bottom w:val="none" w:sz="0" w:space="0" w:color="auto"/>
            <w:right w:val="none" w:sz="0" w:space="0" w:color="auto"/>
          </w:divBdr>
        </w:div>
        <w:div w:id="1266186474">
          <w:marLeft w:val="0"/>
          <w:marRight w:val="0"/>
          <w:marTop w:val="0"/>
          <w:marBottom w:val="0"/>
          <w:divBdr>
            <w:top w:val="none" w:sz="0" w:space="0" w:color="auto"/>
            <w:left w:val="none" w:sz="0" w:space="0" w:color="auto"/>
            <w:bottom w:val="none" w:sz="0" w:space="0" w:color="auto"/>
            <w:right w:val="none" w:sz="0" w:space="0" w:color="auto"/>
          </w:divBdr>
        </w:div>
        <w:div w:id="1501852504">
          <w:marLeft w:val="0"/>
          <w:marRight w:val="0"/>
          <w:marTop w:val="0"/>
          <w:marBottom w:val="0"/>
          <w:divBdr>
            <w:top w:val="none" w:sz="0" w:space="0" w:color="auto"/>
            <w:left w:val="none" w:sz="0" w:space="0" w:color="auto"/>
            <w:bottom w:val="none" w:sz="0" w:space="0" w:color="auto"/>
            <w:right w:val="none" w:sz="0" w:space="0" w:color="auto"/>
          </w:divBdr>
          <w:divsChild>
            <w:div w:id="73284392">
              <w:marLeft w:val="0"/>
              <w:marRight w:val="0"/>
              <w:marTop w:val="0"/>
              <w:marBottom w:val="0"/>
              <w:divBdr>
                <w:top w:val="none" w:sz="0" w:space="0" w:color="auto"/>
                <w:left w:val="none" w:sz="0" w:space="0" w:color="auto"/>
                <w:bottom w:val="none" w:sz="0" w:space="0" w:color="auto"/>
                <w:right w:val="none" w:sz="0" w:space="0" w:color="auto"/>
              </w:divBdr>
            </w:div>
            <w:div w:id="151875671">
              <w:marLeft w:val="0"/>
              <w:marRight w:val="0"/>
              <w:marTop w:val="0"/>
              <w:marBottom w:val="0"/>
              <w:divBdr>
                <w:top w:val="none" w:sz="0" w:space="0" w:color="auto"/>
                <w:left w:val="none" w:sz="0" w:space="0" w:color="auto"/>
                <w:bottom w:val="none" w:sz="0" w:space="0" w:color="auto"/>
                <w:right w:val="none" w:sz="0" w:space="0" w:color="auto"/>
              </w:divBdr>
            </w:div>
            <w:div w:id="190339150">
              <w:marLeft w:val="0"/>
              <w:marRight w:val="0"/>
              <w:marTop w:val="0"/>
              <w:marBottom w:val="0"/>
              <w:divBdr>
                <w:top w:val="none" w:sz="0" w:space="0" w:color="auto"/>
                <w:left w:val="none" w:sz="0" w:space="0" w:color="auto"/>
                <w:bottom w:val="none" w:sz="0" w:space="0" w:color="auto"/>
                <w:right w:val="none" w:sz="0" w:space="0" w:color="auto"/>
              </w:divBdr>
            </w:div>
            <w:div w:id="190923059">
              <w:marLeft w:val="0"/>
              <w:marRight w:val="0"/>
              <w:marTop w:val="0"/>
              <w:marBottom w:val="0"/>
              <w:divBdr>
                <w:top w:val="none" w:sz="0" w:space="0" w:color="auto"/>
                <w:left w:val="none" w:sz="0" w:space="0" w:color="auto"/>
                <w:bottom w:val="none" w:sz="0" w:space="0" w:color="auto"/>
                <w:right w:val="none" w:sz="0" w:space="0" w:color="auto"/>
              </w:divBdr>
            </w:div>
            <w:div w:id="258564333">
              <w:marLeft w:val="0"/>
              <w:marRight w:val="0"/>
              <w:marTop w:val="0"/>
              <w:marBottom w:val="0"/>
              <w:divBdr>
                <w:top w:val="none" w:sz="0" w:space="0" w:color="auto"/>
                <w:left w:val="none" w:sz="0" w:space="0" w:color="auto"/>
                <w:bottom w:val="none" w:sz="0" w:space="0" w:color="auto"/>
                <w:right w:val="none" w:sz="0" w:space="0" w:color="auto"/>
              </w:divBdr>
            </w:div>
            <w:div w:id="307127959">
              <w:marLeft w:val="0"/>
              <w:marRight w:val="0"/>
              <w:marTop w:val="0"/>
              <w:marBottom w:val="0"/>
              <w:divBdr>
                <w:top w:val="none" w:sz="0" w:space="0" w:color="auto"/>
                <w:left w:val="none" w:sz="0" w:space="0" w:color="auto"/>
                <w:bottom w:val="none" w:sz="0" w:space="0" w:color="auto"/>
                <w:right w:val="none" w:sz="0" w:space="0" w:color="auto"/>
              </w:divBdr>
            </w:div>
            <w:div w:id="322242597">
              <w:marLeft w:val="0"/>
              <w:marRight w:val="0"/>
              <w:marTop w:val="0"/>
              <w:marBottom w:val="0"/>
              <w:divBdr>
                <w:top w:val="none" w:sz="0" w:space="0" w:color="auto"/>
                <w:left w:val="none" w:sz="0" w:space="0" w:color="auto"/>
                <w:bottom w:val="none" w:sz="0" w:space="0" w:color="auto"/>
                <w:right w:val="none" w:sz="0" w:space="0" w:color="auto"/>
              </w:divBdr>
            </w:div>
            <w:div w:id="360253300">
              <w:marLeft w:val="0"/>
              <w:marRight w:val="0"/>
              <w:marTop w:val="0"/>
              <w:marBottom w:val="0"/>
              <w:divBdr>
                <w:top w:val="none" w:sz="0" w:space="0" w:color="auto"/>
                <w:left w:val="none" w:sz="0" w:space="0" w:color="auto"/>
                <w:bottom w:val="none" w:sz="0" w:space="0" w:color="auto"/>
                <w:right w:val="none" w:sz="0" w:space="0" w:color="auto"/>
              </w:divBdr>
            </w:div>
            <w:div w:id="916482154">
              <w:marLeft w:val="0"/>
              <w:marRight w:val="0"/>
              <w:marTop w:val="0"/>
              <w:marBottom w:val="0"/>
              <w:divBdr>
                <w:top w:val="none" w:sz="0" w:space="0" w:color="auto"/>
                <w:left w:val="none" w:sz="0" w:space="0" w:color="auto"/>
                <w:bottom w:val="none" w:sz="0" w:space="0" w:color="auto"/>
                <w:right w:val="none" w:sz="0" w:space="0" w:color="auto"/>
              </w:divBdr>
            </w:div>
            <w:div w:id="1030372293">
              <w:marLeft w:val="0"/>
              <w:marRight w:val="0"/>
              <w:marTop w:val="0"/>
              <w:marBottom w:val="0"/>
              <w:divBdr>
                <w:top w:val="none" w:sz="0" w:space="0" w:color="auto"/>
                <w:left w:val="none" w:sz="0" w:space="0" w:color="auto"/>
                <w:bottom w:val="none" w:sz="0" w:space="0" w:color="auto"/>
                <w:right w:val="none" w:sz="0" w:space="0" w:color="auto"/>
              </w:divBdr>
            </w:div>
            <w:div w:id="1244291889">
              <w:marLeft w:val="0"/>
              <w:marRight w:val="0"/>
              <w:marTop w:val="0"/>
              <w:marBottom w:val="0"/>
              <w:divBdr>
                <w:top w:val="none" w:sz="0" w:space="0" w:color="auto"/>
                <w:left w:val="none" w:sz="0" w:space="0" w:color="auto"/>
                <w:bottom w:val="none" w:sz="0" w:space="0" w:color="auto"/>
                <w:right w:val="none" w:sz="0" w:space="0" w:color="auto"/>
              </w:divBdr>
            </w:div>
            <w:div w:id="1410347184">
              <w:marLeft w:val="0"/>
              <w:marRight w:val="0"/>
              <w:marTop w:val="0"/>
              <w:marBottom w:val="0"/>
              <w:divBdr>
                <w:top w:val="none" w:sz="0" w:space="0" w:color="auto"/>
                <w:left w:val="none" w:sz="0" w:space="0" w:color="auto"/>
                <w:bottom w:val="none" w:sz="0" w:space="0" w:color="auto"/>
                <w:right w:val="none" w:sz="0" w:space="0" w:color="auto"/>
              </w:divBdr>
            </w:div>
            <w:div w:id="1505170384">
              <w:marLeft w:val="0"/>
              <w:marRight w:val="0"/>
              <w:marTop w:val="0"/>
              <w:marBottom w:val="0"/>
              <w:divBdr>
                <w:top w:val="none" w:sz="0" w:space="0" w:color="auto"/>
                <w:left w:val="none" w:sz="0" w:space="0" w:color="auto"/>
                <w:bottom w:val="none" w:sz="0" w:space="0" w:color="auto"/>
                <w:right w:val="none" w:sz="0" w:space="0" w:color="auto"/>
              </w:divBdr>
            </w:div>
            <w:div w:id="1620910342">
              <w:marLeft w:val="0"/>
              <w:marRight w:val="0"/>
              <w:marTop w:val="0"/>
              <w:marBottom w:val="0"/>
              <w:divBdr>
                <w:top w:val="none" w:sz="0" w:space="0" w:color="auto"/>
                <w:left w:val="none" w:sz="0" w:space="0" w:color="auto"/>
                <w:bottom w:val="none" w:sz="0" w:space="0" w:color="auto"/>
                <w:right w:val="none" w:sz="0" w:space="0" w:color="auto"/>
              </w:divBdr>
            </w:div>
            <w:div w:id="1790470094">
              <w:marLeft w:val="0"/>
              <w:marRight w:val="0"/>
              <w:marTop w:val="0"/>
              <w:marBottom w:val="0"/>
              <w:divBdr>
                <w:top w:val="none" w:sz="0" w:space="0" w:color="auto"/>
                <w:left w:val="none" w:sz="0" w:space="0" w:color="auto"/>
                <w:bottom w:val="none" w:sz="0" w:space="0" w:color="auto"/>
                <w:right w:val="none" w:sz="0" w:space="0" w:color="auto"/>
              </w:divBdr>
            </w:div>
            <w:div w:id="2048949019">
              <w:marLeft w:val="0"/>
              <w:marRight w:val="0"/>
              <w:marTop w:val="0"/>
              <w:marBottom w:val="0"/>
              <w:divBdr>
                <w:top w:val="none" w:sz="0" w:space="0" w:color="auto"/>
                <w:left w:val="none" w:sz="0" w:space="0" w:color="auto"/>
                <w:bottom w:val="none" w:sz="0" w:space="0" w:color="auto"/>
                <w:right w:val="none" w:sz="0" w:space="0" w:color="auto"/>
              </w:divBdr>
            </w:div>
            <w:div w:id="2068337229">
              <w:marLeft w:val="0"/>
              <w:marRight w:val="0"/>
              <w:marTop w:val="0"/>
              <w:marBottom w:val="0"/>
              <w:divBdr>
                <w:top w:val="none" w:sz="0" w:space="0" w:color="auto"/>
                <w:left w:val="none" w:sz="0" w:space="0" w:color="auto"/>
                <w:bottom w:val="none" w:sz="0" w:space="0" w:color="auto"/>
                <w:right w:val="none" w:sz="0" w:space="0" w:color="auto"/>
              </w:divBdr>
            </w:div>
            <w:div w:id="2075422630">
              <w:marLeft w:val="0"/>
              <w:marRight w:val="0"/>
              <w:marTop w:val="0"/>
              <w:marBottom w:val="0"/>
              <w:divBdr>
                <w:top w:val="none" w:sz="0" w:space="0" w:color="auto"/>
                <w:left w:val="none" w:sz="0" w:space="0" w:color="auto"/>
                <w:bottom w:val="none" w:sz="0" w:space="0" w:color="auto"/>
                <w:right w:val="none" w:sz="0" w:space="0" w:color="auto"/>
              </w:divBdr>
            </w:div>
            <w:div w:id="2106222425">
              <w:marLeft w:val="0"/>
              <w:marRight w:val="0"/>
              <w:marTop w:val="0"/>
              <w:marBottom w:val="0"/>
              <w:divBdr>
                <w:top w:val="none" w:sz="0" w:space="0" w:color="auto"/>
                <w:left w:val="none" w:sz="0" w:space="0" w:color="auto"/>
                <w:bottom w:val="none" w:sz="0" w:space="0" w:color="auto"/>
                <w:right w:val="none" w:sz="0" w:space="0" w:color="auto"/>
              </w:divBdr>
            </w:div>
            <w:div w:id="2129544659">
              <w:marLeft w:val="0"/>
              <w:marRight w:val="0"/>
              <w:marTop w:val="0"/>
              <w:marBottom w:val="0"/>
              <w:divBdr>
                <w:top w:val="none" w:sz="0" w:space="0" w:color="auto"/>
                <w:left w:val="none" w:sz="0" w:space="0" w:color="auto"/>
                <w:bottom w:val="none" w:sz="0" w:space="0" w:color="auto"/>
                <w:right w:val="none" w:sz="0" w:space="0" w:color="auto"/>
              </w:divBdr>
            </w:div>
          </w:divsChild>
        </w:div>
        <w:div w:id="1726834463">
          <w:marLeft w:val="0"/>
          <w:marRight w:val="0"/>
          <w:marTop w:val="0"/>
          <w:marBottom w:val="0"/>
          <w:divBdr>
            <w:top w:val="none" w:sz="0" w:space="0" w:color="auto"/>
            <w:left w:val="none" w:sz="0" w:space="0" w:color="auto"/>
            <w:bottom w:val="none" w:sz="0" w:space="0" w:color="auto"/>
            <w:right w:val="none" w:sz="0" w:space="0" w:color="auto"/>
          </w:divBdr>
        </w:div>
        <w:div w:id="1985692172">
          <w:marLeft w:val="0"/>
          <w:marRight w:val="0"/>
          <w:marTop w:val="0"/>
          <w:marBottom w:val="0"/>
          <w:divBdr>
            <w:top w:val="none" w:sz="0" w:space="0" w:color="auto"/>
            <w:left w:val="none" w:sz="0" w:space="0" w:color="auto"/>
            <w:bottom w:val="none" w:sz="0" w:space="0" w:color="auto"/>
            <w:right w:val="none" w:sz="0" w:space="0" w:color="auto"/>
          </w:divBdr>
          <w:divsChild>
            <w:div w:id="27147553">
              <w:marLeft w:val="0"/>
              <w:marRight w:val="0"/>
              <w:marTop w:val="0"/>
              <w:marBottom w:val="0"/>
              <w:divBdr>
                <w:top w:val="none" w:sz="0" w:space="0" w:color="auto"/>
                <w:left w:val="none" w:sz="0" w:space="0" w:color="auto"/>
                <w:bottom w:val="none" w:sz="0" w:space="0" w:color="auto"/>
                <w:right w:val="none" w:sz="0" w:space="0" w:color="auto"/>
              </w:divBdr>
            </w:div>
            <w:div w:id="173420154">
              <w:marLeft w:val="0"/>
              <w:marRight w:val="0"/>
              <w:marTop w:val="0"/>
              <w:marBottom w:val="0"/>
              <w:divBdr>
                <w:top w:val="none" w:sz="0" w:space="0" w:color="auto"/>
                <w:left w:val="none" w:sz="0" w:space="0" w:color="auto"/>
                <w:bottom w:val="none" w:sz="0" w:space="0" w:color="auto"/>
                <w:right w:val="none" w:sz="0" w:space="0" w:color="auto"/>
              </w:divBdr>
            </w:div>
            <w:div w:id="226960099">
              <w:marLeft w:val="0"/>
              <w:marRight w:val="0"/>
              <w:marTop w:val="0"/>
              <w:marBottom w:val="0"/>
              <w:divBdr>
                <w:top w:val="none" w:sz="0" w:space="0" w:color="auto"/>
                <w:left w:val="none" w:sz="0" w:space="0" w:color="auto"/>
                <w:bottom w:val="none" w:sz="0" w:space="0" w:color="auto"/>
                <w:right w:val="none" w:sz="0" w:space="0" w:color="auto"/>
              </w:divBdr>
            </w:div>
            <w:div w:id="374891445">
              <w:marLeft w:val="0"/>
              <w:marRight w:val="0"/>
              <w:marTop w:val="0"/>
              <w:marBottom w:val="0"/>
              <w:divBdr>
                <w:top w:val="none" w:sz="0" w:space="0" w:color="auto"/>
                <w:left w:val="none" w:sz="0" w:space="0" w:color="auto"/>
                <w:bottom w:val="none" w:sz="0" w:space="0" w:color="auto"/>
                <w:right w:val="none" w:sz="0" w:space="0" w:color="auto"/>
              </w:divBdr>
            </w:div>
            <w:div w:id="505049665">
              <w:marLeft w:val="0"/>
              <w:marRight w:val="0"/>
              <w:marTop w:val="0"/>
              <w:marBottom w:val="0"/>
              <w:divBdr>
                <w:top w:val="none" w:sz="0" w:space="0" w:color="auto"/>
                <w:left w:val="none" w:sz="0" w:space="0" w:color="auto"/>
                <w:bottom w:val="none" w:sz="0" w:space="0" w:color="auto"/>
                <w:right w:val="none" w:sz="0" w:space="0" w:color="auto"/>
              </w:divBdr>
            </w:div>
            <w:div w:id="640505642">
              <w:marLeft w:val="0"/>
              <w:marRight w:val="0"/>
              <w:marTop w:val="0"/>
              <w:marBottom w:val="0"/>
              <w:divBdr>
                <w:top w:val="none" w:sz="0" w:space="0" w:color="auto"/>
                <w:left w:val="none" w:sz="0" w:space="0" w:color="auto"/>
                <w:bottom w:val="none" w:sz="0" w:space="0" w:color="auto"/>
                <w:right w:val="none" w:sz="0" w:space="0" w:color="auto"/>
              </w:divBdr>
            </w:div>
            <w:div w:id="644702223">
              <w:marLeft w:val="0"/>
              <w:marRight w:val="0"/>
              <w:marTop w:val="0"/>
              <w:marBottom w:val="0"/>
              <w:divBdr>
                <w:top w:val="none" w:sz="0" w:space="0" w:color="auto"/>
                <w:left w:val="none" w:sz="0" w:space="0" w:color="auto"/>
                <w:bottom w:val="none" w:sz="0" w:space="0" w:color="auto"/>
                <w:right w:val="none" w:sz="0" w:space="0" w:color="auto"/>
              </w:divBdr>
            </w:div>
            <w:div w:id="780732463">
              <w:marLeft w:val="0"/>
              <w:marRight w:val="0"/>
              <w:marTop w:val="0"/>
              <w:marBottom w:val="0"/>
              <w:divBdr>
                <w:top w:val="none" w:sz="0" w:space="0" w:color="auto"/>
                <w:left w:val="none" w:sz="0" w:space="0" w:color="auto"/>
                <w:bottom w:val="none" w:sz="0" w:space="0" w:color="auto"/>
                <w:right w:val="none" w:sz="0" w:space="0" w:color="auto"/>
              </w:divBdr>
            </w:div>
            <w:div w:id="883755019">
              <w:marLeft w:val="0"/>
              <w:marRight w:val="0"/>
              <w:marTop w:val="0"/>
              <w:marBottom w:val="0"/>
              <w:divBdr>
                <w:top w:val="none" w:sz="0" w:space="0" w:color="auto"/>
                <w:left w:val="none" w:sz="0" w:space="0" w:color="auto"/>
                <w:bottom w:val="none" w:sz="0" w:space="0" w:color="auto"/>
                <w:right w:val="none" w:sz="0" w:space="0" w:color="auto"/>
              </w:divBdr>
            </w:div>
            <w:div w:id="1016425274">
              <w:marLeft w:val="0"/>
              <w:marRight w:val="0"/>
              <w:marTop w:val="0"/>
              <w:marBottom w:val="0"/>
              <w:divBdr>
                <w:top w:val="none" w:sz="0" w:space="0" w:color="auto"/>
                <w:left w:val="none" w:sz="0" w:space="0" w:color="auto"/>
                <w:bottom w:val="none" w:sz="0" w:space="0" w:color="auto"/>
                <w:right w:val="none" w:sz="0" w:space="0" w:color="auto"/>
              </w:divBdr>
            </w:div>
            <w:div w:id="1024592517">
              <w:marLeft w:val="0"/>
              <w:marRight w:val="0"/>
              <w:marTop w:val="0"/>
              <w:marBottom w:val="0"/>
              <w:divBdr>
                <w:top w:val="none" w:sz="0" w:space="0" w:color="auto"/>
                <w:left w:val="none" w:sz="0" w:space="0" w:color="auto"/>
                <w:bottom w:val="none" w:sz="0" w:space="0" w:color="auto"/>
                <w:right w:val="none" w:sz="0" w:space="0" w:color="auto"/>
              </w:divBdr>
            </w:div>
            <w:div w:id="1319118026">
              <w:marLeft w:val="0"/>
              <w:marRight w:val="0"/>
              <w:marTop w:val="0"/>
              <w:marBottom w:val="0"/>
              <w:divBdr>
                <w:top w:val="none" w:sz="0" w:space="0" w:color="auto"/>
                <w:left w:val="none" w:sz="0" w:space="0" w:color="auto"/>
                <w:bottom w:val="none" w:sz="0" w:space="0" w:color="auto"/>
                <w:right w:val="none" w:sz="0" w:space="0" w:color="auto"/>
              </w:divBdr>
            </w:div>
            <w:div w:id="1407921167">
              <w:marLeft w:val="0"/>
              <w:marRight w:val="0"/>
              <w:marTop w:val="0"/>
              <w:marBottom w:val="0"/>
              <w:divBdr>
                <w:top w:val="none" w:sz="0" w:space="0" w:color="auto"/>
                <w:left w:val="none" w:sz="0" w:space="0" w:color="auto"/>
                <w:bottom w:val="none" w:sz="0" w:space="0" w:color="auto"/>
                <w:right w:val="none" w:sz="0" w:space="0" w:color="auto"/>
              </w:divBdr>
            </w:div>
            <w:div w:id="1459492997">
              <w:marLeft w:val="0"/>
              <w:marRight w:val="0"/>
              <w:marTop w:val="0"/>
              <w:marBottom w:val="0"/>
              <w:divBdr>
                <w:top w:val="none" w:sz="0" w:space="0" w:color="auto"/>
                <w:left w:val="none" w:sz="0" w:space="0" w:color="auto"/>
                <w:bottom w:val="none" w:sz="0" w:space="0" w:color="auto"/>
                <w:right w:val="none" w:sz="0" w:space="0" w:color="auto"/>
              </w:divBdr>
            </w:div>
            <w:div w:id="1531139045">
              <w:marLeft w:val="0"/>
              <w:marRight w:val="0"/>
              <w:marTop w:val="0"/>
              <w:marBottom w:val="0"/>
              <w:divBdr>
                <w:top w:val="none" w:sz="0" w:space="0" w:color="auto"/>
                <w:left w:val="none" w:sz="0" w:space="0" w:color="auto"/>
                <w:bottom w:val="none" w:sz="0" w:space="0" w:color="auto"/>
                <w:right w:val="none" w:sz="0" w:space="0" w:color="auto"/>
              </w:divBdr>
            </w:div>
            <w:div w:id="1642223174">
              <w:marLeft w:val="0"/>
              <w:marRight w:val="0"/>
              <w:marTop w:val="0"/>
              <w:marBottom w:val="0"/>
              <w:divBdr>
                <w:top w:val="none" w:sz="0" w:space="0" w:color="auto"/>
                <w:left w:val="none" w:sz="0" w:space="0" w:color="auto"/>
                <w:bottom w:val="none" w:sz="0" w:space="0" w:color="auto"/>
                <w:right w:val="none" w:sz="0" w:space="0" w:color="auto"/>
              </w:divBdr>
            </w:div>
            <w:div w:id="1717199426">
              <w:marLeft w:val="0"/>
              <w:marRight w:val="0"/>
              <w:marTop w:val="0"/>
              <w:marBottom w:val="0"/>
              <w:divBdr>
                <w:top w:val="none" w:sz="0" w:space="0" w:color="auto"/>
                <w:left w:val="none" w:sz="0" w:space="0" w:color="auto"/>
                <w:bottom w:val="none" w:sz="0" w:space="0" w:color="auto"/>
                <w:right w:val="none" w:sz="0" w:space="0" w:color="auto"/>
              </w:divBdr>
            </w:div>
            <w:div w:id="1834758958">
              <w:marLeft w:val="0"/>
              <w:marRight w:val="0"/>
              <w:marTop w:val="0"/>
              <w:marBottom w:val="0"/>
              <w:divBdr>
                <w:top w:val="none" w:sz="0" w:space="0" w:color="auto"/>
                <w:left w:val="none" w:sz="0" w:space="0" w:color="auto"/>
                <w:bottom w:val="none" w:sz="0" w:space="0" w:color="auto"/>
                <w:right w:val="none" w:sz="0" w:space="0" w:color="auto"/>
              </w:divBdr>
            </w:div>
            <w:div w:id="1854488883">
              <w:marLeft w:val="0"/>
              <w:marRight w:val="0"/>
              <w:marTop w:val="0"/>
              <w:marBottom w:val="0"/>
              <w:divBdr>
                <w:top w:val="none" w:sz="0" w:space="0" w:color="auto"/>
                <w:left w:val="none" w:sz="0" w:space="0" w:color="auto"/>
                <w:bottom w:val="none" w:sz="0" w:space="0" w:color="auto"/>
                <w:right w:val="none" w:sz="0" w:space="0" w:color="auto"/>
              </w:divBdr>
            </w:div>
            <w:div w:id="20891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4280">
      <w:bodyDiv w:val="1"/>
      <w:marLeft w:val="0"/>
      <w:marRight w:val="0"/>
      <w:marTop w:val="0"/>
      <w:marBottom w:val="0"/>
      <w:divBdr>
        <w:top w:val="none" w:sz="0" w:space="0" w:color="auto"/>
        <w:left w:val="none" w:sz="0" w:space="0" w:color="auto"/>
        <w:bottom w:val="none" w:sz="0" w:space="0" w:color="auto"/>
        <w:right w:val="none" w:sz="0" w:space="0" w:color="auto"/>
      </w:divBdr>
      <w:divsChild>
        <w:div w:id="1948387977">
          <w:marLeft w:val="0"/>
          <w:marRight w:val="0"/>
          <w:marTop w:val="0"/>
          <w:marBottom w:val="0"/>
          <w:divBdr>
            <w:top w:val="none" w:sz="0" w:space="0" w:color="auto"/>
            <w:left w:val="none" w:sz="0" w:space="0" w:color="auto"/>
            <w:bottom w:val="none" w:sz="0" w:space="0" w:color="auto"/>
            <w:right w:val="none" w:sz="0" w:space="0" w:color="auto"/>
          </w:divBdr>
        </w:div>
      </w:divsChild>
    </w:div>
    <w:div w:id="659889694">
      <w:bodyDiv w:val="1"/>
      <w:marLeft w:val="0"/>
      <w:marRight w:val="0"/>
      <w:marTop w:val="0"/>
      <w:marBottom w:val="0"/>
      <w:divBdr>
        <w:top w:val="none" w:sz="0" w:space="0" w:color="auto"/>
        <w:left w:val="none" w:sz="0" w:space="0" w:color="auto"/>
        <w:bottom w:val="none" w:sz="0" w:space="0" w:color="auto"/>
        <w:right w:val="none" w:sz="0" w:space="0" w:color="auto"/>
      </w:divBdr>
    </w:div>
    <w:div w:id="679085593">
      <w:bodyDiv w:val="1"/>
      <w:marLeft w:val="0"/>
      <w:marRight w:val="0"/>
      <w:marTop w:val="0"/>
      <w:marBottom w:val="0"/>
      <w:divBdr>
        <w:top w:val="none" w:sz="0" w:space="0" w:color="auto"/>
        <w:left w:val="none" w:sz="0" w:space="0" w:color="auto"/>
        <w:bottom w:val="none" w:sz="0" w:space="0" w:color="auto"/>
        <w:right w:val="none" w:sz="0" w:space="0" w:color="auto"/>
      </w:divBdr>
      <w:divsChild>
        <w:div w:id="1838374473">
          <w:marLeft w:val="0"/>
          <w:marRight w:val="0"/>
          <w:marTop w:val="0"/>
          <w:marBottom w:val="0"/>
          <w:divBdr>
            <w:top w:val="none" w:sz="0" w:space="0" w:color="auto"/>
            <w:left w:val="none" w:sz="0" w:space="0" w:color="auto"/>
            <w:bottom w:val="none" w:sz="0" w:space="0" w:color="auto"/>
            <w:right w:val="none" w:sz="0" w:space="0" w:color="auto"/>
          </w:divBdr>
        </w:div>
      </w:divsChild>
    </w:div>
    <w:div w:id="710761979">
      <w:bodyDiv w:val="1"/>
      <w:marLeft w:val="0"/>
      <w:marRight w:val="0"/>
      <w:marTop w:val="0"/>
      <w:marBottom w:val="0"/>
      <w:divBdr>
        <w:top w:val="none" w:sz="0" w:space="0" w:color="auto"/>
        <w:left w:val="none" w:sz="0" w:space="0" w:color="auto"/>
        <w:bottom w:val="none" w:sz="0" w:space="0" w:color="auto"/>
        <w:right w:val="none" w:sz="0" w:space="0" w:color="auto"/>
      </w:divBdr>
      <w:divsChild>
        <w:div w:id="207957195">
          <w:marLeft w:val="0"/>
          <w:marRight w:val="0"/>
          <w:marTop w:val="0"/>
          <w:marBottom w:val="0"/>
          <w:divBdr>
            <w:top w:val="none" w:sz="0" w:space="0" w:color="auto"/>
            <w:left w:val="none" w:sz="0" w:space="0" w:color="auto"/>
            <w:bottom w:val="none" w:sz="0" w:space="0" w:color="auto"/>
            <w:right w:val="none" w:sz="0" w:space="0" w:color="auto"/>
          </w:divBdr>
        </w:div>
        <w:div w:id="270666207">
          <w:marLeft w:val="0"/>
          <w:marRight w:val="0"/>
          <w:marTop w:val="0"/>
          <w:marBottom w:val="0"/>
          <w:divBdr>
            <w:top w:val="none" w:sz="0" w:space="0" w:color="auto"/>
            <w:left w:val="none" w:sz="0" w:space="0" w:color="auto"/>
            <w:bottom w:val="none" w:sz="0" w:space="0" w:color="auto"/>
            <w:right w:val="none" w:sz="0" w:space="0" w:color="auto"/>
          </w:divBdr>
        </w:div>
        <w:div w:id="272135783">
          <w:marLeft w:val="0"/>
          <w:marRight w:val="0"/>
          <w:marTop w:val="0"/>
          <w:marBottom w:val="0"/>
          <w:divBdr>
            <w:top w:val="none" w:sz="0" w:space="0" w:color="auto"/>
            <w:left w:val="none" w:sz="0" w:space="0" w:color="auto"/>
            <w:bottom w:val="none" w:sz="0" w:space="0" w:color="auto"/>
            <w:right w:val="none" w:sz="0" w:space="0" w:color="auto"/>
          </w:divBdr>
        </w:div>
        <w:div w:id="579296926">
          <w:marLeft w:val="0"/>
          <w:marRight w:val="0"/>
          <w:marTop w:val="0"/>
          <w:marBottom w:val="0"/>
          <w:divBdr>
            <w:top w:val="none" w:sz="0" w:space="0" w:color="auto"/>
            <w:left w:val="none" w:sz="0" w:space="0" w:color="auto"/>
            <w:bottom w:val="none" w:sz="0" w:space="0" w:color="auto"/>
            <w:right w:val="none" w:sz="0" w:space="0" w:color="auto"/>
          </w:divBdr>
        </w:div>
        <w:div w:id="661347073">
          <w:marLeft w:val="0"/>
          <w:marRight w:val="0"/>
          <w:marTop w:val="0"/>
          <w:marBottom w:val="0"/>
          <w:divBdr>
            <w:top w:val="none" w:sz="0" w:space="0" w:color="auto"/>
            <w:left w:val="none" w:sz="0" w:space="0" w:color="auto"/>
            <w:bottom w:val="none" w:sz="0" w:space="0" w:color="auto"/>
            <w:right w:val="none" w:sz="0" w:space="0" w:color="auto"/>
          </w:divBdr>
        </w:div>
        <w:div w:id="921989689">
          <w:marLeft w:val="0"/>
          <w:marRight w:val="0"/>
          <w:marTop w:val="0"/>
          <w:marBottom w:val="0"/>
          <w:divBdr>
            <w:top w:val="none" w:sz="0" w:space="0" w:color="auto"/>
            <w:left w:val="none" w:sz="0" w:space="0" w:color="auto"/>
            <w:bottom w:val="none" w:sz="0" w:space="0" w:color="auto"/>
            <w:right w:val="none" w:sz="0" w:space="0" w:color="auto"/>
          </w:divBdr>
        </w:div>
        <w:div w:id="1057388944">
          <w:marLeft w:val="0"/>
          <w:marRight w:val="0"/>
          <w:marTop w:val="0"/>
          <w:marBottom w:val="0"/>
          <w:divBdr>
            <w:top w:val="none" w:sz="0" w:space="0" w:color="auto"/>
            <w:left w:val="none" w:sz="0" w:space="0" w:color="auto"/>
            <w:bottom w:val="none" w:sz="0" w:space="0" w:color="auto"/>
            <w:right w:val="none" w:sz="0" w:space="0" w:color="auto"/>
          </w:divBdr>
        </w:div>
        <w:div w:id="1097020799">
          <w:marLeft w:val="0"/>
          <w:marRight w:val="0"/>
          <w:marTop w:val="0"/>
          <w:marBottom w:val="0"/>
          <w:divBdr>
            <w:top w:val="none" w:sz="0" w:space="0" w:color="auto"/>
            <w:left w:val="none" w:sz="0" w:space="0" w:color="auto"/>
            <w:bottom w:val="none" w:sz="0" w:space="0" w:color="auto"/>
            <w:right w:val="none" w:sz="0" w:space="0" w:color="auto"/>
          </w:divBdr>
        </w:div>
        <w:div w:id="1099639542">
          <w:marLeft w:val="0"/>
          <w:marRight w:val="0"/>
          <w:marTop w:val="0"/>
          <w:marBottom w:val="0"/>
          <w:divBdr>
            <w:top w:val="none" w:sz="0" w:space="0" w:color="auto"/>
            <w:left w:val="none" w:sz="0" w:space="0" w:color="auto"/>
            <w:bottom w:val="none" w:sz="0" w:space="0" w:color="auto"/>
            <w:right w:val="none" w:sz="0" w:space="0" w:color="auto"/>
          </w:divBdr>
        </w:div>
        <w:div w:id="1592157820">
          <w:marLeft w:val="0"/>
          <w:marRight w:val="0"/>
          <w:marTop w:val="0"/>
          <w:marBottom w:val="0"/>
          <w:divBdr>
            <w:top w:val="none" w:sz="0" w:space="0" w:color="auto"/>
            <w:left w:val="none" w:sz="0" w:space="0" w:color="auto"/>
            <w:bottom w:val="none" w:sz="0" w:space="0" w:color="auto"/>
            <w:right w:val="none" w:sz="0" w:space="0" w:color="auto"/>
          </w:divBdr>
        </w:div>
        <w:div w:id="1649284972">
          <w:marLeft w:val="0"/>
          <w:marRight w:val="0"/>
          <w:marTop w:val="0"/>
          <w:marBottom w:val="0"/>
          <w:divBdr>
            <w:top w:val="none" w:sz="0" w:space="0" w:color="auto"/>
            <w:left w:val="none" w:sz="0" w:space="0" w:color="auto"/>
            <w:bottom w:val="none" w:sz="0" w:space="0" w:color="auto"/>
            <w:right w:val="none" w:sz="0" w:space="0" w:color="auto"/>
          </w:divBdr>
        </w:div>
        <w:div w:id="1748961902">
          <w:marLeft w:val="0"/>
          <w:marRight w:val="0"/>
          <w:marTop w:val="0"/>
          <w:marBottom w:val="0"/>
          <w:divBdr>
            <w:top w:val="none" w:sz="0" w:space="0" w:color="auto"/>
            <w:left w:val="none" w:sz="0" w:space="0" w:color="auto"/>
            <w:bottom w:val="none" w:sz="0" w:space="0" w:color="auto"/>
            <w:right w:val="none" w:sz="0" w:space="0" w:color="auto"/>
          </w:divBdr>
        </w:div>
        <w:div w:id="2079014376">
          <w:marLeft w:val="0"/>
          <w:marRight w:val="0"/>
          <w:marTop w:val="0"/>
          <w:marBottom w:val="0"/>
          <w:divBdr>
            <w:top w:val="none" w:sz="0" w:space="0" w:color="auto"/>
            <w:left w:val="none" w:sz="0" w:space="0" w:color="auto"/>
            <w:bottom w:val="none" w:sz="0" w:space="0" w:color="auto"/>
            <w:right w:val="none" w:sz="0" w:space="0" w:color="auto"/>
          </w:divBdr>
        </w:div>
        <w:div w:id="2140879610">
          <w:marLeft w:val="0"/>
          <w:marRight w:val="0"/>
          <w:marTop w:val="0"/>
          <w:marBottom w:val="0"/>
          <w:divBdr>
            <w:top w:val="none" w:sz="0" w:space="0" w:color="auto"/>
            <w:left w:val="none" w:sz="0" w:space="0" w:color="auto"/>
            <w:bottom w:val="none" w:sz="0" w:space="0" w:color="auto"/>
            <w:right w:val="none" w:sz="0" w:space="0" w:color="auto"/>
          </w:divBdr>
        </w:div>
      </w:divsChild>
    </w:div>
    <w:div w:id="836916935">
      <w:bodyDiv w:val="1"/>
      <w:marLeft w:val="0"/>
      <w:marRight w:val="0"/>
      <w:marTop w:val="0"/>
      <w:marBottom w:val="0"/>
      <w:divBdr>
        <w:top w:val="none" w:sz="0" w:space="0" w:color="auto"/>
        <w:left w:val="none" w:sz="0" w:space="0" w:color="auto"/>
        <w:bottom w:val="none" w:sz="0" w:space="0" w:color="auto"/>
        <w:right w:val="none" w:sz="0" w:space="0" w:color="auto"/>
      </w:divBdr>
      <w:divsChild>
        <w:div w:id="2049136167">
          <w:marLeft w:val="0"/>
          <w:marRight w:val="0"/>
          <w:marTop w:val="0"/>
          <w:marBottom w:val="0"/>
          <w:divBdr>
            <w:top w:val="none" w:sz="0" w:space="0" w:color="auto"/>
            <w:left w:val="none" w:sz="0" w:space="0" w:color="auto"/>
            <w:bottom w:val="none" w:sz="0" w:space="0" w:color="auto"/>
            <w:right w:val="none" w:sz="0" w:space="0" w:color="auto"/>
          </w:divBdr>
        </w:div>
      </w:divsChild>
    </w:div>
    <w:div w:id="968823983">
      <w:bodyDiv w:val="1"/>
      <w:marLeft w:val="0"/>
      <w:marRight w:val="0"/>
      <w:marTop w:val="0"/>
      <w:marBottom w:val="0"/>
      <w:divBdr>
        <w:top w:val="none" w:sz="0" w:space="0" w:color="auto"/>
        <w:left w:val="none" w:sz="0" w:space="0" w:color="auto"/>
        <w:bottom w:val="none" w:sz="0" w:space="0" w:color="auto"/>
        <w:right w:val="none" w:sz="0" w:space="0" w:color="auto"/>
      </w:divBdr>
      <w:divsChild>
        <w:div w:id="36315641">
          <w:marLeft w:val="0"/>
          <w:marRight w:val="0"/>
          <w:marTop w:val="0"/>
          <w:marBottom w:val="0"/>
          <w:divBdr>
            <w:top w:val="none" w:sz="0" w:space="0" w:color="auto"/>
            <w:left w:val="none" w:sz="0" w:space="0" w:color="auto"/>
            <w:bottom w:val="none" w:sz="0" w:space="0" w:color="auto"/>
            <w:right w:val="none" w:sz="0" w:space="0" w:color="auto"/>
          </w:divBdr>
        </w:div>
        <w:div w:id="616523016">
          <w:marLeft w:val="0"/>
          <w:marRight w:val="0"/>
          <w:marTop w:val="0"/>
          <w:marBottom w:val="0"/>
          <w:divBdr>
            <w:top w:val="none" w:sz="0" w:space="0" w:color="auto"/>
            <w:left w:val="none" w:sz="0" w:space="0" w:color="auto"/>
            <w:bottom w:val="none" w:sz="0" w:space="0" w:color="auto"/>
            <w:right w:val="none" w:sz="0" w:space="0" w:color="auto"/>
          </w:divBdr>
          <w:divsChild>
            <w:div w:id="257517983">
              <w:marLeft w:val="0"/>
              <w:marRight w:val="0"/>
              <w:marTop w:val="0"/>
              <w:marBottom w:val="0"/>
              <w:divBdr>
                <w:top w:val="none" w:sz="0" w:space="0" w:color="auto"/>
                <w:left w:val="none" w:sz="0" w:space="0" w:color="auto"/>
                <w:bottom w:val="none" w:sz="0" w:space="0" w:color="auto"/>
                <w:right w:val="none" w:sz="0" w:space="0" w:color="auto"/>
              </w:divBdr>
            </w:div>
            <w:div w:id="267473175">
              <w:marLeft w:val="0"/>
              <w:marRight w:val="0"/>
              <w:marTop w:val="0"/>
              <w:marBottom w:val="0"/>
              <w:divBdr>
                <w:top w:val="none" w:sz="0" w:space="0" w:color="auto"/>
                <w:left w:val="none" w:sz="0" w:space="0" w:color="auto"/>
                <w:bottom w:val="none" w:sz="0" w:space="0" w:color="auto"/>
                <w:right w:val="none" w:sz="0" w:space="0" w:color="auto"/>
              </w:divBdr>
            </w:div>
            <w:div w:id="345254821">
              <w:marLeft w:val="0"/>
              <w:marRight w:val="0"/>
              <w:marTop w:val="0"/>
              <w:marBottom w:val="0"/>
              <w:divBdr>
                <w:top w:val="none" w:sz="0" w:space="0" w:color="auto"/>
                <w:left w:val="none" w:sz="0" w:space="0" w:color="auto"/>
                <w:bottom w:val="none" w:sz="0" w:space="0" w:color="auto"/>
                <w:right w:val="none" w:sz="0" w:space="0" w:color="auto"/>
              </w:divBdr>
            </w:div>
            <w:div w:id="506942394">
              <w:marLeft w:val="0"/>
              <w:marRight w:val="0"/>
              <w:marTop w:val="0"/>
              <w:marBottom w:val="0"/>
              <w:divBdr>
                <w:top w:val="none" w:sz="0" w:space="0" w:color="auto"/>
                <w:left w:val="none" w:sz="0" w:space="0" w:color="auto"/>
                <w:bottom w:val="none" w:sz="0" w:space="0" w:color="auto"/>
                <w:right w:val="none" w:sz="0" w:space="0" w:color="auto"/>
              </w:divBdr>
            </w:div>
            <w:div w:id="641932602">
              <w:marLeft w:val="0"/>
              <w:marRight w:val="0"/>
              <w:marTop w:val="0"/>
              <w:marBottom w:val="0"/>
              <w:divBdr>
                <w:top w:val="none" w:sz="0" w:space="0" w:color="auto"/>
                <w:left w:val="none" w:sz="0" w:space="0" w:color="auto"/>
                <w:bottom w:val="none" w:sz="0" w:space="0" w:color="auto"/>
                <w:right w:val="none" w:sz="0" w:space="0" w:color="auto"/>
              </w:divBdr>
            </w:div>
            <w:div w:id="664359577">
              <w:marLeft w:val="0"/>
              <w:marRight w:val="0"/>
              <w:marTop w:val="0"/>
              <w:marBottom w:val="0"/>
              <w:divBdr>
                <w:top w:val="none" w:sz="0" w:space="0" w:color="auto"/>
                <w:left w:val="none" w:sz="0" w:space="0" w:color="auto"/>
                <w:bottom w:val="none" w:sz="0" w:space="0" w:color="auto"/>
                <w:right w:val="none" w:sz="0" w:space="0" w:color="auto"/>
              </w:divBdr>
            </w:div>
            <w:div w:id="741953195">
              <w:marLeft w:val="0"/>
              <w:marRight w:val="0"/>
              <w:marTop w:val="0"/>
              <w:marBottom w:val="0"/>
              <w:divBdr>
                <w:top w:val="none" w:sz="0" w:space="0" w:color="auto"/>
                <w:left w:val="none" w:sz="0" w:space="0" w:color="auto"/>
                <w:bottom w:val="none" w:sz="0" w:space="0" w:color="auto"/>
                <w:right w:val="none" w:sz="0" w:space="0" w:color="auto"/>
              </w:divBdr>
            </w:div>
            <w:div w:id="789519305">
              <w:marLeft w:val="0"/>
              <w:marRight w:val="0"/>
              <w:marTop w:val="0"/>
              <w:marBottom w:val="0"/>
              <w:divBdr>
                <w:top w:val="none" w:sz="0" w:space="0" w:color="auto"/>
                <w:left w:val="none" w:sz="0" w:space="0" w:color="auto"/>
                <w:bottom w:val="none" w:sz="0" w:space="0" w:color="auto"/>
                <w:right w:val="none" w:sz="0" w:space="0" w:color="auto"/>
              </w:divBdr>
            </w:div>
            <w:div w:id="830604064">
              <w:marLeft w:val="0"/>
              <w:marRight w:val="0"/>
              <w:marTop w:val="0"/>
              <w:marBottom w:val="0"/>
              <w:divBdr>
                <w:top w:val="none" w:sz="0" w:space="0" w:color="auto"/>
                <w:left w:val="none" w:sz="0" w:space="0" w:color="auto"/>
                <w:bottom w:val="none" w:sz="0" w:space="0" w:color="auto"/>
                <w:right w:val="none" w:sz="0" w:space="0" w:color="auto"/>
              </w:divBdr>
            </w:div>
            <w:div w:id="1207791195">
              <w:marLeft w:val="0"/>
              <w:marRight w:val="0"/>
              <w:marTop w:val="0"/>
              <w:marBottom w:val="0"/>
              <w:divBdr>
                <w:top w:val="none" w:sz="0" w:space="0" w:color="auto"/>
                <w:left w:val="none" w:sz="0" w:space="0" w:color="auto"/>
                <w:bottom w:val="none" w:sz="0" w:space="0" w:color="auto"/>
                <w:right w:val="none" w:sz="0" w:space="0" w:color="auto"/>
              </w:divBdr>
            </w:div>
            <w:div w:id="1238587458">
              <w:marLeft w:val="0"/>
              <w:marRight w:val="0"/>
              <w:marTop w:val="0"/>
              <w:marBottom w:val="0"/>
              <w:divBdr>
                <w:top w:val="none" w:sz="0" w:space="0" w:color="auto"/>
                <w:left w:val="none" w:sz="0" w:space="0" w:color="auto"/>
                <w:bottom w:val="none" w:sz="0" w:space="0" w:color="auto"/>
                <w:right w:val="none" w:sz="0" w:space="0" w:color="auto"/>
              </w:divBdr>
            </w:div>
            <w:div w:id="1263604969">
              <w:marLeft w:val="0"/>
              <w:marRight w:val="0"/>
              <w:marTop w:val="0"/>
              <w:marBottom w:val="0"/>
              <w:divBdr>
                <w:top w:val="none" w:sz="0" w:space="0" w:color="auto"/>
                <w:left w:val="none" w:sz="0" w:space="0" w:color="auto"/>
                <w:bottom w:val="none" w:sz="0" w:space="0" w:color="auto"/>
                <w:right w:val="none" w:sz="0" w:space="0" w:color="auto"/>
              </w:divBdr>
            </w:div>
            <w:div w:id="1391155975">
              <w:marLeft w:val="0"/>
              <w:marRight w:val="0"/>
              <w:marTop w:val="0"/>
              <w:marBottom w:val="0"/>
              <w:divBdr>
                <w:top w:val="none" w:sz="0" w:space="0" w:color="auto"/>
                <w:left w:val="none" w:sz="0" w:space="0" w:color="auto"/>
                <w:bottom w:val="none" w:sz="0" w:space="0" w:color="auto"/>
                <w:right w:val="none" w:sz="0" w:space="0" w:color="auto"/>
              </w:divBdr>
            </w:div>
            <w:div w:id="1464998450">
              <w:marLeft w:val="0"/>
              <w:marRight w:val="0"/>
              <w:marTop w:val="0"/>
              <w:marBottom w:val="0"/>
              <w:divBdr>
                <w:top w:val="none" w:sz="0" w:space="0" w:color="auto"/>
                <w:left w:val="none" w:sz="0" w:space="0" w:color="auto"/>
                <w:bottom w:val="none" w:sz="0" w:space="0" w:color="auto"/>
                <w:right w:val="none" w:sz="0" w:space="0" w:color="auto"/>
              </w:divBdr>
            </w:div>
            <w:div w:id="1492601485">
              <w:marLeft w:val="0"/>
              <w:marRight w:val="0"/>
              <w:marTop w:val="0"/>
              <w:marBottom w:val="0"/>
              <w:divBdr>
                <w:top w:val="none" w:sz="0" w:space="0" w:color="auto"/>
                <w:left w:val="none" w:sz="0" w:space="0" w:color="auto"/>
                <w:bottom w:val="none" w:sz="0" w:space="0" w:color="auto"/>
                <w:right w:val="none" w:sz="0" w:space="0" w:color="auto"/>
              </w:divBdr>
            </w:div>
            <w:div w:id="1707486857">
              <w:marLeft w:val="0"/>
              <w:marRight w:val="0"/>
              <w:marTop w:val="0"/>
              <w:marBottom w:val="0"/>
              <w:divBdr>
                <w:top w:val="none" w:sz="0" w:space="0" w:color="auto"/>
                <w:left w:val="none" w:sz="0" w:space="0" w:color="auto"/>
                <w:bottom w:val="none" w:sz="0" w:space="0" w:color="auto"/>
                <w:right w:val="none" w:sz="0" w:space="0" w:color="auto"/>
              </w:divBdr>
            </w:div>
            <w:div w:id="1900820379">
              <w:marLeft w:val="0"/>
              <w:marRight w:val="0"/>
              <w:marTop w:val="0"/>
              <w:marBottom w:val="0"/>
              <w:divBdr>
                <w:top w:val="none" w:sz="0" w:space="0" w:color="auto"/>
                <w:left w:val="none" w:sz="0" w:space="0" w:color="auto"/>
                <w:bottom w:val="none" w:sz="0" w:space="0" w:color="auto"/>
                <w:right w:val="none" w:sz="0" w:space="0" w:color="auto"/>
              </w:divBdr>
            </w:div>
            <w:div w:id="1909343505">
              <w:marLeft w:val="0"/>
              <w:marRight w:val="0"/>
              <w:marTop w:val="0"/>
              <w:marBottom w:val="0"/>
              <w:divBdr>
                <w:top w:val="none" w:sz="0" w:space="0" w:color="auto"/>
                <w:left w:val="none" w:sz="0" w:space="0" w:color="auto"/>
                <w:bottom w:val="none" w:sz="0" w:space="0" w:color="auto"/>
                <w:right w:val="none" w:sz="0" w:space="0" w:color="auto"/>
              </w:divBdr>
            </w:div>
            <w:div w:id="2012297528">
              <w:marLeft w:val="0"/>
              <w:marRight w:val="0"/>
              <w:marTop w:val="0"/>
              <w:marBottom w:val="0"/>
              <w:divBdr>
                <w:top w:val="none" w:sz="0" w:space="0" w:color="auto"/>
                <w:left w:val="none" w:sz="0" w:space="0" w:color="auto"/>
                <w:bottom w:val="none" w:sz="0" w:space="0" w:color="auto"/>
                <w:right w:val="none" w:sz="0" w:space="0" w:color="auto"/>
              </w:divBdr>
            </w:div>
            <w:div w:id="2064283862">
              <w:marLeft w:val="0"/>
              <w:marRight w:val="0"/>
              <w:marTop w:val="0"/>
              <w:marBottom w:val="0"/>
              <w:divBdr>
                <w:top w:val="none" w:sz="0" w:space="0" w:color="auto"/>
                <w:left w:val="none" w:sz="0" w:space="0" w:color="auto"/>
                <w:bottom w:val="none" w:sz="0" w:space="0" w:color="auto"/>
                <w:right w:val="none" w:sz="0" w:space="0" w:color="auto"/>
              </w:divBdr>
            </w:div>
          </w:divsChild>
        </w:div>
        <w:div w:id="686567856">
          <w:marLeft w:val="0"/>
          <w:marRight w:val="0"/>
          <w:marTop w:val="0"/>
          <w:marBottom w:val="0"/>
          <w:divBdr>
            <w:top w:val="none" w:sz="0" w:space="0" w:color="auto"/>
            <w:left w:val="none" w:sz="0" w:space="0" w:color="auto"/>
            <w:bottom w:val="none" w:sz="0" w:space="0" w:color="auto"/>
            <w:right w:val="none" w:sz="0" w:space="0" w:color="auto"/>
          </w:divBdr>
          <w:divsChild>
            <w:div w:id="116726380">
              <w:marLeft w:val="0"/>
              <w:marRight w:val="0"/>
              <w:marTop w:val="0"/>
              <w:marBottom w:val="0"/>
              <w:divBdr>
                <w:top w:val="none" w:sz="0" w:space="0" w:color="auto"/>
                <w:left w:val="none" w:sz="0" w:space="0" w:color="auto"/>
                <w:bottom w:val="none" w:sz="0" w:space="0" w:color="auto"/>
                <w:right w:val="none" w:sz="0" w:space="0" w:color="auto"/>
              </w:divBdr>
            </w:div>
            <w:div w:id="173230330">
              <w:marLeft w:val="0"/>
              <w:marRight w:val="0"/>
              <w:marTop w:val="0"/>
              <w:marBottom w:val="0"/>
              <w:divBdr>
                <w:top w:val="none" w:sz="0" w:space="0" w:color="auto"/>
                <w:left w:val="none" w:sz="0" w:space="0" w:color="auto"/>
                <w:bottom w:val="none" w:sz="0" w:space="0" w:color="auto"/>
                <w:right w:val="none" w:sz="0" w:space="0" w:color="auto"/>
              </w:divBdr>
            </w:div>
            <w:div w:id="209272875">
              <w:marLeft w:val="0"/>
              <w:marRight w:val="0"/>
              <w:marTop w:val="0"/>
              <w:marBottom w:val="0"/>
              <w:divBdr>
                <w:top w:val="none" w:sz="0" w:space="0" w:color="auto"/>
                <w:left w:val="none" w:sz="0" w:space="0" w:color="auto"/>
                <w:bottom w:val="none" w:sz="0" w:space="0" w:color="auto"/>
                <w:right w:val="none" w:sz="0" w:space="0" w:color="auto"/>
              </w:divBdr>
            </w:div>
            <w:div w:id="245959651">
              <w:marLeft w:val="0"/>
              <w:marRight w:val="0"/>
              <w:marTop w:val="0"/>
              <w:marBottom w:val="0"/>
              <w:divBdr>
                <w:top w:val="none" w:sz="0" w:space="0" w:color="auto"/>
                <w:left w:val="none" w:sz="0" w:space="0" w:color="auto"/>
                <w:bottom w:val="none" w:sz="0" w:space="0" w:color="auto"/>
                <w:right w:val="none" w:sz="0" w:space="0" w:color="auto"/>
              </w:divBdr>
            </w:div>
            <w:div w:id="315688233">
              <w:marLeft w:val="0"/>
              <w:marRight w:val="0"/>
              <w:marTop w:val="0"/>
              <w:marBottom w:val="0"/>
              <w:divBdr>
                <w:top w:val="none" w:sz="0" w:space="0" w:color="auto"/>
                <w:left w:val="none" w:sz="0" w:space="0" w:color="auto"/>
                <w:bottom w:val="none" w:sz="0" w:space="0" w:color="auto"/>
                <w:right w:val="none" w:sz="0" w:space="0" w:color="auto"/>
              </w:divBdr>
            </w:div>
            <w:div w:id="480728861">
              <w:marLeft w:val="0"/>
              <w:marRight w:val="0"/>
              <w:marTop w:val="0"/>
              <w:marBottom w:val="0"/>
              <w:divBdr>
                <w:top w:val="none" w:sz="0" w:space="0" w:color="auto"/>
                <w:left w:val="none" w:sz="0" w:space="0" w:color="auto"/>
                <w:bottom w:val="none" w:sz="0" w:space="0" w:color="auto"/>
                <w:right w:val="none" w:sz="0" w:space="0" w:color="auto"/>
              </w:divBdr>
            </w:div>
            <w:div w:id="636302731">
              <w:marLeft w:val="0"/>
              <w:marRight w:val="0"/>
              <w:marTop w:val="0"/>
              <w:marBottom w:val="0"/>
              <w:divBdr>
                <w:top w:val="none" w:sz="0" w:space="0" w:color="auto"/>
                <w:left w:val="none" w:sz="0" w:space="0" w:color="auto"/>
                <w:bottom w:val="none" w:sz="0" w:space="0" w:color="auto"/>
                <w:right w:val="none" w:sz="0" w:space="0" w:color="auto"/>
              </w:divBdr>
            </w:div>
            <w:div w:id="773864336">
              <w:marLeft w:val="0"/>
              <w:marRight w:val="0"/>
              <w:marTop w:val="0"/>
              <w:marBottom w:val="0"/>
              <w:divBdr>
                <w:top w:val="none" w:sz="0" w:space="0" w:color="auto"/>
                <w:left w:val="none" w:sz="0" w:space="0" w:color="auto"/>
                <w:bottom w:val="none" w:sz="0" w:space="0" w:color="auto"/>
                <w:right w:val="none" w:sz="0" w:space="0" w:color="auto"/>
              </w:divBdr>
            </w:div>
            <w:div w:id="799305771">
              <w:marLeft w:val="0"/>
              <w:marRight w:val="0"/>
              <w:marTop w:val="0"/>
              <w:marBottom w:val="0"/>
              <w:divBdr>
                <w:top w:val="none" w:sz="0" w:space="0" w:color="auto"/>
                <w:left w:val="none" w:sz="0" w:space="0" w:color="auto"/>
                <w:bottom w:val="none" w:sz="0" w:space="0" w:color="auto"/>
                <w:right w:val="none" w:sz="0" w:space="0" w:color="auto"/>
              </w:divBdr>
            </w:div>
            <w:div w:id="896820698">
              <w:marLeft w:val="0"/>
              <w:marRight w:val="0"/>
              <w:marTop w:val="0"/>
              <w:marBottom w:val="0"/>
              <w:divBdr>
                <w:top w:val="none" w:sz="0" w:space="0" w:color="auto"/>
                <w:left w:val="none" w:sz="0" w:space="0" w:color="auto"/>
                <w:bottom w:val="none" w:sz="0" w:space="0" w:color="auto"/>
                <w:right w:val="none" w:sz="0" w:space="0" w:color="auto"/>
              </w:divBdr>
            </w:div>
            <w:div w:id="940574207">
              <w:marLeft w:val="0"/>
              <w:marRight w:val="0"/>
              <w:marTop w:val="0"/>
              <w:marBottom w:val="0"/>
              <w:divBdr>
                <w:top w:val="none" w:sz="0" w:space="0" w:color="auto"/>
                <w:left w:val="none" w:sz="0" w:space="0" w:color="auto"/>
                <w:bottom w:val="none" w:sz="0" w:space="0" w:color="auto"/>
                <w:right w:val="none" w:sz="0" w:space="0" w:color="auto"/>
              </w:divBdr>
            </w:div>
            <w:div w:id="1336226452">
              <w:marLeft w:val="0"/>
              <w:marRight w:val="0"/>
              <w:marTop w:val="0"/>
              <w:marBottom w:val="0"/>
              <w:divBdr>
                <w:top w:val="none" w:sz="0" w:space="0" w:color="auto"/>
                <w:left w:val="none" w:sz="0" w:space="0" w:color="auto"/>
                <w:bottom w:val="none" w:sz="0" w:space="0" w:color="auto"/>
                <w:right w:val="none" w:sz="0" w:space="0" w:color="auto"/>
              </w:divBdr>
            </w:div>
            <w:div w:id="1373533486">
              <w:marLeft w:val="0"/>
              <w:marRight w:val="0"/>
              <w:marTop w:val="0"/>
              <w:marBottom w:val="0"/>
              <w:divBdr>
                <w:top w:val="none" w:sz="0" w:space="0" w:color="auto"/>
                <w:left w:val="none" w:sz="0" w:space="0" w:color="auto"/>
                <w:bottom w:val="none" w:sz="0" w:space="0" w:color="auto"/>
                <w:right w:val="none" w:sz="0" w:space="0" w:color="auto"/>
              </w:divBdr>
            </w:div>
            <w:div w:id="1462457412">
              <w:marLeft w:val="0"/>
              <w:marRight w:val="0"/>
              <w:marTop w:val="0"/>
              <w:marBottom w:val="0"/>
              <w:divBdr>
                <w:top w:val="none" w:sz="0" w:space="0" w:color="auto"/>
                <w:left w:val="none" w:sz="0" w:space="0" w:color="auto"/>
                <w:bottom w:val="none" w:sz="0" w:space="0" w:color="auto"/>
                <w:right w:val="none" w:sz="0" w:space="0" w:color="auto"/>
              </w:divBdr>
            </w:div>
            <w:div w:id="1591044725">
              <w:marLeft w:val="0"/>
              <w:marRight w:val="0"/>
              <w:marTop w:val="0"/>
              <w:marBottom w:val="0"/>
              <w:divBdr>
                <w:top w:val="none" w:sz="0" w:space="0" w:color="auto"/>
                <w:left w:val="none" w:sz="0" w:space="0" w:color="auto"/>
                <w:bottom w:val="none" w:sz="0" w:space="0" w:color="auto"/>
                <w:right w:val="none" w:sz="0" w:space="0" w:color="auto"/>
              </w:divBdr>
            </w:div>
            <w:div w:id="1710448560">
              <w:marLeft w:val="0"/>
              <w:marRight w:val="0"/>
              <w:marTop w:val="0"/>
              <w:marBottom w:val="0"/>
              <w:divBdr>
                <w:top w:val="none" w:sz="0" w:space="0" w:color="auto"/>
                <w:left w:val="none" w:sz="0" w:space="0" w:color="auto"/>
                <w:bottom w:val="none" w:sz="0" w:space="0" w:color="auto"/>
                <w:right w:val="none" w:sz="0" w:space="0" w:color="auto"/>
              </w:divBdr>
            </w:div>
            <w:div w:id="1804932081">
              <w:marLeft w:val="0"/>
              <w:marRight w:val="0"/>
              <w:marTop w:val="0"/>
              <w:marBottom w:val="0"/>
              <w:divBdr>
                <w:top w:val="none" w:sz="0" w:space="0" w:color="auto"/>
                <w:left w:val="none" w:sz="0" w:space="0" w:color="auto"/>
                <w:bottom w:val="none" w:sz="0" w:space="0" w:color="auto"/>
                <w:right w:val="none" w:sz="0" w:space="0" w:color="auto"/>
              </w:divBdr>
            </w:div>
            <w:div w:id="1893540934">
              <w:marLeft w:val="0"/>
              <w:marRight w:val="0"/>
              <w:marTop w:val="0"/>
              <w:marBottom w:val="0"/>
              <w:divBdr>
                <w:top w:val="none" w:sz="0" w:space="0" w:color="auto"/>
                <w:left w:val="none" w:sz="0" w:space="0" w:color="auto"/>
                <w:bottom w:val="none" w:sz="0" w:space="0" w:color="auto"/>
                <w:right w:val="none" w:sz="0" w:space="0" w:color="auto"/>
              </w:divBdr>
            </w:div>
            <w:div w:id="2058771640">
              <w:marLeft w:val="0"/>
              <w:marRight w:val="0"/>
              <w:marTop w:val="0"/>
              <w:marBottom w:val="0"/>
              <w:divBdr>
                <w:top w:val="none" w:sz="0" w:space="0" w:color="auto"/>
                <w:left w:val="none" w:sz="0" w:space="0" w:color="auto"/>
                <w:bottom w:val="none" w:sz="0" w:space="0" w:color="auto"/>
                <w:right w:val="none" w:sz="0" w:space="0" w:color="auto"/>
              </w:divBdr>
            </w:div>
            <w:div w:id="2099717423">
              <w:marLeft w:val="0"/>
              <w:marRight w:val="0"/>
              <w:marTop w:val="0"/>
              <w:marBottom w:val="0"/>
              <w:divBdr>
                <w:top w:val="none" w:sz="0" w:space="0" w:color="auto"/>
                <w:left w:val="none" w:sz="0" w:space="0" w:color="auto"/>
                <w:bottom w:val="none" w:sz="0" w:space="0" w:color="auto"/>
                <w:right w:val="none" w:sz="0" w:space="0" w:color="auto"/>
              </w:divBdr>
            </w:div>
          </w:divsChild>
        </w:div>
        <w:div w:id="715276781">
          <w:marLeft w:val="0"/>
          <w:marRight w:val="0"/>
          <w:marTop w:val="0"/>
          <w:marBottom w:val="0"/>
          <w:divBdr>
            <w:top w:val="none" w:sz="0" w:space="0" w:color="auto"/>
            <w:left w:val="none" w:sz="0" w:space="0" w:color="auto"/>
            <w:bottom w:val="none" w:sz="0" w:space="0" w:color="auto"/>
            <w:right w:val="none" w:sz="0" w:space="0" w:color="auto"/>
          </w:divBdr>
          <w:divsChild>
            <w:div w:id="1216576598">
              <w:marLeft w:val="0"/>
              <w:marRight w:val="0"/>
              <w:marTop w:val="0"/>
              <w:marBottom w:val="0"/>
              <w:divBdr>
                <w:top w:val="none" w:sz="0" w:space="0" w:color="auto"/>
                <w:left w:val="none" w:sz="0" w:space="0" w:color="auto"/>
                <w:bottom w:val="none" w:sz="0" w:space="0" w:color="auto"/>
                <w:right w:val="none" w:sz="0" w:space="0" w:color="auto"/>
              </w:divBdr>
            </w:div>
            <w:div w:id="1271164412">
              <w:marLeft w:val="0"/>
              <w:marRight w:val="0"/>
              <w:marTop w:val="0"/>
              <w:marBottom w:val="0"/>
              <w:divBdr>
                <w:top w:val="none" w:sz="0" w:space="0" w:color="auto"/>
                <w:left w:val="none" w:sz="0" w:space="0" w:color="auto"/>
                <w:bottom w:val="none" w:sz="0" w:space="0" w:color="auto"/>
                <w:right w:val="none" w:sz="0" w:space="0" w:color="auto"/>
              </w:divBdr>
            </w:div>
            <w:div w:id="1569146522">
              <w:marLeft w:val="0"/>
              <w:marRight w:val="0"/>
              <w:marTop w:val="0"/>
              <w:marBottom w:val="0"/>
              <w:divBdr>
                <w:top w:val="none" w:sz="0" w:space="0" w:color="auto"/>
                <w:left w:val="none" w:sz="0" w:space="0" w:color="auto"/>
                <w:bottom w:val="none" w:sz="0" w:space="0" w:color="auto"/>
                <w:right w:val="none" w:sz="0" w:space="0" w:color="auto"/>
              </w:divBdr>
            </w:div>
          </w:divsChild>
        </w:div>
        <w:div w:id="821892379">
          <w:marLeft w:val="0"/>
          <w:marRight w:val="0"/>
          <w:marTop w:val="0"/>
          <w:marBottom w:val="0"/>
          <w:divBdr>
            <w:top w:val="none" w:sz="0" w:space="0" w:color="auto"/>
            <w:left w:val="none" w:sz="0" w:space="0" w:color="auto"/>
            <w:bottom w:val="none" w:sz="0" w:space="0" w:color="auto"/>
            <w:right w:val="none" w:sz="0" w:space="0" w:color="auto"/>
          </w:divBdr>
          <w:divsChild>
            <w:div w:id="1158303434">
              <w:marLeft w:val="-75"/>
              <w:marRight w:val="0"/>
              <w:marTop w:val="30"/>
              <w:marBottom w:val="30"/>
              <w:divBdr>
                <w:top w:val="none" w:sz="0" w:space="0" w:color="auto"/>
                <w:left w:val="none" w:sz="0" w:space="0" w:color="auto"/>
                <w:bottom w:val="none" w:sz="0" w:space="0" w:color="auto"/>
                <w:right w:val="none" w:sz="0" w:space="0" w:color="auto"/>
              </w:divBdr>
              <w:divsChild>
                <w:div w:id="277370127">
                  <w:marLeft w:val="0"/>
                  <w:marRight w:val="0"/>
                  <w:marTop w:val="0"/>
                  <w:marBottom w:val="0"/>
                  <w:divBdr>
                    <w:top w:val="none" w:sz="0" w:space="0" w:color="auto"/>
                    <w:left w:val="none" w:sz="0" w:space="0" w:color="auto"/>
                    <w:bottom w:val="none" w:sz="0" w:space="0" w:color="auto"/>
                    <w:right w:val="none" w:sz="0" w:space="0" w:color="auto"/>
                  </w:divBdr>
                  <w:divsChild>
                    <w:div w:id="841508161">
                      <w:marLeft w:val="0"/>
                      <w:marRight w:val="0"/>
                      <w:marTop w:val="0"/>
                      <w:marBottom w:val="0"/>
                      <w:divBdr>
                        <w:top w:val="none" w:sz="0" w:space="0" w:color="auto"/>
                        <w:left w:val="none" w:sz="0" w:space="0" w:color="auto"/>
                        <w:bottom w:val="none" w:sz="0" w:space="0" w:color="auto"/>
                        <w:right w:val="none" w:sz="0" w:space="0" w:color="auto"/>
                      </w:divBdr>
                    </w:div>
                  </w:divsChild>
                </w:div>
                <w:div w:id="365908817">
                  <w:marLeft w:val="0"/>
                  <w:marRight w:val="0"/>
                  <w:marTop w:val="0"/>
                  <w:marBottom w:val="0"/>
                  <w:divBdr>
                    <w:top w:val="none" w:sz="0" w:space="0" w:color="auto"/>
                    <w:left w:val="none" w:sz="0" w:space="0" w:color="auto"/>
                    <w:bottom w:val="none" w:sz="0" w:space="0" w:color="auto"/>
                    <w:right w:val="none" w:sz="0" w:space="0" w:color="auto"/>
                  </w:divBdr>
                  <w:divsChild>
                    <w:div w:id="567032613">
                      <w:marLeft w:val="0"/>
                      <w:marRight w:val="0"/>
                      <w:marTop w:val="0"/>
                      <w:marBottom w:val="0"/>
                      <w:divBdr>
                        <w:top w:val="none" w:sz="0" w:space="0" w:color="auto"/>
                        <w:left w:val="none" w:sz="0" w:space="0" w:color="auto"/>
                        <w:bottom w:val="none" w:sz="0" w:space="0" w:color="auto"/>
                        <w:right w:val="none" w:sz="0" w:space="0" w:color="auto"/>
                      </w:divBdr>
                    </w:div>
                  </w:divsChild>
                </w:div>
                <w:div w:id="418452493">
                  <w:marLeft w:val="0"/>
                  <w:marRight w:val="0"/>
                  <w:marTop w:val="0"/>
                  <w:marBottom w:val="0"/>
                  <w:divBdr>
                    <w:top w:val="none" w:sz="0" w:space="0" w:color="auto"/>
                    <w:left w:val="none" w:sz="0" w:space="0" w:color="auto"/>
                    <w:bottom w:val="none" w:sz="0" w:space="0" w:color="auto"/>
                    <w:right w:val="none" w:sz="0" w:space="0" w:color="auto"/>
                  </w:divBdr>
                  <w:divsChild>
                    <w:div w:id="1201481324">
                      <w:marLeft w:val="0"/>
                      <w:marRight w:val="0"/>
                      <w:marTop w:val="0"/>
                      <w:marBottom w:val="0"/>
                      <w:divBdr>
                        <w:top w:val="none" w:sz="0" w:space="0" w:color="auto"/>
                        <w:left w:val="none" w:sz="0" w:space="0" w:color="auto"/>
                        <w:bottom w:val="none" w:sz="0" w:space="0" w:color="auto"/>
                        <w:right w:val="none" w:sz="0" w:space="0" w:color="auto"/>
                      </w:divBdr>
                    </w:div>
                  </w:divsChild>
                </w:div>
                <w:div w:id="1111315921">
                  <w:marLeft w:val="0"/>
                  <w:marRight w:val="0"/>
                  <w:marTop w:val="0"/>
                  <w:marBottom w:val="0"/>
                  <w:divBdr>
                    <w:top w:val="none" w:sz="0" w:space="0" w:color="auto"/>
                    <w:left w:val="none" w:sz="0" w:space="0" w:color="auto"/>
                    <w:bottom w:val="none" w:sz="0" w:space="0" w:color="auto"/>
                    <w:right w:val="none" w:sz="0" w:space="0" w:color="auto"/>
                  </w:divBdr>
                  <w:divsChild>
                    <w:div w:id="942614829">
                      <w:marLeft w:val="0"/>
                      <w:marRight w:val="0"/>
                      <w:marTop w:val="0"/>
                      <w:marBottom w:val="0"/>
                      <w:divBdr>
                        <w:top w:val="none" w:sz="0" w:space="0" w:color="auto"/>
                        <w:left w:val="none" w:sz="0" w:space="0" w:color="auto"/>
                        <w:bottom w:val="none" w:sz="0" w:space="0" w:color="auto"/>
                        <w:right w:val="none" w:sz="0" w:space="0" w:color="auto"/>
                      </w:divBdr>
                    </w:div>
                  </w:divsChild>
                </w:div>
                <w:div w:id="1240945825">
                  <w:marLeft w:val="0"/>
                  <w:marRight w:val="0"/>
                  <w:marTop w:val="0"/>
                  <w:marBottom w:val="0"/>
                  <w:divBdr>
                    <w:top w:val="none" w:sz="0" w:space="0" w:color="auto"/>
                    <w:left w:val="none" w:sz="0" w:space="0" w:color="auto"/>
                    <w:bottom w:val="none" w:sz="0" w:space="0" w:color="auto"/>
                    <w:right w:val="none" w:sz="0" w:space="0" w:color="auto"/>
                  </w:divBdr>
                  <w:divsChild>
                    <w:div w:id="285543807">
                      <w:marLeft w:val="0"/>
                      <w:marRight w:val="0"/>
                      <w:marTop w:val="0"/>
                      <w:marBottom w:val="0"/>
                      <w:divBdr>
                        <w:top w:val="none" w:sz="0" w:space="0" w:color="auto"/>
                        <w:left w:val="none" w:sz="0" w:space="0" w:color="auto"/>
                        <w:bottom w:val="none" w:sz="0" w:space="0" w:color="auto"/>
                        <w:right w:val="none" w:sz="0" w:space="0" w:color="auto"/>
                      </w:divBdr>
                    </w:div>
                  </w:divsChild>
                </w:div>
                <w:div w:id="1558392870">
                  <w:marLeft w:val="0"/>
                  <w:marRight w:val="0"/>
                  <w:marTop w:val="0"/>
                  <w:marBottom w:val="0"/>
                  <w:divBdr>
                    <w:top w:val="none" w:sz="0" w:space="0" w:color="auto"/>
                    <w:left w:val="none" w:sz="0" w:space="0" w:color="auto"/>
                    <w:bottom w:val="none" w:sz="0" w:space="0" w:color="auto"/>
                    <w:right w:val="none" w:sz="0" w:space="0" w:color="auto"/>
                  </w:divBdr>
                  <w:divsChild>
                    <w:div w:id="1779325377">
                      <w:marLeft w:val="0"/>
                      <w:marRight w:val="0"/>
                      <w:marTop w:val="0"/>
                      <w:marBottom w:val="0"/>
                      <w:divBdr>
                        <w:top w:val="none" w:sz="0" w:space="0" w:color="auto"/>
                        <w:left w:val="none" w:sz="0" w:space="0" w:color="auto"/>
                        <w:bottom w:val="none" w:sz="0" w:space="0" w:color="auto"/>
                        <w:right w:val="none" w:sz="0" w:space="0" w:color="auto"/>
                      </w:divBdr>
                    </w:div>
                  </w:divsChild>
                </w:div>
                <w:div w:id="1676305963">
                  <w:marLeft w:val="0"/>
                  <w:marRight w:val="0"/>
                  <w:marTop w:val="0"/>
                  <w:marBottom w:val="0"/>
                  <w:divBdr>
                    <w:top w:val="none" w:sz="0" w:space="0" w:color="auto"/>
                    <w:left w:val="none" w:sz="0" w:space="0" w:color="auto"/>
                    <w:bottom w:val="none" w:sz="0" w:space="0" w:color="auto"/>
                    <w:right w:val="none" w:sz="0" w:space="0" w:color="auto"/>
                  </w:divBdr>
                  <w:divsChild>
                    <w:div w:id="1177884423">
                      <w:marLeft w:val="0"/>
                      <w:marRight w:val="0"/>
                      <w:marTop w:val="0"/>
                      <w:marBottom w:val="0"/>
                      <w:divBdr>
                        <w:top w:val="none" w:sz="0" w:space="0" w:color="auto"/>
                        <w:left w:val="none" w:sz="0" w:space="0" w:color="auto"/>
                        <w:bottom w:val="none" w:sz="0" w:space="0" w:color="auto"/>
                        <w:right w:val="none" w:sz="0" w:space="0" w:color="auto"/>
                      </w:divBdr>
                    </w:div>
                  </w:divsChild>
                </w:div>
                <w:div w:id="1802069897">
                  <w:marLeft w:val="0"/>
                  <w:marRight w:val="0"/>
                  <w:marTop w:val="0"/>
                  <w:marBottom w:val="0"/>
                  <w:divBdr>
                    <w:top w:val="none" w:sz="0" w:space="0" w:color="auto"/>
                    <w:left w:val="none" w:sz="0" w:space="0" w:color="auto"/>
                    <w:bottom w:val="none" w:sz="0" w:space="0" w:color="auto"/>
                    <w:right w:val="none" w:sz="0" w:space="0" w:color="auto"/>
                  </w:divBdr>
                  <w:divsChild>
                    <w:div w:id="1965621578">
                      <w:marLeft w:val="0"/>
                      <w:marRight w:val="0"/>
                      <w:marTop w:val="0"/>
                      <w:marBottom w:val="0"/>
                      <w:divBdr>
                        <w:top w:val="none" w:sz="0" w:space="0" w:color="auto"/>
                        <w:left w:val="none" w:sz="0" w:space="0" w:color="auto"/>
                        <w:bottom w:val="none" w:sz="0" w:space="0" w:color="auto"/>
                        <w:right w:val="none" w:sz="0" w:space="0" w:color="auto"/>
                      </w:divBdr>
                    </w:div>
                  </w:divsChild>
                </w:div>
                <w:div w:id="1823345826">
                  <w:marLeft w:val="0"/>
                  <w:marRight w:val="0"/>
                  <w:marTop w:val="0"/>
                  <w:marBottom w:val="0"/>
                  <w:divBdr>
                    <w:top w:val="none" w:sz="0" w:space="0" w:color="auto"/>
                    <w:left w:val="none" w:sz="0" w:space="0" w:color="auto"/>
                    <w:bottom w:val="none" w:sz="0" w:space="0" w:color="auto"/>
                    <w:right w:val="none" w:sz="0" w:space="0" w:color="auto"/>
                  </w:divBdr>
                  <w:divsChild>
                    <w:div w:id="1352873423">
                      <w:marLeft w:val="0"/>
                      <w:marRight w:val="0"/>
                      <w:marTop w:val="0"/>
                      <w:marBottom w:val="0"/>
                      <w:divBdr>
                        <w:top w:val="none" w:sz="0" w:space="0" w:color="auto"/>
                        <w:left w:val="none" w:sz="0" w:space="0" w:color="auto"/>
                        <w:bottom w:val="none" w:sz="0" w:space="0" w:color="auto"/>
                        <w:right w:val="none" w:sz="0" w:space="0" w:color="auto"/>
                      </w:divBdr>
                    </w:div>
                  </w:divsChild>
                </w:div>
                <w:div w:id="2014215247">
                  <w:marLeft w:val="0"/>
                  <w:marRight w:val="0"/>
                  <w:marTop w:val="0"/>
                  <w:marBottom w:val="0"/>
                  <w:divBdr>
                    <w:top w:val="none" w:sz="0" w:space="0" w:color="auto"/>
                    <w:left w:val="none" w:sz="0" w:space="0" w:color="auto"/>
                    <w:bottom w:val="none" w:sz="0" w:space="0" w:color="auto"/>
                    <w:right w:val="none" w:sz="0" w:space="0" w:color="auto"/>
                  </w:divBdr>
                  <w:divsChild>
                    <w:div w:id="2926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7986">
          <w:marLeft w:val="0"/>
          <w:marRight w:val="0"/>
          <w:marTop w:val="0"/>
          <w:marBottom w:val="0"/>
          <w:divBdr>
            <w:top w:val="none" w:sz="0" w:space="0" w:color="auto"/>
            <w:left w:val="none" w:sz="0" w:space="0" w:color="auto"/>
            <w:bottom w:val="none" w:sz="0" w:space="0" w:color="auto"/>
            <w:right w:val="none" w:sz="0" w:space="0" w:color="auto"/>
          </w:divBdr>
        </w:div>
        <w:div w:id="1344667831">
          <w:marLeft w:val="0"/>
          <w:marRight w:val="0"/>
          <w:marTop w:val="0"/>
          <w:marBottom w:val="0"/>
          <w:divBdr>
            <w:top w:val="none" w:sz="0" w:space="0" w:color="auto"/>
            <w:left w:val="none" w:sz="0" w:space="0" w:color="auto"/>
            <w:bottom w:val="none" w:sz="0" w:space="0" w:color="auto"/>
            <w:right w:val="none" w:sz="0" w:space="0" w:color="auto"/>
          </w:divBdr>
        </w:div>
        <w:div w:id="1518495881">
          <w:marLeft w:val="0"/>
          <w:marRight w:val="0"/>
          <w:marTop w:val="0"/>
          <w:marBottom w:val="0"/>
          <w:divBdr>
            <w:top w:val="none" w:sz="0" w:space="0" w:color="auto"/>
            <w:left w:val="none" w:sz="0" w:space="0" w:color="auto"/>
            <w:bottom w:val="none" w:sz="0" w:space="0" w:color="auto"/>
            <w:right w:val="none" w:sz="0" w:space="0" w:color="auto"/>
          </w:divBdr>
        </w:div>
        <w:div w:id="1637487949">
          <w:marLeft w:val="0"/>
          <w:marRight w:val="0"/>
          <w:marTop w:val="0"/>
          <w:marBottom w:val="0"/>
          <w:divBdr>
            <w:top w:val="none" w:sz="0" w:space="0" w:color="auto"/>
            <w:left w:val="none" w:sz="0" w:space="0" w:color="auto"/>
            <w:bottom w:val="none" w:sz="0" w:space="0" w:color="auto"/>
            <w:right w:val="none" w:sz="0" w:space="0" w:color="auto"/>
          </w:divBdr>
          <w:divsChild>
            <w:div w:id="23096999">
              <w:marLeft w:val="0"/>
              <w:marRight w:val="0"/>
              <w:marTop w:val="0"/>
              <w:marBottom w:val="0"/>
              <w:divBdr>
                <w:top w:val="none" w:sz="0" w:space="0" w:color="auto"/>
                <w:left w:val="none" w:sz="0" w:space="0" w:color="auto"/>
                <w:bottom w:val="none" w:sz="0" w:space="0" w:color="auto"/>
                <w:right w:val="none" w:sz="0" w:space="0" w:color="auto"/>
              </w:divBdr>
            </w:div>
            <w:div w:id="50231217">
              <w:marLeft w:val="0"/>
              <w:marRight w:val="0"/>
              <w:marTop w:val="0"/>
              <w:marBottom w:val="0"/>
              <w:divBdr>
                <w:top w:val="none" w:sz="0" w:space="0" w:color="auto"/>
                <w:left w:val="none" w:sz="0" w:space="0" w:color="auto"/>
                <w:bottom w:val="none" w:sz="0" w:space="0" w:color="auto"/>
                <w:right w:val="none" w:sz="0" w:space="0" w:color="auto"/>
              </w:divBdr>
            </w:div>
            <w:div w:id="168062312">
              <w:marLeft w:val="0"/>
              <w:marRight w:val="0"/>
              <w:marTop w:val="0"/>
              <w:marBottom w:val="0"/>
              <w:divBdr>
                <w:top w:val="none" w:sz="0" w:space="0" w:color="auto"/>
                <w:left w:val="none" w:sz="0" w:space="0" w:color="auto"/>
                <w:bottom w:val="none" w:sz="0" w:space="0" w:color="auto"/>
                <w:right w:val="none" w:sz="0" w:space="0" w:color="auto"/>
              </w:divBdr>
            </w:div>
            <w:div w:id="244265371">
              <w:marLeft w:val="0"/>
              <w:marRight w:val="0"/>
              <w:marTop w:val="0"/>
              <w:marBottom w:val="0"/>
              <w:divBdr>
                <w:top w:val="none" w:sz="0" w:space="0" w:color="auto"/>
                <w:left w:val="none" w:sz="0" w:space="0" w:color="auto"/>
                <w:bottom w:val="none" w:sz="0" w:space="0" w:color="auto"/>
                <w:right w:val="none" w:sz="0" w:space="0" w:color="auto"/>
              </w:divBdr>
            </w:div>
            <w:div w:id="360014434">
              <w:marLeft w:val="0"/>
              <w:marRight w:val="0"/>
              <w:marTop w:val="0"/>
              <w:marBottom w:val="0"/>
              <w:divBdr>
                <w:top w:val="none" w:sz="0" w:space="0" w:color="auto"/>
                <w:left w:val="none" w:sz="0" w:space="0" w:color="auto"/>
                <w:bottom w:val="none" w:sz="0" w:space="0" w:color="auto"/>
                <w:right w:val="none" w:sz="0" w:space="0" w:color="auto"/>
              </w:divBdr>
            </w:div>
            <w:div w:id="527330506">
              <w:marLeft w:val="0"/>
              <w:marRight w:val="0"/>
              <w:marTop w:val="0"/>
              <w:marBottom w:val="0"/>
              <w:divBdr>
                <w:top w:val="none" w:sz="0" w:space="0" w:color="auto"/>
                <w:left w:val="none" w:sz="0" w:space="0" w:color="auto"/>
                <w:bottom w:val="none" w:sz="0" w:space="0" w:color="auto"/>
                <w:right w:val="none" w:sz="0" w:space="0" w:color="auto"/>
              </w:divBdr>
            </w:div>
            <w:div w:id="528028927">
              <w:marLeft w:val="0"/>
              <w:marRight w:val="0"/>
              <w:marTop w:val="0"/>
              <w:marBottom w:val="0"/>
              <w:divBdr>
                <w:top w:val="none" w:sz="0" w:space="0" w:color="auto"/>
                <w:left w:val="none" w:sz="0" w:space="0" w:color="auto"/>
                <w:bottom w:val="none" w:sz="0" w:space="0" w:color="auto"/>
                <w:right w:val="none" w:sz="0" w:space="0" w:color="auto"/>
              </w:divBdr>
            </w:div>
            <w:div w:id="575818079">
              <w:marLeft w:val="0"/>
              <w:marRight w:val="0"/>
              <w:marTop w:val="0"/>
              <w:marBottom w:val="0"/>
              <w:divBdr>
                <w:top w:val="none" w:sz="0" w:space="0" w:color="auto"/>
                <w:left w:val="none" w:sz="0" w:space="0" w:color="auto"/>
                <w:bottom w:val="none" w:sz="0" w:space="0" w:color="auto"/>
                <w:right w:val="none" w:sz="0" w:space="0" w:color="auto"/>
              </w:divBdr>
            </w:div>
            <w:div w:id="770784984">
              <w:marLeft w:val="0"/>
              <w:marRight w:val="0"/>
              <w:marTop w:val="0"/>
              <w:marBottom w:val="0"/>
              <w:divBdr>
                <w:top w:val="none" w:sz="0" w:space="0" w:color="auto"/>
                <w:left w:val="none" w:sz="0" w:space="0" w:color="auto"/>
                <w:bottom w:val="none" w:sz="0" w:space="0" w:color="auto"/>
                <w:right w:val="none" w:sz="0" w:space="0" w:color="auto"/>
              </w:divBdr>
            </w:div>
            <w:div w:id="887494543">
              <w:marLeft w:val="0"/>
              <w:marRight w:val="0"/>
              <w:marTop w:val="0"/>
              <w:marBottom w:val="0"/>
              <w:divBdr>
                <w:top w:val="none" w:sz="0" w:space="0" w:color="auto"/>
                <w:left w:val="none" w:sz="0" w:space="0" w:color="auto"/>
                <w:bottom w:val="none" w:sz="0" w:space="0" w:color="auto"/>
                <w:right w:val="none" w:sz="0" w:space="0" w:color="auto"/>
              </w:divBdr>
            </w:div>
            <w:div w:id="1188130877">
              <w:marLeft w:val="0"/>
              <w:marRight w:val="0"/>
              <w:marTop w:val="0"/>
              <w:marBottom w:val="0"/>
              <w:divBdr>
                <w:top w:val="none" w:sz="0" w:space="0" w:color="auto"/>
                <w:left w:val="none" w:sz="0" w:space="0" w:color="auto"/>
                <w:bottom w:val="none" w:sz="0" w:space="0" w:color="auto"/>
                <w:right w:val="none" w:sz="0" w:space="0" w:color="auto"/>
              </w:divBdr>
            </w:div>
            <w:div w:id="1232352165">
              <w:marLeft w:val="0"/>
              <w:marRight w:val="0"/>
              <w:marTop w:val="0"/>
              <w:marBottom w:val="0"/>
              <w:divBdr>
                <w:top w:val="none" w:sz="0" w:space="0" w:color="auto"/>
                <w:left w:val="none" w:sz="0" w:space="0" w:color="auto"/>
                <w:bottom w:val="none" w:sz="0" w:space="0" w:color="auto"/>
                <w:right w:val="none" w:sz="0" w:space="0" w:color="auto"/>
              </w:divBdr>
            </w:div>
            <w:div w:id="1387217435">
              <w:marLeft w:val="0"/>
              <w:marRight w:val="0"/>
              <w:marTop w:val="0"/>
              <w:marBottom w:val="0"/>
              <w:divBdr>
                <w:top w:val="none" w:sz="0" w:space="0" w:color="auto"/>
                <w:left w:val="none" w:sz="0" w:space="0" w:color="auto"/>
                <w:bottom w:val="none" w:sz="0" w:space="0" w:color="auto"/>
                <w:right w:val="none" w:sz="0" w:space="0" w:color="auto"/>
              </w:divBdr>
            </w:div>
            <w:div w:id="1495367531">
              <w:marLeft w:val="0"/>
              <w:marRight w:val="0"/>
              <w:marTop w:val="0"/>
              <w:marBottom w:val="0"/>
              <w:divBdr>
                <w:top w:val="none" w:sz="0" w:space="0" w:color="auto"/>
                <w:left w:val="none" w:sz="0" w:space="0" w:color="auto"/>
                <w:bottom w:val="none" w:sz="0" w:space="0" w:color="auto"/>
                <w:right w:val="none" w:sz="0" w:space="0" w:color="auto"/>
              </w:divBdr>
            </w:div>
            <w:div w:id="1598558270">
              <w:marLeft w:val="0"/>
              <w:marRight w:val="0"/>
              <w:marTop w:val="0"/>
              <w:marBottom w:val="0"/>
              <w:divBdr>
                <w:top w:val="none" w:sz="0" w:space="0" w:color="auto"/>
                <w:left w:val="none" w:sz="0" w:space="0" w:color="auto"/>
                <w:bottom w:val="none" w:sz="0" w:space="0" w:color="auto"/>
                <w:right w:val="none" w:sz="0" w:space="0" w:color="auto"/>
              </w:divBdr>
            </w:div>
            <w:div w:id="1670327520">
              <w:marLeft w:val="0"/>
              <w:marRight w:val="0"/>
              <w:marTop w:val="0"/>
              <w:marBottom w:val="0"/>
              <w:divBdr>
                <w:top w:val="none" w:sz="0" w:space="0" w:color="auto"/>
                <w:left w:val="none" w:sz="0" w:space="0" w:color="auto"/>
                <w:bottom w:val="none" w:sz="0" w:space="0" w:color="auto"/>
                <w:right w:val="none" w:sz="0" w:space="0" w:color="auto"/>
              </w:divBdr>
            </w:div>
            <w:div w:id="1780834513">
              <w:marLeft w:val="0"/>
              <w:marRight w:val="0"/>
              <w:marTop w:val="0"/>
              <w:marBottom w:val="0"/>
              <w:divBdr>
                <w:top w:val="none" w:sz="0" w:space="0" w:color="auto"/>
                <w:left w:val="none" w:sz="0" w:space="0" w:color="auto"/>
                <w:bottom w:val="none" w:sz="0" w:space="0" w:color="auto"/>
                <w:right w:val="none" w:sz="0" w:space="0" w:color="auto"/>
              </w:divBdr>
            </w:div>
            <w:div w:id="1919247098">
              <w:marLeft w:val="0"/>
              <w:marRight w:val="0"/>
              <w:marTop w:val="0"/>
              <w:marBottom w:val="0"/>
              <w:divBdr>
                <w:top w:val="none" w:sz="0" w:space="0" w:color="auto"/>
                <w:left w:val="none" w:sz="0" w:space="0" w:color="auto"/>
                <w:bottom w:val="none" w:sz="0" w:space="0" w:color="auto"/>
                <w:right w:val="none" w:sz="0" w:space="0" w:color="auto"/>
              </w:divBdr>
            </w:div>
            <w:div w:id="1937519022">
              <w:marLeft w:val="0"/>
              <w:marRight w:val="0"/>
              <w:marTop w:val="0"/>
              <w:marBottom w:val="0"/>
              <w:divBdr>
                <w:top w:val="none" w:sz="0" w:space="0" w:color="auto"/>
                <w:left w:val="none" w:sz="0" w:space="0" w:color="auto"/>
                <w:bottom w:val="none" w:sz="0" w:space="0" w:color="auto"/>
                <w:right w:val="none" w:sz="0" w:space="0" w:color="auto"/>
              </w:divBdr>
            </w:div>
            <w:div w:id="21393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241676657">
      <w:bodyDiv w:val="1"/>
      <w:marLeft w:val="0"/>
      <w:marRight w:val="0"/>
      <w:marTop w:val="0"/>
      <w:marBottom w:val="0"/>
      <w:divBdr>
        <w:top w:val="none" w:sz="0" w:space="0" w:color="auto"/>
        <w:left w:val="none" w:sz="0" w:space="0" w:color="auto"/>
        <w:bottom w:val="none" w:sz="0" w:space="0" w:color="auto"/>
        <w:right w:val="none" w:sz="0" w:space="0" w:color="auto"/>
      </w:divBdr>
    </w:div>
    <w:div w:id="1322465488">
      <w:bodyDiv w:val="1"/>
      <w:marLeft w:val="0"/>
      <w:marRight w:val="0"/>
      <w:marTop w:val="0"/>
      <w:marBottom w:val="0"/>
      <w:divBdr>
        <w:top w:val="none" w:sz="0" w:space="0" w:color="auto"/>
        <w:left w:val="none" w:sz="0" w:space="0" w:color="auto"/>
        <w:bottom w:val="none" w:sz="0" w:space="0" w:color="auto"/>
        <w:right w:val="none" w:sz="0" w:space="0" w:color="auto"/>
      </w:divBdr>
      <w:divsChild>
        <w:div w:id="1019963438">
          <w:marLeft w:val="0"/>
          <w:marRight w:val="0"/>
          <w:marTop w:val="0"/>
          <w:marBottom w:val="0"/>
          <w:divBdr>
            <w:top w:val="none" w:sz="0" w:space="0" w:color="auto"/>
            <w:left w:val="none" w:sz="0" w:space="0" w:color="auto"/>
            <w:bottom w:val="none" w:sz="0" w:space="0" w:color="auto"/>
            <w:right w:val="none" w:sz="0" w:space="0" w:color="auto"/>
          </w:divBdr>
        </w:div>
      </w:divsChild>
    </w:div>
    <w:div w:id="1467821032">
      <w:bodyDiv w:val="1"/>
      <w:marLeft w:val="0"/>
      <w:marRight w:val="0"/>
      <w:marTop w:val="0"/>
      <w:marBottom w:val="0"/>
      <w:divBdr>
        <w:top w:val="none" w:sz="0" w:space="0" w:color="auto"/>
        <w:left w:val="none" w:sz="0" w:space="0" w:color="auto"/>
        <w:bottom w:val="none" w:sz="0" w:space="0" w:color="auto"/>
        <w:right w:val="none" w:sz="0" w:space="0" w:color="auto"/>
      </w:divBdr>
      <w:divsChild>
        <w:div w:id="1388142411">
          <w:marLeft w:val="0"/>
          <w:marRight w:val="0"/>
          <w:marTop w:val="0"/>
          <w:marBottom w:val="0"/>
          <w:divBdr>
            <w:top w:val="none" w:sz="0" w:space="0" w:color="auto"/>
            <w:left w:val="none" w:sz="0" w:space="0" w:color="auto"/>
            <w:bottom w:val="none" w:sz="0" w:space="0" w:color="auto"/>
            <w:right w:val="none" w:sz="0" w:space="0" w:color="auto"/>
          </w:divBdr>
        </w:div>
      </w:divsChild>
    </w:div>
    <w:div w:id="1516456526">
      <w:bodyDiv w:val="1"/>
      <w:marLeft w:val="0"/>
      <w:marRight w:val="0"/>
      <w:marTop w:val="0"/>
      <w:marBottom w:val="0"/>
      <w:divBdr>
        <w:top w:val="none" w:sz="0" w:space="0" w:color="auto"/>
        <w:left w:val="none" w:sz="0" w:space="0" w:color="auto"/>
        <w:bottom w:val="none" w:sz="0" w:space="0" w:color="auto"/>
        <w:right w:val="none" w:sz="0" w:space="0" w:color="auto"/>
      </w:divBdr>
    </w:div>
    <w:div w:id="1530341086">
      <w:bodyDiv w:val="1"/>
      <w:marLeft w:val="0"/>
      <w:marRight w:val="0"/>
      <w:marTop w:val="0"/>
      <w:marBottom w:val="0"/>
      <w:divBdr>
        <w:top w:val="none" w:sz="0" w:space="0" w:color="auto"/>
        <w:left w:val="none" w:sz="0" w:space="0" w:color="auto"/>
        <w:bottom w:val="none" w:sz="0" w:space="0" w:color="auto"/>
        <w:right w:val="none" w:sz="0" w:space="0" w:color="auto"/>
      </w:divBdr>
      <w:divsChild>
        <w:div w:id="945042091">
          <w:marLeft w:val="0"/>
          <w:marRight w:val="0"/>
          <w:marTop w:val="0"/>
          <w:marBottom w:val="0"/>
          <w:divBdr>
            <w:top w:val="none" w:sz="0" w:space="0" w:color="auto"/>
            <w:left w:val="none" w:sz="0" w:space="0" w:color="auto"/>
            <w:bottom w:val="none" w:sz="0" w:space="0" w:color="auto"/>
            <w:right w:val="none" w:sz="0" w:space="0" w:color="auto"/>
          </w:divBdr>
        </w:div>
      </w:divsChild>
    </w:div>
    <w:div w:id="1537621404">
      <w:bodyDiv w:val="1"/>
      <w:marLeft w:val="0"/>
      <w:marRight w:val="0"/>
      <w:marTop w:val="0"/>
      <w:marBottom w:val="0"/>
      <w:divBdr>
        <w:top w:val="none" w:sz="0" w:space="0" w:color="auto"/>
        <w:left w:val="none" w:sz="0" w:space="0" w:color="auto"/>
        <w:bottom w:val="none" w:sz="0" w:space="0" w:color="auto"/>
        <w:right w:val="none" w:sz="0" w:space="0" w:color="auto"/>
      </w:divBdr>
      <w:divsChild>
        <w:div w:id="452753819">
          <w:marLeft w:val="0"/>
          <w:marRight w:val="0"/>
          <w:marTop w:val="0"/>
          <w:marBottom w:val="0"/>
          <w:divBdr>
            <w:top w:val="none" w:sz="0" w:space="0" w:color="auto"/>
            <w:left w:val="none" w:sz="0" w:space="0" w:color="auto"/>
            <w:bottom w:val="none" w:sz="0" w:space="0" w:color="auto"/>
            <w:right w:val="none" w:sz="0" w:space="0" w:color="auto"/>
          </w:divBdr>
        </w:div>
      </w:divsChild>
    </w:div>
    <w:div w:id="1571765103">
      <w:bodyDiv w:val="1"/>
      <w:marLeft w:val="0"/>
      <w:marRight w:val="0"/>
      <w:marTop w:val="0"/>
      <w:marBottom w:val="0"/>
      <w:divBdr>
        <w:top w:val="none" w:sz="0" w:space="0" w:color="auto"/>
        <w:left w:val="none" w:sz="0" w:space="0" w:color="auto"/>
        <w:bottom w:val="none" w:sz="0" w:space="0" w:color="auto"/>
        <w:right w:val="none" w:sz="0" w:space="0" w:color="auto"/>
      </w:divBdr>
      <w:divsChild>
        <w:div w:id="457455569">
          <w:marLeft w:val="0"/>
          <w:marRight w:val="0"/>
          <w:marTop w:val="0"/>
          <w:marBottom w:val="0"/>
          <w:divBdr>
            <w:top w:val="none" w:sz="0" w:space="0" w:color="auto"/>
            <w:left w:val="none" w:sz="0" w:space="0" w:color="auto"/>
            <w:bottom w:val="none" w:sz="0" w:space="0" w:color="auto"/>
            <w:right w:val="none" w:sz="0" w:space="0" w:color="auto"/>
          </w:divBdr>
        </w:div>
        <w:div w:id="536702005">
          <w:marLeft w:val="0"/>
          <w:marRight w:val="0"/>
          <w:marTop w:val="0"/>
          <w:marBottom w:val="0"/>
          <w:divBdr>
            <w:top w:val="none" w:sz="0" w:space="0" w:color="auto"/>
            <w:left w:val="none" w:sz="0" w:space="0" w:color="auto"/>
            <w:bottom w:val="none" w:sz="0" w:space="0" w:color="auto"/>
            <w:right w:val="none" w:sz="0" w:space="0" w:color="auto"/>
          </w:divBdr>
        </w:div>
        <w:div w:id="623463397">
          <w:marLeft w:val="0"/>
          <w:marRight w:val="0"/>
          <w:marTop w:val="0"/>
          <w:marBottom w:val="0"/>
          <w:divBdr>
            <w:top w:val="none" w:sz="0" w:space="0" w:color="auto"/>
            <w:left w:val="none" w:sz="0" w:space="0" w:color="auto"/>
            <w:bottom w:val="none" w:sz="0" w:space="0" w:color="auto"/>
            <w:right w:val="none" w:sz="0" w:space="0" w:color="auto"/>
          </w:divBdr>
        </w:div>
        <w:div w:id="645206638">
          <w:marLeft w:val="0"/>
          <w:marRight w:val="0"/>
          <w:marTop w:val="0"/>
          <w:marBottom w:val="0"/>
          <w:divBdr>
            <w:top w:val="none" w:sz="0" w:space="0" w:color="auto"/>
            <w:left w:val="none" w:sz="0" w:space="0" w:color="auto"/>
            <w:bottom w:val="none" w:sz="0" w:space="0" w:color="auto"/>
            <w:right w:val="none" w:sz="0" w:space="0" w:color="auto"/>
          </w:divBdr>
        </w:div>
        <w:div w:id="647513899">
          <w:marLeft w:val="0"/>
          <w:marRight w:val="0"/>
          <w:marTop w:val="0"/>
          <w:marBottom w:val="0"/>
          <w:divBdr>
            <w:top w:val="none" w:sz="0" w:space="0" w:color="auto"/>
            <w:left w:val="none" w:sz="0" w:space="0" w:color="auto"/>
            <w:bottom w:val="none" w:sz="0" w:space="0" w:color="auto"/>
            <w:right w:val="none" w:sz="0" w:space="0" w:color="auto"/>
          </w:divBdr>
        </w:div>
        <w:div w:id="938680770">
          <w:marLeft w:val="0"/>
          <w:marRight w:val="0"/>
          <w:marTop w:val="0"/>
          <w:marBottom w:val="0"/>
          <w:divBdr>
            <w:top w:val="none" w:sz="0" w:space="0" w:color="auto"/>
            <w:left w:val="none" w:sz="0" w:space="0" w:color="auto"/>
            <w:bottom w:val="none" w:sz="0" w:space="0" w:color="auto"/>
            <w:right w:val="none" w:sz="0" w:space="0" w:color="auto"/>
          </w:divBdr>
        </w:div>
        <w:div w:id="1060011412">
          <w:marLeft w:val="0"/>
          <w:marRight w:val="0"/>
          <w:marTop w:val="0"/>
          <w:marBottom w:val="0"/>
          <w:divBdr>
            <w:top w:val="none" w:sz="0" w:space="0" w:color="auto"/>
            <w:left w:val="none" w:sz="0" w:space="0" w:color="auto"/>
            <w:bottom w:val="none" w:sz="0" w:space="0" w:color="auto"/>
            <w:right w:val="none" w:sz="0" w:space="0" w:color="auto"/>
          </w:divBdr>
        </w:div>
        <w:div w:id="1201623857">
          <w:marLeft w:val="0"/>
          <w:marRight w:val="0"/>
          <w:marTop w:val="0"/>
          <w:marBottom w:val="0"/>
          <w:divBdr>
            <w:top w:val="none" w:sz="0" w:space="0" w:color="auto"/>
            <w:left w:val="none" w:sz="0" w:space="0" w:color="auto"/>
            <w:bottom w:val="none" w:sz="0" w:space="0" w:color="auto"/>
            <w:right w:val="none" w:sz="0" w:space="0" w:color="auto"/>
          </w:divBdr>
        </w:div>
        <w:div w:id="1252007701">
          <w:marLeft w:val="0"/>
          <w:marRight w:val="0"/>
          <w:marTop w:val="0"/>
          <w:marBottom w:val="0"/>
          <w:divBdr>
            <w:top w:val="none" w:sz="0" w:space="0" w:color="auto"/>
            <w:left w:val="none" w:sz="0" w:space="0" w:color="auto"/>
            <w:bottom w:val="none" w:sz="0" w:space="0" w:color="auto"/>
            <w:right w:val="none" w:sz="0" w:space="0" w:color="auto"/>
          </w:divBdr>
        </w:div>
        <w:div w:id="1270966085">
          <w:marLeft w:val="0"/>
          <w:marRight w:val="0"/>
          <w:marTop w:val="0"/>
          <w:marBottom w:val="0"/>
          <w:divBdr>
            <w:top w:val="none" w:sz="0" w:space="0" w:color="auto"/>
            <w:left w:val="none" w:sz="0" w:space="0" w:color="auto"/>
            <w:bottom w:val="none" w:sz="0" w:space="0" w:color="auto"/>
            <w:right w:val="none" w:sz="0" w:space="0" w:color="auto"/>
          </w:divBdr>
        </w:div>
        <w:div w:id="1817796115">
          <w:marLeft w:val="0"/>
          <w:marRight w:val="0"/>
          <w:marTop w:val="0"/>
          <w:marBottom w:val="0"/>
          <w:divBdr>
            <w:top w:val="none" w:sz="0" w:space="0" w:color="auto"/>
            <w:left w:val="none" w:sz="0" w:space="0" w:color="auto"/>
            <w:bottom w:val="none" w:sz="0" w:space="0" w:color="auto"/>
            <w:right w:val="none" w:sz="0" w:space="0" w:color="auto"/>
          </w:divBdr>
        </w:div>
        <w:div w:id="1887334277">
          <w:marLeft w:val="0"/>
          <w:marRight w:val="0"/>
          <w:marTop w:val="0"/>
          <w:marBottom w:val="0"/>
          <w:divBdr>
            <w:top w:val="none" w:sz="0" w:space="0" w:color="auto"/>
            <w:left w:val="none" w:sz="0" w:space="0" w:color="auto"/>
            <w:bottom w:val="none" w:sz="0" w:space="0" w:color="auto"/>
            <w:right w:val="none" w:sz="0" w:space="0" w:color="auto"/>
          </w:divBdr>
        </w:div>
        <w:div w:id="1898130233">
          <w:marLeft w:val="0"/>
          <w:marRight w:val="0"/>
          <w:marTop w:val="0"/>
          <w:marBottom w:val="0"/>
          <w:divBdr>
            <w:top w:val="none" w:sz="0" w:space="0" w:color="auto"/>
            <w:left w:val="none" w:sz="0" w:space="0" w:color="auto"/>
            <w:bottom w:val="none" w:sz="0" w:space="0" w:color="auto"/>
            <w:right w:val="none" w:sz="0" w:space="0" w:color="auto"/>
          </w:divBdr>
        </w:div>
        <w:div w:id="2091196440">
          <w:marLeft w:val="0"/>
          <w:marRight w:val="0"/>
          <w:marTop w:val="0"/>
          <w:marBottom w:val="0"/>
          <w:divBdr>
            <w:top w:val="none" w:sz="0" w:space="0" w:color="auto"/>
            <w:left w:val="none" w:sz="0" w:space="0" w:color="auto"/>
            <w:bottom w:val="none" w:sz="0" w:space="0" w:color="auto"/>
            <w:right w:val="none" w:sz="0" w:space="0" w:color="auto"/>
          </w:divBdr>
        </w:div>
      </w:divsChild>
    </w:div>
    <w:div w:id="1762287727">
      <w:bodyDiv w:val="1"/>
      <w:marLeft w:val="0"/>
      <w:marRight w:val="0"/>
      <w:marTop w:val="0"/>
      <w:marBottom w:val="0"/>
      <w:divBdr>
        <w:top w:val="none" w:sz="0" w:space="0" w:color="auto"/>
        <w:left w:val="none" w:sz="0" w:space="0" w:color="auto"/>
        <w:bottom w:val="none" w:sz="0" w:space="0" w:color="auto"/>
        <w:right w:val="none" w:sz="0" w:space="0" w:color="auto"/>
      </w:divBdr>
      <w:divsChild>
        <w:div w:id="356320879">
          <w:marLeft w:val="0"/>
          <w:marRight w:val="0"/>
          <w:marTop w:val="0"/>
          <w:marBottom w:val="0"/>
          <w:divBdr>
            <w:top w:val="none" w:sz="0" w:space="0" w:color="auto"/>
            <w:left w:val="none" w:sz="0" w:space="0" w:color="auto"/>
            <w:bottom w:val="none" w:sz="0" w:space="0" w:color="auto"/>
            <w:right w:val="none" w:sz="0" w:space="0" w:color="auto"/>
          </w:divBdr>
        </w:div>
      </w:divsChild>
    </w:div>
    <w:div w:id="19971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csisupport.gov.au/glossary/glossaryterm/Disability" TargetMode="External"/><Relationship Id="rId21" Type="http://schemas.openxmlformats.org/officeDocument/2006/relationships/image" Target="media/image8.png"/><Relationship Id="rId42" Type="http://schemas.openxmlformats.org/officeDocument/2006/relationships/hyperlink" Target="https://doi.org/10.1002/ss.20194" TargetMode="External"/><Relationship Id="rId47" Type="http://schemas.openxmlformats.org/officeDocument/2006/relationships/hyperlink" Target="https://doi.org/10.1080/1360080X.2023.2212850" TargetMode="External"/><Relationship Id="rId63" Type="http://schemas.openxmlformats.org/officeDocument/2006/relationships/hyperlink" Target="https://doi.org/10.5204/ssj.2436" TargetMode="External"/><Relationship Id="rId68" Type="http://schemas.openxmlformats.org/officeDocument/2006/relationships/hyperlink" Target="https://doi.org/10.1186/s12955-018-0976-x" TargetMode="Externa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doi.org/10.1080/02602930120052387" TargetMode="External"/><Relationship Id="rId37" Type="http://schemas.openxmlformats.org/officeDocument/2006/relationships/hyperlink" Target="https://doi.org/10.1007/978-981-19-9553-8_27-1" TargetMode="External"/><Relationship Id="rId53" Type="http://schemas.openxmlformats.org/officeDocument/2006/relationships/hyperlink" Target="https://www.education.gov.au/system/files/documents/submission-file/2023-04/AUA_tranche2_Learning%20Creates%20Australia.pdf" TargetMode="External"/><Relationship Id="rId58" Type="http://schemas.openxmlformats.org/officeDocument/2006/relationships/hyperlink" Target="https://www.education.wa.edu.au/web/pathways-review/expert-panel-report" TargetMode="External"/><Relationship Id="rId74" Type="http://schemas.openxmlformats.org/officeDocument/2006/relationships/hyperlink" Target="https://doi.org/10.1080/0309877X.2018.1504011"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oi.org/10.63608/ssj.3774" TargetMode="External"/><Relationship Id="rId82" Type="http://schemas.microsoft.com/office/2020/10/relationships/intelligence" Target="intelligence2.xml"/><Relationship Id="rId19" Type="http://schemas.openxmlformats.org/officeDocument/2006/relationships/image" Target="media/image6.png"/><Relationship Id="rId14" Type="http://schemas.openxmlformats.org/officeDocument/2006/relationships/hyperlink" Target="http://www.acses.edu.au" TargetMode="External"/><Relationship Id="rId22" Type="http://schemas.openxmlformats.org/officeDocument/2006/relationships/image" Target="media/image9.png"/><Relationship Id="rId27" Type="http://schemas.openxmlformats.org/officeDocument/2006/relationships/hyperlink" Target="https://www.tcsisupport.gov.au/element/316" TargetMode="External"/><Relationship Id="rId30" Type="http://schemas.openxmlformats.org/officeDocument/2006/relationships/hyperlink" Target="https://doi.org/10.1080/07294360.2020.1801600?urlappend=%3Futm_source%3Dresearchgate.net%26utm_medium%3Darticle" TargetMode="External"/><Relationship Id="rId35" Type="http://schemas.openxmlformats.org/officeDocument/2006/relationships/hyperlink" Target="https://unistars.org/papers/STUDENTSUCCESS2025/10C.pdf" TargetMode="External"/><Relationship Id="rId43" Type="http://schemas.openxmlformats.org/officeDocument/2006/relationships/hyperlink" Target="https://doi.org/10.3390/ijerph17041265" TargetMode="External"/><Relationship Id="rId48" Type="http://schemas.openxmlformats.org/officeDocument/2006/relationships/hyperlink" Target="https://unistars.org/papers/STUDENTSUCCESS2024/14B.pdf" TargetMode="External"/><Relationship Id="rId56" Type="http://schemas.openxmlformats.org/officeDocument/2006/relationships/hyperlink" Target="https://doi.org/10.1007/s10734-023-01070-4" TargetMode="External"/><Relationship Id="rId64" Type="http://schemas.openxmlformats.org/officeDocument/2006/relationships/hyperlink" Target="https://doi.org/10.1016/j.apnu.2024.06.017" TargetMode="External"/><Relationship Id="rId69" Type="http://schemas.openxmlformats.org/officeDocument/2006/relationships/hyperlink" Target="https://doi.org/10.3316/informit.948194659548072" TargetMode="External"/><Relationship Id="rId77" Type="http://schemas.openxmlformats.org/officeDocument/2006/relationships/hyperlink" Target="https://doi.org/10.1186/s12955-017-0728-3" TargetMode="External"/><Relationship Id="rId8" Type="http://schemas.openxmlformats.org/officeDocument/2006/relationships/webSettings" Target="webSettings.xml"/><Relationship Id="rId51" Type="http://schemas.openxmlformats.org/officeDocument/2006/relationships/hyperlink" Target="https://ro.uow.edu.au/jutlp/vol19/iss4/05" TargetMode="External"/><Relationship Id="rId72" Type="http://schemas.openxmlformats.org/officeDocument/2006/relationships/hyperlink" Target="https://doi.org/10.1080/10705500802222972"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www.tcsisupport.gov.au/glossary/glossaryterm/Regional%20and%20remote%20-%20Australian%20Statistical%20Geography%20Standard%20%28ASGS%29%20measure" TargetMode="External"/><Relationship Id="rId33" Type="http://schemas.openxmlformats.org/officeDocument/2006/relationships/hyperlink" Target="https://www.theage.com.au/national/victoria/principals-urge-education-authorities-to-scrap-atar-20230208-p5cirv.htm" TargetMode="External"/><Relationship Id="rId38" Type="http://schemas.openxmlformats.org/officeDocument/2006/relationships/hyperlink" Target="https://doi.org/10.1007/978-981-19-9553-8_27-1" TargetMode="External"/><Relationship Id="rId46" Type="http://schemas.openxmlformats.org/officeDocument/2006/relationships/hyperlink" Target="https://enablingeducators.org/wp-content/uploads/2019/11/CG10_1697_Hodges_Report_2013.pdf" TargetMode="External"/><Relationship Id="rId59" Type="http://schemas.openxmlformats.org/officeDocument/2006/relationships/hyperlink" Target="https://doi.org/10.5204/ssj.3419" TargetMode="External"/><Relationship Id="rId67" Type="http://schemas.openxmlformats.org/officeDocument/2006/relationships/hyperlink" Target="https://doi.org/10.1007/s13384-025-00853-1" TargetMode="External"/><Relationship Id="rId20" Type="http://schemas.openxmlformats.org/officeDocument/2006/relationships/image" Target="media/image7.png"/><Relationship Id="rId41" Type="http://schemas.openxmlformats.org/officeDocument/2006/relationships/hyperlink" Target="https://www.education.gov.au/download/17990/australian-universities-accord-final-report-document/36760/australian-universities-accord-final-report/pdf" TargetMode="External"/><Relationship Id="rId54" Type="http://schemas.openxmlformats.org/officeDocument/2006/relationships/hyperlink" Target="https://www.acses.edu.au/publication/equity-implications-of-non-atar-pathways-participation-academic-outcomes-and-student-experience/" TargetMode="External"/><Relationship Id="rId62" Type="http://schemas.openxmlformats.org/officeDocument/2006/relationships/hyperlink" Target="https://andrewnorton.substack.com/p/how-attractive-will-the-fee-free" TargetMode="External"/><Relationship Id="rId70" Type="http://schemas.openxmlformats.org/officeDocument/2006/relationships/hyperlink" Target="https://www.dese.gov.au/" TargetMode="External"/><Relationship Id="rId75" Type="http://schemas.openxmlformats.org/officeDocument/2006/relationships/hyperlink" Target="https://unistars.org/papers/STARS2023/09B.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abs.gov.au/statistics/people/people-and-communities/socio-economic-indexes-areas-seifa-australia/latest-release" TargetMode="External"/><Relationship Id="rId28" Type="http://schemas.openxmlformats.org/officeDocument/2006/relationships/hyperlink" Target="https://www.tcsisupport.gov.au/glossary/glossaryterm/Success%20rate" TargetMode="External"/><Relationship Id="rId36" Type="http://schemas.openxmlformats.org/officeDocument/2006/relationships/hyperlink" Target="https://enablingeducators.org/wp-content/uploads/2023/03/Report-on-Benchmarking-of-Enabling-Programs-Across-Australia-2023.pdf" TargetMode="External"/><Relationship Id="rId49" Type="http://schemas.openxmlformats.org/officeDocument/2006/relationships/hyperlink" Target="https://www.acses.edu.au/publication/nesting-enabling-programs-in-senior-schooling" TargetMode="External"/><Relationship Id="rId57" Type="http://schemas.openxmlformats.org/officeDocument/2006/relationships/hyperlink" Target="https://doi.org/10.4324/9780429279355-1" TargetMode="External"/><Relationship Id="rId10" Type="http://schemas.openxmlformats.org/officeDocument/2006/relationships/endnotes" Target="endnotes.xml"/><Relationship Id="rId31" Type="http://schemas.openxmlformats.org/officeDocument/2006/relationships/hyperlink" Target="https://www.abc.net.au/news/2023-01-13/education-minister-students-skipping-atar-alternative-pathways/101853466" TargetMode="External"/><Relationship Id="rId44" Type="http://schemas.openxmlformats.org/officeDocument/2006/relationships/hyperlink" Target="https://doi.org/10.1080/17508487.2011.536511" TargetMode="External"/><Relationship Id="rId52" Type="http://schemas.openxmlformats.org/officeDocument/2006/relationships/hyperlink" Target="https://doi.org/10.53761" TargetMode="External"/><Relationship Id="rId60" Type="http://schemas.openxmlformats.org/officeDocument/2006/relationships/hyperlink" Target="https://doi.org/10.1007/s11136-016-1454-8" TargetMode="External"/><Relationship Id="rId65" Type="http://schemas.openxmlformats.org/officeDocument/2006/relationships/hyperlink" Target="https://hdl.handle.net/1959.13/1496055" TargetMode="External"/><Relationship Id="rId73" Type="http://schemas.openxmlformats.org/officeDocument/2006/relationships/hyperlink" Target="https://doi.org/10.1080/07294360.2021.1990222" TargetMode="External"/><Relationship Id="rId78" Type="http://schemas.openxmlformats.org/officeDocument/2006/relationships/header" Target="header1.xml"/><Relationship Id="rId8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cses@curtin.edu.au" TargetMode="External"/><Relationship Id="rId18" Type="http://schemas.openxmlformats.org/officeDocument/2006/relationships/image" Target="media/image5.png"/><Relationship Id="rId39" Type="http://schemas.openxmlformats.org/officeDocument/2006/relationships/hyperlink" Target="https://www.pathwaysreview.wa.edu.au/review-discussion-paper" TargetMode="External"/><Relationship Id="rId34" Type="http://schemas.openxmlformats.org/officeDocument/2006/relationships/hyperlink" Target="https://doi.org/10.1007/s10734-025-01401-7" TargetMode="External"/><Relationship Id="rId50" Type="http://schemas.openxmlformats.org/officeDocument/2006/relationships/hyperlink" Target="https://www.acses.edu.au/publication/nesting-enabling-programs-in-senior-schooling" TargetMode="External"/><Relationship Id="rId55" Type="http://schemas.openxmlformats.org/officeDocument/2006/relationships/hyperlink" Target="https://doi.org/10.1080/1360080X.2023.2180163" TargetMode="External"/><Relationship Id="rId76" Type="http://schemas.openxmlformats.org/officeDocument/2006/relationships/hyperlink" Target="https://doi.org/10.1108/S1479-3628(2011)0000006003" TargetMode="External"/><Relationship Id="rId7" Type="http://schemas.openxmlformats.org/officeDocument/2006/relationships/settings" Target="settings.xml"/><Relationship Id="rId71" Type="http://schemas.openxmlformats.org/officeDocument/2006/relationships/hyperlink" Target="https://doi.org/10.1177/1521025115575914" TargetMode="External"/><Relationship Id="rId2" Type="http://schemas.openxmlformats.org/officeDocument/2006/relationships/customXml" Target="../customXml/item2.xml"/><Relationship Id="rId29" Type="http://schemas.openxmlformats.org/officeDocument/2006/relationships/hyperlink" Target="https://www.tcsisupport.gov.au/glossary/glossaryterm/Retention%20rate" TargetMode="External"/><Relationship Id="rId24" Type="http://schemas.openxmlformats.org/officeDocument/2006/relationships/hyperlink" Target="https://www.tcsisupport.gov.au/glossary/glossaryterm/Non-English%20speaking%20background" TargetMode="External"/><Relationship Id="rId40" Type="http://schemas.openxmlformats.org/officeDocument/2006/relationships/hyperlink" Target="https://www.education.gov.au/higher-education-funding/commonwealth-grant-scheme-cgs/feefree-uni-ready-courses" TargetMode="External"/><Relationship Id="rId45" Type="http://schemas.openxmlformats.org/officeDocument/2006/relationships/hyperlink" Target="https://doi.org/10.6018/analesps.35.1.297781" TargetMode="External"/><Relationship Id="rId66" Type="http://schemas.openxmlformats.org/officeDocument/2006/relationships/hyperlink" Target="https://doi.org/10.1080/0309877X.2021.1955844" TargetMode="External"/></Relationships>
</file>

<file path=word/documenttasks/documenttasks1.xml><?xml version="1.0" encoding="utf-8"?>
<t:Tasks xmlns:t="http://schemas.microsoft.com/office/tasks/2019/documenttasks" xmlns:oel="http://schemas.microsoft.com/office/2019/extlst">
  <t:Task id="{C6F3768F-6156-D44B-B7A3-DD91D204D933}">
    <t:Anchor>
      <t:Comment id="1275963034"/>
    </t:Anchor>
    <t:History>
      <t:Event id="{48FBEE4C-ADE9-1D4D-B2F0-24F499DAC4AA}" time="2025-12-17T05:04:11.766Z">
        <t:Attribution userId="S::angela.jones@ecu.edu.au::385dbd67-adcd-4123-bf54-bf93ff3ae599" userProvider="AD" userName="Ange JONES"/>
        <t:Anchor>
          <t:Comment id="1275963034"/>
        </t:Anchor>
        <t:Create/>
      </t:Event>
      <t:Event id="{052C1671-2DA5-8542-A91A-C74995B66A19}" time="2025-12-17T05:04:11.766Z">
        <t:Attribution userId="S::angela.jones@ecu.edu.au::385dbd67-adcd-4123-bf54-bf93ff3ae599" userProvider="AD" userName="Ange JONES"/>
        <t:Anchor>
          <t:Comment id="1275963034"/>
        </t:Anchor>
        <t:Assign userId="S::j.lisciandro@ecu.edu.au::a634782e-b761-44ec-8065-e00d99230914" userProvider="AD" userName="Jo LISCIANDRO"/>
      </t:Event>
      <t:Event id="{782B30DD-FF2C-0E49-9FD7-7BF8C28C1CB1}" time="2025-12-17T05:04:11.766Z">
        <t:Attribution userId="S::angela.jones@ecu.edu.au::385dbd67-adcd-4123-bf54-bf93ff3ae599" userProvider="AD" userName="Ange JONES"/>
        <t:Anchor>
          <t:Comment id="1275963034"/>
        </t:Anchor>
        <t:SetTitle title="the wording here needs clarifying for sense. @Jo LISCIANDRO"/>
      </t:Event>
    </t:History>
  </t:Task>
  <t:Task id="{A585A84E-B9A0-6346-A4DB-955E8CB08E93}">
    <t:Anchor>
      <t:Comment id="781437760"/>
    </t:Anchor>
    <t:History>
      <t:Event id="{C2FAEBAB-AB70-3648-B90C-0D87CBCA288B}" time="2025-12-17T02:17:28.321Z">
        <t:Attribution userId="S::angela.jones@ecu.edu.au::385dbd67-adcd-4123-bf54-bf93ff3ae599" userProvider="AD" userName="Ange JONES"/>
        <t:Anchor>
          <t:Comment id="781437760"/>
        </t:Anchor>
        <t:Create/>
      </t:Event>
      <t:Event id="{E830FD7B-AFB6-EF4F-AC64-04581C76A4E5}" time="2025-12-17T02:17:28.321Z">
        <t:Attribution userId="S::angela.jones@ecu.edu.au::385dbd67-adcd-4123-bf54-bf93ff3ae599" userProvider="AD" userName="Ange JONES"/>
        <t:Anchor>
          <t:Comment id="781437760"/>
        </t:Anchor>
        <t:Assign userId="S::s.tenakov@ecu.edu.au::e776c52f-a134-497a-ad56-0761161c5e8a" userProvider="AD" userName="Selena TENAKOV"/>
      </t:Event>
      <t:Event id="{614F3FA2-7EC4-0940-8DD6-E67439707CC3}" time="2025-12-17T02:17:28.321Z">
        <t:Attribution userId="S::angela.jones@ecu.edu.au::385dbd67-adcd-4123-bf54-bf93ff3ae599" userProvider="AD" userName="Ange JONES"/>
        <t:Anchor>
          <t:Comment id="781437760"/>
        </t:Anchor>
        <t:SetTitle title="@Selena TENAKOV how many do we know of as per your SIG knowledge. "/>
      </t:Event>
    </t:History>
  </t:Task>
</t:Task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6a6c69-a0cc-4bd7-a221-c94464070003" xsi:nil="true"/>
    <lcf76f155ced4ddcb4097134ff3c332f xmlns="daefdbcd-f4e8-497d-88ba-4a3a16d7b8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3E21A898DF3B4FA55554B2BFD7BDBD" ma:contentTypeVersion="12" ma:contentTypeDescription="Create a new document." ma:contentTypeScope="" ma:versionID="cba944c4bb08d1f0a5ff3a15ee944586">
  <xsd:schema xmlns:xsd="http://www.w3.org/2001/XMLSchema" xmlns:xs="http://www.w3.org/2001/XMLSchema" xmlns:p="http://schemas.microsoft.com/office/2006/metadata/properties" xmlns:ns2="daefdbcd-f4e8-497d-88ba-4a3a16d7b8d7" xmlns:ns3="526a6c69-a0cc-4bd7-a221-c94464070003" targetNamespace="http://schemas.microsoft.com/office/2006/metadata/properties" ma:root="true" ma:fieldsID="48407663c49b04eb0a103edd4317fa1e" ns2:_="" ns3:_="">
    <xsd:import namespace="daefdbcd-f4e8-497d-88ba-4a3a16d7b8d7"/>
    <xsd:import namespace="526a6c69-a0cc-4bd7-a221-c94464070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fdbcd-f4e8-497d-88ba-4a3a16d7b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6a6c69-a0cc-4bd7-a221-c94464070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71077-7e8d-4932-bfd7-58859b5f6c0e}" ma:internalName="TaxCatchAll" ma:showField="CatchAllData" ma:web="526a6c69-a0cc-4bd7-a221-c94464070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99F7-27AA-4680-B843-B2379DE5FE88}">
  <ds:schemaRefs>
    <ds:schemaRef ds:uri="http://schemas.microsoft.com/sharepoint/v3/contenttype/forms"/>
  </ds:schemaRefs>
</ds:datastoreItem>
</file>

<file path=customXml/itemProps2.xml><?xml version="1.0" encoding="utf-8"?>
<ds:datastoreItem xmlns:ds="http://schemas.openxmlformats.org/officeDocument/2006/customXml" ds:itemID="{DCAD414F-340A-4AF7-B27A-986F5EF9B744}">
  <ds:schemaRefs>
    <ds:schemaRef ds:uri="http://schemas.microsoft.com/office/2006/metadata/properties"/>
    <ds:schemaRef ds:uri="http://schemas.microsoft.com/office/infopath/2007/PartnerControls"/>
    <ds:schemaRef ds:uri="526a6c69-a0cc-4bd7-a221-c94464070003"/>
    <ds:schemaRef ds:uri="daefdbcd-f4e8-497d-88ba-4a3a16d7b8d7"/>
  </ds:schemaRefs>
</ds:datastoreItem>
</file>

<file path=customXml/itemProps3.xml><?xml version="1.0" encoding="utf-8"?>
<ds:datastoreItem xmlns:ds="http://schemas.openxmlformats.org/officeDocument/2006/customXml" ds:itemID="{38501D6B-419A-4628-B462-137F7F75C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fdbcd-f4e8-497d-88ba-4a3a16d7b8d7"/>
    <ds:schemaRef ds:uri="526a6c69-a0cc-4bd7-a221-c94464070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67</Pages>
  <Words>24265</Words>
  <Characters>145979</Characters>
  <Application>Microsoft Office Word</Application>
  <DocSecurity>0</DocSecurity>
  <Lines>2852</Lines>
  <Paragraphs>947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 Jones</dc:creator>
  <cp:keywords/>
  <dc:description/>
  <cp:lastModifiedBy>Anna Will</cp:lastModifiedBy>
  <cp:revision>59</cp:revision>
  <dcterms:created xsi:type="dcterms:W3CDTF">2026-05-19T01:51:00Z</dcterms:created>
  <dcterms:modified xsi:type="dcterms:W3CDTF">2026-06-19T05:24:00Z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a93f9fbf445aec91086ac0e70420023536c72e216bcddb8cd95862fab7ecb880</vt:lpwstr>
  </property>
  <property fmtid="{D5CDD505-2E9C-101B-9397-08002B2CF9AE}" pid="3" name="ContentTypeId">
    <vt:lpwstr>0x010100F03E21A898DF3B4FA55554B2BFD7BDBD</vt:lpwstr>
  </property>
  <property fmtid="{D5CDD505-2E9C-101B-9397-08002B2CF9AE}" pid="4" name="MediaServiceImageTags">
    <vt:lpwstr/>
  </property>
  <property fmtid="{D5CDD505-2E9C-101B-9397-08002B2CF9AE}" pid="5" name="ClassificationContentMarkingFooterShapeIds">
    <vt:lpwstr>1dd08576,3c2c60ee,5e415d7e</vt:lpwstr>
  </property>
  <property fmtid="{D5CDD505-2E9C-101B-9397-08002B2CF9AE}" pid="6" name="ClassificationContentMarkingFooterFontProps">
    <vt:lpwstr>#000000,12,Aptos</vt:lpwstr>
  </property>
  <property fmtid="{D5CDD505-2E9C-101B-9397-08002B2CF9AE}" pid="7" name="ClassificationContentMarkingFooterText">
    <vt:lpwstr>ECU Internal Information</vt:lpwstr>
  </property>
  <property fmtid="{D5CDD505-2E9C-101B-9397-08002B2CF9AE}" pid="8" name="MSIP_Label_03081eab-cc3f-49a2-9582-7dfc12a01625_Enabled">
    <vt:lpwstr>true</vt:lpwstr>
  </property>
  <property fmtid="{D5CDD505-2E9C-101B-9397-08002B2CF9AE}" pid="9" name="MSIP_Label_03081eab-cc3f-49a2-9582-7dfc12a01625_SetDate">
    <vt:lpwstr>2025-12-11T01:38:16Z</vt:lpwstr>
  </property>
  <property fmtid="{D5CDD505-2E9C-101B-9397-08002B2CF9AE}" pid="10" name="MSIP_Label_03081eab-cc3f-49a2-9582-7dfc12a01625_Method">
    <vt:lpwstr>Standard</vt:lpwstr>
  </property>
  <property fmtid="{D5CDD505-2E9C-101B-9397-08002B2CF9AE}" pid="11" name="MSIP_Label_03081eab-cc3f-49a2-9582-7dfc12a01625_Name">
    <vt:lpwstr>Internal</vt:lpwstr>
  </property>
  <property fmtid="{D5CDD505-2E9C-101B-9397-08002B2CF9AE}" pid="12" name="MSIP_Label_03081eab-cc3f-49a2-9582-7dfc12a01625_SiteId">
    <vt:lpwstr>9bcb323d-7fa3-45e7-a36f-6d9cfdbcc272</vt:lpwstr>
  </property>
  <property fmtid="{D5CDD505-2E9C-101B-9397-08002B2CF9AE}" pid="13" name="MSIP_Label_03081eab-cc3f-49a2-9582-7dfc12a01625_ActionId">
    <vt:lpwstr>4be2d240-02b0-41a1-b084-807c96b35b2c</vt:lpwstr>
  </property>
  <property fmtid="{D5CDD505-2E9C-101B-9397-08002B2CF9AE}" pid="14" name="MSIP_Label_03081eab-cc3f-49a2-9582-7dfc12a01625_ContentBits">
    <vt:lpwstr>2</vt:lpwstr>
  </property>
  <property fmtid="{D5CDD505-2E9C-101B-9397-08002B2CF9AE}" pid="15" name="MSIP_Label_03081eab-cc3f-49a2-9582-7dfc12a01625_Tag">
    <vt:lpwstr>10, 3, 0, 2</vt:lpwstr>
  </property>
</Properties>
</file>