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0605F" w14:textId="6E704A33" w:rsidR="005522EB" w:rsidRPr="005522EB" w:rsidRDefault="00745FFB" w:rsidP="007863D6">
      <w:pPr>
        <w:pStyle w:val="Title"/>
        <w:ind w:right="-1135"/>
        <w:rPr>
          <w:sz w:val="78"/>
          <w:szCs w:val="20"/>
        </w:rPr>
      </w:pPr>
      <w:r>
        <w:rPr>
          <w:noProof/>
          <w:sz w:val="32"/>
          <w:szCs w:val="32"/>
        </w:rPr>
        <w:drawing>
          <wp:anchor distT="0" distB="0" distL="114300" distR="114300" simplePos="0" relativeHeight="251660288" behindDoc="1" locked="0" layoutInCell="1" allowOverlap="1" wp14:anchorId="5E9D2864" wp14:editId="0BEB9646">
            <wp:simplePos x="0" y="0"/>
            <wp:positionH relativeFrom="page">
              <wp:align>right</wp:align>
            </wp:positionH>
            <wp:positionV relativeFrom="paragraph">
              <wp:posOffset>-914596</wp:posOffset>
            </wp:positionV>
            <wp:extent cx="7550938" cy="10680569"/>
            <wp:effectExtent l="0" t="0" r="0" b="6985"/>
            <wp:wrapNone/>
            <wp:docPr id="1026809036" name="Picture 1" descr="A picture used as the background for the cover page. Mostly solid brown, but with two orange lines going across the page. At the bottom of the page are three additional coloured bars. The top bar includes the words &quot;Universities For All&quot; and &quot;acses.edu.au&quot;. Below that is a white bar that includes the ACSES and Curtin University log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809036" name="Picture 1" descr="A picture used as the background for the cover page. Mostly solid brown, but with two orange lines going across the page. At the bottom of the page are three additional coloured bars. The top bar includes the words &quot;Universities For All&quot; and &quot;acses.edu.au&quot;. Below that is a white bar that includes the ACSES and Curtin University logos.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0938" cy="10680569"/>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5FFB">
        <w:rPr>
          <w:sz w:val="32"/>
          <w:szCs w:val="32"/>
        </w:rPr>
        <w:t>ACSES CAPACITY BUILDING GRANTS PROGRAM</w:t>
      </w:r>
    </w:p>
    <w:p w14:paraId="11490221" w14:textId="4ACEF109" w:rsidR="000162FA" w:rsidRPr="00144C15" w:rsidRDefault="00245520" w:rsidP="00144C15">
      <w:pPr>
        <w:pStyle w:val="Title"/>
        <w:tabs>
          <w:tab w:val="left" w:pos="6237"/>
        </w:tabs>
        <w:ind w:right="521"/>
        <w:rPr>
          <w:color w:val="EDE8E0" w:themeColor="background1"/>
          <w:sz w:val="78"/>
          <w:szCs w:val="78"/>
        </w:rPr>
      </w:pPr>
      <w:r w:rsidRPr="00144C15">
        <w:rPr>
          <w:color w:val="EDE8E0" w:themeColor="background1"/>
          <w:sz w:val="78"/>
          <w:szCs w:val="78"/>
        </w:rPr>
        <w:t>Towards impact evaluations of student equity programs across the Innovative Research Universities (IRU) group</w:t>
      </w:r>
    </w:p>
    <w:p w14:paraId="0BDC0584" w14:textId="77777777" w:rsidR="005522EB" w:rsidRDefault="005522EB" w:rsidP="005522EB">
      <w:pPr>
        <w:pStyle w:val="Subtitle"/>
      </w:pPr>
    </w:p>
    <w:p w14:paraId="4312C455" w14:textId="77777777" w:rsidR="005522EB" w:rsidRDefault="005522EB" w:rsidP="005522EB">
      <w:pPr>
        <w:pStyle w:val="Subtitle"/>
      </w:pPr>
    </w:p>
    <w:p w14:paraId="304B69B9" w14:textId="77777777" w:rsidR="005522EB" w:rsidRDefault="005522EB" w:rsidP="005522EB">
      <w:pPr>
        <w:pStyle w:val="Subtitle"/>
      </w:pPr>
    </w:p>
    <w:p w14:paraId="5D56F0A4" w14:textId="39BA8175" w:rsidR="005522EB" w:rsidRDefault="005522EB" w:rsidP="005522EB">
      <w:pPr>
        <w:pStyle w:val="Subtitle"/>
        <w:jc w:val="center"/>
      </w:pPr>
    </w:p>
    <w:p w14:paraId="02189AA7" w14:textId="77777777" w:rsidR="005522EB" w:rsidRPr="005522EB" w:rsidRDefault="005522EB" w:rsidP="005522EB"/>
    <w:p w14:paraId="1D5416DA" w14:textId="77777777" w:rsidR="00745FFB" w:rsidRDefault="00745FFB" w:rsidP="005522EB">
      <w:pPr>
        <w:pStyle w:val="Title"/>
        <w:ind w:right="-1135"/>
        <w:rPr>
          <w:sz w:val="50"/>
          <w:szCs w:val="40"/>
        </w:rPr>
      </w:pPr>
    </w:p>
    <w:p w14:paraId="47326C76" w14:textId="77777777" w:rsidR="00745FFB" w:rsidRDefault="00745FFB" w:rsidP="005522EB">
      <w:pPr>
        <w:pStyle w:val="Title"/>
        <w:ind w:right="-1135"/>
        <w:rPr>
          <w:sz w:val="50"/>
          <w:szCs w:val="40"/>
        </w:rPr>
      </w:pPr>
    </w:p>
    <w:p w14:paraId="2584DF4E" w14:textId="77777777" w:rsidR="00745FFB" w:rsidRDefault="00745FFB" w:rsidP="00745FFB"/>
    <w:p w14:paraId="4A0FA481" w14:textId="77777777" w:rsidR="00745FFB" w:rsidRDefault="00745FFB" w:rsidP="00745FFB"/>
    <w:p w14:paraId="45C623C4" w14:textId="1F905C32" w:rsidR="005522EB" w:rsidRDefault="00245520" w:rsidP="005522EB">
      <w:pPr>
        <w:pStyle w:val="Subtitle"/>
        <w:rPr>
          <w:sz w:val="32"/>
          <w:szCs w:val="20"/>
        </w:rPr>
      </w:pPr>
      <w:r w:rsidRPr="00144C15">
        <w:rPr>
          <w:sz w:val="32"/>
          <w:szCs w:val="20"/>
        </w:rPr>
        <w:t>Griffith University and Equity by Design</w:t>
      </w:r>
    </w:p>
    <w:p w14:paraId="3837C5E8" w14:textId="77777777" w:rsidR="00745FFB" w:rsidRDefault="00745FFB" w:rsidP="00745FFB"/>
    <w:p w14:paraId="0A500545" w14:textId="40A4CFEF" w:rsidR="00745FFB" w:rsidRPr="00144C15" w:rsidRDefault="00745FFB" w:rsidP="00144C15">
      <w:pPr>
        <w:rPr>
          <w:b/>
          <w:bCs/>
          <w:color w:val="FFFFFF"/>
          <w:sz w:val="28"/>
          <w:szCs w:val="28"/>
        </w:rPr>
      </w:pPr>
      <w:r w:rsidRPr="00144C15">
        <w:rPr>
          <w:b/>
          <w:bCs/>
          <w:color w:val="FFFFFF"/>
          <w:sz w:val="28"/>
          <w:szCs w:val="28"/>
        </w:rPr>
        <w:t>2026</w:t>
      </w:r>
    </w:p>
    <w:p w14:paraId="34E84D97" w14:textId="77777777" w:rsidR="005522EB" w:rsidRPr="005522EB" w:rsidRDefault="005522EB" w:rsidP="005522EB"/>
    <w:p w14:paraId="45C43601" w14:textId="0B984434" w:rsidR="00745FFB" w:rsidRDefault="00745FFB">
      <w:pPr>
        <w:spacing w:line="259" w:lineRule="auto"/>
        <w:rPr>
          <w:rFonts w:eastAsiaTheme="majorEastAsia" w:cstheme="majorBidi"/>
          <w:color w:val="6B3B57"/>
          <w:sz w:val="52"/>
          <w:szCs w:val="40"/>
        </w:rPr>
      </w:pPr>
      <w:r>
        <w:br w:type="page"/>
      </w:r>
    </w:p>
    <w:p w14:paraId="25D107F2" w14:textId="0FF3A064" w:rsidR="005C685F" w:rsidRPr="00896D88" w:rsidRDefault="005C685F" w:rsidP="005C685F">
      <w:pPr>
        <w:jc w:val="center"/>
      </w:pPr>
      <w:r>
        <w:rPr>
          <w:b/>
          <w:sz w:val="36"/>
          <w:szCs w:val="36"/>
        </w:rPr>
        <w:lastRenderedPageBreak/>
        <w:t>Towards impact evaluations of student equity programs across the Innovative Research Universities (IRU) group</w:t>
      </w:r>
    </w:p>
    <w:p w14:paraId="5F2A9293" w14:textId="77777777" w:rsidR="005C685F" w:rsidRPr="00945DE1" w:rsidRDefault="005C685F" w:rsidP="005C685F"/>
    <w:p w14:paraId="7F45EC10" w14:textId="77777777" w:rsidR="005C685F" w:rsidRPr="00F871A0" w:rsidRDefault="005C685F" w:rsidP="005C685F">
      <w:pPr>
        <w:jc w:val="center"/>
        <w:rPr>
          <w:b/>
          <w:color w:val="351C26" w:themeColor="text2"/>
        </w:rPr>
      </w:pPr>
      <w:r w:rsidRPr="00144C15">
        <w:rPr>
          <w:b/>
          <w:color w:val="351C26" w:themeColor="text2"/>
        </w:rPr>
        <w:t>January 2026</w:t>
      </w:r>
    </w:p>
    <w:p w14:paraId="387E19C6" w14:textId="77777777" w:rsidR="005C685F" w:rsidRPr="00EC2A97" w:rsidRDefault="005C685F" w:rsidP="005C685F">
      <w:pPr>
        <w:jc w:val="center"/>
        <w:rPr>
          <w:b/>
        </w:rPr>
      </w:pPr>
    </w:p>
    <w:p w14:paraId="58847A5E" w14:textId="3D149A49" w:rsidR="005C685F" w:rsidRDefault="005C685F" w:rsidP="005C685F">
      <w:pPr>
        <w:jc w:val="center"/>
      </w:pPr>
      <w:r>
        <w:t>Griffith University</w:t>
      </w:r>
      <w:r w:rsidR="00CE1114">
        <w:t xml:space="preserve"> (Ruth Kamrowski &amp; Rehana Lakhani)</w:t>
      </w:r>
    </w:p>
    <w:p w14:paraId="479F1560" w14:textId="25CFFB03" w:rsidR="005C685F" w:rsidRDefault="005C685F" w:rsidP="005C685F">
      <w:pPr>
        <w:jc w:val="center"/>
      </w:pPr>
      <w:r>
        <w:t>Equity by Design</w:t>
      </w:r>
      <w:r w:rsidR="00CE1114">
        <w:t xml:space="preserve"> (Mel Henry and Nadine Zacharias)</w:t>
      </w:r>
    </w:p>
    <w:p w14:paraId="3F7ABB75" w14:textId="77777777" w:rsidR="005C685F" w:rsidRDefault="005C685F" w:rsidP="005C685F">
      <w:pPr>
        <w:jc w:val="center"/>
      </w:pPr>
    </w:p>
    <w:p w14:paraId="129CC83E" w14:textId="77777777" w:rsidR="005C685F" w:rsidRDefault="005C685F" w:rsidP="005C685F">
      <w:pPr>
        <w:jc w:val="center"/>
      </w:pPr>
    </w:p>
    <w:p w14:paraId="46E92F0E" w14:textId="77777777" w:rsidR="005C685F" w:rsidRPr="00896D88" w:rsidRDefault="005C685F" w:rsidP="005C685F">
      <w:pPr>
        <w:jc w:val="center"/>
      </w:pPr>
    </w:p>
    <w:p w14:paraId="6D574C8D" w14:textId="77777777" w:rsidR="005C685F" w:rsidRDefault="005C685F" w:rsidP="005C685F">
      <w:pPr>
        <w:spacing w:after="0"/>
        <w:rPr>
          <w:bCs/>
          <w:sz w:val="18"/>
          <w:szCs w:val="18"/>
        </w:rPr>
      </w:pPr>
    </w:p>
    <w:p w14:paraId="4920A659" w14:textId="77777777" w:rsidR="005C685F" w:rsidRDefault="005C685F" w:rsidP="005C685F">
      <w:pPr>
        <w:spacing w:after="0"/>
        <w:rPr>
          <w:bCs/>
          <w:sz w:val="18"/>
          <w:szCs w:val="18"/>
        </w:rPr>
      </w:pPr>
    </w:p>
    <w:p w14:paraId="049A782E" w14:textId="77777777" w:rsidR="005C685F" w:rsidRDefault="005C685F" w:rsidP="005C685F">
      <w:pPr>
        <w:spacing w:after="0"/>
        <w:rPr>
          <w:bCs/>
          <w:sz w:val="18"/>
          <w:szCs w:val="18"/>
        </w:rPr>
      </w:pPr>
    </w:p>
    <w:p w14:paraId="35013A01" w14:textId="2065E13B" w:rsidR="005C685F" w:rsidRPr="009913C2" w:rsidRDefault="005C685F" w:rsidP="005C685F">
      <w:pPr>
        <w:spacing w:after="0"/>
        <w:rPr>
          <w:bCs/>
          <w:sz w:val="18"/>
          <w:szCs w:val="18"/>
        </w:rPr>
      </w:pPr>
      <w:r w:rsidRPr="00144C15">
        <w:rPr>
          <w:sz w:val="18"/>
          <w:szCs w:val="18"/>
        </w:rPr>
        <w:t xml:space="preserve">Suggested citation: </w:t>
      </w:r>
      <w:r w:rsidR="00CE1114" w:rsidRPr="00144C15">
        <w:rPr>
          <w:sz w:val="18"/>
          <w:szCs w:val="18"/>
        </w:rPr>
        <w:t>Henry</w:t>
      </w:r>
      <w:r w:rsidRPr="00144C15">
        <w:rPr>
          <w:sz w:val="18"/>
          <w:szCs w:val="18"/>
        </w:rPr>
        <w:t xml:space="preserve">, </w:t>
      </w:r>
      <w:r w:rsidR="00CE1114" w:rsidRPr="00144C15">
        <w:rPr>
          <w:sz w:val="18"/>
          <w:szCs w:val="18"/>
        </w:rPr>
        <w:t>M</w:t>
      </w:r>
      <w:r w:rsidRPr="00144C15">
        <w:rPr>
          <w:sz w:val="18"/>
          <w:szCs w:val="18"/>
        </w:rPr>
        <w:t xml:space="preserve">., </w:t>
      </w:r>
      <w:r w:rsidR="00CE1114" w:rsidRPr="00144C15">
        <w:rPr>
          <w:sz w:val="18"/>
          <w:szCs w:val="18"/>
        </w:rPr>
        <w:t>Zacharias</w:t>
      </w:r>
      <w:r w:rsidRPr="00144C15">
        <w:rPr>
          <w:sz w:val="18"/>
          <w:szCs w:val="18"/>
        </w:rPr>
        <w:t xml:space="preserve">, </w:t>
      </w:r>
      <w:r w:rsidR="00CE1114" w:rsidRPr="00144C15">
        <w:rPr>
          <w:sz w:val="18"/>
          <w:szCs w:val="18"/>
        </w:rPr>
        <w:t>N</w:t>
      </w:r>
      <w:r w:rsidRPr="00144C15">
        <w:rPr>
          <w:sz w:val="18"/>
          <w:szCs w:val="18"/>
        </w:rPr>
        <w:t xml:space="preserve">., </w:t>
      </w:r>
      <w:r w:rsidR="00CE1114" w:rsidRPr="00144C15">
        <w:rPr>
          <w:sz w:val="18"/>
          <w:szCs w:val="18"/>
        </w:rPr>
        <w:t>Kamrowski, R.,</w:t>
      </w:r>
      <w:r w:rsidRPr="00144C15">
        <w:rPr>
          <w:sz w:val="18"/>
          <w:szCs w:val="18"/>
        </w:rPr>
        <w:t xml:space="preserve"> </w:t>
      </w:r>
      <w:r w:rsidR="00CE1114" w:rsidRPr="00144C15">
        <w:rPr>
          <w:sz w:val="18"/>
          <w:szCs w:val="18"/>
        </w:rPr>
        <w:t>Lakhani</w:t>
      </w:r>
      <w:r w:rsidRPr="00144C15">
        <w:rPr>
          <w:sz w:val="18"/>
          <w:szCs w:val="18"/>
        </w:rPr>
        <w:t xml:space="preserve">, </w:t>
      </w:r>
      <w:r w:rsidR="00CE1114" w:rsidRPr="00144C15">
        <w:rPr>
          <w:sz w:val="18"/>
          <w:szCs w:val="18"/>
        </w:rPr>
        <w:t>R</w:t>
      </w:r>
      <w:r w:rsidRPr="00144C15">
        <w:rPr>
          <w:sz w:val="18"/>
          <w:szCs w:val="18"/>
        </w:rPr>
        <w:t>.</w:t>
      </w:r>
      <w:r w:rsidR="00CE1114" w:rsidRPr="00144C15">
        <w:rPr>
          <w:sz w:val="18"/>
          <w:szCs w:val="18"/>
        </w:rPr>
        <w:t xml:space="preserve"> &amp; Bentley, P</w:t>
      </w:r>
      <w:r w:rsidRPr="00144C15">
        <w:rPr>
          <w:sz w:val="18"/>
          <w:szCs w:val="18"/>
        </w:rPr>
        <w:t xml:space="preserve"> (2026). </w:t>
      </w:r>
      <w:r w:rsidR="00CE1114" w:rsidRPr="00144C15">
        <w:rPr>
          <w:i/>
          <w:iCs/>
          <w:sz w:val="18"/>
          <w:szCs w:val="18"/>
        </w:rPr>
        <w:t>Towards impact evaluations of student equity programs across the Innovative Research Universities (IRU) group</w:t>
      </w:r>
      <w:r w:rsidR="00CE1114" w:rsidRPr="00CE1114">
        <w:rPr>
          <w:sz w:val="18"/>
          <w:szCs w:val="18"/>
        </w:rPr>
        <w:t xml:space="preserve"> </w:t>
      </w:r>
      <w:r w:rsidRPr="00144C15">
        <w:rPr>
          <w:sz w:val="18"/>
          <w:szCs w:val="18"/>
        </w:rPr>
        <w:t>(</w:t>
      </w:r>
      <w:r w:rsidR="00CE1114" w:rsidRPr="00144C15">
        <w:rPr>
          <w:sz w:val="18"/>
          <w:szCs w:val="18"/>
        </w:rPr>
        <w:t>Capacity-Building</w:t>
      </w:r>
      <w:r w:rsidRPr="00144C15">
        <w:rPr>
          <w:sz w:val="18"/>
          <w:szCs w:val="18"/>
        </w:rPr>
        <w:t xml:space="preserve"> Grants Program final report). Australian Centre for Student Equity and Success, Curtin University.</w:t>
      </w:r>
    </w:p>
    <w:p w14:paraId="0B1B022C" w14:textId="77777777" w:rsidR="005C685F" w:rsidRDefault="005C685F" w:rsidP="005C685F">
      <w:pPr>
        <w:spacing w:after="0"/>
        <w:rPr>
          <w:bCs/>
          <w:sz w:val="18"/>
          <w:szCs w:val="18"/>
        </w:rPr>
      </w:pPr>
    </w:p>
    <w:p w14:paraId="262F023D" w14:textId="77777777" w:rsidR="005C685F" w:rsidRPr="0063552A" w:rsidRDefault="005C685F" w:rsidP="005C685F">
      <w:pPr>
        <w:spacing w:after="0"/>
        <w:rPr>
          <w:bCs/>
          <w:sz w:val="18"/>
          <w:szCs w:val="18"/>
        </w:rPr>
      </w:pPr>
      <w:r>
        <w:rPr>
          <w:sz w:val="18"/>
          <w:szCs w:val="18"/>
        </w:rPr>
        <w:t>Australian</w:t>
      </w:r>
      <w:r w:rsidRPr="0063552A">
        <w:rPr>
          <w:sz w:val="18"/>
          <w:szCs w:val="18"/>
        </w:rPr>
        <w:t xml:space="preserve"> Centre for Student Equity </w:t>
      </w:r>
      <w:r>
        <w:rPr>
          <w:sz w:val="18"/>
          <w:szCs w:val="18"/>
        </w:rPr>
        <w:t>and Success</w:t>
      </w:r>
    </w:p>
    <w:p w14:paraId="7475B719" w14:textId="77777777" w:rsidR="005C685F" w:rsidRPr="0063552A" w:rsidRDefault="005C685F" w:rsidP="005C685F">
      <w:pPr>
        <w:spacing w:after="0"/>
        <w:rPr>
          <w:bCs/>
          <w:sz w:val="18"/>
          <w:szCs w:val="18"/>
        </w:rPr>
      </w:pPr>
      <w:r w:rsidRPr="0063552A">
        <w:rPr>
          <w:sz w:val="18"/>
          <w:szCs w:val="18"/>
        </w:rPr>
        <w:t>Tel: +61 8 9266 1573</w:t>
      </w:r>
    </w:p>
    <w:p w14:paraId="62FE2B39" w14:textId="77777777" w:rsidR="005C685F" w:rsidRDefault="005C685F" w:rsidP="005C685F">
      <w:pPr>
        <w:spacing w:after="0"/>
        <w:rPr>
          <w:bCs/>
          <w:sz w:val="18"/>
          <w:szCs w:val="18"/>
        </w:rPr>
      </w:pPr>
      <w:r w:rsidRPr="0063552A">
        <w:rPr>
          <w:sz w:val="18"/>
          <w:szCs w:val="18"/>
        </w:rPr>
        <w:t xml:space="preserve">Email: </w:t>
      </w:r>
      <w:hyperlink r:id="rId12" w:history="1">
        <w:r w:rsidRPr="00E8285E">
          <w:rPr>
            <w:rStyle w:val="Hyperlink"/>
            <w:sz w:val="18"/>
            <w:szCs w:val="18"/>
          </w:rPr>
          <w:t>acses@curtin.edu.au</w:t>
        </w:r>
      </w:hyperlink>
    </w:p>
    <w:p w14:paraId="4BCD0E56" w14:textId="77777777" w:rsidR="005C685F" w:rsidRPr="0063552A" w:rsidRDefault="005C685F" w:rsidP="005C685F">
      <w:pPr>
        <w:spacing w:after="0"/>
        <w:rPr>
          <w:bCs/>
          <w:sz w:val="18"/>
          <w:szCs w:val="18"/>
        </w:rPr>
      </w:pPr>
      <w:r>
        <w:rPr>
          <w:sz w:val="18"/>
          <w:szCs w:val="18"/>
        </w:rPr>
        <w:t xml:space="preserve">Web: </w:t>
      </w:r>
      <w:hyperlink r:id="rId13" w:history="1">
        <w:r w:rsidRPr="00E8285E">
          <w:rPr>
            <w:rStyle w:val="Hyperlink"/>
            <w:sz w:val="18"/>
            <w:szCs w:val="18"/>
          </w:rPr>
          <w:t>www.acses.edu.au</w:t>
        </w:r>
      </w:hyperlink>
      <w:r>
        <w:rPr>
          <w:sz w:val="18"/>
          <w:szCs w:val="18"/>
        </w:rPr>
        <w:t xml:space="preserve"> </w:t>
      </w:r>
    </w:p>
    <w:p w14:paraId="14ABD0E9" w14:textId="77777777" w:rsidR="005C685F" w:rsidRPr="0063552A" w:rsidRDefault="005C685F" w:rsidP="005C685F">
      <w:pPr>
        <w:spacing w:after="0"/>
        <w:rPr>
          <w:bCs/>
          <w:sz w:val="18"/>
          <w:szCs w:val="18"/>
        </w:rPr>
      </w:pPr>
      <w:r w:rsidRPr="0063552A">
        <w:rPr>
          <w:sz w:val="18"/>
          <w:szCs w:val="18"/>
        </w:rPr>
        <w:t xml:space="preserve">Building </w:t>
      </w:r>
      <w:r>
        <w:rPr>
          <w:sz w:val="18"/>
          <w:szCs w:val="18"/>
        </w:rPr>
        <w:t>100</w:t>
      </w:r>
    </w:p>
    <w:p w14:paraId="1E7A420E" w14:textId="77777777" w:rsidR="005C685F" w:rsidRPr="0063552A" w:rsidRDefault="005C685F" w:rsidP="005C685F">
      <w:pPr>
        <w:spacing w:after="0"/>
        <w:rPr>
          <w:bCs/>
          <w:sz w:val="18"/>
          <w:szCs w:val="18"/>
        </w:rPr>
      </w:pPr>
      <w:r w:rsidRPr="0063552A">
        <w:rPr>
          <w:sz w:val="18"/>
          <w:szCs w:val="18"/>
        </w:rPr>
        <w:t>Curtin University</w:t>
      </w:r>
    </w:p>
    <w:p w14:paraId="5344CA88" w14:textId="77777777" w:rsidR="005C685F" w:rsidRDefault="005C685F" w:rsidP="005C685F">
      <w:pPr>
        <w:spacing w:after="0"/>
        <w:rPr>
          <w:sz w:val="18"/>
          <w:szCs w:val="18"/>
        </w:rPr>
      </w:pPr>
      <w:r w:rsidRPr="0063552A">
        <w:rPr>
          <w:sz w:val="18"/>
          <w:szCs w:val="18"/>
        </w:rPr>
        <w:t>Kent St, Bentley WA 6102</w:t>
      </w:r>
      <w:r>
        <w:rPr>
          <w:sz w:val="18"/>
          <w:szCs w:val="18"/>
        </w:rPr>
        <w:t xml:space="preserve"> | </w:t>
      </w:r>
      <w:r w:rsidRPr="0063552A">
        <w:rPr>
          <w:sz w:val="18"/>
          <w:szCs w:val="18"/>
        </w:rPr>
        <w:t>GPO Box U1987, Perth WA 6845</w:t>
      </w:r>
      <w:bookmarkStart w:id="0" w:name="_Toc57894677"/>
    </w:p>
    <w:p w14:paraId="111AAD22" w14:textId="77777777" w:rsidR="005C685F" w:rsidRDefault="005C685F" w:rsidP="005C685F">
      <w:pPr>
        <w:spacing w:after="0"/>
        <w:rPr>
          <w:bCs/>
          <w:sz w:val="18"/>
          <w:szCs w:val="18"/>
        </w:rPr>
      </w:pPr>
    </w:p>
    <w:p w14:paraId="6B7D3417" w14:textId="4770B024" w:rsidR="005C685F" w:rsidRDefault="005C685F" w:rsidP="005C685F">
      <w:pPr>
        <w:spacing w:line="259" w:lineRule="auto"/>
        <w:rPr>
          <w:rFonts w:eastAsiaTheme="majorEastAsia" w:cstheme="majorBidi"/>
          <w:color w:val="6B3B57"/>
          <w:sz w:val="52"/>
          <w:szCs w:val="40"/>
        </w:rPr>
      </w:pPr>
      <w:r w:rsidRPr="00431628">
        <w:rPr>
          <w:noProof/>
          <w:lang w:eastAsia="en-AU"/>
        </w:rPr>
        <mc:AlternateContent>
          <mc:Choice Requires="wps">
            <w:drawing>
              <wp:inline distT="0" distB="0" distL="0" distR="0" wp14:anchorId="49223729" wp14:editId="40AAF0D1">
                <wp:extent cx="5821680" cy="3220278"/>
                <wp:effectExtent l="0" t="0" r="26670" b="18415"/>
                <wp:docPr id="217" name="Text Box 2" descr="DISCLAIMER&#10;Information in this publication is correct at the time of release but may be subject to change. This material does not purport to constitute legal or professional advice.&#10;Curtin accepts no responsibility for and makes no representations, whether express or implied, as to the accuracy or reliability in any respect of any material in this publication. Except to the extent mandated otherwise by legislation, Curtin University does not accept responsibility for the consequences of any reliance which may be placed on this material by any person. Curtin will not be liable to you or to any other person for any loss or damage (including direct, consequential or economic loss or damage) however caused and whether by negligence or otherwise which may result directly or indirectly from the use of this publication." title="Disclaim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1680" cy="3220278"/>
                        </a:xfrm>
                        <a:prstGeom prst="rect">
                          <a:avLst/>
                        </a:prstGeom>
                        <a:solidFill>
                          <a:srgbClr val="FFFFFF"/>
                        </a:solidFill>
                        <a:ln w="9525">
                          <a:solidFill>
                            <a:schemeClr val="accent3"/>
                          </a:solidFill>
                          <a:miter lim="800000"/>
                          <a:headEnd/>
                          <a:tailEnd/>
                        </a:ln>
                      </wps:spPr>
                      <wps:txbx>
                        <w:txbxContent>
                          <w:p w14:paraId="2A6BDE6B" w14:textId="77777777" w:rsidR="005C685F" w:rsidRPr="008E31EC" w:rsidRDefault="005C685F" w:rsidP="005C685F">
                            <w:pPr>
                              <w:rPr>
                                <w:b/>
                                <w:sz w:val="16"/>
                                <w:szCs w:val="16"/>
                              </w:rPr>
                            </w:pPr>
                            <w:r w:rsidRPr="008E31EC">
                              <w:rPr>
                                <w:b/>
                                <w:sz w:val="16"/>
                                <w:szCs w:val="16"/>
                              </w:rPr>
                              <w:t>DISCLAIMER</w:t>
                            </w:r>
                          </w:p>
                          <w:p w14:paraId="0740777B" w14:textId="77777777" w:rsidR="005C685F" w:rsidRPr="008E31EC" w:rsidRDefault="005C685F" w:rsidP="005C685F">
                            <w:pPr>
                              <w:rPr>
                                <w:sz w:val="16"/>
                                <w:szCs w:val="16"/>
                              </w:rPr>
                            </w:pPr>
                            <w:r w:rsidRPr="008E31EC">
                              <w:rPr>
                                <w:sz w:val="16"/>
                                <w:szCs w:val="16"/>
                              </w:rPr>
                              <w:t>Information in this publication is correct at the time of release but may be subject to change. This material does not purport to constitute legal or professional advice.</w:t>
                            </w:r>
                          </w:p>
                          <w:p w14:paraId="4F345D89" w14:textId="77777777" w:rsidR="005C685F" w:rsidRDefault="005C685F" w:rsidP="005C685F">
                            <w:pPr>
                              <w:rPr>
                                <w:sz w:val="16"/>
                                <w:szCs w:val="16"/>
                              </w:rPr>
                            </w:pPr>
                            <w:r w:rsidRPr="008E31EC">
                              <w:rPr>
                                <w:sz w:val="16"/>
                                <w:szCs w:val="16"/>
                              </w:rPr>
                              <w:t>Curtin accepts no responsibility for and makes no representations, whether express or implied, as to the accuracy or reliability in any respect of any material in this publication. Except to the extent mandated otherwise by legislation, Curtin University does not accept responsibility for the consequences of any reliance which may be placed on this material by any person. Curtin will not be liable to you or to any other person for any loss or damage (including direct, consequential or economic loss or damage) however caused and whether by negligence or otherwise which may result directly or indirectly from the use of this publication.</w:t>
                            </w:r>
                          </w:p>
                          <w:p w14:paraId="26F51EEC" w14:textId="77777777" w:rsidR="005C685F" w:rsidRDefault="005C685F" w:rsidP="005C685F">
                            <w:pPr>
                              <w:rPr>
                                <w:sz w:val="16"/>
                                <w:szCs w:val="16"/>
                              </w:rPr>
                            </w:pPr>
                          </w:p>
                          <w:p w14:paraId="24B00885" w14:textId="77777777" w:rsidR="005C685F" w:rsidRPr="008619B3" w:rsidRDefault="005C685F" w:rsidP="005C685F">
                            <w:pPr>
                              <w:rPr>
                                <w:b/>
                                <w:sz w:val="16"/>
                                <w:szCs w:val="16"/>
                              </w:rPr>
                            </w:pPr>
                            <w:r w:rsidRPr="008619B3">
                              <w:rPr>
                                <w:b/>
                                <w:sz w:val="16"/>
                                <w:szCs w:val="16"/>
                              </w:rPr>
                              <w:t>COPYRIGHT</w:t>
                            </w:r>
                          </w:p>
                          <w:p w14:paraId="1043A66B" w14:textId="77777777" w:rsidR="005C685F" w:rsidRDefault="005C685F" w:rsidP="005C685F">
                            <w:pPr>
                              <w:rPr>
                                <w:sz w:val="16"/>
                                <w:szCs w:val="16"/>
                              </w:rPr>
                            </w:pPr>
                            <w:r w:rsidRPr="008619B3">
                              <w:rPr>
                                <w:sz w:val="16"/>
                                <w:szCs w:val="16"/>
                              </w:rPr>
                              <w:t xml:space="preserve">© Curtin University </w:t>
                            </w:r>
                            <w:r w:rsidRPr="00665310">
                              <w:rPr>
                                <w:color w:val="351C26" w:themeColor="text2"/>
                                <w:sz w:val="16"/>
                                <w:szCs w:val="16"/>
                              </w:rPr>
                              <w:t>202</w:t>
                            </w:r>
                            <w:r>
                              <w:rPr>
                                <w:color w:val="351C26" w:themeColor="text2"/>
                                <w:sz w:val="16"/>
                                <w:szCs w:val="16"/>
                              </w:rPr>
                              <w:t>6</w:t>
                            </w:r>
                          </w:p>
                          <w:p w14:paraId="0E541105" w14:textId="77777777" w:rsidR="005C685F" w:rsidRPr="008619B3" w:rsidRDefault="005C685F" w:rsidP="005C685F">
                            <w:pPr>
                              <w:rPr>
                                <w:sz w:val="16"/>
                                <w:szCs w:val="16"/>
                              </w:rPr>
                            </w:pPr>
                            <w:r w:rsidRPr="008619B3">
                              <w:rPr>
                                <w:sz w:val="16"/>
                                <w:szCs w:val="16"/>
                              </w:rPr>
                              <w:t>Except as permitted by the Copyright Act 1968, and unless otherwis</w:t>
                            </w:r>
                            <w:r>
                              <w:rPr>
                                <w:sz w:val="16"/>
                                <w:szCs w:val="16"/>
                              </w:rPr>
                              <w:t xml:space="preserve">e stated, this material may not </w:t>
                            </w:r>
                            <w:r w:rsidRPr="008619B3">
                              <w:rPr>
                                <w:sz w:val="16"/>
                                <w:szCs w:val="16"/>
                              </w:rPr>
                              <w:t>be reproduced, stored or transmitted without the permission of the</w:t>
                            </w:r>
                            <w:r>
                              <w:rPr>
                                <w:sz w:val="16"/>
                                <w:szCs w:val="16"/>
                              </w:rPr>
                              <w:t xml:space="preserve"> copyright owner. All enquiries </w:t>
                            </w:r>
                            <w:r w:rsidRPr="008619B3">
                              <w:rPr>
                                <w:sz w:val="16"/>
                                <w:szCs w:val="16"/>
                              </w:rPr>
                              <w:t>must be directed to Curtin University.</w:t>
                            </w:r>
                          </w:p>
                          <w:p w14:paraId="4A1D9E7E" w14:textId="77777777" w:rsidR="005C685F" w:rsidRDefault="005C685F" w:rsidP="005C685F">
                            <w:pPr>
                              <w:rPr>
                                <w:sz w:val="16"/>
                                <w:szCs w:val="16"/>
                              </w:rPr>
                            </w:pPr>
                            <w:r w:rsidRPr="008619B3">
                              <w:rPr>
                                <w:sz w:val="16"/>
                                <w:szCs w:val="16"/>
                              </w:rPr>
                              <w:t>CRICOS Provider Code 00301J</w:t>
                            </w:r>
                          </w:p>
                          <w:p w14:paraId="6D563205" w14:textId="278028C6" w:rsidR="005C685F" w:rsidRPr="008E31EC" w:rsidRDefault="005C685F" w:rsidP="005C685F">
                            <w:pPr>
                              <w:rPr>
                                <w:sz w:val="16"/>
                                <w:szCs w:val="16"/>
                              </w:rPr>
                            </w:pPr>
                            <w:r w:rsidRPr="00AD4787">
                              <w:rPr>
                                <w:sz w:val="16"/>
                                <w:szCs w:val="16"/>
                              </w:rPr>
                              <w:t xml:space="preserve">ISBN </w:t>
                            </w:r>
                            <w:r w:rsidR="00AD4787" w:rsidRPr="00AD4787">
                              <w:rPr>
                                <w:sz w:val="16"/>
                                <w:szCs w:val="16"/>
                              </w:rPr>
                              <w:t>978-1-7645328-0-8</w:t>
                            </w:r>
                          </w:p>
                          <w:p w14:paraId="1EC9D963" w14:textId="77777777" w:rsidR="005C685F" w:rsidRDefault="005C685F" w:rsidP="005C685F"/>
                        </w:txbxContent>
                      </wps:txbx>
                      <wps:bodyPr rot="0" vert="horz" wrap="square" lIns="91440" tIns="72000" rIns="91440" bIns="72000" anchor="t" anchorCtr="0">
                        <a:noAutofit/>
                      </wps:bodyPr>
                    </wps:wsp>
                  </a:graphicData>
                </a:graphic>
              </wp:inline>
            </w:drawing>
          </mc:Choice>
          <mc:Fallback>
            <w:pict>
              <v:shapetype w14:anchorId="49223729" id="_x0000_t202" coordsize="21600,21600" o:spt="202" path="m,l,21600r21600,l21600,xe">
                <v:stroke joinstyle="miter"/>
                <v:path gradientshapeok="t" o:connecttype="rect"/>
              </v:shapetype>
              <v:shape id="Text Box 2" o:spid="_x0000_s1026" type="#_x0000_t202" alt="Title: Disclaimer - Description: DISCLAIMER&#10;Information in this publication is correct at the time of release but may be subject to change. This material does not purport to constitute legal or professional advice.&#10;Curtin accepts no responsibility for and makes no representations, whether express or implied, as to the accuracy or reliability in any respect of any material in this publication. Except to the extent mandated otherwise by legislation, Curtin University does not accept responsibility for the consequences of any reliance which may be placed on this material by any person. Curtin will not be liable to you or to any other person for any loss or damage (including direct, consequential or economic loss or damage) however caused and whether by negligence or otherwise which may result directly or indirectly from the use of this publication." style="width:458.4pt;height:25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" strokecolor="#fcab63 [3206]">
                <v:textbox inset=",2mm,,2mm">
                  <w:txbxContent>
                    <w:p w14:paraId="2A6BDE6B" w14:textId="77777777" w:rsidR="005C685F" w:rsidRPr="008E31EC" w:rsidRDefault="005C685F" w:rsidP="005C685F">
                      <w:pPr>
                        <w:rPr>
                          <w:b/>
                          <w:sz w:val="16"/>
                          <w:szCs w:val="16"/>
                        </w:rPr>
                      </w:pPr>
                      <w:r w:rsidRPr="008E31EC">
                        <w:rPr>
                          <w:b/>
                          <w:sz w:val="16"/>
                          <w:szCs w:val="16"/>
                        </w:rPr>
                        <w:t>DISCLAIMER</w:t>
                      </w:r>
                    </w:p>
                    <w:p w14:paraId="0740777B" w14:textId="77777777" w:rsidR="005C685F" w:rsidRPr="008E31EC" w:rsidRDefault="005C685F" w:rsidP="005C685F">
                      <w:pPr>
                        <w:rPr>
                          <w:sz w:val="16"/>
                          <w:szCs w:val="16"/>
                        </w:rPr>
                      </w:pPr>
                      <w:r w:rsidRPr="008E31EC">
                        <w:rPr>
                          <w:sz w:val="16"/>
                          <w:szCs w:val="16"/>
                        </w:rPr>
                        <w:t>Information in this publication is correct at the time of release but may be subject to change. This material does not purport to constitute legal or professional advice.</w:t>
                      </w:r>
                    </w:p>
                    <w:p w14:paraId="4F345D89" w14:textId="77777777" w:rsidR="005C685F" w:rsidRDefault="005C685F" w:rsidP="005C685F">
                      <w:pPr>
                        <w:rPr>
                          <w:sz w:val="16"/>
                          <w:szCs w:val="16"/>
                        </w:rPr>
                      </w:pPr>
                      <w:r w:rsidRPr="008E31EC">
                        <w:rPr>
                          <w:sz w:val="16"/>
                          <w:szCs w:val="16"/>
                        </w:rPr>
                        <w:t>Curtin accepts no responsibility for and makes no representations, whether express or implied, as to the accuracy or reliability in any respect of any material in this publication. Except to the extent mandated otherwise by legislation, Curtin University does not accept responsibility for the consequences of any reliance which may be placed on this material by any person. Curtin will not be liable to you or to any other person for any loss or damage (including direct, consequential or economic loss or damage) however caused and whether by negligence or otherwise which may result directly or indirectly from the use of this publication.</w:t>
                      </w:r>
                    </w:p>
                    <w:p w14:paraId="26F51EEC" w14:textId="77777777" w:rsidR="005C685F" w:rsidRDefault="005C685F" w:rsidP="005C685F">
                      <w:pPr>
                        <w:rPr>
                          <w:sz w:val="16"/>
                          <w:szCs w:val="16"/>
                        </w:rPr>
                      </w:pPr>
                    </w:p>
                    <w:p w14:paraId="24B00885" w14:textId="77777777" w:rsidR="005C685F" w:rsidRPr="008619B3" w:rsidRDefault="005C685F" w:rsidP="005C685F">
                      <w:pPr>
                        <w:rPr>
                          <w:b/>
                          <w:sz w:val="16"/>
                          <w:szCs w:val="16"/>
                        </w:rPr>
                      </w:pPr>
                      <w:r w:rsidRPr="008619B3">
                        <w:rPr>
                          <w:b/>
                          <w:sz w:val="16"/>
                          <w:szCs w:val="16"/>
                        </w:rPr>
                        <w:t>COPYRIGHT</w:t>
                      </w:r>
                    </w:p>
                    <w:p w14:paraId="1043A66B" w14:textId="77777777" w:rsidR="005C685F" w:rsidRDefault="005C685F" w:rsidP="005C685F">
                      <w:pPr>
                        <w:rPr>
                          <w:sz w:val="16"/>
                          <w:szCs w:val="16"/>
                        </w:rPr>
                      </w:pPr>
                      <w:r w:rsidRPr="008619B3">
                        <w:rPr>
                          <w:sz w:val="16"/>
                          <w:szCs w:val="16"/>
                        </w:rPr>
                        <w:t xml:space="preserve">© Curtin University </w:t>
                      </w:r>
                      <w:r w:rsidRPr="00665310">
                        <w:rPr>
                          <w:color w:val="351C26" w:themeColor="text2"/>
                          <w:sz w:val="16"/>
                          <w:szCs w:val="16"/>
                        </w:rPr>
                        <w:t>202</w:t>
                      </w:r>
                      <w:r>
                        <w:rPr>
                          <w:color w:val="351C26" w:themeColor="text2"/>
                          <w:sz w:val="16"/>
                          <w:szCs w:val="16"/>
                        </w:rPr>
                        <w:t>6</w:t>
                      </w:r>
                    </w:p>
                    <w:p w14:paraId="0E541105" w14:textId="77777777" w:rsidR="005C685F" w:rsidRPr="008619B3" w:rsidRDefault="005C685F" w:rsidP="005C685F">
                      <w:pPr>
                        <w:rPr>
                          <w:sz w:val="16"/>
                          <w:szCs w:val="16"/>
                        </w:rPr>
                      </w:pPr>
                      <w:r w:rsidRPr="008619B3">
                        <w:rPr>
                          <w:sz w:val="16"/>
                          <w:szCs w:val="16"/>
                        </w:rPr>
                        <w:t>Except as permitted by the Copyright Act 1968, and unless otherwis</w:t>
                      </w:r>
                      <w:r>
                        <w:rPr>
                          <w:sz w:val="16"/>
                          <w:szCs w:val="16"/>
                        </w:rPr>
                        <w:t xml:space="preserve">e stated, this material may not </w:t>
                      </w:r>
                      <w:r w:rsidRPr="008619B3">
                        <w:rPr>
                          <w:sz w:val="16"/>
                          <w:szCs w:val="16"/>
                        </w:rPr>
                        <w:t>be reproduced, stored or transmitted without the permission of the</w:t>
                      </w:r>
                      <w:r>
                        <w:rPr>
                          <w:sz w:val="16"/>
                          <w:szCs w:val="16"/>
                        </w:rPr>
                        <w:t xml:space="preserve"> copyright owner. All enquiries </w:t>
                      </w:r>
                      <w:r w:rsidRPr="008619B3">
                        <w:rPr>
                          <w:sz w:val="16"/>
                          <w:szCs w:val="16"/>
                        </w:rPr>
                        <w:t>must be directed to Curtin University.</w:t>
                      </w:r>
                    </w:p>
                    <w:p w14:paraId="4A1D9E7E" w14:textId="77777777" w:rsidR="005C685F" w:rsidRDefault="005C685F" w:rsidP="005C685F">
                      <w:pPr>
                        <w:rPr>
                          <w:sz w:val="16"/>
                          <w:szCs w:val="16"/>
                        </w:rPr>
                      </w:pPr>
                      <w:r w:rsidRPr="008619B3">
                        <w:rPr>
                          <w:sz w:val="16"/>
                          <w:szCs w:val="16"/>
                        </w:rPr>
                        <w:t>CRICOS Provider Code 00301J</w:t>
                      </w:r>
                    </w:p>
                    <w:p w14:paraId="6D563205" w14:textId="278028C6" w:rsidR="005C685F" w:rsidRPr="008E31EC" w:rsidRDefault="005C685F" w:rsidP="005C685F">
                      <w:pPr>
                        <w:rPr>
                          <w:sz w:val="16"/>
                          <w:szCs w:val="16"/>
                        </w:rPr>
                      </w:pPr>
                      <w:r w:rsidRPr="00AD4787">
                        <w:rPr>
                          <w:sz w:val="16"/>
                          <w:szCs w:val="16"/>
                        </w:rPr>
                        <w:t xml:space="preserve">ISBN </w:t>
                      </w:r>
                      <w:r w:rsidR="00AD4787" w:rsidRPr="00AD4787">
                        <w:rPr>
                          <w:sz w:val="16"/>
                          <w:szCs w:val="16"/>
                        </w:rPr>
                        <w:t>978-1-7645328-0-8</w:t>
                      </w:r>
                    </w:p>
                    <w:p w14:paraId="1EC9D963" w14:textId="77777777" w:rsidR="005C685F" w:rsidRDefault="005C685F" w:rsidP="005C685F"/>
                  </w:txbxContent>
                </v:textbox>
                <w10:anchorlock/>
              </v:shape>
            </w:pict>
          </mc:Fallback>
        </mc:AlternateContent>
      </w:r>
      <w:bookmarkEnd w:id="0"/>
      <w:r>
        <w:br w:type="page"/>
      </w:r>
    </w:p>
    <w:p w14:paraId="0D7993C2" w14:textId="2052F3ED" w:rsidR="008C7722" w:rsidRDefault="008C7722" w:rsidP="008C7722">
      <w:pPr>
        <w:pStyle w:val="Heading1"/>
        <w:numPr>
          <w:ilvl w:val="0"/>
          <w:numId w:val="0"/>
        </w:numPr>
      </w:pPr>
      <w:bookmarkStart w:id="1" w:name="_Toc172197565"/>
      <w:bookmarkStart w:id="2" w:name="_Toc172200145"/>
      <w:bookmarkStart w:id="3" w:name="_Toc174350567"/>
      <w:bookmarkStart w:id="4" w:name="_Toc192004673"/>
      <w:r w:rsidRPr="00481303">
        <w:lastRenderedPageBreak/>
        <w:t>Acknowledgement</w:t>
      </w:r>
      <w:r w:rsidRPr="00CB0B93">
        <w:t xml:space="preserve"> of Country</w:t>
      </w:r>
      <w:bookmarkEnd w:id="1"/>
      <w:bookmarkEnd w:id="2"/>
      <w:bookmarkEnd w:id="3"/>
      <w:bookmarkEnd w:id="4"/>
    </w:p>
    <w:p w14:paraId="453947A8" w14:textId="6FCB27F3" w:rsidR="000A7189" w:rsidRDefault="005E497A" w:rsidP="005522EB">
      <w:pPr>
        <w:pStyle w:val="AOCtext"/>
      </w:pPr>
      <w:r w:rsidRPr="00291946">
        <w:t>The Australian Centre for Student Equity and Success acknowledges Indigenous peoples across Australia as the Traditional Owners of the lands on which the nation’s campuses are situated. With a history spanning more than 60,000 years as the original educators, Indigenous peoples hold a unique place in our nation. We recognise the importance of their knowledge and culture, and reflect the principles of participation, equity, and cultural respect in our work. We pay our respects to Elders past, present, and future, and consider it an honour to learn from our Indigenous colleagues, partners, and friends.</w:t>
      </w:r>
    </w:p>
    <w:p w14:paraId="312E54D1" w14:textId="77777777" w:rsidR="00FB56C1" w:rsidRDefault="00FB56C1" w:rsidP="00FB56C1">
      <w:pPr>
        <w:pStyle w:val="Subtitle"/>
        <w:rPr>
          <w:color w:val="351C26" w:themeColor="text1"/>
        </w:rPr>
      </w:pPr>
    </w:p>
    <w:p w14:paraId="0638212A" w14:textId="77777777" w:rsidR="00FB56C1" w:rsidRDefault="00FB56C1" w:rsidP="00FB56C1">
      <w:pPr>
        <w:pStyle w:val="Subtitle"/>
        <w:rPr>
          <w:color w:val="351C26" w:themeColor="text1"/>
        </w:rPr>
      </w:pPr>
    </w:p>
    <w:p w14:paraId="32A85EB0" w14:textId="77777777" w:rsidR="00FB56C1" w:rsidRDefault="00FB56C1" w:rsidP="00FB56C1">
      <w:pPr>
        <w:pStyle w:val="Subtitle"/>
        <w:rPr>
          <w:color w:val="351C26" w:themeColor="text1"/>
        </w:rPr>
      </w:pPr>
    </w:p>
    <w:p w14:paraId="7EC61A7D" w14:textId="77777777" w:rsidR="00FB56C1" w:rsidRDefault="00FB56C1" w:rsidP="00FB56C1">
      <w:pPr>
        <w:pStyle w:val="Subtitle"/>
        <w:rPr>
          <w:color w:val="351C26" w:themeColor="text1"/>
        </w:rPr>
      </w:pPr>
    </w:p>
    <w:p w14:paraId="5D5D5241" w14:textId="77777777" w:rsidR="00FB56C1" w:rsidRDefault="00FB56C1" w:rsidP="00FB56C1">
      <w:pPr>
        <w:pStyle w:val="Subtitle"/>
        <w:rPr>
          <w:color w:val="351C26" w:themeColor="text1"/>
        </w:rPr>
      </w:pPr>
    </w:p>
    <w:p w14:paraId="6D79122B" w14:textId="77777777" w:rsidR="007F4863" w:rsidRPr="007F4863" w:rsidRDefault="007F4863" w:rsidP="007F4863"/>
    <w:p w14:paraId="51E1C37E" w14:textId="77777777" w:rsidR="007F4863" w:rsidRDefault="007F4863" w:rsidP="007106E3">
      <w:bookmarkStart w:id="5" w:name="_Toc172197566"/>
      <w:bookmarkStart w:id="6" w:name="_Toc172200146"/>
      <w:bookmarkStart w:id="7" w:name="_Toc174350568"/>
    </w:p>
    <w:p w14:paraId="7210DC6D" w14:textId="77777777" w:rsidR="00C37179" w:rsidRDefault="00C37179" w:rsidP="00C37179"/>
    <w:p w14:paraId="52272A0A" w14:textId="5695F3F4" w:rsidR="00C37179" w:rsidRPr="00C37179" w:rsidRDefault="00C37179" w:rsidP="00C37179"/>
    <w:p w14:paraId="7A4AACB2" w14:textId="77777777" w:rsidR="00E149B5" w:rsidRPr="00E149B5" w:rsidRDefault="00E149B5" w:rsidP="00E149B5"/>
    <w:p w14:paraId="3AA964DC" w14:textId="77777777" w:rsidR="00CD02D1" w:rsidRDefault="00CD02D1" w:rsidP="1EE29F5F">
      <w:pPr>
        <w:pStyle w:val="Heading1"/>
        <w:numPr>
          <w:ilvl w:val="0"/>
          <w:numId w:val="0"/>
        </w:numPr>
        <w:rPr>
          <w:rFonts w:eastAsia="Times New Roman"/>
          <w:lang w:eastAsia="en-AU"/>
        </w:rPr>
        <w:sectPr w:rsidR="00CD02D1" w:rsidSect="008C7722">
          <w:headerReference w:type="default" r:id="rId14"/>
          <w:footerReference w:type="default" r:id="rId15"/>
          <w:pgSz w:w="11906" w:h="16838"/>
          <w:pgMar w:top="1440" w:right="1440" w:bottom="1440" w:left="1440" w:header="708" w:footer="397" w:gutter="0"/>
          <w:pgNumType w:start="1"/>
          <w:cols w:space="708"/>
          <w:docGrid w:linePitch="360"/>
        </w:sectPr>
      </w:pPr>
      <w:bookmarkStart w:id="8" w:name="_Toc192004675"/>
      <w:bookmarkEnd w:id="5"/>
      <w:bookmarkEnd w:id="6"/>
      <w:bookmarkEnd w:id="7"/>
    </w:p>
    <w:p w14:paraId="26DC337C" w14:textId="320D1347" w:rsidR="00AA7894" w:rsidRDefault="001540BC" w:rsidP="00C37179">
      <w:pPr>
        <w:pStyle w:val="Heading1"/>
        <w:rPr>
          <w:rFonts w:eastAsia="Times New Roman"/>
          <w:lang w:eastAsia="en-AU"/>
        </w:rPr>
      </w:pPr>
      <w:r>
        <w:rPr>
          <w:rFonts w:eastAsia="Times New Roman"/>
          <w:lang w:eastAsia="en-AU"/>
        </w:rPr>
        <w:lastRenderedPageBreak/>
        <w:t>Approach</w:t>
      </w:r>
      <w:bookmarkEnd w:id="8"/>
    </w:p>
    <w:p w14:paraId="559866C6" w14:textId="2C5A2EE0" w:rsidR="006943E9" w:rsidRDefault="00B85A6E" w:rsidP="00364E9C">
      <w:r>
        <w:t xml:space="preserve">The project </w:t>
      </w:r>
      <w:r w:rsidR="009A2B0F">
        <w:t>brought</w:t>
      </w:r>
      <w:r>
        <w:t xml:space="preserve"> together the member institutions of the Innovative Research Universities (IRU) to develop evaluative capacity through peer learning and expert support. </w:t>
      </w:r>
      <w:r w:rsidR="00B96AFA">
        <w:t>It</w:t>
      </w:r>
      <w:r w:rsidR="00F45899">
        <w:t xml:space="preserve"> leveraged the </w:t>
      </w:r>
      <w:r w:rsidRPr="007106E3">
        <w:rPr>
          <w:i/>
          <w:iCs/>
        </w:rPr>
        <w:t>IRU Strategic Plan 2022</w:t>
      </w:r>
      <w:r w:rsidR="007F625D">
        <w:rPr>
          <w:rFonts w:eastAsia="Times New Roman" w:cs="Arial"/>
          <w:color w:val="000000"/>
        </w:rPr>
        <w:t>–</w:t>
      </w:r>
      <w:r w:rsidRPr="007106E3">
        <w:rPr>
          <w:i/>
          <w:iCs/>
        </w:rPr>
        <w:t>2027</w:t>
      </w:r>
      <w:r>
        <w:t xml:space="preserve"> commitment for a joint project (in partnership with </w:t>
      </w:r>
      <w:r w:rsidR="00AA6162">
        <w:t>the Australian Centre for Student Equity and Success [</w:t>
      </w:r>
      <w:r>
        <w:t>ACSES</w:t>
      </w:r>
      <w:r w:rsidR="00AA6162">
        <w:t>]</w:t>
      </w:r>
      <w:r>
        <w:t>) to improve evaluation of equity, student support</w:t>
      </w:r>
      <w:r w:rsidR="007F625D">
        <w:t>,</w:t>
      </w:r>
      <w:r>
        <w:t xml:space="preserve"> and/or student success programs</w:t>
      </w:r>
      <w:r w:rsidR="007F625D">
        <w:t>,</w:t>
      </w:r>
      <w:r w:rsidR="00F515F4">
        <w:t xml:space="preserve"> as well as the existing collaborative and productive working relationship between </w:t>
      </w:r>
      <w:r>
        <w:t xml:space="preserve">IRU.  </w:t>
      </w:r>
    </w:p>
    <w:p w14:paraId="58BF9E01" w14:textId="77777777" w:rsidR="00AB0489" w:rsidRDefault="00AB0489" w:rsidP="00AB0489">
      <w:r>
        <w:t>This capability building initiative aimed to:</w:t>
      </w:r>
    </w:p>
    <w:p w14:paraId="4A1D6FA5" w14:textId="77777777" w:rsidR="00AB0489" w:rsidRDefault="00AB0489" w:rsidP="00B470F7">
      <w:pPr>
        <w:pStyle w:val="ListParagraph"/>
        <w:numPr>
          <w:ilvl w:val="0"/>
          <w:numId w:val="27"/>
        </w:numPr>
      </w:pPr>
      <w:r>
        <w:t>Engage in cross-institutional collaboration to share knowledge/best practices and identify opportunities for scalability.</w:t>
      </w:r>
    </w:p>
    <w:p w14:paraId="6650DA44" w14:textId="77777777" w:rsidR="00AB0489" w:rsidRDefault="00AB0489" w:rsidP="00B470F7">
      <w:pPr>
        <w:pStyle w:val="ListParagraph"/>
        <w:numPr>
          <w:ilvl w:val="0"/>
          <w:numId w:val="27"/>
        </w:numPr>
      </w:pPr>
      <w:r>
        <w:t>Provide professional development and training activities for key staff to enable impact evaluation of student equity programs across the Innovative Research Universities.</w:t>
      </w:r>
    </w:p>
    <w:p w14:paraId="5FFDE7EF" w14:textId="461E0479" w:rsidR="003B659E" w:rsidRDefault="00A83CD5" w:rsidP="00364E9C">
      <w:r>
        <w:t xml:space="preserve">The approach involved a series of four workshops, </w:t>
      </w:r>
      <w:r w:rsidR="00A64593">
        <w:t>two face-to-face and two virtual</w:t>
      </w:r>
      <w:r w:rsidR="00B81141">
        <w:t>. The workshops were</w:t>
      </w:r>
      <w:r w:rsidR="00A64593">
        <w:t xml:space="preserve"> </w:t>
      </w:r>
      <w:r>
        <w:t xml:space="preserve">supplemented by expert guidance and support from the </w:t>
      </w:r>
      <w:r w:rsidR="00776118">
        <w:t xml:space="preserve">specialist </w:t>
      </w:r>
      <w:r>
        <w:t>consultants</w:t>
      </w:r>
      <w:r w:rsidR="00776118">
        <w:t xml:space="preserve"> engaged for this project (Dr Nadine Zacharias from </w:t>
      </w:r>
      <w:r w:rsidR="006034B9">
        <w:t>Equity by Design and Dr Mel Henry)</w:t>
      </w:r>
      <w:r>
        <w:t xml:space="preserve"> </w:t>
      </w:r>
      <w:r w:rsidR="00B81141">
        <w:t xml:space="preserve">to assist </w:t>
      </w:r>
      <w:r w:rsidR="006A1834">
        <w:t xml:space="preserve">with the preparation of institutional case studies for the virtual </w:t>
      </w:r>
      <w:r>
        <w:t xml:space="preserve">workshops. </w:t>
      </w:r>
      <w:r w:rsidR="003B659E">
        <w:t>Initially, six member institutions opted into the project, namely Murdoch University, La Trobe University, Flinders University, University of Canberra, Griffith University</w:t>
      </w:r>
      <w:r w:rsidR="007F625D">
        <w:t>,</w:t>
      </w:r>
      <w:r w:rsidR="003B659E">
        <w:t xml:space="preserve"> and James Cook University. Western Sydney University opted out </w:t>
      </w:r>
      <w:r w:rsidR="007B77F8">
        <w:t>of</w:t>
      </w:r>
      <w:r w:rsidR="003B659E">
        <w:t xml:space="preserve"> participating in the project due to capacity </w:t>
      </w:r>
      <w:r w:rsidR="00CB2939">
        <w:t>constraints,</w:t>
      </w:r>
      <w:r w:rsidR="003B659E">
        <w:t xml:space="preserve"> but </w:t>
      </w:r>
      <w:r w:rsidR="00162974">
        <w:t>some</w:t>
      </w:r>
      <w:r w:rsidR="003B659E">
        <w:t xml:space="preserve"> staff attended the virtual workshops as observers.</w:t>
      </w:r>
      <w:r w:rsidR="00714B1E">
        <w:t xml:space="preserve"> A full list of participating representatives is provided in Appendix A.</w:t>
      </w:r>
    </w:p>
    <w:p w14:paraId="40002065" w14:textId="484E889E" w:rsidR="0004046D" w:rsidRDefault="0004046D" w:rsidP="00B470F7">
      <w:pPr>
        <w:pStyle w:val="Heading2"/>
      </w:pPr>
      <w:r>
        <w:t>Workshop 1</w:t>
      </w:r>
    </w:p>
    <w:p w14:paraId="1E71C7A5" w14:textId="798BBF2E" w:rsidR="00324449" w:rsidRDefault="00B11DDC" w:rsidP="00364E9C">
      <w:r>
        <w:t>Workshop 1 was held in Brisbane</w:t>
      </w:r>
      <w:r w:rsidR="00560A73">
        <w:t>, at Griffith University</w:t>
      </w:r>
      <w:r w:rsidR="008F4FB4">
        <w:t>,</w:t>
      </w:r>
      <w:r>
        <w:t xml:space="preserve"> on </w:t>
      </w:r>
      <w:r w:rsidR="008F4FB4">
        <w:t>12 June 2025</w:t>
      </w:r>
      <w:r w:rsidR="007F625D">
        <w:t xml:space="preserve"> and was </w:t>
      </w:r>
      <w:r w:rsidR="00B95777">
        <w:t>attended by</w:t>
      </w:r>
      <w:r w:rsidR="00AF67A2">
        <w:t xml:space="preserve"> 17</w:t>
      </w:r>
      <w:r w:rsidR="009B5DFA">
        <w:t xml:space="preserve"> representatives from </w:t>
      </w:r>
      <w:r w:rsidR="00DE583D">
        <w:t>the IRU</w:t>
      </w:r>
      <w:r w:rsidR="00516A8B">
        <w:t xml:space="preserve"> and </w:t>
      </w:r>
      <w:r w:rsidR="00CB2939">
        <w:t xml:space="preserve">the six participating universities. </w:t>
      </w:r>
      <w:r w:rsidR="00324449">
        <w:t>The objectives of this workshop were to</w:t>
      </w:r>
      <w:r w:rsidR="00364E9C">
        <w:t xml:space="preserve"> c</w:t>
      </w:r>
      <w:r w:rsidR="00324449">
        <w:t>ompare evaluation approaches, findings</w:t>
      </w:r>
      <w:r w:rsidR="007F625D">
        <w:t>,</w:t>
      </w:r>
      <w:r w:rsidR="00324449">
        <w:t xml:space="preserve"> and learnings from existing student equity program evaluations at each participating institution</w:t>
      </w:r>
      <w:r w:rsidR="007F625D">
        <w:t>,</w:t>
      </w:r>
      <w:r w:rsidR="00364E9C">
        <w:t xml:space="preserve"> and </w:t>
      </w:r>
      <w:r w:rsidR="007547B5">
        <w:t xml:space="preserve">to </w:t>
      </w:r>
      <w:r w:rsidR="00364E9C">
        <w:t>i</w:t>
      </w:r>
      <w:r w:rsidR="00324449">
        <w:t>dentify common student equity evaluation(s) for case study.</w:t>
      </w:r>
      <w:r w:rsidR="00492F79">
        <w:t xml:space="preserve"> One institution, Murdoch University, </w:t>
      </w:r>
      <w:r w:rsidR="00E10513">
        <w:t xml:space="preserve">subsequently </w:t>
      </w:r>
      <w:r w:rsidR="00492F79">
        <w:t xml:space="preserve">chose to withdraw their participation from the project </w:t>
      </w:r>
      <w:r w:rsidR="3A05E8C2">
        <w:t>ci</w:t>
      </w:r>
      <w:r w:rsidR="00E10513">
        <w:t xml:space="preserve">ting internal capacity </w:t>
      </w:r>
      <w:r w:rsidR="00516A8B">
        <w:t>constraints</w:t>
      </w:r>
      <w:r w:rsidR="00E51001">
        <w:t>.</w:t>
      </w:r>
    </w:p>
    <w:p w14:paraId="78C00430" w14:textId="201E29A5" w:rsidR="008321F3" w:rsidRDefault="008321F3" w:rsidP="00B470F7">
      <w:pPr>
        <w:pStyle w:val="Heading2"/>
      </w:pPr>
      <w:r>
        <w:t xml:space="preserve">Workshops </w:t>
      </w:r>
      <w:r w:rsidR="75753886">
        <w:t>2</w:t>
      </w:r>
      <w:r>
        <w:t xml:space="preserve"> and </w:t>
      </w:r>
      <w:r w:rsidR="741D892C">
        <w:t>3</w:t>
      </w:r>
    </w:p>
    <w:p w14:paraId="4F383CE5" w14:textId="2F4DB5B0" w:rsidR="00D25622" w:rsidRDefault="006943E9" w:rsidP="00364E9C">
      <w:r>
        <w:t xml:space="preserve">The second and third workshops were held </w:t>
      </w:r>
      <w:r w:rsidR="009403C6">
        <w:t>online, via Microsoft Team</w:t>
      </w:r>
      <w:r w:rsidR="005E3EE5">
        <w:t>s</w:t>
      </w:r>
      <w:r w:rsidR="009403C6">
        <w:t>,</w:t>
      </w:r>
      <w:r w:rsidR="00C00DD1">
        <w:t xml:space="preserve"> on 5 August and </w:t>
      </w:r>
      <w:r w:rsidR="00FC35EA">
        <w:t>1</w:t>
      </w:r>
      <w:r w:rsidR="007F625D">
        <w:t>9</w:t>
      </w:r>
      <w:r w:rsidR="006A2772">
        <w:t xml:space="preserve"> August</w:t>
      </w:r>
      <w:r w:rsidR="00C00DD1">
        <w:t>,</w:t>
      </w:r>
      <w:r w:rsidR="009403C6">
        <w:t xml:space="preserve"> attended by </w:t>
      </w:r>
      <w:r w:rsidR="59CDDBE1">
        <w:t>25</w:t>
      </w:r>
      <w:r w:rsidR="009403C6">
        <w:t xml:space="preserve"> and </w:t>
      </w:r>
      <w:r w:rsidR="56CFB550">
        <w:t>36</w:t>
      </w:r>
      <w:r w:rsidR="009403C6">
        <w:t xml:space="preserve"> participants respectively. Each of these sessions involved </w:t>
      </w:r>
      <w:r w:rsidR="006A1803">
        <w:t>three</w:t>
      </w:r>
      <w:r w:rsidR="009403C6">
        <w:t xml:space="preserve"> case study presentation</w:t>
      </w:r>
      <w:r w:rsidR="006A1803">
        <w:t>s</w:t>
      </w:r>
      <w:r w:rsidR="00BE04CA">
        <w:t xml:space="preserve"> of </w:t>
      </w:r>
      <w:r w:rsidR="0089477C">
        <w:t>a priority initiative</w:t>
      </w:r>
      <w:r w:rsidR="009403C6">
        <w:t xml:space="preserve"> from </w:t>
      </w:r>
      <w:r w:rsidR="000746FA">
        <w:t>three</w:t>
      </w:r>
      <w:r w:rsidR="009403C6">
        <w:t xml:space="preserve"> institutions</w:t>
      </w:r>
      <w:r w:rsidR="00D25622">
        <w:t>, in which they shared</w:t>
      </w:r>
      <w:r w:rsidR="00070069">
        <w:t>:</w:t>
      </w:r>
    </w:p>
    <w:p w14:paraId="2FE60C48" w14:textId="469FCE04" w:rsidR="00070069" w:rsidRDefault="007F625D" w:rsidP="00070069">
      <w:pPr>
        <w:pStyle w:val="ListParagraph"/>
        <w:numPr>
          <w:ilvl w:val="0"/>
          <w:numId w:val="22"/>
        </w:numPr>
      </w:pPr>
      <w:r>
        <w:t>a</w:t>
      </w:r>
      <w:r w:rsidR="00070069">
        <w:t xml:space="preserve">n overview of the </w:t>
      </w:r>
      <w:r w:rsidR="004632D8">
        <w:t>applicable situation and program objectives</w:t>
      </w:r>
    </w:p>
    <w:p w14:paraId="46B303A6" w14:textId="54E22E99" w:rsidR="004632D8" w:rsidRDefault="007F625D" w:rsidP="00070069">
      <w:pPr>
        <w:pStyle w:val="ListParagraph"/>
        <w:numPr>
          <w:ilvl w:val="0"/>
          <w:numId w:val="22"/>
        </w:numPr>
      </w:pPr>
      <w:r>
        <w:t>a</w:t>
      </w:r>
      <w:r w:rsidR="00136CFF">
        <w:t xml:space="preserve"> completed Program Logic Model</w:t>
      </w:r>
    </w:p>
    <w:p w14:paraId="1B8CE078" w14:textId="461A577B" w:rsidR="00136CFF" w:rsidRDefault="007F625D" w:rsidP="00070069">
      <w:pPr>
        <w:pStyle w:val="ListParagraph"/>
        <w:numPr>
          <w:ilvl w:val="0"/>
          <w:numId w:val="22"/>
        </w:numPr>
      </w:pPr>
      <w:r>
        <w:t>d</w:t>
      </w:r>
      <w:r w:rsidR="007F1A3C">
        <w:t>etails of the program’s reach and participants</w:t>
      </w:r>
    </w:p>
    <w:p w14:paraId="479C832A" w14:textId="01175967" w:rsidR="00C871D5" w:rsidRDefault="007F625D" w:rsidP="00070069">
      <w:pPr>
        <w:pStyle w:val="ListParagraph"/>
        <w:numPr>
          <w:ilvl w:val="0"/>
          <w:numId w:val="22"/>
        </w:numPr>
      </w:pPr>
      <w:r>
        <w:lastRenderedPageBreak/>
        <w:t>k</w:t>
      </w:r>
      <w:r w:rsidR="00C871D5">
        <w:t>ey outcomes from the program in 2024</w:t>
      </w:r>
    </w:p>
    <w:p w14:paraId="79C08CF4" w14:textId="3DC7566F" w:rsidR="00903889" w:rsidRDefault="007F625D" w:rsidP="00070069">
      <w:pPr>
        <w:pStyle w:val="ListParagraph"/>
        <w:numPr>
          <w:ilvl w:val="0"/>
          <w:numId w:val="22"/>
        </w:numPr>
      </w:pPr>
      <w:r>
        <w:t>i</w:t>
      </w:r>
      <w:r w:rsidR="00357BFC" w:rsidRPr="00357BFC">
        <w:t xml:space="preserve">nsights and learnings from delivering and evaluating </w:t>
      </w:r>
      <w:r w:rsidR="00357BFC">
        <w:t>the program</w:t>
      </w:r>
      <w:r w:rsidR="00357BFC" w:rsidRPr="00357BFC">
        <w:t xml:space="preserve"> to date</w:t>
      </w:r>
    </w:p>
    <w:p w14:paraId="63F84CA7" w14:textId="20F7A812" w:rsidR="00A176F1" w:rsidRDefault="007F625D" w:rsidP="00070069">
      <w:pPr>
        <w:pStyle w:val="ListParagraph"/>
        <w:numPr>
          <w:ilvl w:val="0"/>
          <w:numId w:val="22"/>
        </w:numPr>
      </w:pPr>
      <w:proofErr w:type="gramStart"/>
      <w:r>
        <w:t>f</w:t>
      </w:r>
      <w:r w:rsidR="00A176F1">
        <w:t>uture p</w:t>
      </w:r>
      <w:r w:rsidR="00357BFC" w:rsidRPr="00357BFC">
        <w:t>lans</w:t>
      </w:r>
      <w:proofErr w:type="gramEnd"/>
      <w:r w:rsidR="00357BFC" w:rsidRPr="00357BFC">
        <w:t xml:space="preserve"> for the </w:t>
      </w:r>
      <w:r w:rsidR="00A176F1">
        <w:t>program or evaluation</w:t>
      </w:r>
    </w:p>
    <w:p w14:paraId="082229EB" w14:textId="498EB5C0" w:rsidR="00C871D5" w:rsidRDefault="007F625D" w:rsidP="00070069">
      <w:pPr>
        <w:pStyle w:val="ListParagraph"/>
        <w:numPr>
          <w:ilvl w:val="0"/>
          <w:numId w:val="22"/>
        </w:numPr>
      </w:pPr>
      <w:r>
        <w:t>r</w:t>
      </w:r>
      <w:r w:rsidR="00357BFC" w:rsidRPr="00357BFC">
        <w:t>elevant advice for other institutions</w:t>
      </w:r>
      <w:r w:rsidR="00903889">
        <w:t>.</w:t>
      </w:r>
    </w:p>
    <w:p w14:paraId="30E76948" w14:textId="277F3A58" w:rsidR="00A235C6" w:rsidRDefault="00A905E4" w:rsidP="00B155C2">
      <w:r>
        <w:t>Expert guidance was provided to presenters in preparing for these sessions</w:t>
      </w:r>
      <w:r w:rsidR="009B30E7">
        <w:t xml:space="preserve">, including the development of their </w:t>
      </w:r>
      <w:r w:rsidR="009B30E7" w:rsidRPr="00144C15">
        <w:t>Program Logic Models</w:t>
      </w:r>
      <w:r w:rsidR="00A7347F">
        <w:t>, determining relevant information</w:t>
      </w:r>
      <w:r w:rsidR="00F50DF1">
        <w:t xml:space="preserve"> and </w:t>
      </w:r>
      <w:r w:rsidR="00A7347F">
        <w:t>compiling</w:t>
      </w:r>
      <w:r w:rsidR="009B30E7">
        <w:t xml:space="preserve"> </w:t>
      </w:r>
      <w:r w:rsidR="00F50DF1">
        <w:t xml:space="preserve">informative presentations. </w:t>
      </w:r>
      <w:r w:rsidR="00B155C2">
        <w:t>Representatives from University of Canberra, James Cook University</w:t>
      </w:r>
      <w:r w:rsidR="007F625D">
        <w:t>,</w:t>
      </w:r>
      <w:r w:rsidR="00B155C2">
        <w:t xml:space="preserve"> and Griffith University presented on their </w:t>
      </w:r>
      <w:r w:rsidR="00F62DB1">
        <w:t>Work Integrated Learning (</w:t>
      </w:r>
      <w:r w:rsidR="00B155C2">
        <w:t>WIL</w:t>
      </w:r>
      <w:r w:rsidR="00F62DB1">
        <w:t>)</w:t>
      </w:r>
      <w:r w:rsidR="00B155C2">
        <w:t xml:space="preserve"> Bursary programs at Workshop 2, and </w:t>
      </w:r>
      <w:r w:rsidR="00FB62A7">
        <w:t>Griffith University, Flinders University</w:t>
      </w:r>
      <w:r w:rsidR="007F625D">
        <w:t>,</w:t>
      </w:r>
      <w:r w:rsidR="00FB62A7">
        <w:t xml:space="preserve"> and La Trobe University presented on their Academic Advisory programs at Workshop 3.</w:t>
      </w:r>
      <w:r w:rsidR="00E90A9E" w:rsidRPr="00E90A9E">
        <w:t xml:space="preserve"> </w:t>
      </w:r>
      <w:r w:rsidR="00E90A9E">
        <w:t xml:space="preserve">These workshops were recorded and </w:t>
      </w:r>
      <w:r w:rsidR="00B5572A">
        <w:t>open to o</w:t>
      </w:r>
      <w:r w:rsidR="00E90A9E">
        <w:t>ther staff from participating institution</w:t>
      </w:r>
      <w:r w:rsidR="00B5572A">
        <w:t>s to a</w:t>
      </w:r>
      <w:r w:rsidR="00E90A9E">
        <w:t>ttend</w:t>
      </w:r>
      <w:r w:rsidR="00B5572A">
        <w:t xml:space="preserve"> to extend their reach</w:t>
      </w:r>
      <w:r w:rsidR="00E90A9E">
        <w:t>.</w:t>
      </w:r>
    </w:p>
    <w:p w14:paraId="08DA48A8" w14:textId="0DB20C4A" w:rsidR="00B42C91" w:rsidRDefault="00B42C91" w:rsidP="00B470F7">
      <w:pPr>
        <w:pStyle w:val="Heading2"/>
      </w:pPr>
      <w:r>
        <w:t>Workshop 4</w:t>
      </w:r>
    </w:p>
    <w:p w14:paraId="35455CC1" w14:textId="56E22E73" w:rsidR="00C35EA1" w:rsidRDefault="00D72E12" w:rsidP="00C35EA1">
      <w:r>
        <w:t>The final workshop was held in Sydney, at the University of Technology Sydney</w:t>
      </w:r>
      <w:r w:rsidR="005C685F">
        <w:t xml:space="preserve"> (UTS)</w:t>
      </w:r>
      <w:r>
        <w:t>, on 11 September 2025</w:t>
      </w:r>
      <w:r w:rsidR="00B42C91">
        <w:t xml:space="preserve">. </w:t>
      </w:r>
      <w:r w:rsidR="00317E0A">
        <w:t xml:space="preserve">14 </w:t>
      </w:r>
      <w:r w:rsidR="00E80F64">
        <w:t>individuals</w:t>
      </w:r>
      <w:r w:rsidR="007F6231">
        <w:t xml:space="preserve"> attended</w:t>
      </w:r>
      <w:r w:rsidR="00E80F64">
        <w:t xml:space="preserve">, </w:t>
      </w:r>
      <w:r w:rsidR="00317E0A">
        <w:t>r</w:t>
      </w:r>
      <w:r w:rsidR="00622B07">
        <w:t>epresenti</w:t>
      </w:r>
      <w:r w:rsidR="00E80F64">
        <w:t xml:space="preserve">ng </w:t>
      </w:r>
      <w:r w:rsidR="00622B07">
        <w:t xml:space="preserve">all participating institutions </w:t>
      </w:r>
      <w:r w:rsidR="00E80F64">
        <w:t>and the IRU</w:t>
      </w:r>
      <w:r w:rsidR="00622B07">
        <w:t xml:space="preserve">, along with </w:t>
      </w:r>
      <w:r w:rsidR="006E5191">
        <w:t xml:space="preserve">three </w:t>
      </w:r>
      <w:r w:rsidR="00622B07">
        <w:t>guest speakers from ACSES</w:t>
      </w:r>
      <w:r w:rsidR="003A010C">
        <w:t xml:space="preserve"> and </w:t>
      </w:r>
      <w:r w:rsidR="00261F19">
        <w:t xml:space="preserve">two </w:t>
      </w:r>
      <w:r w:rsidR="003A010C">
        <w:t>ACSES-supported impact evaluation projects</w:t>
      </w:r>
      <w:r w:rsidR="00AA0B96">
        <w:t xml:space="preserve"> (at UTS and Curtin)</w:t>
      </w:r>
      <w:r w:rsidR="00622B07">
        <w:t>.</w:t>
      </w:r>
      <w:r w:rsidR="008D3385">
        <w:t xml:space="preserve"> </w:t>
      </w:r>
      <w:r w:rsidR="00261F19">
        <w:t>W</w:t>
      </w:r>
      <w:r w:rsidR="007A23F5">
        <w:t>orkshop</w:t>
      </w:r>
      <w:r w:rsidR="00BE65EC">
        <w:t xml:space="preserve"> </w:t>
      </w:r>
      <w:r w:rsidR="00261F19">
        <w:t xml:space="preserve">4 </w:t>
      </w:r>
      <w:r w:rsidR="008D3385">
        <w:t>aimed to</w:t>
      </w:r>
      <w:r w:rsidR="00C35EA1">
        <w:t>:</w:t>
      </w:r>
    </w:p>
    <w:p w14:paraId="0DE81E46" w14:textId="77E5034E" w:rsidR="00C35EA1" w:rsidRDefault="00C35EA1" w:rsidP="00C35EA1">
      <w:pPr>
        <w:pStyle w:val="ListParagraph"/>
        <w:numPr>
          <w:ilvl w:val="0"/>
          <w:numId w:val="23"/>
        </w:numPr>
      </w:pPr>
      <w:r>
        <w:t>Discuss learnings from existing evaluation practices based on the case studies.​</w:t>
      </w:r>
    </w:p>
    <w:p w14:paraId="0DC5C39B" w14:textId="79B44F3B" w:rsidR="00C35EA1" w:rsidRDefault="00C35EA1" w:rsidP="00C35EA1">
      <w:pPr>
        <w:pStyle w:val="ListParagraph"/>
        <w:numPr>
          <w:ilvl w:val="0"/>
          <w:numId w:val="23"/>
        </w:numPr>
      </w:pPr>
      <w:r>
        <w:t>Identify a suitable program(</w:t>
      </w:r>
      <w:r w:rsidR="0086420A">
        <w:t>s</w:t>
      </w:r>
      <w:r>
        <w:t>) to undergo Impact Evaluation in 2026.​</w:t>
      </w:r>
    </w:p>
    <w:p w14:paraId="1A8F0599" w14:textId="77777777" w:rsidR="00C35EA1" w:rsidRDefault="00C35EA1" w:rsidP="0086420A">
      <w:pPr>
        <w:pStyle w:val="ListParagraph"/>
        <w:numPr>
          <w:ilvl w:val="0"/>
          <w:numId w:val="23"/>
        </w:numPr>
      </w:pPr>
      <w:r>
        <w:t>Discuss an appropriate design for a collaborative Impact Evaluation of the selected program(s).​</w:t>
      </w:r>
    </w:p>
    <w:p w14:paraId="1A456A45" w14:textId="7126C9F9" w:rsidR="006943E9" w:rsidRDefault="00C35EA1" w:rsidP="0086420A">
      <w:pPr>
        <w:pStyle w:val="ListParagraph"/>
        <w:numPr>
          <w:ilvl w:val="0"/>
          <w:numId w:val="23"/>
        </w:numPr>
      </w:pPr>
      <w:r>
        <w:t>Develop an action plan to develop the proposal and secure funding to support the proposed Impact Evaluation.</w:t>
      </w:r>
    </w:p>
    <w:p w14:paraId="2771F32D" w14:textId="52A6E302" w:rsidR="00222286" w:rsidRDefault="00222286" w:rsidP="00222286">
      <w:r>
        <w:t>The workshop included a presentation and guest panel discussion on impact evaluation design, facilitated by Jesse Parmar from ACSES, along with focused reflection and discussion.</w:t>
      </w:r>
      <w:r w:rsidR="007E27D7">
        <w:t xml:space="preserve"> The group undertook an action planning session on how to </w:t>
      </w:r>
      <w:r w:rsidR="00430DFD">
        <w:t xml:space="preserve">continue the collaboration after the grant period ceases. </w:t>
      </w:r>
    </w:p>
    <w:p w14:paraId="5096E895" w14:textId="2DFB8C62" w:rsidR="00E45081" w:rsidRDefault="00E45081" w:rsidP="00B470F7">
      <w:pPr>
        <w:pStyle w:val="Heading2"/>
      </w:pPr>
      <w:r>
        <w:t>Challenges</w:t>
      </w:r>
    </w:p>
    <w:p w14:paraId="26EA9B97" w14:textId="1A0ED1E1" w:rsidR="00183DC0" w:rsidRDefault="00FE4707" w:rsidP="005E0A95">
      <w:r>
        <w:t xml:space="preserve">As noted above, capacity constraints </w:t>
      </w:r>
      <w:r w:rsidR="00D6386E">
        <w:t xml:space="preserve">to support comprehensive capability building activities were the most prominent challenges </w:t>
      </w:r>
      <w:r w:rsidR="006F59E2">
        <w:t xml:space="preserve">in the implementation of the project. Logistical challenges of organising travel </w:t>
      </w:r>
      <w:r w:rsidR="00754DAC">
        <w:t xml:space="preserve">across </w:t>
      </w:r>
      <w:r w:rsidR="00FE393E">
        <w:t>six</w:t>
      </w:r>
      <w:r w:rsidR="00754DAC">
        <w:t xml:space="preserve"> institutions and with </w:t>
      </w:r>
      <w:r w:rsidR="00FE393E">
        <w:t>three</w:t>
      </w:r>
      <w:r w:rsidR="00754DAC">
        <w:t xml:space="preserve"> external parties</w:t>
      </w:r>
      <w:r w:rsidR="00FE393E">
        <w:t>,</w:t>
      </w:r>
      <w:r w:rsidR="00754DAC">
        <w:t xml:space="preserve"> as well as coordinating event spaces in </w:t>
      </w:r>
      <w:r w:rsidR="00FE393E">
        <w:t>two</w:t>
      </w:r>
      <w:r w:rsidR="00754DAC">
        <w:t xml:space="preserve"> different cities also arose as </w:t>
      </w:r>
      <w:r w:rsidR="005E140E">
        <w:t>challenges but</w:t>
      </w:r>
      <w:r w:rsidR="00754DAC">
        <w:t xml:space="preserve"> were overcome with dedicated and effective resourcing by Griffith University. </w:t>
      </w:r>
      <w:bookmarkStart w:id="9" w:name="_Toc192004676"/>
    </w:p>
    <w:p w14:paraId="17B1B496" w14:textId="77777777" w:rsidR="00CB0A20" w:rsidRDefault="00CB0A20" w:rsidP="005E0A95"/>
    <w:p w14:paraId="49A416A9" w14:textId="77777777" w:rsidR="00CB0A20" w:rsidRDefault="00CB0A20" w:rsidP="005E0A95">
      <w:pPr>
        <w:rPr>
          <w:lang w:eastAsia="en-AU"/>
        </w:rPr>
      </w:pPr>
    </w:p>
    <w:p w14:paraId="399F49B4" w14:textId="27E90712" w:rsidR="004E0250" w:rsidRPr="00CB0A20" w:rsidRDefault="001540BC" w:rsidP="004E0250">
      <w:pPr>
        <w:pStyle w:val="Heading1"/>
        <w:rPr>
          <w:rFonts w:eastAsia="Times New Roman"/>
          <w:lang w:eastAsia="en-AU"/>
        </w:rPr>
      </w:pPr>
      <w:r>
        <w:rPr>
          <w:rFonts w:eastAsia="Times New Roman"/>
          <w:lang w:eastAsia="en-AU"/>
        </w:rPr>
        <w:lastRenderedPageBreak/>
        <w:t>Outputs</w:t>
      </w:r>
      <w:bookmarkEnd w:id="9"/>
    </w:p>
    <w:p w14:paraId="4F652290" w14:textId="04408D13" w:rsidR="00CD064B" w:rsidRPr="00B85A6E" w:rsidDel="0028129F" w:rsidRDefault="00664E1B" w:rsidP="009536ED">
      <w:pPr>
        <w:pStyle w:val="Heading2"/>
      </w:pPr>
      <w:r>
        <w:t xml:space="preserve">Case </w:t>
      </w:r>
      <w:r w:rsidRPr="00DD461C">
        <w:t>Stud</w:t>
      </w:r>
      <w:r w:rsidR="00CD064B" w:rsidRPr="00DD461C">
        <w:t>ies</w:t>
      </w:r>
    </w:p>
    <w:p w14:paraId="31E17153" w14:textId="67E1D01C" w:rsidR="006135CD" w:rsidRDefault="00C95BD7" w:rsidP="00DD461C">
      <w:pPr>
        <w:rPr>
          <w:lang w:eastAsia="en-AU"/>
        </w:rPr>
      </w:pPr>
      <w:r w:rsidRPr="00C95BD7">
        <w:rPr>
          <w:lang w:eastAsia="en-AU"/>
        </w:rPr>
        <w:t xml:space="preserve">Over </w:t>
      </w:r>
      <w:r>
        <w:rPr>
          <w:lang w:eastAsia="en-AU"/>
        </w:rPr>
        <w:t xml:space="preserve">the course of the </w:t>
      </w:r>
      <w:r w:rsidR="00CB7C58">
        <w:rPr>
          <w:lang w:eastAsia="en-AU"/>
        </w:rPr>
        <w:t>project</w:t>
      </w:r>
      <w:r w:rsidRPr="00C95BD7">
        <w:rPr>
          <w:lang w:eastAsia="en-AU"/>
        </w:rPr>
        <w:t xml:space="preserve">, </w:t>
      </w:r>
      <w:r w:rsidR="00CB7C58">
        <w:rPr>
          <w:lang w:eastAsia="en-AU"/>
        </w:rPr>
        <w:t>e</w:t>
      </w:r>
      <w:r w:rsidR="00CB7C58" w:rsidRPr="00C95BD7">
        <w:rPr>
          <w:lang w:eastAsia="en-AU"/>
        </w:rPr>
        <w:t>ach institution develop</w:t>
      </w:r>
      <w:r w:rsidR="00CB7C58">
        <w:rPr>
          <w:lang w:eastAsia="en-AU"/>
        </w:rPr>
        <w:t>ed</w:t>
      </w:r>
      <w:r w:rsidR="00CB7C58" w:rsidRPr="00C95BD7">
        <w:rPr>
          <w:lang w:eastAsia="en-AU"/>
        </w:rPr>
        <w:t xml:space="preserve"> a case study of </w:t>
      </w:r>
      <w:r w:rsidR="0070669D">
        <w:rPr>
          <w:lang w:eastAsia="en-AU"/>
        </w:rPr>
        <w:t>an agreed priority</w:t>
      </w:r>
      <w:r w:rsidR="0070669D" w:rsidRPr="00C95BD7">
        <w:rPr>
          <w:lang w:eastAsia="en-AU"/>
        </w:rPr>
        <w:t xml:space="preserve"> </w:t>
      </w:r>
      <w:r w:rsidR="00CB7C58">
        <w:rPr>
          <w:lang w:eastAsia="en-AU"/>
        </w:rPr>
        <w:t>program</w:t>
      </w:r>
      <w:r w:rsidR="00CB7C58" w:rsidRPr="00C95BD7">
        <w:rPr>
          <w:lang w:eastAsia="en-AU"/>
        </w:rPr>
        <w:t xml:space="preserve"> and its evaluation</w:t>
      </w:r>
      <w:r w:rsidR="00CB7C58">
        <w:rPr>
          <w:lang w:eastAsia="en-AU"/>
        </w:rPr>
        <w:t>, paving the way for</w:t>
      </w:r>
      <w:r w:rsidR="00CB7C58" w:rsidRPr="00C95BD7">
        <w:rPr>
          <w:lang w:eastAsia="en-AU"/>
        </w:rPr>
        <w:t xml:space="preserve"> comparative case study evaluation of </w:t>
      </w:r>
      <w:r w:rsidR="00CB7C58">
        <w:rPr>
          <w:lang w:eastAsia="en-AU"/>
        </w:rPr>
        <w:t>common</w:t>
      </w:r>
      <w:r w:rsidR="00CB7C58" w:rsidRPr="00C95BD7">
        <w:rPr>
          <w:lang w:eastAsia="en-AU"/>
        </w:rPr>
        <w:t xml:space="preserve"> student equity </w:t>
      </w:r>
      <w:r w:rsidR="00F95103">
        <w:rPr>
          <w:lang w:eastAsia="en-AU"/>
        </w:rPr>
        <w:t>initiatives</w:t>
      </w:r>
      <w:r w:rsidR="00CB7C58" w:rsidRPr="00C95BD7">
        <w:rPr>
          <w:lang w:eastAsia="en-AU"/>
        </w:rPr>
        <w:t xml:space="preserve">. </w:t>
      </w:r>
      <w:r w:rsidR="00CB7C58">
        <w:rPr>
          <w:lang w:eastAsia="en-AU"/>
        </w:rPr>
        <w:t>T</w:t>
      </w:r>
      <w:r w:rsidRPr="00C95BD7">
        <w:rPr>
          <w:lang w:eastAsia="en-AU"/>
        </w:rPr>
        <w:t>he group share</w:t>
      </w:r>
      <w:r w:rsidR="00304D81">
        <w:rPr>
          <w:lang w:eastAsia="en-AU"/>
        </w:rPr>
        <w:t>d</w:t>
      </w:r>
      <w:r w:rsidRPr="00C95BD7">
        <w:rPr>
          <w:lang w:eastAsia="en-AU"/>
        </w:rPr>
        <w:t xml:space="preserve"> design</w:t>
      </w:r>
      <w:r w:rsidR="007667FB">
        <w:rPr>
          <w:lang w:eastAsia="en-AU"/>
        </w:rPr>
        <w:t>s</w:t>
      </w:r>
      <w:r w:rsidRPr="00C95BD7">
        <w:rPr>
          <w:lang w:eastAsia="en-AU"/>
        </w:rPr>
        <w:t xml:space="preserve"> of </w:t>
      </w:r>
      <w:r w:rsidR="00335023">
        <w:rPr>
          <w:lang w:eastAsia="en-AU"/>
        </w:rPr>
        <w:t>selected</w:t>
      </w:r>
      <w:r w:rsidR="00A62E7B">
        <w:rPr>
          <w:lang w:eastAsia="en-AU"/>
        </w:rPr>
        <w:t xml:space="preserve"> student equity programs</w:t>
      </w:r>
      <w:r w:rsidRPr="00C95BD7">
        <w:rPr>
          <w:lang w:eastAsia="en-AU"/>
        </w:rPr>
        <w:t xml:space="preserve"> </w:t>
      </w:r>
      <w:r w:rsidR="007741FE">
        <w:rPr>
          <w:lang w:eastAsia="en-AU"/>
        </w:rPr>
        <w:t>(</w:t>
      </w:r>
      <w:r w:rsidR="007741FE" w:rsidRPr="00AA6162">
        <w:rPr>
          <w:lang w:eastAsia="en-AU"/>
        </w:rPr>
        <w:t>WIL</w:t>
      </w:r>
      <w:r w:rsidR="007741FE">
        <w:rPr>
          <w:lang w:eastAsia="en-AU"/>
        </w:rPr>
        <w:t xml:space="preserve"> Bursaries and/or Academic Advising) at </w:t>
      </w:r>
      <w:r w:rsidR="007667FB">
        <w:rPr>
          <w:lang w:eastAsia="en-AU"/>
        </w:rPr>
        <w:t>each</w:t>
      </w:r>
      <w:r w:rsidRPr="00C95BD7">
        <w:rPr>
          <w:lang w:eastAsia="en-AU"/>
        </w:rPr>
        <w:t xml:space="preserve"> institution</w:t>
      </w:r>
      <w:r w:rsidR="00C67FA2">
        <w:rPr>
          <w:lang w:eastAsia="en-AU"/>
        </w:rPr>
        <w:t>,</w:t>
      </w:r>
      <w:r w:rsidRPr="00C95BD7">
        <w:rPr>
          <w:lang w:eastAsia="en-AU"/>
        </w:rPr>
        <w:t xml:space="preserve"> </w:t>
      </w:r>
      <w:r w:rsidR="007667FB">
        <w:rPr>
          <w:lang w:eastAsia="en-AU"/>
        </w:rPr>
        <w:t>including</w:t>
      </w:r>
      <w:r w:rsidRPr="00C95BD7">
        <w:rPr>
          <w:lang w:eastAsia="en-AU"/>
        </w:rPr>
        <w:t xml:space="preserve"> </w:t>
      </w:r>
      <w:r w:rsidRPr="005C685F">
        <w:rPr>
          <w:lang w:eastAsia="en-AU"/>
        </w:rPr>
        <w:t xml:space="preserve">a </w:t>
      </w:r>
      <w:r w:rsidRPr="00144C15">
        <w:rPr>
          <w:lang w:eastAsia="en-AU"/>
        </w:rPr>
        <w:t>Program Logic Model</w:t>
      </w:r>
      <w:r w:rsidR="00C67FA2">
        <w:rPr>
          <w:lang w:eastAsia="en-AU"/>
        </w:rPr>
        <w:t xml:space="preserve"> (</w:t>
      </w:r>
      <w:r w:rsidR="001D4BA0">
        <w:rPr>
          <w:lang w:eastAsia="en-AU"/>
        </w:rPr>
        <w:t xml:space="preserve">as per </w:t>
      </w:r>
      <w:r w:rsidR="001D4BA0">
        <w:rPr>
          <w:lang w:eastAsia="en-AU"/>
        </w:rPr>
        <w:fldChar w:fldCharType="begin"/>
      </w:r>
      <w:r w:rsidR="001D4BA0">
        <w:rPr>
          <w:lang w:eastAsia="en-AU"/>
        </w:rPr>
        <w:instrText xml:space="preserve"> REF _Ref213235652 \h </w:instrText>
      </w:r>
      <w:r w:rsidR="001D4BA0">
        <w:rPr>
          <w:lang w:eastAsia="en-AU"/>
        </w:rPr>
      </w:r>
      <w:r w:rsidR="001D4BA0">
        <w:rPr>
          <w:lang w:eastAsia="en-AU"/>
        </w:rPr>
        <w:fldChar w:fldCharType="separate"/>
      </w:r>
      <w:r w:rsidR="00636F45" w:rsidRPr="00144C15">
        <w:t xml:space="preserve">Figure </w:t>
      </w:r>
      <w:r w:rsidR="00636F45">
        <w:rPr>
          <w:noProof/>
        </w:rPr>
        <w:t>1</w:t>
      </w:r>
      <w:r w:rsidR="001D4BA0">
        <w:rPr>
          <w:lang w:eastAsia="en-AU"/>
        </w:rPr>
        <w:fldChar w:fldCharType="end"/>
      </w:r>
      <w:r w:rsidRPr="00C95BD7">
        <w:rPr>
          <w:lang w:eastAsia="en-AU"/>
        </w:rPr>
        <w:t>)</w:t>
      </w:r>
      <w:r w:rsidR="001D4BA0">
        <w:rPr>
          <w:lang w:eastAsia="en-AU"/>
        </w:rPr>
        <w:t>, as well as</w:t>
      </w:r>
      <w:r w:rsidRPr="00C95BD7">
        <w:rPr>
          <w:lang w:eastAsia="en-AU"/>
        </w:rPr>
        <w:t xml:space="preserve"> insights from existing </w:t>
      </w:r>
      <w:r w:rsidR="00AA6162">
        <w:rPr>
          <w:lang w:eastAsia="en-AU"/>
        </w:rPr>
        <w:t>continuous quality improvement (</w:t>
      </w:r>
      <w:r w:rsidRPr="00AA6162">
        <w:rPr>
          <w:lang w:eastAsia="en-AU"/>
        </w:rPr>
        <w:t>CQI</w:t>
      </w:r>
      <w:r w:rsidR="00AA6162">
        <w:rPr>
          <w:lang w:eastAsia="en-AU"/>
        </w:rPr>
        <w:t>)</w:t>
      </w:r>
      <w:r w:rsidRPr="00C95BD7">
        <w:rPr>
          <w:lang w:eastAsia="en-AU"/>
        </w:rPr>
        <w:t xml:space="preserve"> data collection and evaluations</w:t>
      </w:r>
      <w:r w:rsidR="00CF4794">
        <w:rPr>
          <w:lang w:eastAsia="en-AU"/>
        </w:rPr>
        <w:t xml:space="preserve"> (as pe</w:t>
      </w:r>
      <w:r w:rsidR="00C6738E">
        <w:rPr>
          <w:lang w:eastAsia="en-AU"/>
        </w:rPr>
        <w:t>r Figure 2</w:t>
      </w:r>
      <w:r w:rsidR="00CF4794">
        <w:rPr>
          <w:lang w:eastAsia="en-AU"/>
        </w:rPr>
        <w:t>)</w:t>
      </w:r>
      <w:r w:rsidRPr="00C95BD7">
        <w:rPr>
          <w:lang w:eastAsia="en-AU"/>
        </w:rPr>
        <w:t xml:space="preserve">. </w:t>
      </w:r>
      <w:r w:rsidR="007707DF">
        <w:rPr>
          <w:lang w:eastAsia="en-AU"/>
        </w:rPr>
        <w:t xml:space="preserve">Through this process, participants were able to identify valuable opportunities to enhance their own program design and evaluation practices, informed by </w:t>
      </w:r>
      <w:r w:rsidR="0019572C">
        <w:rPr>
          <w:lang w:eastAsia="en-AU"/>
        </w:rPr>
        <w:t>focused</w:t>
      </w:r>
      <w:r w:rsidR="007707DF">
        <w:rPr>
          <w:lang w:eastAsia="en-AU"/>
        </w:rPr>
        <w:t xml:space="preserve"> exploration of </w:t>
      </w:r>
      <w:r w:rsidR="0019572C">
        <w:rPr>
          <w:lang w:eastAsia="en-AU"/>
        </w:rPr>
        <w:t>program</w:t>
      </w:r>
      <w:r w:rsidR="007707DF">
        <w:rPr>
          <w:lang w:eastAsia="en-AU"/>
        </w:rPr>
        <w:t xml:space="preserve"> outcomes to date, and learnings from other institutions.</w:t>
      </w:r>
    </w:p>
    <w:p w14:paraId="3EA8DA7F" w14:textId="77777777" w:rsidR="00636F45" w:rsidRPr="00636F45" w:rsidRDefault="00CB0A20" w:rsidP="00636F45">
      <w:pPr>
        <w:keepNext/>
      </w:pPr>
      <w:r>
        <w:rPr>
          <w:lang w:eastAsia="en-AU"/>
        </w:rPr>
        <w:t>As a result of preparing and/or listening to these case study presentations, participants identified common program designs, impacts</w:t>
      </w:r>
      <w:r w:rsidR="00DA156C">
        <w:rPr>
          <w:lang w:eastAsia="en-AU"/>
        </w:rPr>
        <w:t>,</w:t>
      </w:r>
      <w:r>
        <w:rPr>
          <w:lang w:eastAsia="en-AU"/>
        </w:rPr>
        <w:t xml:space="preserve"> and challenges and identified opportunities to further strengthen their own programs and evaluation capability, as summarised in </w:t>
      </w:r>
      <w:r w:rsidRPr="00833C6D">
        <w:rPr>
          <w:lang w:eastAsia="en-AU"/>
        </w:rPr>
        <w:fldChar w:fldCharType="begin"/>
      </w:r>
      <w:r w:rsidRPr="00833C6D">
        <w:rPr>
          <w:lang w:eastAsia="en-AU"/>
        </w:rPr>
        <w:instrText xml:space="preserve"> REF _Ref213325034 \h  \* MERGEFORMAT </w:instrText>
      </w:r>
      <w:r w:rsidRPr="00833C6D">
        <w:rPr>
          <w:lang w:eastAsia="en-AU"/>
        </w:rPr>
      </w:r>
      <w:r w:rsidRPr="00833C6D">
        <w:rPr>
          <w:lang w:eastAsia="en-AU"/>
        </w:rPr>
        <w:fldChar w:fldCharType="separate"/>
      </w:r>
      <w:r w:rsidR="00636F45" w:rsidRPr="00636F45">
        <w:br w:type="page"/>
      </w:r>
    </w:p>
    <w:p w14:paraId="029EFB90" w14:textId="30EEE3CC" w:rsidR="00CB0A20" w:rsidRDefault="00636F45" w:rsidP="00CB0A20">
      <w:pPr>
        <w:keepNext/>
        <w:rPr>
          <w:lang w:eastAsia="en-AU"/>
        </w:rPr>
      </w:pPr>
      <w:r w:rsidRPr="00144C15">
        <w:rPr>
          <w:noProof/>
        </w:rPr>
        <w:lastRenderedPageBreak/>
        <w:t>Table</w:t>
      </w:r>
      <w:r w:rsidRPr="00144C15">
        <w:t xml:space="preserve"> </w:t>
      </w:r>
      <w:r>
        <w:rPr>
          <w:noProof/>
        </w:rPr>
        <w:t>1</w:t>
      </w:r>
      <w:r w:rsidR="00CB0A20" w:rsidRPr="00833C6D">
        <w:rPr>
          <w:lang w:eastAsia="en-AU"/>
        </w:rPr>
        <w:fldChar w:fldCharType="end"/>
      </w:r>
      <w:r w:rsidR="00CB0A20">
        <w:rPr>
          <w:lang w:eastAsia="en-AU"/>
        </w:rPr>
        <w:t xml:space="preserve"> (see page 5). Participants also shared common challenges in relation to evaluation data more broadly,</w:t>
      </w:r>
      <w:r w:rsidR="00CB0A20" w:rsidRPr="00355BC7">
        <w:t xml:space="preserve"> </w:t>
      </w:r>
      <w:r w:rsidR="00CB0A20">
        <w:rPr>
          <w:lang w:eastAsia="en-AU"/>
        </w:rPr>
        <w:t>including having access to the right data; data quality, completeness</w:t>
      </w:r>
      <w:r w:rsidR="00DA156C">
        <w:rPr>
          <w:lang w:eastAsia="en-AU"/>
        </w:rPr>
        <w:t>,</w:t>
      </w:r>
      <w:r w:rsidR="00CB0A20">
        <w:rPr>
          <w:lang w:eastAsia="en-AU"/>
        </w:rPr>
        <w:t xml:space="preserve"> and consistency; disconnected systems; and establishing baselines for complex programs incorporating disparate activities, diverse ownership</w:t>
      </w:r>
      <w:r w:rsidR="00DA156C">
        <w:rPr>
          <w:lang w:eastAsia="en-AU"/>
        </w:rPr>
        <w:t>,</w:t>
      </w:r>
      <w:r w:rsidR="00CB0A20">
        <w:rPr>
          <w:lang w:eastAsia="en-AU"/>
        </w:rPr>
        <w:t xml:space="preserve"> and siloed evolution.</w:t>
      </w:r>
    </w:p>
    <w:p w14:paraId="28256F4C" w14:textId="77777777" w:rsidR="00CB0A20" w:rsidRDefault="00CB0A20" w:rsidP="00CB0A20">
      <w:pPr>
        <w:keepNext/>
        <w:rPr>
          <w:lang w:eastAsia="en-AU"/>
        </w:rPr>
      </w:pPr>
      <w:r>
        <w:rPr>
          <w:lang w:eastAsia="en-AU"/>
        </w:rPr>
        <w:t xml:space="preserve">Copies of all workshop slides and facilitator notes, as well as recordings of all case study presentations are provided in </w:t>
      </w:r>
      <w:r w:rsidRPr="00EF4CF5">
        <w:rPr>
          <w:lang w:eastAsia="en-AU"/>
        </w:rPr>
        <w:t xml:space="preserve">Appendix </w:t>
      </w:r>
      <w:r>
        <w:rPr>
          <w:lang w:eastAsia="en-AU"/>
        </w:rPr>
        <w:t>B and C. These offer further opportunity to extend the evaluation capability of other equity practitioners and evaluators.</w:t>
      </w:r>
    </w:p>
    <w:p w14:paraId="3B96CBF4" w14:textId="7D50A659" w:rsidR="00DA156C" w:rsidRPr="00144C15" w:rsidRDefault="00DA156C" w:rsidP="00DA156C">
      <w:pPr>
        <w:pStyle w:val="Caption"/>
        <w:rPr>
          <w:sz w:val="22"/>
          <w:szCs w:val="22"/>
        </w:rPr>
      </w:pPr>
      <w:bookmarkStart w:id="10" w:name="_Ref213235652"/>
      <w:r w:rsidRPr="00144C15">
        <w:rPr>
          <w:noProof/>
          <w:sz w:val="22"/>
          <w:szCs w:val="22"/>
        </w:rPr>
        <w:drawing>
          <wp:anchor distT="0" distB="0" distL="114300" distR="114300" simplePos="0" relativeHeight="251659264" behindDoc="0" locked="0" layoutInCell="1" allowOverlap="1" wp14:anchorId="3D2C6540" wp14:editId="37E6089F">
            <wp:simplePos x="0" y="0"/>
            <wp:positionH relativeFrom="margin">
              <wp:align>left</wp:align>
            </wp:positionH>
            <wp:positionV relativeFrom="paragraph">
              <wp:posOffset>480890</wp:posOffset>
            </wp:positionV>
            <wp:extent cx="5758386" cy="2781300"/>
            <wp:effectExtent l="0" t="0" r="0" b="0"/>
            <wp:wrapSquare wrapText="bothSides"/>
            <wp:docPr id="6" name="ClipboardAsImage" descr="Diagram of a program logic model for a WIL Support Scheme outlining resources, activities, outputs, short-term outcomes, and primary outcomes. It highlights funding sources, student support workshops, financial aid distribution to students, and goals like enhanced course completion, improved student capacity, and increased participation and reten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lipboardAsImage" descr="Diagram of a program logic model for a WIL Support Scheme outlining resources, activities, outputs, short-term outcomes, and primary outcomes. It highlights funding sources, student support workshops, financial aid distribution to students, and goals like enhanced course completion, improved student capacity, and increased participation and retention.">
                      <a:extLst>
                        <a:ext uri="{C183D7F6-B498-43B3-948B-1728B52AA6E4}">
                          <adec:decorative xmlns:adec="http://schemas.microsoft.com/office/drawing/2017/decorative" val="0"/>
                        </a:ext>
                      </a:extLst>
                    </pic:cNvPr>
                    <pic:cNvPicPr>
                      <a:picLocks noChangeAspect="1" noChangeArrowheads="1"/>
                    </pic:cNvPicPr>
                  </pic:nvPicPr>
                  <pic:blipFill rotWithShape="1">
                    <a:blip r:embed="rId16">
                      <a:extLst>
                        <a:ext uri="{28A0092B-C50C-407E-A947-70E740481C1C}">
                          <a14:useLocalDpi xmlns:a14="http://schemas.microsoft.com/office/drawing/2010/main" val="0"/>
                        </a:ext>
                      </a:extLst>
                    </a:blip>
                    <a:srcRect t="7056" b="7077"/>
                    <a:stretch>
                      <a:fillRect/>
                    </a:stretch>
                  </pic:blipFill>
                  <pic:spPr bwMode="auto">
                    <a:xfrm>
                      <a:off x="0" y="0"/>
                      <a:ext cx="5758386" cy="2781300"/>
                    </a:xfrm>
                    <a:prstGeom prst="rect">
                      <a:avLst/>
                    </a:prstGeom>
                    <a:noFill/>
                    <a:ln>
                      <a:noFill/>
                    </a:ln>
                    <a:extLst>
                      <a:ext uri="{53640926-AAD7-44D8-BBD7-CCE9431645EC}">
                        <a14:shadowObscured xmlns:a14="http://schemas.microsoft.com/office/drawing/2010/main"/>
                      </a:ext>
                    </a:extLst>
                  </pic:spPr>
                </pic:pic>
              </a:graphicData>
            </a:graphic>
          </wp:anchor>
        </w:drawing>
      </w:r>
      <w:r w:rsidRPr="00144C15">
        <w:rPr>
          <w:sz w:val="22"/>
          <w:szCs w:val="22"/>
        </w:rPr>
        <w:t xml:space="preserve">Figure </w:t>
      </w:r>
      <w:r w:rsidRPr="00144C15">
        <w:rPr>
          <w:sz w:val="22"/>
          <w:szCs w:val="22"/>
        </w:rPr>
        <w:fldChar w:fldCharType="begin"/>
      </w:r>
      <w:r w:rsidRPr="00144C15">
        <w:rPr>
          <w:sz w:val="22"/>
          <w:szCs w:val="22"/>
        </w:rPr>
        <w:instrText xml:space="preserve"> SEQ Figure \* ARABIC </w:instrText>
      </w:r>
      <w:r w:rsidRPr="00144C15">
        <w:rPr>
          <w:sz w:val="22"/>
          <w:szCs w:val="22"/>
        </w:rPr>
        <w:fldChar w:fldCharType="separate"/>
      </w:r>
      <w:r w:rsidR="00636F45">
        <w:rPr>
          <w:noProof/>
          <w:sz w:val="22"/>
          <w:szCs w:val="22"/>
        </w:rPr>
        <w:t>1</w:t>
      </w:r>
      <w:r w:rsidRPr="00144C15">
        <w:rPr>
          <w:noProof/>
          <w:sz w:val="22"/>
          <w:szCs w:val="22"/>
        </w:rPr>
        <w:fldChar w:fldCharType="end"/>
      </w:r>
      <w:bookmarkEnd w:id="10"/>
      <w:r w:rsidR="00745FFB">
        <w:rPr>
          <w:sz w:val="22"/>
          <w:szCs w:val="22"/>
        </w:rPr>
        <w:t>:</w:t>
      </w:r>
      <w:r w:rsidRPr="00144C15">
        <w:rPr>
          <w:sz w:val="22"/>
          <w:szCs w:val="22"/>
        </w:rPr>
        <w:t xml:space="preserve"> Example Program Logic Model, prepared by University of Canberra representatives for their case study on WIL Bursaries.</w:t>
      </w:r>
    </w:p>
    <w:p w14:paraId="52FDA1F9" w14:textId="77777777" w:rsidR="00745FFB" w:rsidRDefault="00745FFB" w:rsidP="00DA156C">
      <w:pPr>
        <w:pStyle w:val="Caption"/>
      </w:pPr>
    </w:p>
    <w:p w14:paraId="043ABF9B" w14:textId="77777777" w:rsidR="00DA156C" w:rsidRPr="00DA156C" w:rsidRDefault="00DA156C" w:rsidP="00144C15"/>
    <w:p w14:paraId="74804E97" w14:textId="23F25358" w:rsidR="00C67FA2" w:rsidRDefault="00DA156C" w:rsidP="00144C15">
      <w:pPr>
        <w:pStyle w:val="Caption"/>
      </w:pPr>
      <w:r w:rsidRPr="00144C15">
        <w:rPr>
          <w:sz w:val="22"/>
          <w:szCs w:val="22"/>
        </w:rPr>
        <w:t xml:space="preserve">Figure </w:t>
      </w:r>
      <w:r w:rsidRPr="00144C15">
        <w:rPr>
          <w:sz w:val="22"/>
          <w:szCs w:val="22"/>
        </w:rPr>
        <w:fldChar w:fldCharType="begin"/>
      </w:r>
      <w:r w:rsidRPr="00144C15">
        <w:rPr>
          <w:sz w:val="22"/>
          <w:szCs w:val="22"/>
        </w:rPr>
        <w:instrText xml:space="preserve"> SEQ Figure \* ARABIC </w:instrText>
      </w:r>
      <w:r w:rsidRPr="00144C15">
        <w:rPr>
          <w:sz w:val="22"/>
          <w:szCs w:val="22"/>
        </w:rPr>
        <w:fldChar w:fldCharType="separate"/>
      </w:r>
      <w:r w:rsidR="00636F45">
        <w:rPr>
          <w:noProof/>
          <w:sz w:val="22"/>
          <w:szCs w:val="22"/>
        </w:rPr>
        <w:t>2</w:t>
      </w:r>
      <w:r w:rsidRPr="00144C15">
        <w:rPr>
          <w:noProof/>
          <w:sz w:val="22"/>
          <w:szCs w:val="22"/>
        </w:rPr>
        <w:fldChar w:fldCharType="end"/>
      </w:r>
      <w:r w:rsidR="00745FFB" w:rsidRPr="00144C15">
        <w:rPr>
          <w:sz w:val="28"/>
          <w:szCs w:val="28"/>
        </w:rPr>
        <w:t>:</w:t>
      </w:r>
      <w:r w:rsidRPr="00144C15">
        <w:rPr>
          <w:sz w:val="22"/>
          <w:szCs w:val="22"/>
        </w:rPr>
        <w:t xml:space="preserve"> Insights, learnings and opportunities shared by representatives from Griffith University, as part of their case study presentation on WIL Bursaries.</w:t>
      </w:r>
    </w:p>
    <w:p w14:paraId="3847B336" w14:textId="6EF808B0" w:rsidR="00184634" w:rsidRDefault="00184634" w:rsidP="001D34EB">
      <w:r w:rsidRPr="00AE4400">
        <w:t> </w:t>
      </w:r>
      <w:r w:rsidRPr="00184634">
        <w:rPr>
          <w:noProof/>
          <w:lang w:eastAsia="en-AU"/>
        </w:rPr>
        <w:drawing>
          <wp:inline distT="0" distB="0" distL="0" distR="0" wp14:anchorId="65781095" wp14:editId="2FA5A99D">
            <wp:extent cx="5293360" cy="2977442"/>
            <wp:effectExtent l="0" t="0" r="2540" b="0"/>
            <wp:docPr id="866192266" name="Picture 3" descr="Screenshot of a presentation slide titled &quot;Insights, Learnings &amp; Opportunities&quot; summarizing insights from a case-study evaluation of a WIL bursary. Key points include recipient appreciation of bursary value, significant improvements in student success rates but no retention impact; with future suggestions listed including developing surveys and further exploring bursary upt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192266" name="Picture 3" descr="Screenshot of a presentation slide titled &quot;Insights, Learnings &amp; Opportunities&quot; summarizing insights from a case-study evaluation of a WIL bursary. Key points include recipient appreciation of bursary value, significant improvements in student success rates but no retention impact; with future suggestions listed including developing surveys and further exploring bursary uptak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06216" cy="2984673"/>
                    </a:xfrm>
                    <a:prstGeom prst="rect">
                      <a:avLst/>
                    </a:prstGeom>
                    <a:noFill/>
                    <a:ln>
                      <a:noFill/>
                    </a:ln>
                  </pic:spPr>
                </pic:pic>
              </a:graphicData>
            </a:graphic>
          </wp:inline>
        </w:drawing>
      </w:r>
    </w:p>
    <w:p w14:paraId="3F2568B2" w14:textId="77777777" w:rsidR="00CB0A20" w:rsidRDefault="00CB0A20" w:rsidP="00CB0A20">
      <w:pPr>
        <w:pStyle w:val="Heading2"/>
      </w:pPr>
      <w:r>
        <w:lastRenderedPageBreak/>
        <w:t>2026 Impact Evaluation Plan</w:t>
      </w:r>
    </w:p>
    <w:p w14:paraId="192E50FA" w14:textId="6A04F346" w:rsidR="00CB0A20" w:rsidRDefault="00CB0A20" w:rsidP="00CB0A20">
      <w:pPr>
        <w:rPr>
          <w:lang w:val="en-US" w:eastAsia="en-AU"/>
        </w:rPr>
      </w:pPr>
      <w:r w:rsidRPr="2D208B8F">
        <w:rPr>
          <w:lang w:eastAsia="en-AU"/>
        </w:rPr>
        <w:t xml:space="preserve">At the final workshop, participants identified the opportunity to conduct an impact evaluation on </w:t>
      </w:r>
      <w:proofErr w:type="spellStart"/>
      <w:r w:rsidRPr="2D208B8F">
        <w:rPr>
          <w:lang w:eastAsia="en-AU"/>
        </w:rPr>
        <w:t>i</w:t>
      </w:r>
      <w:r w:rsidRPr="2D208B8F">
        <w:rPr>
          <w:lang w:val="en-US" w:eastAsia="en-AU"/>
        </w:rPr>
        <w:t>ndividualised</w:t>
      </w:r>
      <w:proofErr w:type="spellEnd"/>
      <w:r w:rsidRPr="2D208B8F">
        <w:rPr>
          <w:lang w:val="en-US" w:eastAsia="en-AU"/>
        </w:rPr>
        <w:t xml:space="preserve"> learning support as a common academic advisory activity across all institutions. A pilot </w:t>
      </w:r>
      <w:proofErr w:type="spellStart"/>
      <w:r w:rsidRPr="2D208B8F">
        <w:rPr>
          <w:lang w:val="en-US" w:eastAsia="en-AU"/>
        </w:rPr>
        <w:t>Randomised</w:t>
      </w:r>
      <w:proofErr w:type="spellEnd"/>
      <w:r w:rsidRPr="2D208B8F">
        <w:rPr>
          <w:lang w:val="en-US" w:eastAsia="en-AU"/>
        </w:rPr>
        <w:t xml:space="preserve"> Encouragement Trial was selected as a suitable approach, involving commencing students (teaching period 1/2026) from </w:t>
      </w:r>
      <w:r w:rsidR="005C685F">
        <w:rPr>
          <w:lang w:val="en-US" w:eastAsia="en-AU"/>
        </w:rPr>
        <w:t>low socio-economic status (</w:t>
      </w:r>
      <w:r w:rsidRPr="2D208B8F">
        <w:rPr>
          <w:lang w:val="en-US" w:eastAsia="en-AU"/>
        </w:rPr>
        <w:t>LSES</w:t>
      </w:r>
      <w:r w:rsidR="005C685F">
        <w:rPr>
          <w:lang w:val="en-US" w:eastAsia="en-AU"/>
        </w:rPr>
        <w:t>)</w:t>
      </w:r>
      <w:r w:rsidRPr="2D208B8F">
        <w:rPr>
          <w:lang w:val="en-US" w:eastAsia="en-AU"/>
        </w:rPr>
        <w:t xml:space="preserve"> background with lower ATAR (</w:t>
      </w:r>
      <w:r>
        <w:rPr>
          <w:lang w:val="en-US" w:eastAsia="en-AU"/>
        </w:rPr>
        <w:t>&lt;</w:t>
      </w:r>
      <w:r w:rsidRPr="2D208B8F">
        <w:rPr>
          <w:lang w:val="en-US" w:eastAsia="en-AU"/>
        </w:rPr>
        <w:t>80) or an alternative pathway as their basis of admission</w:t>
      </w:r>
      <w:r w:rsidR="00DA156C">
        <w:rPr>
          <w:lang w:val="en-US" w:eastAsia="en-AU"/>
        </w:rPr>
        <w:t>,</w:t>
      </w:r>
      <w:r w:rsidRPr="2D208B8F">
        <w:rPr>
          <w:lang w:val="en-US" w:eastAsia="en-AU"/>
        </w:rPr>
        <w:t xml:space="preserve"> with the possibility of a second pilot in teaching period 2/2026.</w:t>
      </w:r>
      <w:r w:rsidRPr="2D208B8F">
        <w:rPr>
          <w:lang w:eastAsia="en-AU"/>
        </w:rPr>
        <w:t xml:space="preserve"> A focused e</w:t>
      </w:r>
      <w:r w:rsidRPr="2D208B8F">
        <w:rPr>
          <w:lang w:val="en-US" w:eastAsia="en-AU"/>
        </w:rPr>
        <w:t xml:space="preserve">valuation question was proposed with guidance from the ACSES representative: </w:t>
      </w:r>
    </w:p>
    <w:p w14:paraId="20E55845" w14:textId="48ACD9DE" w:rsidR="00CB0A20" w:rsidRPr="00144C15" w:rsidRDefault="00CB0A20" w:rsidP="00144C15">
      <w:pPr>
        <w:ind w:left="720"/>
        <w:rPr>
          <w:lang w:eastAsia="en-AU"/>
        </w:rPr>
      </w:pPr>
      <w:r w:rsidRPr="00144C15">
        <w:rPr>
          <w:lang w:val="en-US" w:eastAsia="en-AU"/>
        </w:rPr>
        <w:t xml:space="preserve">To what extent does </w:t>
      </w:r>
      <w:proofErr w:type="spellStart"/>
      <w:proofErr w:type="gramStart"/>
      <w:r w:rsidRPr="00144C15">
        <w:rPr>
          <w:lang w:val="en-US" w:eastAsia="en-AU"/>
        </w:rPr>
        <w:t>individualised</w:t>
      </w:r>
      <w:proofErr w:type="spellEnd"/>
      <w:proofErr w:type="gramEnd"/>
      <w:r w:rsidRPr="00144C15">
        <w:rPr>
          <w:lang w:val="en-US" w:eastAsia="en-AU"/>
        </w:rPr>
        <w:t xml:space="preserve"> learning support impact subject/unit pass rates of LSES first year students?</w:t>
      </w:r>
    </w:p>
    <w:p w14:paraId="54E95940" w14:textId="57E7E654" w:rsidR="00CB0A20" w:rsidRDefault="00CB0A20" w:rsidP="00144C15">
      <w:pPr>
        <w:rPr>
          <w:lang w:eastAsia="en-AU"/>
        </w:rPr>
      </w:pPr>
      <w:r w:rsidRPr="1EE29F5F">
        <w:rPr>
          <w:lang w:eastAsia="en-AU"/>
        </w:rPr>
        <w:t>Griffith University’s Dr Ruth Kamrowski agreed to lead the next phase of work. A collaborative working group has been established, involving Prof Michelle Picard (Flinders), Dr Nick Emtage (JCU), Jay Glasier (La Trobe),</w:t>
      </w:r>
      <w:r w:rsidR="00DA156C">
        <w:rPr>
          <w:lang w:eastAsia="en-AU"/>
        </w:rPr>
        <w:t xml:space="preserve"> and</w:t>
      </w:r>
      <w:r w:rsidRPr="1EE29F5F">
        <w:rPr>
          <w:lang w:eastAsia="en-AU"/>
        </w:rPr>
        <w:t xml:space="preserve"> Dr Lara Drew (UC), with the first meeting scheduled for 7 November, and preliminary advice regarding experimental design already sought from ACSES. The opportunity to be involved will also be extended to remaining IRU members.</w:t>
      </w:r>
    </w:p>
    <w:p w14:paraId="7692C4C9" w14:textId="77777777" w:rsidR="00DA156C" w:rsidRDefault="00DA156C">
      <w:pPr>
        <w:spacing w:line="259" w:lineRule="auto"/>
        <w:rPr>
          <w:b/>
          <w:bCs/>
          <w:color w:val="351C26" w:themeColor="text2"/>
        </w:rPr>
      </w:pPr>
      <w:bookmarkStart w:id="11" w:name="_Ref213325034"/>
      <w:r>
        <w:rPr>
          <w:b/>
          <w:bCs/>
          <w:i/>
          <w:iCs/>
        </w:rPr>
        <w:br w:type="page"/>
      </w:r>
    </w:p>
    <w:p w14:paraId="0D71D7FA" w14:textId="757D2B2D" w:rsidR="0030105C" w:rsidRPr="00144C15" w:rsidRDefault="0030105C" w:rsidP="0030105C">
      <w:pPr>
        <w:pStyle w:val="Caption"/>
        <w:keepNext/>
        <w:rPr>
          <w:sz w:val="22"/>
          <w:szCs w:val="22"/>
        </w:rPr>
      </w:pPr>
      <w:r w:rsidRPr="00144C15">
        <w:rPr>
          <w:sz w:val="22"/>
          <w:szCs w:val="22"/>
        </w:rPr>
        <w:lastRenderedPageBreak/>
        <w:t xml:space="preserve">Table </w:t>
      </w:r>
      <w:r w:rsidRPr="00144C15">
        <w:rPr>
          <w:sz w:val="22"/>
          <w:szCs w:val="22"/>
        </w:rPr>
        <w:fldChar w:fldCharType="begin"/>
      </w:r>
      <w:r w:rsidRPr="00144C15">
        <w:rPr>
          <w:sz w:val="22"/>
          <w:szCs w:val="22"/>
        </w:rPr>
        <w:instrText xml:space="preserve"> SEQ Table \* ARABIC </w:instrText>
      </w:r>
      <w:r w:rsidRPr="00144C15">
        <w:rPr>
          <w:sz w:val="22"/>
          <w:szCs w:val="22"/>
        </w:rPr>
        <w:fldChar w:fldCharType="separate"/>
      </w:r>
      <w:r w:rsidR="00636F45">
        <w:rPr>
          <w:noProof/>
          <w:sz w:val="22"/>
          <w:szCs w:val="22"/>
        </w:rPr>
        <w:t>1</w:t>
      </w:r>
      <w:r w:rsidRPr="00144C15">
        <w:rPr>
          <w:sz w:val="22"/>
          <w:szCs w:val="22"/>
        </w:rPr>
        <w:fldChar w:fldCharType="end"/>
      </w:r>
      <w:bookmarkEnd w:id="11"/>
      <w:r w:rsidRPr="00144C15">
        <w:rPr>
          <w:sz w:val="22"/>
          <w:szCs w:val="22"/>
        </w:rPr>
        <w:t xml:space="preserve">: Key Insights </w:t>
      </w:r>
      <w:r w:rsidR="00833C6D" w:rsidRPr="00144C15">
        <w:rPr>
          <w:sz w:val="22"/>
          <w:szCs w:val="22"/>
        </w:rPr>
        <w:t>f</w:t>
      </w:r>
      <w:r w:rsidRPr="00144C15">
        <w:rPr>
          <w:sz w:val="22"/>
          <w:szCs w:val="22"/>
        </w:rPr>
        <w:t>rom Case Stud</w:t>
      </w:r>
      <w:r w:rsidR="00833C6D" w:rsidRPr="00144C15">
        <w:rPr>
          <w:sz w:val="22"/>
          <w:szCs w:val="22"/>
        </w:rPr>
        <w:t>y Exploration</w:t>
      </w:r>
    </w:p>
    <w:tbl>
      <w:tblPr>
        <w:tblStyle w:val="ACSEStable"/>
        <w:tblW w:w="9175" w:type="dxa"/>
        <w:tblLook w:val="04A0" w:firstRow="1" w:lastRow="0" w:firstColumn="1" w:lastColumn="0" w:noHBand="0" w:noVBand="1"/>
      </w:tblPr>
      <w:tblGrid>
        <w:gridCol w:w="1650"/>
        <w:gridCol w:w="3774"/>
        <w:gridCol w:w="3751"/>
      </w:tblGrid>
      <w:tr w:rsidR="006C27BF" w:rsidRPr="006C27BF" w14:paraId="42419D22" w14:textId="77777777" w:rsidTr="00CD4BC4">
        <w:trPr>
          <w:cnfStyle w:val="100000000000" w:firstRow="1" w:lastRow="0" w:firstColumn="0" w:lastColumn="0" w:oddVBand="0" w:evenVBand="0" w:oddHBand="0" w:evenHBand="0" w:firstRowFirstColumn="0" w:firstRowLastColumn="0" w:lastRowFirstColumn="0" w:lastRowLastColumn="0"/>
          <w:trHeight w:val="221"/>
          <w:tblHeader/>
        </w:trPr>
        <w:tc>
          <w:tcPr>
            <w:tcW w:w="1465" w:type="dxa"/>
            <w:shd w:val="clear" w:color="auto" w:fill="78DED9" w:themeFill="accent1"/>
            <w:hideMark/>
          </w:tcPr>
          <w:p w14:paraId="7C3EE4BE" w14:textId="77777777" w:rsidR="00653D90" w:rsidRPr="00653D90" w:rsidRDefault="00653D90" w:rsidP="006C27BF">
            <w:pPr>
              <w:spacing w:before="120" w:after="120" w:line="240" w:lineRule="auto"/>
              <w:jc w:val="center"/>
              <w:rPr>
                <w:color w:val="EDF9F8" w:themeColor="accent6" w:themeTint="33"/>
                <w:lang w:eastAsia="en-AU"/>
              </w:rPr>
            </w:pPr>
          </w:p>
        </w:tc>
        <w:tc>
          <w:tcPr>
            <w:tcW w:w="3855" w:type="dxa"/>
            <w:shd w:val="clear" w:color="auto" w:fill="78DED9" w:themeFill="accent1"/>
            <w:hideMark/>
          </w:tcPr>
          <w:p w14:paraId="13DA3E2B" w14:textId="25E1B71A" w:rsidR="00653D90" w:rsidRPr="00144C15" w:rsidRDefault="00653D90" w:rsidP="006C27BF">
            <w:pPr>
              <w:spacing w:before="120" w:after="120" w:line="240" w:lineRule="auto"/>
              <w:jc w:val="center"/>
              <w:rPr>
                <w:lang w:eastAsia="en-AU"/>
              </w:rPr>
            </w:pPr>
            <w:r w:rsidRPr="00144C15">
              <w:rPr>
                <w:bCs/>
                <w:lang w:eastAsia="en-AU"/>
              </w:rPr>
              <w:t>WIL Bursaries</w:t>
            </w:r>
          </w:p>
        </w:tc>
        <w:tc>
          <w:tcPr>
            <w:tcW w:w="3855" w:type="dxa"/>
            <w:shd w:val="clear" w:color="auto" w:fill="78DED9" w:themeFill="accent1"/>
            <w:hideMark/>
          </w:tcPr>
          <w:p w14:paraId="368FB5E3" w14:textId="562EDAA2" w:rsidR="00653D90" w:rsidRPr="00144C15" w:rsidRDefault="00653D90" w:rsidP="006C27BF">
            <w:pPr>
              <w:spacing w:before="120" w:after="120" w:line="240" w:lineRule="auto"/>
              <w:jc w:val="center"/>
              <w:rPr>
                <w:lang w:eastAsia="en-AU"/>
              </w:rPr>
            </w:pPr>
            <w:r w:rsidRPr="00144C15">
              <w:rPr>
                <w:bCs/>
                <w:lang w:eastAsia="en-AU"/>
              </w:rPr>
              <w:t xml:space="preserve">Academic </w:t>
            </w:r>
            <w:r w:rsidR="00DA156C" w:rsidRPr="00144C15">
              <w:rPr>
                <w:bCs/>
                <w:lang w:eastAsia="en-AU"/>
              </w:rPr>
              <w:t>a</w:t>
            </w:r>
            <w:r w:rsidRPr="00144C15">
              <w:rPr>
                <w:bCs/>
                <w:lang w:eastAsia="en-AU"/>
              </w:rPr>
              <w:t>dvising</w:t>
            </w:r>
          </w:p>
        </w:tc>
      </w:tr>
      <w:tr w:rsidR="0017561A" w:rsidRPr="00653D90" w14:paraId="46882414" w14:textId="77777777" w:rsidTr="004F2B96">
        <w:trPr>
          <w:trHeight w:val="1630"/>
        </w:trPr>
        <w:tc>
          <w:tcPr>
            <w:tcW w:w="1465" w:type="dxa"/>
            <w:tcBorders>
              <w:bottom w:val="single" w:sz="4" w:space="0" w:color="auto"/>
            </w:tcBorders>
            <w:hideMark/>
          </w:tcPr>
          <w:p w14:paraId="056EA474" w14:textId="77777777" w:rsidR="0017561A" w:rsidRDefault="00732BCF" w:rsidP="005178E8">
            <w:pPr>
              <w:spacing w:before="120" w:line="240" w:lineRule="auto"/>
              <w:rPr>
                <w:b/>
                <w:bCs/>
                <w:color w:val="351C26" w:themeColor="text2"/>
                <w:sz w:val="20"/>
                <w:szCs w:val="20"/>
                <w:lang w:eastAsia="en-AU"/>
              </w:rPr>
            </w:pPr>
            <w:r w:rsidRPr="00CF1FB5">
              <w:rPr>
                <w:noProof/>
                <w:color w:val="351C26" w:themeColor="text2"/>
                <w:sz w:val="20"/>
                <w:szCs w:val="20"/>
                <w:lang w:eastAsia="en-AU"/>
              </w:rPr>
              <w:drawing>
                <wp:inline distT="0" distB="0" distL="0" distR="0" wp14:anchorId="2AD61982" wp14:editId="7F704873">
                  <wp:extent cx="540000" cy="540000"/>
                  <wp:effectExtent l="0" t="0" r="0" b="0"/>
                  <wp:docPr id="248817204" name="Graphic 3" descr="Illustrato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817204" name="Graphic 248817204" descr="Illustrator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540000" cy="540000"/>
                          </a:xfrm>
                          <a:prstGeom prst="rect">
                            <a:avLst/>
                          </a:prstGeom>
                        </pic:spPr>
                      </pic:pic>
                    </a:graphicData>
                  </a:graphic>
                </wp:inline>
              </w:drawing>
            </w:r>
          </w:p>
          <w:p w14:paraId="6A35E8C2" w14:textId="66DB4839" w:rsidR="00F0296B" w:rsidRPr="00653D90" w:rsidRDefault="00653D90" w:rsidP="005178E8">
            <w:pPr>
              <w:spacing w:before="120" w:line="240" w:lineRule="auto"/>
              <w:rPr>
                <w:color w:val="351C26" w:themeColor="text2"/>
                <w:sz w:val="20"/>
                <w:szCs w:val="20"/>
                <w:lang w:eastAsia="en-AU"/>
              </w:rPr>
            </w:pPr>
            <w:r w:rsidRPr="00653D90">
              <w:rPr>
                <w:b/>
                <w:bCs/>
                <w:color w:val="351C26" w:themeColor="text2"/>
                <w:sz w:val="20"/>
                <w:szCs w:val="20"/>
                <w:lang w:eastAsia="en-AU"/>
              </w:rPr>
              <w:t>Design Commonalities</w:t>
            </w:r>
          </w:p>
        </w:tc>
        <w:tc>
          <w:tcPr>
            <w:tcW w:w="3855" w:type="dxa"/>
            <w:tcBorders>
              <w:bottom w:val="single" w:sz="4" w:space="0" w:color="auto"/>
            </w:tcBorders>
            <w:hideMark/>
          </w:tcPr>
          <w:p w14:paraId="312F384A" w14:textId="35085E7A" w:rsidR="00653D90" w:rsidRPr="00653D90" w:rsidRDefault="00653D90" w:rsidP="00392AE7">
            <w:pPr>
              <w:numPr>
                <w:ilvl w:val="0"/>
                <w:numId w:val="29"/>
              </w:numPr>
              <w:tabs>
                <w:tab w:val="clear" w:pos="720"/>
                <w:tab w:val="num" w:pos="499"/>
              </w:tabs>
              <w:spacing w:before="60" w:after="60" w:line="240" w:lineRule="auto"/>
              <w:ind w:left="514" w:hanging="357"/>
              <w:rPr>
                <w:sz w:val="20"/>
                <w:szCs w:val="20"/>
                <w:lang w:eastAsia="en-AU"/>
              </w:rPr>
            </w:pPr>
            <w:r w:rsidRPr="00653D90">
              <w:rPr>
                <w:sz w:val="20"/>
                <w:szCs w:val="20"/>
                <w:lang w:val="en-GB" w:eastAsia="en-AU"/>
              </w:rPr>
              <w:t xml:space="preserve">WIL Bursaries address heightened risk of placement poverty for LSES students </w:t>
            </w:r>
            <w:r w:rsidR="00DA156C">
              <w:rPr>
                <w:sz w:val="20"/>
                <w:szCs w:val="20"/>
                <w:lang w:val="en-GB" w:eastAsia="en-AU"/>
              </w:rPr>
              <w:t>and</w:t>
            </w:r>
            <w:r w:rsidRPr="00653D90">
              <w:rPr>
                <w:sz w:val="20"/>
                <w:szCs w:val="20"/>
                <w:lang w:val="en-GB" w:eastAsia="en-AU"/>
              </w:rPr>
              <w:t xml:space="preserve"> its impact on their wellbeing, retention </w:t>
            </w:r>
            <w:r w:rsidR="00DA156C">
              <w:rPr>
                <w:sz w:val="20"/>
                <w:szCs w:val="20"/>
                <w:lang w:val="en-GB" w:eastAsia="en-AU"/>
              </w:rPr>
              <w:t>and</w:t>
            </w:r>
            <w:r w:rsidRPr="00653D90">
              <w:rPr>
                <w:sz w:val="20"/>
                <w:szCs w:val="20"/>
                <w:lang w:val="en-GB" w:eastAsia="en-AU"/>
              </w:rPr>
              <w:t xml:space="preserve"> success by reducing financial burden </w:t>
            </w:r>
            <w:r w:rsidR="00DA156C">
              <w:rPr>
                <w:sz w:val="20"/>
                <w:szCs w:val="20"/>
                <w:lang w:val="en-GB" w:eastAsia="en-AU"/>
              </w:rPr>
              <w:t>and</w:t>
            </w:r>
            <w:r w:rsidRPr="00653D90">
              <w:rPr>
                <w:sz w:val="20"/>
                <w:szCs w:val="20"/>
                <w:lang w:val="en-GB" w:eastAsia="en-AU"/>
              </w:rPr>
              <w:t xml:space="preserve"> systemic barriers to participation in WIL.</w:t>
            </w:r>
          </w:p>
        </w:tc>
        <w:tc>
          <w:tcPr>
            <w:tcW w:w="3855" w:type="dxa"/>
            <w:tcBorders>
              <w:bottom w:val="single" w:sz="4" w:space="0" w:color="auto"/>
            </w:tcBorders>
            <w:hideMark/>
          </w:tcPr>
          <w:p w14:paraId="7B8F323D" w14:textId="77777777" w:rsidR="00653D90" w:rsidRPr="00653D90" w:rsidRDefault="00653D90" w:rsidP="00392AE7">
            <w:pPr>
              <w:numPr>
                <w:ilvl w:val="0"/>
                <w:numId w:val="29"/>
              </w:numPr>
              <w:tabs>
                <w:tab w:val="clear" w:pos="720"/>
                <w:tab w:val="num" w:pos="462"/>
              </w:tabs>
              <w:spacing w:before="60" w:after="60" w:line="240" w:lineRule="auto"/>
              <w:ind w:left="462" w:hanging="357"/>
              <w:rPr>
                <w:sz w:val="20"/>
                <w:szCs w:val="20"/>
                <w:lang w:eastAsia="en-AU"/>
              </w:rPr>
            </w:pPr>
            <w:r w:rsidRPr="00653D90">
              <w:rPr>
                <w:sz w:val="20"/>
                <w:szCs w:val="20"/>
                <w:lang w:val="en-GB" w:eastAsia="en-AU"/>
              </w:rPr>
              <w:t>Most programs involve similar types of activities (resources, assignment review, workshops, consultations, drop-in sessions).</w:t>
            </w:r>
          </w:p>
          <w:p w14:paraId="3F8759AD" w14:textId="77777777" w:rsidR="00653D90" w:rsidRPr="00653D90" w:rsidRDefault="00653D90" w:rsidP="00392AE7">
            <w:pPr>
              <w:numPr>
                <w:ilvl w:val="0"/>
                <w:numId w:val="29"/>
              </w:numPr>
              <w:tabs>
                <w:tab w:val="clear" w:pos="720"/>
                <w:tab w:val="num" w:pos="462"/>
              </w:tabs>
              <w:spacing w:before="60" w:after="60" w:line="240" w:lineRule="auto"/>
              <w:ind w:left="462" w:hanging="357"/>
              <w:rPr>
                <w:sz w:val="20"/>
                <w:szCs w:val="20"/>
                <w:lang w:eastAsia="en-AU"/>
              </w:rPr>
            </w:pPr>
            <w:r w:rsidRPr="00653D90">
              <w:rPr>
                <w:sz w:val="20"/>
                <w:szCs w:val="20"/>
                <w:lang w:val="en-GB" w:eastAsia="en-AU"/>
              </w:rPr>
              <w:t>All showcased programs are contextualised to the curriculum, which is understood to be a key success factor.</w:t>
            </w:r>
          </w:p>
        </w:tc>
      </w:tr>
      <w:tr w:rsidR="0017561A" w:rsidRPr="00653D90" w14:paraId="246D1DF0" w14:textId="77777777" w:rsidTr="00361198">
        <w:trPr>
          <w:trHeight w:val="338"/>
        </w:trPr>
        <w:tc>
          <w:tcPr>
            <w:tcW w:w="1465" w:type="dxa"/>
            <w:tcBorders>
              <w:top w:val="single" w:sz="4" w:space="0" w:color="auto"/>
              <w:bottom w:val="single" w:sz="4" w:space="0" w:color="auto"/>
            </w:tcBorders>
            <w:hideMark/>
          </w:tcPr>
          <w:p w14:paraId="6FDCF21F" w14:textId="523B492E" w:rsidR="00653D90" w:rsidRPr="00653D90" w:rsidRDefault="0081081A" w:rsidP="005178E8">
            <w:pPr>
              <w:spacing w:before="120" w:line="240" w:lineRule="auto"/>
              <w:rPr>
                <w:color w:val="351C26" w:themeColor="text2"/>
                <w:sz w:val="20"/>
                <w:szCs w:val="20"/>
                <w:lang w:eastAsia="en-AU"/>
              </w:rPr>
            </w:pPr>
            <w:r w:rsidRPr="00CF1FB5">
              <w:rPr>
                <w:b/>
                <w:bCs/>
                <w:noProof/>
                <w:color w:val="351C26" w:themeColor="text2"/>
                <w:sz w:val="20"/>
                <w:szCs w:val="20"/>
                <w:lang w:eastAsia="en-AU"/>
              </w:rPr>
              <w:drawing>
                <wp:inline distT="0" distB="0" distL="0" distR="0" wp14:anchorId="47734E44" wp14:editId="50A26A29">
                  <wp:extent cx="540000" cy="540000"/>
                  <wp:effectExtent l="0" t="0" r="0" b="0"/>
                  <wp:docPr id="230504596" name="Graphic 4" descr="Ripp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504596" name="Graphic 230504596" descr="Ripple with solid fill"/>
                          <pic:cNvPicPr/>
                        </pic:nvPicPr>
                        <pic:blipFill>
                          <a:blip r:embed="rId20">
                            <a:extLst>
                              <a:ext uri="{96DAC541-7B7A-43D3-8B79-37D633B846F1}">
                                <asvg:svgBlip xmlns:asvg="http://schemas.microsoft.com/office/drawing/2016/SVG/main" r:embed="rId21"/>
                              </a:ext>
                            </a:extLst>
                          </a:blip>
                          <a:stretch>
                            <a:fillRect/>
                          </a:stretch>
                        </pic:blipFill>
                        <pic:spPr>
                          <a:xfrm>
                            <a:off x="0" y="0"/>
                            <a:ext cx="540000" cy="540000"/>
                          </a:xfrm>
                          <a:prstGeom prst="rect">
                            <a:avLst/>
                          </a:prstGeom>
                        </pic:spPr>
                      </pic:pic>
                    </a:graphicData>
                  </a:graphic>
                </wp:inline>
              </w:drawing>
            </w:r>
            <w:r w:rsidR="00653D90" w:rsidRPr="00653D90">
              <w:rPr>
                <w:b/>
                <w:bCs/>
                <w:color w:val="351C26" w:themeColor="text2"/>
                <w:sz w:val="20"/>
                <w:szCs w:val="20"/>
                <w:lang w:eastAsia="en-AU"/>
              </w:rPr>
              <w:t>Consistent Impacts</w:t>
            </w:r>
          </w:p>
        </w:tc>
        <w:tc>
          <w:tcPr>
            <w:tcW w:w="3855" w:type="dxa"/>
            <w:tcBorders>
              <w:top w:val="single" w:sz="4" w:space="0" w:color="auto"/>
              <w:bottom w:val="single" w:sz="4" w:space="0" w:color="auto"/>
            </w:tcBorders>
            <w:hideMark/>
          </w:tcPr>
          <w:p w14:paraId="0A418DD2" w14:textId="3F292A4A" w:rsidR="00653D90" w:rsidRPr="00653D90" w:rsidRDefault="00653D90" w:rsidP="00392AE7">
            <w:pPr>
              <w:numPr>
                <w:ilvl w:val="0"/>
                <w:numId w:val="30"/>
              </w:numPr>
              <w:tabs>
                <w:tab w:val="clear" w:pos="720"/>
                <w:tab w:val="num" w:pos="499"/>
              </w:tabs>
              <w:spacing w:before="60" w:after="60" w:line="240" w:lineRule="auto"/>
              <w:ind w:left="514" w:hanging="357"/>
              <w:rPr>
                <w:sz w:val="20"/>
                <w:szCs w:val="20"/>
                <w:lang w:eastAsia="en-AU"/>
              </w:rPr>
            </w:pPr>
            <w:r w:rsidRPr="00653D90">
              <w:rPr>
                <w:sz w:val="20"/>
                <w:szCs w:val="20"/>
                <w:lang w:val="en-GB" w:eastAsia="en-AU"/>
              </w:rPr>
              <w:t>All showcased programs were associated with strong retention, academic success</w:t>
            </w:r>
            <w:r w:rsidR="00DA156C">
              <w:rPr>
                <w:sz w:val="20"/>
                <w:szCs w:val="20"/>
                <w:lang w:val="en-GB" w:eastAsia="en-AU"/>
              </w:rPr>
              <w:t>, and</w:t>
            </w:r>
            <w:r w:rsidRPr="00653D90">
              <w:rPr>
                <w:sz w:val="20"/>
                <w:szCs w:val="20"/>
                <w:lang w:val="en-GB" w:eastAsia="en-AU"/>
              </w:rPr>
              <w:t xml:space="preserve"> completion rates.</w:t>
            </w:r>
          </w:p>
        </w:tc>
        <w:tc>
          <w:tcPr>
            <w:tcW w:w="3855" w:type="dxa"/>
            <w:tcBorders>
              <w:top w:val="single" w:sz="4" w:space="0" w:color="auto"/>
              <w:bottom w:val="single" w:sz="4" w:space="0" w:color="auto"/>
            </w:tcBorders>
            <w:hideMark/>
          </w:tcPr>
          <w:p w14:paraId="0FEA5CD3" w14:textId="60796CEE" w:rsidR="00653D90" w:rsidRPr="00653D90" w:rsidRDefault="00653D90" w:rsidP="00392AE7">
            <w:pPr>
              <w:numPr>
                <w:ilvl w:val="0"/>
                <w:numId w:val="30"/>
              </w:numPr>
              <w:tabs>
                <w:tab w:val="clear" w:pos="720"/>
                <w:tab w:val="num" w:pos="462"/>
              </w:tabs>
              <w:spacing w:before="60" w:after="60" w:line="240" w:lineRule="auto"/>
              <w:ind w:left="462" w:hanging="357"/>
              <w:rPr>
                <w:sz w:val="20"/>
                <w:szCs w:val="20"/>
                <w:lang w:eastAsia="en-AU"/>
              </w:rPr>
            </w:pPr>
            <w:r w:rsidRPr="00653D90">
              <w:rPr>
                <w:sz w:val="20"/>
                <w:szCs w:val="20"/>
                <w:lang w:val="en-GB" w:eastAsia="en-AU"/>
              </w:rPr>
              <w:t>All showcased programs are associated with an uplift in pass rates, academic success</w:t>
            </w:r>
            <w:r w:rsidR="00DA156C">
              <w:rPr>
                <w:sz w:val="20"/>
                <w:szCs w:val="20"/>
                <w:lang w:val="en-GB" w:eastAsia="en-AU"/>
              </w:rPr>
              <w:t>, and</w:t>
            </w:r>
            <w:r w:rsidRPr="00653D90">
              <w:rPr>
                <w:sz w:val="20"/>
                <w:szCs w:val="20"/>
                <w:lang w:val="en-GB" w:eastAsia="en-AU"/>
              </w:rPr>
              <w:t xml:space="preserve"> retention, though causal links are unclear.</w:t>
            </w:r>
          </w:p>
          <w:p w14:paraId="2CF7D296" w14:textId="00A6E22A" w:rsidR="00653D90" w:rsidRPr="00653D90" w:rsidRDefault="00653D90" w:rsidP="00392AE7">
            <w:pPr>
              <w:numPr>
                <w:ilvl w:val="0"/>
                <w:numId w:val="30"/>
              </w:numPr>
              <w:tabs>
                <w:tab w:val="clear" w:pos="720"/>
                <w:tab w:val="num" w:pos="462"/>
              </w:tabs>
              <w:spacing w:before="60" w:after="60" w:line="240" w:lineRule="auto"/>
              <w:ind w:left="462" w:hanging="357"/>
              <w:rPr>
                <w:sz w:val="20"/>
                <w:szCs w:val="20"/>
                <w:lang w:eastAsia="en-AU"/>
              </w:rPr>
            </w:pPr>
            <w:r w:rsidRPr="00653D90">
              <w:rPr>
                <w:sz w:val="20"/>
                <w:szCs w:val="20"/>
                <w:lang w:val="en-GB" w:eastAsia="en-AU"/>
              </w:rPr>
              <w:t xml:space="preserve">Qualitative feedback suggests students appreciate </w:t>
            </w:r>
            <w:r w:rsidR="00DA156C">
              <w:rPr>
                <w:sz w:val="20"/>
                <w:szCs w:val="20"/>
                <w:lang w:val="en-GB" w:eastAsia="en-AU"/>
              </w:rPr>
              <w:t>and</w:t>
            </w:r>
            <w:r w:rsidRPr="00653D90">
              <w:rPr>
                <w:sz w:val="20"/>
                <w:szCs w:val="20"/>
                <w:lang w:val="en-GB" w:eastAsia="en-AU"/>
              </w:rPr>
              <w:t xml:space="preserve"> find academic advice valuable.</w:t>
            </w:r>
          </w:p>
          <w:p w14:paraId="3A56865B" w14:textId="01827C2D" w:rsidR="00653D90" w:rsidRPr="00653D90" w:rsidRDefault="00653D90" w:rsidP="00392AE7">
            <w:pPr>
              <w:numPr>
                <w:ilvl w:val="0"/>
                <w:numId w:val="30"/>
              </w:numPr>
              <w:tabs>
                <w:tab w:val="clear" w:pos="720"/>
                <w:tab w:val="num" w:pos="462"/>
              </w:tabs>
              <w:spacing w:before="60" w:after="60" w:line="240" w:lineRule="auto"/>
              <w:ind w:left="462" w:hanging="357"/>
              <w:rPr>
                <w:sz w:val="20"/>
                <w:szCs w:val="20"/>
                <w:lang w:eastAsia="en-AU"/>
              </w:rPr>
            </w:pPr>
            <w:r w:rsidRPr="00653D90">
              <w:rPr>
                <w:sz w:val="20"/>
                <w:szCs w:val="20"/>
                <w:lang w:val="en-GB" w:eastAsia="en-AU"/>
              </w:rPr>
              <w:t xml:space="preserve">Students often access multiple learning advice services/tools, </w:t>
            </w:r>
            <w:r w:rsidR="00DA156C">
              <w:rPr>
                <w:sz w:val="20"/>
                <w:szCs w:val="20"/>
                <w:lang w:val="en-GB" w:eastAsia="en-AU"/>
              </w:rPr>
              <w:t xml:space="preserve">and </w:t>
            </w:r>
            <w:r w:rsidRPr="00653D90">
              <w:rPr>
                <w:sz w:val="20"/>
                <w:szCs w:val="20"/>
                <w:lang w:val="en-GB" w:eastAsia="en-AU"/>
              </w:rPr>
              <w:t>benefits appear to increase for repeat users.</w:t>
            </w:r>
          </w:p>
        </w:tc>
      </w:tr>
      <w:tr w:rsidR="0017561A" w:rsidRPr="00653D90" w14:paraId="5541B648" w14:textId="77777777" w:rsidTr="004F2B96">
        <w:trPr>
          <w:trHeight w:val="1630"/>
        </w:trPr>
        <w:tc>
          <w:tcPr>
            <w:tcW w:w="1465" w:type="dxa"/>
            <w:tcBorders>
              <w:top w:val="single" w:sz="4" w:space="0" w:color="auto"/>
              <w:bottom w:val="single" w:sz="4" w:space="0" w:color="auto"/>
            </w:tcBorders>
            <w:hideMark/>
          </w:tcPr>
          <w:p w14:paraId="399635EB" w14:textId="77777777" w:rsidR="0017561A" w:rsidRDefault="00FE618A" w:rsidP="005178E8">
            <w:pPr>
              <w:spacing w:before="120" w:line="240" w:lineRule="auto"/>
              <w:rPr>
                <w:b/>
                <w:bCs/>
                <w:color w:val="351C26" w:themeColor="text2"/>
                <w:sz w:val="20"/>
                <w:szCs w:val="20"/>
                <w:lang w:eastAsia="en-AU"/>
              </w:rPr>
            </w:pPr>
            <w:r w:rsidRPr="00CF1FB5">
              <w:rPr>
                <w:b/>
                <w:bCs/>
                <w:noProof/>
                <w:color w:val="351C26" w:themeColor="text2"/>
                <w:sz w:val="20"/>
                <w:szCs w:val="20"/>
                <w:lang w:eastAsia="en-AU"/>
              </w:rPr>
              <w:drawing>
                <wp:inline distT="0" distB="0" distL="0" distR="0" wp14:anchorId="1E0BF50D" wp14:editId="5286346C">
                  <wp:extent cx="540000" cy="540000"/>
                  <wp:effectExtent l="0" t="0" r="0" b="0"/>
                  <wp:docPr id="721034524" name="Graphic 5" descr="Hurd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034524" name="Graphic 721034524" descr="Hurdle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540000" cy="540000"/>
                          </a:xfrm>
                          <a:prstGeom prst="rect">
                            <a:avLst/>
                          </a:prstGeom>
                        </pic:spPr>
                      </pic:pic>
                    </a:graphicData>
                  </a:graphic>
                </wp:inline>
              </w:drawing>
            </w:r>
          </w:p>
          <w:p w14:paraId="0922419B" w14:textId="00A79F48" w:rsidR="00653D90" w:rsidRPr="00653D90" w:rsidRDefault="00653D90" w:rsidP="005178E8">
            <w:pPr>
              <w:spacing w:before="120" w:line="240" w:lineRule="auto"/>
              <w:rPr>
                <w:color w:val="351C26" w:themeColor="text2"/>
                <w:sz w:val="20"/>
                <w:szCs w:val="20"/>
                <w:lang w:eastAsia="en-AU"/>
              </w:rPr>
            </w:pPr>
            <w:r w:rsidRPr="00653D90">
              <w:rPr>
                <w:b/>
                <w:bCs/>
                <w:color w:val="351C26" w:themeColor="text2"/>
                <w:sz w:val="20"/>
                <w:szCs w:val="20"/>
                <w:lang w:eastAsia="en-AU"/>
              </w:rPr>
              <w:t>Shared Challenges</w:t>
            </w:r>
          </w:p>
        </w:tc>
        <w:tc>
          <w:tcPr>
            <w:tcW w:w="3855" w:type="dxa"/>
            <w:tcBorders>
              <w:top w:val="single" w:sz="4" w:space="0" w:color="auto"/>
              <w:bottom w:val="single" w:sz="4" w:space="0" w:color="auto"/>
            </w:tcBorders>
            <w:hideMark/>
          </w:tcPr>
          <w:p w14:paraId="023B7A61" w14:textId="2B5A011B" w:rsidR="00653D90" w:rsidRPr="00653D90" w:rsidRDefault="00653D90" w:rsidP="00392AE7">
            <w:pPr>
              <w:numPr>
                <w:ilvl w:val="0"/>
                <w:numId w:val="31"/>
              </w:numPr>
              <w:tabs>
                <w:tab w:val="clear" w:pos="720"/>
                <w:tab w:val="num" w:pos="499"/>
              </w:tabs>
              <w:spacing w:before="60" w:after="60" w:line="240" w:lineRule="auto"/>
              <w:ind w:left="514" w:hanging="357"/>
              <w:rPr>
                <w:sz w:val="20"/>
                <w:szCs w:val="20"/>
                <w:lang w:eastAsia="en-AU"/>
              </w:rPr>
            </w:pPr>
            <w:r w:rsidRPr="00653D90">
              <w:rPr>
                <w:sz w:val="20"/>
                <w:szCs w:val="20"/>
                <w:lang w:val="en-GB" w:eastAsia="en-AU"/>
              </w:rPr>
              <w:t>Evaluating outcomes is hampered by difficulties quantifying the eligible population</w:t>
            </w:r>
            <w:r w:rsidR="00DA156C">
              <w:rPr>
                <w:sz w:val="20"/>
                <w:szCs w:val="20"/>
                <w:lang w:val="en-GB" w:eastAsia="en-AU"/>
              </w:rPr>
              <w:t>—</w:t>
            </w:r>
            <w:r w:rsidRPr="00653D90">
              <w:rPr>
                <w:sz w:val="20"/>
                <w:szCs w:val="20"/>
                <w:lang w:val="en-GB" w:eastAsia="en-AU"/>
              </w:rPr>
              <w:t>students from equity cohorts who also engage in WIL activities as part of their studies.</w:t>
            </w:r>
          </w:p>
          <w:p w14:paraId="3ED28F04" w14:textId="60B2BC77" w:rsidR="00653D90" w:rsidRPr="00653D90" w:rsidRDefault="00653D90" w:rsidP="00392AE7">
            <w:pPr>
              <w:numPr>
                <w:ilvl w:val="0"/>
                <w:numId w:val="31"/>
              </w:numPr>
              <w:tabs>
                <w:tab w:val="clear" w:pos="720"/>
                <w:tab w:val="num" w:pos="499"/>
              </w:tabs>
              <w:spacing w:before="60" w:after="60" w:line="240" w:lineRule="auto"/>
              <w:ind w:left="514" w:hanging="357"/>
              <w:rPr>
                <w:sz w:val="20"/>
                <w:szCs w:val="20"/>
                <w:lang w:eastAsia="en-AU"/>
              </w:rPr>
            </w:pPr>
            <w:r w:rsidRPr="00653D90">
              <w:rPr>
                <w:sz w:val="20"/>
                <w:szCs w:val="20"/>
                <w:lang w:val="en-GB" w:eastAsia="en-AU"/>
              </w:rPr>
              <w:t xml:space="preserve">There is potential for selection/sampling bias in terms of awareness of available support </w:t>
            </w:r>
            <w:r w:rsidR="00965036">
              <w:rPr>
                <w:sz w:val="20"/>
                <w:szCs w:val="20"/>
                <w:lang w:val="en-GB" w:eastAsia="en-AU"/>
              </w:rPr>
              <w:t>and</w:t>
            </w:r>
            <w:r w:rsidRPr="00653D90">
              <w:rPr>
                <w:sz w:val="20"/>
                <w:szCs w:val="20"/>
                <w:lang w:val="en-GB" w:eastAsia="en-AU"/>
              </w:rPr>
              <w:t xml:space="preserve"> eligibility, academic success or enrolment conditions, willingness </w:t>
            </w:r>
            <w:r w:rsidR="00965036">
              <w:rPr>
                <w:sz w:val="20"/>
                <w:szCs w:val="20"/>
                <w:lang w:val="en-GB" w:eastAsia="en-AU"/>
              </w:rPr>
              <w:t>and</w:t>
            </w:r>
            <w:r w:rsidRPr="00653D90">
              <w:rPr>
                <w:sz w:val="20"/>
                <w:szCs w:val="20"/>
                <w:lang w:val="en-GB" w:eastAsia="en-AU"/>
              </w:rPr>
              <w:t xml:space="preserve"> capacity to pay up front without certainty of reimbursement, course-specific WIL requirements, assertiveness</w:t>
            </w:r>
            <w:r w:rsidR="00965036">
              <w:rPr>
                <w:sz w:val="20"/>
                <w:szCs w:val="20"/>
                <w:lang w:val="en-GB" w:eastAsia="en-AU"/>
              </w:rPr>
              <w:t>, and s</w:t>
            </w:r>
            <w:r w:rsidRPr="00653D90">
              <w:rPr>
                <w:sz w:val="20"/>
                <w:szCs w:val="20"/>
                <w:lang w:val="en-GB" w:eastAsia="en-AU"/>
              </w:rPr>
              <w:t>elf-efficacy.</w:t>
            </w:r>
          </w:p>
          <w:p w14:paraId="2EC553A4" w14:textId="4FA6A8D5" w:rsidR="00653D90" w:rsidRPr="00653D90" w:rsidRDefault="00653D90" w:rsidP="00392AE7">
            <w:pPr>
              <w:numPr>
                <w:ilvl w:val="0"/>
                <w:numId w:val="31"/>
              </w:numPr>
              <w:tabs>
                <w:tab w:val="clear" w:pos="720"/>
                <w:tab w:val="num" w:pos="499"/>
              </w:tabs>
              <w:spacing w:before="60" w:after="60" w:line="240" w:lineRule="auto"/>
              <w:ind w:left="514" w:hanging="357"/>
              <w:rPr>
                <w:sz w:val="20"/>
                <w:szCs w:val="20"/>
                <w:lang w:eastAsia="en-AU"/>
              </w:rPr>
            </w:pPr>
            <w:r w:rsidRPr="00653D90">
              <w:rPr>
                <w:sz w:val="20"/>
                <w:szCs w:val="20"/>
                <w:lang w:val="en-GB" w:eastAsia="en-AU"/>
              </w:rPr>
              <w:t xml:space="preserve">Institutional location (LSES &amp; </w:t>
            </w:r>
            <w:r w:rsidR="005C685F">
              <w:rPr>
                <w:sz w:val="20"/>
                <w:szCs w:val="20"/>
                <w:lang w:val="en-GB" w:eastAsia="en-AU"/>
              </w:rPr>
              <w:t>regional, rural, and remote (</w:t>
            </w:r>
            <w:r w:rsidRPr="00653D90">
              <w:rPr>
                <w:sz w:val="20"/>
                <w:szCs w:val="20"/>
                <w:lang w:val="en-GB" w:eastAsia="en-AU"/>
              </w:rPr>
              <w:t>RRR</w:t>
            </w:r>
            <w:r w:rsidR="005C685F">
              <w:rPr>
                <w:sz w:val="20"/>
                <w:szCs w:val="20"/>
                <w:lang w:val="en-GB" w:eastAsia="en-AU"/>
              </w:rPr>
              <w:t>)</w:t>
            </w:r>
            <w:r w:rsidRPr="00653D90">
              <w:rPr>
                <w:sz w:val="20"/>
                <w:szCs w:val="20"/>
                <w:lang w:val="en-GB" w:eastAsia="en-AU"/>
              </w:rPr>
              <w:t xml:space="preserve"> areas in catchment) </w:t>
            </w:r>
            <w:r w:rsidR="00965036">
              <w:rPr>
                <w:sz w:val="20"/>
                <w:szCs w:val="20"/>
                <w:lang w:val="en-GB" w:eastAsia="en-AU"/>
              </w:rPr>
              <w:t>and</w:t>
            </w:r>
            <w:r w:rsidRPr="00653D90">
              <w:rPr>
                <w:sz w:val="20"/>
                <w:szCs w:val="20"/>
                <w:lang w:val="en-GB" w:eastAsia="en-AU"/>
              </w:rPr>
              <w:t xml:space="preserve"> difference between first </w:t>
            </w:r>
            <w:r w:rsidR="00965036">
              <w:rPr>
                <w:sz w:val="20"/>
                <w:szCs w:val="20"/>
                <w:lang w:val="en-GB" w:eastAsia="en-AU"/>
              </w:rPr>
              <w:t>and</w:t>
            </w:r>
            <w:r w:rsidRPr="00653D90">
              <w:rPr>
                <w:sz w:val="20"/>
                <w:szCs w:val="20"/>
                <w:lang w:val="en-GB" w:eastAsia="en-AU"/>
              </w:rPr>
              <w:t xml:space="preserve"> current home address, impacts eligibility.</w:t>
            </w:r>
          </w:p>
        </w:tc>
        <w:tc>
          <w:tcPr>
            <w:tcW w:w="3855" w:type="dxa"/>
            <w:tcBorders>
              <w:top w:val="single" w:sz="4" w:space="0" w:color="auto"/>
              <w:bottom w:val="single" w:sz="4" w:space="0" w:color="auto"/>
            </w:tcBorders>
            <w:hideMark/>
          </w:tcPr>
          <w:p w14:paraId="6326741F" w14:textId="77777777" w:rsidR="00653D90" w:rsidRPr="00653D90" w:rsidRDefault="00653D90" w:rsidP="00392AE7">
            <w:pPr>
              <w:numPr>
                <w:ilvl w:val="0"/>
                <w:numId w:val="31"/>
              </w:numPr>
              <w:tabs>
                <w:tab w:val="clear" w:pos="720"/>
                <w:tab w:val="num" w:pos="462"/>
              </w:tabs>
              <w:spacing w:before="60" w:after="60" w:line="240" w:lineRule="auto"/>
              <w:ind w:left="462" w:hanging="357"/>
              <w:rPr>
                <w:sz w:val="20"/>
                <w:szCs w:val="20"/>
                <w:lang w:eastAsia="en-AU"/>
              </w:rPr>
            </w:pPr>
            <w:r w:rsidRPr="00653D90">
              <w:rPr>
                <w:sz w:val="20"/>
                <w:szCs w:val="20"/>
                <w:lang w:val="en-GB" w:eastAsia="en-AU"/>
              </w:rPr>
              <w:t xml:space="preserve">Academic advising is resource-intensive, especially in relation to 1-1 consultations. </w:t>
            </w:r>
          </w:p>
        </w:tc>
      </w:tr>
      <w:tr w:rsidR="0017561A" w:rsidRPr="00653D90" w14:paraId="5D033D53" w14:textId="77777777" w:rsidTr="008D6A9B">
        <w:trPr>
          <w:trHeight w:val="1478"/>
        </w:trPr>
        <w:tc>
          <w:tcPr>
            <w:tcW w:w="1465" w:type="dxa"/>
            <w:tcBorders>
              <w:top w:val="single" w:sz="4" w:space="0" w:color="auto"/>
              <w:bottom w:val="single" w:sz="4" w:space="0" w:color="auto"/>
            </w:tcBorders>
            <w:hideMark/>
          </w:tcPr>
          <w:p w14:paraId="1C8D869A" w14:textId="77777777" w:rsidR="00FE618A" w:rsidRPr="00CF1FB5" w:rsidRDefault="00FE618A" w:rsidP="005178E8">
            <w:pPr>
              <w:spacing w:before="120" w:line="240" w:lineRule="auto"/>
              <w:rPr>
                <w:b/>
                <w:bCs/>
                <w:color w:val="351C26" w:themeColor="text2"/>
                <w:sz w:val="20"/>
                <w:szCs w:val="20"/>
                <w:lang w:eastAsia="en-AU"/>
              </w:rPr>
            </w:pPr>
            <w:r w:rsidRPr="00CF1FB5">
              <w:rPr>
                <w:b/>
                <w:bCs/>
                <w:noProof/>
                <w:color w:val="351C26" w:themeColor="text2"/>
                <w:sz w:val="20"/>
                <w:szCs w:val="20"/>
                <w:lang w:eastAsia="en-AU"/>
              </w:rPr>
              <w:drawing>
                <wp:inline distT="0" distB="0" distL="0" distR="0" wp14:anchorId="16794DE8" wp14:editId="05975F05">
                  <wp:extent cx="540000" cy="540000"/>
                  <wp:effectExtent l="0" t="0" r="0" b="0"/>
                  <wp:docPr id="206634186" name="Graphic 6"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34186" name="Graphic 206634186" descr="Lights On with solid fill"/>
                          <pic:cNvPicPr/>
                        </pic:nvPicPr>
                        <pic:blipFill>
                          <a:blip r:embed="rId24">
                            <a:extLst>
                              <a:ext uri="{96DAC541-7B7A-43D3-8B79-37D633B846F1}">
                                <asvg:svgBlip xmlns:asvg="http://schemas.microsoft.com/office/drawing/2016/SVG/main" r:embed="rId25"/>
                              </a:ext>
                            </a:extLst>
                          </a:blip>
                          <a:stretch>
                            <a:fillRect/>
                          </a:stretch>
                        </pic:blipFill>
                        <pic:spPr>
                          <a:xfrm>
                            <a:off x="0" y="0"/>
                            <a:ext cx="540000" cy="540000"/>
                          </a:xfrm>
                          <a:prstGeom prst="rect">
                            <a:avLst/>
                          </a:prstGeom>
                        </pic:spPr>
                      </pic:pic>
                    </a:graphicData>
                  </a:graphic>
                </wp:inline>
              </w:drawing>
            </w:r>
          </w:p>
          <w:p w14:paraId="54FACD02" w14:textId="37AA550C" w:rsidR="00653D90" w:rsidRPr="00653D90" w:rsidRDefault="00653D90" w:rsidP="005178E8">
            <w:pPr>
              <w:spacing w:before="120" w:line="240" w:lineRule="auto"/>
              <w:rPr>
                <w:color w:val="351C26" w:themeColor="text2"/>
                <w:sz w:val="20"/>
                <w:szCs w:val="20"/>
                <w:lang w:eastAsia="en-AU"/>
              </w:rPr>
            </w:pPr>
            <w:r w:rsidRPr="00653D90">
              <w:rPr>
                <w:b/>
                <w:bCs/>
                <w:color w:val="351C26" w:themeColor="text2"/>
                <w:sz w:val="20"/>
                <w:szCs w:val="20"/>
                <w:lang w:eastAsia="en-AU"/>
              </w:rPr>
              <w:t>Ideas to Explore Further</w:t>
            </w:r>
          </w:p>
        </w:tc>
        <w:tc>
          <w:tcPr>
            <w:tcW w:w="3855" w:type="dxa"/>
            <w:tcBorders>
              <w:top w:val="single" w:sz="4" w:space="0" w:color="auto"/>
              <w:bottom w:val="single" w:sz="4" w:space="0" w:color="auto"/>
            </w:tcBorders>
            <w:hideMark/>
          </w:tcPr>
          <w:p w14:paraId="3497B24C" w14:textId="2BBD93A4" w:rsidR="00653D90" w:rsidRPr="00653D90" w:rsidRDefault="00653D90" w:rsidP="00392AE7">
            <w:pPr>
              <w:numPr>
                <w:ilvl w:val="0"/>
                <w:numId w:val="32"/>
              </w:numPr>
              <w:tabs>
                <w:tab w:val="clear" w:pos="720"/>
                <w:tab w:val="num" w:pos="499"/>
              </w:tabs>
              <w:spacing w:before="60" w:after="60" w:line="240" w:lineRule="auto"/>
              <w:ind w:left="514" w:hanging="357"/>
              <w:rPr>
                <w:sz w:val="20"/>
                <w:szCs w:val="20"/>
                <w:lang w:eastAsia="en-AU"/>
              </w:rPr>
            </w:pPr>
            <w:r w:rsidRPr="00653D90">
              <w:rPr>
                <w:sz w:val="20"/>
                <w:szCs w:val="20"/>
                <w:lang w:val="en-GB" w:eastAsia="en-AU"/>
              </w:rPr>
              <w:t xml:space="preserve">Introduction of placement payments </w:t>
            </w:r>
            <w:r w:rsidR="00965036">
              <w:rPr>
                <w:sz w:val="20"/>
                <w:szCs w:val="20"/>
                <w:lang w:val="en-GB" w:eastAsia="en-AU"/>
              </w:rPr>
              <w:t>and</w:t>
            </w:r>
            <w:r w:rsidRPr="00653D90">
              <w:rPr>
                <w:sz w:val="20"/>
                <w:szCs w:val="20"/>
                <w:lang w:val="en-GB" w:eastAsia="en-AU"/>
              </w:rPr>
              <w:t xml:space="preserve"> needs-based funding may require redesign/rethink of which students are eligible/selected going forward.</w:t>
            </w:r>
          </w:p>
          <w:p w14:paraId="3A9FEF04" w14:textId="534D4D96" w:rsidR="00653D90" w:rsidRPr="00653D90" w:rsidRDefault="00653D90" w:rsidP="00392AE7">
            <w:pPr>
              <w:numPr>
                <w:ilvl w:val="0"/>
                <w:numId w:val="32"/>
              </w:numPr>
              <w:tabs>
                <w:tab w:val="clear" w:pos="720"/>
                <w:tab w:val="num" w:pos="499"/>
              </w:tabs>
              <w:spacing w:before="60" w:after="60" w:line="240" w:lineRule="auto"/>
              <w:ind w:left="514" w:hanging="357"/>
              <w:rPr>
                <w:sz w:val="20"/>
                <w:szCs w:val="20"/>
                <w:lang w:eastAsia="en-AU"/>
              </w:rPr>
            </w:pPr>
            <w:r w:rsidRPr="00653D90">
              <w:rPr>
                <w:sz w:val="20"/>
                <w:szCs w:val="20"/>
                <w:lang w:val="en-GB" w:eastAsia="en-AU"/>
              </w:rPr>
              <w:t xml:space="preserve">Expansion of WIL may increase potential eligibility </w:t>
            </w:r>
            <w:r w:rsidR="00965036">
              <w:rPr>
                <w:sz w:val="20"/>
                <w:szCs w:val="20"/>
                <w:lang w:val="en-GB" w:eastAsia="en-AU"/>
              </w:rPr>
              <w:t>and</w:t>
            </w:r>
            <w:r w:rsidRPr="00653D90">
              <w:rPr>
                <w:sz w:val="20"/>
                <w:szCs w:val="20"/>
                <w:lang w:val="en-GB" w:eastAsia="en-AU"/>
              </w:rPr>
              <w:t>/or need.</w:t>
            </w:r>
          </w:p>
        </w:tc>
        <w:tc>
          <w:tcPr>
            <w:tcW w:w="3855" w:type="dxa"/>
            <w:tcBorders>
              <w:top w:val="single" w:sz="4" w:space="0" w:color="auto"/>
              <w:bottom w:val="single" w:sz="4" w:space="0" w:color="auto"/>
            </w:tcBorders>
            <w:hideMark/>
          </w:tcPr>
          <w:p w14:paraId="24A14B64" w14:textId="77777777" w:rsidR="00653D90" w:rsidRPr="00653D90" w:rsidRDefault="00653D90" w:rsidP="00392AE7">
            <w:pPr>
              <w:numPr>
                <w:ilvl w:val="0"/>
                <w:numId w:val="32"/>
              </w:numPr>
              <w:tabs>
                <w:tab w:val="clear" w:pos="720"/>
                <w:tab w:val="num" w:pos="565"/>
              </w:tabs>
              <w:spacing w:before="60" w:after="60" w:line="240" w:lineRule="auto"/>
              <w:ind w:left="529" w:hanging="357"/>
              <w:rPr>
                <w:sz w:val="20"/>
                <w:szCs w:val="20"/>
                <w:lang w:eastAsia="en-AU"/>
              </w:rPr>
            </w:pPr>
            <w:r w:rsidRPr="00653D90">
              <w:rPr>
                <w:sz w:val="20"/>
                <w:szCs w:val="20"/>
                <w:lang w:val="en-GB" w:eastAsia="en-AU"/>
              </w:rPr>
              <w:t>Is there an accumulative impact of accessing academic advisory services/ tools?</w:t>
            </w:r>
          </w:p>
          <w:p w14:paraId="5AD5F41F" w14:textId="0B6116CC" w:rsidR="00653D90" w:rsidRPr="00653D90" w:rsidRDefault="00653D90" w:rsidP="00392AE7">
            <w:pPr>
              <w:numPr>
                <w:ilvl w:val="0"/>
                <w:numId w:val="32"/>
              </w:numPr>
              <w:tabs>
                <w:tab w:val="clear" w:pos="720"/>
                <w:tab w:val="num" w:pos="565"/>
              </w:tabs>
              <w:spacing w:before="60" w:after="60" w:line="240" w:lineRule="auto"/>
              <w:ind w:left="529" w:hanging="357"/>
              <w:rPr>
                <w:sz w:val="20"/>
                <w:szCs w:val="20"/>
                <w:lang w:eastAsia="en-AU"/>
              </w:rPr>
            </w:pPr>
            <w:r w:rsidRPr="00653D90">
              <w:rPr>
                <w:sz w:val="20"/>
                <w:szCs w:val="20"/>
                <w:lang w:val="en-GB" w:eastAsia="en-AU"/>
              </w:rPr>
              <w:t xml:space="preserve">What is the relative uptake &amp; outcomes of different academic advisory services/tools </w:t>
            </w:r>
            <w:r w:rsidR="00965036">
              <w:rPr>
                <w:sz w:val="20"/>
                <w:szCs w:val="20"/>
                <w:lang w:val="en-GB" w:eastAsia="en-AU"/>
              </w:rPr>
              <w:t>and</w:t>
            </w:r>
            <w:r w:rsidRPr="00653D90">
              <w:rPr>
                <w:sz w:val="20"/>
                <w:szCs w:val="20"/>
                <w:lang w:val="en-GB" w:eastAsia="en-AU"/>
              </w:rPr>
              <w:t xml:space="preserve"> why do students choose one over another?</w:t>
            </w:r>
          </w:p>
        </w:tc>
      </w:tr>
    </w:tbl>
    <w:p w14:paraId="27269315" w14:textId="2C10126A" w:rsidR="001540BC" w:rsidRDefault="00F0407E" w:rsidP="00CB0A20">
      <w:pPr>
        <w:pStyle w:val="Heading1"/>
        <w:numPr>
          <w:ilvl w:val="0"/>
          <w:numId w:val="27"/>
        </w:numPr>
        <w:rPr>
          <w:rFonts w:eastAsia="Times New Roman"/>
          <w:lang w:eastAsia="en-AU"/>
        </w:rPr>
      </w:pPr>
      <w:bookmarkStart w:id="12" w:name="_Toc192004677"/>
      <w:r>
        <w:rPr>
          <w:rFonts w:eastAsia="Times New Roman"/>
          <w:lang w:eastAsia="en-AU"/>
        </w:rPr>
        <w:lastRenderedPageBreak/>
        <w:t>I</w:t>
      </w:r>
      <w:r w:rsidR="00E47423">
        <w:rPr>
          <w:rFonts w:eastAsia="Times New Roman"/>
          <w:lang w:eastAsia="en-AU"/>
        </w:rPr>
        <w:t>mpact</w:t>
      </w:r>
      <w:bookmarkEnd w:id="12"/>
    </w:p>
    <w:p w14:paraId="6BBF6F31" w14:textId="19B9C699" w:rsidR="0028129F" w:rsidRDefault="0028129F" w:rsidP="0028129F">
      <w:bookmarkStart w:id="13" w:name="_Toc192004678"/>
      <w:r>
        <w:t>The workshop series built upon existing practice, supporting institutions to develop their evaluative capacity, systems</w:t>
      </w:r>
      <w:r w:rsidR="00965036">
        <w:t>,</w:t>
      </w:r>
      <w:r>
        <w:t xml:space="preserve"> and </w:t>
      </w:r>
      <w:r w:rsidR="00E63A36">
        <w:t>toolbox</w:t>
      </w:r>
      <w:r w:rsidR="00965036">
        <w:t>—</w:t>
      </w:r>
      <w:r>
        <w:t xml:space="preserve">especially </w:t>
      </w:r>
      <w:r w:rsidRPr="00CD4BC4">
        <w:t>Program Logic Models</w:t>
      </w:r>
      <w:r>
        <w:t xml:space="preserve"> and data collection systems and processes</w:t>
      </w:r>
      <w:r w:rsidR="00965036">
        <w:t>—</w:t>
      </w:r>
      <w:r>
        <w:t>that will enable meaningful evaluations into the future. The systematic sharing helped identify best practices across member institutions and opportunities to work toward an impact evaluation of a common student equity activity across the IRU in 2026</w:t>
      </w:r>
      <w:r w:rsidR="00965036">
        <w:rPr>
          <w:rFonts w:eastAsia="Times New Roman" w:cs="Arial"/>
          <w:color w:val="000000"/>
        </w:rPr>
        <w:t>–</w:t>
      </w:r>
      <w:r>
        <w:t>27. It has also empowered participants to apply learnings in their context and enhance the design of student equity programs to improve student outcomes and the student experience.</w:t>
      </w:r>
    </w:p>
    <w:p w14:paraId="31C79FA7" w14:textId="26B436ED" w:rsidR="00A06E6A" w:rsidRDefault="0069218D" w:rsidP="00E7794E">
      <w:pPr>
        <w:rPr>
          <w:lang w:eastAsia="en-AU"/>
        </w:rPr>
      </w:pPr>
      <w:r>
        <w:rPr>
          <w:lang w:eastAsia="en-AU"/>
        </w:rPr>
        <w:t xml:space="preserve">At the conclusion of the </w:t>
      </w:r>
      <w:r w:rsidR="00332BE8">
        <w:rPr>
          <w:lang w:eastAsia="en-AU"/>
        </w:rPr>
        <w:t>project</w:t>
      </w:r>
      <w:r>
        <w:rPr>
          <w:lang w:eastAsia="en-AU"/>
        </w:rPr>
        <w:t>, participants were invited to reflect on the impact of engaging in th</w:t>
      </w:r>
      <w:r w:rsidR="00843B06">
        <w:rPr>
          <w:lang w:eastAsia="en-AU"/>
        </w:rPr>
        <w:t>e</w:t>
      </w:r>
      <w:r>
        <w:rPr>
          <w:lang w:eastAsia="en-AU"/>
        </w:rPr>
        <w:t xml:space="preserve"> evaluation capacity building program</w:t>
      </w:r>
      <w:r w:rsidR="00F33DF3">
        <w:rPr>
          <w:lang w:eastAsia="en-AU"/>
        </w:rPr>
        <w:t xml:space="preserve"> and their shared goa</w:t>
      </w:r>
      <w:r w:rsidR="00C07FD8">
        <w:rPr>
          <w:lang w:eastAsia="en-AU"/>
        </w:rPr>
        <w:t>l</w:t>
      </w:r>
      <w:r w:rsidR="00F33DF3">
        <w:rPr>
          <w:lang w:eastAsia="en-AU"/>
        </w:rPr>
        <w:t xml:space="preserve">s </w:t>
      </w:r>
      <w:r w:rsidR="00C07FD8">
        <w:rPr>
          <w:lang w:eastAsia="en-AU"/>
        </w:rPr>
        <w:t>discussed</w:t>
      </w:r>
      <w:r w:rsidR="00F33DF3">
        <w:rPr>
          <w:lang w:eastAsia="en-AU"/>
        </w:rPr>
        <w:t xml:space="preserve"> at </w:t>
      </w:r>
      <w:r w:rsidR="00C07FD8">
        <w:rPr>
          <w:lang w:eastAsia="en-AU"/>
        </w:rPr>
        <w:t>the program’s commencement</w:t>
      </w:r>
      <w:r>
        <w:rPr>
          <w:lang w:eastAsia="en-AU"/>
        </w:rPr>
        <w:t xml:space="preserve">. </w:t>
      </w:r>
      <w:r w:rsidR="00861486">
        <w:rPr>
          <w:lang w:eastAsia="en-AU"/>
        </w:rPr>
        <w:t>Detailed reflections from Program participants can be found in Appendix D.</w:t>
      </w:r>
    </w:p>
    <w:p w14:paraId="6CE250D7" w14:textId="77777777" w:rsidR="00CB0A20" w:rsidRPr="00CB0A20" w:rsidRDefault="00CB0A20" w:rsidP="00CB0A20">
      <w:pPr>
        <w:pStyle w:val="ListParagraph"/>
        <w:keepNext/>
        <w:keepLines/>
        <w:numPr>
          <w:ilvl w:val="0"/>
          <w:numId w:val="8"/>
        </w:numPr>
        <w:spacing w:before="360" w:after="360"/>
        <w:contextualSpacing w:val="0"/>
        <w:outlineLvl w:val="0"/>
        <w:rPr>
          <w:rFonts w:ascii="Inter Medium" w:eastAsiaTheme="majorEastAsia" w:hAnsi="Inter Medium" w:cstheme="majorBidi"/>
          <w:vanish/>
          <w:color w:val="6B3B57"/>
          <w:sz w:val="52"/>
          <w:szCs w:val="40"/>
        </w:rPr>
      </w:pPr>
    </w:p>
    <w:p w14:paraId="628CD9A1" w14:textId="13EF7780" w:rsidR="00460114" w:rsidRDefault="00C47C28" w:rsidP="00CB0A20">
      <w:pPr>
        <w:pStyle w:val="Heading2"/>
      </w:pPr>
      <w:r>
        <w:t xml:space="preserve">Evaluation </w:t>
      </w:r>
      <w:r w:rsidR="00965036">
        <w:t>c</w:t>
      </w:r>
      <w:r>
        <w:t xml:space="preserve">apability and </w:t>
      </w:r>
      <w:r w:rsidR="00965036">
        <w:t>c</w:t>
      </w:r>
      <w:r>
        <w:t xml:space="preserve">apacity </w:t>
      </w:r>
      <w:r w:rsidR="00965036">
        <w:t>u</w:t>
      </w:r>
      <w:r>
        <w:t>plift</w:t>
      </w:r>
    </w:p>
    <w:p w14:paraId="246B6E7A" w14:textId="29BE26B6" w:rsidR="002D041F" w:rsidRPr="00CD4BC4" w:rsidRDefault="4800A24A" w:rsidP="00CD4BC4">
      <w:pPr>
        <w:pStyle w:val="Quote"/>
        <w:ind w:left="720"/>
        <w:jc w:val="left"/>
        <w:rPr>
          <w:i w:val="0"/>
          <w:iCs w:val="0"/>
        </w:rPr>
      </w:pPr>
      <w:r w:rsidRPr="00CD4BC4">
        <w:rPr>
          <w:i w:val="0"/>
          <w:iCs w:val="0"/>
          <w:color w:val="auto"/>
        </w:rPr>
        <w:t>Thought through our programs and activities more deeply. Thought through data more deeply. Clear thinking around evaluation of our activities and evaluating impact. Great sticky-</w:t>
      </w:r>
      <w:proofErr w:type="spellStart"/>
      <w:r w:rsidRPr="00CD4BC4">
        <w:rPr>
          <w:i w:val="0"/>
          <w:iCs w:val="0"/>
          <w:color w:val="auto"/>
        </w:rPr>
        <w:t>beak</w:t>
      </w:r>
      <w:r w:rsidR="43D0427B" w:rsidRPr="00CD4BC4">
        <w:rPr>
          <w:i w:val="0"/>
          <w:iCs w:val="0"/>
          <w:color w:val="auto"/>
        </w:rPr>
        <w:t>ing</w:t>
      </w:r>
      <w:proofErr w:type="spellEnd"/>
      <w:r w:rsidR="43D0427B" w:rsidRPr="00CD4BC4">
        <w:rPr>
          <w:i w:val="0"/>
          <w:iCs w:val="0"/>
          <w:color w:val="auto"/>
        </w:rPr>
        <w:t xml:space="preserve"> </w:t>
      </w:r>
      <w:r w:rsidRPr="00CD4BC4">
        <w:rPr>
          <w:i w:val="0"/>
          <w:iCs w:val="0"/>
          <w:color w:val="auto"/>
        </w:rPr>
        <w:t>into other IRUs fantastic programs</w:t>
      </w:r>
      <w:r w:rsidR="4B93805E" w:rsidRPr="00CD4BC4">
        <w:rPr>
          <w:i w:val="0"/>
          <w:iCs w:val="0"/>
          <w:color w:val="auto"/>
        </w:rPr>
        <w:t xml:space="preserve"> and evaluation methods.</w:t>
      </w:r>
      <w:r w:rsidR="002D041F" w:rsidRPr="00CD4BC4">
        <w:rPr>
          <w:i w:val="0"/>
          <w:iCs w:val="0"/>
          <w:color w:val="auto"/>
        </w:rPr>
        <w:t xml:space="preserve"> (Workshop </w:t>
      </w:r>
      <w:r w:rsidR="6007BA61" w:rsidRPr="00CD4BC4">
        <w:rPr>
          <w:i w:val="0"/>
          <w:iCs w:val="0"/>
          <w:color w:val="auto"/>
        </w:rPr>
        <w:t>4</w:t>
      </w:r>
      <w:r w:rsidR="002D041F" w:rsidRPr="00CD4BC4">
        <w:rPr>
          <w:i w:val="0"/>
          <w:iCs w:val="0"/>
          <w:color w:val="auto"/>
        </w:rPr>
        <w:t xml:space="preserve"> participant)</w:t>
      </w:r>
    </w:p>
    <w:p w14:paraId="6000156B" w14:textId="5477670F" w:rsidR="00023779" w:rsidRDefault="0069218D" w:rsidP="00023779">
      <w:pPr>
        <w:rPr>
          <w:lang w:eastAsia="en-AU"/>
        </w:rPr>
      </w:pPr>
      <w:r>
        <w:rPr>
          <w:lang w:eastAsia="en-AU"/>
        </w:rPr>
        <w:t>The group unanimously agreed that the primary objectives of the project had been achieved,</w:t>
      </w:r>
      <w:r w:rsidRPr="00F87036">
        <w:t xml:space="preserve"> </w:t>
      </w:r>
      <w:r w:rsidR="00B97FE9">
        <w:t>namely,</w:t>
      </w:r>
      <w:r w:rsidR="00E7794E">
        <w:t xml:space="preserve"> to engage in cross-institutional collaboration to share knowledge/best practices and identify opportunities for scalability</w:t>
      </w:r>
      <w:r w:rsidR="006439C9">
        <w:t>;</w:t>
      </w:r>
      <w:r w:rsidR="00E7794E">
        <w:t xml:space="preserve"> and to provide professional development and training activities for key staff to enable impact evaluation of student equity programs across the </w:t>
      </w:r>
      <w:r w:rsidR="00645D22">
        <w:t>IRU</w:t>
      </w:r>
      <w:r w:rsidR="00E7794E">
        <w:t>.</w:t>
      </w:r>
      <w:r w:rsidR="00023779" w:rsidRPr="00023779">
        <w:rPr>
          <w:lang w:eastAsia="en-AU"/>
        </w:rPr>
        <w:t xml:space="preserve"> </w:t>
      </w:r>
    </w:p>
    <w:p w14:paraId="1BB232DE" w14:textId="6544C35C" w:rsidR="00E4426D" w:rsidRDefault="00023779" w:rsidP="00023779">
      <w:pPr>
        <w:rPr>
          <w:lang w:eastAsia="en-AU"/>
        </w:rPr>
      </w:pPr>
      <w:r>
        <w:rPr>
          <w:lang w:eastAsia="en-AU"/>
        </w:rPr>
        <w:t xml:space="preserve">Aligned to these outcomes, participants also reflected on how well they felt their </w:t>
      </w:r>
      <w:r w:rsidR="00371823">
        <w:rPr>
          <w:lang w:eastAsia="en-AU"/>
        </w:rPr>
        <w:t>own</w:t>
      </w:r>
      <w:r>
        <w:rPr>
          <w:lang w:eastAsia="en-AU"/>
        </w:rPr>
        <w:t xml:space="preserve"> goals discussed </w:t>
      </w:r>
      <w:r w:rsidR="00220981">
        <w:rPr>
          <w:lang w:eastAsia="en-AU"/>
        </w:rPr>
        <w:t>in</w:t>
      </w:r>
      <w:r>
        <w:rPr>
          <w:lang w:eastAsia="en-AU"/>
        </w:rPr>
        <w:t xml:space="preserve"> Workshop 1 had been addressed</w:t>
      </w:r>
      <w:r w:rsidR="00E4426D">
        <w:rPr>
          <w:lang w:eastAsia="en-AU"/>
        </w:rPr>
        <w:t xml:space="preserve"> (illustrated </w:t>
      </w:r>
      <w:r w:rsidR="00B254B8">
        <w:rPr>
          <w:lang w:eastAsia="en-AU"/>
        </w:rPr>
        <w:t xml:space="preserve">in </w:t>
      </w:r>
      <w:r w:rsidR="00B254B8">
        <w:rPr>
          <w:lang w:eastAsia="en-AU"/>
        </w:rPr>
        <w:fldChar w:fldCharType="begin"/>
      </w:r>
      <w:r w:rsidR="00B254B8">
        <w:rPr>
          <w:lang w:eastAsia="en-AU"/>
        </w:rPr>
        <w:instrText xml:space="preserve"> REF _Ref213240120 \h </w:instrText>
      </w:r>
      <w:r w:rsidR="00B254B8">
        <w:rPr>
          <w:lang w:eastAsia="en-AU"/>
        </w:rPr>
      </w:r>
      <w:r w:rsidR="00B254B8">
        <w:rPr>
          <w:lang w:eastAsia="en-AU"/>
        </w:rPr>
        <w:fldChar w:fldCharType="separate"/>
      </w:r>
      <w:r w:rsidR="00636F45" w:rsidRPr="00CD4BC4">
        <w:t xml:space="preserve">Figure </w:t>
      </w:r>
      <w:r w:rsidR="00636F45">
        <w:rPr>
          <w:noProof/>
        </w:rPr>
        <w:t>3</w:t>
      </w:r>
      <w:r w:rsidR="00B254B8">
        <w:rPr>
          <w:lang w:eastAsia="en-AU"/>
        </w:rPr>
        <w:fldChar w:fldCharType="end"/>
      </w:r>
      <w:r w:rsidR="00E4426D">
        <w:rPr>
          <w:lang w:eastAsia="en-AU"/>
        </w:rPr>
        <w:t>)</w:t>
      </w:r>
      <w:r>
        <w:rPr>
          <w:lang w:eastAsia="en-AU"/>
        </w:rPr>
        <w:t xml:space="preserve">. Participants </w:t>
      </w:r>
      <w:r w:rsidR="002A21C4">
        <w:rPr>
          <w:lang w:eastAsia="en-AU"/>
        </w:rPr>
        <w:t>consistently reported that</w:t>
      </w:r>
      <w:r>
        <w:rPr>
          <w:lang w:eastAsia="en-AU"/>
        </w:rPr>
        <w:t xml:space="preserve"> these goals had been achieved to the extent they were within the group’s control</w:t>
      </w:r>
      <w:r w:rsidR="00E4426D">
        <w:rPr>
          <w:lang w:eastAsia="en-AU"/>
        </w:rPr>
        <w:t>.</w:t>
      </w:r>
    </w:p>
    <w:p w14:paraId="0B33E96F" w14:textId="77777777" w:rsidR="007F6E92" w:rsidRDefault="007F6E92" w:rsidP="00023779">
      <w:pPr>
        <w:rPr>
          <w:lang w:eastAsia="en-AU"/>
        </w:rPr>
      </w:pPr>
    </w:p>
    <w:p w14:paraId="4401EA1D" w14:textId="77777777" w:rsidR="007F6E92" w:rsidRDefault="007F6E92" w:rsidP="00023779">
      <w:pPr>
        <w:rPr>
          <w:lang w:eastAsia="en-AU"/>
        </w:rPr>
      </w:pPr>
    </w:p>
    <w:p w14:paraId="2145DFD6" w14:textId="77777777" w:rsidR="007F6E92" w:rsidRDefault="007F6E92" w:rsidP="00023779">
      <w:pPr>
        <w:rPr>
          <w:lang w:eastAsia="en-AU"/>
        </w:rPr>
      </w:pPr>
    </w:p>
    <w:p w14:paraId="77F64AFF" w14:textId="77777777" w:rsidR="007F6E92" w:rsidRDefault="007F6E92" w:rsidP="00023779">
      <w:pPr>
        <w:rPr>
          <w:lang w:eastAsia="en-AU"/>
        </w:rPr>
      </w:pPr>
    </w:p>
    <w:p w14:paraId="268E2047" w14:textId="77777777" w:rsidR="007F6E92" w:rsidRDefault="007F6E92" w:rsidP="00023779">
      <w:pPr>
        <w:rPr>
          <w:lang w:eastAsia="en-AU"/>
        </w:rPr>
      </w:pPr>
    </w:p>
    <w:p w14:paraId="6169A422" w14:textId="77777777" w:rsidR="007F6E92" w:rsidRDefault="007F6E92" w:rsidP="00023779">
      <w:pPr>
        <w:rPr>
          <w:lang w:eastAsia="en-AU"/>
        </w:rPr>
      </w:pPr>
    </w:p>
    <w:p w14:paraId="07D06A29" w14:textId="77777777" w:rsidR="007F6E92" w:rsidRDefault="007F6E92" w:rsidP="00023779">
      <w:pPr>
        <w:rPr>
          <w:lang w:eastAsia="en-AU"/>
        </w:rPr>
      </w:pPr>
    </w:p>
    <w:p w14:paraId="290193DE" w14:textId="77777777" w:rsidR="007F6E92" w:rsidRDefault="007F6E92" w:rsidP="00023779">
      <w:pPr>
        <w:rPr>
          <w:lang w:eastAsia="en-AU"/>
        </w:rPr>
      </w:pPr>
    </w:p>
    <w:p w14:paraId="2F319878" w14:textId="77777777" w:rsidR="007F6E92" w:rsidRDefault="007F6E92" w:rsidP="00023779">
      <w:pPr>
        <w:rPr>
          <w:lang w:eastAsia="en-AU"/>
        </w:rPr>
      </w:pPr>
    </w:p>
    <w:p w14:paraId="615070E1" w14:textId="31FA9B2A" w:rsidR="005C5B8A" w:rsidRDefault="00965036" w:rsidP="007F6E92">
      <w:pPr>
        <w:pStyle w:val="Caption"/>
        <w:rPr>
          <w:lang w:eastAsia="en-AU"/>
        </w:rPr>
      </w:pPr>
      <w:bookmarkStart w:id="14" w:name="_Ref213240120"/>
      <w:r w:rsidRPr="00CD4BC4">
        <w:rPr>
          <w:sz w:val="22"/>
          <w:szCs w:val="22"/>
        </w:rPr>
        <w:lastRenderedPageBreak/>
        <w:t xml:space="preserve">Figure </w:t>
      </w:r>
      <w:r w:rsidRPr="00CD4BC4">
        <w:rPr>
          <w:sz w:val="22"/>
          <w:szCs w:val="22"/>
        </w:rPr>
        <w:fldChar w:fldCharType="begin"/>
      </w:r>
      <w:r w:rsidRPr="00CD4BC4">
        <w:rPr>
          <w:sz w:val="22"/>
          <w:szCs w:val="22"/>
        </w:rPr>
        <w:instrText xml:space="preserve"> SEQ Figure \* ARABIC </w:instrText>
      </w:r>
      <w:r w:rsidRPr="00CD4BC4">
        <w:rPr>
          <w:sz w:val="22"/>
          <w:szCs w:val="22"/>
        </w:rPr>
        <w:fldChar w:fldCharType="separate"/>
      </w:r>
      <w:r w:rsidR="00636F45">
        <w:rPr>
          <w:noProof/>
          <w:sz w:val="22"/>
          <w:szCs w:val="22"/>
        </w:rPr>
        <w:t>3</w:t>
      </w:r>
      <w:r w:rsidRPr="00CD4BC4">
        <w:rPr>
          <w:noProof/>
          <w:sz w:val="22"/>
          <w:szCs w:val="22"/>
        </w:rPr>
        <w:fldChar w:fldCharType="end"/>
      </w:r>
      <w:bookmarkEnd w:id="14"/>
      <w:r w:rsidR="00745FFB" w:rsidRPr="00CD4BC4">
        <w:rPr>
          <w:sz w:val="22"/>
          <w:szCs w:val="22"/>
        </w:rPr>
        <w:t>:</w:t>
      </w:r>
      <w:r w:rsidRPr="00CD4BC4">
        <w:rPr>
          <w:sz w:val="22"/>
          <w:szCs w:val="22"/>
        </w:rPr>
        <w:t xml:space="preserve"> Participant-defined goals for the program, unanimously accepted as achieved.</w:t>
      </w:r>
    </w:p>
    <w:p w14:paraId="3E620B42" w14:textId="1083A1B8" w:rsidR="00690940" w:rsidRDefault="00690940" w:rsidP="00CD4BC4">
      <w:pPr>
        <w:keepNext/>
        <w:jc w:val="center"/>
      </w:pPr>
      <w:r w:rsidRPr="00690940">
        <w:rPr>
          <w:noProof/>
        </w:rPr>
        <w:drawing>
          <wp:inline distT="0" distB="0" distL="0" distR="0" wp14:anchorId="24DFCABD" wp14:editId="74EFD09E">
            <wp:extent cx="4819650" cy="2025015"/>
            <wp:effectExtent l="0" t="0" r="0" b="0"/>
            <wp:docPr id="1664351954" name="Picture 1" descr="Diagram illustrating participant-defined goals for the Capacity-Building workshop series, featuring six labeled boxes connected in a structured layout. Boxes highlight themes such as building professional relationships, sharing data and insights, understanding policy for advocacy, enhancing capacity for student equity, and growing evaluation ski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351954" name="Picture 1" descr="Diagram illustrating participant-defined goals for the Capacity-Building workshop series, featuring six labeled boxes connected in a structured layout. Boxes highlight themes such as building professional relationships, sharing data and insights, understanding policy for advocacy, enhancing capacity for student equity, and growing evaluation skills."/>
                    <pic:cNvPicPr/>
                  </pic:nvPicPr>
                  <pic:blipFill rotWithShape="1">
                    <a:blip r:embed="rId26"/>
                    <a:srcRect r="15910"/>
                    <a:stretch>
                      <a:fillRect/>
                    </a:stretch>
                  </pic:blipFill>
                  <pic:spPr bwMode="auto">
                    <a:xfrm>
                      <a:off x="0" y="0"/>
                      <a:ext cx="4819650" cy="2025015"/>
                    </a:xfrm>
                    <a:prstGeom prst="rect">
                      <a:avLst/>
                    </a:prstGeom>
                    <a:ln>
                      <a:noFill/>
                    </a:ln>
                    <a:extLst>
                      <a:ext uri="{53640926-AAD7-44D8-BBD7-CCE9431645EC}">
                        <a14:shadowObscured xmlns:a14="http://schemas.microsoft.com/office/drawing/2010/main"/>
                      </a:ext>
                    </a:extLst>
                  </pic:spPr>
                </pic:pic>
              </a:graphicData>
            </a:graphic>
          </wp:inline>
        </w:drawing>
      </w:r>
    </w:p>
    <w:p w14:paraId="1767346C" w14:textId="77777777" w:rsidR="00B254B8" w:rsidRPr="003B34FF" w:rsidRDefault="00B254B8" w:rsidP="00B254B8"/>
    <w:p w14:paraId="51AFF7F3" w14:textId="21ED7203" w:rsidR="009E7449" w:rsidRDefault="009E7449" w:rsidP="003B34FF">
      <w:pPr>
        <w:pStyle w:val="Heading2"/>
      </w:pPr>
      <w:r>
        <w:t xml:space="preserve">Additional </w:t>
      </w:r>
      <w:r w:rsidR="00965036">
        <w:t>b</w:t>
      </w:r>
      <w:r>
        <w:t>enefits</w:t>
      </w:r>
    </w:p>
    <w:p w14:paraId="30EC4484" w14:textId="7226E72C" w:rsidR="31B1E731" w:rsidRPr="00CD4BC4" w:rsidRDefault="31B1E731" w:rsidP="00CD4BC4">
      <w:pPr>
        <w:pStyle w:val="Quote"/>
        <w:ind w:left="720"/>
        <w:jc w:val="left"/>
        <w:rPr>
          <w:i w:val="0"/>
          <w:iCs w:val="0"/>
          <w:color w:val="auto"/>
        </w:rPr>
      </w:pPr>
      <w:r w:rsidRPr="00CD4BC4">
        <w:rPr>
          <w:i w:val="0"/>
          <w:iCs w:val="0"/>
          <w:color w:val="auto"/>
        </w:rPr>
        <w:t>What have I gotten out of this? My biggest takeaways have been the time and space to immerse myself in the evaluation process from beginning to end. It’s been wonderful to have the opportunity to problem solve with colleagues from across institutions and to think about what might/might not work and why. I’ve gained the confidence to navigate the SEHEEF</w:t>
      </w:r>
      <w:r w:rsidR="00AA6162" w:rsidRPr="00CD4BC4">
        <w:rPr>
          <w:i w:val="0"/>
          <w:iCs w:val="0"/>
          <w:color w:val="auto"/>
        </w:rPr>
        <w:t xml:space="preserve"> (Student Equity in Higher Education Evaluation Framework)</w:t>
      </w:r>
      <w:r w:rsidRPr="00CD4BC4">
        <w:rPr>
          <w:i w:val="0"/>
          <w:iCs w:val="0"/>
          <w:color w:val="auto"/>
        </w:rPr>
        <w:t xml:space="preserve"> and apply it to a range of programs. (Workshop 4 participant)</w:t>
      </w:r>
    </w:p>
    <w:p w14:paraId="2E2A709A" w14:textId="36CEA44C" w:rsidR="008F0FE9" w:rsidRDefault="00B97FE9" w:rsidP="0069218D">
      <w:pPr>
        <w:rPr>
          <w:lang w:eastAsia="en-AU"/>
        </w:rPr>
      </w:pPr>
      <w:r>
        <w:t xml:space="preserve">Participants </w:t>
      </w:r>
      <w:r w:rsidR="003F5446">
        <w:t xml:space="preserve">also </w:t>
      </w:r>
      <w:r w:rsidR="0069218D">
        <w:rPr>
          <w:lang w:eastAsia="en-AU"/>
        </w:rPr>
        <w:t>shared that they had gained additional benefits through their engagement</w:t>
      </w:r>
      <w:r w:rsidR="000A1F05">
        <w:rPr>
          <w:lang w:eastAsia="en-AU"/>
        </w:rPr>
        <w:t xml:space="preserve"> in the capability development program</w:t>
      </w:r>
      <w:r w:rsidR="0069218D">
        <w:rPr>
          <w:lang w:eastAsia="en-AU"/>
        </w:rPr>
        <w:t xml:space="preserve"> beyond these </w:t>
      </w:r>
      <w:r w:rsidR="0004368E">
        <w:rPr>
          <w:lang w:eastAsia="en-AU"/>
        </w:rPr>
        <w:t>high-level</w:t>
      </w:r>
      <w:r w:rsidR="0069218D">
        <w:rPr>
          <w:lang w:eastAsia="en-AU"/>
        </w:rPr>
        <w:t xml:space="preserve"> objectives</w:t>
      </w:r>
      <w:r w:rsidR="00E71398">
        <w:rPr>
          <w:lang w:eastAsia="en-AU"/>
        </w:rPr>
        <w:t xml:space="preserve"> summarised in </w:t>
      </w:r>
      <w:r w:rsidR="00E71398">
        <w:rPr>
          <w:lang w:eastAsia="en-AU"/>
        </w:rPr>
        <w:fldChar w:fldCharType="begin"/>
      </w:r>
      <w:r w:rsidR="00E71398">
        <w:rPr>
          <w:lang w:eastAsia="en-AU"/>
        </w:rPr>
        <w:instrText xml:space="preserve"> REF _Ref213241027 \h </w:instrText>
      </w:r>
      <w:r w:rsidR="00E71398">
        <w:rPr>
          <w:lang w:eastAsia="en-AU"/>
        </w:rPr>
      </w:r>
      <w:r w:rsidR="00E71398">
        <w:rPr>
          <w:lang w:eastAsia="en-AU"/>
        </w:rPr>
        <w:fldChar w:fldCharType="separate"/>
      </w:r>
      <w:r w:rsidR="00636F45" w:rsidRPr="00CD4BC4">
        <w:t xml:space="preserve">Figure </w:t>
      </w:r>
      <w:r w:rsidR="00636F45">
        <w:rPr>
          <w:noProof/>
        </w:rPr>
        <w:t>4</w:t>
      </w:r>
      <w:r w:rsidR="00E71398">
        <w:rPr>
          <w:lang w:eastAsia="en-AU"/>
        </w:rPr>
        <w:fldChar w:fldCharType="end"/>
      </w:r>
      <w:r w:rsidR="008F0FE9">
        <w:rPr>
          <w:lang w:eastAsia="en-AU"/>
        </w:rPr>
        <w:t>.</w:t>
      </w:r>
    </w:p>
    <w:p w14:paraId="392091FD" w14:textId="2132CDB7" w:rsidR="00965036" w:rsidRDefault="00965036" w:rsidP="00CD4BC4">
      <w:pPr>
        <w:pStyle w:val="Caption"/>
        <w:rPr>
          <w:lang w:eastAsia="en-AU"/>
        </w:rPr>
      </w:pPr>
      <w:bookmarkStart w:id="15" w:name="_Ref213241027"/>
      <w:r w:rsidRPr="00CD4BC4">
        <w:rPr>
          <w:sz w:val="22"/>
          <w:szCs w:val="22"/>
        </w:rPr>
        <w:t xml:space="preserve">Figure </w:t>
      </w:r>
      <w:r w:rsidRPr="00CD4BC4">
        <w:rPr>
          <w:sz w:val="22"/>
          <w:szCs w:val="22"/>
        </w:rPr>
        <w:fldChar w:fldCharType="begin"/>
      </w:r>
      <w:r w:rsidRPr="00CD4BC4">
        <w:rPr>
          <w:sz w:val="22"/>
          <w:szCs w:val="22"/>
        </w:rPr>
        <w:instrText xml:space="preserve"> SEQ Figure \* ARABIC </w:instrText>
      </w:r>
      <w:r w:rsidRPr="00CD4BC4">
        <w:rPr>
          <w:sz w:val="22"/>
          <w:szCs w:val="22"/>
        </w:rPr>
        <w:fldChar w:fldCharType="separate"/>
      </w:r>
      <w:r w:rsidR="00636F45">
        <w:rPr>
          <w:noProof/>
          <w:sz w:val="22"/>
          <w:szCs w:val="22"/>
        </w:rPr>
        <w:t>4</w:t>
      </w:r>
      <w:r w:rsidRPr="00CD4BC4">
        <w:rPr>
          <w:noProof/>
          <w:sz w:val="22"/>
          <w:szCs w:val="22"/>
        </w:rPr>
        <w:fldChar w:fldCharType="end"/>
      </w:r>
      <w:bookmarkEnd w:id="15"/>
      <w:r w:rsidR="00745FFB" w:rsidRPr="00CD4BC4">
        <w:rPr>
          <w:sz w:val="22"/>
          <w:szCs w:val="22"/>
        </w:rPr>
        <w:t>:</w:t>
      </w:r>
      <w:r w:rsidRPr="00CD4BC4">
        <w:rPr>
          <w:sz w:val="22"/>
          <w:szCs w:val="22"/>
        </w:rPr>
        <w:t xml:space="preserve"> Additional benefits of program engagement highlighted by participants.</w:t>
      </w:r>
    </w:p>
    <w:p w14:paraId="25FD65C4" w14:textId="1BFA30B7" w:rsidR="000A1F05" w:rsidRDefault="000A1F05" w:rsidP="003B34FF">
      <w:pPr>
        <w:keepNext/>
      </w:pPr>
    </w:p>
    <w:p w14:paraId="4B81FBEE" w14:textId="4BCCC576" w:rsidR="00D1495B" w:rsidDel="00965036" w:rsidRDefault="00D1495B" w:rsidP="003B34FF">
      <w:pPr>
        <w:pStyle w:val="Caption"/>
      </w:pPr>
      <w:r w:rsidRPr="00D1495B">
        <w:rPr>
          <w:noProof/>
        </w:rPr>
        <w:drawing>
          <wp:inline distT="0" distB="0" distL="0" distR="0" wp14:anchorId="09C00E9F" wp14:editId="136BCB41">
            <wp:extent cx="5731510" cy="4159250"/>
            <wp:effectExtent l="0" t="0" r="2540" b="0"/>
            <wp:docPr id="1040395848" name="Picture 1" descr="Diagram presenting four key themes related to evaluation improvement, each within a labeled box connected by braces. Themes include foundations for quality evaluation, attitudes toward evaluation, professional networks, and benefits of focused development, with bullet points detailing specific insights and outcomes under each th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395848" name="Picture 1" descr="Diagram presenting four key themes related to evaluation improvement, each within a labeled box connected by braces. Themes include foundations for quality evaluation, attitudes toward evaluation, professional networks, and benefits of focused development, with bullet points detailing specific insights and outcomes under each theme."/>
                    <pic:cNvPicPr/>
                  </pic:nvPicPr>
                  <pic:blipFill>
                    <a:blip r:embed="rId27"/>
                    <a:stretch>
                      <a:fillRect/>
                    </a:stretch>
                  </pic:blipFill>
                  <pic:spPr>
                    <a:xfrm>
                      <a:off x="0" y="0"/>
                      <a:ext cx="5731510" cy="4159250"/>
                    </a:xfrm>
                    <a:prstGeom prst="rect">
                      <a:avLst/>
                    </a:prstGeom>
                  </pic:spPr>
                </pic:pic>
              </a:graphicData>
            </a:graphic>
          </wp:inline>
        </w:drawing>
      </w:r>
    </w:p>
    <w:p w14:paraId="4739A4CE" w14:textId="77777777" w:rsidR="00CB0A20" w:rsidRDefault="00CB0A20" w:rsidP="00CB0A20"/>
    <w:p w14:paraId="4F468828" w14:textId="77777777" w:rsidR="00CB0A20" w:rsidRDefault="00CB0A20" w:rsidP="00CB0A20"/>
    <w:p w14:paraId="04455FC7" w14:textId="77777777" w:rsidR="00CB0A20" w:rsidRDefault="00CB0A20" w:rsidP="00CB0A20"/>
    <w:p w14:paraId="39A519E1" w14:textId="77777777" w:rsidR="00CB0A20" w:rsidRDefault="00CB0A20" w:rsidP="00CB0A20"/>
    <w:p w14:paraId="3255C5AE" w14:textId="77777777" w:rsidR="00CB0A20" w:rsidRPr="00CB0A20" w:rsidRDefault="00CB0A20" w:rsidP="00CB0A20"/>
    <w:bookmarkEnd w:id="13"/>
    <w:p w14:paraId="3A86688A" w14:textId="295A43FC" w:rsidR="00F0407E" w:rsidRPr="00CB0A20" w:rsidRDefault="00F0407E" w:rsidP="00BA2E54">
      <w:pPr>
        <w:rPr>
          <w:lang w:eastAsia="en-AU"/>
        </w:rPr>
      </w:pPr>
    </w:p>
    <w:p w14:paraId="4706E342" w14:textId="4E5283D5" w:rsidR="00F0407E" w:rsidRDefault="00F0407E" w:rsidP="1EE29F5F"/>
    <w:p w14:paraId="46CAA6E7" w14:textId="77777777" w:rsidR="00AD4787" w:rsidRDefault="00AD4787" w:rsidP="1EE29F5F"/>
    <w:p w14:paraId="11244784" w14:textId="77777777" w:rsidR="00AD4787" w:rsidRDefault="00AD4787" w:rsidP="1EE29F5F"/>
    <w:p w14:paraId="5081EDC1" w14:textId="08B9BD97" w:rsidR="00F0407E" w:rsidRDefault="00F0407E" w:rsidP="00F0407E">
      <w:pPr>
        <w:pStyle w:val="Heading1"/>
        <w:rPr>
          <w:rFonts w:eastAsia="Times New Roman"/>
          <w:lang w:eastAsia="en-AU"/>
        </w:rPr>
      </w:pPr>
      <w:r w:rsidRPr="1EE29F5F">
        <w:rPr>
          <w:rFonts w:eastAsia="Times New Roman"/>
          <w:lang w:eastAsia="en-AU"/>
        </w:rPr>
        <w:lastRenderedPageBreak/>
        <w:t>Appendi</w:t>
      </w:r>
      <w:r w:rsidR="003B5747" w:rsidRPr="1EE29F5F">
        <w:rPr>
          <w:rFonts w:eastAsia="Times New Roman"/>
          <w:lang w:eastAsia="en-AU"/>
        </w:rPr>
        <w:t>ces</w:t>
      </w:r>
      <w:r w:rsidRPr="1EE29F5F">
        <w:rPr>
          <w:rFonts w:eastAsia="Times New Roman"/>
          <w:lang w:eastAsia="en-AU"/>
        </w:rPr>
        <w:t xml:space="preserve"> </w:t>
      </w:r>
    </w:p>
    <w:p w14:paraId="727C4583" w14:textId="1B4D375C" w:rsidR="00CA2489" w:rsidRDefault="007307DB" w:rsidP="008C7DAD">
      <w:pPr>
        <w:pStyle w:val="Heading2"/>
      </w:pPr>
      <w:r w:rsidRPr="1EE29F5F">
        <w:t>Appendix A: List of participating institutional representatives</w:t>
      </w:r>
      <w:r w:rsidR="00CA2489" w:rsidRPr="1EE29F5F">
        <w:t xml:space="preserve"> </w:t>
      </w:r>
    </w:p>
    <w:p w14:paraId="63D7DF17" w14:textId="74DBA84B" w:rsidR="00CA2489" w:rsidRDefault="2289F420" w:rsidP="1EE29F5F">
      <w:pPr>
        <w:rPr>
          <w:b/>
          <w:bCs/>
          <w:lang w:eastAsia="en-AU"/>
        </w:rPr>
      </w:pPr>
      <w:r w:rsidRPr="1EE29F5F">
        <w:rPr>
          <w:b/>
          <w:bCs/>
          <w:lang w:eastAsia="en-AU"/>
        </w:rPr>
        <w:t>Flinders University</w:t>
      </w:r>
    </w:p>
    <w:p w14:paraId="4CCBB8F1" w14:textId="59C55EC0" w:rsidR="00CA2489" w:rsidRDefault="2289F420" w:rsidP="1EE29F5F">
      <w:pPr>
        <w:pStyle w:val="ListParagraph"/>
        <w:rPr>
          <w:lang w:eastAsia="en-AU"/>
        </w:rPr>
      </w:pPr>
      <w:r w:rsidRPr="1EE29F5F">
        <w:rPr>
          <w:lang w:eastAsia="en-AU"/>
        </w:rPr>
        <w:t xml:space="preserve">Michelle Picard </w:t>
      </w:r>
    </w:p>
    <w:p w14:paraId="5BD63F10" w14:textId="2930B82C" w:rsidR="00CA2489" w:rsidRDefault="2289F420" w:rsidP="1EE29F5F">
      <w:pPr>
        <w:pStyle w:val="ListParagraph"/>
        <w:rPr>
          <w:lang w:eastAsia="en-AU"/>
        </w:rPr>
      </w:pPr>
      <w:r w:rsidRPr="1EE29F5F">
        <w:rPr>
          <w:lang w:eastAsia="en-AU"/>
        </w:rPr>
        <w:t>Chris Brebner</w:t>
      </w:r>
    </w:p>
    <w:p w14:paraId="11AA4A0A" w14:textId="299560C1" w:rsidR="00CA2489" w:rsidRDefault="2289F420" w:rsidP="1EE29F5F">
      <w:pPr>
        <w:pStyle w:val="ListParagraph"/>
        <w:rPr>
          <w:lang w:eastAsia="en-AU"/>
        </w:rPr>
      </w:pPr>
      <w:r w:rsidRPr="1EE29F5F">
        <w:rPr>
          <w:lang w:eastAsia="en-AU"/>
        </w:rPr>
        <w:t>Genevieve Haskett</w:t>
      </w:r>
    </w:p>
    <w:p w14:paraId="6B87EB29" w14:textId="5099E396" w:rsidR="00CA2489" w:rsidRDefault="2289F420" w:rsidP="1EE29F5F">
      <w:pPr>
        <w:pStyle w:val="ListParagraph"/>
        <w:rPr>
          <w:lang w:eastAsia="en-AU"/>
        </w:rPr>
      </w:pPr>
      <w:r w:rsidRPr="1EE29F5F">
        <w:rPr>
          <w:lang w:eastAsia="en-AU"/>
        </w:rPr>
        <w:t>Kung-Keat Teoh (Teoh)</w:t>
      </w:r>
    </w:p>
    <w:p w14:paraId="5088502C" w14:textId="6FC934D7" w:rsidR="00CA2489" w:rsidRDefault="00CA2489" w:rsidP="1EE29F5F">
      <w:pPr>
        <w:rPr>
          <w:lang w:eastAsia="en-AU"/>
        </w:rPr>
      </w:pPr>
    </w:p>
    <w:p w14:paraId="1CC0D82F" w14:textId="7E859A07" w:rsidR="00CA2489" w:rsidRDefault="2289F420" w:rsidP="1EE29F5F">
      <w:pPr>
        <w:rPr>
          <w:b/>
          <w:bCs/>
          <w:lang w:eastAsia="en-AU"/>
        </w:rPr>
      </w:pPr>
      <w:r w:rsidRPr="1EE29F5F">
        <w:rPr>
          <w:b/>
          <w:bCs/>
          <w:lang w:eastAsia="en-AU"/>
        </w:rPr>
        <w:t>Griffith University</w:t>
      </w:r>
    </w:p>
    <w:p w14:paraId="0440076E" w14:textId="059B3115" w:rsidR="00CA2489" w:rsidRDefault="2289F420" w:rsidP="1EE29F5F">
      <w:pPr>
        <w:pStyle w:val="ListParagraph"/>
        <w:rPr>
          <w:lang w:eastAsia="en-AU"/>
        </w:rPr>
      </w:pPr>
      <w:r w:rsidRPr="1EE29F5F">
        <w:rPr>
          <w:lang w:eastAsia="en-AU"/>
        </w:rPr>
        <w:t>Rehana Lakhani</w:t>
      </w:r>
    </w:p>
    <w:p w14:paraId="4C896812" w14:textId="5E4E2700" w:rsidR="00CA2489" w:rsidRDefault="2289F420" w:rsidP="1EE29F5F">
      <w:pPr>
        <w:pStyle w:val="ListParagraph"/>
        <w:rPr>
          <w:lang w:eastAsia="en-AU"/>
        </w:rPr>
      </w:pPr>
      <w:r w:rsidRPr="1EE29F5F">
        <w:rPr>
          <w:lang w:eastAsia="en-AU"/>
        </w:rPr>
        <w:t>Ruth Kamrowski</w:t>
      </w:r>
    </w:p>
    <w:p w14:paraId="0DAE8434" w14:textId="444D2B80" w:rsidR="00CA2489" w:rsidRDefault="2289F420" w:rsidP="1EE29F5F">
      <w:pPr>
        <w:pStyle w:val="ListParagraph"/>
        <w:rPr>
          <w:lang w:eastAsia="en-AU"/>
        </w:rPr>
      </w:pPr>
      <w:r w:rsidRPr="1EE29F5F">
        <w:rPr>
          <w:lang w:eastAsia="en-AU"/>
        </w:rPr>
        <w:t xml:space="preserve">Vivian Wu </w:t>
      </w:r>
    </w:p>
    <w:p w14:paraId="52BF2682" w14:textId="67083829" w:rsidR="00CA2489" w:rsidRDefault="3231B391" w:rsidP="1EE29F5F">
      <w:pPr>
        <w:pStyle w:val="ListParagraph"/>
        <w:rPr>
          <w:lang w:eastAsia="en-AU"/>
        </w:rPr>
      </w:pPr>
      <w:r w:rsidRPr="1EE29F5F">
        <w:rPr>
          <w:lang w:eastAsia="en-AU"/>
        </w:rPr>
        <w:t>Clancy Birrell</w:t>
      </w:r>
    </w:p>
    <w:p w14:paraId="6953AA70" w14:textId="752572EE" w:rsidR="00CA2489" w:rsidRDefault="00CA2489" w:rsidP="1EE29F5F">
      <w:pPr>
        <w:rPr>
          <w:lang w:eastAsia="en-AU"/>
        </w:rPr>
      </w:pPr>
    </w:p>
    <w:p w14:paraId="50424ED1" w14:textId="1D7D6D22" w:rsidR="00CA2489" w:rsidRDefault="2289F420" w:rsidP="1EE29F5F">
      <w:pPr>
        <w:rPr>
          <w:b/>
          <w:bCs/>
          <w:lang w:eastAsia="en-AU"/>
        </w:rPr>
      </w:pPr>
      <w:r w:rsidRPr="1EE29F5F">
        <w:rPr>
          <w:b/>
          <w:bCs/>
          <w:lang w:eastAsia="en-AU"/>
        </w:rPr>
        <w:t>James Cook University</w:t>
      </w:r>
    </w:p>
    <w:p w14:paraId="53053D04" w14:textId="7D371EF3" w:rsidR="00CA2489" w:rsidRDefault="2289F420" w:rsidP="1EE29F5F">
      <w:pPr>
        <w:pStyle w:val="ListParagraph"/>
        <w:rPr>
          <w:lang w:eastAsia="en-AU"/>
        </w:rPr>
      </w:pPr>
      <w:r w:rsidRPr="1EE29F5F">
        <w:rPr>
          <w:lang w:eastAsia="en-AU"/>
        </w:rPr>
        <w:t>Nick Emtage</w:t>
      </w:r>
    </w:p>
    <w:p w14:paraId="1D627508" w14:textId="168554B8" w:rsidR="00CA2489" w:rsidRDefault="2289F420" w:rsidP="1EE29F5F">
      <w:pPr>
        <w:pStyle w:val="ListParagraph"/>
        <w:rPr>
          <w:lang w:eastAsia="en-AU"/>
        </w:rPr>
      </w:pPr>
      <w:r w:rsidRPr="1EE29F5F">
        <w:rPr>
          <w:lang w:eastAsia="en-AU"/>
        </w:rPr>
        <w:t xml:space="preserve">Colleen </w:t>
      </w:r>
      <w:proofErr w:type="spellStart"/>
      <w:r w:rsidRPr="1EE29F5F">
        <w:rPr>
          <w:lang w:eastAsia="en-AU"/>
        </w:rPr>
        <w:t>Kaesehagen</w:t>
      </w:r>
      <w:proofErr w:type="spellEnd"/>
    </w:p>
    <w:p w14:paraId="383C5D87" w14:textId="4AD130B2" w:rsidR="00CA2489" w:rsidRDefault="007307DB" w:rsidP="1EE29F5F">
      <w:r>
        <w:br/>
      </w:r>
      <w:r w:rsidR="2289F420" w:rsidRPr="1EE29F5F">
        <w:rPr>
          <w:b/>
          <w:bCs/>
        </w:rPr>
        <w:t>La Trobe University</w:t>
      </w:r>
    </w:p>
    <w:p w14:paraId="60962624" w14:textId="4F8A0651" w:rsidR="00CA2489" w:rsidRDefault="2289F420" w:rsidP="1EE29F5F">
      <w:pPr>
        <w:pStyle w:val="ListParagraph"/>
        <w:rPr>
          <w:lang w:eastAsia="en-AU"/>
        </w:rPr>
      </w:pPr>
      <w:r w:rsidRPr="1EE29F5F">
        <w:rPr>
          <w:lang w:eastAsia="en-AU"/>
        </w:rPr>
        <w:t>Jay Glaisyer</w:t>
      </w:r>
    </w:p>
    <w:p w14:paraId="794B52BD" w14:textId="20BC44ED" w:rsidR="00CA2489" w:rsidRDefault="2289F420" w:rsidP="1EE29F5F">
      <w:pPr>
        <w:pStyle w:val="ListParagraph"/>
        <w:rPr>
          <w:lang w:eastAsia="en-AU"/>
        </w:rPr>
      </w:pPr>
      <w:r w:rsidRPr="1EE29F5F">
        <w:rPr>
          <w:lang w:eastAsia="en-AU"/>
        </w:rPr>
        <w:t>Sarah Midford</w:t>
      </w:r>
    </w:p>
    <w:p w14:paraId="76FC2E01" w14:textId="3A6D0AF0" w:rsidR="00CA2489" w:rsidRDefault="2289F420" w:rsidP="1EE29F5F">
      <w:pPr>
        <w:pStyle w:val="ListParagraph"/>
        <w:rPr>
          <w:lang w:eastAsia="en-AU"/>
        </w:rPr>
      </w:pPr>
      <w:r w:rsidRPr="1EE29F5F">
        <w:rPr>
          <w:lang w:eastAsia="en-AU"/>
        </w:rPr>
        <w:t>Eva Sarr</w:t>
      </w:r>
    </w:p>
    <w:p w14:paraId="491A651F" w14:textId="4EC65441" w:rsidR="00CA2489" w:rsidRDefault="007307DB" w:rsidP="1EE29F5F">
      <w:r>
        <w:br/>
      </w:r>
      <w:r w:rsidR="2289F420" w:rsidRPr="1EE29F5F">
        <w:rPr>
          <w:b/>
          <w:bCs/>
        </w:rPr>
        <w:t>Murdoch University (Workshop 1 only)</w:t>
      </w:r>
    </w:p>
    <w:p w14:paraId="610DA698" w14:textId="1C53E40C" w:rsidR="00CA2489" w:rsidRDefault="2289F420" w:rsidP="1EE29F5F">
      <w:pPr>
        <w:pStyle w:val="ListParagraph"/>
        <w:rPr>
          <w:lang w:eastAsia="en-AU"/>
        </w:rPr>
      </w:pPr>
      <w:r w:rsidRPr="1EE29F5F">
        <w:rPr>
          <w:lang w:eastAsia="en-AU"/>
        </w:rPr>
        <w:t>Rebecca Bennett</w:t>
      </w:r>
    </w:p>
    <w:p w14:paraId="7191D962" w14:textId="0102B4DC" w:rsidR="00CA2489" w:rsidRDefault="2289F420" w:rsidP="1EE29F5F">
      <w:pPr>
        <w:pStyle w:val="ListParagraph"/>
        <w:rPr>
          <w:lang w:eastAsia="en-AU"/>
        </w:rPr>
      </w:pPr>
      <w:proofErr w:type="spellStart"/>
      <w:r w:rsidRPr="1EE29F5F">
        <w:rPr>
          <w:lang w:eastAsia="en-AU"/>
        </w:rPr>
        <w:t>Kohilavani</w:t>
      </w:r>
      <w:proofErr w:type="spellEnd"/>
      <w:r w:rsidRPr="1EE29F5F">
        <w:rPr>
          <w:lang w:eastAsia="en-AU"/>
        </w:rPr>
        <w:t xml:space="preserve"> (Vani) Lambourne</w:t>
      </w:r>
    </w:p>
    <w:p w14:paraId="27BC9D99" w14:textId="48A094CB" w:rsidR="00CA2489" w:rsidRDefault="00CA2489" w:rsidP="1EE29F5F">
      <w:pPr>
        <w:rPr>
          <w:lang w:eastAsia="en-AU"/>
        </w:rPr>
      </w:pPr>
    </w:p>
    <w:p w14:paraId="398B67C5" w14:textId="1EAA54D2" w:rsidR="00CA2489" w:rsidRDefault="2289F420" w:rsidP="1EE29F5F">
      <w:pPr>
        <w:rPr>
          <w:b/>
          <w:bCs/>
          <w:lang w:eastAsia="en-AU"/>
        </w:rPr>
      </w:pPr>
      <w:r w:rsidRPr="1EE29F5F">
        <w:rPr>
          <w:b/>
          <w:bCs/>
          <w:lang w:eastAsia="en-AU"/>
        </w:rPr>
        <w:t>University of Canberra</w:t>
      </w:r>
    </w:p>
    <w:p w14:paraId="0A20BBA4" w14:textId="7376617B" w:rsidR="00CA2489" w:rsidRDefault="2289F420" w:rsidP="1EE29F5F">
      <w:pPr>
        <w:pStyle w:val="ListParagraph"/>
        <w:rPr>
          <w:lang w:eastAsia="en-AU"/>
        </w:rPr>
      </w:pPr>
      <w:r w:rsidRPr="1EE29F5F">
        <w:rPr>
          <w:lang w:eastAsia="en-AU"/>
        </w:rPr>
        <w:t xml:space="preserve">Mara </w:t>
      </w:r>
      <w:proofErr w:type="spellStart"/>
      <w:r w:rsidRPr="1EE29F5F">
        <w:rPr>
          <w:lang w:eastAsia="en-AU"/>
        </w:rPr>
        <w:t>Eversons</w:t>
      </w:r>
      <w:proofErr w:type="spellEnd"/>
    </w:p>
    <w:p w14:paraId="7C73A2FA" w14:textId="7B3FC589" w:rsidR="00CA2489" w:rsidRDefault="2289F420" w:rsidP="1EE29F5F">
      <w:pPr>
        <w:pStyle w:val="ListParagraph"/>
        <w:rPr>
          <w:lang w:eastAsia="en-AU"/>
        </w:rPr>
      </w:pPr>
      <w:r w:rsidRPr="1EE29F5F">
        <w:rPr>
          <w:lang w:eastAsia="en-AU"/>
        </w:rPr>
        <w:t>Lara Drew</w:t>
      </w:r>
    </w:p>
    <w:p w14:paraId="151D9183" w14:textId="10068F2C" w:rsidR="00CA2489" w:rsidRDefault="2289F420" w:rsidP="1EE29F5F">
      <w:pPr>
        <w:pStyle w:val="ListParagraph"/>
        <w:rPr>
          <w:lang w:eastAsia="en-AU"/>
        </w:rPr>
      </w:pPr>
      <w:r w:rsidRPr="1EE29F5F">
        <w:rPr>
          <w:lang w:eastAsia="en-AU"/>
        </w:rPr>
        <w:t>Laurie Poretti</w:t>
      </w:r>
    </w:p>
    <w:p w14:paraId="7970006E" w14:textId="6E980599" w:rsidR="00CA2489" w:rsidRDefault="7768A0D9" w:rsidP="008C7DAD">
      <w:pPr>
        <w:pStyle w:val="Heading2"/>
      </w:pPr>
      <w:r w:rsidRPr="1EE29F5F">
        <w:lastRenderedPageBreak/>
        <w:t>Appendix B: M</w:t>
      </w:r>
      <w:r w:rsidR="00CA2489" w:rsidRPr="1EE29F5F">
        <w:t>embers of the 2026 Impact Evaluation Working Group</w:t>
      </w:r>
    </w:p>
    <w:p w14:paraId="39B01237" w14:textId="57B881A4" w:rsidR="638013B0" w:rsidRDefault="638013B0" w:rsidP="1EE29F5F">
      <w:pPr>
        <w:rPr>
          <w:lang w:eastAsia="en-AU"/>
        </w:rPr>
      </w:pPr>
      <w:r w:rsidRPr="1EE29F5F">
        <w:rPr>
          <w:lang w:eastAsia="en-AU"/>
        </w:rPr>
        <w:t xml:space="preserve">Dr Ruth Kamrowski (Griffith, Lead), </w:t>
      </w:r>
      <w:r w:rsidR="7E606EB9" w:rsidRPr="1EE29F5F">
        <w:rPr>
          <w:lang w:eastAsia="en-AU"/>
        </w:rPr>
        <w:t>Prof Michelle Picard (Flinders), Dr Nick Emtage (JCU), Jay Glasier (La Trobe), Dr Lara Drew (UC)</w:t>
      </w:r>
    </w:p>
    <w:p w14:paraId="2150F237" w14:textId="757DE062" w:rsidR="6738E8AA" w:rsidRDefault="6738E8AA" w:rsidP="008C7DAD">
      <w:pPr>
        <w:pStyle w:val="Heading2"/>
      </w:pPr>
      <w:r w:rsidRPr="1EE29F5F">
        <w:t xml:space="preserve">Appendix </w:t>
      </w:r>
      <w:r w:rsidR="1BDF2275" w:rsidRPr="1EE29F5F">
        <w:t>C</w:t>
      </w:r>
      <w:r w:rsidRPr="1EE29F5F">
        <w:t>: Consolidated reflections from program participants</w:t>
      </w:r>
    </w:p>
    <w:p w14:paraId="60E9403F" w14:textId="5C0E033E" w:rsidR="1556FECC" w:rsidRDefault="1556FECC" w:rsidP="1EE29F5F">
      <w:pPr>
        <w:rPr>
          <w:i/>
          <w:iCs/>
          <w:lang w:eastAsia="en-AU"/>
        </w:rPr>
      </w:pPr>
      <w:r w:rsidRPr="1EE29F5F">
        <w:rPr>
          <w:i/>
          <w:iCs/>
          <w:lang w:eastAsia="en-AU"/>
        </w:rPr>
        <w:t>What have you got out of this</w:t>
      </w:r>
      <w:r w:rsidR="1EA4DAB7" w:rsidRPr="1EE29F5F">
        <w:rPr>
          <w:i/>
          <w:iCs/>
          <w:lang w:eastAsia="en-AU"/>
        </w:rPr>
        <w:t xml:space="preserve"> capability building project</w:t>
      </w:r>
      <w:r w:rsidRPr="1EE29F5F">
        <w:rPr>
          <w:i/>
          <w:iCs/>
          <w:lang w:eastAsia="en-AU"/>
        </w:rPr>
        <w:t>?</w:t>
      </w:r>
    </w:p>
    <w:p w14:paraId="5E478A0C" w14:textId="783A7921" w:rsidR="1556FECC" w:rsidRDefault="1556FECC" w:rsidP="1EE29F5F">
      <w:pPr>
        <w:pStyle w:val="ListParagraph"/>
        <w:rPr>
          <w:lang w:eastAsia="en-AU"/>
        </w:rPr>
      </w:pPr>
      <w:r w:rsidRPr="1EE29F5F">
        <w:rPr>
          <w:lang w:eastAsia="en-AU"/>
        </w:rPr>
        <w:t>Enthusiasm for and interest in evaluation</w:t>
      </w:r>
      <w:r w:rsidR="00965036">
        <w:rPr>
          <w:lang w:eastAsia="en-AU"/>
        </w:rPr>
        <w:t>.</w:t>
      </w:r>
    </w:p>
    <w:p w14:paraId="7A86FB7E" w14:textId="5B05F282" w:rsidR="1556FECC" w:rsidRDefault="1556FECC" w:rsidP="1EE29F5F">
      <w:pPr>
        <w:pStyle w:val="ListParagraph"/>
        <w:rPr>
          <w:lang w:eastAsia="en-AU"/>
        </w:rPr>
      </w:pPr>
      <w:r w:rsidRPr="1EE29F5F">
        <w:rPr>
          <w:lang w:eastAsia="en-AU"/>
        </w:rPr>
        <w:t>Importance and need for good data</w:t>
      </w:r>
      <w:r w:rsidR="00965036">
        <w:rPr>
          <w:lang w:eastAsia="en-AU"/>
        </w:rPr>
        <w:t>.</w:t>
      </w:r>
    </w:p>
    <w:p w14:paraId="541A79FC" w14:textId="5074BF3D" w:rsidR="1556FECC" w:rsidRDefault="1556FECC" w:rsidP="1EE29F5F">
      <w:pPr>
        <w:pStyle w:val="ListParagraph"/>
        <w:rPr>
          <w:lang w:eastAsia="en-AU"/>
        </w:rPr>
      </w:pPr>
      <w:r w:rsidRPr="1EE29F5F">
        <w:rPr>
          <w:lang w:eastAsia="en-AU"/>
        </w:rPr>
        <w:t>Importance of building evaluation into program design</w:t>
      </w:r>
      <w:r w:rsidR="00965036">
        <w:rPr>
          <w:lang w:eastAsia="en-AU"/>
        </w:rPr>
        <w:t>.</w:t>
      </w:r>
    </w:p>
    <w:p w14:paraId="12F875B7" w14:textId="1CB6BF7C" w:rsidR="1556FECC" w:rsidRDefault="1556FECC" w:rsidP="1EE29F5F">
      <w:pPr>
        <w:pStyle w:val="ListParagraph"/>
        <w:rPr>
          <w:lang w:eastAsia="en-AU"/>
        </w:rPr>
      </w:pPr>
      <w:r w:rsidRPr="1EE29F5F">
        <w:rPr>
          <w:lang w:eastAsia="en-AU"/>
        </w:rPr>
        <w:t>Gained much broader and deeper understanding of impact evaluation methodology and different evaluation trial designs (</w:t>
      </w:r>
      <w:r w:rsidR="00965036">
        <w:rPr>
          <w:lang w:eastAsia="en-AU"/>
        </w:rPr>
        <w:t>for example</w:t>
      </w:r>
      <w:r w:rsidRPr="1EE29F5F">
        <w:rPr>
          <w:lang w:eastAsia="en-AU"/>
        </w:rPr>
        <w:t>, RED)</w:t>
      </w:r>
      <w:r w:rsidR="00965036">
        <w:rPr>
          <w:lang w:eastAsia="en-AU"/>
        </w:rPr>
        <w:t>.</w:t>
      </w:r>
    </w:p>
    <w:p w14:paraId="79D391C8" w14:textId="55DE827D" w:rsidR="1556FECC" w:rsidRDefault="1556FECC" w:rsidP="1EE29F5F">
      <w:pPr>
        <w:pStyle w:val="ListParagraph"/>
        <w:rPr>
          <w:lang w:eastAsia="en-AU"/>
        </w:rPr>
      </w:pPr>
      <w:r w:rsidRPr="1EE29F5F">
        <w:rPr>
          <w:lang w:eastAsia="en-AU"/>
        </w:rPr>
        <w:t>Resourcing equity data/evaluation and collaboration between program and data teams (bridged the missing link)</w:t>
      </w:r>
      <w:r w:rsidR="009208C0">
        <w:rPr>
          <w:lang w:eastAsia="en-AU"/>
        </w:rPr>
        <w:t>.</w:t>
      </w:r>
    </w:p>
    <w:p w14:paraId="40344078" w14:textId="5392911C" w:rsidR="1556FECC" w:rsidRDefault="1556FECC" w:rsidP="1EE29F5F">
      <w:pPr>
        <w:pStyle w:val="ListParagraph"/>
        <w:rPr>
          <w:lang w:eastAsia="en-AU"/>
        </w:rPr>
      </w:pPr>
      <w:r w:rsidRPr="1EE29F5F">
        <w:rPr>
          <w:lang w:eastAsia="en-AU"/>
        </w:rPr>
        <w:t>Opportunity to think through programs and activities more deeply, consider how numerous activities add up to a greater whole for the students, identify priorities for improvement</w:t>
      </w:r>
      <w:r w:rsidR="009208C0">
        <w:rPr>
          <w:lang w:eastAsia="en-AU"/>
        </w:rPr>
        <w:t>.</w:t>
      </w:r>
    </w:p>
    <w:p w14:paraId="0D693627" w14:textId="156E7F59" w:rsidR="1556FECC" w:rsidRDefault="1556FECC" w:rsidP="1EE29F5F">
      <w:pPr>
        <w:pStyle w:val="ListParagraph"/>
        <w:rPr>
          <w:lang w:eastAsia="en-AU"/>
        </w:rPr>
      </w:pPr>
      <w:r w:rsidRPr="1EE29F5F">
        <w:rPr>
          <w:lang w:eastAsia="en-AU"/>
        </w:rPr>
        <w:t>Value of peer sharing across institutions: skills, knowledge, network, sense of belonging</w:t>
      </w:r>
      <w:r w:rsidR="009208C0">
        <w:rPr>
          <w:lang w:eastAsia="en-AU"/>
        </w:rPr>
        <w:t>.</w:t>
      </w:r>
    </w:p>
    <w:p w14:paraId="410076B1" w14:textId="7775BB3E" w:rsidR="1556FECC" w:rsidRDefault="1556FECC" w:rsidP="1EE29F5F">
      <w:pPr>
        <w:pStyle w:val="ListParagraph"/>
        <w:rPr>
          <w:lang w:eastAsia="en-AU"/>
        </w:rPr>
      </w:pPr>
      <w:r w:rsidRPr="1EE29F5F">
        <w:rPr>
          <w:lang w:eastAsia="en-AU"/>
        </w:rPr>
        <w:t>Supportive and affirming network that will live on</w:t>
      </w:r>
      <w:r w:rsidR="009208C0">
        <w:rPr>
          <w:lang w:eastAsia="en-AU"/>
        </w:rPr>
        <w:t>.</w:t>
      </w:r>
    </w:p>
    <w:p w14:paraId="079142D5" w14:textId="34360E5A" w:rsidR="1556FECC" w:rsidRDefault="1556FECC" w:rsidP="1EE29F5F">
      <w:pPr>
        <w:pStyle w:val="ListParagraph"/>
        <w:rPr>
          <w:lang w:eastAsia="en-AU"/>
        </w:rPr>
      </w:pPr>
      <w:r w:rsidRPr="1EE29F5F">
        <w:rPr>
          <w:lang w:eastAsia="en-AU"/>
        </w:rPr>
        <w:t xml:space="preserve">Value of taking time to immerse </w:t>
      </w:r>
      <w:proofErr w:type="gramStart"/>
      <w:r w:rsidRPr="1EE29F5F">
        <w:rPr>
          <w:lang w:eastAsia="en-AU"/>
        </w:rPr>
        <w:t>ourselves</w:t>
      </w:r>
      <w:proofErr w:type="gramEnd"/>
      <w:r w:rsidRPr="1EE29F5F">
        <w:rPr>
          <w:lang w:eastAsia="en-AU"/>
        </w:rPr>
        <w:t xml:space="preserve"> </w:t>
      </w:r>
      <w:r w:rsidR="009208C0">
        <w:rPr>
          <w:lang w:eastAsia="en-AU"/>
        </w:rPr>
        <w:t>and</w:t>
      </w:r>
      <w:r w:rsidRPr="1EE29F5F">
        <w:rPr>
          <w:lang w:eastAsia="en-AU"/>
        </w:rPr>
        <w:t xml:space="preserve"> having the space for robust discussions, it’s been wonderful to have the opportunity to problem-solve with colleagues from across institutions</w:t>
      </w:r>
      <w:r w:rsidR="009208C0">
        <w:rPr>
          <w:lang w:eastAsia="en-AU"/>
        </w:rPr>
        <w:t>.</w:t>
      </w:r>
    </w:p>
    <w:p w14:paraId="38B1FA91" w14:textId="5D1B9A24" w:rsidR="1556FECC" w:rsidRDefault="1556FECC" w:rsidP="1EE29F5F">
      <w:pPr>
        <w:pStyle w:val="ListParagraph"/>
        <w:rPr>
          <w:lang w:eastAsia="en-AU"/>
        </w:rPr>
      </w:pPr>
      <w:r w:rsidRPr="1EE29F5F">
        <w:rPr>
          <w:lang w:eastAsia="en-AU"/>
        </w:rPr>
        <w:t>Peer engagement has proven an effective tool for building evaluation capability and taking practice to the next level</w:t>
      </w:r>
      <w:r w:rsidR="009208C0">
        <w:rPr>
          <w:lang w:eastAsia="en-AU"/>
        </w:rPr>
        <w:t>.</w:t>
      </w:r>
    </w:p>
    <w:p w14:paraId="3367BBF4" w14:textId="37D84FB9" w:rsidR="00CB0A20" w:rsidRPr="00CB0A20" w:rsidRDefault="00CB0A20" w:rsidP="00AD4787">
      <w:pPr>
        <w:pStyle w:val="Heading2"/>
        <w:numPr>
          <w:ilvl w:val="0"/>
          <w:numId w:val="0"/>
        </w:numPr>
      </w:pPr>
    </w:p>
    <w:sectPr w:rsidR="00CB0A20" w:rsidRPr="00CB0A20" w:rsidSect="008C7722">
      <w:pgSz w:w="11906" w:h="16838"/>
      <w:pgMar w:top="1440" w:right="1440" w:bottom="1440" w:left="1440" w:header="708"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CB42F" w14:textId="77777777" w:rsidR="00FD1D99" w:rsidRDefault="00FD1D99" w:rsidP="008C7722">
      <w:pPr>
        <w:spacing w:after="0" w:line="240" w:lineRule="auto"/>
      </w:pPr>
      <w:r>
        <w:separator/>
      </w:r>
    </w:p>
  </w:endnote>
  <w:endnote w:type="continuationSeparator" w:id="0">
    <w:p w14:paraId="5B3E83E6" w14:textId="77777777" w:rsidR="00FD1D99" w:rsidRDefault="00FD1D99" w:rsidP="008C7722">
      <w:pPr>
        <w:spacing w:after="0" w:line="240" w:lineRule="auto"/>
      </w:pPr>
      <w:r>
        <w:continuationSeparator/>
      </w:r>
    </w:p>
  </w:endnote>
  <w:endnote w:type="continuationNotice" w:id="1">
    <w:p w14:paraId="08BF60A2" w14:textId="77777777" w:rsidR="00FD1D99" w:rsidRDefault="00FD1D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ter">
    <w:altName w:val="Calibri"/>
    <w:charset w:val="00"/>
    <w:family w:val="auto"/>
    <w:pitch w:val="variable"/>
    <w:sig w:usb0="E00002FF" w:usb1="1200A1FF" w:usb2="00000001" w:usb3="00000000" w:csb0="0000019F" w:csb1="00000000"/>
  </w:font>
  <w:font w:name="Inter Light">
    <w:altName w:val="Calibri"/>
    <w:charset w:val="00"/>
    <w:family w:val="auto"/>
    <w:pitch w:val="variable"/>
    <w:sig w:usb0="E00002FF" w:usb1="1200A1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nter Medium">
    <w:altName w:val="Calibri"/>
    <w:charset w:val="00"/>
    <w:family w:val="auto"/>
    <w:pitch w:val="variable"/>
    <w:sig w:usb0="E00002FF" w:usb1="1200A1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igtree Light">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264410"/>
      <w:docPartObj>
        <w:docPartGallery w:val="Page Numbers (Bottom of Page)"/>
        <w:docPartUnique/>
      </w:docPartObj>
    </w:sdtPr>
    <w:sdtEndPr>
      <w:rPr>
        <w:noProof/>
        <w:sz w:val="18"/>
        <w:szCs w:val="18"/>
      </w:rPr>
    </w:sdtEndPr>
    <w:sdtContent>
      <w:p w14:paraId="0A3E323C" w14:textId="77777777" w:rsidR="008C7722" w:rsidRPr="00AF0FAE" w:rsidRDefault="008C7722">
        <w:pPr>
          <w:pStyle w:val="Footer"/>
          <w:jc w:val="center"/>
          <w:rPr>
            <w:sz w:val="18"/>
            <w:szCs w:val="18"/>
          </w:rPr>
        </w:pPr>
        <w:r w:rsidRPr="00AF0FAE">
          <w:rPr>
            <w:sz w:val="18"/>
            <w:szCs w:val="18"/>
          </w:rPr>
          <w:fldChar w:fldCharType="begin"/>
        </w:r>
        <w:r w:rsidRPr="00AF0FAE">
          <w:rPr>
            <w:sz w:val="18"/>
            <w:szCs w:val="18"/>
          </w:rPr>
          <w:instrText xml:space="preserve"> PAGE   \* MERGEFORMAT </w:instrText>
        </w:r>
        <w:r w:rsidRPr="00AF0FAE">
          <w:rPr>
            <w:sz w:val="18"/>
            <w:szCs w:val="18"/>
          </w:rPr>
          <w:fldChar w:fldCharType="separate"/>
        </w:r>
        <w:r w:rsidRPr="00AF0FAE">
          <w:rPr>
            <w:noProof/>
            <w:sz w:val="18"/>
            <w:szCs w:val="18"/>
          </w:rPr>
          <w:t>2</w:t>
        </w:r>
        <w:r w:rsidRPr="00AF0FAE">
          <w:rPr>
            <w:noProof/>
            <w:sz w:val="18"/>
            <w:szCs w:val="18"/>
          </w:rPr>
          <w:fldChar w:fldCharType="end"/>
        </w:r>
      </w:p>
    </w:sdtContent>
  </w:sdt>
  <w:p w14:paraId="0F19D595" w14:textId="77777777" w:rsidR="008C7722" w:rsidRDefault="008C77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F44FE" w14:textId="77777777" w:rsidR="00FD1D99" w:rsidRDefault="00FD1D99" w:rsidP="008C7722">
      <w:pPr>
        <w:spacing w:after="0" w:line="240" w:lineRule="auto"/>
      </w:pPr>
      <w:r>
        <w:separator/>
      </w:r>
    </w:p>
  </w:footnote>
  <w:footnote w:type="continuationSeparator" w:id="0">
    <w:p w14:paraId="51B87743" w14:textId="77777777" w:rsidR="00FD1D99" w:rsidRDefault="00FD1D99" w:rsidP="008C7722">
      <w:pPr>
        <w:spacing w:after="0" w:line="240" w:lineRule="auto"/>
      </w:pPr>
      <w:r>
        <w:continuationSeparator/>
      </w:r>
    </w:p>
  </w:footnote>
  <w:footnote w:type="continuationNotice" w:id="1">
    <w:p w14:paraId="7D655CED" w14:textId="77777777" w:rsidR="00FD1D99" w:rsidRDefault="00FD1D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0B4AA" w14:textId="5BB380C9" w:rsidR="00F64365" w:rsidRDefault="00F643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0AD5"/>
    <w:multiLevelType w:val="hybridMultilevel"/>
    <w:tmpl w:val="7436E056"/>
    <w:lvl w:ilvl="0" w:tplc="0C09000F">
      <w:start w:val="1"/>
      <w:numFmt w:val="decimal"/>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 w15:restartNumberingAfterBreak="0">
    <w:nsid w:val="034A54FE"/>
    <w:multiLevelType w:val="hybridMultilevel"/>
    <w:tmpl w:val="ADD06F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EF7E7E"/>
    <w:multiLevelType w:val="hybridMultilevel"/>
    <w:tmpl w:val="FB50C3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3755B9"/>
    <w:multiLevelType w:val="hybridMultilevel"/>
    <w:tmpl w:val="C83AF0F8"/>
    <w:lvl w:ilvl="0" w:tplc="1E0AD826">
      <w:start w:val="1"/>
      <w:numFmt w:val="bullet"/>
      <w:lvlText w:val="•"/>
      <w:lvlJc w:val="left"/>
      <w:pPr>
        <w:tabs>
          <w:tab w:val="num" w:pos="720"/>
        </w:tabs>
        <w:ind w:left="720" w:hanging="360"/>
      </w:pPr>
      <w:rPr>
        <w:rFonts w:ascii="Arial" w:hAnsi="Arial" w:hint="default"/>
      </w:rPr>
    </w:lvl>
    <w:lvl w:ilvl="1" w:tplc="D958C206" w:tentative="1">
      <w:start w:val="1"/>
      <w:numFmt w:val="bullet"/>
      <w:lvlText w:val="•"/>
      <w:lvlJc w:val="left"/>
      <w:pPr>
        <w:tabs>
          <w:tab w:val="num" w:pos="1440"/>
        </w:tabs>
        <w:ind w:left="1440" w:hanging="360"/>
      </w:pPr>
      <w:rPr>
        <w:rFonts w:ascii="Arial" w:hAnsi="Arial" w:hint="default"/>
      </w:rPr>
    </w:lvl>
    <w:lvl w:ilvl="2" w:tplc="FC68EF36" w:tentative="1">
      <w:start w:val="1"/>
      <w:numFmt w:val="bullet"/>
      <w:lvlText w:val="•"/>
      <w:lvlJc w:val="left"/>
      <w:pPr>
        <w:tabs>
          <w:tab w:val="num" w:pos="2160"/>
        </w:tabs>
        <w:ind w:left="2160" w:hanging="360"/>
      </w:pPr>
      <w:rPr>
        <w:rFonts w:ascii="Arial" w:hAnsi="Arial" w:hint="default"/>
      </w:rPr>
    </w:lvl>
    <w:lvl w:ilvl="3" w:tplc="6D444B88" w:tentative="1">
      <w:start w:val="1"/>
      <w:numFmt w:val="bullet"/>
      <w:lvlText w:val="•"/>
      <w:lvlJc w:val="left"/>
      <w:pPr>
        <w:tabs>
          <w:tab w:val="num" w:pos="2880"/>
        </w:tabs>
        <w:ind w:left="2880" w:hanging="360"/>
      </w:pPr>
      <w:rPr>
        <w:rFonts w:ascii="Arial" w:hAnsi="Arial" w:hint="default"/>
      </w:rPr>
    </w:lvl>
    <w:lvl w:ilvl="4" w:tplc="2B7800F2" w:tentative="1">
      <w:start w:val="1"/>
      <w:numFmt w:val="bullet"/>
      <w:lvlText w:val="•"/>
      <w:lvlJc w:val="left"/>
      <w:pPr>
        <w:tabs>
          <w:tab w:val="num" w:pos="3600"/>
        </w:tabs>
        <w:ind w:left="3600" w:hanging="360"/>
      </w:pPr>
      <w:rPr>
        <w:rFonts w:ascii="Arial" w:hAnsi="Arial" w:hint="default"/>
      </w:rPr>
    </w:lvl>
    <w:lvl w:ilvl="5" w:tplc="C326095E" w:tentative="1">
      <w:start w:val="1"/>
      <w:numFmt w:val="bullet"/>
      <w:lvlText w:val="•"/>
      <w:lvlJc w:val="left"/>
      <w:pPr>
        <w:tabs>
          <w:tab w:val="num" w:pos="4320"/>
        </w:tabs>
        <w:ind w:left="4320" w:hanging="360"/>
      </w:pPr>
      <w:rPr>
        <w:rFonts w:ascii="Arial" w:hAnsi="Arial" w:hint="default"/>
      </w:rPr>
    </w:lvl>
    <w:lvl w:ilvl="6" w:tplc="A6022F22" w:tentative="1">
      <w:start w:val="1"/>
      <w:numFmt w:val="bullet"/>
      <w:lvlText w:val="•"/>
      <w:lvlJc w:val="left"/>
      <w:pPr>
        <w:tabs>
          <w:tab w:val="num" w:pos="5040"/>
        </w:tabs>
        <w:ind w:left="5040" w:hanging="360"/>
      </w:pPr>
      <w:rPr>
        <w:rFonts w:ascii="Arial" w:hAnsi="Arial" w:hint="default"/>
      </w:rPr>
    </w:lvl>
    <w:lvl w:ilvl="7" w:tplc="897CD130" w:tentative="1">
      <w:start w:val="1"/>
      <w:numFmt w:val="bullet"/>
      <w:lvlText w:val="•"/>
      <w:lvlJc w:val="left"/>
      <w:pPr>
        <w:tabs>
          <w:tab w:val="num" w:pos="5760"/>
        </w:tabs>
        <w:ind w:left="5760" w:hanging="360"/>
      </w:pPr>
      <w:rPr>
        <w:rFonts w:ascii="Arial" w:hAnsi="Arial" w:hint="default"/>
      </w:rPr>
    </w:lvl>
    <w:lvl w:ilvl="8" w:tplc="998E879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CF6704C"/>
    <w:multiLevelType w:val="hybridMultilevel"/>
    <w:tmpl w:val="9076A09A"/>
    <w:lvl w:ilvl="0" w:tplc="0C090001">
      <w:start w:val="1"/>
      <w:numFmt w:val="bullet"/>
      <w:pStyle w:val="ListParagraph"/>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F78409D"/>
    <w:multiLevelType w:val="hybridMultilevel"/>
    <w:tmpl w:val="AE56C30A"/>
    <w:lvl w:ilvl="0" w:tplc="D64CB342">
      <w:start w:val="1"/>
      <w:numFmt w:val="decimal"/>
      <w:lvlText w:val="%1."/>
      <w:lvlJc w:val="left"/>
      <w:pPr>
        <w:ind w:left="720" w:hanging="360"/>
      </w:pPr>
    </w:lvl>
    <w:lvl w:ilvl="1" w:tplc="5748BC4A">
      <w:start w:val="1"/>
      <w:numFmt w:val="lowerLetter"/>
      <w:lvlText w:val="%2."/>
      <w:lvlJc w:val="left"/>
      <w:pPr>
        <w:ind w:left="1440" w:hanging="360"/>
      </w:pPr>
    </w:lvl>
    <w:lvl w:ilvl="2" w:tplc="18A849BE">
      <w:start w:val="1"/>
      <w:numFmt w:val="lowerRoman"/>
      <w:lvlText w:val="%3."/>
      <w:lvlJc w:val="right"/>
      <w:pPr>
        <w:ind w:left="2160" w:hanging="180"/>
      </w:pPr>
    </w:lvl>
    <w:lvl w:ilvl="3" w:tplc="753E4D2E">
      <w:start w:val="1"/>
      <w:numFmt w:val="decimal"/>
      <w:lvlText w:val="%4."/>
      <w:lvlJc w:val="left"/>
      <w:pPr>
        <w:ind w:left="2880" w:hanging="360"/>
      </w:pPr>
    </w:lvl>
    <w:lvl w:ilvl="4" w:tplc="5FEE9754">
      <w:start w:val="1"/>
      <w:numFmt w:val="lowerLetter"/>
      <w:lvlText w:val="%5."/>
      <w:lvlJc w:val="left"/>
      <w:pPr>
        <w:ind w:left="3600" w:hanging="360"/>
      </w:pPr>
    </w:lvl>
    <w:lvl w:ilvl="5" w:tplc="FA264E72">
      <w:start w:val="1"/>
      <w:numFmt w:val="lowerRoman"/>
      <w:lvlText w:val="%6."/>
      <w:lvlJc w:val="right"/>
      <w:pPr>
        <w:ind w:left="4320" w:hanging="180"/>
      </w:pPr>
    </w:lvl>
    <w:lvl w:ilvl="6" w:tplc="D010A606">
      <w:start w:val="1"/>
      <w:numFmt w:val="decimal"/>
      <w:lvlText w:val="%7."/>
      <w:lvlJc w:val="left"/>
      <w:pPr>
        <w:ind w:left="5040" w:hanging="360"/>
      </w:pPr>
    </w:lvl>
    <w:lvl w:ilvl="7" w:tplc="AE3CAF1E">
      <w:start w:val="1"/>
      <w:numFmt w:val="lowerLetter"/>
      <w:lvlText w:val="%8."/>
      <w:lvlJc w:val="left"/>
      <w:pPr>
        <w:ind w:left="5760" w:hanging="360"/>
      </w:pPr>
    </w:lvl>
    <w:lvl w:ilvl="8" w:tplc="C29EC9BC">
      <w:start w:val="1"/>
      <w:numFmt w:val="lowerRoman"/>
      <w:lvlText w:val="%9."/>
      <w:lvlJc w:val="right"/>
      <w:pPr>
        <w:ind w:left="6480" w:hanging="180"/>
      </w:pPr>
    </w:lvl>
  </w:abstractNum>
  <w:abstractNum w:abstractNumId="6" w15:restartNumberingAfterBreak="0">
    <w:nsid w:val="0F88093B"/>
    <w:multiLevelType w:val="hybridMultilevel"/>
    <w:tmpl w:val="936C16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824636"/>
    <w:multiLevelType w:val="hybridMultilevel"/>
    <w:tmpl w:val="824AD4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BE7FF0"/>
    <w:multiLevelType w:val="hybridMultilevel"/>
    <w:tmpl w:val="5D469898"/>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AC80EEC"/>
    <w:multiLevelType w:val="hybridMultilevel"/>
    <w:tmpl w:val="A7143D8A"/>
    <w:lvl w:ilvl="0" w:tplc="CA28E736">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1DFB67AA"/>
    <w:multiLevelType w:val="hybridMultilevel"/>
    <w:tmpl w:val="7C727EEC"/>
    <w:lvl w:ilvl="0" w:tplc="BD921286">
      <w:start w:val="1"/>
      <w:numFmt w:val="decimal"/>
      <w:lvlText w:val="%1."/>
      <w:lvlJc w:val="left"/>
      <w:pPr>
        <w:ind w:left="720" w:hanging="360"/>
      </w:pPr>
    </w:lvl>
    <w:lvl w:ilvl="1" w:tplc="F78EB246">
      <w:start w:val="1"/>
      <w:numFmt w:val="lowerLetter"/>
      <w:lvlText w:val="%2."/>
      <w:lvlJc w:val="left"/>
      <w:pPr>
        <w:ind w:left="1440" w:hanging="360"/>
      </w:pPr>
    </w:lvl>
    <w:lvl w:ilvl="2" w:tplc="A822C178">
      <w:start w:val="1"/>
      <w:numFmt w:val="lowerRoman"/>
      <w:lvlText w:val="%3."/>
      <w:lvlJc w:val="right"/>
      <w:pPr>
        <w:ind w:left="2160" w:hanging="180"/>
      </w:pPr>
    </w:lvl>
    <w:lvl w:ilvl="3" w:tplc="CF4665FE">
      <w:start w:val="1"/>
      <w:numFmt w:val="decimal"/>
      <w:lvlText w:val="%4."/>
      <w:lvlJc w:val="left"/>
      <w:pPr>
        <w:ind w:left="2880" w:hanging="360"/>
      </w:pPr>
    </w:lvl>
    <w:lvl w:ilvl="4" w:tplc="490CB0A6">
      <w:start w:val="1"/>
      <w:numFmt w:val="lowerLetter"/>
      <w:lvlText w:val="%5."/>
      <w:lvlJc w:val="left"/>
      <w:pPr>
        <w:ind w:left="3600" w:hanging="360"/>
      </w:pPr>
    </w:lvl>
    <w:lvl w:ilvl="5" w:tplc="838AEC6E">
      <w:start w:val="1"/>
      <w:numFmt w:val="lowerRoman"/>
      <w:lvlText w:val="%6."/>
      <w:lvlJc w:val="right"/>
      <w:pPr>
        <w:ind w:left="4320" w:hanging="180"/>
      </w:pPr>
    </w:lvl>
    <w:lvl w:ilvl="6" w:tplc="BE905530">
      <w:start w:val="1"/>
      <w:numFmt w:val="decimal"/>
      <w:lvlText w:val="%7."/>
      <w:lvlJc w:val="left"/>
      <w:pPr>
        <w:ind w:left="5040" w:hanging="360"/>
      </w:pPr>
    </w:lvl>
    <w:lvl w:ilvl="7" w:tplc="92FEA868">
      <w:start w:val="1"/>
      <w:numFmt w:val="lowerLetter"/>
      <w:lvlText w:val="%8."/>
      <w:lvlJc w:val="left"/>
      <w:pPr>
        <w:ind w:left="5760" w:hanging="360"/>
      </w:pPr>
    </w:lvl>
    <w:lvl w:ilvl="8" w:tplc="224C207C">
      <w:start w:val="1"/>
      <w:numFmt w:val="lowerRoman"/>
      <w:lvlText w:val="%9."/>
      <w:lvlJc w:val="right"/>
      <w:pPr>
        <w:ind w:left="6480" w:hanging="180"/>
      </w:pPr>
    </w:lvl>
  </w:abstractNum>
  <w:abstractNum w:abstractNumId="11" w15:restartNumberingAfterBreak="0">
    <w:nsid w:val="27A22C38"/>
    <w:multiLevelType w:val="hybridMultilevel"/>
    <w:tmpl w:val="AE0A47E0"/>
    <w:lvl w:ilvl="0" w:tplc="0C090001">
      <w:start w:val="1"/>
      <w:numFmt w:val="bullet"/>
      <w:lvlText w:val=""/>
      <w:lvlJc w:val="left"/>
      <w:pPr>
        <w:ind w:left="770" w:hanging="360"/>
      </w:pPr>
      <w:rPr>
        <w:rFonts w:ascii="Symbol" w:hAnsi="Symbol" w:hint="default"/>
      </w:rPr>
    </w:lvl>
    <w:lvl w:ilvl="1" w:tplc="B638388E">
      <w:numFmt w:val="bullet"/>
      <w:lvlText w:val="•"/>
      <w:lvlJc w:val="left"/>
      <w:pPr>
        <w:ind w:left="1850" w:hanging="720"/>
      </w:pPr>
      <w:rPr>
        <w:rFonts w:ascii="Inter" w:eastAsiaTheme="minorHAnsi" w:hAnsi="Inter" w:cstheme="minorBidi" w:hint="default"/>
      </w:rPr>
    </w:lvl>
    <w:lvl w:ilvl="2" w:tplc="0C090005">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2" w15:restartNumberingAfterBreak="0">
    <w:nsid w:val="2877C892"/>
    <w:multiLevelType w:val="hybridMultilevel"/>
    <w:tmpl w:val="9822D46E"/>
    <w:lvl w:ilvl="0" w:tplc="060A1F88">
      <w:start w:val="1"/>
      <w:numFmt w:val="bullet"/>
      <w:lvlText w:val=""/>
      <w:lvlJc w:val="left"/>
      <w:pPr>
        <w:ind w:left="720" w:hanging="360"/>
      </w:pPr>
      <w:rPr>
        <w:rFonts w:ascii="Symbol" w:hAnsi="Symbol" w:hint="default"/>
      </w:rPr>
    </w:lvl>
    <w:lvl w:ilvl="1" w:tplc="0124396E">
      <w:start w:val="1"/>
      <w:numFmt w:val="bullet"/>
      <w:lvlText w:val="o"/>
      <w:lvlJc w:val="left"/>
      <w:pPr>
        <w:ind w:left="1440" w:hanging="360"/>
      </w:pPr>
      <w:rPr>
        <w:rFonts w:ascii="Courier New" w:hAnsi="Courier New" w:hint="default"/>
      </w:rPr>
    </w:lvl>
    <w:lvl w:ilvl="2" w:tplc="C23291FA">
      <w:start w:val="1"/>
      <w:numFmt w:val="bullet"/>
      <w:lvlText w:val=""/>
      <w:lvlJc w:val="left"/>
      <w:pPr>
        <w:ind w:left="2160" w:hanging="360"/>
      </w:pPr>
      <w:rPr>
        <w:rFonts w:ascii="Wingdings" w:hAnsi="Wingdings" w:hint="default"/>
      </w:rPr>
    </w:lvl>
    <w:lvl w:ilvl="3" w:tplc="D1288A58">
      <w:start w:val="1"/>
      <w:numFmt w:val="bullet"/>
      <w:lvlText w:val=""/>
      <w:lvlJc w:val="left"/>
      <w:pPr>
        <w:ind w:left="2880" w:hanging="360"/>
      </w:pPr>
      <w:rPr>
        <w:rFonts w:ascii="Symbol" w:hAnsi="Symbol" w:hint="default"/>
      </w:rPr>
    </w:lvl>
    <w:lvl w:ilvl="4" w:tplc="E754140A">
      <w:start w:val="1"/>
      <w:numFmt w:val="bullet"/>
      <w:lvlText w:val="o"/>
      <w:lvlJc w:val="left"/>
      <w:pPr>
        <w:ind w:left="3600" w:hanging="360"/>
      </w:pPr>
      <w:rPr>
        <w:rFonts w:ascii="Courier New" w:hAnsi="Courier New" w:hint="default"/>
      </w:rPr>
    </w:lvl>
    <w:lvl w:ilvl="5" w:tplc="146CCEC8">
      <w:start w:val="1"/>
      <w:numFmt w:val="bullet"/>
      <w:lvlText w:val=""/>
      <w:lvlJc w:val="left"/>
      <w:pPr>
        <w:ind w:left="4320" w:hanging="360"/>
      </w:pPr>
      <w:rPr>
        <w:rFonts w:ascii="Wingdings" w:hAnsi="Wingdings" w:hint="default"/>
      </w:rPr>
    </w:lvl>
    <w:lvl w:ilvl="6" w:tplc="6638E9A2">
      <w:start w:val="1"/>
      <w:numFmt w:val="bullet"/>
      <w:lvlText w:val=""/>
      <w:lvlJc w:val="left"/>
      <w:pPr>
        <w:ind w:left="5040" w:hanging="360"/>
      </w:pPr>
      <w:rPr>
        <w:rFonts w:ascii="Symbol" w:hAnsi="Symbol" w:hint="default"/>
      </w:rPr>
    </w:lvl>
    <w:lvl w:ilvl="7" w:tplc="9D10F2A8">
      <w:start w:val="1"/>
      <w:numFmt w:val="bullet"/>
      <w:lvlText w:val="o"/>
      <w:lvlJc w:val="left"/>
      <w:pPr>
        <w:ind w:left="5760" w:hanging="360"/>
      </w:pPr>
      <w:rPr>
        <w:rFonts w:ascii="Courier New" w:hAnsi="Courier New" w:hint="default"/>
      </w:rPr>
    </w:lvl>
    <w:lvl w:ilvl="8" w:tplc="CA2EC36C">
      <w:start w:val="1"/>
      <w:numFmt w:val="bullet"/>
      <w:lvlText w:val=""/>
      <w:lvlJc w:val="left"/>
      <w:pPr>
        <w:ind w:left="6480" w:hanging="360"/>
      </w:pPr>
      <w:rPr>
        <w:rFonts w:ascii="Wingdings" w:hAnsi="Wingdings" w:hint="default"/>
      </w:rPr>
    </w:lvl>
  </w:abstractNum>
  <w:abstractNum w:abstractNumId="13" w15:restartNumberingAfterBreak="0">
    <w:nsid w:val="2AE84C5B"/>
    <w:multiLevelType w:val="hybridMultilevel"/>
    <w:tmpl w:val="F9C4820C"/>
    <w:lvl w:ilvl="0" w:tplc="7E588640">
      <w:start w:val="1"/>
      <w:numFmt w:val="bullet"/>
      <w:lvlText w:val="•"/>
      <w:lvlJc w:val="left"/>
      <w:pPr>
        <w:tabs>
          <w:tab w:val="num" w:pos="720"/>
        </w:tabs>
        <w:ind w:left="720" w:hanging="360"/>
      </w:pPr>
      <w:rPr>
        <w:rFonts w:ascii="Arial" w:hAnsi="Arial" w:hint="default"/>
      </w:rPr>
    </w:lvl>
    <w:lvl w:ilvl="1" w:tplc="B6160030" w:tentative="1">
      <w:start w:val="1"/>
      <w:numFmt w:val="bullet"/>
      <w:lvlText w:val="•"/>
      <w:lvlJc w:val="left"/>
      <w:pPr>
        <w:tabs>
          <w:tab w:val="num" w:pos="1440"/>
        </w:tabs>
        <w:ind w:left="1440" w:hanging="360"/>
      </w:pPr>
      <w:rPr>
        <w:rFonts w:ascii="Arial" w:hAnsi="Arial" w:hint="default"/>
      </w:rPr>
    </w:lvl>
    <w:lvl w:ilvl="2" w:tplc="9ACE8114" w:tentative="1">
      <w:start w:val="1"/>
      <w:numFmt w:val="bullet"/>
      <w:lvlText w:val="•"/>
      <w:lvlJc w:val="left"/>
      <w:pPr>
        <w:tabs>
          <w:tab w:val="num" w:pos="2160"/>
        </w:tabs>
        <w:ind w:left="2160" w:hanging="360"/>
      </w:pPr>
      <w:rPr>
        <w:rFonts w:ascii="Arial" w:hAnsi="Arial" w:hint="default"/>
      </w:rPr>
    </w:lvl>
    <w:lvl w:ilvl="3" w:tplc="562E8360" w:tentative="1">
      <w:start w:val="1"/>
      <w:numFmt w:val="bullet"/>
      <w:lvlText w:val="•"/>
      <w:lvlJc w:val="left"/>
      <w:pPr>
        <w:tabs>
          <w:tab w:val="num" w:pos="2880"/>
        </w:tabs>
        <w:ind w:left="2880" w:hanging="360"/>
      </w:pPr>
      <w:rPr>
        <w:rFonts w:ascii="Arial" w:hAnsi="Arial" w:hint="default"/>
      </w:rPr>
    </w:lvl>
    <w:lvl w:ilvl="4" w:tplc="7DEA10EE" w:tentative="1">
      <w:start w:val="1"/>
      <w:numFmt w:val="bullet"/>
      <w:lvlText w:val="•"/>
      <w:lvlJc w:val="left"/>
      <w:pPr>
        <w:tabs>
          <w:tab w:val="num" w:pos="3600"/>
        </w:tabs>
        <w:ind w:left="3600" w:hanging="360"/>
      </w:pPr>
      <w:rPr>
        <w:rFonts w:ascii="Arial" w:hAnsi="Arial" w:hint="default"/>
      </w:rPr>
    </w:lvl>
    <w:lvl w:ilvl="5" w:tplc="E2D82910" w:tentative="1">
      <w:start w:val="1"/>
      <w:numFmt w:val="bullet"/>
      <w:lvlText w:val="•"/>
      <w:lvlJc w:val="left"/>
      <w:pPr>
        <w:tabs>
          <w:tab w:val="num" w:pos="4320"/>
        </w:tabs>
        <w:ind w:left="4320" w:hanging="360"/>
      </w:pPr>
      <w:rPr>
        <w:rFonts w:ascii="Arial" w:hAnsi="Arial" w:hint="default"/>
      </w:rPr>
    </w:lvl>
    <w:lvl w:ilvl="6" w:tplc="C23ACBB2" w:tentative="1">
      <w:start w:val="1"/>
      <w:numFmt w:val="bullet"/>
      <w:lvlText w:val="•"/>
      <w:lvlJc w:val="left"/>
      <w:pPr>
        <w:tabs>
          <w:tab w:val="num" w:pos="5040"/>
        </w:tabs>
        <w:ind w:left="5040" w:hanging="360"/>
      </w:pPr>
      <w:rPr>
        <w:rFonts w:ascii="Arial" w:hAnsi="Arial" w:hint="default"/>
      </w:rPr>
    </w:lvl>
    <w:lvl w:ilvl="7" w:tplc="E67845A6" w:tentative="1">
      <w:start w:val="1"/>
      <w:numFmt w:val="bullet"/>
      <w:lvlText w:val="•"/>
      <w:lvlJc w:val="left"/>
      <w:pPr>
        <w:tabs>
          <w:tab w:val="num" w:pos="5760"/>
        </w:tabs>
        <w:ind w:left="5760" w:hanging="360"/>
      </w:pPr>
      <w:rPr>
        <w:rFonts w:ascii="Arial" w:hAnsi="Arial" w:hint="default"/>
      </w:rPr>
    </w:lvl>
    <w:lvl w:ilvl="8" w:tplc="70083AA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80B27F4"/>
    <w:multiLevelType w:val="hybridMultilevel"/>
    <w:tmpl w:val="3BF48632"/>
    <w:lvl w:ilvl="0" w:tplc="9BEEA3D8">
      <w:start w:val="1"/>
      <w:numFmt w:val="decimal"/>
      <w:lvlText w:val="%1."/>
      <w:lvlJc w:val="left"/>
      <w:pPr>
        <w:ind w:left="720" w:hanging="360"/>
      </w:pPr>
    </w:lvl>
    <w:lvl w:ilvl="1" w:tplc="4286690A">
      <w:start w:val="1"/>
      <w:numFmt w:val="lowerLetter"/>
      <w:lvlText w:val="%2."/>
      <w:lvlJc w:val="left"/>
      <w:pPr>
        <w:ind w:left="1440" w:hanging="360"/>
      </w:pPr>
    </w:lvl>
    <w:lvl w:ilvl="2" w:tplc="0DF23BF4">
      <w:start w:val="1"/>
      <w:numFmt w:val="lowerRoman"/>
      <w:lvlText w:val="%3."/>
      <w:lvlJc w:val="right"/>
      <w:pPr>
        <w:ind w:left="2160" w:hanging="180"/>
      </w:pPr>
    </w:lvl>
    <w:lvl w:ilvl="3" w:tplc="8D00B12C">
      <w:start w:val="1"/>
      <w:numFmt w:val="decimal"/>
      <w:lvlText w:val="%4."/>
      <w:lvlJc w:val="left"/>
      <w:pPr>
        <w:ind w:left="2880" w:hanging="360"/>
      </w:pPr>
    </w:lvl>
    <w:lvl w:ilvl="4" w:tplc="5D0C0F7A">
      <w:start w:val="1"/>
      <w:numFmt w:val="lowerLetter"/>
      <w:lvlText w:val="%5."/>
      <w:lvlJc w:val="left"/>
      <w:pPr>
        <w:ind w:left="3600" w:hanging="360"/>
      </w:pPr>
    </w:lvl>
    <w:lvl w:ilvl="5" w:tplc="21B4408E">
      <w:start w:val="1"/>
      <w:numFmt w:val="lowerRoman"/>
      <w:lvlText w:val="%6."/>
      <w:lvlJc w:val="right"/>
      <w:pPr>
        <w:ind w:left="4320" w:hanging="180"/>
      </w:pPr>
    </w:lvl>
    <w:lvl w:ilvl="6" w:tplc="DB40D676">
      <w:start w:val="1"/>
      <w:numFmt w:val="decimal"/>
      <w:lvlText w:val="%7."/>
      <w:lvlJc w:val="left"/>
      <w:pPr>
        <w:ind w:left="5040" w:hanging="360"/>
      </w:pPr>
    </w:lvl>
    <w:lvl w:ilvl="7" w:tplc="0896D3B0">
      <w:start w:val="1"/>
      <w:numFmt w:val="lowerLetter"/>
      <w:lvlText w:val="%8."/>
      <w:lvlJc w:val="left"/>
      <w:pPr>
        <w:ind w:left="5760" w:hanging="360"/>
      </w:pPr>
    </w:lvl>
    <w:lvl w:ilvl="8" w:tplc="B114E7EC">
      <w:start w:val="1"/>
      <w:numFmt w:val="lowerRoman"/>
      <w:lvlText w:val="%9."/>
      <w:lvlJc w:val="right"/>
      <w:pPr>
        <w:ind w:left="6480" w:hanging="180"/>
      </w:pPr>
    </w:lvl>
  </w:abstractNum>
  <w:abstractNum w:abstractNumId="15" w15:restartNumberingAfterBreak="0">
    <w:nsid w:val="433F03B4"/>
    <w:multiLevelType w:val="hybridMultilevel"/>
    <w:tmpl w:val="71C860E4"/>
    <w:lvl w:ilvl="0" w:tplc="6194F510">
      <w:start w:val="1"/>
      <w:numFmt w:val="bullet"/>
      <w:lvlText w:val="•"/>
      <w:lvlJc w:val="left"/>
      <w:pPr>
        <w:tabs>
          <w:tab w:val="num" w:pos="720"/>
        </w:tabs>
        <w:ind w:left="720" w:hanging="360"/>
      </w:pPr>
      <w:rPr>
        <w:rFonts w:ascii="Arial" w:hAnsi="Arial" w:hint="default"/>
      </w:rPr>
    </w:lvl>
    <w:lvl w:ilvl="1" w:tplc="25CC8E22" w:tentative="1">
      <w:start w:val="1"/>
      <w:numFmt w:val="bullet"/>
      <w:lvlText w:val="•"/>
      <w:lvlJc w:val="left"/>
      <w:pPr>
        <w:tabs>
          <w:tab w:val="num" w:pos="1440"/>
        </w:tabs>
        <w:ind w:left="1440" w:hanging="360"/>
      </w:pPr>
      <w:rPr>
        <w:rFonts w:ascii="Arial" w:hAnsi="Arial" w:hint="default"/>
      </w:rPr>
    </w:lvl>
    <w:lvl w:ilvl="2" w:tplc="47529CF2" w:tentative="1">
      <w:start w:val="1"/>
      <w:numFmt w:val="bullet"/>
      <w:lvlText w:val="•"/>
      <w:lvlJc w:val="left"/>
      <w:pPr>
        <w:tabs>
          <w:tab w:val="num" w:pos="2160"/>
        </w:tabs>
        <w:ind w:left="2160" w:hanging="360"/>
      </w:pPr>
      <w:rPr>
        <w:rFonts w:ascii="Arial" w:hAnsi="Arial" w:hint="default"/>
      </w:rPr>
    </w:lvl>
    <w:lvl w:ilvl="3" w:tplc="7FDCC140" w:tentative="1">
      <w:start w:val="1"/>
      <w:numFmt w:val="bullet"/>
      <w:lvlText w:val="•"/>
      <w:lvlJc w:val="left"/>
      <w:pPr>
        <w:tabs>
          <w:tab w:val="num" w:pos="2880"/>
        </w:tabs>
        <w:ind w:left="2880" w:hanging="360"/>
      </w:pPr>
      <w:rPr>
        <w:rFonts w:ascii="Arial" w:hAnsi="Arial" w:hint="default"/>
      </w:rPr>
    </w:lvl>
    <w:lvl w:ilvl="4" w:tplc="25327AE8" w:tentative="1">
      <w:start w:val="1"/>
      <w:numFmt w:val="bullet"/>
      <w:lvlText w:val="•"/>
      <w:lvlJc w:val="left"/>
      <w:pPr>
        <w:tabs>
          <w:tab w:val="num" w:pos="3600"/>
        </w:tabs>
        <w:ind w:left="3600" w:hanging="360"/>
      </w:pPr>
      <w:rPr>
        <w:rFonts w:ascii="Arial" w:hAnsi="Arial" w:hint="default"/>
      </w:rPr>
    </w:lvl>
    <w:lvl w:ilvl="5" w:tplc="8EB4262C" w:tentative="1">
      <w:start w:val="1"/>
      <w:numFmt w:val="bullet"/>
      <w:lvlText w:val="•"/>
      <w:lvlJc w:val="left"/>
      <w:pPr>
        <w:tabs>
          <w:tab w:val="num" w:pos="4320"/>
        </w:tabs>
        <w:ind w:left="4320" w:hanging="360"/>
      </w:pPr>
      <w:rPr>
        <w:rFonts w:ascii="Arial" w:hAnsi="Arial" w:hint="default"/>
      </w:rPr>
    </w:lvl>
    <w:lvl w:ilvl="6" w:tplc="C93E0496" w:tentative="1">
      <w:start w:val="1"/>
      <w:numFmt w:val="bullet"/>
      <w:lvlText w:val="•"/>
      <w:lvlJc w:val="left"/>
      <w:pPr>
        <w:tabs>
          <w:tab w:val="num" w:pos="5040"/>
        </w:tabs>
        <w:ind w:left="5040" w:hanging="360"/>
      </w:pPr>
      <w:rPr>
        <w:rFonts w:ascii="Arial" w:hAnsi="Arial" w:hint="default"/>
      </w:rPr>
    </w:lvl>
    <w:lvl w:ilvl="7" w:tplc="41A83E34" w:tentative="1">
      <w:start w:val="1"/>
      <w:numFmt w:val="bullet"/>
      <w:lvlText w:val="•"/>
      <w:lvlJc w:val="left"/>
      <w:pPr>
        <w:tabs>
          <w:tab w:val="num" w:pos="5760"/>
        </w:tabs>
        <w:ind w:left="5760" w:hanging="360"/>
      </w:pPr>
      <w:rPr>
        <w:rFonts w:ascii="Arial" w:hAnsi="Arial" w:hint="default"/>
      </w:rPr>
    </w:lvl>
    <w:lvl w:ilvl="8" w:tplc="DE5C151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3F6D685"/>
    <w:multiLevelType w:val="hybridMultilevel"/>
    <w:tmpl w:val="7E5E48AC"/>
    <w:lvl w:ilvl="0" w:tplc="3EBC2142">
      <w:start w:val="1"/>
      <w:numFmt w:val="decimal"/>
      <w:lvlText w:val="%1."/>
      <w:lvlJc w:val="left"/>
      <w:pPr>
        <w:ind w:left="720" w:hanging="360"/>
      </w:pPr>
    </w:lvl>
    <w:lvl w:ilvl="1" w:tplc="67D0066A">
      <w:start w:val="1"/>
      <w:numFmt w:val="lowerLetter"/>
      <w:lvlText w:val="%2."/>
      <w:lvlJc w:val="left"/>
      <w:pPr>
        <w:ind w:left="1440" w:hanging="360"/>
      </w:pPr>
    </w:lvl>
    <w:lvl w:ilvl="2" w:tplc="5A06241A">
      <w:start w:val="1"/>
      <w:numFmt w:val="lowerRoman"/>
      <w:lvlText w:val="%3."/>
      <w:lvlJc w:val="right"/>
      <w:pPr>
        <w:ind w:left="2160" w:hanging="180"/>
      </w:pPr>
    </w:lvl>
    <w:lvl w:ilvl="3" w:tplc="65EEC504">
      <w:start w:val="1"/>
      <w:numFmt w:val="decimal"/>
      <w:lvlText w:val="%4."/>
      <w:lvlJc w:val="left"/>
      <w:pPr>
        <w:ind w:left="2880" w:hanging="360"/>
      </w:pPr>
    </w:lvl>
    <w:lvl w:ilvl="4" w:tplc="C46E395E">
      <w:start w:val="1"/>
      <w:numFmt w:val="lowerLetter"/>
      <w:lvlText w:val="%5."/>
      <w:lvlJc w:val="left"/>
      <w:pPr>
        <w:ind w:left="3600" w:hanging="360"/>
      </w:pPr>
    </w:lvl>
    <w:lvl w:ilvl="5" w:tplc="43963DDE">
      <w:start w:val="1"/>
      <w:numFmt w:val="lowerRoman"/>
      <w:lvlText w:val="%6."/>
      <w:lvlJc w:val="right"/>
      <w:pPr>
        <w:ind w:left="4320" w:hanging="180"/>
      </w:pPr>
    </w:lvl>
    <w:lvl w:ilvl="6" w:tplc="EDD4671E">
      <w:start w:val="1"/>
      <w:numFmt w:val="decimal"/>
      <w:lvlText w:val="%7."/>
      <w:lvlJc w:val="left"/>
      <w:pPr>
        <w:ind w:left="5040" w:hanging="360"/>
      </w:pPr>
    </w:lvl>
    <w:lvl w:ilvl="7" w:tplc="4EA6B65E">
      <w:start w:val="1"/>
      <w:numFmt w:val="lowerLetter"/>
      <w:lvlText w:val="%8."/>
      <w:lvlJc w:val="left"/>
      <w:pPr>
        <w:ind w:left="5760" w:hanging="360"/>
      </w:pPr>
    </w:lvl>
    <w:lvl w:ilvl="8" w:tplc="DFB23A02">
      <w:start w:val="1"/>
      <w:numFmt w:val="lowerRoman"/>
      <w:lvlText w:val="%9."/>
      <w:lvlJc w:val="right"/>
      <w:pPr>
        <w:ind w:left="6480" w:hanging="180"/>
      </w:pPr>
    </w:lvl>
  </w:abstractNum>
  <w:abstractNum w:abstractNumId="17" w15:restartNumberingAfterBreak="0">
    <w:nsid w:val="4AEC0C34"/>
    <w:multiLevelType w:val="hybridMultilevel"/>
    <w:tmpl w:val="B2B68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0D40AD1"/>
    <w:multiLevelType w:val="multilevel"/>
    <w:tmpl w:val="92462812"/>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lvl>
    <w:lvl w:ilvl="2">
      <w:start w:val="1"/>
      <w:numFmt w:val="decimal"/>
      <w:pStyle w:val="Heading3"/>
      <w:lvlText w:val="%1.%2.%3"/>
      <w:lvlJc w:val="left"/>
      <w:pPr>
        <w:ind w:left="1021" w:hanging="1021"/>
      </w:pPr>
      <w:rPr>
        <w:rFonts w:hint="default"/>
      </w:rPr>
    </w:lvl>
    <w:lvl w:ilvl="3">
      <w:start w:val="1"/>
      <w:numFmt w:val="decimal"/>
      <w:pStyle w:val="Heading4"/>
      <w:lvlText w:val="%1.%2.%3.%4"/>
      <w:lvlJc w:val="left"/>
      <w:pPr>
        <w:ind w:left="1304" w:hanging="130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9" w15:restartNumberingAfterBreak="0">
    <w:nsid w:val="5211E300"/>
    <w:multiLevelType w:val="hybridMultilevel"/>
    <w:tmpl w:val="0EC2A30A"/>
    <w:lvl w:ilvl="0" w:tplc="4FA6F8A4">
      <w:start w:val="1"/>
      <w:numFmt w:val="decimal"/>
      <w:lvlText w:val="%1."/>
      <w:lvlJc w:val="left"/>
      <w:pPr>
        <w:ind w:left="720" w:hanging="360"/>
      </w:pPr>
    </w:lvl>
    <w:lvl w:ilvl="1" w:tplc="2C5E6A00">
      <w:start w:val="1"/>
      <w:numFmt w:val="lowerLetter"/>
      <w:lvlText w:val="%2."/>
      <w:lvlJc w:val="left"/>
      <w:pPr>
        <w:ind w:left="1440" w:hanging="360"/>
      </w:pPr>
    </w:lvl>
    <w:lvl w:ilvl="2" w:tplc="1ECCD4C8">
      <w:start w:val="1"/>
      <w:numFmt w:val="lowerRoman"/>
      <w:lvlText w:val="%3."/>
      <w:lvlJc w:val="right"/>
      <w:pPr>
        <w:ind w:left="2160" w:hanging="180"/>
      </w:pPr>
    </w:lvl>
    <w:lvl w:ilvl="3" w:tplc="B23C17EC">
      <w:start w:val="1"/>
      <w:numFmt w:val="decimal"/>
      <w:lvlText w:val="%4."/>
      <w:lvlJc w:val="left"/>
      <w:pPr>
        <w:ind w:left="2880" w:hanging="360"/>
      </w:pPr>
    </w:lvl>
    <w:lvl w:ilvl="4" w:tplc="F7CE3EB4">
      <w:start w:val="1"/>
      <w:numFmt w:val="lowerLetter"/>
      <w:lvlText w:val="%5."/>
      <w:lvlJc w:val="left"/>
      <w:pPr>
        <w:ind w:left="3600" w:hanging="360"/>
      </w:pPr>
    </w:lvl>
    <w:lvl w:ilvl="5" w:tplc="CCC43208">
      <w:start w:val="1"/>
      <w:numFmt w:val="lowerRoman"/>
      <w:lvlText w:val="%6."/>
      <w:lvlJc w:val="right"/>
      <w:pPr>
        <w:ind w:left="4320" w:hanging="180"/>
      </w:pPr>
    </w:lvl>
    <w:lvl w:ilvl="6" w:tplc="A46C3C2C">
      <w:start w:val="1"/>
      <w:numFmt w:val="decimal"/>
      <w:lvlText w:val="%7."/>
      <w:lvlJc w:val="left"/>
      <w:pPr>
        <w:ind w:left="5040" w:hanging="360"/>
      </w:pPr>
    </w:lvl>
    <w:lvl w:ilvl="7" w:tplc="DC7E921A">
      <w:start w:val="1"/>
      <w:numFmt w:val="lowerLetter"/>
      <w:lvlText w:val="%8."/>
      <w:lvlJc w:val="left"/>
      <w:pPr>
        <w:ind w:left="5760" w:hanging="360"/>
      </w:pPr>
    </w:lvl>
    <w:lvl w:ilvl="8" w:tplc="81D8CB14">
      <w:start w:val="1"/>
      <w:numFmt w:val="lowerRoman"/>
      <w:lvlText w:val="%9."/>
      <w:lvlJc w:val="right"/>
      <w:pPr>
        <w:ind w:left="6480" w:hanging="180"/>
      </w:pPr>
    </w:lvl>
  </w:abstractNum>
  <w:abstractNum w:abstractNumId="20" w15:restartNumberingAfterBreak="0">
    <w:nsid w:val="547E3187"/>
    <w:multiLevelType w:val="hybridMultilevel"/>
    <w:tmpl w:val="24DA00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5F85B4A"/>
    <w:multiLevelType w:val="hybridMultilevel"/>
    <w:tmpl w:val="CDEA2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6068739"/>
    <w:multiLevelType w:val="hybridMultilevel"/>
    <w:tmpl w:val="876482A4"/>
    <w:lvl w:ilvl="0" w:tplc="3AECE17C">
      <w:start w:val="1"/>
      <w:numFmt w:val="decimal"/>
      <w:lvlText w:val="%1."/>
      <w:lvlJc w:val="left"/>
      <w:pPr>
        <w:ind w:left="720" w:hanging="360"/>
      </w:pPr>
    </w:lvl>
    <w:lvl w:ilvl="1" w:tplc="F2400434">
      <w:start w:val="1"/>
      <w:numFmt w:val="lowerLetter"/>
      <w:lvlText w:val="%2."/>
      <w:lvlJc w:val="left"/>
      <w:pPr>
        <w:ind w:left="1440" w:hanging="360"/>
      </w:pPr>
    </w:lvl>
    <w:lvl w:ilvl="2" w:tplc="9C9E0AB0">
      <w:start w:val="1"/>
      <w:numFmt w:val="lowerRoman"/>
      <w:lvlText w:val="%3."/>
      <w:lvlJc w:val="right"/>
      <w:pPr>
        <w:ind w:left="2160" w:hanging="180"/>
      </w:pPr>
    </w:lvl>
    <w:lvl w:ilvl="3" w:tplc="6590B982">
      <w:start w:val="1"/>
      <w:numFmt w:val="decimal"/>
      <w:lvlText w:val="%4."/>
      <w:lvlJc w:val="left"/>
      <w:pPr>
        <w:ind w:left="2880" w:hanging="360"/>
      </w:pPr>
    </w:lvl>
    <w:lvl w:ilvl="4" w:tplc="43A21190">
      <w:start w:val="1"/>
      <w:numFmt w:val="lowerLetter"/>
      <w:lvlText w:val="%5."/>
      <w:lvlJc w:val="left"/>
      <w:pPr>
        <w:ind w:left="3600" w:hanging="360"/>
      </w:pPr>
    </w:lvl>
    <w:lvl w:ilvl="5" w:tplc="34027DE4">
      <w:start w:val="1"/>
      <w:numFmt w:val="lowerRoman"/>
      <w:lvlText w:val="%6."/>
      <w:lvlJc w:val="right"/>
      <w:pPr>
        <w:ind w:left="4320" w:hanging="180"/>
      </w:pPr>
    </w:lvl>
    <w:lvl w:ilvl="6" w:tplc="221A9B3A">
      <w:start w:val="1"/>
      <w:numFmt w:val="decimal"/>
      <w:lvlText w:val="%7."/>
      <w:lvlJc w:val="left"/>
      <w:pPr>
        <w:ind w:left="5040" w:hanging="360"/>
      </w:pPr>
    </w:lvl>
    <w:lvl w:ilvl="7" w:tplc="7416CC08">
      <w:start w:val="1"/>
      <w:numFmt w:val="lowerLetter"/>
      <w:lvlText w:val="%8."/>
      <w:lvlJc w:val="left"/>
      <w:pPr>
        <w:ind w:left="5760" w:hanging="360"/>
      </w:pPr>
    </w:lvl>
    <w:lvl w:ilvl="8" w:tplc="01661FC4">
      <w:start w:val="1"/>
      <w:numFmt w:val="lowerRoman"/>
      <w:lvlText w:val="%9."/>
      <w:lvlJc w:val="right"/>
      <w:pPr>
        <w:ind w:left="6480" w:hanging="180"/>
      </w:pPr>
    </w:lvl>
  </w:abstractNum>
  <w:abstractNum w:abstractNumId="23" w15:restartNumberingAfterBreak="0">
    <w:nsid w:val="61CA41D2"/>
    <w:multiLevelType w:val="hybridMultilevel"/>
    <w:tmpl w:val="AA064348"/>
    <w:lvl w:ilvl="0" w:tplc="6FF0D7C0">
      <w:start w:val="1"/>
      <w:numFmt w:val="bullet"/>
      <w:lvlText w:val="•"/>
      <w:lvlJc w:val="left"/>
      <w:pPr>
        <w:tabs>
          <w:tab w:val="num" w:pos="720"/>
        </w:tabs>
        <w:ind w:left="720" w:hanging="360"/>
      </w:pPr>
      <w:rPr>
        <w:rFonts w:ascii="Arial" w:hAnsi="Arial" w:hint="default"/>
      </w:rPr>
    </w:lvl>
    <w:lvl w:ilvl="1" w:tplc="91AE3626" w:tentative="1">
      <w:start w:val="1"/>
      <w:numFmt w:val="bullet"/>
      <w:lvlText w:val="•"/>
      <w:lvlJc w:val="left"/>
      <w:pPr>
        <w:tabs>
          <w:tab w:val="num" w:pos="1440"/>
        </w:tabs>
        <w:ind w:left="1440" w:hanging="360"/>
      </w:pPr>
      <w:rPr>
        <w:rFonts w:ascii="Arial" w:hAnsi="Arial" w:hint="default"/>
      </w:rPr>
    </w:lvl>
    <w:lvl w:ilvl="2" w:tplc="E244EE4E" w:tentative="1">
      <w:start w:val="1"/>
      <w:numFmt w:val="bullet"/>
      <w:lvlText w:val="•"/>
      <w:lvlJc w:val="left"/>
      <w:pPr>
        <w:tabs>
          <w:tab w:val="num" w:pos="2160"/>
        </w:tabs>
        <w:ind w:left="2160" w:hanging="360"/>
      </w:pPr>
      <w:rPr>
        <w:rFonts w:ascii="Arial" w:hAnsi="Arial" w:hint="default"/>
      </w:rPr>
    </w:lvl>
    <w:lvl w:ilvl="3" w:tplc="AD98220C" w:tentative="1">
      <w:start w:val="1"/>
      <w:numFmt w:val="bullet"/>
      <w:lvlText w:val="•"/>
      <w:lvlJc w:val="left"/>
      <w:pPr>
        <w:tabs>
          <w:tab w:val="num" w:pos="2880"/>
        </w:tabs>
        <w:ind w:left="2880" w:hanging="360"/>
      </w:pPr>
      <w:rPr>
        <w:rFonts w:ascii="Arial" w:hAnsi="Arial" w:hint="default"/>
      </w:rPr>
    </w:lvl>
    <w:lvl w:ilvl="4" w:tplc="845EAB12" w:tentative="1">
      <w:start w:val="1"/>
      <w:numFmt w:val="bullet"/>
      <w:lvlText w:val="•"/>
      <w:lvlJc w:val="left"/>
      <w:pPr>
        <w:tabs>
          <w:tab w:val="num" w:pos="3600"/>
        </w:tabs>
        <w:ind w:left="3600" w:hanging="360"/>
      </w:pPr>
      <w:rPr>
        <w:rFonts w:ascii="Arial" w:hAnsi="Arial" w:hint="default"/>
      </w:rPr>
    </w:lvl>
    <w:lvl w:ilvl="5" w:tplc="63C26672" w:tentative="1">
      <w:start w:val="1"/>
      <w:numFmt w:val="bullet"/>
      <w:lvlText w:val="•"/>
      <w:lvlJc w:val="left"/>
      <w:pPr>
        <w:tabs>
          <w:tab w:val="num" w:pos="4320"/>
        </w:tabs>
        <w:ind w:left="4320" w:hanging="360"/>
      </w:pPr>
      <w:rPr>
        <w:rFonts w:ascii="Arial" w:hAnsi="Arial" w:hint="default"/>
      </w:rPr>
    </w:lvl>
    <w:lvl w:ilvl="6" w:tplc="8B967562" w:tentative="1">
      <w:start w:val="1"/>
      <w:numFmt w:val="bullet"/>
      <w:lvlText w:val="•"/>
      <w:lvlJc w:val="left"/>
      <w:pPr>
        <w:tabs>
          <w:tab w:val="num" w:pos="5040"/>
        </w:tabs>
        <w:ind w:left="5040" w:hanging="360"/>
      </w:pPr>
      <w:rPr>
        <w:rFonts w:ascii="Arial" w:hAnsi="Arial" w:hint="default"/>
      </w:rPr>
    </w:lvl>
    <w:lvl w:ilvl="7" w:tplc="B47A591A" w:tentative="1">
      <w:start w:val="1"/>
      <w:numFmt w:val="bullet"/>
      <w:lvlText w:val="•"/>
      <w:lvlJc w:val="left"/>
      <w:pPr>
        <w:tabs>
          <w:tab w:val="num" w:pos="5760"/>
        </w:tabs>
        <w:ind w:left="5760" w:hanging="360"/>
      </w:pPr>
      <w:rPr>
        <w:rFonts w:ascii="Arial" w:hAnsi="Arial" w:hint="default"/>
      </w:rPr>
    </w:lvl>
    <w:lvl w:ilvl="8" w:tplc="D318ECC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4C40BA7"/>
    <w:multiLevelType w:val="hybridMultilevel"/>
    <w:tmpl w:val="543C0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F315ABF"/>
    <w:multiLevelType w:val="hybridMultilevel"/>
    <w:tmpl w:val="564E7C6E"/>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94605574">
    <w:abstractNumId w:val="5"/>
  </w:num>
  <w:num w:numId="2" w16cid:durableId="1797719144">
    <w:abstractNumId w:val="16"/>
  </w:num>
  <w:num w:numId="3" w16cid:durableId="2142573511">
    <w:abstractNumId w:val="22"/>
  </w:num>
  <w:num w:numId="4" w16cid:durableId="208415405">
    <w:abstractNumId w:val="19"/>
  </w:num>
  <w:num w:numId="5" w16cid:durableId="1303198642">
    <w:abstractNumId w:val="10"/>
  </w:num>
  <w:num w:numId="6" w16cid:durableId="1334992488">
    <w:abstractNumId w:val="14"/>
  </w:num>
  <w:num w:numId="7" w16cid:durableId="1852186634">
    <w:abstractNumId w:val="12"/>
  </w:num>
  <w:num w:numId="8" w16cid:durableId="1263103749">
    <w:abstractNumId w:val="18"/>
  </w:num>
  <w:num w:numId="9" w16cid:durableId="1626346909">
    <w:abstractNumId w:val="4"/>
  </w:num>
  <w:num w:numId="10" w16cid:durableId="1633514828">
    <w:abstractNumId w:val="8"/>
  </w:num>
  <w:num w:numId="11" w16cid:durableId="10114217">
    <w:abstractNumId w:val="18"/>
  </w:num>
  <w:num w:numId="12" w16cid:durableId="1146160905">
    <w:abstractNumId w:val="18"/>
  </w:num>
  <w:num w:numId="13" w16cid:durableId="1308702084">
    <w:abstractNumId w:val="18"/>
  </w:num>
  <w:num w:numId="14" w16cid:durableId="1986544160">
    <w:abstractNumId w:val="18"/>
  </w:num>
  <w:num w:numId="15" w16cid:durableId="151413800">
    <w:abstractNumId w:val="18"/>
  </w:num>
  <w:num w:numId="16" w16cid:durableId="816148365">
    <w:abstractNumId w:val="18"/>
  </w:num>
  <w:num w:numId="17" w16cid:durableId="968098034">
    <w:abstractNumId w:val="18"/>
    <w:lvlOverride w:ilvl="0">
      <w:startOverride w:val="1"/>
    </w:lvlOverride>
    <w:lvlOverride w:ilvl="1">
      <w:startOverride w:val="2"/>
    </w:lvlOverride>
  </w:num>
  <w:num w:numId="18" w16cid:durableId="2119789340">
    <w:abstractNumId w:val="9"/>
  </w:num>
  <w:num w:numId="19" w16cid:durableId="1524593078">
    <w:abstractNumId w:val="7"/>
  </w:num>
  <w:num w:numId="20" w16cid:durableId="71583573">
    <w:abstractNumId w:val="21"/>
  </w:num>
  <w:num w:numId="21" w16cid:durableId="708575521">
    <w:abstractNumId w:val="6"/>
  </w:num>
  <w:num w:numId="22" w16cid:durableId="1726680727">
    <w:abstractNumId w:val="24"/>
  </w:num>
  <w:num w:numId="23" w16cid:durableId="1411662022">
    <w:abstractNumId w:val="11"/>
  </w:num>
  <w:num w:numId="24" w16cid:durableId="1254125295">
    <w:abstractNumId w:val="1"/>
  </w:num>
  <w:num w:numId="25" w16cid:durableId="1586572474">
    <w:abstractNumId w:val="2"/>
  </w:num>
  <w:num w:numId="26" w16cid:durableId="51081356">
    <w:abstractNumId w:val="20"/>
  </w:num>
  <w:num w:numId="27" w16cid:durableId="588663332">
    <w:abstractNumId w:val="25"/>
  </w:num>
  <w:num w:numId="28" w16cid:durableId="1739204992">
    <w:abstractNumId w:val="17"/>
  </w:num>
  <w:num w:numId="29" w16cid:durableId="19551461">
    <w:abstractNumId w:val="13"/>
  </w:num>
  <w:num w:numId="30" w16cid:durableId="638918465">
    <w:abstractNumId w:val="23"/>
  </w:num>
  <w:num w:numId="31" w16cid:durableId="268970699">
    <w:abstractNumId w:val="15"/>
  </w:num>
  <w:num w:numId="32" w16cid:durableId="522329003">
    <w:abstractNumId w:val="3"/>
  </w:num>
  <w:num w:numId="33" w16cid:durableId="27009197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97A"/>
    <w:rsid w:val="000019CB"/>
    <w:rsid w:val="0000449E"/>
    <w:rsid w:val="00004EFE"/>
    <w:rsid w:val="000162FA"/>
    <w:rsid w:val="000165D1"/>
    <w:rsid w:val="00016F12"/>
    <w:rsid w:val="000236F2"/>
    <w:rsid w:val="00023779"/>
    <w:rsid w:val="000255A1"/>
    <w:rsid w:val="00025B1B"/>
    <w:rsid w:val="000277EB"/>
    <w:rsid w:val="0004046D"/>
    <w:rsid w:val="000406A3"/>
    <w:rsid w:val="0004122F"/>
    <w:rsid w:val="00042235"/>
    <w:rsid w:val="0004368E"/>
    <w:rsid w:val="00046E24"/>
    <w:rsid w:val="000479C7"/>
    <w:rsid w:val="000506BC"/>
    <w:rsid w:val="00051E86"/>
    <w:rsid w:val="000538F2"/>
    <w:rsid w:val="000626A4"/>
    <w:rsid w:val="00062BC2"/>
    <w:rsid w:val="00070069"/>
    <w:rsid w:val="00070257"/>
    <w:rsid w:val="00071D0A"/>
    <w:rsid w:val="000720E9"/>
    <w:rsid w:val="000746FA"/>
    <w:rsid w:val="0008064A"/>
    <w:rsid w:val="00082B38"/>
    <w:rsid w:val="00082CBB"/>
    <w:rsid w:val="00093300"/>
    <w:rsid w:val="00096236"/>
    <w:rsid w:val="000A1943"/>
    <w:rsid w:val="000A1F05"/>
    <w:rsid w:val="000A7189"/>
    <w:rsid w:val="000B0BC1"/>
    <w:rsid w:val="000B2DA3"/>
    <w:rsid w:val="000C0A25"/>
    <w:rsid w:val="000C0A43"/>
    <w:rsid w:val="000C1CF4"/>
    <w:rsid w:val="000C304B"/>
    <w:rsid w:val="000D2E14"/>
    <w:rsid w:val="000D39E3"/>
    <w:rsid w:val="000D3AD5"/>
    <w:rsid w:val="000D3E62"/>
    <w:rsid w:val="000E0A14"/>
    <w:rsid w:val="000E1D50"/>
    <w:rsid w:val="000E342D"/>
    <w:rsid w:val="000E5F70"/>
    <w:rsid w:val="000F19D1"/>
    <w:rsid w:val="000F3C76"/>
    <w:rsid w:val="000F4F38"/>
    <w:rsid w:val="00101301"/>
    <w:rsid w:val="00101C9E"/>
    <w:rsid w:val="0010350E"/>
    <w:rsid w:val="00107719"/>
    <w:rsid w:val="00107D8F"/>
    <w:rsid w:val="00110638"/>
    <w:rsid w:val="00113A2B"/>
    <w:rsid w:val="00117997"/>
    <w:rsid w:val="001205F8"/>
    <w:rsid w:val="00121B9D"/>
    <w:rsid w:val="001260B0"/>
    <w:rsid w:val="0013016C"/>
    <w:rsid w:val="00131094"/>
    <w:rsid w:val="00134827"/>
    <w:rsid w:val="001364C1"/>
    <w:rsid w:val="00136CFF"/>
    <w:rsid w:val="00137846"/>
    <w:rsid w:val="0014272D"/>
    <w:rsid w:val="00143458"/>
    <w:rsid w:val="00144C15"/>
    <w:rsid w:val="00151068"/>
    <w:rsid w:val="001540BC"/>
    <w:rsid w:val="00154474"/>
    <w:rsid w:val="00156E61"/>
    <w:rsid w:val="00162974"/>
    <w:rsid w:val="00164198"/>
    <w:rsid w:val="0016457F"/>
    <w:rsid w:val="00164652"/>
    <w:rsid w:val="00174FDE"/>
    <w:rsid w:val="00175448"/>
    <w:rsid w:val="0017561A"/>
    <w:rsid w:val="0017580D"/>
    <w:rsid w:val="00175D50"/>
    <w:rsid w:val="00182767"/>
    <w:rsid w:val="00183DC0"/>
    <w:rsid w:val="00184634"/>
    <w:rsid w:val="00184B0B"/>
    <w:rsid w:val="00193667"/>
    <w:rsid w:val="0019572C"/>
    <w:rsid w:val="00196562"/>
    <w:rsid w:val="001A407A"/>
    <w:rsid w:val="001A44FD"/>
    <w:rsid w:val="001A73B1"/>
    <w:rsid w:val="001A7C1D"/>
    <w:rsid w:val="001B4E11"/>
    <w:rsid w:val="001B671B"/>
    <w:rsid w:val="001C3766"/>
    <w:rsid w:val="001C4995"/>
    <w:rsid w:val="001C665A"/>
    <w:rsid w:val="001C7A7B"/>
    <w:rsid w:val="001D1120"/>
    <w:rsid w:val="001D209E"/>
    <w:rsid w:val="001D34EB"/>
    <w:rsid w:val="001D4BA0"/>
    <w:rsid w:val="001E1052"/>
    <w:rsid w:val="001E27F9"/>
    <w:rsid w:val="001E455D"/>
    <w:rsid w:val="001E61B1"/>
    <w:rsid w:val="001F30B6"/>
    <w:rsid w:val="0020061E"/>
    <w:rsid w:val="0020182C"/>
    <w:rsid w:val="00202032"/>
    <w:rsid w:val="002053D4"/>
    <w:rsid w:val="002063AC"/>
    <w:rsid w:val="00214012"/>
    <w:rsid w:val="002150A7"/>
    <w:rsid w:val="00220981"/>
    <w:rsid w:val="00221656"/>
    <w:rsid w:val="0022195C"/>
    <w:rsid w:val="00222286"/>
    <w:rsid w:val="00222FC3"/>
    <w:rsid w:val="0022552D"/>
    <w:rsid w:val="00231B54"/>
    <w:rsid w:val="002418DF"/>
    <w:rsid w:val="002420A5"/>
    <w:rsid w:val="0024225E"/>
    <w:rsid w:val="00245520"/>
    <w:rsid w:val="002501DA"/>
    <w:rsid w:val="00250806"/>
    <w:rsid w:val="00254388"/>
    <w:rsid w:val="00254C78"/>
    <w:rsid w:val="002554E2"/>
    <w:rsid w:val="0025716D"/>
    <w:rsid w:val="00261B81"/>
    <w:rsid w:val="00261F19"/>
    <w:rsid w:val="002640EF"/>
    <w:rsid w:val="00271D48"/>
    <w:rsid w:val="002729B5"/>
    <w:rsid w:val="00273E18"/>
    <w:rsid w:val="00274CC7"/>
    <w:rsid w:val="0028129F"/>
    <w:rsid w:val="0028615F"/>
    <w:rsid w:val="00286661"/>
    <w:rsid w:val="00286AD7"/>
    <w:rsid w:val="002918B2"/>
    <w:rsid w:val="002938BC"/>
    <w:rsid w:val="00293FAA"/>
    <w:rsid w:val="002953AE"/>
    <w:rsid w:val="00297613"/>
    <w:rsid w:val="00297771"/>
    <w:rsid w:val="002A03BC"/>
    <w:rsid w:val="002A1325"/>
    <w:rsid w:val="002A21C4"/>
    <w:rsid w:val="002A23A1"/>
    <w:rsid w:val="002B0301"/>
    <w:rsid w:val="002B07AA"/>
    <w:rsid w:val="002C2C45"/>
    <w:rsid w:val="002C7300"/>
    <w:rsid w:val="002C7D2C"/>
    <w:rsid w:val="002D041F"/>
    <w:rsid w:val="002D2136"/>
    <w:rsid w:val="002D6077"/>
    <w:rsid w:val="002D6431"/>
    <w:rsid w:val="002E1603"/>
    <w:rsid w:val="002E1EF6"/>
    <w:rsid w:val="002E624B"/>
    <w:rsid w:val="002F18A9"/>
    <w:rsid w:val="0030105C"/>
    <w:rsid w:val="00304D81"/>
    <w:rsid w:val="00306BA2"/>
    <w:rsid w:val="0031322C"/>
    <w:rsid w:val="00315479"/>
    <w:rsid w:val="00316278"/>
    <w:rsid w:val="00316A87"/>
    <w:rsid w:val="00317E0A"/>
    <w:rsid w:val="003202AF"/>
    <w:rsid w:val="00324449"/>
    <w:rsid w:val="0032540A"/>
    <w:rsid w:val="00332BE8"/>
    <w:rsid w:val="00335023"/>
    <w:rsid w:val="003406DB"/>
    <w:rsid w:val="003436F4"/>
    <w:rsid w:val="00355BC7"/>
    <w:rsid w:val="00357BFC"/>
    <w:rsid w:val="00360075"/>
    <w:rsid w:val="00361198"/>
    <w:rsid w:val="00361636"/>
    <w:rsid w:val="00362E7F"/>
    <w:rsid w:val="00364E9C"/>
    <w:rsid w:val="00371823"/>
    <w:rsid w:val="00373642"/>
    <w:rsid w:val="003764CE"/>
    <w:rsid w:val="00380C1B"/>
    <w:rsid w:val="0038158F"/>
    <w:rsid w:val="003825D7"/>
    <w:rsid w:val="003862FD"/>
    <w:rsid w:val="00387588"/>
    <w:rsid w:val="00392AE7"/>
    <w:rsid w:val="00394C7D"/>
    <w:rsid w:val="003A010C"/>
    <w:rsid w:val="003A0652"/>
    <w:rsid w:val="003A357B"/>
    <w:rsid w:val="003A43F9"/>
    <w:rsid w:val="003B34FF"/>
    <w:rsid w:val="003B42C6"/>
    <w:rsid w:val="003B5747"/>
    <w:rsid w:val="003B659E"/>
    <w:rsid w:val="003C14F5"/>
    <w:rsid w:val="003C2781"/>
    <w:rsid w:val="003C52DB"/>
    <w:rsid w:val="003C5C7C"/>
    <w:rsid w:val="003D1D33"/>
    <w:rsid w:val="003D3F8D"/>
    <w:rsid w:val="003D5C4F"/>
    <w:rsid w:val="003E3AAC"/>
    <w:rsid w:val="003F1EE8"/>
    <w:rsid w:val="003F539D"/>
    <w:rsid w:val="003F5446"/>
    <w:rsid w:val="003F5CD0"/>
    <w:rsid w:val="003F677C"/>
    <w:rsid w:val="00400598"/>
    <w:rsid w:val="0041426F"/>
    <w:rsid w:val="00416895"/>
    <w:rsid w:val="00422959"/>
    <w:rsid w:val="00423A49"/>
    <w:rsid w:val="00425BCD"/>
    <w:rsid w:val="00427C5C"/>
    <w:rsid w:val="00430DFD"/>
    <w:rsid w:val="00437A99"/>
    <w:rsid w:val="00442120"/>
    <w:rsid w:val="00444EE9"/>
    <w:rsid w:val="004519A3"/>
    <w:rsid w:val="00454B0A"/>
    <w:rsid w:val="00460114"/>
    <w:rsid w:val="0046280B"/>
    <w:rsid w:val="004632D8"/>
    <w:rsid w:val="00463FB5"/>
    <w:rsid w:val="00467BC1"/>
    <w:rsid w:val="00472A4B"/>
    <w:rsid w:val="00473793"/>
    <w:rsid w:val="00473D59"/>
    <w:rsid w:val="00481EB0"/>
    <w:rsid w:val="00492AC3"/>
    <w:rsid w:val="00492DC7"/>
    <w:rsid w:val="00492F79"/>
    <w:rsid w:val="00496B3C"/>
    <w:rsid w:val="004A15E9"/>
    <w:rsid w:val="004A1B86"/>
    <w:rsid w:val="004A7EEF"/>
    <w:rsid w:val="004B32D4"/>
    <w:rsid w:val="004B40E7"/>
    <w:rsid w:val="004B7B18"/>
    <w:rsid w:val="004C0C4C"/>
    <w:rsid w:val="004D4CA9"/>
    <w:rsid w:val="004D5252"/>
    <w:rsid w:val="004D53BE"/>
    <w:rsid w:val="004D56D5"/>
    <w:rsid w:val="004D68D0"/>
    <w:rsid w:val="004E0250"/>
    <w:rsid w:val="004E36CD"/>
    <w:rsid w:val="004E60CE"/>
    <w:rsid w:val="004E66DA"/>
    <w:rsid w:val="004E7375"/>
    <w:rsid w:val="004F2B96"/>
    <w:rsid w:val="00502A88"/>
    <w:rsid w:val="0050391A"/>
    <w:rsid w:val="005047B3"/>
    <w:rsid w:val="00506925"/>
    <w:rsid w:val="005106F1"/>
    <w:rsid w:val="005133C5"/>
    <w:rsid w:val="005151E3"/>
    <w:rsid w:val="00516A8B"/>
    <w:rsid w:val="005178E8"/>
    <w:rsid w:val="00520661"/>
    <w:rsid w:val="00524A99"/>
    <w:rsid w:val="00534127"/>
    <w:rsid w:val="005343E7"/>
    <w:rsid w:val="0054239D"/>
    <w:rsid w:val="00550189"/>
    <w:rsid w:val="005520E7"/>
    <w:rsid w:val="00552107"/>
    <w:rsid w:val="005522EB"/>
    <w:rsid w:val="00560A73"/>
    <w:rsid w:val="005613B3"/>
    <w:rsid w:val="00561722"/>
    <w:rsid w:val="0056219C"/>
    <w:rsid w:val="0056710C"/>
    <w:rsid w:val="00572123"/>
    <w:rsid w:val="0057709C"/>
    <w:rsid w:val="00577175"/>
    <w:rsid w:val="00577744"/>
    <w:rsid w:val="00583BFA"/>
    <w:rsid w:val="00587EAD"/>
    <w:rsid w:val="00595590"/>
    <w:rsid w:val="00595EA7"/>
    <w:rsid w:val="00596AB9"/>
    <w:rsid w:val="005A6C82"/>
    <w:rsid w:val="005A79AB"/>
    <w:rsid w:val="005B0D9D"/>
    <w:rsid w:val="005B0E27"/>
    <w:rsid w:val="005B647D"/>
    <w:rsid w:val="005C5B8A"/>
    <w:rsid w:val="005C61B9"/>
    <w:rsid w:val="005C685F"/>
    <w:rsid w:val="005D039B"/>
    <w:rsid w:val="005D1405"/>
    <w:rsid w:val="005D489C"/>
    <w:rsid w:val="005D4E2A"/>
    <w:rsid w:val="005D5196"/>
    <w:rsid w:val="005E0A95"/>
    <w:rsid w:val="005E140E"/>
    <w:rsid w:val="005E3EE5"/>
    <w:rsid w:val="005E497A"/>
    <w:rsid w:val="005E7285"/>
    <w:rsid w:val="005F1CD0"/>
    <w:rsid w:val="005F3745"/>
    <w:rsid w:val="005F66C6"/>
    <w:rsid w:val="006034B9"/>
    <w:rsid w:val="00603E8F"/>
    <w:rsid w:val="00605187"/>
    <w:rsid w:val="00605C79"/>
    <w:rsid w:val="00613118"/>
    <w:rsid w:val="006135CD"/>
    <w:rsid w:val="006160A5"/>
    <w:rsid w:val="006173B2"/>
    <w:rsid w:val="00621434"/>
    <w:rsid w:val="00622B07"/>
    <w:rsid w:val="00623000"/>
    <w:rsid w:val="00626889"/>
    <w:rsid w:val="0063027A"/>
    <w:rsid w:val="0063042D"/>
    <w:rsid w:val="00636F45"/>
    <w:rsid w:val="006436A2"/>
    <w:rsid w:val="006439C9"/>
    <w:rsid w:val="00645D22"/>
    <w:rsid w:val="00646134"/>
    <w:rsid w:val="00647B1D"/>
    <w:rsid w:val="00653D90"/>
    <w:rsid w:val="006559AA"/>
    <w:rsid w:val="00660B2F"/>
    <w:rsid w:val="00660DE4"/>
    <w:rsid w:val="00664E1B"/>
    <w:rsid w:val="006750E2"/>
    <w:rsid w:val="0067730A"/>
    <w:rsid w:val="00681C63"/>
    <w:rsid w:val="0068205F"/>
    <w:rsid w:val="006828CE"/>
    <w:rsid w:val="00690940"/>
    <w:rsid w:val="00691DBF"/>
    <w:rsid w:val="0069218D"/>
    <w:rsid w:val="0069395B"/>
    <w:rsid w:val="006943E9"/>
    <w:rsid w:val="006A1803"/>
    <w:rsid w:val="006A1834"/>
    <w:rsid w:val="006A2772"/>
    <w:rsid w:val="006A5056"/>
    <w:rsid w:val="006A6C94"/>
    <w:rsid w:val="006A7619"/>
    <w:rsid w:val="006B12FD"/>
    <w:rsid w:val="006B14FA"/>
    <w:rsid w:val="006B251C"/>
    <w:rsid w:val="006B3350"/>
    <w:rsid w:val="006C1860"/>
    <w:rsid w:val="006C27BF"/>
    <w:rsid w:val="006C3480"/>
    <w:rsid w:val="006D1A93"/>
    <w:rsid w:val="006D6140"/>
    <w:rsid w:val="006E5191"/>
    <w:rsid w:val="006E57D4"/>
    <w:rsid w:val="006E7498"/>
    <w:rsid w:val="006F19B8"/>
    <w:rsid w:val="006F2BF4"/>
    <w:rsid w:val="006F57BE"/>
    <w:rsid w:val="006F59E2"/>
    <w:rsid w:val="006F714B"/>
    <w:rsid w:val="00701D0B"/>
    <w:rsid w:val="0070211E"/>
    <w:rsid w:val="00704669"/>
    <w:rsid w:val="00706518"/>
    <w:rsid w:val="0070669D"/>
    <w:rsid w:val="00706781"/>
    <w:rsid w:val="007106E3"/>
    <w:rsid w:val="007115A6"/>
    <w:rsid w:val="00713459"/>
    <w:rsid w:val="0071474E"/>
    <w:rsid w:val="007149FB"/>
    <w:rsid w:val="00714B1E"/>
    <w:rsid w:val="007161C5"/>
    <w:rsid w:val="00720C95"/>
    <w:rsid w:val="00724AE8"/>
    <w:rsid w:val="007307DB"/>
    <w:rsid w:val="0073135D"/>
    <w:rsid w:val="00732BCF"/>
    <w:rsid w:val="0073436D"/>
    <w:rsid w:val="00734C06"/>
    <w:rsid w:val="0074264F"/>
    <w:rsid w:val="007447E4"/>
    <w:rsid w:val="00745FFB"/>
    <w:rsid w:val="00750BD5"/>
    <w:rsid w:val="007547B5"/>
    <w:rsid w:val="00754DAC"/>
    <w:rsid w:val="00757216"/>
    <w:rsid w:val="0076212B"/>
    <w:rsid w:val="00764CD6"/>
    <w:rsid w:val="00764DA3"/>
    <w:rsid w:val="00765149"/>
    <w:rsid w:val="007667FB"/>
    <w:rsid w:val="007707DF"/>
    <w:rsid w:val="007712A8"/>
    <w:rsid w:val="0077177A"/>
    <w:rsid w:val="0077223E"/>
    <w:rsid w:val="007741FE"/>
    <w:rsid w:val="00775440"/>
    <w:rsid w:val="00776118"/>
    <w:rsid w:val="00776EE9"/>
    <w:rsid w:val="00783BBB"/>
    <w:rsid w:val="00783FE5"/>
    <w:rsid w:val="007863D6"/>
    <w:rsid w:val="00793282"/>
    <w:rsid w:val="00793314"/>
    <w:rsid w:val="007939B7"/>
    <w:rsid w:val="00793DF9"/>
    <w:rsid w:val="007A167C"/>
    <w:rsid w:val="007A23F5"/>
    <w:rsid w:val="007A24D2"/>
    <w:rsid w:val="007A4723"/>
    <w:rsid w:val="007A5522"/>
    <w:rsid w:val="007A5C91"/>
    <w:rsid w:val="007A7F64"/>
    <w:rsid w:val="007B77F8"/>
    <w:rsid w:val="007C0AED"/>
    <w:rsid w:val="007C361D"/>
    <w:rsid w:val="007C41D4"/>
    <w:rsid w:val="007C54BC"/>
    <w:rsid w:val="007D4D27"/>
    <w:rsid w:val="007D6552"/>
    <w:rsid w:val="007E27D7"/>
    <w:rsid w:val="007E3767"/>
    <w:rsid w:val="007F1A3C"/>
    <w:rsid w:val="007F465C"/>
    <w:rsid w:val="007F4863"/>
    <w:rsid w:val="007F48CC"/>
    <w:rsid w:val="007F6231"/>
    <w:rsid w:val="007F625D"/>
    <w:rsid w:val="007F6419"/>
    <w:rsid w:val="007F6E92"/>
    <w:rsid w:val="0080269C"/>
    <w:rsid w:val="00807C39"/>
    <w:rsid w:val="008107B2"/>
    <w:rsid w:val="0081081A"/>
    <w:rsid w:val="00810FBA"/>
    <w:rsid w:val="0081317F"/>
    <w:rsid w:val="008151FE"/>
    <w:rsid w:val="0081531A"/>
    <w:rsid w:val="0082035D"/>
    <w:rsid w:val="00823309"/>
    <w:rsid w:val="00823A46"/>
    <w:rsid w:val="008259B6"/>
    <w:rsid w:val="00826512"/>
    <w:rsid w:val="008321F3"/>
    <w:rsid w:val="00832339"/>
    <w:rsid w:val="00832CF8"/>
    <w:rsid w:val="00833C6D"/>
    <w:rsid w:val="00836487"/>
    <w:rsid w:val="00843B06"/>
    <w:rsid w:val="00847BE9"/>
    <w:rsid w:val="00850280"/>
    <w:rsid w:val="00854BB4"/>
    <w:rsid w:val="0085569D"/>
    <w:rsid w:val="0085596A"/>
    <w:rsid w:val="00861486"/>
    <w:rsid w:val="00861909"/>
    <w:rsid w:val="00861918"/>
    <w:rsid w:val="00861CED"/>
    <w:rsid w:val="00862806"/>
    <w:rsid w:val="00862F48"/>
    <w:rsid w:val="0086420A"/>
    <w:rsid w:val="00866412"/>
    <w:rsid w:val="00866E3E"/>
    <w:rsid w:val="00873B9E"/>
    <w:rsid w:val="00877448"/>
    <w:rsid w:val="00880AF1"/>
    <w:rsid w:val="008822CB"/>
    <w:rsid w:val="008858DE"/>
    <w:rsid w:val="00886823"/>
    <w:rsid w:val="00890FF0"/>
    <w:rsid w:val="0089437A"/>
    <w:rsid w:val="0089477C"/>
    <w:rsid w:val="008A63C5"/>
    <w:rsid w:val="008A63EA"/>
    <w:rsid w:val="008B625E"/>
    <w:rsid w:val="008B75BA"/>
    <w:rsid w:val="008C2D93"/>
    <w:rsid w:val="008C3A17"/>
    <w:rsid w:val="008C5AC4"/>
    <w:rsid w:val="008C7722"/>
    <w:rsid w:val="008C7DAD"/>
    <w:rsid w:val="008D16C2"/>
    <w:rsid w:val="008D30B6"/>
    <w:rsid w:val="008D3385"/>
    <w:rsid w:val="008D5526"/>
    <w:rsid w:val="008D6A9B"/>
    <w:rsid w:val="008D6CEC"/>
    <w:rsid w:val="008E1E39"/>
    <w:rsid w:val="008E357C"/>
    <w:rsid w:val="008E6274"/>
    <w:rsid w:val="008F0A5E"/>
    <w:rsid w:val="008F0D28"/>
    <w:rsid w:val="008F0FE9"/>
    <w:rsid w:val="008F1FBD"/>
    <w:rsid w:val="008F258D"/>
    <w:rsid w:val="008F37CC"/>
    <w:rsid w:val="008F4A98"/>
    <w:rsid w:val="008F4FB4"/>
    <w:rsid w:val="008F6DB5"/>
    <w:rsid w:val="00903889"/>
    <w:rsid w:val="00907E27"/>
    <w:rsid w:val="00911CD6"/>
    <w:rsid w:val="00914802"/>
    <w:rsid w:val="009208C0"/>
    <w:rsid w:val="009218DC"/>
    <w:rsid w:val="00922B7D"/>
    <w:rsid w:val="009237BE"/>
    <w:rsid w:val="00924181"/>
    <w:rsid w:val="00930116"/>
    <w:rsid w:val="00930497"/>
    <w:rsid w:val="009377B9"/>
    <w:rsid w:val="009403C6"/>
    <w:rsid w:val="00950F44"/>
    <w:rsid w:val="009536ED"/>
    <w:rsid w:val="00956253"/>
    <w:rsid w:val="00961C71"/>
    <w:rsid w:val="00965036"/>
    <w:rsid w:val="00970D8F"/>
    <w:rsid w:val="00973AED"/>
    <w:rsid w:val="009755FE"/>
    <w:rsid w:val="00982721"/>
    <w:rsid w:val="0098519A"/>
    <w:rsid w:val="00985F7E"/>
    <w:rsid w:val="00991B9A"/>
    <w:rsid w:val="00992C3A"/>
    <w:rsid w:val="009940C1"/>
    <w:rsid w:val="00997B20"/>
    <w:rsid w:val="009A2B0F"/>
    <w:rsid w:val="009A4AD5"/>
    <w:rsid w:val="009A76C0"/>
    <w:rsid w:val="009B1855"/>
    <w:rsid w:val="009B1B9C"/>
    <w:rsid w:val="009B30E7"/>
    <w:rsid w:val="009B5DFA"/>
    <w:rsid w:val="009B6261"/>
    <w:rsid w:val="009B70C0"/>
    <w:rsid w:val="009C1BC6"/>
    <w:rsid w:val="009C1FD7"/>
    <w:rsid w:val="009C29AD"/>
    <w:rsid w:val="009D1CE3"/>
    <w:rsid w:val="009E5273"/>
    <w:rsid w:val="009E632C"/>
    <w:rsid w:val="009E7449"/>
    <w:rsid w:val="009E74B5"/>
    <w:rsid w:val="009F6088"/>
    <w:rsid w:val="009F7D54"/>
    <w:rsid w:val="00A0154F"/>
    <w:rsid w:val="00A06E6A"/>
    <w:rsid w:val="00A13CEA"/>
    <w:rsid w:val="00A15C9A"/>
    <w:rsid w:val="00A15F24"/>
    <w:rsid w:val="00A176F1"/>
    <w:rsid w:val="00A235C6"/>
    <w:rsid w:val="00A26176"/>
    <w:rsid w:val="00A26EC2"/>
    <w:rsid w:val="00A366C1"/>
    <w:rsid w:val="00A45131"/>
    <w:rsid w:val="00A52DE0"/>
    <w:rsid w:val="00A61E51"/>
    <w:rsid w:val="00A62E7B"/>
    <w:rsid w:val="00A6453F"/>
    <w:rsid w:val="00A64593"/>
    <w:rsid w:val="00A714E3"/>
    <w:rsid w:val="00A723EF"/>
    <w:rsid w:val="00A72919"/>
    <w:rsid w:val="00A7347F"/>
    <w:rsid w:val="00A73500"/>
    <w:rsid w:val="00A83CD5"/>
    <w:rsid w:val="00A905E4"/>
    <w:rsid w:val="00A90707"/>
    <w:rsid w:val="00A95E9B"/>
    <w:rsid w:val="00AA02B0"/>
    <w:rsid w:val="00AA0B96"/>
    <w:rsid w:val="00AA2BA3"/>
    <w:rsid w:val="00AA2CA0"/>
    <w:rsid w:val="00AA3196"/>
    <w:rsid w:val="00AA6162"/>
    <w:rsid w:val="00AA7894"/>
    <w:rsid w:val="00AB02F8"/>
    <w:rsid w:val="00AB0489"/>
    <w:rsid w:val="00AB405E"/>
    <w:rsid w:val="00AB4A08"/>
    <w:rsid w:val="00AB54B1"/>
    <w:rsid w:val="00AB57A2"/>
    <w:rsid w:val="00AC0FC2"/>
    <w:rsid w:val="00AC1BDB"/>
    <w:rsid w:val="00AC1CC8"/>
    <w:rsid w:val="00AC2023"/>
    <w:rsid w:val="00AD01E0"/>
    <w:rsid w:val="00AD13BC"/>
    <w:rsid w:val="00AD404A"/>
    <w:rsid w:val="00AD4787"/>
    <w:rsid w:val="00AD483E"/>
    <w:rsid w:val="00AD7F92"/>
    <w:rsid w:val="00AE0937"/>
    <w:rsid w:val="00AE2A50"/>
    <w:rsid w:val="00AE3F05"/>
    <w:rsid w:val="00AE4400"/>
    <w:rsid w:val="00AE7AC8"/>
    <w:rsid w:val="00AF0FAE"/>
    <w:rsid w:val="00AF67A2"/>
    <w:rsid w:val="00AF7D9B"/>
    <w:rsid w:val="00B01686"/>
    <w:rsid w:val="00B01E45"/>
    <w:rsid w:val="00B0672A"/>
    <w:rsid w:val="00B06835"/>
    <w:rsid w:val="00B11214"/>
    <w:rsid w:val="00B11DDC"/>
    <w:rsid w:val="00B14CFB"/>
    <w:rsid w:val="00B155C2"/>
    <w:rsid w:val="00B21145"/>
    <w:rsid w:val="00B24943"/>
    <w:rsid w:val="00B254B8"/>
    <w:rsid w:val="00B25FE0"/>
    <w:rsid w:val="00B26774"/>
    <w:rsid w:val="00B27B6C"/>
    <w:rsid w:val="00B31662"/>
    <w:rsid w:val="00B31DB4"/>
    <w:rsid w:val="00B32518"/>
    <w:rsid w:val="00B337BC"/>
    <w:rsid w:val="00B378CA"/>
    <w:rsid w:val="00B41A87"/>
    <w:rsid w:val="00B42C91"/>
    <w:rsid w:val="00B45D62"/>
    <w:rsid w:val="00B470F7"/>
    <w:rsid w:val="00B52CB1"/>
    <w:rsid w:val="00B5340D"/>
    <w:rsid w:val="00B5572A"/>
    <w:rsid w:val="00B64016"/>
    <w:rsid w:val="00B7120E"/>
    <w:rsid w:val="00B71EC5"/>
    <w:rsid w:val="00B81141"/>
    <w:rsid w:val="00B814EF"/>
    <w:rsid w:val="00B81B81"/>
    <w:rsid w:val="00B8468E"/>
    <w:rsid w:val="00B84C2D"/>
    <w:rsid w:val="00B85A6E"/>
    <w:rsid w:val="00B90E0A"/>
    <w:rsid w:val="00B94993"/>
    <w:rsid w:val="00B95777"/>
    <w:rsid w:val="00B96AFA"/>
    <w:rsid w:val="00B97FE9"/>
    <w:rsid w:val="00BA1CDC"/>
    <w:rsid w:val="00BA2E54"/>
    <w:rsid w:val="00BA3142"/>
    <w:rsid w:val="00BB022D"/>
    <w:rsid w:val="00BB2EBA"/>
    <w:rsid w:val="00BB35BD"/>
    <w:rsid w:val="00BB5741"/>
    <w:rsid w:val="00BC0222"/>
    <w:rsid w:val="00BD1AAD"/>
    <w:rsid w:val="00BD2503"/>
    <w:rsid w:val="00BD4A8A"/>
    <w:rsid w:val="00BD56D5"/>
    <w:rsid w:val="00BD6336"/>
    <w:rsid w:val="00BE04CA"/>
    <w:rsid w:val="00BE2305"/>
    <w:rsid w:val="00BE5A9F"/>
    <w:rsid w:val="00BE65EC"/>
    <w:rsid w:val="00BE6C00"/>
    <w:rsid w:val="00BE7B8F"/>
    <w:rsid w:val="00BF0E43"/>
    <w:rsid w:val="00BF6652"/>
    <w:rsid w:val="00C00DD1"/>
    <w:rsid w:val="00C06BAF"/>
    <w:rsid w:val="00C07FD8"/>
    <w:rsid w:val="00C12834"/>
    <w:rsid w:val="00C12E62"/>
    <w:rsid w:val="00C15031"/>
    <w:rsid w:val="00C15A77"/>
    <w:rsid w:val="00C16DF8"/>
    <w:rsid w:val="00C17FB2"/>
    <w:rsid w:val="00C21EA2"/>
    <w:rsid w:val="00C22524"/>
    <w:rsid w:val="00C24BE6"/>
    <w:rsid w:val="00C27017"/>
    <w:rsid w:val="00C30B58"/>
    <w:rsid w:val="00C32861"/>
    <w:rsid w:val="00C34E9E"/>
    <w:rsid w:val="00C34F74"/>
    <w:rsid w:val="00C35EA1"/>
    <w:rsid w:val="00C37179"/>
    <w:rsid w:val="00C37E04"/>
    <w:rsid w:val="00C411B0"/>
    <w:rsid w:val="00C439B3"/>
    <w:rsid w:val="00C47C28"/>
    <w:rsid w:val="00C525F9"/>
    <w:rsid w:val="00C532C0"/>
    <w:rsid w:val="00C55B4F"/>
    <w:rsid w:val="00C5696D"/>
    <w:rsid w:val="00C56A66"/>
    <w:rsid w:val="00C60397"/>
    <w:rsid w:val="00C606BB"/>
    <w:rsid w:val="00C61BFD"/>
    <w:rsid w:val="00C63749"/>
    <w:rsid w:val="00C6481B"/>
    <w:rsid w:val="00C6738E"/>
    <w:rsid w:val="00C67FA2"/>
    <w:rsid w:val="00C7058A"/>
    <w:rsid w:val="00C74435"/>
    <w:rsid w:val="00C750BB"/>
    <w:rsid w:val="00C75ABA"/>
    <w:rsid w:val="00C83962"/>
    <w:rsid w:val="00C85CE8"/>
    <w:rsid w:val="00C86A7E"/>
    <w:rsid w:val="00C871D5"/>
    <w:rsid w:val="00C90F08"/>
    <w:rsid w:val="00C9143A"/>
    <w:rsid w:val="00C95BD7"/>
    <w:rsid w:val="00C973A9"/>
    <w:rsid w:val="00CA16BB"/>
    <w:rsid w:val="00CA2489"/>
    <w:rsid w:val="00CA617F"/>
    <w:rsid w:val="00CA6B9E"/>
    <w:rsid w:val="00CB0A20"/>
    <w:rsid w:val="00CB2939"/>
    <w:rsid w:val="00CB59DF"/>
    <w:rsid w:val="00CB6FFB"/>
    <w:rsid w:val="00CB7C58"/>
    <w:rsid w:val="00CC5750"/>
    <w:rsid w:val="00CD02D1"/>
    <w:rsid w:val="00CD064B"/>
    <w:rsid w:val="00CD2A5C"/>
    <w:rsid w:val="00CD3763"/>
    <w:rsid w:val="00CD4BC4"/>
    <w:rsid w:val="00CD560A"/>
    <w:rsid w:val="00CD5FB8"/>
    <w:rsid w:val="00CD6234"/>
    <w:rsid w:val="00CD6EDE"/>
    <w:rsid w:val="00CE0CB4"/>
    <w:rsid w:val="00CE1114"/>
    <w:rsid w:val="00CE2668"/>
    <w:rsid w:val="00CE79C4"/>
    <w:rsid w:val="00CE7C4D"/>
    <w:rsid w:val="00CF1AB7"/>
    <w:rsid w:val="00CF1FB5"/>
    <w:rsid w:val="00CF3403"/>
    <w:rsid w:val="00CF4794"/>
    <w:rsid w:val="00CF5CCF"/>
    <w:rsid w:val="00D009EB"/>
    <w:rsid w:val="00D01C87"/>
    <w:rsid w:val="00D02941"/>
    <w:rsid w:val="00D0541D"/>
    <w:rsid w:val="00D05483"/>
    <w:rsid w:val="00D0586E"/>
    <w:rsid w:val="00D12A0B"/>
    <w:rsid w:val="00D12ED7"/>
    <w:rsid w:val="00D148FF"/>
    <w:rsid w:val="00D1495B"/>
    <w:rsid w:val="00D16B94"/>
    <w:rsid w:val="00D200D9"/>
    <w:rsid w:val="00D20355"/>
    <w:rsid w:val="00D25622"/>
    <w:rsid w:val="00D3186B"/>
    <w:rsid w:val="00D318BE"/>
    <w:rsid w:val="00D34977"/>
    <w:rsid w:val="00D349DF"/>
    <w:rsid w:val="00D37F3D"/>
    <w:rsid w:val="00D4059B"/>
    <w:rsid w:val="00D45FFE"/>
    <w:rsid w:val="00D5797B"/>
    <w:rsid w:val="00D63369"/>
    <w:rsid w:val="00D6341B"/>
    <w:rsid w:val="00D6386E"/>
    <w:rsid w:val="00D64A3F"/>
    <w:rsid w:val="00D650B5"/>
    <w:rsid w:val="00D675BB"/>
    <w:rsid w:val="00D71878"/>
    <w:rsid w:val="00D72065"/>
    <w:rsid w:val="00D7285D"/>
    <w:rsid w:val="00D7299D"/>
    <w:rsid w:val="00D72E12"/>
    <w:rsid w:val="00D749A1"/>
    <w:rsid w:val="00D76299"/>
    <w:rsid w:val="00D80393"/>
    <w:rsid w:val="00D8288F"/>
    <w:rsid w:val="00D83CD5"/>
    <w:rsid w:val="00D90210"/>
    <w:rsid w:val="00D94F42"/>
    <w:rsid w:val="00D954BE"/>
    <w:rsid w:val="00D95888"/>
    <w:rsid w:val="00DA156C"/>
    <w:rsid w:val="00DA5E9D"/>
    <w:rsid w:val="00DB27DB"/>
    <w:rsid w:val="00DC53C1"/>
    <w:rsid w:val="00DC6F34"/>
    <w:rsid w:val="00DD461C"/>
    <w:rsid w:val="00DD4A0B"/>
    <w:rsid w:val="00DE015E"/>
    <w:rsid w:val="00DE389E"/>
    <w:rsid w:val="00DE43E3"/>
    <w:rsid w:val="00DE44B7"/>
    <w:rsid w:val="00DE583D"/>
    <w:rsid w:val="00DE6B5C"/>
    <w:rsid w:val="00DF00B4"/>
    <w:rsid w:val="00DF087C"/>
    <w:rsid w:val="00E02C8E"/>
    <w:rsid w:val="00E073E3"/>
    <w:rsid w:val="00E10513"/>
    <w:rsid w:val="00E110E0"/>
    <w:rsid w:val="00E128DC"/>
    <w:rsid w:val="00E131B7"/>
    <w:rsid w:val="00E149B5"/>
    <w:rsid w:val="00E14E3B"/>
    <w:rsid w:val="00E159F4"/>
    <w:rsid w:val="00E165D7"/>
    <w:rsid w:val="00E2401C"/>
    <w:rsid w:val="00E24E44"/>
    <w:rsid w:val="00E257D3"/>
    <w:rsid w:val="00E26F28"/>
    <w:rsid w:val="00E27174"/>
    <w:rsid w:val="00E277F8"/>
    <w:rsid w:val="00E32BB2"/>
    <w:rsid w:val="00E3683E"/>
    <w:rsid w:val="00E37F9D"/>
    <w:rsid w:val="00E42E6B"/>
    <w:rsid w:val="00E4426D"/>
    <w:rsid w:val="00E45081"/>
    <w:rsid w:val="00E47423"/>
    <w:rsid w:val="00E507D2"/>
    <w:rsid w:val="00E51001"/>
    <w:rsid w:val="00E518DC"/>
    <w:rsid w:val="00E51C39"/>
    <w:rsid w:val="00E51CB0"/>
    <w:rsid w:val="00E54AD0"/>
    <w:rsid w:val="00E57068"/>
    <w:rsid w:val="00E63A36"/>
    <w:rsid w:val="00E71398"/>
    <w:rsid w:val="00E7794E"/>
    <w:rsid w:val="00E80F64"/>
    <w:rsid w:val="00E81CBF"/>
    <w:rsid w:val="00E82096"/>
    <w:rsid w:val="00E8617D"/>
    <w:rsid w:val="00E86C88"/>
    <w:rsid w:val="00E86D7D"/>
    <w:rsid w:val="00E86F46"/>
    <w:rsid w:val="00E87FFA"/>
    <w:rsid w:val="00E90A9E"/>
    <w:rsid w:val="00E90DAB"/>
    <w:rsid w:val="00E934F4"/>
    <w:rsid w:val="00EA30CF"/>
    <w:rsid w:val="00EA3FED"/>
    <w:rsid w:val="00EA4B8C"/>
    <w:rsid w:val="00EA502F"/>
    <w:rsid w:val="00EC0266"/>
    <w:rsid w:val="00EC2FA6"/>
    <w:rsid w:val="00ED03CE"/>
    <w:rsid w:val="00ED0EC0"/>
    <w:rsid w:val="00ED2498"/>
    <w:rsid w:val="00ED3A6B"/>
    <w:rsid w:val="00ED3B1A"/>
    <w:rsid w:val="00ED49E6"/>
    <w:rsid w:val="00ED613B"/>
    <w:rsid w:val="00ED7BDE"/>
    <w:rsid w:val="00EE1068"/>
    <w:rsid w:val="00EE23A6"/>
    <w:rsid w:val="00EE31CF"/>
    <w:rsid w:val="00EF063F"/>
    <w:rsid w:val="00EF21FF"/>
    <w:rsid w:val="00EF25EF"/>
    <w:rsid w:val="00EF43A6"/>
    <w:rsid w:val="00EF4C28"/>
    <w:rsid w:val="00EF4CF5"/>
    <w:rsid w:val="00EF4CFE"/>
    <w:rsid w:val="00EF5397"/>
    <w:rsid w:val="00EF7415"/>
    <w:rsid w:val="00EF7A80"/>
    <w:rsid w:val="00F023E4"/>
    <w:rsid w:val="00F0296B"/>
    <w:rsid w:val="00F02A6E"/>
    <w:rsid w:val="00F0407E"/>
    <w:rsid w:val="00F06664"/>
    <w:rsid w:val="00F102A4"/>
    <w:rsid w:val="00F12582"/>
    <w:rsid w:val="00F14D7C"/>
    <w:rsid w:val="00F155F6"/>
    <w:rsid w:val="00F23878"/>
    <w:rsid w:val="00F23E07"/>
    <w:rsid w:val="00F241AC"/>
    <w:rsid w:val="00F2596A"/>
    <w:rsid w:val="00F25F19"/>
    <w:rsid w:val="00F2703B"/>
    <w:rsid w:val="00F278CB"/>
    <w:rsid w:val="00F33BD9"/>
    <w:rsid w:val="00F33DF3"/>
    <w:rsid w:val="00F379E9"/>
    <w:rsid w:val="00F40434"/>
    <w:rsid w:val="00F43057"/>
    <w:rsid w:val="00F4384D"/>
    <w:rsid w:val="00F449F0"/>
    <w:rsid w:val="00F4577B"/>
    <w:rsid w:val="00F45899"/>
    <w:rsid w:val="00F50DF1"/>
    <w:rsid w:val="00F510A7"/>
    <w:rsid w:val="00F513BB"/>
    <w:rsid w:val="00F515F4"/>
    <w:rsid w:val="00F53884"/>
    <w:rsid w:val="00F62DB1"/>
    <w:rsid w:val="00F62F34"/>
    <w:rsid w:val="00F64365"/>
    <w:rsid w:val="00F64FFE"/>
    <w:rsid w:val="00F73015"/>
    <w:rsid w:val="00F742FF"/>
    <w:rsid w:val="00F7549A"/>
    <w:rsid w:val="00F77155"/>
    <w:rsid w:val="00F82520"/>
    <w:rsid w:val="00F83422"/>
    <w:rsid w:val="00F835F0"/>
    <w:rsid w:val="00F85B1A"/>
    <w:rsid w:val="00F87036"/>
    <w:rsid w:val="00F90547"/>
    <w:rsid w:val="00F95103"/>
    <w:rsid w:val="00F95E2A"/>
    <w:rsid w:val="00F97587"/>
    <w:rsid w:val="00FA0BA5"/>
    <w:rsid w:val="00FA6253"/>
    <w:rsid w:val="00FA62CD"/>
    <w:rsid w:val="00FA67DD"/>
    <w:rsid w:val="00FB0880"/>
    <w:rsid w:val="00FB56C1"/>
    <w:rsid w:val="00FB62A7"/>
    <w:rsid w:val="00FC35EA"/>
    <w:rsid w:val="00FC4B7B"/>
    <w:rsid w:val="00FC520C"/>
    <w:rsid w:val="00FD0795"/>
    <w:rsid w:val="00FD1D29"/>
    <w:rsid w:val="00FD1D99"/>
    <w:rsid w:val="00FD487C"/>
    <w:rsid w:val="00FD5B56"/>
    <w:rsid w:val="00FE393E"/>
    <w:rsid w:val="00FE4707"/>
    <w:rsid w:val="00FE618A"/>
    <w:rsid w:val="00FE71AB"/>
    <w:rsid w:val="00FF05CC"/>
    <w:rsid w:val="00FF11C7"/>
    <w:rsid w:val="00FF293A"/>
    <w:rsid w:val="00FF2DED"/>
    <w:rsid w:val="00FF39E2"/>
    <w:rsid w:val="00FF4838"/>
    <w:rsid w:val="00FF7139"/>
    <w:rsid w:val="013FFA41"/>
    <w:rsid w:val="0447B894"/>
    <w:rsid w:val="0736C836"/>
    <w:rsid w:val="09CCD1CE"/>
    <w:rsid w:val="10042109"/>
    <w:rsid w:val="11EE88D3"/>
    <w:rsid w:val="12B43B78"/>
    <w:rsid w:val="1363524D"/>
    <w:rsid w:val="13C32DF5"/>
    <w:rsid w:val="1556FECC"/>
    <w:rsid w:val="1BDF2275"/>
    <w:rsid w:val="1CE5635C"/>
    <w:rsid w:val="1E981708"/>
    <w:rsid w:val="1EA4DAB7"/>
    <w:rsid w:val="1EE29F5F"/>
    <w:rsid w:val="21DA053E"/>
    <w:rsid w:val="2289F420"/>
    <w:rsid w:val="232AB86B"/>
    <w:rsid w:val="239E7DDB"/>
    <w:rsid w:val="24813FB0"/>
    <w:rsid w:val="2D208B8F"/>
    <w:rsid w:val="2D63BEAF"/>
    <w:rsid w:val="2ED7A894"/>
    <w:rsid w:val="3100726E"/>
    <w:rsid w:val="31B1E731"/>
    <w:rsid w:val="31C23F1D"/>
    <w:rsid w:val="3231B391"/>
    <w:rsid w:val="3281B725"/>
    <w:rsid w:val="349CFD3D"/>
    <w:rsid w:val="38049C14"/>
    <w:rsid w:val="39B13DAD"/>
    <w:rsid w:val="3A05E8C2"/>
    <w:rsid w:val="3B8288D4"/>
    <w:rsid w:val="3B9DF4C2"/>
    <w:rsid w:val="40006EC6"/>
    <w:rsid w:val="401C2CEF"/>
    <w:rsid w:val="4306EFC3"/>
    <w:rsid w:val="43D0427B"/>
    <w:rsid w:val="444AC842"/>
    <w:rsid w:val="4800A24A"/>
    <w:rsid w:val="48D5552D"/>
    <w:rsid w:val="4A193555"/>
    <w:rsid w:val="4A69AFA8"/>
    <w:rsid w:val="4B93805E"/>
    <w:rsid w:val="4BB37896"/>
    <w:rsid w:val="4E313199"/>
    <w:rsid w:val="4EF49A61"/>
    <w:rsid w:val="501D7F47"/>
    <w:rsid w:val="51EE3E21"/>
    <w:rsid w:val="56CFB550"/>
    <w:rsid w:val="57E7925D"/>
    <w:rsid w:val="590E45B4"/>
    <w:rsid w:val="59CDDBE1"/>
    <w:rsid w:val="5BCB35D9"/>
    <w:rsid w:val="5D1439AF"/>
    <w:rsid w:val="5E78D278"/>
    <w:rsid w:val="5FC7DA8B"/>
    <w:rsid w:val="6007BA61"/>
    <w:rsid w:val="61AD5342"/>
    <w:rsid w:val="638013B0"/>
    <w:rsid w:val="654BE4C0"/>
    <w:rsid w:val="657A071F"/>
    <w:rsid w:val="65FEFF01"/>
    <w:rsid w:val="66085587"/>
    <w:rsid w:val="6738E8AA"/>
    <w:rsid w:val="68CE5DB6"/>
    <w:rsid w:val="6E38DC62"/>
    <w:rsid w:val="7007EE1F"/>
    <w:rsid w:val="71606596"/>
    <w:rsid w:val="732EBAF4"/>
    <w:rsid w:val="741D892C"/>
    <w:rsid w:val="75753886"/>
    <w:rsid w:val="7768A0D9"/>
    <w:rsid w:val="7CE5DEC9"/>
    <w:rsid w:val="7E606EB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C6CAC"/>
  <w15:chartTrackingRefBased/>
  <w15:docId w15:val="{1D80BC83-DB93-4643-9E70-54E194962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FFB"/>
    <w:pPr>
      <w:spacing w:line="274" w:lineRule="auto"/>
    </w:pPr>
    <w:rPr>
      <w:rFonts w:ascii="Arial" w:hAnsi="Arial"/>
    </w:rPr>
  </w:style>
  <w:style w:type="paragraph" w:styleId="Heading1">
    <w:name w:val="heading 1"/>
    <w:basedOn w:val="Normal"/>
    <w:next w:val="Normal"/>
    <w:link w:val="Heading1Char"/>
    <w:uiPriority w:val="9"/>
    <w:qFormat/>
    <w:rsid w:val="00745FFB"/>
    <w:pPr>
      <w:keepNext/>
      <w:keepLines/>
      <w:numPr>
        <w:numId w:val="8"/>
      </w:numPr>
      <w:spacing w:before="360" w:after="360"/>
      <w:outlineLvl w:val="0"/>
    </w:pPr>
    <w:rPr>
      <w:rFonts w:eastAsiaTheme="majorEastAsia" w:cstheme="majorBidi"/>
      <w:color w:val="6B3B57"/>
      <w:sz w:val="52"/>
      <w:szCs w:val="40"/>
    </w:rPr>
  </w:style>
  <w:style w:type="paragraph" w:styleId="Heading2">
    <w:name w:val="heading 2"/>
    <w:basedOn w:val="Normal"/>
    <w:next w:val="Normal"/>
    <w:link w:val="Heading2Char"/>
    <w:uiPriority w:val="9"/>
    <w:unhideWhenUsed/>
    <w:qFormat/>
    <w:rsid w:val="00745FFB"/>
    <w:pPr>
      <w:keepNext/>
      <w:keepLines/>
      <w:numPr>
        <w:ilvl w:val="1"/>
        <w:numId w:val="8"/>
      </w:numPr>
      <w:spacing w:before="360" w:after="240"/>
      <w:outlineLvl w:val="1"/>
    </w:pPr>
    <w:rPr>
      <w:rFonts w:eastAsiaTheme="majorEastAsia" w:cstheme="majorBidi"/>
      <w:color w:val="6B3B57"/>
      <w:sz w:val="40"/>
      <w:szCs w:val="40"/>
      <w:lang w:eastAsia="en-AU"/>
    </w:rPr>
  </w:style>
  <w:style w:type="paragraph" w:styleId="Heading3">
    <w:name w:val="heading 3"/>
    <w:basedOn w:val="Normal"/>
    <w:next w:val="Normal"/>
    <w:link w:val="Heading3Char"/>
    <w:uiPriority w:val="9"/>
    <w:unhideWhenUsed/>
    <w:qFormat/>
    <w:rsid w:val="008C7722"/>
    <w:pPr>
      <w:keepNext/>
      <w:keepLines/>
      <w:numPr>
        <w:ilvl w:val="2"/>
        <w:numId w:val="8"/>
      </w:numPr>
      <w:spacing w:before="240" w:after="240"/>
      <w:outlineLvl w:val="2"/>
    </w:pPr>
    <w:rPr>
      <w:rFonts w:ascii="Inter Medium" w:eastAsiaTheme="majorEastAsia" w:hAnsi="Inter Medium" w:cstheme="majorBidi"/>
      <w:bCs/>
      <w:sz w:val="28"/>
      <w:szCs w:val="28"/>
    </w:rPr>
  </w:style>
  <w:style w:type="paragraph" w:styleId="Heading4">
    <w:name w:val="heading 4"/>
    <w:basedOn w:val="Normal"/>
    <w:next w:val="Normal"/>
    <w:link w:val="Heading4Char"/>
    <w:uiPriority w:val="9"/>
    <w:unhideWhenUsed/>
    <w:qFormat/>
    <w:rsid w:val="008C7722"/>
    <w:pPr>
      <w:keepNext/>
      <w:keepLines/>
      <w:numPr>
        <w:ilvl w:val="3"/>
        <w:numId w:val="8"/>
      </w:numPr>
      <w:spacing w:before="80" w:after="4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8C7722"/>
    <w:pPr>
      <w:keepNext/>
      <w:keepLines/>
      <w:numPr>
        <w:ilvl w:val="4"/>
        <w:numId w:val="8"/>
      </w:numPr>
      <w:spacing w:before="80" w:after="40"/>
      <w:outlineLvl w:val="4"/>
    </w:pPr>
    <w:rPr>
      <w:rFonts w:eastAsiaTheme="majorEastAsia" w:cstheme="majorBidi"/>
      <w:color w:val="32CDC5" w:themeColor="accent1" w:themeShade="BF"/>
    </w:rPr>
  </w:style>
  <w:style w:type="paragraph" w:styleId="Heading6">
    <w:name w:val="heading 6"/>
    <w:basedOn w:val="Normal"/>
    <w:next w:val="Normal"/>
    <w:link w:val="Heading6Char"/>
    <w:uiPriority w:val="9"/>
    <w:semiHidden/>
    <w:unhideWhenUsed/>
    <w:qFormat/>
    <w:rsid w:val="008C7722"/>
    <w:pPr>
      <w:keepNext/>
      <w:keepLines/>
      <w:numPr>
        <w:ilvl w:val="5"/>
        <w:numId w:val="8"/>
      </w:numPr>
      <w:spacing w:before="40" w:after="0"/>
      <w:outlineLvl w:val="5"/>
    </w:pPr>
    <w:rPr>
      <w:rFonts w:eastAsiaTheme="majorEastAsia" w:cstheme="majorBidi"/>
      <w:i/>
      <w:iCs/>
      <w:color w:val="964F6C" w:themeColor="text1" w:themeTint="A6"/>
    </w:rPr>
  </w:style>
  <w:style w:type="paragraph" w:styleId="Heading7">
    <w:name w:val="heading 7"/>
    <w:basedOn w:val="Normal"/>
    <w:next w:val="Normal"/>
    <w:link w:val="Heading7Char"/>
    <w:uiPriority w:val="9"/>
    <w:semiHidden/>
    <w:unhideWhenUsed/>
    <w:qFormat/>
    <w:rsid w:val="008C7722"/>
    <w:pPr>
      <w:keepNext/>
      <w:keepLines/>
      <w:numPr>
        <w:ilvl w:val="6"/>
        <w:numId w:val="8"/>
      </w:numPr>
      <w:spacing w:before="40" w:after="0"/>
      <w:outlineLvl w:val="6"/>
    </w:pPr>
    <w:rPr>
      <w:rFonts w:eastAsiaTheme="majorEastAsia" w:cstheme="majorBidi"/>
      <w:color w:val="964F6C" w:themeColor="text1" w:themeTint="A6"/>
    </w:rPr>
  </w:style>
  <w:style w:type="paragraph" w:styleId="Heading8">
    <w:name w:val="heading 8"/>
    <w:basedOn w:val="Normal"/>
    <w:next w:val="Normal"/>
    <w:link w:val="Heading8Char"/>
    <w:uiPriority w:val="9"/>
    <w:semiHidden/>
    <w:unhideWhenUsed/>
    <w:qFormat/>
    <w:rsid w:val="008C7722"/>
    <w:pPr>
      <w:keepNext/>
      <w:keepLines/>
      <w:numPr>
        <w:ilvl w:val="7"/>
        <w:numId w:val="8"/>
      </w:numPr>
      <w:spacing w:after="0"/>
      <w:outlineLvl w:val="7"/>
    </w:pPr>
    <w:rPr>
      <w:rFonts w:eastAsiaTheme="majorEastAsia" w:cstheme="majorBidi"/>
      <w:i/>
      <w:iCs/>
      <w:color w:val="5F3244" w:themeColor="text1" w:themeTint="D8"/>
    </w:rPr>
  </w:style>
  <w:style w:type="paragraph" w:styleId="Heading9">
    <w:name w:val="heading 9"/>
    <w:basedOn w:val="Normal"/>
    <w:next w:val="Normal"/>
    <w:link w:val="Heading9Char"/>
    <w:uiPriority w:val="9"/>
    <w:semiHidden/>
    <w:unhideWhenUsed/>
    <w:qFormat/>
    <w:rsid w:val="008C7722"/>
    <w:pPr>
      <w:keepNext/>
      <w:keepLines/>
      <w:numPr>
        <w:ilvl w:val="8"/>
        <w:numId w:val="8"/>
      </w:numPr>
      <w:spacing w:after="0"/>
      <w:outlineLvl w:val="8"/>
    </w:pPr>
    <w:rPr>
      <w:rFonts w:eastAsiaTheme="majorEastAsia" w:cstheme="majorBidi"/>
      <w:color w:val="5F3244"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FFB"/>
    <w:rPr>
      <w:rFonts w:ascii="Arial" w:eastAsiaTheme="majorEastAsia" w:hAnsi="Arial" w:cstheme="majorBidi"/>
      <w:color w:val="6B3B57"/>
      <w:sz w:val="52"/>
      <w:szCs w:val="40"/>
    </w:rPr>
  </w:style>
  <w:style w:type="character" w:customStyle="1" w:styleId="Heading2Char">
    <w:name w:val="Heading 2 Char"/>
    <w:basedOn w:val="DefaultParagraphFont"/>
    <w:link w:val="Heading2"/>
    <w:uiPriority w:val="9"/>
    <w:rsid w:val="00745FFB"/>
    <w:rPr>
      <w:rFonts w:ascii="Arial" w:eastAsiaTheme="majorEastAsia" w:hAnsi="Arial" w:cstheme="majorBidi"/>
      <w:color w:val="6B3B57"/>
      <w:sz w:val="40"/>
      <w:szCs w:val="40"/>
      <w:lang w:eastAsia="en-AU"/>
    </w:rPr>
  </w:style>
  <w:style w:type="character" w:customStyle="1" w:styleId="Heading3Char">
    <w:name w:val="Heading 3 Char"/>
    <w:basedOn w:val="DefaultParagraphFont"/>
    <w:link w:val="Heading3"/>
    <w:uiPriority w:val="9"/>
    <w:rsid w:val="008C7722"/>
    <w:rPr>
      <w:rFonts w:ascii="Inter Medium" w:eastAsiaTheme="majorEastAsia" w:hAnsi="Inter Medium" w:cstheme="majorBidi"/>
      <w:bCs/>
      <w:sz w:val="28"/>
      <w:szCs w:val="28"/>
    </w:rPr>
  </w:style>
  <w:style w:type="character" w:customStyle="1" w:styleId="Heading4Char">
    <w:name w:val="Heading 4 Char"/>
    <w:basedOn w:val="DefaultParagraphFont"/>
    <w:link w:val="Heading4"/>
    <w:uiPriority w:val="9"/>
    <w:rsid w:val="008C7722"/>
    <w:rPr>
      <w:rFonts w:ascii="Inter" w:eastAsiaTheme="majorEastAsia" w:hAnsi="Inter" w:cstheme="majorBidi"/>
      <w:i/>
      <w:iCs/>
    </w:rPr>
  </w:style>
  <w:style w:type="character" w:customStyle="1" w:styleId="Heading5Char">
    <w:name w:val="Heading 5 Char"/>
    <w:basedOn w:val="DefaultParagraphFont"/>
    <w:link w:val="Heading5"/>
    <w:uiPriority w:val="9"/>
    <w:semiHidden/>
    <w:rsid w:val="008C7722"/>
    <w:rPr>
      <w:rFonts w:ascii="Inter" w:eastAsiaTheme="majorEastAsia" w:hAnsi="Inter" w:cstheme="majorBidi"/>
      <w:color w:val="32CDC5" w:themeColor="accent1" w:themeShade="BF"/>
    </w:rPr>
  </w:style>
  <w:style w:type="character" w:customStyle="1" w:styleId="Heading6Char">
    <w:name w:val="Heading 6 Char"/>
    <w:basedOn w:val="DefaultParagraphFont"/>
    <w:link w:val="Heading6"/>
    <w:uiPriority w:val="9"/>
    <w:semiHidden/>
    <w:rsid w:val="008C7722"/>
    <w:rPr>
      <w:rFonts w:ascii="Inter" w:eastAsiaTheme="majorEastAsia" w:hAnsi="Inter" w:cstheme="majorBidi"/>
      <w:i/>
      <w:iCs/>
      <w:color w:val="964F6C" w:themeColor="text1" w:themeTint="A6"/>
    </w:rPr>
  </w:style>
  <w:style w:type="character" w:customStyle="1" w:styleId="Heading7Char">
    <w:name w:val="Heading 7 Char"/>
    <w:basedOn w:val="DefaultParagraphFont"/>
    <w:link w:val="Heading7"/>
    <w:uiPriority w:val="9"/>
    <w:semiHidden/>
    <w:rsid w:val="008C7722"/>
    <w:rPr>
      <w:rFonts w:ascii="Inter" w:eastAsiaTheme="majorEastAsia" w:hAnsi="Inter" w:cstheme="majorBidi"/>
      <w:color w:val="964F6C" w:themeColor="text1" w:themeTint="A6"/>
    </w:rPr>
  </w:style>
  <w:style w:type="character" w:customStyle="1" w:styleId="Heading8Char">
    <w:name w:val="Heading 8 Char"/>
    <w:basedOn w:val="DefaultParagraphFont"/>
    <w:link w:val="Heading8"/>
    <w:uiPriority w:val="9"/>
    <w:semiHidden/>
    <w:rsid w:val="008C7722"/>
    <w:rPr>
      <w:rFonts w:ascii="Inter" w:eastAsiaTheme="majorEastAsia" w:hAnsi="Inter" w:cstheme="majorBidi"/>
      <w:i/>
      <w:iCs/>
      <w:color w:val="5F3244" w:themeColor="text1" w:themeTint="D8"/>
    </w:rPr>
  </w:style>
  <w:style w:type="character" w:customStyle="1" w:styleId="Heading9Char">
    <w:name w:val="Heading 9 Char"/>
    <w:basedOn w:val="DefaultParagraphFont"/>
    <w:link w:val="Heading9"/>
    <w:uiPriority w:val="9"/>
    <w:semiHidden/>
    <w:rsid w:val="008C7722"/>
    <w:rPr>
      <w:rFonts w:ascii="Inter" w:eastAsiaTheme="majorEastAsia" w:hAnsi="Inter" w:cstheme="majorBidi"/>
      <w:color w:val="5F3244" w:themeColor="text1" w:themeTint="D8"/>
    </w:rPr>
  </w:style>
  <w:style w:type="paragraph" w:styleId="Title">
    <w:name w:val="Title"/>
    <w:basedOn w:val="Normal"/>
    <w:next w:val="Normal"/>
    <w:link w:val="TitleChar"/>
    <w:uiPriority w:val="10"/>
    <w:qFormat/>
    <w:rsid w:val="008C7722"/>
    <w:pPr>
      <w:spacing w:after="480" w:line="216" w:lineRule="auto"/>
    </w:pPr>
    <w:rPr>
      <w:color w:val="FCAB63"/>
      <w:sz w:val="104"/>
      <w:szCs w:val="104"/>
    </w:rPr>
  </w:style>
  <w:style w:type="character" w:customStyle="1" w:styleId="TitleChar">
    <w:name w:val="Title Char"/>
    <w:basedOn w:val="DefaultParagraphFont"/>
    <w:link w:val="Title"/>
    <w:uiPriority w:val="10"/>
    <w:rsid w:val="008C7722"/>
    <w:rPr>
      <w:rFonts w:ascii="Inter" w:hAnsi="Inter"/>
      <w:color w:val="FCAB63"/>
      <w:sz w:val="104"/>
      <w:szCs w:val="104"/>
    </w:rPr>
  </w:style>
  <w:style w:type="paragraph" w:styleId="Subtitle">
    <w:name w:val="Subtitle"/>
    <w:basedOn w:val="Normal"/>
    <w:next w:val="Normal"/>
    <w:link w:val="SubtitleChar"/>
    <w:uiPriority w:val="11"/>
    <w:qFormat/>
    <w:rsid w:val="008C7722"/>
    <w:pPr>
      <w:numPr>
        <w:ilvl w:val="1"/>
      </w:numPr>
      <w:spacing w:line="240" w:lineRule="auto"/>
    </w:pPr>
    <w:rPr>
      <w:rFonts w:eastAsiaTheme="majorEastAsia" w:cstheme="majorBidi"/>
      <w:color w:val="EDE8E0"/>
      <w:spacing w:val="15"/>
      <w:sz w:val="40"/>
      <w:szCs w:val="24"/>
    </w:rPr>
  </w:style>
  <w:style w:type="character" w:customStyle="1" w:styleId="SubtitleChar">
    <w:name w:val="Subtitle Char"/>
    <w:basedOn w:val="DefaultParagraphFont"/>
    <w:link w:val="Subtitle"/>
    <w:uiPriority w:val="11"/>
    <w:rsid w:val="008C7722"/>
    <w:rPr>
      <w:rFonts w:ascii="Inter" w:eastAsiaTheme="majorEastAsia" w:hAnsi="Inter" w:cstheme="majorBidi"/>
      <w:color w:val="EDE8E0"/>
      <w:spacing w:val="15"/>
      <w:sz w:val="40"/>
      <w:szCs w:val="24"/>
    </w:rPr>
  </w:style>
  <w:style w:type="paragraph" w:styleId="Quote">
    <w:name w:val="Quote"/>
    <w:basedOn w:val="Normal"/>
    <w:next w:val="Normal"/>
    <w:link w:val="QuoteChar"/>
    <w:uiPriority w:val="29"/>
    <w:qFormat/>
    <w:rsid w:val="008C7722"/>
    <w:pPr>
      <w:spacing w:before="280" w:after="280"/>
      <w:jc w:val="center"/>
    </w:pPr>
    <w:rPr>
      <w:i/>
      <w:iCs/>
      <w:color w:val="7B4158" w:themeColor="text1" w:themeTint="BF"/>
    </w:rPr>
  </w:style>
  <w:style w:type="character" w:customStyle="1" w:styleId="QuoteChar">
    <w:name w:val="Quote Char"/>
    <w:basedOn w:val="DefaultParagraphFont"/>
    <w:link w:val="Quote"/>
    <w:uiPriority w:val="29"/>
    <w:rsid w:val="008C7722"/>
    <w:rPr>
      <w:rFonts w:ascii="Inter" w:hAnsi="Inter"/>
      <w:i/>
      <w:iCs/>
      <w:color w:val="7B4158" w:themeColor="text1" w:themeTint="BF"/>
    </w:rPr>
  </w:style>
  <w:style w:type="paragraph" w:styleId="ListParagraph">
    <w:name w:val="List Paragraph"/>
    <w:basedOn w:val="Normal"/>
    <w:uiPriority w:val="34"/>
    <w:qFormat/>
    <w:rsid w:val="00154474"/>
    <w:pPr>
      <w:numPr>
        <w:numId w:val="9"/>
      </w:numPr>
      <w:contextualSpacing/>
    </w:pPr>
  </w:style>
  <w:style w:type="character" w:styleId="IntenseEmphasis">
    <w:name w:val="Intense Emphasis"/>
    <w:basedOn w:val="DefaultParagraphFont"/>
    <w:uiPriority w:val="21"/>
    <w:rsid w:val="008C7722"/>
    <w:rPr>
      <w:i/>
      <w:iCs/>
      <w:color w:val="32CDC5" w:themeColor="accent1" w:themeShade="BF"/>
    </w:rPr>
  </w:style>
  <w:style w:type="paragraph" w:styleId="IntenseQuote">
    <w:name w:val="Intense Quote"/>
    <w:basedOn w:val="Normal"/>
    <w:next w:val="Normal"/>
    <w:link w:val="IntenseQuoteChar"/>
    <w:uiPriority w:val="30"/>
    <w:rsid w:val="008C7722"/>
    <w:pPr>
      <w:pBdr>
        <w:top w:val="single" w:sz="4" w:space="10" w:color="32CDC5" w:themeColor="accent1" w:themeShade="BF"/>
        <w:bottom w:val="single" w:sz="4" w:space="10" w:color="32CDC5" w:themeColor="accent1" w:themeShade="BF"/>
      </w:pBdr>
      <w:spacing w:before="360" w:after="360"/>
      <w:ind w:left="864" w:right="864"/>
      <w:jc w:val="center"/>
    </w:pPr>
    <w:rPr>
      <w:i/>
      <w:iCs/>
      <w:color w:val="32CDC5" w:themeColor="accent1" w:themeShade="BF"/>
    </w:rPr>
  </w:style>
  <w:style w:type="character" w:customStyle="1" w:styleId="IntenseQuoteChar">
    <w:name w:val="Intense Quote Char"/>
    <w:basedOn w:val="DefaultParagraphFont"/>
    <w:link w:val="IntenseQuote"/>
    <w:uiPriority w:val="30"/>
    <w:rsid w:val="008C7722"/>
    <w:rPr>
      <w:i/>
      <w:iCs/>
      <w:color w:val="32CDC5" w:themeColor="accent1" w:themeShade="BF"/>
    </w:rPr>
  </w:style>
  <w:style w:type="character" w:styleId="IntenseReference">
    <w:name w:val="Intense Reference"/>
    <w:basedOn w:val="DefaultParagraphFont"/>
    <w:uiPriority w:val="32"/>
    <w:rsid w:val="008C7722"/>
    <w:rPr>
      <w:b/>
      <w:bCs/>
      <w:smallCaps/>
      <w:color w:val="32CDC5" w:themeColor="accent1" w:themeShade="BF"/>
      <w:spacing w:val="5"/>
    </w:rPr>
  </w:style>
  <w:style w:type="paragraph" w:customStyle="1" w:styleId="AOCtext">
    <w:name w:val="AOC text"/>
    <w:basedOn w:val="Normal"/>
    <w:qFormat/>
    <w:rsid w:val="008C7722"/>
    <w:rPr>
      <w:sz w:val="28"/>
      <w:szCs w:val="28"/>
    </w:rPr>
  </w:style>
  <w:style w:type="paragraph" w:customStyle="1" w:styleId="TableParagraph">
    <w:name w:val="Table Paragraph"/>
    <w:basedOn w:val="Normal"/>
    <w:uiPriority w:val="1"/>
    <w:qFormat/>
    <w:rsid w:val="008C7722"/>
    <w:pPr>
      <w:spacing w:after="120"/>
    </w:pPr>
    <w:rPr>
      <w:rFonts w:eastAsiaTheme="minorEastAsia"/>
      <w:kern w:val="0"/>
    </w:rPr>
  </w:style>
  <w:style w:type="paragraph" w:styleId="TOCHeading">
    <w:name w:val="TOC Heading"/>
    <w:aliases w:val="Table Heading"/>
    <w:basedOn w:val="TableParagraph"/>
    <w:next w:val="Normal"/>
    <w:uiPriority w:val="39"/>
    <w:unhideWhenUsed/>
    <w:qFormat/>
    <w:rsid w:val="00271D48"/>
    <w:rPr>
      <w:b/>
      <w:sz w:val="24"/>
      <w:szCs w:val="24"/>
    </w:rPr>
  </w:style>
  <w:style w:type="paragraph" w:styleId="TOC3">
    <w:name w:val="toc 3"/>
    <w:basedOn w:val="Normal"/>
    <w:next w:val="Normal"/>
    <w:autoRedefine/>
    <w:uiPriority w:val="39"/>
    <w:unhideWhenUsed/>
    <w:rsid w:val="00C86A7E"/>
    <w:pPr>
      <w:spacing w:after="100"/>
      <w:ind w:left="440"/>
    </w:pPr>
    <w:rPr>
      <w:sz w:val="18"/>
    </w:rPr>
  </w:style>
  <w:style w:type="paragraph" w:styleId="TOC1">
    <w:name w:val="toc 1"/>
    <w:basedOn w:val="Normal"/>
    <w:next w:val="Normal"/>
    <w:autoRedefine/>
    <w:uiPriority w:val="39"/>
    <w:unhideWhenUsed/>
    <w:rsid w:val="008C7722"/>
    <w:pPr>
      <w:spacing w:after="100"/>
    </w:pPr>
    <w:rPr>
      <w:rFonts w:ascii="Inter Medium" w:hAnsi="Inter Medium"/>
    </w:rPr>
  </w:style>
  <w:style w:type="character" w:styleId="Hyperlink">
    <w:name w:val="Hyperlink"/>
    <w:basedOn w:val="DefaultParagraphFont"/>
    <w:uiPriority w:val="99"/>
    <w:unhideWhenUsed/>
    <w:rsid w:val="007863D6"/>
    <w:rPr>
      <w:color w:val="236F6B"/>
      <w:u w:val="single"/>
    </w:rPr>
  </w:style>
  <w:style w:type="paragraph" w:styleId="TOC2">
    <w:name w:val="toc 2"/>
    <w:basedOn w:val="Normal"/>
    <w:next w:val="Normal"/>
    <w:autoRedefine/>
    <w:uiPriority w:val="39"/>
    <w:unhideWhenUsed/>
    <w:rsid w:val="008C7722"/>
    <w:pPr>
      <w:spacing w:after="100"/>
      <w:ind w:left="220"/>
    </w:pPr>
  </w:style>
  <w:style w:type="character" w:styleId="CommentReference">
    <w:name w:val="annotation reference"/>
    <w:basedOn w:val="DefaultParagraphFont"/>
    <w:uiPriority w:val="99"/>
    <w:semiHidden/>
    <w:unhideWhenUsed/>
    <w:rsid w:val="008C7722"/>
    <w:rPr>
      <w:sz w:val="16"/>
      <w:szCs w:val="16"/>
    </w:rPr>
  </w:style>
  <w:style w:type="paragraph" w:styleId="CommentText">
    <w:name w:val="annotation text"/>
    <w:basedOn w:val="Normal"/>
    <w:link w:val="CommentTextChar"/>
    <w:uiPriority w:val="99"/>
    <w:unhideWhenUsed/>
    <w:rsid w:val="008C7722"/>
    <w:pPr>
      <w:widowControl w:val="0"/>
      <w:spacing w:after="0" w:line="240" w:lineRule="auto"/>
    </w:pPr>
    <w:rPr>
      <w:rFonts w:asciiTheme="minorHAnsi" w:hAnsiTheme="minorHAnsi"/>
      <w:kern w:val="0"/>
      <w:sz w:val="20"/>
      <w:szCs w:val="20"/>
      <w:lang w:val="en-US"/>
    </w:rPr>
  </w:style>
  <w:style w:type="character" w:customStyle="1" w:styleId="CommentTextChar">
    <w:name w:val="Comment Text Char"/>
    <w:basedOn w:val="DefaultParagraphFont"/>
    <w:link w:val="CommentText"/>
    <w:uiPriority w:val="99"/>
    <w:rsid w:val="008C7722"/>
    <w:rPr>
      <w:kern w:val="0"/>
      <w:sz w:val="20"/>
      <w:szCs w:val="20"/>
      <w:lang w:val="en-US"/>
    </w:rPr>
  </w:style>
  <w:style w:type="table" w:styleId="TableGrid">
    <w:name w:val="Table Grid"/>
    <w:basedOn w:val="TableNormal"/>
    <w:uiPriority w:val="99"/>
    <w:rsid w:val="008C7722"/>
    <w:pPr>
      <w:spacing w:after="0" w:line="240" w:lineRule="auto"/>
    </w:pPr>
    <w:rPr>
      <w:rFonts w:eastAsiaTheme="minorEastAsia"/>
      <w:kern w:val="0"/>
    </w:rPr>
    <w:tblPr/>
  </w:style>
  <w:style w:type="paragraph" w:styleId="Header">
    <w:name w:val="header"/>
    <w:basedOn w:val="Normal"/>
    <w:link w:val="HeaderChar"/>
    <w:uiPriority w:val="99"/>
    <w:unhideWhenUsed/>
    <w:rsid w:val="008C77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722"/>
    <w:rPr>
      <w:rFonts w:ascii="Inter" w:hAnsi="Inter"/>
    </w:rPr>
  </w:style>
  <w:style w:type="paragraph" w:styleId="Footer">
    <w:name w:val="footer"/>
    <w:basedOn w:val="Normal"/>
    <w:link w:val="FooterChar"/>
    <w:uiPriority w:val="99"/>
    <w:unhideWhenUsed/>
    <w:rsid w:val="008C77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722"/>
    <w:rPr>
      <w:rFonts w:ascii="Inter" w:hAnsi="Inter"/>
    </w:rPr>
  </w:style>
  <w:style w:type="paragraph" w:styleId="NormalWeb">
    <w:name w:val="Normal (Web)"/>
    <w:basedOn w:val="Normal"/>
    <w:uiPriority w:val="99"/>
    <w:semiHidden/>
    <w:unhideWhenUsed/>
    <w:rsid w:val="008C7722"/>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character" w:styleId="Strong">
    <w:name w:val="Strong"/>
    <w:basedOn w:val="DefaultParagraphFont"/>
    <w:uiPriority w:val="22"/>
    <w:qFormat/>
    <w:rsid w:val="008C7722"/>
    <w:rPr>
      <w:b/>
      <w:bCs/>
    </w:rPr>
  </w:style>
  <w:style w:type="table" w:customStyle="1" w:styleId="ACSEStable">
    <w:name w:val="ACSES table"/>
    <w:basedOn w:val="TableNormal"/>
    <w:uiPriority w:val="99"/>
    <w:rsid w:val="00271D48"/>
    <w:pPr>
      <w:spacing w:after="0" w:line="240" w:lineRule="auto"/>
    </w:pPr>
    <w:tblPr/>
    <w:tblStylePr w:type="firstRow">
      <w:rPr>
        <w:rFonts w:ascii="Figtree Light" w:hAnsi="Figtree Light"/>
        <w:b/>
        <w:sz w:val="22"/>
      </w:rPr>
    </w:tblStylePr>
  </w:style>
  <w:style w:type="paragraph" w:styleId="Caption">
    <w:name w:val="caption"/>
    <w:basedOn w:val="Normal"/>
    <w:next w:val="Normal"/>
    <w:uiPriority w:val="35"/>
    <w:unhideWhenUsed/>
    <w:qFormat/>
    <w:rsid w:val="00271D48"/>
    <w:pPr>
      <w:spacing w:after="200" w:line="240" w:lineRule="auto"/>
    </w:pPr>
    <w:rPr>
      <w:i/>
      <w:iCs/>
      <w:color w:val="351C26" w:themeColor="text2"/>
      <w:sz w:val="18"/>
      <w:szCs w:val="18"/>
    </w:rPr>
  </w:style>
  <w:style w:type="character" w:styleId="UnresolvedMention">
    <w:name w:val="Unresolved Mention"/>
    <w:basedOn w:val="DefaultParagraphFont"/>
    <w:uiPriority w:val="99"/>
    <w:semiHidden/>
    <w:unhideWhenUsed/>
    <w:rsid w:val="007863D6"/>
    <w:rPr>
      <w:color w:val="605E5C"/>
      <w:shd w:val="clear" w:color="auto" w:fill="E1DFDD"/>
    </w:rPr>
  </w:style>
  <w:style w:type="paragraph" w:styleId="BodyText">
    <w:name w:val="Body Text"/>
    <w:basedOn w:val="Normal"/>
    <w:link w:val="BodyTextChar"/>
    <w:uiPriority w:val="1"/>
    <w:qFormat/>
    <w:rsid w:val="00AA7894"/>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AA7894"/>
    <w:rPr>
      <w:rFonts w:ascii="Calibri" w:eastAsia="Calibri" w:hAnsi="Calibri" w:cs="Calibri"/>
      <w:kern w:val="0"/>
      <w14:ligatures w14:val="none"/>
    </w:rPr>
  </w:style>
  <w:style w:type="paragraph" w:styleId="Revision">
    <w:name w:val="Revision"/>
    <w:hidden/>
    <w:uiPriority w:val="99"/>
    <w:semiHidden/>
    <w:rsid w:val="00051E86"/>
    <w:pPr>
      <w:spacing w:after="0" w:line="240" w:lineRule="auto"/>
    </w:pPr>
    <w:rPr>
      <w:rFonts w:ascii="Inter" w:hAnsi="Inter"/>
    </w:rPr>
  </w:style>
  <w:style w:type="paragraph" w:styleId="CommentSubject">
    <w:name w:val="annotation subject"/>
    <w:basedOn w:val="CommentText"/>
    <w:next w:val="CommentText"/>
    <w:link w:val="CommentSubjectChar"/>
    <w:uiPriority w:val="99"/>
    <w:semiHidden/>
    <w:unhideWhenUsed/>
    <w:rsid w:val="00164198"/>
    <w:pPr>
      <w:widowControl/>
      <w:spacing w:after="160"/>
    </w:pPr>
    <w:rPr>
      <w:rFonts w:ascii="Inter" w:hAnsi="Inter"/>
      <w:b/>
      <w:bCs/>
      <w:kern w:val="2"/>
      <w:lang w:val="en-AU"/>
    </w:rPr>
  </w:style>
  <w:style w:type="character" w:customStyle="1" w:styleId="CommentSubjectChar">
    <w:name w:val="Comment Subject Char"/>
    <w:basedOn w:val="CommentTextChar"/>
    <w:link w:val="CommentSubject"/>
    <w:uiPriority w:val="99"/>
    <w:semiHidden/>
    <w:rsid w:val="00164198"/>
    <w:rPr>
      <w:rFonts w:ascii="Inter" w:hAnsi="Inter"/>
      <w:b/>
      <w:bCs/>
      <w:kern w:val="0"/>
      <w:sz w:val="20"/>
      <w:szCs w:val="20"/>
      <w:lang w:val="en-US"/>
    </w:rPr>
  </w:style>
  <w:style w:type="table" w:styleId="GridTable5Dark">
    <w:name w:val="Grid Table 5 Dark"/>
    <w:basedOn w:val="TableNormal"/>
    <w:uiPriority w:val="50"/>
    <w:rsid w:val="00EF25EF"/>
    <w:pPr>
      <w:spacing w:after="0" w:line="240" w:lineRule="auto"/>
    </w:pPr>
    <w:tblPr>
      <w:tblStyleRowBandSize w:val="1"/>
      <w:tblStyleColBandSize w:val="1"/>
      <w:tblBorders>
        <w:top w:val="single" w:sz="4" w:space="0" w:color="EDE8E0" w:themeColor="background1"/>
        <w:left w:val="single" w:sz="4" w:space="0" w:color="EDE8E0" w:themeColor="background1"/>
        <w:bottom w:val="single" w:sz="4" w:space="0" w:color="EDE8E0" w:themeColor="background1"/>
        <w:right w:val="single" w:sz="4" w:space="0" w:color="EDE8E0" w:themeColor="background1"/>
        <w:insideH w:val="single" w:sz="4" w:space="0" w:color="EDE8E0" w:themeColor="background1"/>
        <w:insideV w:val="single" w:sz="4" w:space="0" w:color="EDE8E0" w:themeColor="background1"/>
      </w:tblBorders>
    </w:tblPr>
    <w:tcPr>
      <w:shd w:val="clear" w:color="auto" w:fill="E1C6D1" w:themeFill="text1" w:themeFillTint="33"/>
    </w:tcPr>
    <w:tblStylePr w:type="firstRow">
      <w:rPr>
        <w:b/>
        <w:bCs/>
        <w:color w:val="EDE8E0" w:themeColor="background1"/>
      </w:rPr>
      <w:tblPr/>
      <w:tcPr>
        <w:tcBorders>
          <w:top w:val="single" w:sz="4" w:space="0" w:color="EDE8E0" w:themeColor="background1"/>
          <w:left w:val="single" w:sz="4" w:space="0" w:color="EDE8E0" w:themeColor="background1"/>
          <w:right w:val="single" w:sz="4" w:space="0" w:color="EDE8E0" w:themeColor="background1"/>
          <w:insideH w:val="nil"/>
          <w:insideV w:val="nil"/>
        </w:tcBorders>
        <w:shd w:val="clear" w:color="auto" w:fill="351C26" w:themeFill="text1"/>
      </w:tcPr>
    </w:tblStylePr>
    <w:tblStylePr w:type="lastRow">
      <w:rPr>
        <w:b/>
        <w:bCs/>
        <w:color w:val="EDE8E0" w:themeColor="background1"/>
      </w:rPr>
      <w:tblPr/>
      <w:tcPr>
        <w:tcBorders>
          <w:left w:val="single" w:sz="4" w:space="0" w:color="EDE8E0" w:themeColor="background1"/>
          <w:bottom w:val="single" w:sz="4" w:space="0" w:color="EDE8E0" w:themeColor="background1"/>
          <w:right w:val="single" w:sz="4" w:space="0" w:color="EDE8E0" w:themeColor="background1"/>
          <w:insideH w:val="nil"/>
          <w:insideV w:val="nil"/>
        </w:tcBorders>
        <w:shd w:val="clear" w:color="auto" w:fill="351C26" w:themeFill="text1"/>
      </w:tcPr>
    </w:tblStylePr>
    <w:tblStylePr w:type="firstCol">
      <w:rPr>
        <w:b/>
        <w:bCs/>
        <w:color w:val="EDE8E0" w:themeColor="background1"/>
      </w:rPr>
      <w:tblPr/>
      <w:tcPr>
        <w:tcBorders>
          <w:top w:val="single" w:sz="4" w:space="0" w:color="EDE8E0" w:themeColor="background1"/>
          <w:left w:val="single" w:sz="4" w:space="0" w:color="EDE8E0" w:themeColor="background1"/>
          <w:bottom w:val="single" w:sz="4" w:space="0" w:color="EDE8E0" w:themeColor="background1"/>
          <w:insideV w:val="nil"/>
        </w:tcBorders>
        <w:shd w:val="clear" w:color="auto" w:fill="351C26" w:themeFill="text1"/>
      </w:tcPr>
    </w:tblStylePr>
    <w:tblStylePr w:type="lastCol">
      <w:rPr>
        <w:b/>
        <w:bCs/>
        <w:color w:val="EDE8E0" w:themeColor="background1"/>
      </w:rPr>
      <w:tblPr/>
      <w:tcPr>
        <w:tcBorders>
          <w:top w:val="single" w:sz="4" w:space="0" w:color="EDE8E0" w:themeColor="background1"/>
          <w:bottom w:val="single" w:sz="4" w:space="0" w:color="EDE8E0" w:themeColor="background1"/>
          <w:right w:val="single" w:sz="4" w:space="0" w:color="EDE8E0" w:themeColor="background1"/>
          <w:insideV w:val="nil"/>
        </w:tcBorders>
        <w:shd w:val="clear" w:color="auto" w:fill="351C26" w:themeFill="text1"/>
      </w:tcPr>
    </w:tblStylePr>
    <w:tblStylePr w:type="band1Vert">
      <w:tblPr/>
      <w:tcPr>
        <w:shd w:val="clear" w:color="auto" w:fill="C38EA3" w:themeFill="text1" w:themeFillTint="66"/>
      </w:tcPr>
    </w:tblStylePr>
    <w:tblStylePr w:type="band1Horz">
      <w:tblPr/>
      <w:tcPr>
        <w:shd w:val="clear" w:color="auto" w:fill="C38EA3" w:themeFill="text1" w:themeFillTint="66"/>
      </w:tcPr>
    </w:tblStylePr>
  </w:style>
  <w:style w:type="table" w:styleId="GridTable4">
    <w:name w:val="Grid Table 4"/>
    <w:basedOn w:val="TableNormal"/>
    <w:uiPriority w:val="49"/>
    <w:rsid w:val="004D56D5"/>
    <w:pPr>
      <w:spacing w:after="0" w:line="240" w:lineRule="auto"/>
    </w:pPr>
    <w:tblPr>
      <w:tblStyleRowBandSize w:val="1"/>
      <w:tblStyleColBandSize w:val="1"/>
      <w:tblBorders>
        <w:top w:val="single" w:sz="4" w:space="0" w:color="A55776" w:themeColor="text1" w:themeTint="99"/>
        <w:left w:val="single" w:sz="4" w:space="0" w:color="A55776" w:themeColor="text1" w:themeTint="99"/>
        <w:bottom w:val="single" w:sz="4" w:space="0" w:color="A55776" w:themeColor="text1" w:themeTint="99"/>
        <w:right w:val="single" w:sz="4" w:space="0" w:color="A55776" w:themeColor="text1" w:themeTint="99"/>
        <w:insideH w:val="single" w:sz="4" w:space="0" w:color="A55776" w:themeColor="text1" w:themeTint="99"/>
        <w:insideV w:val="single" w:sz="4" w:space="0" w:color="A55776" w:themeColor="text1" w:themeTint="99"/>
      </w:tblBorders>
    </w:tblPr>
    <w:tblStylePr w:type="firstRow">
      <w:rPr>
        <w:b/>
        <w:bCs/>
        <w:color w:val="EDE8E0" w:themeColor="background1"/>
      </w:rPr>
      <w:tblPr/>
      <w:tcPr>
        <w:tcBorders>
          <w:top w:val="single" w:sz="4" w:space="0" w:color="351C26" w:themeColor="text1"/>
          <w:left w:val="single" w:sz="4" w:space="0" w:color="351C26" w:themeColor="text1"/>
          <w:bottom w:val="single" w:sz="4" w:space="0" w:color="351C26" w:themeColor="text1"/>
          <w:right w:val="single" w:sz="4" w:space="0" w:color="351C26" w:themeColor="text1"/>
          <w:insideH w:val="nil"/>
          <w:insideV w:val="nil"/>
        </w:tcBorders>
        <w:shd w:val="clear" w:color="auto" w:fill="351C26" w:themeFill="text1"/>
      </w:tcPr>
    </w:tblStylePr>
    <w:tblStylePr w:type="lastRow">
      <w:rPr>
        <w:b/>
        <w:bCs/>
      </w:rPr>
      <w:tblPr/>
      <w:tcPr>
        <w:tcBorders>
          <w:top w:val="double" w:sz="4" w:space="0" w:color="351C26" w:themeColor="text1"/>
        </w:tcBorders>
      </w:tcPr>
    </w:tblStylePr>
    <w:tblStylePr w:type="firstCol">
      <w:rPr>
        <w:b/>
        <w:bCs/>
      </w:rPr>
    </w:tblStylePr>
    <w:tblStylePr w:type="lastCol">
      <w:rPr>
        <w:b/>
        <w:bCs/>
      </w:rPr>
    </w:tblStylePr>
    <w:tblStylePr w:type="band1Vert">
      <w:tblPr/>
      <w:tcPr>
        <w:shd w:val="clear" w:color="auto" w:fill="E1C6D1" w:themeFill="text1" w:themeFillTint="33"/>
      </w:tcPr>
    </w:tblStylePr>
    <w:tblStylePr w:type="band1Horz">
      <w:tblPr/>
      <w:tcPr>
        <w:shd w:val="clear" w:color="auto" w:fill="E1C6D1" w:themeFill="text1" w:themeFillTint="33"/>
      </w:tcPr>
    </w:tblStylePr>
  </w:style>
  <w:style w:type="table" w:styleId="GridTable5Dark-Accent2">
    <w:name w:val="Grid Table 5 Dark Accent 2"/>
    <w:basedOn w:val="TableNormal"/>
    <w:uiPriority w:val="50"/>
    <w:rsid w:val="009237BE"/>
    <w:pPr>
      <w:spacing w:after="0" w:line="240" w:lineRule="auto"/>
    </w:pPr>
    <w:tblPr>
      <w:tblStyleRowBandSize w:val="1"/>
      <w:tblStyleColBandSize w:val="1"/>
      <w:tblBorders>
        <w:top w:val="single" w:sz="4" w:space="0" w:color="EDE8E0" w:themeColor="background1"/>
        <w:left w:val="single" w:sz="4" w:space="0" w:color="EDE8E0" w:themeColor="background1"/>
        <w:bottom w:val="single" w:sz="4" w:space="0" w:color="EDE8E0" w:themeColor="background1"/>
        <w:right w:val="single" w:sz="4" w:space="0" w:color="EDE8E0" w:themeColor="background1"/>
        <w:insideH w:val="single" w:sz="4" w:space="0" w:color="EDE8E0" w:themeColor="background1"/>
        <w:insideV w:val="single" w:sz="4" w:space="0" w:color="EDE8E0" w:themeColor="background1"/>
      </w:tblBorders>
    </w:tblPr>
    <w:tcPr>
      <w:shd w:val="clear" w:color="auto" w:fill="E6D2DE" w:themeFill="accent2" w:themeFillTint="33"/>
    </w:tcPr>
    <w:tblStylePr w:type="firstRow">
      <w:rPr>
        <w:b/>
        <w:bCs/>
        <w:color w:val="EDE8E0" w:themeColor="background1"/>
      </w:rPr>
      <w:tblPr/>
      <w:tcPr>
        <w:tcBorders>
          <w:top w:val="single" w:sz="4" w:space="0" w:color="EDE8E0" w:themeColor="background1"/>
          <w:left w:val="single" w:sz="4" w:space="0" w:color="EDE8E0" w:themeColor="background1"/>
          <w:right w:val="single" w:sz="4" w:space="0" w:color="EDE8E0" w:themeColor="background1"/>
          <w:insideH w:val="nil"/>
          <w:insideV w:val="nil"/>
        </w:tcBorders>
        <w:shd w:val="clear" w:color="auto" w:fill="6B3B57" w:themeFill="accent2"/>
      </w:tcPr>
    </w:tblStylePr>
    <w:tblStylePr w:type="lastRow">
      <w:rPr>
        <w:b/>
        <w:bCs/>
        <w:color w:val="EDE8E0" w:themeColor="background1"/>
      </w:rPr>
      <w:tblPr/>
      <w:tcPr>
        <w:tcBorders>
          <w:left w:val="single" w:sz="4" w:space="0" w:color="EDE8E0" w:themeColor="background1"/>
          <w:bottom w:val="single" w:sz="4" w:space="0" w:color="EDE8E0" w:themeColor="background1"/>
          <w:right w:val="single" w:sz="4" w:space="0" w:color="EDE8E0" w:themeColor="background1"/>
          <w:insideH w:val="nil"/>
          <w:insideV w:val="nil"/>
        </w:tcBorders>
        <w:shd w:val="clear" w:color="auto" w:fill="6B3B57" w:themeFill="accent2"/>
      </w:tcPr>
    </w:tblStylePr>
    <w:tblStylePr w:type="firstCol">
      <w:rPr>
        <w:b/>
        <w:bCs/>
        <w:color w:val="EDE8E0" w:themeColor="background1"/>
      </w:rPr>
      <w:tblPr/>
      <w:tcPr>
        <w:tcBorders>
          <w:top w:val="single" w:sz="4" w:space="0" w:color="EDE8E0" w:themeColor="background1"/>
          <w:left w:val="single" w:sz="4" w:space="0" w:color="EDE8E0" w:themeColor="background1"/>
          <w:bottom w:val="single" w:sz="4" w:space="0" w:color="EDE8E0" w:themeColor="background1"/>
          <w:insideV w:val="nil"/>
        </w:tcBorders>
        <w:shd w:val="clear" w:color="auto" w:fill="6B3B57" w:themeFill="accent2"/>
      </w:tcPr>
    </w:tblStylePr>
    <w:tblStylePr w:type="lastCol">
      <w:rPr>
        <w:b/>
        <w:bCs/>
        <w:color w:val="EDE8E0" w:themeColor="background1"/>
      </w:rPr>
      <w:tblPr/>
      <w:tcPr>
        <w:tcBorders>
          <w:top w:val="single" w:sz="4" w:space="0" w:color="EDE8E0" w:themeColor="background1"/>
          <w:bottom w:val="single" w:sz="4" w:space="0" w:color="EDE8E0" w:themeColor="background1"/>
          <w:right w:val="single" w:sz="4" w:space="0" w:color="EDE8E0" w:themeColor="background1"/>
          <w:insideV w:val="nil"/>
        </w:tcBorders>
        <w:shd w:val="clear" w:color="auto" w:fill="6B3B57" w:themeFill="accent2"/>
      </w:tcPr>
    </w:tblStylePr>
    <w:tblStylePr w:type="band1Vert">
      <w:tblPr/>
      <w:tcPr>
        <w:shd w:val="clear" w:color="auto" w:fill="CEA6BD" w:themeFill="accent2" w:themeFillTint="66"/>
      </w:tcPr>
    </w:tblStylePr>
    <w:tblStylePr w:type="band1Horz">
      <w:tblPr/>
      <w:tcPr>
        <w:shd w:val="clear" w:color="auto" w:fill="CEA6BD"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49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cses.edu.au" TargetMode="Externa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image" Target="media/image7.svg"/><Relationship Id="rId7" Type="http://schemas.openxmlformats.org/officeDocument/2006/relationships/settings" Target="settings.xml"/><Relationship Id="rId12" Type="http://schemas.openxmlformats.org/officeDocument/2006/relationships/hyperlink" Target="mailto:acses@curtin.edu.au" TargetMode="External"/><Relationship Id="rId17" Type="http://schemas.openxmlformats.org/officeDocument/2006/relationships/image" Target="media/image3.png"/><Relationship Id="rId25" Type="http://schemas.openxmlformats.org/officeDocument/2006/relationships/image" Target="media/image11.sv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0.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9.sv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8.png"/><Relationship Id="rId27" Type="http://schemas.openxmlformats.org/officeDocument/2006/relationships/image" Target="media/image13.png"/></Relationships>
</file>

<file path=word/theme/theme1.xml><?xml version="1.0" encoding="utf-8"?>
<a:theme xmlns:a="http://schemas.openxmlformats.org/drawingml/2006/main" name="ACSES brand colours and font">
  <a:themeElements>
    <a:clrScheme name="ACSES">
      <a:dk1>
        <a:srgbClr val="351C26"/>
      </a:dk1>
      <a:lt1>
        <a:srgbClr val="EDE8E0"/>
      </a:lt1>
      <a:dk2>
        <a:srgbClr val="351C26"/>
      </a:dk2>
      <a:lt2>
        <a:srgbClr val="EDE8E0"/>
      </a:lt2>
      <a:accent1>
        <a:srgbClr val="78DED9"/>
      </a:accent1>
      <a:accent2>
        <a:srgbClr val="6B3B57"/>
      </a:accent2>
      <a:accent3>
        <a:srgbClr val="FCAB63"/>
      </a:accent3>
      <a:accent4>
        <a:srgbClr val="D6D4D1"/>
      </a:accent4>
      <a:accent5>
        <a:srgbClr val="FCAB63"/>
      </a:accent5>
      <a:accent6>
        <a:srgbClr val="A8E3E0"/>
      </a:accent6>
      <a:hlink>
        <a:srgbClr val="73D1CC"/>
      </a:hlink>
      <a:folHlink>
        <a:srgbClr val="FCBF86"/>
      </a:folHlink>
    </a:clrScheme>
    <a:fontScheme name="ACSES Inter">
      <a:majorFont>
        <a:latin typeface="Inter Medium"/>
        <a:ea typeface=""/>
        <a:cs typeface=""/>
      </a:majorFont>
      <a:minorFont>
        <a:latin typeface="Inter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ACSES brand colours and font" id="{82D6DADB-4845-4A67-A33F-C81034E00A4B}" vid="{4D836865-521A-4B06-9379-4ACBF43542E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a047ac1-4de8-497a-9697-534f1fef0fc2" xsi:nil="true"/>
    <lcf76f155ced4ddcb4097134ff3c332f xmlns="741caac1-5859-4da6-8ec3-74e77638c05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FED372FCEC81429C7B9E5B127B4A72" ma:contentTypeVersion="13" ma:contentTypeDescription="Create a new document." ma:contentTypeScope="" ma:versionID="b84c8c5677f5919138e5ae00faaf5ccb">
  <xsd:schema xmlns:xsd="http://www.w3.org/2001/XMLSchema" xmlns:xs="http://www.w3.org/2001/XMLSchema" xmlns:p="http://schemas.microsoft.com/office/2006/metadata/properties" xmlns:ns2="741caac1-5859-4da6-8ec3-74e77638c05f" xmlns:ns3="8a047ac1-4de8-497a-9697-534f1fef0fc2" targetNamespace="http://schemas.microsoft.com/office/2006/metadata/properties" ma:root="true" ma:fieldsID="36944759d26ceef0ae6a620d74ef0ff0" ns2:_="" ns3:_="">
    <xsd:import namespace="741caac1-5859-4da6-8ec3-74e77638c05f"/>
    <xsd:import namespace="8a047ac1-4de8-497a-9697-534f1fef0f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caac1-5859-4da6-8ec3-74e77638c0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58b0421-3d9b-4d43-8840-b275eef407c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047ac1-4de8-497a-9697-534f1fef0fc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339ed73-dc69-45d3-8d7e-2a9cabd8547f}" ma:internalName="TaxCatchAll" ma:showField="CatchAllData" ma:web="8a047ac1-4de8-497a-9697-534f1fef0f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33A02-717F-40EB-9B38-BD197F84555C}">
  <ds:schemaRefs>
    <ds:schemaRef ds:uri="http://schemas.microsoft.com/office/2006/metadata/properties"/>
    <ds:schemaRef ds:uri="http://schemas.microsoft.com/office/infopath/2007/PartnerControls"/>
    <ds:schemaRef ds:uri="8a047ac1-4de8-497a-9697-534f1fef0fc2"/>
    <ds:schemaRef ds:uri="741caac1-5859-4da6-8ec3-74e77638c05f"/>
  </ds:schemaRefs>
</ds:datastoreItem>
</file>

<file path=customXml/itemProps2.xml><?xml version="1.0" encoding="utf-8"?>
<ds:datastoreItem xmlns:ds="http://schemas.openxmlformats.org/officeDocument/2006/customXml" ds:itemID="{0A2F758C-32EF-41E2-8381-DD9BA1CD449A}">
  <ds:schemaRefs>
    <ds:schemaRef ds:uri="http://schemas.microsoft.com/sharepoint/v3/contenttype/forms"/>
  </ds:schemaRefs>
</ds:datastoreItem>
</file>

<file path=customXml/itemProps3.xml><?xml version="1.0" encoding="utf-8"?>
<ds:datastoreItem xmlns:ds="http://schemas.openxmlformats.org/officeDocument/2006/customXml" ds:itemID="{9C328560-F852-481E-8ADF-18DBE3250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caac1-5859-4da6-8ec3-74e77638c05f"/>
    <ds:schemaRef ds:uri="8a047ac1-4de8-497a-9697-534f1fef0f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6FABCB-6D03-4106-A0B1-5A146B122874}">
  <ds:schemaRefs>
    <ds:schemaRef ds:uri="http://schemas.openxmlformats.org/officeDocument/2006/bibliography"/>
  </ds:schemaRefs>
</ds:datastoreItem>
</file>

<file path=docMetadata/LabelInfo.xml><?xml version="1.0" encoding="utf-8"?>
<clbl:labelList xmlns:clbl="http://schemas.microsoft.com/office/2020/mipLabelMetadata">
  <clbl:label id="{0507654c-1543-47e1-81c5-300c2627be14}" enabled="1" method="Standar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Template>
  <TotalTime>21</TotalTime>
  <Pages>14</Pages>
  <Words>2504</Words>
  <Characters>14276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Will</dc:creator>
  <cp:keywords/>
  <dc:description/>
  <cp:lastModifiedBy>Patrick Broman</cp:lastModifiedBy>
  <cp:revision>4</cp:revision>
  <cp:lastPrinted>2026-02-18T04:53:00Z</cp:lastPrinted>
  <dcterms:created xsi:type="dcterms:W3CDTF">2026-02-18T04:32:00Z</dcterms:created>
  <dcterms:modified xsi:type="dcterms:W3CDTF">2026-02-18T04:53:00Z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0x010100FAFED372FCEC81429C7B9E5B127B4A72</vt:lpwstr>
  </property>
  <property fmtid="{D5CDD505-2E9C-101B-9397-08002B2CF9AE}" pid="3" name="MediaServiceImageTags">
    <vt:lpwstr/>
  </property>
  <property fmtid="{D5CDD505-2E9C-101B-9397-08002B2CF9AE}" pid="4" name="docLang">
    <vt:lpwstr>en</vt:lpwstr>
  </property>
  <property fmtid="{D5CDD505-2E9C-101B-9397-08002B2CF9AE}" pid="5" name="MSIP_Label_25645803-7a80-4d54-bfa9-551a1ec8d4d5_Enabled">
    <vt:lpwstr>true</vt:lpwstr>
  </property>
  <property fmtid="{D5CDD505-2E9C-101B-9397-08002B2CF9AE}" pid="6" name="MSIP_Label_25645803-7a80-4d54-bfa9-551a1ec8d4d5_SetDate">
    <vt:lpwstr>2026-01-13T00:45:06Z</vt:lpwstr>
  </property>
  <property fmtid="{D5CDD505-2E9C-101B-9397-08002B2CF9AE}" pid="7" name="MSIP_Label_25645803-7a80-4d54-bfa9-551a1ec8d4d5_Method">
    <vt:lpwstr>Privileged</vt:lpwstr>
  </property>
  <property fmtid="{D5CDD505-2E9C-101B-9397-08002B2CF9AE}" pid="8" name="MSIP_Label_25645803-7a80-4d54-bfa9-551a1ec8d4d5_Name">
    <vt:lpwstr>PERSONAL</vt:lpwstr>
  </property>
  <property fmtid="{D5CDD505-2E9C-101B-9397-08002B2CF9AE}" pid="9" name="MSIP_Label_25645803-7a80-4d54-bfa9-551a1ec8d4d5_SiteId">
    <vt:lpwstr>e6d2d4cc-b762-486e-8894-4f5f440d5f31</vt:lpwstr>
  </property>
  <property fmtid="{D5CDD505-2E9C-101B-9397-08002B2CF9AE}" pid="10" name="MSIP_Label_25645803-7a80-4d54-bfa9-551a1ec8d4d5_ActionId">
    <vt:lpwstr>6fce0c0a-5917-4920-b999-a89382281b3d</vt:lpwstr>
  </property>
  <property fmtid="{D5CDD505-2E9C-101B-9397-08002B2CF9AE}" pid="11" name="MSIP_Label_25645803-7a80-4d54-bfa9-551a1ec8d4d5_ContentBits">
    <vt:lpwstr>0</vt:lpwstr>
  </property>
  <property fmtid="{D5CDD505-2E9C-101B-9397-08002B2CF9AE}" pid="12" name="MSIP_Label_25645803-7a80-4d54-bfa9-551a1ec8d4d5_Tag">
    <vt:lpwstr>10, 0, 1, 1</vt:lpwstr>
  </property>
</Properties>
</file>