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CA09" w14:textId="70F16137" w:rsidR="00981F09" w:rsidRPr="00981F09" w:rsidRDefault="007863D6" w:rsidP="006737A5">
      <w:pPr>
        <w:pStyle w:val="Title"/>
        <w:ind w:right="-1135"/>
      </w:pPr>
      <w:r w:rsidRPr="006737A5">
        <w:rPr>
          <w:noProof/>
          <w:sz w:val="32"/>
          <w:szCs w:val="32"/>
        </w:rPr>
        <w:drawing>
          <wp:anchor distT="0" distB="0" distL="114300" distR="114300" simplePos="0" relativeHeight="251658240" behindDoc="1" locked="0" layoutInCell="1" allowOverlap="1" wp14:anchorId="377BF449" wp14:editId="352AC710">
            <wp:simplePos x="0" y="0"/>
            <wp:positionH relativeFrom="page">
              <wp:posOffset>12065</wp:posOffset>
            </wp:positionH>
            <wp:positionV relativeFrom="paragraph">
              <wp:posOffset>-910516</wp:posOffset>
            </wp:positionV>
            <wp:extent cx="7548499" cy="10677525"/>
            <wp:effectExtent l="0" t="0" r="0" b="0"/>
            <wp:wrapNone/>
            <wp:doc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499" cy="10677525"/>
                    </a:xfrm>
                    <a:prstGeom prst="rect">
                      <a:avLst/>
                    </a:prstGeom>
                  </pic:spPr>
                </pic:pic>
              </a:graphicData>
            </a:graphic>
            <wp14:sizeRelH relativeFrom="page">
              <wp14:pctWidth>0</wp14:pctWidth>
            </wp14:sizeRelH>
            <wp14:sizeRelV relativeFrom="page">
              <wp14:pctHeight>0</wp14:pctHeight>
            </wp14:sizeRelV>
          </wp:anchor>
        </w:drawing>
      </w:r>
      <w:r w:rsidR="0025338E" w:rsidRPr="006737A5">
        <w:rPr>
          <w:sz w:val="32"/>
          <w:szCs w:val="32"/>
        </w:rPr>
        <w:t>ACSES CAPACITY BUILDING GRANTS PROGRAM</w:t>
      </w:r>
    </w:p>
    <w:p w14:paraId="11490221" w14:textId="29ADF67B" w:rsidR="000162FA" w:rsidRPr="006737A5" w:rsidRDefault="007C7BDF" w:rsidP="007863D6">
      <w:pPr>
        <w:pStyle w:val="Title"/>
        <w:ind w:right="-1135"/>
        <w:rPr>
          <w:color w:val="EDE8E0" w:themeColor="background1"/>
          <w:sz w:val="78"/>
          <w:szCs w:val="78"/>
        </w:rPr>
      </w:pPr>
      <w:r w:rsidRPr="006737A5">
        <w:rPr>
          <w:color w:val="EDE8E0" w:themeColor="background1"/>
          <w:sz w:val="78"/>
          <w:szCs w:val="78"/>
        </w:rPr>
        <w:t xml:space="preserve">Building infrastructure </w:t>
      </w:r>
      <w:r w:rsidR="00B17043">
        <w:rPr>
          <w:color w:val="EDE8E0" w:themeColor="background1"/>
          <w:sz w:val="78"/>
          <w:szCs w:val="78"/>
        </w:rPr>
        <w:br/>
      </w:r>
      <w:r w:rsidRPr="006737A5">
        <w:rPr>
          <w:color w:val="EDE8E0" w:themeColor="background1"/>
          <w:sz w:val="78"/>
          <w:szCs w:val="78"/>
        </w:rPr>
        <w:t xml:space="preserve">to </w:t>
      </w:r>
      <w:r w:rsidR="00425B34" w:rsidRPr="006737A5">
        <w:rPr>
          <w:color w:val="EDE8E0" w:themeColor="background1"/>
          <w:sz w:val="78"/>
          <w:szCs w:val="78"/>
        </w:rPr>
        <w:t xml:space="preserve">evaluate student </w:t>
      </w:r>
      <w:r w:rsidR="00B17043">
        <w:rPr>
          <w:color w:val="EDE8E0" w:themeColor="background1"/>
          <w:sz w:val="78"/>
          <w:szCs w:val="78"/>
        </w:rPr>
        <w:br/>
      </w:r>
      <w:r w:rsidR="00425B34" w:rsidRPr="006737A5">
        <w:rPr>
          <w:color w:val="EDE8E0" w:themeColor="background1"/>
          <w:sz w:val="78"/>
          <w:szCs w:val="78"/>
        </w:rPr>
        <w:t xml:space="preserve">equity </w:t>
      </w:r>
      <w:r w:rsidR="00E647A0">
        <w:rPr>
          <w:color w:val="EDE8E0" w:themeColor="background1"/>
          <w:sz w:val="78"/>
          <w:szCs w:val="78"/>
        </w:rPr>
        <w:t>program</w:t>
      </w:r>
      <w:r w:rsidR="00E647A0" w:rsidRPr="006737A5">
        <w:rPr>
          <w:color w:val="EDE8E0" w:themeColor="background1"/>
          <w:sz w:val="78"/>
          <w:szCs w:val="78"/>
        </w:rPr>
        <w:t xml:space="preserve"> </w:t>
      </w:r>
      <w:r w:rsidR="00425B34" w:rsidRPr="006737A5">
        <w:rPr>
          <w:color w:val="EDE8E0" w:themeColor="background1"/>
          <w:sz w:val="78"/>
          <w:szCs w:val="78"/>
        </w:rPr>
        <w:t>outcomes</w:t>
      </w:r>
    </w:p>
    <w:p w14:paraId="4A1D42A4" w14:textId="77777777" w:rsidR="005522EB" w:rsidRPr="005522EB" w:rsidRDefault="005522EB" w:rsidP="005522EB"/>
    <w:p w14:paraId="2FB537D4" w14:textId="77777777" w:rsidR="005522EB" w:rsidRPr="005522EB" w:rsidRDefault="005522EB" w:rsidP="005522EB"/>
    <w:p w14:paraId="0BDC0584" w14:textId="77777777" w:rsidR="005522EB" w:rsidRDefault="005522EB" w:rsidP="005522EB">
      <w:pPr>
        <w:pStyle w:val="Subtitle"/>
      </w:pPr>
    </w:p>
    <w:p w14:paraId="4312C455" w14:textId="3D75F808" w:rsidR="005522EB" w:rsidRDefault="00874F26" w:rsidP="00874F26">
      <w:pPr>
        <w:pStyle w:val="Subtitle"/>
        <w:tabs>
          <w:tab w:val="left" w:pos="2220"/>
        </w:tabs>
      </w:pPr>
      <w:r>
        <w:tab/>
      </w:r>
    </w:p>
    <w:p w14:paraId="2B8C22C3" w14:textId="77777777" w:rsidR="0025338E" w:rsidRDefault="0025338E" w:rsidP="0025338E"/>
    <w:p w14:paraId="65E4BAFB" w14:textId="77777777" w:rsidR="0025338E" w:rsidRDefault="0025338E" w:rsidP="0025338E"/>
    <w:p w14:paraId="697E7A97" w14:textId="77777777" w:rsidR="0025338E" w:rsidRDefault="0025338E" w:rsidP="0025338E"/>
    <w:p w14:paraId="058C8AF0" w14:textId="77777777" w:rsidR="0025338E" w:rsidRDefault="0025338E" w:rsidP="0025338E"/>
    <w:p w14:paraId="3342263D" w14:textId="77777777" w:rsidR="0025338E" w:rsidRDefault="0025338E" w:rsidP="0025338E"/>
    <w:p w14:paraId="7C72513F" w14:textId="77777777" w:rsidR="00C7239B" w:rsidRDefault="00C7239B" w:rsidP="005522EB">
      <w:pPr>
        <w:pStyle w:val="Subtitle"/>
        <w:rPr>
          <w:sz w:val="32"/>
          <w:szCs w:val="32"/>
        </w:rPr>
      </w:pPr>
    </w:p>
    <w:p w14:paraId="125EC7B0" w14:textId="77777777" w:rsidR="00C7239B" w:rsidRDefault="00C7239B" w:rsidP="005522EB">
      <w:pPr>
        <w:pStyle w:val="Subtitle"/>
        <w:rPr>
          <w:sz w:val="32"/>
          <w:szCs w:val="32"/>
        </w:rPr>
      </w:pPr>
    </w:p>
    <w:p w14:paraId="22B1198F" w14:textId="77777777" w:rsidR="00924255" w:rsidRDefault="00924255" w:rsidP="005522EB">
      <w:pPr>
        <w:pStyle w:val="Subtitle"/>
        <w:rPr>
          <w:sz w:val="32"/>
          <w:szCs w:val="32"/>
        </w:rPr>
      </w:pPr>
    </w:p>
    <w:p w14:paraId="0F0DFED5" w14:textId="77777777" w:rsidR="00924255" w:rsidRDefault="00924255" w:rsidP="005522EB">
      <w:pPr>
        <w:pStyle w:val="Subtitle"/>
        <w:rPr>
          <w:sz w:val="32"/>
          <w:szCs w:val="32"/>
        </w:rPr>
      </w:pPr>
    </w:p>
    <w:p w14:paraId="27D3E137" w14:textId="77777777" w:rsidR="00924255" w:rsidRDefault="00924255" w:rsidP="005522EB">
      <w:pPr>
        <w:pStyle w:val="Subtitle"/>
        <w:rPr>
          <w:sz w:val="32"/>
          <w:szCs w:val="32"/>
        </w:rPr>
      </w:pPr>
    </w:p>
    <w:p w14:paraId="1B8DAE17" w14:textId="77777777" w:rsidR="00924255" w:rsidRDefault="00924255" w:rsidP="005522EB">
      <w:pPr>
        <w:pStyle w:val="Subtitle"/>
        <w:rPr>
          <w:sz w:val="32"/>
          <w:szCs w:val="32"/>
        </w:rPr>
      </w:pPr>
    </w:p>
    <w:p w14:paraId="45C623C4" w14:textId="19CE5488" w:rsidR="005522EB" w:rsidRPr="00924255" w:rsidRDefault="00024F5E" w:rsidP="005522EB">
      <w:pPr>
        <w:pStyle w:val="Subtitle"/>
        <w:rPr>
          <w:sz w:val="32"/>
          <w:szCs w:val="32"/>
        </w:rPr>
      </w:pPr>
      <w:r w:rsidRPr="00924255">
        <w:rPr>
          <w:sz w:val="32"/>
          <w:szCs w:val="32"/>
        </w:rPr>
        <w:t>Deakin University</w:t>
      </w:r>
    </w:p>
    <w:p w14:paraId="13A46080" w14:textId="77777777" w:rsidR="0025338E" w:rsidRDefault="0025338E" w:rsidP="00024F5E">
      <w:pPr>
        <w:rPr>
          <w:color w:val="EDE8E0" w:themeColor="background1"/>
          <w:sz w:val="32"/>
          <w:szCs w:val="32"/>
        </w:rPr>
      </w:pPr>
    </w:p>
    <w:p w14:paraId="0BFC78B3" w14:textId="4756BDD8" w:rsidR="0025338E" w:rsidRPr="006737A5" w:rsidRDefault="0025338E" w:rsidP="00024F5E">
      <w:pPr>
        <w:rPr>
          <w:b/>
          <w:bCs/>
          <w:color w:val="EDE8E0" w:themeColor="background1"/>
          <w:sz w:val="28"/>
          <w:szCs w:val="28"/>
        </w:rPr>
      </w:pPr>
      <w:r w:rsidRPr="006737A5">
        <w:rPr>
          <w:b/>
          <w:bCs/>
          <w:color w:val="EDE8E0" w:themeColor="background1"/>
          <w:sz w:val="28"/>
          <w:szCs w:val="28"/>
        </w:rPr>
        <w:t>2026</w:t>
      </w:r>
    </w:p>
    <w:p w14:paraId="19B9B3DF" w14:textId="77777777" w:rsidR="00924255" w:rsidRDefault="00924255" w:rsidP="0025338E">
      <w:pPr>
        <w:jc w:val="center"/>
        <w:rPr>
          <w:b/>
          <w:sz w:val="36"/>
          <w:szCs w:val="36"/>
        </w:rPr>
      </w:pPr>
      <w:bookmarkStart w:id="0" w:name="_Hlk219967175"/>
      <w:bookmarkStart w:id="1" w:name="_Toc172197565"/>
      <w:bookmarkStart w:id="2" w:name="_Toc172200145"/>
      <w:bookmarkStart w:id="3" w:name="_Toc174350567"/>
      <w:bookmarkStart w:id="4" w:name="_Toc192004673"/>
    </w:p>
    <w:p w14:paraId="59ED4521" w14:textId="77777777" w:rsidR="00924255" w:rsidRDefault="00924255" w:rsidP="0025338E">
      <w:pPr>
        <w:jc w:val="center"/>
        <w:rPr>
          <w:b/>
          <w:sz w:val="36"/>
          <w:szCs w:val="36"/>
        </w:rPr>
      </w:pPr>
    </w:p>
    <w:p w14:paraId="5762870C" w14:textId="269915FD" w:rsidR="0025338E" w:rsidRPr="00896D88" w:rsidRDefault="0025338E" w:rsidP="0025338E">
      <w:pPr>
        <w:jc w:val="center"/>
      </w:pPr>
      <w:r>
        <w:rPr>
          <w:b/>
          <w:sz w:val="36"/>
          <w:szCs w:val="36"/>
        </w:rPr>
        <w:lastRenderedPageBreak/>
        <w:t>Building infrastructure to evaluate student equity program</w:t>
      </w:r>
      <w:r w:rsidR="000239D9">
        <w:rPr>
          <w:b/>
          <w:sz w:val="36"/>
          <w:szCs w:val="36"/>
        </w:rPr>
        <w:t xml:space="preserve"> </w:t>
      </w:r>
      <w:r>
        <w:rPr>
          <w:b/>
          <w:sz w:val="36"/>
          <w:szCs w:val="36"/>
        </w:rPr>
        <w:t>outcomes</w:t>
      </w:r>
    </w:p>
    <w:p w14:paraId="79E3C833" w14:textId="77777777" w:rsidR="0025338E" w:rsidRPr="00945DE1" w:rsidRDefault="0025338E" w:rsidP="0025338E"/>
    <w:p w14:paraId="32843B7F" w14:textId="51AABAE3" w:rsidR="0025338E" w:rsidRPr="00F871A0" w:rsidRDefault="00FE00A8" w:rsidP="0025338E">
      <w:pPr>
        <w:jc w:val="center"/>
        <w:rPr>
          <w:b/>
          <w:color w:val="351C26" w:themeColor="text2"/>
        </w:rPr>
      </w:pPr>
      <w:r w:rsidRPr="00924255">
        <w:rPr>
          <w:b/>
          <w:color w:val="351C26" w:themeColor="text2"/>
        </w:rPr>
        <w:t>April</w:t>
      </w:r>
      <w:r w:rsidR="0025338E" w:rsidRPr="00924255">
        <w:rPr>
          <w:b/>
          <w:color w:val="351C26" w:themeColor="text2"/>
        </w:rPr>
        <w:t xml:space="preserve"> 2026</w:t>
      </w:r>
    </w:p>
    <w:p w14:paraId="15EB516E" w14:textId="77777777" w:rsidR="0025338E" w:rsidRPr="00EC2A97" w:rsidRDefault="0025338E" w:rsidP="0025338E">
      <w:pPr>
        <w:jc w:val="center"/>
        <w:rPr>
          <w:b/>
        </w:rPr>
      </w:pPr>
    </w:p>
    <w:p w14:paraId="51BEC05F" w14:textId="79056515" w:rsidR="00FE00A8" w:rsidRDefault="00FE00A8" w:rsidP="00FE00A8">
      <w:pPr>
        <w:jc w:val="center"/>
      </w:pPr>
      <w:r>
        <w:t>Deakin University</w:t>
      </w:r>
    </w:p>
    <w:p w14:paraId="670DECE2" w14:textId="45F48C7F" w:rsidR="0025338E" w:rsidRDefault="0025338E" w:rsidP="0025338E">
      <w:pPr>
        <w:jc w:val="center"/>
      </w:pPr>
      <w:r>
        <w:t>Peter Oslewski, Alcy Meehan, Stephen Marshall, Timothy Shea, Anusha Kola, Amelia Searle, Liliana Orellana, Tanita Botha</w:t>
      </w:r>
    </w:p>
    <w:p w14:paraId="07EA7575" w14:textId="77777777" w:rsidR="0025338E" w:rsidRDefault="0025338E" w:rsidP="0025338E">
      <w:pPr>
        <w:jc w:val="center"/>
      </w:pPr>
    </w:p>
    <w:p w14:paraId="1C457FC8" w14:textId="77777777" w:rsidR="0025338E" w:rsidRPr="00896D88" w:rsidRDefault="0025338E" w:rsidP="0025338E">
      <w:pPr>
        <w:jc w:val="center"/>
      </w:pPr>
    </w:p>
    <w:p w14:paraId="3143E1CA" w14:textId="77777777" w:rsidR="0025338E" w:rsidRDefault="0025338E" w:rsidP="0025338E">
      <w:pPr>
        <w:spacing w:after="0"/>
        <w:rPr>
          <w:bCs/>
          <w:sz w:val="18"/>
          <w:szCs w:val="18"/>
        </w:rPr>
      </w:pPr>
    </w:p>
    <w:p w14:paraId="1439DCD3" w14:textId="77777777" w:rsidR="0025338E" w:rsidRDefault="0025338E" w:rsidP="0025338E">
      <w:pPr>
        <w:spacing w:after="0"/>
        <w:rPr>
          <w:bCs/>
          <w:sz w:val="18"/>
          <w:szCs w:val="18"/>
        </w:rPr>
      </w:pPr>
    </w:p>
    <w:p w14:paraId="0AD94759" w14:textId="77777777" w:rsidR="0025338E" w:rsidRDefault="0025338E" w:rsidP="0025338E">
      <w:pPr>
        <w:spacing w:after="0"/>
        <w:rPr>
          <w:bCs/>
          <w:sz w:val="18"/>
          <w:szCs w:val="18"/>
        </w:rPr>
      </w:pPr>
    </w:p>
    <w:p w14:paraId="4C92D9C1" w14:textId="5D1D33B9" w:rsidR="0025338E" w:rsidRPr="009913C2" w:rsidRDefault="0025338E" w:rsidP="0025338E">
      <w:pPr>
        <w:spacing w:after="0"/>
        <w:rPr>
          <w:bCs/>
          <w:sz w:val="18"/>
          <w:szCs w:val="18"/>
        </w:rPr>
      </w:pPr>
      <w:r w:rsidRPr="001039FB">
        <w:rPr>
          <w:sz w:val="18"/>
          <w:szCs w:val="18"/>
        </w:rPr>
        <w:t xml:space="preserve">Suggested citation: </w:t>
      </w:r>
      <w:r w:rsidR="00B978AC" w:rsidRPr="001039FB">
        <w:rPr>
          <w:sz w:val="18"/>
          <w:szCs w:val="18"/>
        </w:rPr>
        <w:t>Deakin University</w:t>
      </w:r>
      <w:r w:rsidRPr="001039FB">
        <w:rPr>
          <w:sz w:val="18"/>
          <w:szCs w:val="18"/>
        </w:rPr>
        <w:t xml:space="preserve"> (2026). </w:t>
      </w:r>
      <w:r w:rsidR="00B978AC" w:rsidRPr="001039FB">
        <w:rPr>
          <w:i/>
          <w:iCs/>
          <w:sz w:val="18"/>
          <w:szCs w:val="18"/>
        </w:rPr>
        <w:t>Building infrastructure to evaluate student equity program outcomes</w:t>
      </w:r>
      <w:r w:rsidRPr="001039FB">
        <w:rPr>
          <w:sz w:val="18"/>
          <w:szCs w:val="18"/>
        </w:rPr>
        <w:t xml:space="preserve"> (</w:t>
      </w:r>
      <w:r w:rsidR="00B978AC" w:rsidRPr="001039FB">
        <w:rPr>
          <w:sz w:val="18"/>
          <w:szCs w:val="18"/>
        </w:rPr>
        <w:t>Capacity Building Grants</w:t>
      </w:r>
      <w:r w:rsidRPr="001039FB">
        <w:rPr>
          <w:sz w:val="18"/>
          <w:szCs w:val="18"/>
        </w:rPr>
        <w:t xml:space="preserve"> final report). Australian Centre for Student Equity and Success, Curtin University.</w:t>
      </w:r>
    </w:p>
    <w:p w14:paraId="38B89256" w14:textId="77777777" w:rsidR="0025338E" w:rsidRDefault="0025338E" w:rsidP="0025338E">
      <w:pPr>
        <w:spacing w:after="0"/>
        <w:rPr>
          <w:bCs/>
          <w:sz w:val="18"/>
          <w:szCs w:val="18"/>
        </w:rPr>
      </w:pPr>
    </w:p>
    <w:p w14:paraId="1BD2C330" w14:textId="77777777" w:rsidR="0025338E" w:rsidRPr="0063552A" w:rsidRDefault="0025338E" w:rsidP="0025338E">
      <w:pPr>
        <w:spacing w:after="0"/>
        <w:rPr>
          <w:bCs/>
          <w:sz w:val="18"/>
          <w:szCs w:val="18"/>
        </w:rPr>
      </w:pPr>
      <w:r>
        <w:rPr>
          <w:sz w:val="18"/>
          <w:szCs w:val="18"/>
        </w:rPr>
        <w:t>Australian</w:t>
      </w:r>
      <w:r w:rsidRPr="0063552A">
        <w:rPr>
          <w:sz w:val="18"/>
          <w:szCs w:val="18"/>
        </w:rPr>
        <w:t xml:space="preserve"> Centre for Student Equity </w:t>
      </w:r>
      <w:r>
        <w:rPr>
          <w:sz w:val="18"/>
          <w:szCs w:val="18"/>
        </w:rPr>
        <w:t>and Success</w:t>
      </w:r>
    </w:p>
    <w:p w14:paraId="7F96C906" w14:textId="77777777" w:rsidR="0025338E" w:rsidRPr="0063552A" w:rsidRDefault="0025338E" w:rsidP="0025338E">
      <w:pPr>
        <w:spacing w:after="0"/>
        <w:rPr>
          <w:bCs/>
          <w:sz w:val="18"/>
          <w:szCs w:val="18"/>
        </w:rPr>
      </w:pPr>
      <w:r w:rsidRPr="0063552A">
        <w:rPr>
          <w:sz w:val="18"/>
          <w:szCs w:val="18"/>
        </w:rPr>
        <w:t>Tel: +61 8 9266 1573</w:t>
      </w:r>
    </w:p>
    <w:p w14:paraId="56AADB0C" w14:textId="77777777" w:rsidR="0025338E" w:rsidRDefault="0025338E" w:rsidP="0025338E">
      <w:pPr>
        <w:spacing w:after="0"/>
        <w:rPr>
          <w:bCs/>
          <w:sz w:val="18"/>
          <w:szCs w:val="18"/>
        </w:rPr>
      </w:pPr>
      <w:r w:rsidRPr="0063552A">
        <w:rPr>
          <w:sz w:val="18"/>
          <w:szCs w:val="18"/>
        </w:rPr>
        <w:t xml:space="preserve">Email: </w:t>
      </w:r>
      <w:hyperlink r:id="rId12" w:history="1">
        <w:r w:rsidRPr="00E8285E">
          <w:rPr>
            <w:rStyle w:val="Hyperlink"/>
            <w:sz w:val="18"/>
            <w:szCs w:val="18"/>
          </w:rPr>
          <w:t>acses@curtin.edu.au</w:t>
        </w:r>
      </w:hyperlink>
    </w:p>
    <w:p w14:paraId="73A23C8A" w14:textId="77777777" w:rsidR="0025338E" w:rsidRPr="0063552A" w:rsidRDefault="0025338E" w:rsidP="0025338E">
      <w:pPr>
        <w:spacing w:after="0"/>
        <w:rPr>
          <w:bCs/>
          <w:sz w:val="18"/>
          <w:szCs w:val="18"/>
        </w:rPr>
      </w:pPr>
      <w:r>
        <w:rPr>
          <w:sz w:val="18"/>
          <w:szCs w:val="18"/>
        </w:rPr>
        <w:t xml:space="preserve">Web: </w:t>
      </w:r>
      <w:hyperlink r:id="rId13" w:history="1">
        <w:r w:rsidRPr="00E8285E">
          <w:rPr>
            <w:rStyle w:val="Hyperlink"/>
            <w:sz w:val="18"/>
            <w:szCs w:val="18"/>
          </w:rPr>
          <w:t>www.acses.edu.au</w:t>
        </w:r>
      </w:hyperlink>
      <w:r>
        <w:rPr>
          <w:sz w:val="18"/>
          <w:szCs w:val="18"/>
        </w:rPr>
        <w:t xml:space="preserve"> </w:t>
      </w:r>
    </w:p>
    <w:p w14:paraId="31F96A87" w14:textId="77777777" w:rsidR="0025338E" w:rsidRPr="0063552A" w:rsidRDefault="0025338E" w:rsidP="0025338E">
      <w:pPr>
        <w:spacing w:after="0"/>
        <w:rPr>
          <w:bCs/>
          <w:sz w:val="18"/>
          <w:szCs w:val="18"/>
        </w:rPr>
      </w:pPr>
      <w:r w:rsidRPr="0063552A">
        <w:rPr>
          <w:sz w:val="18"/>
          <w:szCs w:val="18"/>
        </w:rPr>
        <w:t xml:space="preserve">Building </w:t>
      </w:r>
      <w:r>
        <w:rPr>
          <w:sz w:val="18"/>
          <w:szCs w:val="18"/>
        </w:rPr>
        <w:t>100</w:t>
      </w:r>
    </w:p>
    <w:p w14:paraId="48788234" w14:textId="77777777" w:rsidR="0025338E" w:rsidRPr="0063552A" w:rsidRDefault="0025338E" w:rsidP="0025338E">
      <w:pPr>
        <w:spacing w:after="0"/>
        <w:rPr>
          <w:bCs/>
          <w:sz w:val="18"/>
          <w:szCs w:val="18"/>
        </w:rPr>
      </w:pPr>
      <w:r w:rsidRPr="0063552A">
        <w:rPr>
          <w:sz w:val="18"/>
          <w:szCs w:val="18"/>
        </w:rPr>
        <w:t>Curtin University</w:t>
      </w:r>
    </w:p>
    <w:p w14:paraId="5227D177" w14:textId="77777777" w:rsidR="0025338E" w:rsidRDefault="0025338E" w:rsidP="0025338E">
      <w:pPr>
        <w:spacing w:after="0"/>
        <w:rPr>
          <w:sz w:val="18"/>
          <w:szCs w:val="18"/>
        </w:rPr>
      </w:pPr>
      <w:r w:rsidRPr="0063552A">
        <w:rPr>
          <w:sz w:val="18"/>
          <w:szCs w:val="18"/>
        </w:rPr>
        <w:t>Kent St, Bentley WA 6102</w:t>
      </w:r>
      <w:r>
        <w:rPr>
          <w:sz w:val="18"/>
          <w:szCs w:val="18"/>
        </w:rPr>
        <w:t xml:space="preserve"> | </w:t>
      </w:r>
      <w:r w:rsidRPr="0063552A">
        <w:rPr>
          <w:sz w:val="18"/>
          <w:szCs w:val="18"/>
        </w:rPr>
        <w:t>GPO Box U1987, Perth WA 6845</w:t>
      </w:r>
      <w:bookmarkStart w:id="5" w:name="_Toc57894677"/>
    </w:p>
    <w:p w14:paraId="5C9BB47F" w14:textId="77777777" w:rsidR="0025338E" w:rsidRDefault="0025338E" w:rsidP="0025338E">
      <w:pPr>
        <w:spacing w:after="0"/>
        <w:rPr>
          <w:bCs/>
          <w:sz w:val="18"/>
          <w:szCs w:val="18"/>
        </w:rPr>
      </w:pPr>
    </w:p>
    <w:p w14:paraId="449ECB72" w14:textId="5C68460D" w:rsidR="0025338E" w:rsidRDefault="0025338E" w:rsidP="0025338E">
      <w:pPr>
        <w:spacing w:line="259" w:lineRule="auto"/>
        <w:rPr>
          <w:rFonts w:eastAsiaTheme="majorEastAsia" w:cstheme="majorBidi"/>
          <w:color w:val="6B3B57"/>
          <w:sz w:val="52"/>
          <w:szCs w:val="40"/>
        </w:rPr>
      </w:pPr>
      <w:r w:rsidRPr="00431628">
        <w:rPr>
          <w:noProof/>
          <w:lang w:eastAsia="en-AU"/>
        </w:rPr>
        <mc:AlternateContent>
          <mc:Choice Requires="wps">
            <w:drawing>
              <wp:inline distT="0" distB="0" distL="0" distR="0" wp14:anchorId="2754395D" wp14:editId="65297A0D">
                <wp:extent cx="5821680" cy="3220278"/>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16965D24" w14:textId="77777777" w:rsidR="0025338E" w:rsidRPr="008E31EC" w:rsidRDefault="0025338E" w:rsidP="0025338E">
                            <w:pPr>
                              <w:rPr>
                                <w:b/>
                                <w:sz w:val="16"/>
                                <w:szCs w:val="16"/>
                              </w:rPr>
                            </w:pPr>
                            <w:r w:rsidRPr="008E31EC">
                              <w:rPr>
                                <w:b/>
                                <w:sz w:val="16"/>
                                <w:szCs w:val="16"/>
                              </w:rPr>
                              <w:t>DISCLAIMER</w:t>
                            </w:r>
                          </w:p>
                          <w:p w14:paraId="217FE288" w14:textId="77777777" w:rsidR="0025338E" w:rsidRPr="008E31EC" w:rsidRDefault="0025338E" w:rsidP="0025338E">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42223494" w14:textId="77777777" w:rsidR="0025338E" w:rsidRDefault="0025338E" w:rsidP="0025338E">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3547DBF2" w14:textId="77777777" w:rsidR="0025338E" w:rsidRDefault="0025338E" w:rsidP="0025338E">
                            <w:pPr>
                              <w:rPr>
                                <w:sz w:val="16"/>
                                <w:szCs w:val="16"/>
                              </w:rPr>
                            </w:pPr>
                          </w:p>
                          <w:p w14:paraId="20CDA603" w14:textId="77777777" w:rsidR="0025338E" w:rsidRPr="008619B3" w:rsidRDefault="0025338E" w:rsidP="0025338E">
                            <w:pPr>
                              <w:rPr>
                                <w:b/>
                                <w:sz w:val="16"/>
                                <w:szCs w:val="16"/>
                              </w:rPr>
                            </w:pPr>
                            <w:r w:rsidRPr="008619B3">
                              <w:rPr>
                                <w:b/>
                                <w:sz w:val="16"/>
                                <w:szCs w:val="16"/>
                              </w:rPr>
                              <w:t>COPYRIGHT</w:t>
                            </w:r>
                          </w:p>
                          <w:p w14:paraId="0C66856E" w14:textId="77777777" w:rsidR="0025338E" w:rsidRDefault="0025338E" w:rsidP="0025338E">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54197340" w14:textId="77777777" w:rsidR="0025338E" w:rsidRPr="008619B3" w:rsidRDefault="0025338E" w:rsidP="0025338E">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6F67311E" w14:textId="77777777" w:rsidR="0025338E" w:rsidRDefault="0025338E" w:rsidP="0025338E">
                            <w:pPr>
                              <w:rPr>
                                <w:sz w:val="16"/>
                                <w:szCs w:val="16"/>
                              </w:rPr>
                            </w:pPr>
                            <w:r w:rsidRPr="008619B3">
                              <w:rPr>
                                <w:sz w:val="16"/>
                                <w:szCs w:val="16"/>
                              </w:rPr>
                              <w:t>CRICOS Provider Code 00301J</w:t>
                            </w:r>
                          </w:p>
                          <w:p w14:paraId="64D4480D" w14:textId="63A2FCE9" w:rsidR="0025338E" w:rsidRPr="008E31EC" w:rsidRDefault="0025338E" w:rsidP="0025338E">
                            <w:pPr>
                              <w:rPr>
                                <w:sz w:val="16"/>
                                <w:szCs w:val="16"/>
                              </w:rPr>
                            </w:pPr>
                            <w:r w:rsidRPr="006546BA">
                              <w:rPr>
                                <w:sz w:val="16"/>
                                <w:szCs w:val="16"/>
                              </w:rPr>
                              <w:t xml:space="preserve">ISBN </w:t>
                            </w:r>
                            <w:r w:rsidR="006546BA" w:rsidRPr="006546BA">
                              <w:rPr>
                                <w:sz w:val="16"/>
                                <w:szCs w:val="16"/>
                              </w:rPr>
                              <w:t>978-1-7644511-8-5</w:t>
                            </w:r>
                          </w:p>
                          <w:p w14:paraId="3EDD1A2D" w14:textId="77777777" w:rsidR="0025338E" w:rsidRDefault="0025338E" w:rsidP="0025338E"/>
                        </w:txbxContent>
                      </wps:txbx>
                      <wps:bodyPr rot="0" vert="horz" wrap="square" lIns="91440" tIns="72000" rIns="91440" bIns="72000" anchor="t" anchorCtr="0">
                        <a:noAutofit/>
                      </wps:bodyPr>
                    </wps:wsp>
                  </a:graphicData>
                </a:graphic>
              </wp:inline>
            </w:drawing>
          </mc:Choice>
          <mc:Fallback>
            <w:pict>
              <v:shapetype w14:anchorId="2754395D"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16965D24" w14:textId="77777777" w:rsidR="0025338E" w:rsidRPr="008E31EC" w:rsidRDefault="0025338E" w:rsidP="0025338E">
                      <w:pPr>
                        <w:rPr>
                          <w:b/>
                          <w:sz w:val="16"/>
                          <w:szCs w:val="16"/>
                        </w:rPr>
                      </w:pPr>
                      <w:r w:rsidRPr="008E31EC">
                        <w:rPr>
                          <w:b/>
                          <w:sz w:val="16"/>
                          <w:szCs w:val="16"/>
                        </w:rPr>
                        <w:t>DISCLAIMER</w:t>
                      </w:r>
                    </w:p>
                    <w:p w14:paraId="217FE288" w14:textId="77777777" w:rsidR="0025338E" w:rsidRPr="008E31EC" w:rsidRDefault="0025338E" w:rsidP="0025338E">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42223494" w14:textId="77777777" w:rsidR="0025338E" w:rsidRDefault="0025338E" w:rsidP="0025338E">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3547DBF2" w14:textId="77777777" w:rsidR="0025338E" w:rsidRDefault="0025338E" w:rsidP="0025338E">
                      <w:pPr>
                        <w:rPr>
                          <w:sz w:val="16"/>
                          <w:szCs w:val="16"/>
                        </w:rPr>
                      </w:pPr>
                    </w:p>
                    <w:p w14:paraId="20CDA603" w14:textId="77777777" w:rsidR="0025338E" w:rsidRPr="008619B3" w:rsidRDefault="0025338E" w:rsidP="0025338E">
                      <w:pPr>
                        <w:rPr>
                          <w:b/>
                          <w:sz w:val="16"/>
                          <w:szCs w:val="16"/>
                        </w:rPr>
                      </w:pPr>
                      <w:r w:rsidRPr="008619B3">
                        <w:rPr>
                          <w:b/>
                          <w:sz w:val="16"/>
                          <w:szCs w:val="16"/>
                        </w:rPr>
                        <w:t>COPYRIGHT</w:t>
                      </w:r>
                    </w:p>
                    <w:p w14:paraId="0C66856E" w14:textId="77777777" w:rsidR="0025338E" w:rsidRDefault="0025338E" w:rsidP="0025338E">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54197340" w14:textId="77777777" w:rsidR="0025338E" w:rsidRPr="008619B3" w:rsidRDefault="0025338E" w:rsidP="0025338E">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6F67311E" w14:textId="77777777" w:rsidR="0025338E" w:rsidRDefault="0025338E" w:rsidP="0025338E">
                      <w:pPr>
                        <w:rPr>
                          <w:sz w:val="16"/>
                          <w:szCs w:val="16"/>
                        </w:rPr>
                      </w:pPr>
                      <w:r w:rsidRPr="008619B3">
                        <w:rPr>
                          <w:sz w:val="16"/>
                          <w:szCs w:val="16"/>
                        </w:rPr>
                        <w:t>CRICOS Provider Code 00301J</w:t>
                      </w:r>
                    </w:p>
                    <w:p w14:paraId="64D4480D" w14:textId="63A2FCE9" w:rsidR="0025338E" w:rsidRPr="008E31EC" w:rsidRDefault="0025338E" w:rsidP="0025338E">
                      <w:pPr>
                        <w:rPr>
                          <w:sz w:val="16"/>
                          <w:szCs w:val="16"/>
                        </w:rPr>
                      </w:pPr>
                      <w:r w:rsidRPr="006546BA">
                        <w:rPr>
                          <w:sz w:val="16"/>
                          <w:szCs w:val="16"/>
                        </w:rPr>
                        <w:t xml:space="preserve">ISBN </w:t>
                      </w:r>
                      <w:r w:rsidR="006546BA" w:rsidRPr="006546BA">
                        <w:rPr>
                          <w:sz w:val="16"/>
                          <w:szCs w:val="16"/>
                        </w:rPr>
                        <w:t>978-1-7644511-8-5</w:t>
                      </w:r>
                    </w:p>
                    <w:p w14:paraId="3EDD1A2D" w14:textId="77777777" w:rsidR="0025338E" w:rsidRDefault="0025338E" w:rsidP="0025338E"/>
                  </w:txbxContent>
                </v:textbox>
                <w10:anchorlock/>
              </v:shape>
            </w:pict>
          </mc:Fallback>
        </mc:AlternateContent>
      </w:r>
      <w:bookmarkEnd w:id="0"/>
      <w:bookmarkEnd w:id="5"/>
      <w:r>
        <w:br w:type="page"/>
      </w:r>
    </w:p>
    <w:p w14:paraId="0D7993C2" w14:textId="447481A7" w:rsidR="008C7722" w:rsidRDefault="008C7722" w:rsidP="008C7722">
      <w:pPr>
        <w:pStyle w:val="Heading1"/>
        <w:numPr>
          <w:ilvl w:val="0"/>
          <w:numId w:val="0"/>
        </w:numPr>
      </w:pPr>
      <w:r w:rsidRPr="00481303">
        <w:lastRenderedPageBreak/>
        <w:t>Acknowledgement</w:t>
      </w:r>
      <w:r w:rsidRPr="00CB0B93">
        <w:t xml:space="preserve"> of Country</w:t>
      </w:r>
      <w:bookmarkEnd w:id="1"/>
      <w:bookmarkEnd w:id="2"/>
      <w:bookmarkEnd w:id="3"/>
      <w:bookmarkEnd w:id="4"/>
    </w:p>
    <w:p w14:paraId="11844EF5" w14:textId="1C2FE328" w:rsidR="0011392C" w:rsidRPr="00C7239B" w:rsidRDefault="005E497A" w:rsidP="005522EB">
      <w:pPr>
        <w:pStyle w:val="AOCtext"/>
      </w:pPr>
      <w:r w:rsidRPr="00C7239B">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5E4E56AD" w14:textId="390C2AD6" w:rsidR="00024F5E" w:rsidRPr="00C7239B" w:rsidRDefault="00024F5E" w:rsidP="00024F5E">
      <w:pPr>
        <w:pStyle w:val="AOCtext"/>
      </w:pPr>
      <w:r w:rsidRPr="00C7239B">
        <w:t xml:space="preserve">Deakin University would like to </w:t>
      </w:r>
      <w:r w:rsidR="00FE00A8">
        <w:t>a</w:t>
      </w:r>
      <w:r w:rsidRPr="00C7239B">
        <w:t>cknowledge the Traditional Custodians of the lands on which our university campuses are based</w:t>
      </w:r>
      <w:r w:rsidR="00FE00A8">
        <w:t>:</w:t>
      </w:r>
      <w:r w:rsidRPr="00C7239B">
        <w:t xml:space="preserve"> </w:t>
      </w:r>
      <w:r w:rsidR="00FE00A8">
        <w:t>t</w:t>
      </w:r>
      <w:r w:rsidRPr="00C7239B">
        <w:t>he Wadawurrung People of the Kulin Nation on whose Country our Geelong campuses are located, the Wurundjeri People of the Kulin Nation on whose Country our Burwood campus is located</w:t>
      </w:r>
      <w:r w:rsidR="00553459" w:rsidRPr="00C7239B">
        <w:t>,</w:t>
      </w:r>
      <w:r w:rsidRPr="00C7239B">
        <w:t xml:space="preserve"> and the Peek Whurrong People of the Maar Nation on whose Country our Warrnambool campus is located.  </w:t>
      </w:r>
    </w:p>
    <w:p w14:paraId="50B2C468" w14:textId="7E6018B0" w:rsidR="00425B34" w:rsidRPr="00C7239B" w:rsidRDefault="00024F5E" w:rsidP="00024F5E">
      <w:pPr>
        <w:pStyle w:val="AOCtext"/>
      </w:pPr>
      <w:r w:rsidRPr="00C7239B">
        <w:t>We express our gratitude for their care of Country which continues to sustain us as it has done for millennia. Education has a long and rich heritage on this continent, which we aim to honour and reflect in the ways we teach and learn.</w:t>
      </w:r>
    </w:p>
    <w:p w14:paraId="00DE4DBA" w14:textId="77777777" w:rsidR="00B6102D" w:rsidRDefault="00B6102D" w:rsidP="00C37179">
      <w:bookmarkStart w:id="6" w:name="_Toc172197566"/>
      <w:bookmarkStart w:id="7" w:name="_Toc172200146"/>
      <w:bookmarkStart w:id="8" w:name="_Toc174350568"/>
    </w:p>
    <w:p w14:paraId="3E325900" w14:textId="77777777" w:rsidR="00927794" w:rsidRDefault="00927794" w:rsidP="00C37179"/>
    <w:p w14:paraId="3DBCA8A6" w14:textId="77777777" w:rsidR="00B6102D" w:rsidRDefault="00B6102D" w:rsidP="00C37179"/>
    <w:p w14:paraId="27437CE1" w14:textId="77777777" w:rsidR="00B6102D" w:rsidRDefault="00B6102D" w:rsidP="00C37179"/>
    <w:p w14:paraId="64CFCF80" w14:textId="77777777" w:rsidR="00874F26" w:rsidRDefault="00874F26" w:rsidP="00C37179"/>
    <w:p w14:paraId="0B6A27AD" w14:textId="77777777" w:rsidR="00874F26" w:rsidRDefault="00874F26" w:rsidP="00C37179"/>
    <w:p w14:paraId="234F91F4" w14:textId="77777777" w:rsidR="00874F26" w:rsidRDefault="00874F26" w:rsidP="00C37179"/>
    <w:p w14:paraId="763B2A8A" w14:textId="77777777" w:rsidR="00874F26" w:rsidRDefault="00874F26" w:rsidP="00C37179"/>
    <w:p w14:paraId="4DB42F98" w14:textId="77777777" w:rsidR="00874F26" w:rsidRDefault="00874F26" w:rsidP="00C37179"/>
    <w:p w14:paraId="5AF2D68B" w14:textId="77777777" w:rsidR="00874F26" w:rsidRDefault="00874F26" w:rsidP="00C37179"/>
    <w:p w14:paraId="51CC05A9" w14:textId="77777777" w:rsidR="00874F26" w:rsidRDefault="00874F26" w:rsidP="00C37179"/>
    <w:p w14:paraId="2706FB5C" w14:textId="0CD0E024" w:rsidR="007C219D" w:rsidRDefault="001540BC" w:rsidP="007C219D">
      <w:pPr>
        <w:pStyle w:val="Heading1"/>
        <w:rPr>
          <w:rFonts w:eastAsia="Times New Roman"/>
          <w:lang w:eastAsia="en-AU"/>
        </w:rPr>
      </w:pPr>
      <w:bookmarkStart w:id="9" w:name="_Toc192004675"/>
      <w:bookmarkEnd w:id="6"/>
      <w:bookmarkEnd w:id="7"/>
      <w:bookmarkEnd w:id="8"/>
      <w:r>
        <w:rPr>
          <w:rFonts w:eastAsia="Times New Roman"/>
          <w:lang w:eastAsia="en-AU"/>
        </w:rPr>
        <w:lastRenderedPageBreak/>
        <w:t>Approach</w:t>
      </w:r>
      <w:bookmarkEnd w:id="9"/>
    </w:p>
    <w:p w14:paraId="06038CFE" w14:textId="0C8F7835" w:rsidR="007C219D" w:rsidRPr="007C219D" w:rsidRDefault="007C219D" w:rsidP="007C219D">
      <w:pPr>
        <w:pStyle w:val="Heading2"/>
        <w:ind w:left="851"/>
      </w:pPr>
      <w:r>
        <w:t>Background</w:t>
      </w:r>
    </w:p>
    <w:p w14:paraId="3548F24A" w14:textId="50BEBD68" w:rsidR="007C219D" w:rsidRDefault="007C219D" w:rsidP="007C219D">
      <w:pPr>
        <w:ind w:right="165"/>
      </w:pPr>
      <w:r>
        <w:t>In 2025, Deakin University initiated a strategic project aimed at aligning</w:t>
      </w:r>
      <w:r w:rsidR="00E34F51">
        <w:t xml:space="preserve"> institutional</w:t>
      </w:r>
      <w:r>
        <w:t xml:space="preserve"> </w:t>
      </w:r>
      <w:hyperlink r:id="rId14">
        <w:r>
          <w:rPr>
            <w:color w:val="236F6B"/>
            <w:u w:val="single" w:color="236F6B"/>
          </w:rPr>
          <w:t>Higher Education</w:t>
        </w:r>
      </w:hyperlink>
      <w:hyperlink r:id="rId15">
        <w:r>
          <w:rPr>
            <w:color w:val="236F6B"/>
          </w:rPr>
          <w:t xml:space="preserve"> </w:t>
        </w:r>
      </w:hyperlink>
      <w:hyperlink r:id="rId16">
        <w:r>
          <w:rPr>
            <w:color w:val="236F6B"/>
            <w:u w:val="single" w:color="236F6B"/>
          </w:rPr>
          <w:t>Participation and Partnerships Program</w:t>
        </w:r>
      </w:hyperlink>
      <w:hyperlink r:id="rId17">
        <w:r>
          <w:t xml:space="preserve"> </w:t>
        </w:r>
      </w:hyperlink>
      <w:r>
        <w:t xml:space="preserve">(HEPPP) data with enterprise-level business intelligence platforms. This initiative marked a significant step in </w:t>
      </w:r>
      <w:r w:rsidR="009C6F3C">
        <w:t>Deakin’s</w:t>
      </w:r>
      <w:r w:rsidR="005F4CE9">
        <w:t xml:space="preserve"> institutional </w:t>
      </w:r>
      <w:r>
        <w:t xml:space="preserve">implementation of </w:t>
      </w:r>
      <w:r w:rsidR="004E7E12">
        <w:t>s</w:t>
      </w:r>
      <w:r>
        <w:t>tage</w:t>
      </w:r>
      <w:r w:rsidR="00825D24">
        <w:t>s</w:t>
      </w:r>
      <w:r>
        <w:t xml:space="preserve"> </w:t>
      </w:r>
      <w:r w:rsidR="00CD5C7C">
        <w:t>two</w:t>
      </w:r>
      <w:r>
        <w:t xml:space="preserve"> and </w:t>
      </w:r>
      <w:r w:rsidR="00CD5C7C">
        <w:t>three</w:t>
      </w:r>
      <w:r>
        <w:t xml:space="preserve"> of the </w:t>
      </w:r>
      <w:hyperlink r:id="rId18">
        <w:r>
          <w:rPr>
            <w:color w:val="236F6B"/>
            <w:u w:val="single" w:color="236F6B"/>
          </w:rPr>
          <w:t>Student Equity in Higher Education Evaluation Framework</w:t>
        </w:r>
      </w:hyperlink>
      <w:hyperlink r:id="rId19">
        <w:r>
          <w:t xml:space="preserve"> </w:t>
        </w:r>
      </w:hyperlink>
      <w:r>
        <w:t xml:space="preserve">(SEHEEF), with a focus on enhancing the </w:t>
      </w:r>
      <w:r w:rsidR="004E7E12">
        <w:t>u</w:t>
      </w:r>
      <w:r>
        <w:t xml:space="preserve">niversity's capacity to monitor and evaluate equity-focused </w:t>
      </w:r>
      <w:r w:rsidR="00553A89">
        <w:t>program</w:t>
      </w:r>
      <w:r>
        <w:t xml:space="preserve"> initiatives.</w:t>
      </w:r>
      <w:r>
        <w:rPr>
          <w:rFonts w:ascii="Calibri" w:eastAsia="Calibri" w:hAnsi="Calibri" w:cs="Calibri"/>
        </w:rPr>
        <w:t xml:space="preserve"> </w:t>
      </w:r>
    </w:p>
    <w:p w14:paraId="3C18F87B" w14:textId="175208CC" w:rsidR="00DC6906" w:rsidRPr="0012578D" w:rsidRDefault="00FC59EE" w:rsidP="00FB6272">
      <w:pPr>
        <w:rPr>
          <w:rFonts w:eastAsia="Calibri" w:cs="Arial"/>
          <w:i/>
          <w:iCs/>
          <w:sz w:val="20"/>
          <w:szCs w:val="20"/>
        </w:rPr>
      </w:pPr>
      <w:r w:rsidRPr="0012578D">
        <w:rPr>
          <w:rFonts w:eastAsia="Calibri" w:cs="Arial"/>
          <w:i/>
          <w:iCs/>
          <w:sz w:val="20"/>
          <w:szCs w:val="20"/>
        </w:rPr>
        <w:t>Table 1</w:t>
      </w:r>
      <w:r w:rsidR="0096334A">
        <w:rPr>
          <w:rFonts w:eastAsia="Calibri" w:cs="Arial"/>
          <w:i/>
          <w:iCs/>
          <w:sz w:val="20"/>
          <w:szCs w:val="20"/>
        </w:rPr>
        <w:t>:</w:t>
      </w:r>
      <w:r w:rsidR="000C611D" w:rsidRPr="0012578D">
        <w:rPr>
          <w:rFonts w:eastAsia="Calibri" w:cs="Arial"/>
          <w:i/>
          <w:iCs/>
          <w:sz w:val="20"/>
          <w:szCs w:val="20"/>
        </w:rPr>
        <w:t xml:space="preserve"> Shows indicative stages for implementing the SEHEEF at Deakin. Drawn from page 20 of the </w:t>
      </w:r>
      <w:hyperlink r:id="rId20">
        <w:r w:rsidR="000C611D" w:rsidRPr="0012578D">
          <w:rPr>
            <w:rFonts w:eastAsia="Calibri" w:cs="Arial"/>
            <w:i/>
            <w:iCs/>
            <w:color w:val="236F6B"/>
            <w:sz w:val="20"/>
            <w:szCs w:val="20"/>
            <w:u w:val="single" w:color="236F6B"/>
          </w:rPr>
          <w:t>SEHEEF Final Report</w:t>
        </w:r>
      </w:hyperlink>
      <w:hyperlink r:id="rId21">
        <w:r w:rsidR="000C611D" w:rsidRPr="0012578D">
          <w:rPr>
            <w:rFonts w:eastAsia="Calibri" w:cs="Arial"/>
            <w:i/>
            <w:iCs/>
            <w:color w:val="236F6B"/>
            <w:sz w:val="20"/>
            <w:szCs w:val="20"/>
            <w:u w:val="single" w:color="236F6B"/>
          </w:rPr>
          <w:t xml:space="preserve"> </w:t>
        </w:r>
      </w:hyperlink>
      <w:hyperlink r:id="rId22">
        <w:r w:rsidR="000C611D" w:rsidRPr="0012578D">
          <w:rPr>
            <w:rFonts w:eastAsia="Calibri" w:cs="Arial"/>
            <w:i/>
            <w:iCs/>
            <w:color w:val="236F6B"/>
            <w:sz w:val="20"/>
            <w:szCs w:val="20"/>
            <w:u w:val="single" w:color="236F6B"/>
          </w:rPr>
          <w:t>2021</w:t>
        </w:r>
      </w:hyperlink>
      <w:hyperlink r:id="rId23">
        <w:r w:rsidR="000C611D" w:rsidRPr="0012578D">
          <w:rPr>
            <w:rFonts w:eastAsia="Calibri" w:cs="Arial"/>
            <w:i/>
            <w:iCs/>
            <w:sz w:val="20"/>
            <w:szCs w:val="20"/>
          </w:rPr>
          <w:t>.</w:t>
        </w:r>
      </w:hyperlink>
      <w:r w:rsidR="000C611D" w:rsidRPr="0012578D">
        <w:rPr>
          <w:rFonts w:eastAsia="Calibri" w:cs="Arial"/>
          <w:i/>
          <w:iCs/>
          <w:sz w:val="20"/>
          <w:szCs w:val="20"/>
        </w:rPr>
        <w:t xml:space="preserve">  </w:t>
      </w:r>
    </w:p>
    <w:tbl>
      <w:tblPr>
        <w:tblStyle w:val="ACSEStable"/>
        <w:tblW w:w="0" w:type="auto"/>
        <w:tblLook w:val="04A0" w:firstRow="1" w:lastRow="0" w:firstColumn="1" w:lastColumn="0" w:noHBand="0" w:noVBand="1"/>
      </w:tblPr>
      <w:tblGrid>
        <w:gridCol w:w="3005"/>
        <w:gridCol w:w="3005"/>
        <w:gridCol w:w="3006"/>
      </w:tblGrid>
      <w:tr w:rsidR="00DC6906" w14:paraId="52663392" w14:textId="77777777" w:rsidTr="008B297C">
        <w:trPr>
          <w:cnfStyle w:val="100000000000" w:firstRow="1" w:lastRow="0" w:firstColumn="0" w:lastColumn="0" w:oddVBand="0" w:evenVBand="0" w:oddHBand="0" w:evenHBand="0" w:firstRowFirstColumn="0" w:firstRowLastColumn="0" w:lastRowFirstColumn="0" w:lastRowLastColumn="0"/>
        </w:trPr>
        <w:tc>
          <w:tcPr>
            <w:tcW w:w="3005" w:type="dxa"/>
          </w:tcPr>
          <w:p w14:paraId="3201E119" w14:textId="36E75E58" w:rsidR="00DC6906" w:rsidRPr="000159D7" w:rsidRDefault="00DC6906" w:rsidP="0034488C">
            <w:pPr>
              <w:spacing w:line="360" w:lineRule="auto"/>
              <w:jc w:val="center"/>
              <w:rPr>
                <w:rFonts w:eastAsia="Calibri" w:cs="Arial"/>
                <w:b w:val="0"/>
                <w:bCs/>
                <w:sz w:val="20"/>
                <w:szCs w:val="20"/>
              </w:rPr>
            </w:pPr>
            <w:r w:rsidRPr="000159D7">
              <w:rPr>
                <w:rFonts w:eastAsia="Calibri" w:cs="Arial"/>
                <w:bCs/>
                <w:sz w:val="20"/>
                <w:szCs w:val="20"/>
              </w:rPr>
              <w:t>Stage 1 and 2</w:t>
            </w:r>
          </w:p>
        </w:tc>
        <w:tc>
          <w:tcPr>
            <w:tcW w:w="3005" w:type="dxa"/>
          </w:tcPr>
          <w:p w14:paraId="0D254AAF" w14:textId="160261A6" w:rsidR="00DC6906" w:rsidRPr="000159D7" w:rsidRDefault="00DC6906" w:rsidP="0034488C">
            <w:pPr>
              <w:spacing w:line="360" w:lineRule="auto"/>
              <w:jc w:val="center"/>
              <w:rPr>
                <w:rFonts w:eastAsia="Calibri" w:cs="Arial"/>
                <w:b w:val="0"/>
                <w:bCs/>
                <w:sz w:val="20"/>
                <w:szCs w:val="20"/>
              </w:rPr>
            </w:pPr>
            <w:r w:rsidRPr="000159D7">
              <w:rPr>
                <w:rFonts w:eastAsia="Calibri" w:cs="Arial"/>
                <w:bCs/>
                <w:sz w:val="20"/>
                <w:szCs w:val="20"/>
              </w:rPr>
              <w:t>Stage 2 and 3</w:t>
            </w:r>
          </w:p>
        </w:tc>
        <w:tc>
          <w:tcPr>
            <w:tcW w:w="3006" w:type="dxa"/>
          </w:tcPr>
          <w:p w14:paraId="6AAEE3CE" w14:textId="639188A7" w:rsidR="00DC6906" w:rsidRPr="000159D7" w:rsidRDefault="00DC6906" w:rsidP="0034488C">
            <w:pPr>
              <w:spacing w:line="360" w:lineRule="auto"/>
              <w:jc w:val="center"/>
              <w:rPr>
                <w:rFonts w:eastAsia="Calibri" w:cs="Arial"/>
                <w:b w:val="0"/>
                <w:bCs/>
                <w:sz w:val="20"/>
                <w:szCs w:val="20"/>
              </w:rPr>
            </w:pPr>
            <w:r w:rsidRPr="000159D7">
              <w:rPr>
                <w:rFonts w:eastAsia="Calibri" w:cs="Arial"/>
                <w:bCs/>
                <w:sz w:val="20"/>
                <w:szCs w:val="20"/>
              </w:rPr>
              <w:t>Stage 3 and 4</w:t>
            </w:r>
          </w:p>
        </w:tc>
      </w:tr>
      <w:tr w:rsidR="00DC6906" w14:paraId="5FBB951F" w14:textId="77777777" w:rsidTr="00DC6906">
        <w:tc>
          <w:tcPr>
            <w:tcW w:w="3005" w:type="dxa"/>
          </w:tcPr>
          <w:p w14:paraId="35D54ACC" w14:textId="39ADAC6B" w:rsidR="00DC6906" w:rsidRPr="0034488C" w:rsidRDefault="00DC6906" w:rsidP="0034488C">
            <w:pPr>
              <w:spacing w:line="360" w:lineRule="auto"/>
              <w:jc w:val="center"/>
              <w:rPr>
                <w:rFonts w:eastAsia="Calibri" w:cs="Arial"/>
                <w:i/>
                <w:iCs/>
                <w:sz w:val="20"/>
                <w:szCs w:val="20"/>
              </w:rPr>
            </w:pPr>
            <w:r w:rsidRPr="0034488C">
              <w:rPr>
                <w:rFonts w:eastAsia="Calibri" w:cs="Arial"/>
                <w:i/>
                <w:iCs/>
                <w:sz w:val="20"/>
                <w:szCs w:val="20"/>
              </w:rPr>
              <w:t>2022-2024</w:t>
            </w:r>
          </w:p>
        </w:tc>
        <w:tc>
          <w:tcPr>
            <w:tcW w:w="3005" w:type="dxa"/>
          </w:tcPr>
          <w:p w14:paraId="52A33705" w14:textId="46BA2D9E" w:rsidR="00DC6906" w:rsidRPr="0034488C" w:rsidRDefault="00DC6906" w:rsidP="0034488C">
            <w:pPr>
              <w:spacing w:line="360" w:lineRule="auto"/>
              <w:jc w:val="center"/>
              <w:rPr>
                <w:rFonts w:eastAsia="Calibri" w:cs="Arial"/>
                <w:i/>
                <w:iCs/>
                <w:sz w:val="20"/>
                <w:szCs w:val="20"/>
              </w:rPr>
            </w:pPr>
            <w:r w:rsidRPr="0034488C">
              <w:rPr>
                <w:rFonts w:eastAsia="Calibri" w:cs="Arial"/>
                <w:i/>
                <w:iCs/>
                <w:sz w:val="20"/>
                <w:szCs w:val="20"/>
              </w:rPr>
              <w:t>2025</w:t>
            </w:r>
          </w:p>
        </w:tc>
        <w:tc>
          <w:tcPr>
            <w:tcW w:w="3006" w:type="dxa"/>
          </w:tcPr>
          <w:p w14:paraId="5A829C86" w14:textId="60374BAD" w:rsidR="00DC6906" w:rsidRPr="0034488C" w:rsidRDefault="00DC6906" w:rsidP="0034488C">
            <w:pPr>
              <w:spacing w:line="360" w:lineRule="auto"/>
              <w:jc w:val="center"/>
              <w:rPr>
                <w:rFonts w:eastAsia="Calibri" w:cs="Arial"/>
                <w:i/>
                <w:iCs/>
                <w:sz w:val="20"/>
                <w:szCs w:val="20"/>
              </w:rPr>
            </w:pPr>
            <w:r w:rsidRPr="0034488C">
              <w:rPr>
                <w:rFonts w:eastAsia="Calibri" w:cs="Arial"/>
                <w:i/>
                <w:iCs/>
                <w:sz w:val="20"/>
                <w:szCs w:val="20"/>
              </w:rPr>
              <w:t xml:space="preserve">2026 </w:t>
            </w:r>
            <w:r w:rsidR="008B6FD5">
              <w:rPr>
                <w:rFonts w:eastAsia="Calibri" w:cs="Arial"/>
                <w:i/>
                <w:iCs/>
                <w:sz w:val="20"/>
                <w:szCs w:val="20"/>
              </w:rPr>
              <w:t>–</w:t>
            </w:r>
            <w:r w:rsidRPr="0034488C">
              <w:rPr>
                <w:rFonts w:eastAsia="Calibri" w:cs="Arial"/>
                <w:i/>
                <w:iCs/>
                <w:sz w:val="20"/>
                <w:szCs w:val="20"/>
              </w:rPr>
              <w:t xml:space="preserve"> onwards</w:t>
            </w:r>
          </w:p>
        </w:tc>
      </w:tr>
      <w:tr w:rsidR="00DC6906" w14:paraId="718C65B6" w14:textId="77777777" w:rsidTr="00DC6906">
        <w:tc>
          <w:tcPr>
            <w:tcW w:w="3005" w:type="dxa"/>
          </w:tcPr>
          <w:p w14:paraId="224D9936" w14:textId="77777777" w:rsidR="00DC6906" w:rsidRPr="000159D7" w:rsidRDefault="00DC6906" w:rsidP="000159D7">
            <w:pPr>
              <w:pStyle w:val="ListParagraph"/>
              <w:numPr>
                <w:ilvl w:val="0"/>
                <w:numId w:val="33"/>
              </w:numPr>
              <w:spacing w:line="360" w:lineRule="auto"/>
              <w:rPr>
                <w:rFonts w:eastAsia="Calibri" w:cs="Arial"/>
                <w:sz w:val="20"/>
                <w:szCs w:val="20"/>
              </w:rPr>
            </w:pPr>
            <w:r w:rsidRPr="000159D7">
              <w:rPr>
                <w:rFonts w:eastAsia="Calibri" w:cs="Arial"/>
                <w:sz w:val="20"/>
                <w:szCs w:val="20"/>
              </w:rPr>
              <w:t>Socialise the SEHEEF.</w:t>
            </w:r>
          </w:p>
          <w:p w14:paraId="7D50FB58" w14:textId="77777777" w:rsidR="00DC6906" w:rsidRPr="000159D7" w:rsidRDefault="00DC6906" w:rsidP="000159D7">
            <w:pPr>
              <w:pStyle w:val="ListParagraph"/>
              <w:numPr>
                <w:ilvl w:val="0"/>
                <w:numId w:val="33"/>
              </w:numPr>
              <w:spacing w:line="360" w:lineRule="auto"/>
              <w:rPr>
                <w:rFonts w:eastAsia="Calibri" w:cs="Arial"/>
                <w:sz w:val="20"/>
                <w:szCs w:val="20"/>
              </w:rPr>
            </w:pPr>
            <w:r w:rsidRPr="000159D7">
              <w:rPr>
                <w:rFonts w:eastAsia="Calibri" w:cs="Arial"/>
                <w:sz w:val="20"/>
                <w:szCs w:val="20"/>
              </w:rPr>
              <w:t>Review existing data and systems.</w:t>
            </w:r>
          </w:p>
          <w:p w14:paraId="7685E58E" w14:textId="77777777" w:rsidR="00DC6906" w:rsidRPr="000159D7" w:rsidRDefault="00DC6906" w:rsidP="000159D7">
            <w:pPr>
              <w:pStyle w:val="ListParagraph"/>
              <w:numPr>
                <w:ilvl w:val="0"/>
                <w:numId w:val="33"/>
              </w:numPr>
              <w:spacing w:line="360" w:lineRule="auto"/>
              <w:rPr>
                <w:rFonts w:eastAsia="Calibri" w:cs="Arial"/>
                <w:sz w:val="20"/>
                <w:szCs w:val="20"/>
              </w:rPr>
            </w:pPr>
            <w:r w:rsidRPr="000159D7">
              <w:rPr>
                <w:rFonts w:eastAsia="Calibri" w:cs="Arial"/>
                <w:sz w:val="20"/>
                <w:szCs w:val="20"/>
              </w:rPr>
              <w:t xml:space="preserve">Identify actions to support implementation. </w:t>
            </w:r>
          </w:p>
          <w:p w14:paraId="3A54BB4D" w14:textId="5410D227" w:rsidR="00DC6906" w:rsidRPr="000159D7" w:rsidRDefault="00DC6906" w:rsidP="000159D7">
            <w:pPr>
              <w:pStyle w:val="ListParagraph"/>
              <w:numPr>
                <w:ilvl w:val="0"/>
                <w:numId w:val="33"/>
              </w:numPr>
              <w:spacing w:line="360" w:lineRule="auto"/>
              <w:rPr>
                <w:rFonts w:eastAsia="Calibri" w:cs="Arial"/>
                <w:sz w:val="20"/>
                <w:szCs w:val="20"/>
              </w:rPr>
            </w:pPr>
            <w:r w:rsidRPr="000159D7">
              <w:rPr>
                <w:rFonts w:eastAsia="Calibri" w:cs="Arial"/>
                <w:sz w:val="20"/>
                <w:szCs w:val="20"/>
              </w:rPr>
              <w:t xml:space="preserve">Data </w:t>
            </w:r>
            <w:r w:rsidR="004E7E12">
              <w:rPr>
                <w:rFonts w:eastAsia="Calibri" w:cs="Arial"/>
                <w:sz w:val="20"/>
                <w:szCs w:val="20"/>
              </w:rPr>
              <w:t>l</w:t>
            </w:r>
            <w:r w:rsidR="00760123" w:rsidRPr="000159D7">
              <w:rPr>
                <w:rFonts w:eastAsia="Calibri" w:cs="Arial"/>
                <w:sz w:val="20"/>
                <w:szCs w:val="20"/>
              </w:rPr>
              <w:t>inkage: Establish a student equity flag.</w:t>
            </w:r>
          </w:p>
        </w:tc>
        <w:tc>
          <w:tcPr>
            <w:tcW w:w="3005" w:type="dxa"/>
          </w:tcPr>
          <w:p w14:paraId="5120CC05" w14:textId="673CA61B" w:rsidR="00DC6906" w:rsidRPr="000159D7" w:rsidRDefault="0034488C" w:rsidP="000159D7">
            <w:pPr>
              <w:pStyle w:val="ListParagraph"/>
              <w:numPr>
                <w:ilvl w:val="0"/>
                <w:numId w:val="32"/>
              </w:numPr>
              <w:spacing w:line="360" w:lineRule="auto"/>
              <w:rPr>
                <w:rFonts w:eastAsia="Calibri" w:cs="Arial"/>
                <w:sz w:val="20"/>
                <w:szCs w:val="20"/>
              </w:rPr>
            </w:pPr>
            <w:r w:rsidRPr="000159D7">
              <w:rPr>
                <w:rFonts w:eastAsia="Calibri" w:cs="Arial"/>
                <w:sz w:val="20"/>
                <w:szCs w:val="20"/>
              </w:rPr>
              <w:t xml:space="preserve">Data </w:t>
            </w:r>
            <w:r w:rsidR="004E7E12">
              <w:rPr>
                <w:rFonts w:eastAsia="Calibri" w:cs="Arial"/>
                <w:sz w:val="20"/>
                <w:szCs w:val="20"/>
              </w:rPr>
              <w:t>l</w:t>
            </w:r>
            <w:r w:rsidRPr="000159D7">
              <w:rPr>
                <w:rFonts w:eastAsia="Calibri" w:cs="Arial"/>
                <w:sz w:val="20"/>
                <w:szCs w:val="20"/>
              </w:rPr>
              <w:t xml:space="preserve">inkage: Participation data to </w:t>
            </w:r>
            <w:r w:rsidR="002A7028">
              <w:rPr>
                <w:rFonts w:eastAsia="Calibri" w:cs="Arial"/>
                <w:sz w:val="20"/>
                <w:szCs w:val="20"/>
              </w:rPr>
              <w:t>Higher Education Information Management System (</w:t>
            </w:r>
            <w:r w:rsidRPr="000159D7">
              <w:rPr>
                <w:rFonts w:eastAsia="Calibri" w:cs="Arial"/>
                <w:sz w:val="20"/>
                <w:szCs w:val="20"/>
              </w:rPr>
              <w:t>HEIMS</w:t>
            </w:r>
            <w:r w:rsidR="002A7028">
              <w:rPr>
                <w:rFonts w:eastAsia="Calibri" w:cs="Arial"/>
                <w:sz w:val="20"/>
                <w:szCs w:val="20"/>
              </w:rPr>
              <w:t xml:space="preserve">) </w:t>
            </w:r>
            <w:r w:rsidRPr="000159D7">
              <w:rPr>
                <w:rFonts w:eastAsia="Calibri" w:cs="Arial"/>
                <w:sz w:val="20"/>
                <w:szCs w:val="20"/>
              </w:rPr>
              <w:t>/</w:t>
            </w:r>
            <w:r w:rsidR="002A7028">
              <w:rPr>
                <w:rFonts w:eastAsia="Calibri" w:cs="Arial"/>
                <w:sz w:val="20"/>
                <w:szCs w:val="20"/>
              </w:rPr>
              <w:t xml:space="preserve"> Tertiary Collection of Student Information (</w:t>
            </w:r>
            <w:r w:rsidRPr="000159D7">
              <w:rPr>
                <w:rFonts w:eastAsia="Calibri" w:cs="Arial"/>
                <w:sz w:val="20"/>
                <w:szCs w:val="20"/>
              </w:rPr>
              <w:t>TCSI</w:t>
            </w:r>
            <w:r w:rsidR="002A7028">
              <w:rPr>
                <w:rFonts w:eastAsia="Calibri" w:cs="Arial"/>
                <w:sz w:val="20"/>
                <w:szCs w:val="20"/>
              </w:rPr>
              <w:t>)</w:t>
            </w:r>
            <w:r w:rsidRPr="000159D7">
              <w:rPr>
                <w:rFonts w:eastAsia="Calibri" w:cs="Arial"/>
                <w:sz w:val="20"/>
                <w:szCs w:val="20"/>
              </w:rPr>
              <w:t>.</w:t>
            </w:r>
          </w:p>
          <w:p w14:paraId="6F15F4BF" w14:textId="77777777" w:rsidR="0034488C" w:rsidRPr="000159D7" w:rsidRDefault="0034488C" w:rsidP="000159D7">
            <w:pPr>
              <w:pStyle w:val="ListParagraph"/>
              <w:numPr>
                <w:ilvl w:val="0"/>
                <w:numId w:val="32"/>
              </w:numPr>
              <w:spacing w:line="360" w:lineRule="auto"/>
              <w:rPr>
                <w:rFonts w:eastAsia="Calibri" w:cs="Arial"/>
                <w:sz w:val="20"/>
                <w:szCs w:val="20"/>
              </w:rPr>
            </w:pPr>
            <w:r w:rsidRPr="000159D7">
              <w:rPr>
                <w:rFonts w:eastAsia="Calibri" w:cs="Arial"/>
                <w:sz w:val="20"/>
                <w:szCs w:val="20"/>
              </w:rPr>
              <w:t>Establish processes for program evaluations.</w:t>
            </w:r>
          </w:p>
          <w:p w14:paraId="5FA2482C" w14:textId="31420BDD" w:rsidR="0034488C" w:rsidRPr="0034488C" w:rsidRDefault="0034488C" w:rsidP="0034488C">
            <w:pPr>
              <w:spacing w:line="360" w:lineRule="auto"/>
              <w:ind w:left="360"/>
              <w:rPr>
                <w:rFonts w:eastAsia="Calibri" w:cs="Arial"/>
                <w:sz w:val="20"/>
                <w:szCs w:val="20"/>
              </w:rPr>
            </w:pPr>
          </w:p>
        </w:tc>
        <w:tc>
          <w:tcPr>
            <w:tcW w:w="3006" w:type="dxa"/>
          </w:tcPr>
          <w:p w14:paraId="1A6AF0E0" w14:textId="18A34B6C" w:rsidR="00DC6906" w:rsidRPr="0034488C" w:rsidRDefault="0034488C" w:rsidP="0034488C">
            <w:pPr>
              <w:pStyle w:val="ListParagraph"/>
              <w:numPr>
                <w:ilvl w:val="0"/>
                <w:numId w:val="28"/>
              </w:numPr>
              <w:spacing w:line="360" w:lineRule="auto"/>
              <w:rPr>
                <w:rFonts w:eastAsia="Calibri" w:cs="Arial"/>
                <w:sz w:val="20"/>
                <w:szCs w:val="20"/>
              </w:rPr>
            </w:pPr>
            <w:r w:rsidRPr="0034488C">
              <w:rPr>
                <w:rFonts w:eastAsia="Calibri" w:cs="Arial"/>
                <w:sz w:val="20"/>
                <w:szCs w:val="20"/>
              </w:rPr>
              <w:t xml:space="preserve">Data </w:t>
            </w:r>
            <w:r w:rsidR="004E7E12">
              <w:rPr>
                <w:rFonts w:eastAsia="Calibri" w:cs="Arial"/>
                <w:sz w:val="20"/>
                <w:szCs w:val="20"/>
              </w:rPr>
              <w:t>l</w:t>
            </w:r>
            <w:r w:rsidRPr="0034488C">
              <w:rPr>
                <w:rFonts w:eastAsia="Calibri" w:cs="Arial"/>
                <w:sz w:val="20"/>
                <w:szCs w:val="20"/>
              </w:rPr>
              <w:t>inkage: Additional outcomes at participation and attainment and transition out stages.</w:t>
            </w:r>
          </w:p>
          <w:p w14:paraId="6FB79999" w14:textId="6BFE986D" w:rsidR="0034488C" w:rsidRPr="0034488C" w:rsidRDefault="0034488C" w:rsidP="0034488C">
            <w:pPr>
              <w:pStyle w:val="ListParagraph"/>
              <w:numPr>
                <w:ilvl w:val="0"/>
                <w:numId w:val="28"/>
              </w:numPr>
              <w:spacing w:line="360" w:lineRule="auto"/>
              <w:rPr>
                <w:rFonts w:eastAsia="Calibri" w:cs="Arial"/>
                <w:sz w:val="20"/>
                <w:szCs w:val="20"/>
              </w:rPr>
            </w:pPr>
            <w:r w:rsidRPr="0034488C">
              <w:rPr>
                <w:rFonts w:eastAsia="Calibri" w:cs="Arial"/>
                <w:sz w:val="20"/>
                <w:szCs w:val="20"/>
              </w:rPr>
              <w:t>Complete priority evaluations.</w:t>
            </w:r>
          </w:p>
        </w:tc>
      </w:tr>
      <w:tr w:rsidR="00760123" w14:paraId="7B4F6F72" w14:textId="77777777" w:rsidTr="00DC6906">
        <w:tc>
          <w:tcPr>
            <w:tcW w:w="3005" w:type="dxa"/>
          </w:tcPr>
          <w:p w14:paraId="3B941715" w14:textId="305DC1FB" w:rsidR="00760123" w:rsidRPr="0034488C" w:rsidRDefault="00760123" w:rsidP="0034488C">
            <w:pPr>
              <w:spacing w:line="360" w:lineRule="auto"/>
              <w:rPr>
                <w:rFonts w:eastAsia="Calibri" w:cs="Arial"/>
                <w:sz w:val="20"/>
                <w:szCs w:val="20"/>
              </w:rPr>
            </w:pPr>
            <w:r w:rsidRPr="0034488C">
              <w:rPr>
                <w:rFonts w:eastAsia="Calibri" w:cs="Arial"/>
                <w:b/>
                <w:bCs/>
                <w:sz w:val="20"/>
                <w:szCs w:val="20"/>
              </w:rPr>
              <w:t>Sharing:</w:t>
            </w:r>
            <w:r w:rsidRPr="0034488C">
              <w:rPr>
                <w:rFonts w:eastAsia="Calibri" w:cs="Arial"/>
                <w:sz w:val="20"/>
                <w:szCs w:val="20"/>
              </w:rPr>
              <w:t xml:space="preserve"> Sector article shared via ACSES </w:t>
            </w:r>
            <w:r w:rsidR="002A7028">
              <w:rPr>
                <w:rFonts w:eastAsia="Calibri" w:cs="Arial"/>
                <w:sz w:val="20"/>
                <w:szCs w:val="20"/>
              </w:rPr>
              <w:t>Community of Practice (</w:t>
            </w:r>
            <w:r w:rsidRPr="0034488C">
              <w:rPr>
                <w:rFonts w:eastAsia="Calibri" w:cs="Arial"/>
                <w:sz w:val="20"/>
                <w:szCs w:val="20"/>
              </w:rPr>
              <w:t>CoP</w:t>
            </w:r>
            <w:r w:rsidR="002A7028">
              <w:rPr>
                <w:rFonts w:eastAsia="Calibri" w:cs="Arial"/>
                <w:sz w:val="20"/>
                <w:szCs w:val="20"/>
              </w:rPr>
              <w:t>)</w:t>
            </w:r>
            <w:r w:rsidRPr="0034488C">
              <w:rPr>
                <w:rFonts w:eastAsia="Calibri" w:cs="Arial"/>
                <w:sz w:val="20"/>
                <w:szCs w:val="20"/>
              </w:rPr>
              <w:t>.</w:t>
            </w:r>
          </w:p>
        </w:tc>
        <w:tc>
          <w:tcPr>
            <w:tcW w:w="3005" w:type="dxa"/>
          </w:tcPr>
          <w:p w14:paraId="3B465200" w14:textId="42BDD389" w:rsidR="00760123" w:rsidRPr="0034488C" w:rsidRDefault="0034488C" w:rsidP="0034488C">
            <w:pPr>
              <w:spacing w:line="360" w:lineRule="auto"/>
              <w:rPr>
                <w:rFonts w:eastAsia="Calibri" w:cs="Arial"/>
                <w:sz w:val="20"/>
                <w:szCs w:val="20"/>
              </w:rPr>
            </w:pPr>
            <w:r w:rsidRPr="0034488C">
              <w:rPr>
                <w:rFonts w:eastAsia="Calibri" w:cs="Arial"/>
                <w:b/>
                <w:bCs/>
                <w:sz w:val="20"/>
                <w:szCs w:val="20"/>
              </w:rPr>
              <w:t>Sharing:</w:t>
            </w:r>
            <w:r w:rsidRPr="0034488C">
              <w:rPr>
                <w:rFonts w:eastAsia="Calibri" w:cs="Arial"/>
                <w:sz w:val="20"/>
                <w:szCs w:val="20"/>
              </w:rPr>
              <w:t xml:space="preserve"> ACSES National Network Webinar</w:t>
            </w:r>
            <w:r w:rsidR="004E7E12">
              <w:rPr>
                <w:rFonts w:eastAsia="Calibri" w:cs="Arial"/>
                <w:sz w:val="20"/>
                <w:szCs w:val="20"/>
              </w:rPr>
              <w:t>.</w:t>
            </w:r>
          </w:p>
        </w:tc>
        <w:tc>
          <w:tcPr>
            <w:tcW w:w="3006" w:type="dxa"/>
          </w:tcPr>
          <w:p w14:paraId="13C4ADE2" w14:textId="413F98BA" w:rsidR="00760123" w:rsidRPr="0034488C" w:rsidRDefault="0034488C" w:rsidP="0034488C">
            <w:pPr>
              <w:spacing w:line="360" w:lineRule="auto"/>
              <w:rPr>
                <w:rFonts w:eastAsia="Calibri" w:cs="Arial"/>
                <w:sz w:val="20"/>
                <w:szCs w:val="20"/>
              </w:rPr>
            </w:pPr>
            <w:r w:rsidRPr="0034488C">
              <w:rPr>
                <w:rFonts w:eastAsia="Calibri" w:cs="Arial"/>
                <w:b/>
                <w:bCs/>
                <w:sz w:val="20"/>
                <w:szCs w:val="20"/>
              </w:rPr>
              <w:t>Sharing</w:t>
            </w:r>
            <w:r w:rsidRPr="0034488C">
              <w:rPr>
                <w:rFonts w:eastAsia="Calibri" w:cs="Arial"/>
                <w:sz w:val="20"/>
                <w:szCs w:val="20"/>
              </w:rPr>
              <w:t xml:space="preserve">: </w:t>
            </w:r>
            <w:r w:rsidR="002A7028">
              <w:rPr>
                <w:rFonts w:eastAsia="Calibri" w:cs="Arial"/>
                <w:sz w:val="20"/>
                <w:szCs w:val="20"/>
              </w:rPr>
              <w:t>To be determined</w:t>
            </w:r>
            <w:r w:rsidR="004E7E12">
              <w:rPr>
                <w:rFonts w:eastAsia="Calibri" w:cs="Arial"/>
                <w:sz w:val="20"/>
                <w:szCs w:val="20"/>
              </w:rPr>
              <w:t>.</w:t>
            </w:r>
          </w:p>
        </w:tc>
      </w:tr>
    </w:tbl>
    <w:p w14:paraId="546956EB" w14:textId="4034F1EC" w:rsidR="000D10AA" w:rsidRDefault="000D10AA" w:rsidP="00C7239B">
      <w:pPr>
        <w:spacing w:after="115" w:line="259" w:lineRule="auto"/>
        <w:ind w:right="120"/>
        <w:jc w:val="right"/>
        <w:rPr>
          <w:rFonts w:ascii="Calibri" w:eastAsia="Calibri" w:hAnsi="Calibri" w:cs="Calibri"/>
        </w:rPr>
      </w:pPr>
    </w:p>
    <w:p w14:paraId="4D80523A" w14:textId="6A1E5B82" w:rsidR="007C219D" w:rsidRDefault="007C219D" w:rsidP="00FB6272">
      <w:r>
        <w:t xml:space="preserve">As </w:t>
      </w:r>
      <w:hyperlink r:id="rId24">
        <w:r>
          <w:rPr>
            <w:color w:val="236F6B"/>
            <w:u w:val="single" w:color="236F6B"/>
          </w:rPr>
          <w:t>proactive adopters of the SEHEEF</w:t>
        </w:r>
      </w:hyperlink>
      <w:hyperlink r:id="rId25">
        <w:r>
          <w:t>,</w:t>
        </w:r>
      </w:hyperlink>
      <w:r>
        <w:t xml:space="preserve"> Deakin had collected a substantial volume of data related to student engagement with HEPPP-funded activities, including continuous quality improvement (CQI) and participation data. Despite the breadth and depth of this information, it was located across multiple systems. Due to resource constraints, the </w:t>
      </w:r>
      <w:r w:rsidR="001727A8">
        <w:t>u</w:t>
      </w:r>
      <w:r>
        <w:t>niversity had yet to consolidate and structure this information in a way that supported integration with institutional databases and enabled enterprise-level insights.</w:t>
      </w:r>
    </w:p>
    <w:p w14:paraId="4EDF68D7" w14:textId="5D3968ED" w:rsidR="007C219D" w:rsidRDefault="007C219D" w:rsidP="00FB6272">
      <w:r>
        <w:t xml:space="preserve">The limited integration hindered the </w:t>
      </w:r>
      <w:r w:rsidR="001727A8">
        <w:t>u</w:t>
      </w:r>
      <w:r>
        <w:t>niversity</w:t>
      </w:r>
      <w:r w:rsidR="008B6FD5">
        <w:t>’</w:t>
      </w:r>
      <w:r>
        <w:t>s ability to conduct whole-of-program evaluations of equity initiatives, comprehensively monitor program effectiveness, and inform strategic funding decisions.</w:t>
      </w:r>
      <w:r>
        <w:rPr>
          <w:rFonts w:ascii="Calibri" w:eastAsia="Calibri" w:hAnsi="Calibri" w:cs="Calibri"/>
        </w:rPr>
        <w:t xml:space="preserve"> </w:t>
      </w:r>
    </w:p>
    <w:p w14:paraId="6BC5DDEA" w14:textId="77777777" w:rsidR="007C219D" w:rsidRDefault="007C219D" w:rsidP="00FB6272">
      <w:r>
        <w:t>To address these challenges, a collaborative cross-disciplinary project was established, involving key divisions:</w:t>
      </w:r>
      <w:r>
        <w:rPr>
          <w:rFonts w:ascii="Calibri" w:eastAsia="Calibri" w:hAnsi="Calibri" w:cs="Calibri"/>
        </w:rPr>
        <w:t xml:space="preserve"> </w:t>
      </w:r>
    </w:p>
    <w:p w14:paraId="20DF43BC" w14:textId="1F1D3CF0" w:rsidR="007C219D" w:rsidRDefault="007C219D" w:rsidP="00FB6272">
      <w:pPr>
        <w:pStyle w:val="ListParagraph"/>
        <w:numPr>
          <w:ilvl w:val="0"/>
          <w:numId w:val="13"/>
        </w:numPr>
      </w:pPr>
      <w:r>
        <w:lastRenderedPageBreak/>
        <w:t>Equity &amp; Inclusion</w:t>
      </w:r>
      <w:r w:rsidR="00A87295">
        <w:t>:</w:t>
      </w:r>
      <w:r>
        <w:t xml:space="preserve"> </w:t>
      </w:r>
      <w:r w:rsidR="001727A8">
        <w:t>R</w:t>
      </w:r>
      <w:r>
        <w:t>esponsible for governance and planning of HEPPP</w:t>
      </w:r>
      <w:r w:rsidR="00A87295">
        <w:rPr>
          <w:rFonts w:ascii="Calibri" w:eastAsia="Calibri" w:hAnsi="Calibri" w:cs="Calibri"/>
        </w:rPr>
        <w:t>.</w:t>
      </w:r>
    </w:p>
    <w:p w14:paraId="3036422A" w14:textId="52705E30" w:rsidR="007C219D" w:rsidRDefault="007C219D" w:rsidP="00FB6272">
      <w:pPr>
        <w:pStyle w:val="ListParagraph"/>
        <w:numPr>
          <w:ilvl w:val="0"/>
          <w:numId w:val="13"/>
        </w:numPr>
      </w:pPr>
      <w:r>
        <w:t>Deakin Analytics &amp; Insights</w:t>
      </w:r>
      <w:r w:rsidR="00A87295">
        <w:t>:</w:t>
      </w:r>
      <w:r>
        <w:t xml:space="preserve"> </w:t>
      </w:r>
      <w:r w:rsidR="001727A8">
        <w:t>A</w:t>
      </w:r>
      <w:r>
        <w:t xml:space="preserve"> central hub for data analytics at Deakin</w:t>
      </w:r>
      <w:r w:rsidR="00A87295">
        <w:rPr>
          <w:rFonts w:ascii="Calibri" w:eastAsia="Calibri" w:hAnsi="Calibri" w:cs="Calibri"/>
        </w:rPr>
        <w:t>.</w:t>
      </w:r>
    </w:p>
    <w:p w14:paraId="2C9507F2" w14:textId="37811BD4" w:rsidR="007C219D" w:rsidRDefault="007C219D" w:rsidP="00FB6272">
      <w:pPr>
        <w:pStyle w:val="ListParagraph"/>
        <w:numPr>
          <w:ilvl w:val="0"/>
          <w:numId w:val="13"/>
        </w:numPr>
      </w:pPr>
      <w:r>
        <w:t>Biostatistics Unit</w:t>
      </w:r>
      <w:r w:rsidR="00AB27EE">
        <w:t xml:space="preserve"> </w:t>
      </w:r>
      <w:r w:rsidR="00AB27EE">
        <w:rPr>
          <w:rFonts w:eastAsia="Times New Roman" w:cs="Arial"/>
          <w:color w:val="000000"/>
        </w:rPr>
        <w:t>–</w:t>
      </w:r>
      <w:r>
        <w:t xml:space="preserve"> Faculty of Health</w:t>
      </w:r>
      <w:r w:rsidR="00A87295">
        <w:t>:</w:t>
      </w:r>
      <w:r>
        <w:t xml:space="preserve"> </w:t>
      </w:r>
      <w:r w:rsidR="001727A8">
        <w:t>C</w:t>
      </w:r>
      <w:r>
        <w:t>ontributing specialised biostatistical expertise</w:t>
      </w:r>
      <w:r w:rsidR="00A87295">
        <w:rPr>
          <w:rFonts w:ascii="Calibri" w:eastAsia="Calibri" w:hAnsi="Calibri" w:cs="Calibri"/>
        </w:rPr>
        <w:t>.</w:t>
      </w:r>
    </w:p>
    <w:p w14:paraId="6C5E9BB7" w14:textId="14B0A3E8" w:rsidR="007C219D" w:rsidRDefault="007C219D" w:rsidP="00FB6272">
      <w:r>
        <w:t xml:space="preserve">Together, these teams embarked on a process to structure and consolidate </w:t>
      </w:r>
      <w:r w:rsidR="001727A8">
        <w:t>three</w:t>
      </w:r>
      <w:r w:rsidR="00A87295">
        <w:t xml:space="preserve"> </w:t>
      </w:r>
      <w:r>
        <w:t>years of HEPPP data (2022, 2023, 2024) in alignment with the SEHEEF and prepare information for migration to a centralised data repository. This foundational work enabled the integration of HEPPP data with other institutional datasets, facilitating dynamic insights into equity student outcomes and supporting evidence-based decision</w:t>
      </w:r>
      <w:r w:rsidR="00F04B96">
        <w:t xml:space="preserve"> </w:t>
      </w:r>
      <w:r>
        <w:t xml:space="preserve">making. </w:t>
      </w:r>
      <w:r>
        <w:rPr>
          <w:rFonts w:ascii="Calibri" w:eastAsia="Calibri" w:hAnsi="Calibri" w:cs="Calibri"/>
        </w:rPr>
        <w:t xml:space="preserve"> </w:t>
      </w:r>
    </w:p>
    <w:p w14:paraId="04889C4B" w14:textId="14FF34D0" w:rsidR="007C219D" w:rsidRDefault="007C219D" w:rsidP="00FB6272">
      <w:r>
        <w:t xml:space="preserve">In alignment with the </w:t>
      </w:r>
      <w:r w:rsidR="001727A8">
        <w:t>Australian Centre for Student Equity and Success (</w:t>
      </w:r>
      <w:r>
        <w:t>ACSES</w:t>
      </w:r>
      <w:r w:rsidR="001727A8">
        <w:t>)</w:t>
      </w:r>
      <w:r>
        <w:t xml:space="preserve"> Capacity Building Grants Program, which supported the delivery of this project, this report shares how the</w:t>
      </w:r>
      <w:r>
        <w:rPr>
          <w:rFonts w:ascii="Calibri" w:eastAsia="Calibri" w:hAnsi="Calibri" w:cs="Calibri"/>
        </w:rPr>
        <w:t xml:space="preserve"> </w:t>
      </w:r>
      <w:r w:rsidRPr="00FB6272">
        <w:rPr>
          <w:rFonts w:eastAsia="Calibri" w:cs="Arial"/>
          <w:i/>
        </w:rPr>
        <w:t xml:space="preserve">Building </w:t>
      </w:r>
      <w:r w:rsidR="001727A8">
        <w:rPr>
          <w:rFonts w:eastAsia="Calibri" w:cs="Arial"/>
          <w:i/>
        </w:rPr>
        <w:t>i</w:t>
      </w:r>
      <w:r w:rsidRPr="00FB6272">
        <w:rPr>
          <w:rFonts w:eastAsia="Calibri" w:cs="Arial"/>
          <w:i/>
        </w:rPr>
        <w:t xml:space="preserve">nfrastructure to </w:t>
      </w:r>
      <w:r w:rsidR="001727A8">
        <w:rPr>
          <w:rFonts w:eastAsia="Calibri" w:cs="Arial"/>
          <w:i/>
        </w:rPr>
        <w:t>e</w:t>
      </w:r>
      <w:r w:rsidRPr="00FB6272">
        <w:rPr>
          <w:rFonts w:eastAsia="Calibri" w:cs="Arial"/>
          <w:i/>
        </w:rPr>
        <w:t xml:space="preserve">valuate </w:t>
      </w:r>
      <w:r w:rsidR="001727A8">
        <w:rPr>
          <w:rFonts w:eastAsia="Calibri" w:cs="Arial"/>
          <w:i/>
        </w:rPr>
        <w:t>s</w:t>
      </w:r>
      <w:r w:rsidRPr="00FB6272">
        <w:rPr>
          <w:rFonts w:eastAsia="Calibri" w:cs="Arial"/>
          <w:i/>
        </w:rPr>
        <w:t xml:space="preserve">tudent </w:t>
      </w:r>
      <w:r w:rsidR="001727A8">
        <w:rPr>
          <w:rFonts w:eastAsia="Calibri" w:cs="Arial"/>
          <w:i/>
        </w:rPr>
        <w:t>e</w:t>
      </w:r>
      <w:r w:rsidRPr="00FB6272">
        <w:rPr>
          <w:rFonts w:eastAsia="Calibri" w:cs="Arial"/>
          <w:i/>
        </w:rPr>
        <w:t xml:space="preserve">quity </w:t>
      </w:r>
      <w:r w:rsidR="001727A8">
        <w:rPr>
          <w:rFonts w:eastAsia="Calibri" w:cs="Arial"/>
          <w:i/>
        </w:rPr>
        <w:t>p</w:t>
      </w:r>
      <w:r w:rsidRPr="00FB6272">
        <w:rPr>
          <w:rFonts w:eastAsia="Calibri" w:cs="Arial"/>
          <w:i/>
        </w:rPr>
        <w:t xml:space="preserve">rogram </w:t>
      </w:r>
      <w:r w:rsidR="00924255">
        <w:rPr>
          <w:rFonts w:eastAsia="Calibri" w:cs="Arial"/>
          <w:i/>
        </w:rPr>
        <w:t>o</w:t>
      </w:r>
      <w:r w:rsidRPr="00FB6272">
        <w:rPr>
          <w:rFonts w:eastAsia="Calibri" w:cs="Arial"/>
          <w:i/>
        </w:rPr>
        <w:t>utcomes</w:t>
      </w:r>
      <w:r>
        <w:rPr>
          <w:rFonts w:ascii="Calibri" w:eastAsia="Calibri" w:hAnsi="Calibri" w:cs="Calibri"/>
        </w:rPr>
        <w:t xml:space="preserve"> </w:t>
      </w:r>
      <w:r>
        <w:t>project strengthened internal capability, promoted knowledge exchange across university divisions</w:t>
      </w:r>
      <w:r w:rsidR="00A87295">
        <w:t>,</w:t>
      </w:r>
      <w:r>
        <w:t xml:space="preserve"> and deepened institutional understanding of student equity data and evaluation practices.</w:t>
      </w:r>
      <w:r>
        <w:rPr>
          <w:rFonts w:ascii="Calibri" w:eastAsia="Calibri" w:hAnsi="Calibri" w:cs="Calibri"/>
        </w:rPr>
        <w:t xml:space="preserve"> </w:t>
      </w:r>
    </w:p>
    <w:p w14:paraId="50A575F8" w14:textId="3EA068CD" w:rsidR="007C219D" w:rsidRDefault="000D10AA" w:rsidP="007C219D">
      <w:pPr>
        <w:pStyle w:val="Heading2"/>
        <w:ind w:left="851"/>
        <w:rPr>
          <w:rFonts w:eastAsia="Calibri"/>
          <w:lang w:val="en-NZ"/>
        </w:rPr>
      </w:pPr>
      <w:r>
        <w:rPr>
          <w:rFonts w:eastAsia="Calibri"/>
          <w:lang w:val="en-NZ"/>
        </w:rPr>
        <w:t>Outline</w:t>
      </w:r>
    </w:p>
    <w:p w14:paraId="309F1F48" w14:textId="6C819434" w:rsidR="0056279B" w:rsidRPr="006C4BF4" w:rsidRDefault="006C4BF4" w:rsidP="00FB6272">
      <w:pPr>
        <w:rPr>
          <w:lang w:val="en-NZ" w:eastAsia="en-NZ"/>
        </w:rPr>
      </w:pPr>
      <w:r w:rsidRPr="006C4BF4">
        <w:rPr>
          <w:lang w:val="en-NZ" w:eastAsia="en-NZ"/>
        </w:rPr>
        <w:t xml:space="preserve">In line with the original project proposal, this initiative involved both technical and individual focused capacity building. The types of capacity building achieved can be grouped into three distinct categories: </w:t>
      </w:r>
    </w:p>
    <w:p w14:paraId="0E1362D8" w14:textId="173275A5" w:rsidR="006C4BF4" w:rsidRPr="00FF11E3" w:rsidRDefault="00A87295" w:rsidP="00FF11E3">
      <w:pPr>
        <w:pStyle w:val="ListParagraph"/>
        <w:numPr>
          <w:ilvl w:val="0"/>
          <w:numId w:val="14"/>
        </w:numPr>
        <w:rPr>
          <w:rFonts w:eastAsia="Calibri" w:cs="Arial"/>
          <w:color w:val="000000"/>
          <w:szCs w:val="24"/>
          <w:lang w:val="en-NZ" w:eastAsia="en-NZ"/>
        </w:rPr>
      </w:pPr>
      <w:r>
        <w:rPr>
          <w:rFonts w:eastAsia="Calibri" w:cs="Arial"/>
          <w:color w:val="000000"/>
          <w:szCs w:val="24"/>
          <w:lang w:val="en-NZ" w:eastAsia="en-NZ"/>
        </w:rPr>
        <w:t>s</w:t>
      </w:r>
      <w:r w:rsidR="006C4BF4" w:rsidRPr="00FF11E3">
        <w:rPr>
          <w:rFonts w:eastAsia="Calibri" w:cs="Arial"/>
          <w:color w:val="000000"/>
          <w:szCs w:val="24"/>
          <w:lang w:val="en-NZ" w:eastAsia="en-NZ"/>
        </w:rPr>
        <w:t xml:space="preserve">ystem capacity building </w:t>
      </w:r>
    </w:p>
    <w:p w14:paraId="18C3B6BD" w14:textId="244AFA59" w:rsidR="006C4BF4" w:rsidRPr="00FF11E3" w:rsidRDefault="00A87295" w:rsidP="00FF11E3">
      <w:pPr>
        <w:pStyle w:val="ListParagraph"/>
        <w:numPr>
          <w:ilvl w:val="0"/>
          <w:numId w:val="14"/>
        </w:numPr>
        <w:rPr>
          <w:rFonts w:eastAsia="Calibri" w:cs="Arial"/>
          <w:color w:val="000000"/>
          <w:szCs w:val="24"/>
          <w:lang w:val="en-NZ" w:eastAsia="en-NZ"/>
        </w:rPr>
      </w:pPr>
      <w:r>
        <w:rPr>
          <w:rFonts w:eastAsia="Calibri" w:cs="Arial"/>
          <w:color w:val="000000"/>
          <w:szCs w:val="24"/>
          <w:lang w:val="en-NZ" w:eastAsia="en-NZ"/>
        </w:rPr>
        <w:t>t</w:t>
      </w:r>
      <w:r w:rsidR="006C4BF4" w:rsidRPr="00FF11E3">
        <w:rPr>
          <w:rFonts w:eastAsia="Calibri" w:cs="Arial"/>
          <w:color w:val="000000"/>
          <w:szCs w:val="24"/>
          <w:lang w:val="en-NZ" w:eastAsia="en-NZ"/>
        </w:rPr>
        <w:t xml:space="preserve">eam capacity building </w:t>
      </w:r>
    </w:p>
    <w:p w14:paraId="40945626" w14:textId="2A456E13" w:rsidR="000C611D" w:rsidRDefault="00A87295" w:rsidP="000C611D">
      <w:pPr>
        <w:pStyle w:val="ListParagraph"/>
        <w:numPr>
          <w:ilvl w:val="0"/>
          <w:numId w:val="14"/>
        </w:numPr>
        <w:rPr>
          <w:rFonts w:eastAsia="Calibri" w:cs="Arial"/>
          <w:color w:val="000000"/>
          <w:szCs w:val="24"/>
          <w:lang w:val="en-NZ" w:eastAsia="en-NZ"/>
        </w:rPr>
      </w:pPr>
      <w:r>
        <w:rPr>
          <w:rFonts w:eastAsia="Calibri" w:cs="Arial"/>
          <w:color w:val="000000"/>
          <w:szCs w:val="24"/>
          <w:lang w:val="en-NZ" w:eastAsia="en-NZ"/>
        </w:rPr>
        <w:t>e</w:t>
      </w:r>
      <w:r w:rsidR="006C4BF4" w:rsidRPr="00FF11E3">
        <w:rPr>
          <w:rFonts w:eastAsia="Calibri" w:cs="Arial"/>
          <w:color w:val="000000"/>
          <w:szCs w:val="24"/>
          <w:lang w:val="en-NZ" w:eastAsia="en-NZ"/>
        </w:rPr>
        <w:t>valuation capacity building</w:t>
      </w:r>
      <w:r>
        <w:rPr>
          <w:rFonts w:eastAsia="Calibri" w:cs="Arial"/>
          <w:color w:val="000000"/>
          <w:szCs w:val="24"/>
          <w:lang w:val="en-NZ" w:eastAsia="en-NZ"/>
        </w:rPr>
        <w:t>.</w:t>
      </w:r>
    </w:p>
    <w:p w14:paraId="558E55F2" w14:textId="62367FDF" w:rsidR="001C48C4" w:rsidRPr="00C7239B" w:rsidRDefault="00FC59EE" w:rsidP="00493E73">
      <w:pPr>
        <w:rPr>
          <w:rFonts w:ascii="Calibri" w:eastAsia="Calibri" w:hAnsi="Calibri" w:cs="Calibri"/>
          <w:color w:val="000000"/>
          <w:sz w:val="20"/>
          <w:szCs w:val="20"/>
          <w:lang w:val="en-NZ" w:eastAsia="en-NZ"/>
        </w:rPr>
      </w:pPr>
      <w:r w:rsidRPr="00C7239B">
        <w:rPr>
          <w:i/>
          <w:iCs/>
          <w:sz w:val="20"/>
          <w:szCs w:val="20"/>
          <w:lang w:val="en-NZ" w:eastAsia="en-NZ"/>
        </w:rPr>
        <w:t>Table</w:t>
      </w:r>
      <w:r w:rsidR="000C611D" w:rsidRPr="00C7239B">
        <w:rPr>
          <w:i/>
          <w:iCs/>
          <w:sz w:val="20"/>
          <w:szCs w:val="20"/>
          <w:lang w:val="en-NZ" w:eastAsia="en-NZ"/>
        </w:rPr>
        <w:t xml:space="preserve"> 2</w:t>
      </w:r>
      <w:r w:rsidR="0096334A">
        <w:rPr>
          <w:i/>
          <w:iCs/>
          <w:sz w:val="20"/>
          <w:szCs w:val="20"/>
          <w:lang w:val="en-NZ" w:eastAsia="en-NZ"/>
        </w:rPr>
        <w:t>:</w:t>
      </w:r>
      <w:r w:rsidR="000C611D" w:rsidRPr="00C7239B">
        <w:rPr>
          <w:i/>
          <w:iCs/>
          <w:sz w:val="20"/>
          <w:szCs w:val="20"/>
          <w:lang w:val="en-NZ" w:eastAsia="en-NZ"/>
        </w:rPr>
        <w:t xml:space="preserve"> Shows three types of capacity building that took place during the project</w:t>
      </w:r>
      <w:r w:rsidR="0057487C" w:rsidRPr="00C7239B">
        <w:rPr>
          <w:i/>
          <w:iCs/>
          <w:sz w:val="20"/>
          <w:szCs w:val="20"/>
          <w:lang w:val="en-NZ" w:eastAsia="en-NZ"/>
        </w:rPr>
        <w:t>:</w:t>
      </w:r>
      <w:r w:rsidR="000C611D" w:rsidRPr="00C7239B">
        <w:rPr>
          <w:i/>
          <w:iCs/>
          <w:sz w:val="20"/>
          <w:szCs w:val="20"/>
          <w:lang w:val="en-NZ" w:eastAsia="en-NZ"/>
        </w:rPr>
        <w:t xml:space="preserve"> </w:t>
      </w:r>
      <w:r w:rsidR="0057487C" w:rsidRPr="00C7239B">
        <w:rPr>
          <w:i/>
          <w:iCs/>
          <w:sz w:val="20"/>
          <w:szCs w:val="20"/>
          <w:lang w:val="en-NZ" w:eastAsia="en-NZ"/>
        </w:rPr>
        <w:t>sy</w:t>
      </w:r>
      <w:r w:rsidR="000C611D" w:rsidRPr="00C7239B">
        <w:rPr>
          <w:i/>
          <w:iCs/>
          <w:sz w:val="20"/>
          <w:szCs w:val="20"/>
          <w:lang w:val="en-NZ" w:eastAsia="en-NZ"/>
        </w:rPr>
        <w:t>stem,</w:t>
      </w:r>
      <w:r w:rsidR="001C48C4" w:rsidRPr="00C7239B">
        <w:rPr>
          <w:i/>
          <w:iCs/>
          <w:sz w:val="20"/>
          <w:szCs w:val="20"/>
          <w:lang w:val="en-NZ" w:eastAsia="en-NZ"/>
        </w:rPr>
        <w:t xml:space="preserve"> </w:t>
      </w:r>
      <w:r w:rsidR="0057487C" w:rsidRPr="00C7239B">
        <w:rPr>
          <w:i/>
          <w:iCs/>
          <w:sz w:val="20"/>
          <w:szCs w:val="20"/>
          <w:lang w:val="en-NZ" w:eastAsia="en-NZ"/>
        </w:rPr>
        <w:t>te</w:t>
      </w:r>
      <w:r w:rsidR="000C611D" w:rsidRPr="00C7239B">
        <w:rPr>
          <w:i/>
          <w:iCs/>
          <w:sz w:val="20"/>
          <w:szCs w:val="20"/>
          <w:lang w:val="en-NZ" w:eastAsia="en-NZ"/>
        </w:rPr>
        <w:t>am</w:t>
      </w:r>
      <w:r w:rsidR="00A87295" w:rsidRPr="00C7239B">
        <w:rPr>
          <w:i/>
          <w:iCs/>
          <w:sz w:val="20"/>
          <w:szCs w:val="20"/>
          <w:lang w:val="en-NZ" w:eastAsia="en-NZ"/>
        </w:rPr>
        <w:t>,</w:t>
      </w:r>
      <w:r w:rsidR="000C611D" w:rsidRPr="00C7239B">
        <w:rPr>
          <w:i/>
          <w:iCs/>
          <w:sz w:val="20"/>
          <w:szCs w:val="20"/>
          <w:lang w:val="en-NZ" w:eastAsia="en-NZ"/>
        </w:rPr>
        <w:t xml:space="preserve"> and </w:t>
      </w:r>
      <w:r w:rsidR="0057487C" w:rsidRPr="00C7239B">
        <w:rPr>
          <w:i/>
          <w:iCs/>
          <w:sz w:val="20"/>
          <w:szCs w:val="20"/>
          <w:lang w:val="en-NZ" w:eastAsia="en-NZ"/>
        </w:rPr>
        <w:t>e</w:t>
      </w:r>
      <w:r w:rsidR="000C611D" w:rsidRPr="00C7239B">
        <w:rPr>
          <w:i/>
          <w:iCs/>
          <w:sz w:val="20"/>
          <w:szCs w:val="20"/>
          <w:lang w:val="en-NZ" w:eastAsia="en-NZ"/>
        </w:rPr>
        <w:t xml:space="preserve">valuation. </w:t>
      </w:r>
      <w:r w:rsidR="006C4BF4" w:rsidRPr="00C7239B">
        <w:rPr>
          <w:rFonts w:ascii="Calibri" w:eastAsia="Calibri" w:hAnsi="Calibri" w:cs="Calibri"/>
          <w:color w:val="000000"/>
          <w:sz w:val="20"/>
          <w:szCs w:val="20"/>
          <w:lang w:val="en-NZ" w:eastAsia="en-NZ"/>
        </w:rPr>
        <w:t xml:space="preserve">  </w:t>
      </w:r>
    </w:p>
    <w:tbl>
      <w:tblPr>
        <w:tblStyle w:val="ACSEStable"/>
        <w:tblW w:w="0" w:type="auto"/>
        <w:tblLook w:val="04A0" w:firstRow="1" w:lastRow="0" w:firstColumn="1" w:lastColumn="0" w:noHBand="0" w:noVBand="1"/>
      </w:tblPr>
      <w:tblGrid>
        <w:gridCol w:w="3005"/>
        <w:gridCol w:w="3005"/>
        <w:gridCol w:w="3006"/>
      </w:tblGrid>
      <w:tr w:rsidR="001C48C4" w:rsidRPr="0012578D" w14:paraId="0B033F26" w14:textId="77777777" w:rsidTr="00E56F80">
        <w:trPr>
          <w:cnfStyle w:val="100000000000" w:firstRow="1" w:lastRow="0" w:firstColumn="0" w:lastColumn="0" w:oddVBand="0" w:evenVBand="0" w:oddHBand="0" w:evenHBand="0" w:firstRowFirstColumn="0" w:firstRowLastColumn="0" w:lastRowFirstColumn="0" w:lastRowLastColumn="0"/>
        </w:trPr>
        <w:tc>
          <w:tcPr>
            <w:tcW w:w="3005" w:type="dxa"/>
          </w:tcPr>
          <w:p w14:paraId="62F0474A" w14:textId="329714A2" w:rsidR="001C48C4" w:rsidRPr="0012578D" w:rsidRDefault="001C48C4" w:rsidP="00936A4B">
            <w:pPr>
              <w:spacing w:line="360" w:lineRule="auto"/>
              <w:jc w:val="center"/>
              <w:rPr>
                <w:rFonts w:eastAsia="Calibri" w:cs="Arial"/>
                <w:b w:val="0"/>
                <w:bCs/>
                <w:sz w:val="20"/>
                <w:szCs w:val="20"/>
              </w:rPr>
            </w:pPr>
            <w:r w:rsidRPr="0012578D">
              <w:rPr>
                <w:rFonts w:eastAsia="Calibri" w:cs="Arial"/>
                <w:bCs/>
                <w:sz w:val="20"/>
                <w:szCs w:val="20"/>
              </w:rPr>
              <w:t xml:space="preserve">System </w:t>
            </w:r>
            <w:r w:rsidR="00F04B96" w:rsidRPr="0012578D">
              <w:rPr>
                <w:rFonts w:eastAsia="Calibri" w:cs="Arial"/>
                <w:bCs/>
                <w:sz w:val="20"/>
                <w:szCs w:val="20"/>
              </w:rPr>
              <w:t>c</w:t>
            </w:r>
            <w:r w:rsidRPr="0012578D">
              <w:rPr>
                <w:rFonts w:eastAsia="Calibri" w:cs="Arial"/>
                <w:bCs/>
                <w:sz w:val="20"/>
                <w:szCs w:val="20"/>
              </w:rPr>
              <w:t xml:space="preserve">apacity </w:t>
            </w:r>
            <w:r w:rsidR="00F04B96" w:rsidRPr="0012578D">
              <w:rPr>
                <w:rFonts w:eastAsia="Calibri" w:cs="Arial"/>
                <w:bCs/>
                <w:sz w:val="20"/>
                <w:szCs w:val="20"/>
              </w:rPr>
              <w:t>b</w:t>
            </w:r>
            <w:r w:rsidRPr="0012578D">
              <w:rPr>
                <w:rFonts w:eastAsia="Calibri" w:cs="Arial"/>
                <w:bCs/>
                <w:sz w:val="20"/>
                <w:szCs w:val="20"/>
              </w:rPr>
              <w:t>uilding</w:t>
            </w:r>
          </w:p>
        </w:tc>
        <w:tc>
          <w:tcPr>
            <w:tcW w:w="3005" w:type="dxa"/>
          </w:tcPr>
          <w:p w14:paraId="36EBBC66" w14:textId="104315F5" w:rsidR="001C48C4" w:rsidRPr="0012578D" w:rsidRDefault="001C48C4" w:rsidP="00936A4B">
            <w:pPr>
              <w:spacing w:line="360" w:lineRule="auto"/>
              <w:jc w:val="center"/>
              <w:rPr>
                <w:rFonts w:eastAsia="Calibri" w:cs="Arial"/>
                <w:b w:val="0"/>
                <w:bCs/>
                <w:sz w:val="20"/>
                <w:szCs w:val="20"/>
              </w:rPr>
            </w:pPr>
            <w:r w:rsidRPr="0012578D">
              <w:rPr>
                <w:rFonts w:eastAsia="Calibri" w:cs="Arial"/>
                <w:bCs/>
                <w:sz w:val="20"/>
                <w:szCs w:val="20"/>
              </w:rPr>
              <w:t xml:space="preserve">Team </w:t>
            </w:r>
            <w:r w:rsidR="00F04B96" w:rsidRPr="0012578D">
              <w:rPr>
                <w:rFonts w:eastAsia="Calibri" w:cs="Arial"/>
                <w:bCs/>
                <w:sz w:val="20"/>
                <w:szCs w:val="20"/>
              </w:rPr>
              <w:t>c</w:t>
            </w:r>
            <w:r w:rsidRPr="0012578D">
              <w:rPr>
                <w:rFonts w:eastAsia="Calibri" w:cs="Arial"/>
                <w:bCs/>
                <w:sz w:val="20"/>
                <w:szCs w:val="20"/>
              </w:rPr>
              <w:t xml:space="preserve">apacity </w:t>
            </w:r>
            <w:r w:rsidR="00F04B96" w:rsidRPr="0012578D">
              <w:rPr>
                <w:rFonts w:eastAsia="Calibri" w:cs="Arial"/>
                <w:bCs/>
                <w:sz w:val="20"/>
                <w:szCs w:val="20"/>
              </w:rPr>
              <w:t>b</w:t>
            </w:r>
            <w:r w:rsidRPr="0012578D">
              <w:rPr>
                <w:rFonts w:eastAsia="Calibri" w:cs="Arial"/>
                <w:bCs/>
                <w:sz w:val="20"/>
                <w:szCs w:val="20"/>
              </w:rPr>
              <w:t>uilding</w:t>
            </w:r>
          </w:p>
        </w:tc>
        <w:tc>
          <w:tcPr>
            <w:tcW w:w="3006" w:type="dxa"/>
          </w:tcPr>
          <w:p w14:paraId="0CA758B8" w14:textId="0CA86B9F" w:rsidR="001C48C4" w:rsidRPr="0012578D" w:rsidRDefault="001C48C4" w:rsidP="00936A4B">
            <w:pPr>
              <w:spacing w:line="360" w:lineRule="auto"/>
              <w:jc w:val="center"/>
              <w:rPr>
                <w:rFonts w:eastAsia="Calibri" w:cs="Arial"/>
                <w:b w:val="0"/>
                <w:bCs/>
                <w:sz w:val="20"/>
                <w:szCs w:val="20"/>
              </w:rPr>
            </w:pPr>
            <w:r w:rsidRPr="0012578D">
              <w:rPr>
                <w:rFonts w:eastAsia="Calibri" w:cs="Arial"/>
                <w:bCs/>
                <w:sz w:val="20"/>
                <w:szCs w:val="20"/>
              </w:rPr>
              <w:t xml:space="preserve">Evaluation </w:t>
            </w:r>
            <w:r w:rsidR="00F04B96" w:rsidRPr="0012578D">
              <w:rPr>
                <w:rFonts w:eastAsia="Calibri" w:cs="Arial"/>
                <w:bCs/>
                <w:sz w:val="20"/>
                <w:szCs w:val="20"/>
              </w:rPr>
              <w:t>c</w:t>
            </w:r>
            <w:r w:rsidRPr="0012578D">
              <w:rPr>
                <w:rFonts w:eastAsia="Calibri" w:cs="Arial"/>
                <w:bCs/>
                <w:sz w:val="20"/>
                <w:szCs w:val="20"/>
              </w:rPr>
              <w:t xml:space="preserve">apacity </w:t>
            </w:r>
            <w:r w:rsidR="00F04B96" w:rsidRPr="0012578D">
              <w:rPr>
                <w:rFonts w:eastAsia="Calibri" w:cs="Arial"/>
                <w:bCs/>
                <w:sz w:val="20"/>
                <w:szCs w:val="20"/>
              </w:rPr>
              <w:t>b</w:t>
            </w:r>
            <w:r w:rsidRPr="0012578D">
              <w:rPr>
                <w:rFonts w:eastAsia="Calibri" w:cs="Arial"/>
                <w:bCs/>
                <w:sz w:val="20"/>
                <w:szCs w:val="20"/>
              </w:rPr>
              <w:t>uilding</w:t>
            </w:r>
          </w:p>
        </w:tc>
      </w:tr>
      <w:tr w:rsidR="001C48C4" w:rsidRPr="0012578D" w14:paraId="040826B8" w14:textId="77777777" w:rsidTr="00936A4B">
        <w:tc>
          <w:tcPr>
            <w:tcW w:w="3005" w:type="dxa"/>
          </w:tcPr>
          <w:p w14:paraId="4BC4BA44" w14:textId="77777777" w:rsidR="001C48C4" w:rsidRPr="0012578D" w:rsidRDefault="001C48C4" w:rsidP="001C48C4">
            <w:pPr>
              <w:pStyle w:val="ListParagraph"/>
              <w:numPr>
                <w:ilvl w:val="0"/>
                <w:numId w:val="29"/>
              </w:numPr>
              <w:spacing w:line="360" w:lineRule="auto"/>
              <w:rPr>
                <w:rFonts w:eastAsia="Calibri" w:cs="Arial"/>
                <w:sz w:val="20"/>
                <w:szCs w:val="20"/>
              </w:rPr>
            </w:pPr>
            <w:r w:rsidRPr="0012578D">
              <w:rPr>
                <w:rFonts w:eastAsia="Calibri" w:cs="Arial"/>
                <w:sz w:val="20"/>
                <w:szCs w:val="20"/>
              </w:rPr>
              <w:t>Retrospective cleaning and coding of HEPPP data.</w:t>
            </w:r>
          </w:p>
          <w:p w14:paraId="2989B36F" w14:textId="77777777" w:rsidR="001C48C4" w:rsidRPr="0012578D" w:rsidRDefault="001C48C4" w:rsidP="001C48C4">
            <w:pPr>
              <w:pStyle w:val="ListParagraph"/>
              <w:numPr>
                <w:ilvl w:val="0"/>
                <w:numId w:val="29"/>
              </w:numPr>
              <w:spacing w:line="360" w:lineRule="auto"/>
              <w:rPr>
                <w:rFonts w:eastAsia="Calibri" w:cs="Arial"/>
                <w:sz w:val="20"/>
                <w:szCs w:val="20"/>
              </w:rPr>
            </w:pPr>
            <w:r w:rsidRPr="0012578D">
              <w:rPr>
                <w:rFonts w:eastAsia="Calibri" w:cs="Arial"/>
                <w:sz w:val="20"/>
                <w:szCs w:val="20"/>
              </w:rPr>
              <w:t>Creation of a central repository structure.</w:t>
            </w:r>
          </w:p>
          <w:p w14:paraId="71628C33" w14:textId="4296A3D6" w:rsidR="001C48C4" w:rsidRPr="0012578D" w:rsidRDefault="001C48C4" w:rsidP="001C48C4">
            <w:pPr>
              <w:pStyle w:val="ListParagraph"/>
              <w:numPr>
                <w:ilvl w:val="0"/>
                <w:numId w:val="29"/>
              </w:numPr>
              <w:spacing w:line="360" w:lineRule="auto"/>
              <w:rPr>
                <w:rFonts w:eastAsia="Calibri" w:cs="Arial"/>
                <w:sz w:val="20"/>
                <w:szCs w:val="20"/>
              </w:rPr>
            </w:pPr>
            <w:r w:rsidRPr="0012578D">
              <w:rPr>
                <w:rFonts w:eastAsia="Calibri" w:cs="Arial"/>
                <w:sz w:val="20"/>
                <w:szCs w:val="20"/>
              </w:rPr>
              <w:t xml:space="preserve">Integration of participation and program data with student analytics datasets. </w:t>
            </w:r>
          </w:p>
        </w:tc>
        <w:tc>
          <w:tcPr>
            <w:tcW w:w="3005" w:type="dxa"/>
          </w:tcPr>
          <w:p w14:paraId="2024A528" w14:textId="77777777" w:rsidR="001C48C4" w:rsidRPr="0012578D" w:rsidRDefault="001C48C4" w:rsidP="001C48C4">
            <w:pPr>
              <w:pStyle w:val="ListParagraph"/>
              <w:numPr>
                <w:ilvl w:val="0"/>
                <w:numId w:val="30"/>
              </w:numPr>
              <w:spacing w:line="360" w:lineRule="auto"/>
              <w:rPr>
                <w:rFonts w:eastAsia="Calibri" w:cs="Arial"/>
                <w:sz w:val="20"/>
                <w:szCs w:val="20"/>
              </w:rPr>
            </w:pPr>
            <w:r w:rsidRPr="0012578D">
              <w:rPr>
                <w:rFonts w:eastAsia="Calibri" w:cs="Arial"/>
                <w:sz w:val="20"/>
                <w:szCs w:val="20"/>
              </w:rPr>
              <w:t>Development of cross-unit collaboration workflows.</w:t>
            </w:r>
          </w:p>
          <w:p w14:paraId="6CA966BA" w14:textId="71F75966" w:rsidR="001C48C4" w:rsidRPr="0012578D" w:rsidRDefault="001C48C4" w:rsidP="001C48C4">
            <w:pPr>
              <w:pStyle w:val="ListParagraph"/>
              <w:numPr>
                <w:ilvl w:val="0"/>
                <w:numId w:val="30"/>
              </w:numPr>
              <w:spacing w:line="360" w:lineRule="auto"/>
              <w:rPr>
                <w:rFonts w:eastAsia="Calibri" w:cs="Arial"/>
                <w:sz w:val="20"/>
                <w:szCs w:val="20"/>
              </w:rPr>
            </w:pPr>
            <w:r w:rsidRPr="0012578D">
              <w:rPr>
                <w:rFonts w:eastAsia="Calibri" w:cs="Arial"/>
                <w:sz w:val="20"/>
                <w:szCs w:val="20"/>
              </w:rPr>
              <w:t>Design of a roadmap for sustainable data governance.</w:t>
            </w:r>
          </w:p>
        </w:tc>
        <w:tc>
          <w:tcPr>
            <w:tcW w:w="3006" w:type="dxa"/>
          </w:tcPr>
          <w:p w14:paraId="2D8A47CC" w14:textId="77777777" w:rsidR="001C48C4" w:rsidRPr="0012578D" w:rsidRDefault="001C48C4" w:rsidP="001C48C4">
            <w:pPr>
              <w:pStyle w:val="ListParagraph"/>
              <w:numPr>
                <w:ilvl w:val="0"/>
                <w:numId w:val="31"/>
              </w:numPr>
              <w:spacing w:line="360" w:lineRule="auto"/>
              <w:rPr>
                <w:rFonts w:eastAsia="Calibri" w:cs="Arial"/>
                <w:sz w:val="20"/>
                <w:szCs w:val="20"/>
              </w:rPr>
            </w:pPr>
            <w:r w:rsidRPr="0012578D">
              <w:rPr>
                <w:rFonts w:eastAsia="Calibri" w:cs="Arial"/>
                <w:sz w:val="20"/>
                <w:szCs w:val="20"/>
              </w:rPr>
              <w:t>Development of a HEPPP program monitoring dashboard.</w:t>
            </w:r>
          </w:p>
          <w:p w14:paraId="39D6E47B" w14:textId="4A1FFCA3" w:rsidR="001C48C4" w:rsidRPr="0012578D" w:rsidRDefault="001C48C4" w:rsidP="001C48C4">
            <w:pPr>
              <w:pStyle w:val="ListParagraph"/>
              <w:numPr>
                <w:ilvl w:val="0"/>
                <w:numId w:val="31"/>
              </w:numPr>
              <w:spacing w:line="360" w:lineRule="auto"/>
              <w:rPr>
                <w:rFonts w:eastAsia="Calibri" w:cs="Arial"/>
                <w:sz w:val="20"/>
                <w:szCs w:val="20"/>
              </w:rPr>
            </w:pPr>
            <w:r w:rsidRPr="0012578D">
              <w:rPr>
                <w:rFonts w:eastAsia="Calibri" w:cs="Arial"/>
                <w:sz w:val="20"/>
                <w:szCs w:val="20"/>
              </w:rPr>
              <w:t>Establishment of a dataset for analysis.</w:t>
            </w:r>
          </w:p>
        </w:tc>
      </w:tr>
    </w:tbl>
    <w:p w14:paraId="3F123C53" w14:textId="7CE250A6" w:rsidR="000C611D" w:rsidRPr="00493E73" w:rsidRDefault="000C611D" w:rsidP="00A87295">
      <w:pPr>
        <w:rPr>
          <w:rFonts w:eastAsia="Calibri" w:cs="Arial"/>
          <w:color w:val="000000"/>
          <w:szCs w:val="24"/>
          <w:lang w:val="en-NZ" w:eastAsia="en-NZ"/>
        </w:rPr>
      </w:pPr>
    </w:p>
    <w:p w14:paraId="224E391C" w14:textId="77777777" w:rsidR="006906A9" w:rsidRDefault="006906A9">
      <w:pPr>
        <w:rPr>
          <w:b/>
          <w:bCs/>
          <w:lang w:val="en-NZ" w:eastAsia="en-NZ"/>
        </w:rPr>
      </w:pPr>
    </w:p>
    <w:p w14:paraId="22A2C468" w14:textId="77777777" w:rsidR="00F31979" w:rsidRDefault="00F31979">
      <w:pPr>
        <w:spacing w:line="259" w:lineRule="auto"/>
        <w:rPr>
          <w:b/>
          <w:bCs/>
          <w:lang w:val="en-NZ" w:eastAsia="en-NZ"/>
        </w:rPr>
      </w:pPr>
      <w:r>
        <w:rPr>
          <w:b/>
          <w:bCs/>
          <w:lang w:val="en-NZ" w:eastAsia="en-NZ"/>
        </w:rPr>
        <w:br w:type="page"/>
      </w:r>
    </w:p>
    <w:p w14:paraId="4FD2ED4E" w14:textId="3BDCD9F8" w:rsidR="00DC60E7" w:rsidRDefault="006C4BF4">
      <w:pPr>
        <w:rPr>
          <w:b/>
          <w:bCs/>
          <w:lang w:val="en-NZ" w:eastAsia="en-NZ"/>
        </w:rPr>
      </w:pPr>
      <w:r w:rsidRPr="00493E73">
        <w:rPr>
          <w:b/>
          <w:bCs/>
          <w:lang w:val="en-NZ" w:eastAsia="en-NZ"/>
        </w:rPr>
        <w:lastRenderedPageBreak/>
        <w:t xml:space="preserve">System </w:t>
      </w:r>
      <w:r w:rsidR="00B313CF">
        <w:rPr>
          <w:b/>
          <w:bCs/>
          <w:lang w:val="en-NZ" w:eastAsia="en-NZ"/>
        </w:rPr>
        <w:t>c</w:t>
      </w:r>
      <w:r w:rsidRPr="00493E73">
        <w:rPr>
          <w:b/>
          <w:bCs/>
          <w:lang w:val="en-NZ" w:eastAsia="en-NZ"/>
        </w:rPr>
        <w:t xml:space="preserve">apacity </w:t>
      </w:r>
      <w:r w:rsidR="00B313CF">
        <w:rPr>
          <w:b/>
          <w:bCs/>
          <w:lang w:val="en-NZ" w:eastAsia="en-NZ"/>
        </w:rPr>
        <w:t>b</w:t>
      </w:r>
      <w:r w:rsidRPr="00493E73">
        <w:rPr>
          <w:b/>
          <w:bCs/>
          <w:lang w:val="en-NZ" w:eastAsia="en-NZ"/>
        </w:rPr>
        <w:t>uilding – the who, the what</w:t>
      </w:r>
      <w:r w:rsidR="00E9619D">
        <w:rPr>
          <w:b/>
          <w:bCs/>
          <w:lang w:val="en-NZ" w:eastAsia="en-NZ"/>
        </w:rPr>
        <w:t>,</w:t>
      </w:r>
      <w:r w:rsidRPr="00493E73">
        <w:rPr>
          <w:b/>
          <w:bCs/>
          <w:lang w:val="en-NZ" w:eastAsia="en-NZ"/>
        </w:rPr>
        <w:t xml:space="preserve"> and the when</w:t>
      </w:r>
    </w:p>
    <w:p w14:paraId="39A109EE" w14:textId="31C739D9" w:rsidR="006C4BF4" w:rsidRPr="00FA56E6" w:rsidRDefault="00DC60E7" w:rsidP="00493E73">
      <w:pPr>
        <w:rPr>
          <w:i/>
          <w:iCs/>
          <w:sz w:val="20"/>
          <w:szCs w:val="20"/>
          <w:lang w:val="en-NZ" w:eastAsia="en-NZ"/>
        </w:rPr>
      </w:pPr>
      <w:r w:rsidRPr="00FA56E6">
        <w:rPr>
          <w:i/>
          <w:iCs/>
          <w:sz w:val="20"/>
          <w:szCs w:val="20"/>
          <w:lang w:val="en-NZ" w:eastAsia="en-NZ"/>
        </w:rPr>
        <w:t xml:space="preserve">Table </w:t>
      </w:r>
      <w:r w:rsidR="00FC59EE" w:rsidRPr="00FA56E6">
        <w:rPr>
          <w:i/>
          <w:iCs/>
          <w:sz w:val="20"/>
          <w:szCs w:val="20"/>
          <w:lang w:val="en-NZ" w:eastAsia="en-NZ"/>
        </w:rPr>
        <w:t>3</w:t>
      </w:r>
      <w:r w:rsidRPr="00FA56E6">
        <w:rPr>
          <w:i/>
          <w:iCs/>
          <w:sz w:val="20"/>
          <w:szCs w:val="20"/>
          <w:lang w:val="en-NZ" w:eastAsia="en-NZ"/>
        </w:rPr>
        <w:t>:</w:t>
      </w:r>
      <w:r w:rsidR="006C4BF4" w:rsidRPr="00FA56E6">
        <w:rPr>
          <w:b/>
          <w:bCs/>
          <w:sz w:val="20"/>
          <w:szCs w:val="20"/>
          <w:lang w:val="en-NZ" w:eastAsia="en-NZ"/>
        </w:rPr>
        <w:t xml:space="preserve"> </w:t>
      </w:r>
      <w:r w:rsidR="00BC60FA" w:rsidRPr="00FA56E6">
        <w:rPr>
          <w:i/>
          <w:iCs/>
          <w:sz w:val="20"/>
          <w:szCs w:val="20"/>
          <w:lang w:val="en-NZ" w:eastAsia="en-NZ"/>
        </w:rPr>
        <w:t xml:space="preserve">Details what was delivered under </w:t>
      </w:r>
      <w:r w:rsidR="00216A0C" w:rsidRPr="00FA56E6">
        <w:rPr>
          <w:i/>
          <w:iCs/>
          <w:sz w:val="20"/>
          <w:szCs w:val="20"/>
          <w:lang w:val="en-NZ" w:eastAsia="en-NZ"/>
        </w:rPr>
        <w:t>system</w:t>
      </w:r>
      <w:r w:rsidR="00BC60FA" w:rsidRPr="00FA56E6">
        <w:rPr>
          <w:i/>
          <w:iCs/>
          <w:sz w:val="20"/>
          <w:szCs w:val="20"/>
          <w:lang w:val="en-NZ" w:eastAsia="en-NZ"/>
        </w:rPr>
        <w:t xml:space="preserve"> capacity building, who </w:t>
      </w:r>
      <w:r w:rsidR="00216A0C" w:rsidRPr="00FA56E6">
        <w:rPr>
          <w:i/>
          <w:iCs/>
          <w:sz w:val="20"/>
          <w:szCs w:val="20"/>
          <w:lang w:val="en-NZ" w:eastAsia="en-NZ"/>
        </w:rPr>
        <w:t xml:space="preserve">and what </w:t>
      </w:r>
      <w:r w:rsidR="00BC60FA" w:rsidRPr="00FA56E6">
        <w:rPr>
          <w:i/>
          <w:iCs/>
          <w:sz w:val="20"/>
          <w:szCs w:val="20"/>
          <w:lang w:val="en-NZ" w:eastAsia="en-NZ"/>
        </w:rPr>
        <w:t>was involved</w:t>
      </w:r>
      <w:r w:rsidR="00216A0C" w:rsidRPr="00FA56E6">
        <w:rPr>
          <w:i/>
          <w:iCs/>
          <w:sz w:val="20"/>
          <w:szCs w:val="20"/>
          <w:lang w:val="en-NZ" w:eastAsia="en-NZ"/>
        </w:rPr>
        <w:t>, when it was delivered</w:t>
      </w:r>
      <w:r w:rsidR="00B313CF">
        <w:rPr>
          <w:i/>
          <w:iCs/>
          <w:sz w:val="20"/>
          <w:szCs w:val="20"/>
          <w:lang w:val="en-NZ" w:eastAsia="en-NZ"/>
        </w:rPr>
        <w:t>,</w:t>
      </w:r>
      <w:r w:rsidR="00216A0C" w:rsidRPr="00FA56E6">
        <w:rPr>
          <w:i/>
          <w:iCs/>
          <w:sz w:val="20"/>
          <w:szCs w:val="20"/>
          <w:lang w:val="en-NZ" w:eastAsia="en-NZ"/>
        </w:rPr>
        <w:t xml:space="preserve"> and the evidence of output.</w:t>
      </w:r>
    </w:p>
    <w:tbl>
      <w:tblPr>
        <w:tblStyle w:val="TableGrid0"/>
        <w:tblW w:w="900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1" w:type="dxa"/>
        </w:tblCellMar>
        <w:tblLook w:val="04A0" w:firstRow="1" w:lastRow="0" w:firstColumn="1" w:lastColumn="0" w:noHBand="0" w:noVBand="1"/>
      </w:tblPr>
      <w:tblGrid>
        <w:gridCol w:w="1799"/>
        <w:gridCol w:w="1802"/>
        <w:gridCol w:w="1802"/>
        <w:gridCol w:w="1800"/>
        <w:gridCol w:w="1801"/>
      </w:tblGrid>
      <w:tr w:rsidR="00EC661A" w:rsidRPr="00FA56E6" w14:paraId="074C396E" w14:textId="77777777" w:rsidTr="005312E8">
        <w:trPr>
          <w:trHeight w:val="317"/>
        </w:trPr>
        <w:tc>
          <w:tcPr>
            <w:tcW w:w="1799" w:type="dxa"/>
            <w:shd w:val="clear" w:color="auto" w:fill="78DED9" w:themeFill="accent1"/>
          </w:tcPr>
          <w:p w14:paraId="0D03E792" w14:textId="027F615E" w:rsidR="006A5BA9" w:rsidRPr="00FA56E6" w:rsidRDefault="006A5BA9" w:rsidP="00493E73">
            <w:pPr>
              <w:rPr>
                <w:b/>
                <w:bCs/>
                <w:sz w:val="20"/>
                <w:szCs w:val="20"/>
              </w:rPr>
            </w:pPr>
            <w:r w:rsidRPr="00FA56E6">
              <w:rPr>
                <w:rFonts w:eastAsia="Calibri"/>
                <w:b/>
                <w:bCs/>
                <w:sz w:val="20"/>
                <w:szCs w:val="20"/>
              </w:rPr>
              <w:t xml:space="preserve"> </w:t>
            </w:r>
            <w:r w:rsidR="008E44F8" w:rsidRPr="00FA56E6">
              <w:rPr>
                <w:rFonts w:eastAsia="Calibri"/>
                <w:b/>
                <w:bCs/>
                <w:sz w:val="20"/>
                <w:szCs w:val="20"/>
              </w:rPr>
              <w:t>Item</w:t>
            </w:r>
          </w:p>
        </w:tc>
        <w:tc>
          <w:tcPr>
            <w:tcW w:w="1802" w:type="dxa"/>
            <w:shd w:val="clear" w:color="auto" w:fill="78DED9" w:themeFill="accent1"/>
          </w:tcPr>
          <w:p w14:paraId="69D795D7" w14:textId="77777777" w:rsidR="006A5BA9" w:rsidRPr="00FA56E6" w:rsidRDefault="006A5BA9" w:rsidP="00493E73">
            <w:pPr>
              <w:rPr>
                <w:b/>
                <w:bCs/>
                <w:sz w:val="20"/>
                <w:szCs w:val="20"/>
              </w:rPr>
            </w:pPr>
            <w:r w:rsidRPr="00FA56E6">
              <w:rPr>
                <w:rFonts w:eastAsia="Calibri"/>
                <w:b/>
                <w:bCs/>
                <w:sz w:val="20"/>
                <w:szCs w:val="20"/>
              </w:rPr>
              <w:t xml:space="preserve">Who </w:t>
            </w:r>
          </w:p>
        </w:tc>
        <w:tc>
          <w:tcPr>
            <w:tcW w:w="1802" w:type="dxa"/>
            <w:shd w:val="clear" w:color="auto" w:fill="78DED9" w:themeFill="accent1"/>
          </w:tcPr>
          <w:p w14:paraId="0E9C5617" w14:textId="77777777" w:rsidR="006A5BA9" w:rsidRPr="00FA56E6" w:rsidRDefault="006A5BA9" w:rsidP="00493E73">
            <w:pPr>
              <w:rPr>
                <w:b/>
                <w:bCs/>
                <w:sz w:val="20"/>
                <w:szCs w:val="20"/>
              </w:rPr>
            </w:pPr>
            <w:r w:rsidRPr="00FA56E6">
              <w:rPr>
                <w:rFonts w:eastAsia="Calibri"/>
                <w:b/>
                <w:bCs/>
                <w:sz w:val="20"/>
                <w:szCs w:val="20"/>
              </w:rPr>
              <w:t xml:space="preserve">What </w:t>
            </w:r>
          </w:p>
        </w:tc>
        <w:tc>
          <w:tcPr>
            <w:tcW w:w="1800" w:type="dxa"/>
            <w:shd w:val="clear" w:color="auto" w:fill="78DED9" w:themeFill="accent1"/>
          </w:tcPr>
          <w:p w14:paraId="1E9F62EF" w14:textId="77777777" w:rsidR="006A5BA9" w:rsidRPr="00FA56E6" w:rsidRDefault="006A5BA9" w:rsidP="00493E73">
            <w:pPr>
              <w:rPr>
                <w:b/>
                <w:bCs/>
                <w:sz w:val="20"/>
                <w:szCs w:val="20"/>
              </w:rPr>
            </w:pPr>
            <w:r w:rsidRPr="00FA56E6">
              <w:rPr>
                <w:rFonts w:eastAsia="Calibri"/>
                <w:b/>
                <w:bCs/>
                <w:sz w:val="20"/>
                <w:szCs w:val="20"/>
              </w:rPr>
              <w:t xml:space="preserve">Delivered </w:t>
            </w:r>
          </w:p>
        </w:tc>
        <w:tc>
          <w:tcPr>
            <w:tcW w:w="1801" w:type="dxa"/>
            <w:shd w:val="clear" w:color="auto" w:fill="78DED9" w:themeFill="accent1"/>
          </w:tcPr>
          <w:p w14:paraId="63A3359A" w14:textId="77777777" w:rsidR="006A5BA9" w:rsidRPr="00FA56E6" w:rsidRDefault="006A5BA9" w:rsidP="00493E73">
            <w:pPr>
              <w:rPr>
                <w:b/>
                <w:bCs/>
                <w:sz w:val="20"/>
                <w:szCs w:val="20"/>
              </w:rPr>
            </w:pPr>
            <w:r w:rsidRPr="00FA56E6">
              <w:rPr>
                <w:rFonts w:eastAsia="Calibri"/>
                <w:b/>
                <w:bCs/>
                <w:sz w:val="20"/>
                <w:szCs w:val="20"/>
              </w:rPr>
              <w:t xml:space="preserve">Evidenced by </w:t>
            </w:r>
          </w:p>
        </w:tc>
      </w:tr>
      <w:tr w:rsidR="006A5BA9" w:rsidRPr="00FA56E6" w14:paraId="54EFAD9B" w14:textId="77777777" w:rsidTr="00267904">
        <w:trPr>
          <w:trHeight w:val="1224"/>
        </w:trPr>
        <w:tc>
          <w:tcPr>
            <w:tcW w:w="1799" w:type="dxa"/>
            <w:vAlign w:val="center"/>
          </w:tcPr>
          <w:p w14:paraId="0F95FDCE" w14:textId="77777777" w:rsidR="006A5BA9" w:rsidRPr="00FA56E6" w:rsidRDefault="006A5BA9" w:rsidP="00493E73">
            <w:pPr>
              <w:rPr>
                <w:sz w:val="20"/>
                <w:szCs w:val="20"/>
              </w:rPr>
            </w:pPr>
            <w:r w:rsidRPr="00FA56E6">
              <w:rPr>
                <w:rFonts w:eastAsia="Calibri"/>
                <w:sz w:val="20"/>
                <w:szCs w:val="20"/>
              </w:rPr>
              <w:t xml:space="preserve">Retrospective cleaning and coding of HEPPP data </w:t>
            </w:r>
          </w:p>
          <w:p w14:paraId="08367FD0" w14:textId="23E63B14" w:rsidR="006A5BA9" w:rsidRPr="00FA56E6" w:rsidRDefault="006A5BA9" w:rsidP="00493E73">
            <w:pPr>
              <w:rPr>
                <w:sz w:val="20"/>
                <w:szCs w:val="20"/>
              </w:rPr>
            </w:pPr>
            <w:r w:rsidRPr="00FA56E6">
              <w:rPr>
                <w:rFonts w:eastAsia="Calibri"/>
                <w:sz w:val="20"/>
                <w:szCs w:val="20"/>
              </w:rPr>
              <w:t>(2022</w:t>
            </w:r>
            <w:bookmarkStart w:id="10" w:name="_Hlk219977523"/>
            <w:r w:rsidR="00E9619D" w:rsidRPr="00FA56E6">
              <w:rPr>
                <w:rFonts w:cs="Arial"/>
                <w:color w:val="000000"/>
                <w:sz w:val="20"/>
                <w:szCs w:val="20"/>
              </w:rPr>
              <w:t>–</w:t>
            </w:r>
            <w:bookmarkEnd w:id="10"/>
            <w:r w:rsidRPr="00FA56E6">
              <w:rPr>
                <w:rFonts w:eastAsia="Calibri"/>
                <w:sz w:val="20"/>
                <w:szCs w:val="20"/>
              </w:rPr>
              <w:t>2024)</w:t>
            </w:r>
            <w:r w:rsidR="00B313CF" w:rsidRPr="00FA56E6">
              <w:rPr>
                <w:rFonts w:eastAsia="Calibri"/>
                <w:sz w:val="20"/>
                <w:szCs w:val="20"/>
              </w:rPr>
              <w:t>.</w:t>
            </w:r>
            <w:r w:rsidRPr="00FA56E6">
              <w:rPr>
                <w:rFonts w:eastAsia="Calibri"/>
                <w:sz w:val="20"/>
                <w:szCs w:val="20"/>
              </w:rPr>
              <w:t xml:space="preserve"> </w:t>
            </w:r>
          </w:p>
        </w:tc>
        <w:tc>
          <w:tcPr>
            <w:tcW w:w="1802" w:type="dxa"/>
            <w:vAlign w:val="center"/>
          </w:tcPr>
          <w:p w14:paraId="2DD1F5FA" w14:textId="7684A7C5" w:rsidR="006A5BA9" w:rsidRPr="00FA56E6" w:rsidRDefault="006A5BA9" w:rsidP="00493E73">
            <w:pPr>
              <w:rPr>
                <w:sz w:val="20"/>
                <w:szCs w:val="20"/>
              </w:rPr>
            </w:pPr>
            <w:r w:rsidRPr="00FA56E6">
              <w:rPr>
                <w:rFonts w:eastAsia="Calibri"/>
                <w:sz w:val="20"/>
                <w:szCs w:val="20"/>
              </w:rPr>
              <w:t>Equity &amp; Inclusion</w:t>
            </w:r>
            <w:r w:rsidR="0012578D">
              <w:rPr>
                <w:rFonts w:eastAsia="Calibri"/>
                <w:sz w:val="20"/>
                <w:szCs w:val="20"/>
              </w:rPr>
              <w:t>.</w:t>
            </w:r>
            <w:r w:rsidRPr="00FA56E6">
              <w:rPr>
                <w:rFonts w:eastAsia="Calibri"/>
                <w:sz w:val="20"/>
                <w:szCs w:val="20"/>
              </w:rPr>
              <w:t xml:space="preserve"> </w:t>
            </w:r>
          </w:p>
          <w:p w14:paraId="6AD64020" w14:textId="63D7179E" w:rsidR="006A5BA9" w:rsidRPr="00FA56E6" w:rsidRDefault="006A5BA9" w:rsidP="00493E73">
            <w:pPr>
              <w:rPr>
                <w:sz w:val="20"/>
                <w:szCs w:val="20"/>
              </w:rPr>
            </w:pPr>
            <w:r w:rsidRPr="00FA56E6">
              <w:rPr>
                <w:rFonts w:eastAsia="Calibri"/>
                <w:sz w:val="20"/>
                <w:szCs w:val="20"/>
              </w:rPr>
              <w:t xml:space="preserve">HEPPP </w:t>
            </w:r>
            <w:r w:rsidR="00B313CF" w:rsidRPr="00FA56E6">
              <w:rPr>
                <w:rFonts w:eastAsia="Calibri"/>
                <w:sz w:val="20"/>
                <w:szCs w:val="20"/>
              </w:rPr>
              <w:t>p</w:t>
            </w:r>
            <w:r w:rsidRPr="00FA56E6">
              <w:rPr>
                <w:rFonts w:eastAsia="Calibri"/>
                <w:sz w:val="20"/>
                <w:szCs w:val="20"/>
              </w:rPr>
              <w:t xml:space="preserve">roject </w:t>
            </w:r>
            <w:r w:rsidR="00B313CF" w:rsidRPr="00FA56E6">
              <w:rPr>
                <w:rFonts w:eastAsia="Calibri"/>
                <w:sz w:val="20"/>
                <w:szCs w:val="20"/>
              </w:rPr>
              <w:t>l</w:t>
            </w:r>
            <w:r w:rsidRPr="00FA56E6">
              <w:rPr>
                <w:rFonts w:eastAsia="Calibri"/>
                <w:sz w:val="20"/>
                <w:szCs w:val="20"/>
              </w:rPr>
              <w:t>eads</w:t>
            </w:r>
            <w:r w:rsidR="007D7DC9" w:rsidRPr="00FA56E6">
              <w:rPr>
                <w:rFonts w:eastAsia="Calibri"/>
                <w:sz w:val="20"/>
                <w:szCs w:val="20"/>
              </w:rPr>
              <w:t>.</w:t>
            </w:r>
            <w:r w:rsidRPr="00FA56E6">
              <w:rPr>
                <w:rFonts w:eastAsia="Calibri"/>
                <w:sz w:val="20"/>
                <w:szCs w:val="20"/>
              </w:rPr>
              <w:t xml:space="preserve"> </w:t>
            </w:r>
          </w:p>
          <w:p w14:paraId="3866F054" w14:textId="7DF0AB0A" w:rsidR="006A5BA9" w:rsidRPr="00FA56E6" w:rsidRDefault="006A5BA9" w:rsidP="00493E73">
            <w:pPr>
              <w:rPr>
                <w:sz w:val="20"/>
                <w:szCs w:val="20"/>
              </w:rPr>
            </w:pPr>
            <w:r w:rsidRPr="00FA56E6">
              <w:rPr>
                <w:rFonts w:eastAsia="Calibri"/>
                <w:sz w:val="20"/>
                <w:szCs w:val="20"/>
              </w:rPr>
              <w:t xml:space="preserve">Office of </w:t>
            </w:r>
            <w:r w:rsidR="002A7028">
              <w:rPr>
                <w:rFonts w:eastAsia="Calibri"/>
                <w:sz w:val="20"/>
                <w:szCs w:val="20"/>
              </w:rPr>
              <w:t>Deputy Vice Chancellor Academic (</w:t>
            </w:r>
            <w:r w:rsidRPr="00FA56E6">
              <w:rPr>
                <w:rFonts w:eastAsia="Calibri"/>
                <w:sz w:val="20"/>
                <w:szCs w:val="20"/>
              </w:rPr>
              <w:t>DVCA</w:t>
            </w:r>
            <w:r w:rsidR="002A7028">
              <w:rPr>
                <w:rFonts w:eastAsia="Calibri"/>
                <w:sz w:val="20"/>
                <w:szCs w:val="20"/>
              </w:rPr>
              <w:t>)</w:t>
            </w:r>
            <w:r w:rsidR="00B313CF" w:rsidRPr="00FA56E6">
              <w:rPr>
                <w:rFonts w:eastAsia="Calibri"/>
                <w:sz w:val="20"/>
                <w:szCs w:val="20"/>
              </w:rPr>
              <w:t>.</w:t>
            </w:r>
            <w:r w:rsidRPr="00FA56E6">
              <w:rPr>
                <w:rFonts w:eastAsia="Calibri"/>
                <w:sz w:val="20"/>
                <w:szCs w:val="20"/>
              </w:rPr>
              <w:t xml:space="preserve"> </w:t>
            </w:r>
          </w:p>
        </w:tc>
        <w:tc>
          <w:tcPr>
            <w:tcW w:w="1802" w:type="dxa"/>
          </w:tcPr>
          <w:p w14:paraId="601EA526" w14:textId="7431DC9D" w:rsidR="006A5BA9" w:rsidRPr="00FA56E6" w:rsidRDefault="006A5BA9" w:rsidP="00493E73">
            <w:pPr>
              <w:rPr>
                <w:sz w:val="20"/>
                <w:szCs w:val="20"/>
              </w:rPr>
            </w:pPr>
            <w:r w:rsidRPr="00FA56E6">
              <w:rPr>
                <w:rFonts w:eastAsia="Calibri"/>
                <w:sz w:val="20"/>
                <w:szCs w:val="20"/>
              </w:rPr>
              <w:t>Cleaned and coded previous years</w:t>
            </w:r>
            <w:r w:rsidR="007D7DC9" w:rsidRPr="00FA56E6">
              <w:rPr>
                <w:rFonts w:eastAsia="Calibri"/>
                <w:sz w:val="20"/>
                <w:szCs w:val="20"/>
              </w:rPr>
              <w:t>’</w:t>
            </w:r>
            <w:r w:rsidRPr="00FA56E6">
              <w:rPr>
                <w:rFonts w:eastAsia="Calibri"/>
                <w:sz w:val="20"/>
                <w:szCs w:val="20"/>
              </w:rPr>
              <w:t xml:space="preserve"> HEPPP data, added project/activity codes</w:t>
            </w:r>
            <w:r w:rsidR="00E9619D" w:rsidRPr="00FA56E6">
              <w:rPr>
                <w:rFonts w:eastAsia="Calibri"/>
                <w:sz w:val="20"/>
                <w:szCs w:val="20"/>
              </w:rPr>
              <w:t>,</w:t>
            </w:r>
            <w:r w:rsidRPr="00FA56E6">
              <w:rPr>
                <w:rFonts w:eastAsia="Calibri"/>
                <w:sz w:val="20"/>
                <w:szCs w:val="20"/>
              </w:rPr>
              <w:t xml:space="preserve"> and aligned to </w:t>
            </w:r>
          </w:p>
          <w:p w14:paraId="12B28C75" w14:textId="77777777" w:rsidR="006A5BA9" w:rsidRPr="00FA56E6" w:rsidRDefault="006A5BA9" w:rsidP="00493E73">
            <w:pPr>
              <w:rPr>
                <w:sz w:val="20"/>
                <w:szCs w:val="20"/>
              </w:rPr>
            </w:pPr>
            <w:r w:rsidRPr="00FA56E6">
              <w:rPr>
                <w:rFonts w:eastAsia="Calibri"/>
                <w:sz w:val="20"/>
                <w:szCs w:val="20"/>
              </w:rPr>
              <w:t xml:space="preserve">SEHEEF program logic. </w:t>
            </w:r>
          </w:p>
        </w:tc>
        <w:tc>
          <w:tcPr>
            <w:tcW w:w="1800" w:type="dxa"/>
            <w:vAlign w:val="center"/>
          </w:tcPr>
          <w:p w14:paraId="66C31C53" w14:textId="7428CD83" w:rsidR="006A5BA9" w:rsidRPr="00FA56E6" w:rsidRDefault="006A5BA9" w:rsidP="00493E73">
            <w:pPr>
              <w:rPr>
                <w:sz w:val="20"/>
                <w:szCs w:val="20"/>
              </w:rPr>
            </w:pPr>
            <w:r w:rsidRPr="00FA56E6">
              <w:rPr>
                <w:sz w:val="20"/>
                <w:szCs w:val="20"/>
              </w:rPr>
              <w:t>June 2025</w:t>
            </w:r>
            <w:r w:rsidR="007D7DC9" w:rsidRPr="00FA56E6">
              <w:rPr>
                <w:sz w:val="20"/>
                <w:szCs w:val="20"/>
              </w:rPr>
              <w:t>.</w:t>
            </w:r>
            <w:r w:rsidRPr="00FA56E6">
              <w:rPr>
                <w:rFonts w:eastAsia="Calibri"/>
                <w:sz w:val="20"/>
                <w:szCs w:val="20"/>
              </w:rPr>
              <w:t xml:space="preserve"> </w:t>
            </w:r>
          </w:p>
        </w:tc>
        <w:tc>
          <w:tcPr>
            <w:tcW w:w="1801" w:type="dxa"/>
            <w:vAlign w:val="center"/>
          </w:tcPr>
          <w:p w14:paraId="6622825A" w14:textId="77777777" w:rsidR="006A5BA9" w:rsidRPr="00FA56E6" w:rsidRDefault="006A5BA9" w:rsidP="00493E73">
            <w:pPr>
              <w:rPr>
                <w:sz w:val="20"/>
                <w:szCs w:val="20"/>
              </w:rPr>
            </w:pPr>
            <w:r w:rsidRPr="00FA56E6">
              <w:rPr>
                <w:rFonts w:eastAsia="Calibri"/>
                <w:sz w:val="20"/>
                <w:szCs w:val="20"/>
              </w:rPr>
              <w:t xml:space="preserve">Standardised file structure, with storage and naming conventions. </w:t>
            </w:r>
          </w:p>
        </w:tc>
      </w:tr>
      <w:tr w:rsidR="006A5BA9" w:rsidRPr="00FA56E6" w14:paraId="3E158C24" w14:textId="77777777" w:rsidTr="00066CFB">
        <w:trPr>
          <w:trHeight w:val="1244"/>
        </w:trPr>
        <w:tc>
          <w:tcPr>
            <w:tcW w:w="1799" w:type="dxa"/>
            <w:vAlign w:val="center"/>
          </w:tcPr>
          <w:p w14:paraId="09E3F744" w14:textId="77777777" w:rsidR="006A5BA9" w:rsidRPr="00FA56E6" w:rsidRDefault="006A5BA9" w:rsidP="00493E73">
            <w:pPr>
              <w:rPr>
                <w:sz w:val="20"/>
                <w:szCs w:val="20"/>
              </w:rPr>
            </w:pPr>
            <w:r w:rsidRPr="00FA56E6">
              <w:rPr>
                <w:rFonts w:eastAsia="Calibri"/>
                <w:sz w:val="20"/>
                <w:szCs w:val="20"/>
              </w:rPr>
              <w:t xml:space="preserve">Creation of a central repository structure and integration of program </w:t>
            </w:r>
          </w:p>
          <w:p w14:paraId="0991AB05" w14:textId="4B657C1D" w:rsidR="006A5BA9" w:rsidRPr="00FA56E6" w:rsidRDefault="006A5BA9" w:rsidP="00493E73">
            <w:pPr>
              <w:rPr>
                <w:sz w:val="20"/>
                <w:szCs w:val="20"/>
              </w:rPr>
            </w:pPr>
            <w:r w:rsidRPr="00FA56E6">
              <w:rPr>
                <w:rFonts w:eastAsia="Calibri"/>
                <w:sz w:val="20"/>
                <w:szCs w:val="20"/>
              </w:rPr>
              <w:t>(financial and participation) and student analytics data</w:t>
            </w:r>
            <w:r w:rsidR="007D7DC9" w:rsidRPr="00FA56E6">
              <w:rPr>
                <w:rFonts w:eastAsia="Calibri"/>
                <w:sz w:val="20"/>
                <w:szCs w:val="20"/>
              </w:rPr>
              <w:t>.</w:t>
            </w:r>
          </w:p>
        </w:tc>
        <w:tc>
          <w:tcPr>
            <w:tcW w:w="1802" w:type="dxa"/>
            <w:vAlign w:val="center"/>
          </w:tcPr>
          <w:p w14:paraId="345AA4F3" w14:textId="77777777" w:rsidR="006A5BA9" w:rsidRPr="00FA56E6" w:rsidRDefault="006A5BA9" w:rsidP="00493E73">
            <w:pPr>
              <w:rPr>
                <w:sz w:val="20"/>
                <w:szCs w:val="20"/>
              </w:rPr>
            </w:pPr>
            <w:r w:rsidRPr="00FA56E6">
              <w:rPr>
                <w:rFonts w:eastAsia="Calibri"/>
                <w:sz w:val="20"/>
                <w:szCs w:val="20"/>
              </w:rPr>
              <w:t xml:space="preserve">Deakin Analytics &amp; </w:t>
            </w:r>
          </w:p>
          <w:p w14:paraId="1476D8B8" w14:textId="37128499" w:rsidR="006A5BA9" w:rsidRPr="00FA56E6" w:rsidRDefault="006A5BA9" w:rsidP="00493E73">
            <w:pPr>
              <w:rPr>
                <w:sz w:val="20"/>
                <w:szCs w:val="20"/>
              </w:rPr>
            </w:pPr>
            <w:r w:rsidRPr="00FA56E6">
              <w:rPr>
                <w:rFonts w:eastAsia="Calibri"/>
                <w:sz w:val="20"/>
                <w:szCs w:val="20"/>
              </w:rPr>
              <w:t>Insights</w:t>
            </w:r>
            <w:r w:rsidR="007D7DC9" w:rsidRPr="00FA56E6">
              <w:rPr>
                <w:rFonts w:eastAsia="Calibri"/>
                <w:sz w:val="20"/>
                <w:szCs w:val="20"/>
              </w:rPr>
              <w:t>.</w:t>
            </w:r>
            <w:r w:rsidRPr="00FA56E6">
              <w:rPr>
                <w:rFonts w:eastAsia="Calibri"/>
                <w:sz w:val="20"/>
                <w:szCs w:val="20"/>
              </w:rPr>
              <w:t xml:space="preserve"> </w:t>
            </w:r>
          </w:p>
        </w:tc>
        <w:tc>
          <w:tcPr>
            <w:tcW w:w="1802" w:type="dxa"/>
          </w:tcPr>
          <w:p w14:paraId="2E64C789" w14:textId="77777777" w:rsidR="006A5BA9" w:rsidRPr="00FA56E6" w:rsidRDefault="006A5BA9" w:rsidP="00493E73">
            <w:pPr>
              <w:rPr>
                <w:sz w:val="20"/>
                <w:szCs w:val="20"/>
              </w:rPr>
            </w:pPr>
            <w:r w:rsidRPr="00FA56E6">
              <w:rPr>
                <w:rFonts w:eastAsia="Calibri"/>
                <w:sz w:val="20"/>
                <w:szCs w:val="20"/>
              </w:rPr>
              <w:t xml:space="preserve">Integrated three data sources using Alteryx to build a central repository enabling insights into program delivery, participation, and student outcomes. </w:t>
            </w:r>
          </w:p>
        </w:tc>
        <w:tc>
          <w:tcPr>
            <w:tcW w:w="1800" w:type="dxa"/>
            <w:vAlign w:val="center"/>
          </w:tcPr>
          <w:p w14:paraId="6B47B18D" w14:textId="2528AC4B" w:rsidR="006A5BA9" w:rsidRPr="00FA56E6" w:rsidRDefault="006A5BA9" w:rsidP="00493E73">
            <w:pPr>
              <w:rPr>
                <w:sz w:val="20"/>
                <w:szCs w:val="20"/>
              </w:rPr>
            </w:pPr>
            <w:r w:rsidRPr="00FA56E6">
              <w:rPr>
                <w:sz w:val="20"/>
                <w:szCs w:val="20"/>
              </w:rPr>
              <w:t>June 2025</w:t>
            </w:r>
            <w:r w:rsidR="007D7DC9" w:rsidRPr="00FA56E6">
              <w:rPr>
                <w:sz w:val="20"/>
                <w:szCs w:val="20"/>
              </w:rPr>
              <w:t>.</w:t>
            </w:r>
            <w:r w:rsidRPr="00FA56E6">
              <w:rPr>
                <w:rFonts w:eastAsia="Calibri"/>
                <w:sz w:val="20"/>
                <w:szCs w:val="20"/>
              </w:rPr>
              <w:t xml:space="preserve"> </w:t>
            </w:r>
          </w:p>
        </w:tc>
        <w:tc>
          <w:tcPr>
            <w:tcW w:w="1801" w:type="dxa"/>
            <w:vAlign w:val="center"/>
          </w:tcPr>
          <w:p w14:paraId="387365CF" w14:textId="77777777" w:rsidR="006A5BA9" w:rsidRPr="00FA56E6" w:rsidRDefault="006A5BA9" w:rsidP="00493E73">
            <w:pPr>
              <w:rPr>
                <w:sz w:val="20"/>
                <w:szCs w:val="20"/>
              </w:rPr>
            </w:pPr>
            <w:r w:rsidRPr="00FA56E6">
              <w:rPr>
                <w:rFonts w:eastAsia="Calibri"/>
                <w:sz w:val="20"/>
                <w:szCs w:val="20"/>
              </w:rPr>
              <w:t xml:space="preserve">Documented data model. </w:t>
            </w:r>
          </w:p>
        </w:tc>
      </w:tr>
    </w:tbl>
    <w:p w14:paraId="09E79BB4" w14:textId="77777777" w:rsidR="00FA56E6" w:rsidRDefault="006C4BF4" w:rsidP="00FA56E6">
      <w:pPr>
        <w:spacing w:after="168" w:line="266" w:lineRule="auto"/>
        <w:ind w:left="-4" w:hanging="10"/>
        <w:rPr>
          <w:rFonts w:ascii="Calibri" w:eastAsia="Calibri" w:hAnsi="Calibri" w:cs="Calibri"/>
          <w:color w:val="000000"/>
          <w:sz w:val="20"/>
          <w:szCs w:val="20"/>
          <w:lang w:val="en-NZ" w:eastAsia="en-NZ"/>
        </w:rPr>
      </w:pPr>
      <w:r w:rsidRPr="00FA56E6">
        <w:rPr>
          <w:rFonts w:ascii="Calibri" w:eastAsia="Calibri" w:hAnsi="Calibri" w:cs="Calibri"/>
          <w:color w:val="000000"/>
          <w:sz w:val="20"/>
          <w:szCs w:val="20"/>
          <w:lang w:val="en-NZ" w:eastAsia="en-NZ"/>
        </w:rPr>
        <w:tab/>
      </w:r>
    </w:p>
    <w:p w14:paraId="2EA392B4" w14:textId="597AA028" w:rsidR="00DC60E7" w:rsidRDefault="006C4BF4" w:rsidP="00FA56E6">
      <w:pPr>
        <w:spacing w:after="168" w:line="266" w:lineRule="auto"/>
        <w:ind w:left="-4" w:hanging="10"/>
        <w:rPr>
          <w:b/>
          <w:bCs/>
          <w:lang w:val="en-NZ" w:eastAsia="en-NZ"/>
        </w:rPr>
      </w:pPr>
      <w:r w:rsidRPr="00493E73">
        <w:rPr>
          <w:b/>
          <w:bCs/>
          <w:lang w:val="en-NZ" w:eastAsia="en-NZ"/>
        </w:rPr>
        <w:t xml:space="preserve">Team </w:t>
      </w:r>
      <w:r w:rsidR="007D7DC9">
        <w:rPr>
          <w:b/>
          <w:bCs/>
          <w:lang w:val="en-NZ" w:eastAsia="en-NZ"/>
        </w:rPr>
        <w:t>c</w:t>
      </w:r>
      <w:r w:rsidRPr="00493E73">
        <w:rPr>
          <w:b/>
          <w:bCs/>
          <w:lang w:val="en-NZ" w:eastAsia="en-NZ"/>
        </w:rPr>
        <w:t xml:space="preserve">apacity </w:t>
      </w:r>
      <w:r w:rsidR="007D7DC9">
        <w:rPr>
          <w:b/>
          <w:bCs/>
          <w:lang w:val="en-NZ" w:eastAsia="en-NZ"/>
        </w:rPr>
        <w:t>b</w:t>
      </w:r>
      <w:r w:rsidRPr="00493E73">
        <w:rPr>
          <w:b/>
          <w:bCs/>
          <w:lang w:val="en-NZ" w:eastAsia="en-NZ"/>
        </w:rPr>
        <w:t>uilding – the who, the what</w:t>
      </w:r>
      <w:r w:rsidR="00E9619D">
        <w:rPr>
          <w:b/>
          <w:bCs/>
          <w:lang w:val="en-NZ" w:eastAsia="en-NZ"/>
        </w:rPr>
        <w:t>,</w:t>
      </w:r>
      <w:r w:rsidRPr="00493E73">
        <w:rPr>
          <w:b/>
          <w:bCs/>
          <w:lang w:val="en-NZ" w:eastAsia="en-NZ"/>
        </w:rPr>
        <w:t xml:space="preserve"> and the when</w:t>
      </w:r>
    </w:p>
    <w:p w14:paraId="6E818BFC" w14:textId="4BDB64F4" w:rsidR="00DC60E7" w:rsidRPr="00FA56E6" w:rsidRDefault="00DC60E7" w:rsidP="00493E73">
      <w:pPr>
        <w:rPr>
          <w:i/>
          <w:iCs/>
          <w:sz w:val="20"/>
          <w:szCs w:val="20"/>
          <w:lang w:val="en-NZ" w:eastAsia="en-NZ"/>
        </w:rPr>
      </w:pPr>
      <w:r w:rsidRPr="00FA56E6">
        <w:rPr>
          <w:i/>
          <w:iCs/>
          <w:sz w:val="20"/>
          <w:szCs w:val="20"/>
          <w:lang w:val="en-NZ" w:eastAsia="en-NZ"/>
        </w:rPr>
        <w:t xml:space="preserve">Table </w:t>
      </w:r>
      <w:r w:rsidR="009C2B82" w:rsidRPr="00FA56E6">
        <w:rPr>
          <w:i/>
          <w:iCs/>
          <w:sz w:val="20"/>
          <w:szCs w:val="20"/>
          <w:lang w:val="en-NZ" w:eastAsia="en-NZ"/>
        </w:rPr>
        <w:t>4</w:t>
      </w:r>
      <w:r w:rsidRPr="00FA56E6">
        <w:rPr>
          <w:i/>
          <w:iCs/>
          <w:sz w:val="20"/>
          <w:szCs w:val="20"/>
          <w:lang w:val="en-NZ" w:eastAsia="en-NZ"/>
        </w:rPr>
        <w:t>:</w:t>
      </w:r>
      <w:r w:rsidR="009C2B82" w:rsidRPr="00FA56E6">
        <w:rPr>
          <w:i/>
          <w:iCs/>
          <w:sz w:val="20"/>
          <w:szCs w:val="20"/>
          <w:lang w:val="en-NZ" w:eastAsia="en-NZ"/>
        </w:rPr>
        <w:t xml:space="preserve"> Details what was delivered under team capacity building, who and what was involved, when it was delivered</w:t>
      </w:r>
      <w:r w:rsidR="007D7DC9">
        <w:rPr>
          <w:i/>
          <w:iCs/>
          <w:sz w:val="20"/>
          <w:szCs w:val="20"/>
          <w:lang w:val="en-NZ" w:eastAsia="en-NZ"/>
        </w:rPr>
        <w:t>,</w:t>
      </w:r>
      <w:r w:rsidR="009C2B82" w:rsidRPr="00FA56E6">
        <w:rPr>
          <w:i/>
          <w:iCs/>
          <w:sz w:val="20"/>
          <w:szCs w:val="20"/>
          <w:lang w:val="en-NZ" w:eastAsia="en-NZ"/>
        </w:rPr>
        <w:t xml:space="preserve"> and the evidence of output.</w:t>
      </w:r>
    </w:p>
    <w:tbl>
      <w:tblPr>
        <w:tblStyle w:val="TableGrid0"/>
        <w:tblW w:w="900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1" w:type="dxa"/>
        </w:tblCellMar>
        <w:tblLook w:val="04A0" w:firstRow="1" w:lastRow="0" w:firstColumn="1" w:lastColumn="0" w:noHBand="0" w:noVBand="1"/>
      </w:tblPr>
      <w:tblGrid>
        <w:gridCol w:w="1799"/>
        <w:gridCol w:w="1802"/>
        <w:gridCol w:w="1802"/>
        <w:gridCol w:w="1800"/>
        <w:gridCol w:w="1801"/>
      </w:tblGrid>
      <w:tr w:rsidR="008B6FD5" w:rsidRPr="00FA56E6" w14:paraId="4B86D0E6" w14:textId="77777777" w:rsidTr="00D27500">
        <w:trPr>
          <w:trHeight w:val="317"/>
        </w:trPr>
        <w:tc>
          <w:tcPr>
            <w:tcW w:w="1799" w:type="dxa"/>
            <w:shd w:val="clear" w:color="auto" w:fill="78DED9" w:themeFill="accent1"/>
          </w:tcPr>
          <w:p w14:paraId="018A2CAE" w14:textId="668D39BB" w:rsidR="008B6FD5" w:rsidRPr="00FA56E6" w:rsidRDefault="008B6FD5" w:rsidP="008B6FD5">
            <w:pPr>
              <w:rPr>
                <w:rFonts w:eastAsia="Calibri"/>
                <w:b/>
                <w:bCs/>
                <w:color w:val="000000"/>
                <w:sz w:val="20"/>
                <w:szCs w:val="20"/>
              </w:rPr>
            </w:pPr>
            <w:r w:rsidRPr="00FA56E6">
              <w:rPr>
                <w:rFonts w:eastAsia="Calibri"/>
                <w:b/>
                <w:bCs/>
                <w:color w:val="000000"/>
                <w:sz w:val="20"/>
                <w:szCs w:val="20"/>
              </w:rPr>
              <w:t xml:space="preserve"> </w:t>
            </w:r>
            <w:r w:rsidRPr="00FA56E6">
              <w:rPr>
                <w:rFonts w:eastAsia="Calibri"/>
                <w:b/>
                <w:bCs/>
                <w:sz w:val="20"/>
                <w:szCs w:val="20"/>
              </w:rPr>
              <w:t>Item</w:t>
            </w:r>
          </w:p>
        </w:tc>
        <w:tc>
          <w:tcPr>
            <w:tcW w:w="1802" w:type="dxa"/>
            <w:shd w:val="clear" w:color="auto" w:fill="78DED9" w:themeFill="accent1"/>
          </w:tcPr>
          <w:p w14:paraId="2CE0B7F9" w14:textId="52ECA4E2" w:rsidR="008B6FD5" w:rsidRPr="00FA56E6" w:rsidRDefault="008B6FD5" w:rsidP="008B6FD5">
            <w:pPr>
              <w:rPr>
                <w:rFonts w:eastAsia="Calibri"/>
                <w:b/>
                <w:bCs/>
                <w:sz w:val="20"/>
                <w:szCs w:val="20"/>
              </w:rPr>
            </w:pPr>
            <w:r w:rsidRPr="00FA56E6">
              <w:rPr>
                <w:rFonts w:eastAsia="Calibri"/>
                <w:b/>
                <w:bCs/>
                <w:sz w:val="20"/>
                <w:szCs w:val="20"/>
              </w:rPr>
              <w:t xml:space="preserve">Who </w:t>
            </w:r>
          </w:p>
        </w:tc>
        <w:tc>
          <w:tcPr>
            <w:tcW w:w="1802" w:type="dxa"/>
            <w:shd w:val="clear" w:color="auto" w:fill="78DED9" w:themeFill="accent1"/>
          </w:tcPr>
          <w:p w14:paraId="43FE9E1B" w14:textId="5B7E45CC" w:rsidR="008B6FD5" w:rsidRPr="00FA56E6" w:rsidRDefault="008B6FD5" w:rsidP="008B6FD5">
            <w:pPr>
              <w:rPr>
                <w:rFonts w:eastAsia="Calibri"/>
                <w:b/>
                <w:bCs/>
                <w:sz w:val="20"/>
                <w:szCs w:val="20"/>
              </w:rPr>
            </w:pPr>
            <w:r w:rsidRPr="00FA56E6">
              <w:rPr>
                <w:rFonts w:eastAsia="Calibri"/>
                <w:b/>
                <w:bCs/>
                <w:sz w:val="20"/>
                <w:szCs w:val="20"/>
              </w:rPr>
              <w:t xml:space="preserve">What </w:t>
            </w:r>
          </w:p>
        </w:tc>
        <w:tc>
          <w:tcPr>
            <w:tcW w:w="1800" w:type="dxa"/>
            <w:shd w:val="clear" w:color="auto" w:fill="78DED9" w:themeFill="accent1"/>
          </w:tcPr>
          <w:p w14:paraId="1A043E33" w14:textId="164878D5" w:rsidR="008B6FD5" w:rsidRPr="00FA56E6" w:rsidRDefault="008B6FD5" w:rsidP="008B6FD5">
            <w:pPr>
              <w:rPr>
                <w:rFonts w:eastAsia="Calibri"/>
                <w:b/>
                <w:bCs/>
                <w:sz w:val="20"/>
                <w:szCs w:val="20"/>
              </w:rPr>
            </w:pPr>
            <w:r w:rsidRPr="00FA56E6">
              <w:rPr>
                <w:rFonts w:eastAsia="Calibri"/>
                <w:b/>
                <w:bCs/>
                <w:sz w:val="20"/>
                <w:szCs w:val="20"/>
              </w:rPr>
              <w:t xml:space="preserve">Delivered </w:t>
            </w:r>
          </w:p>
        </w:tc>
        <w:tc>
          <w:tcPr>
            <w:tcW w:w="1801" w:type="dxa"/>
            <w:shd w:val="clear" w:color="auto" w:fill="78DED9" w:themeFill="accent1"/>
          </w:tcPr>
          <w:p w14:paraId="2FD2F828" w14:textId="75502F0F" w:rsidR="008B6FD5" w:rsidRPr="00FA56E6" w:rsidRDefault="008B6FD5" w:rsidP="008B6FD5">
            <w:pPr>
              <w:rPr>
                <w:rFonts w:eastAsia="Calibri"/>
                <w:b/>
                <w:bCs/>
                <w:sz w:val="20"/>
                <w:szCs w:val="20"/>
              </w:rPr>
            </w:pPr>
            <w:r w:rsidRPr="00FA56E6">
              <w:rPr>
                <w:rFonts w:eastAsia="Calibri"/>
                <w:b/>
                <w:bCs/>
                <w:sz w:val="20"/>
                <w:szCs w:val="20"/>
              </w:rPr>
              <w:t xml:space="preserve">Evidenced by </w:t>
            </w:r>
          </w:p>
        </w:tc>
      </w:tr>
      <w:tr w:rsidR="00DF240C" w:rsidRPr="00FA56E6" w14:paraId="7223C672" w14:textId="77777777">
        <w:trPr>
          <w:trHeight w:val="1224"/>
        </w:trPr>
        <w:tc>
          <w:tcPr>
            <w:tcW w:w="1799" w:type="dxa"/>
            <w:vAlign w:val="center"/>
          </w:tcPr>
          <w:p w14:paraId="42FA9A15" w14:textId="5AD93AEF" w:rsidR="00DF240C" w:rsidRPr="00FA56E6" w:rsidRDefault="006E7B03" w:rsidP="00493E73">
            <w:pPr>
              <w:rPr>
                <w:sz w:val="20"/>
                <w:szCs w:val="20"/>
              </w:rPr>
            </w:pPr>
            <w:r w:rsidRPr="00FA56E6">
              <w:rPr>
                <w:rFonts w:eastAsia="Calibri"/>
                <w:sz w:val="20"/>
                <w:szCs w:val="20"/>
              </w:rPr>
              <w:t>Development of cross-unit collaboration workflows</w:t>
            </w:r>
            <w:r w:rsidR="007D7DC9" w:rsidRPr="00FA56E6">
              <w:rPr>
                <w:rFonts w:eastAsia="Calibri"/>
                <w:sz w:val="20"/>
                <w:szCs w:val="20"/>
              </w:rPr>
              <w:t>.</w:t>
            </w:r>
            <w:r w:rsidR="00DF240C" w:rsidRPr="00FA56E6">
              <w:rPr>
                <w:rFonts w:eastAsia="Calibri"/>
                <w:sz w:val="20"/>
                <w:szCs w:val="20"/>
              </w:rPr>
              <w:t xml:space="preserve"> </w:t>
            </w:r>
          </w:p>
        </w:tc>
        <w:tc>
          <w:tcPr>
            <w:tcW w:w="1802" w:type="dxa"/>
            <w:vAlign w:val="center"/>
          </w:tcPr>
          <w:p w14:paraId="34C386FB" w14:textId="77777777" w:rsidR="00BA24E2" w:rsidRPr="00FA56E6" w:rsidRDefault="00BA24E2" w:rsidP="00493E73">
            <w:pPr>
              <w:rPr>
                <w:sz w:val="20"/>
                <w:szCs w:val="20"/>
              </w:rPr>
            </w:pPr>
            <w:r w:rsidRPr="00FA56E6">
              <w:rPr>
                <w:rFonts w:eastAsia="Calibri"/>
                <w:sz w:val="20"/>
                <w:szCs w:val="20"/>
              </w:rPr>
              <w:t xml:space="preserve">Deakin Analytics &amp; </w:t>
            </w:r>
          </w:p>
          <w:p w14:paraId="4C1E0F38" w14:textId="5131111B" w:rsidR="00BA24E2" w:rsidRPr="00FA56E6" w:rsidRDefault="00BA24E2" w:rsidP="00493E73">
            <w:pPr>
              <w:rPr>
                <w:rFonts w:eastAsia="Calibri"/>
                <w:sz w:val="20"/>
                <w:szCs w:val="20"/>
              </w:rPr>
            </w:pPr>
            <w:r w:rsidRPr="00FA56E6">
              <w:rPr>
                <w:rFonts w:eastAsia="Calibri"/>
                <w:sz w:val="20"/>
                <w:szCs w:val="20"/>
              </w:rPr>
              <w:t>Insights</w:t>
            </w:r>
            <w:r w:rsidR="007D7DC9" w:rsidRPr="00FA56E6">
              <w:rPr>
                <w:rFonts w:eastAsia="Calibri"/>
                <w:sz w:val="20"/>
                <w:szCs w:val="20"/>
              </w:rPr>
              <w:t>.</w:t>
            </w:r>
            <w:r w:rsidRPr="00FA56E6">
              <w:rPr>
                <w:rFonts w:eastAsia="Calibri"/>
                <w:sz w:val="20"/>
                <w:szCs w:val="20"/>
              </w:rPr>
              <w:t xml:space="preserve"> </w:t>
            </w:r>
          </w:p>
          <w:p w14:paraId="22F5E362" w14:textId="56AF8DC3" w:rsidR="00DF240C" w:rsidRPr="00FA56E6" w:rsidRDefault="00DF240C" w:rsidP="00493E73">
            <w:pPr>
              <w:rPr>
                <w:rFonts w:eastAsia="Calibri"/>
                <w:sz w:val="20"/>
                <w:szCs w:val="20"/>
              </w:rPr>
            </w:pPr>
            <w:r w:rsidRPr="00FA56E6">
              <w:rPr>
                <w:rFonts w:eastAsia="Calibri"/>
                <w:sz w:val="20"/>
                <w:szCs w:val="20"/>
              </w:rPr>
              <w:t>Equity &amp; Inclusion</w:t>
            </w:r>
            <w:r w:rsidR="007D7DC9" w:rsidRPr="00FA56E6">
              <w:rPr>
                <w:rFonts w:eastAsia="Calibri"/>
                <w:sz w:val="20"/>
                <w:szCs w:val="20"/>
              </w:rPr>
              <w:t>.</w:t>
            </w:r>
            <w:r w:rsidRPr="00FA56E6">
              <w:rPr>
                <w:rFonts w:eastAsia="Calibri"/>
                <w:sz w:val="20"/>
                <w:szCs w:val="20"/>
              </w:rPr>
              <w:t xml:space="preserve"> </w:t>
            </w:r>
          </w:p>
          <w:p w14:paraId="0C048047" w14:textId="263F6C18" w:rsidR="00BA24E2" w:rsidRPr="00FA56E6" w:rsidRDefault="00BA24E2" w:rsidP="00493E73">
            <w:pPr>
              <w:rPr>
                <w:sz w:val="20"/>
                <w:szCs w:val="20"/>
              </w:rPr>
            </w:pPr>
            <w:r w:rsidRPr="00FA56E6">
              <w:rPr>
                <w:sz w:val="20"/>
                <w:szCs w:val="20"/>
              </w:rPr>
              <w:t xml:space="preserve">Data </w:t>
            </w:r>
            <w:r w:rsidR="00AB27EE" w:rsidRPr="00FA56E6">
              <w:rPr>
                <w:sz w:val="20"/>
                <w:szCs w:val="20"/>
              </w:rPr>
              <w:t>P</w:t>
            </w:r>
            <w:r w:rsidRPr="00FA56E6">
              <w:rPr>
                <w:sz w:val="20"/>
                <w:szCs w:val="20"/>
              </w:rPr>
              <w:t>latforms</w:t>
            </w:r>
            <w:r w:rsidR="007D7DC9" w:rsidRPr="00FA56E6">
              <w:rPr>
                <w:sz w:val="20"/>
                <w:szCs w:val="20"/>
              </w:rPr>
              <w:t>.</w:t>
            </w:r>
          </w:p>
          <w:p w14:paraId="6106F8A5" w14:textId="38751D09" w:rsidR="00DF240C" w:rsidRPr="00FA56E6" w:rsidRDefault="00DF240C" w:rsidP="00493E73">
            <w:pPr>
              <w:rPr>
                <w:sz w:val="20"/>
                <w:szCs w:val="20"/>
              </w:rPr>
            </w:pPr>
            <w:r w:rsidRPr="00FA56E6">
              <w:rPr>
                <w:rFonts w:eastAsia="Calibri"/>
                <w:sz w:val="20"/>
                <w:szCs w:val="20"/>
              </w:rPr>
              <w:t>Office of DVCA</w:t>
            </w:r>
            <w:r w:rsidR="007D7DC9" w:rsidRPr="00FA56E6">
              <w:rPr>
                <w:rFonts w:eastAsia="Calibri"/>
                <w:sz w:val="20"/>
                <w:szCs w:val="20"/>
              </w:rPr>
              <w:t>.</w:t>
            </w:r>
            <w:r w:rsidRPr="00FA56E6">
              <w:rPr>
                <w:rFonts w:eastAsia="Calibri"/>
                <w:sz w:val="20"/>
                <w:szCs w:val="20"/>
              </w:rPr>
              <w:t xml:space="preserve"> </w:t>
            </w:r>
          </w:p>
        </w:tc>
        <w:tc>
          <w:tcPr>
            <w:tcW w:w="1802" w:type="dxa"/>
          </w:tcPr>
          <w:p w14:paraId="729F75A9" w14:textId="77777777" w:rsidR="00F843CC" w:rsidRPr="00FA56E6" w:rsidRDefault="00F843CC" w:rsidP="00493E73">
            <w:pPr>
              <w:rPr>
                <w:rFonts w:eastAsia="Calibri"/>
                <w:sz w:val="20"/>
                <w:szCs w:val="20"/>
              </w:rPr>
            </w:pPr>
            <w:r w:rsidRPr="00FA56E6">
              <w:rPr>
                <w:rFonts w:eastAsia="Calibri"/>
                <w:sz w:val="20"/>
                <w:szCs w:val="20"/>
              </w:rPr>
              <w:t>Identified areas across the organisation involved in all stages of equity data management</w:t>
            </w:r>
            <w:r w:rsidR="00DF240C" w:rsidRPr="00FA56E6">
              <w:rPr>
                <w:rFonts w:eastAsia="Calibri"/>
                <w:sz w:val="20"/>
                <w:szCs w:val="20"/>
              </w:rPr>
              <w:t>.</w:t>
            </w:r>
          </w:p>
          <w:p w14:paraId="6C27904B" w14:textId="501F8C1E" w:rsidR="00DF240C" w:rsidRPr="00FA56E6" w:rsidRDefault="00670EFE" w:rsidP="00493E73">
            <w:pPr>
              <w:rPr>
                <w:sz w:val="20"/>
                <w:szCs w:val="20"/>
              </w:rPr>
            </w:pPr>
            <w:r w:rsidRPr="00FA56E6">
              <w:rPr>
                <w:rFonts w:eastAsia="Calibri"/>
                <w:sz w:val="20"/>
                <w:szCs w:val="20"/>
              </w:rPr>
              <w:t>Connected and established an ongoing channel of communication.</w:t>
            </w:r>
            <w:r w:rsidR="00DF240C" w:rsidRPr="00FA56E6">
              <w:rPr>
                <w:rFonts w:eastAsia="Calibri"/>
                <w:sz w:val="20"/>
                <w:szCs w:val="20"/>
              </w:rPr>
              <w:t xml:space="preserve"> </w:t>
            </w:r>
          </w:p>
        </w:tc>
        <w:tc>
          <w:tcPr>
            <w:tcW w:w="1800" w:type="dxa"/>
            <w:vAlign w:val="center"/>
          </w:tcPr>
          <w:p w14:paraId="44D77EB0" w14:textId="5846376E" w:rsidR="00DF240C" w:rsidRPr="00FA56E6" w:rsidRDefault="003839DC" w:rsidP="00493E73">
            <w:pPr>
              <w:rPr>
                <w:sz w:val="20"/>
                <w:szCs w:val="20"/>
              </w:rPr>
            </w:pPr>
            <w:r w:rsidRPr="00FA56E6">
              <w:rPr>
                <w:sz w:val="20"/>
                <w:szCs w:val="20"/>
              </w:rPr>
              <w:t>Ongoing</w:t>
            </w:r>
            <w:r w:rsidR="007D7DC9" w:rsidRPr="00FA56E6">
              <w:rPr>
                <w:sz w:val="20"/>
                <w:szCs w:val="20"/>
              </w:rPr>
              <w:t>.</w:t>
            </w:r>
          </w:p>
        </w:tc>
        <w:tc>
          <w:tcPr>
            <w:tcW w:w="1801" w:type="dxa"/>
            <w:vAlign w:val="center"/>
          </w:tcPr>
          <w:p w14:paraId="1A240014" w14:textId="0A3B09C4" w:rsidR="00DF240C" w:rsidRPr="00FA56E6" w:rsidRDefault="00C857DA" w:rsidP="00493E73">
            <w:pPr>
              <w:rPr>
                <w:sz w:val="20"/>
                <w:szCs w:val="20"/>
              </w:rPr>
            </w:pPr>
            <w:r w:rsidRPr="00FA56E6">
              <w:rPr>
                <w:rFonts w:eastAsia="Calibri"/>
                <w:sz w:val="20"/>
                <w:szCs w:val="20"/>
              </w:rPr>
              <w:t>Connected and engaged teams, established communications channels</w:t>
            </w:r>
            <w:r w:rsidR="00DF240C" w:rsidRPr="00FA56E6">
              <w:rPr>
                <w:rFonts w:eastAsia="Calibri"/>
                <w:sz w:val="20"/>
                <w:szCs w:val="20"/>
              </w:rPr>
              <w:t xml:space="preserve">. </w:t>
            </w:r>
          </w:p>
        </w:tc>
      </w:tr>
      <w:tr w:rsidR="00DF240C" w:rsidRPr="00FA56E6" w14:paraId="5A6E26AE" w14:textId="77777777" w:rsidTr="00066CFB">
        <w:trPr>
          <w:trHeight w:val="557"/>
        </w:trPr>
        <w:tc>
          <w:tcPr>
            <w:tcW w:w="1799" w:type="dxa"/>
            <w:vAlign w:val="center"/>
          </w:tcPr>
          <w:p w14:paraId="2AEAF360" w14:textId="28FB90C4" w:rsidR="00DF240C" w:rsidRPr="00FA56E6" w:rsidRDefault="00BB6D07" w:rsidP="00493E73">
            <w:pPr>
              <w:rPr>
                <w:sz w:val="20"/>
                <w:szCs w:val="20"/>
              </w:rPr>
            </w:pPr>
            <w:r w:rsidRPr="00FA56E6">
              <w:rPr>
                <w:rFonts w:eastAsia="Calibri"/>
                <w:sz w:val="20"/>
                <w:szCs w:val="20"/>
              </w:rPr>
              <w:t>Sustainable data governance</w:t>
            </w:r>
            <w:r w:rsidR="007D7DC9" w:rsidRPr="00FA56E6">
              <w:rPr>
                <w:rFonts w:eastAsia="Calibri"/>
                <w:sz w:val="20"/>
                <w:szCs w:val="20"/>
              </w:rPr>
              <w:t>.</w:t>
            </w:r>
            <w:r w:rsidR="00DF240C" w:rsidRPr="00FA56E6">
              <w:rPr>
                <w:rFonts w:eastAsia="Calibri"/>
                <w:sz w:val="20"/>
                <w:szCs w:val="20"/>
              </w:rPr>
              <w:t xml:space="preserve"> </w:t>
            </w:r>
          </w:p>
        </w:tc>
        <w:tc>
          <w:tcPr>
            <w:tcW w:w="1802" w:type="dxa"/>
            <w:vAlign w:val="center"/>
          </w:tcPr>
          <w:p w14:paraId="12876E83" w14:textId="77777777" w:rsidR="00DF240C" w:rsidRPr="00FA56E6" w:rsidRDefault="00DF240C" w:rsidP="00493E73">
            <w:pPr>
              <w:rPr>
                <w:sz w:val="20"/>
                <w:szCs w:val="20"/>
              </w:rPr>
            </w:pPr>
            <w:r w:rsidRPr="00FA56E6">
              <w:rPr>
                <w:rFonts w:eastAsia="Calibri"/>
                <w:sz w:val="20"/>
                <w:szCs w:val="20"/>
              </w:rPr>
              <w:t xml:space="preserve">Deakin Analytics &amp; </w:t>
            </w:r>
          </w:p>
          <w:p w14:paraId="1D23FADC" w14:textId="7991BBFC" w:rsidR="00DF240C" w:rsidRPr="00FA56E6" w:rsidRDefault="00DF240C" w:rsidP="00493E73">
            <w:pPr>
              <w:rPr>
                <w:rFonts w:eastAsia="Calibri"/>
                <w:sz w:val="20"/>
                <w:szCs w:val="20"/>
              </w:rPr>
            </w:pPr>
            <w:r w:rsidRPr="00FA56E6">
              <w:rPr>
                <w:rFonts w:eastAsia="Calibri"/>
                <w:sz w:val="20"/>
                <w:szCs w:val="20"/>
              </w:rPr>
              <w:t>Insights</w:t>
            </w:r>
            <w:r w:rsidR="007D7DC9" w:rsidRPr="00FA56E6">
              <w:rPr>
                <w:rFonts w:eastAsia="Calibri"/>
                <w:sz w:val="20"/>
                <w:szCs w:val="20"/>
              </w:rPr>
              <w:t>.</w:t>
            </w:r>
            <w:r w:rsidRPr="00FA56E6">
              <w:rPr>
                <w:rFonts w:eastAsia="Calibri"/>
                <w:sz w:val="20"/>
                <w:szCs w:val="20"/>
              </w:rPr>
              <w:t xml:space="preserve"> </w:t>
            </w:r>
          </w:p>
          <w:p w14:paraId="25134312" w14:textId="67F2CBDA" w:rsidR="00BB6D07" w:rsidRPr="00FA56E6" w:rsidRDefault="00BB6D07" w:rsidP="00493E73">
            <w:pPr>
              <w:rPr>
                <w:sz w:val="20"/>
                <w:szCs w:val="20"/>
              </w:rPr>
            </w:pPr>
            <w:r w:rsidRPr="00FA56E6">
              <w:rPr>
                <w:sz w:val="20"/>
                <w:szCs w:val="20"/>
              </w:rPr>
              <w:t xml:space="preserve">Equity </w:t>
            </w:r>
            <w:r w:rsidR="00546A88" w:rsidRPr="00FA56E6">
              <w:rPr>
                <w:sz w:val="20"/>
                <w:szCs w:val="20"/>
              </w:rPr>
              <w:t>&amp;</w:t>
            </w:r>
            <w:r w:rsidRPr="00FA56E6">
              <w:rPr>
                <w:sz w:val="20"/>
                <w:szCs w:val="20"/>
              </w:rPr>
              <w:t xml:space="preserve"> Inclusion</w:t>
            </w:r>
            <w:r w:rsidR="007D7DC9" w:rsidRPr="00FA56E6">
              <w:rPr>
                <w:sz w:val="20"/>
                <w:szCs w:val="20"/>
              </w:rPr>
              <w:t>.</w:t>
            </w:r>
          </w:p>
          <w:p w14:paraId="70A759C0" w14:textId="78470A42" w:rsidR="00BB6D07" w:rsidRPr="00FA56E6" w:rsidRDefault="00BB6D07" w:rsidP="00493E73">
            <w:pPr>
              <w:rPr>
                <w:sz w:val="20"/>
                <w:szCs w:val="20"/>
              </w:rPr>
            </w:pPr>
            <w:r w:rsidRPr="00FA56E6">
              <w:rPr>
                <w:sz w:val="20"/>
                <w:szCs w:val="20"/>
              </w:rPr>
              <w:t>Office of DVCA</w:t>
            </w:r>
            <w:r w:rsidR="007D7DC9" w:rsidRPr="00FA56E6">
              <w:rPr>
                <w:sz w:val="20"/>
                <w:szCs w:val="20"/>
              </w:rPr>
              <w:t>.</w:t>
            </w:r>
          </w:p>
        </w:tc>
        <w:tc>
          <w:tcPr>
            <w:tcW w:w="1802" w:type="dxa"/>
          </w:tcPr>
          <w:p w14:paraId="666CA933" w14:textId="77777777" w:rsidR="00BB6D07" w:rsidRPr="00FA56E6" w:rsidRDefault="00BB6D07" w:rsidP="00493E73">
            <w:pPr>
              <w:rPr>
                <w:rFonts w:eastAsia="Calibri"/>
                <w:sz w:val="20"/>
                <w:szCs w:val="20"/>
              </w:rPr>
            </w:pPr>
          </w:p>
          <w:p w14:paraId="5F2B0380" w14:textId="71A3E636" w:rsidR="00DF240C" w:rsidRPr="00FA56E6" w:rsidRDefault="00066CFB" w:rsidP="00493E73">
            <w:pPr>
              <w:rPr>
                <w:sz w:val="20"/>
                <w:szCs w:val="20"/>
              </w:rPr>
            </w:pPr>
            <w:r w:rsidRPr="00FA56E6">
              <w:rPr>
                <w:rFonts w:eastAsia="Calibri"/>
                <w:sz w:val="20"/>
                <w:szCs w:val="20"/>
              </w:rPr>
              <w:t>Developed plan for managing equity data</w:t>
            </w:r>
            <w:r w:rsidR="00DF240C" w:rsidRPr="00FA56E6">
              <w:rPr>
                <w:rFonts w:eastAsia="Calibri"/>
                <w:sz w:val="20"/>
                <w:szCs w:val="20"/>
              </w:rPr>
              <w:t xml:space="preserve">. </w:t>
            </w:r>
          </w:p>
        </w:tc>
        <w:tc>
          <w:tcPr>
            <w:tcW w:w="1800" w:type="dxa"/>
            <w:vAlign w:val="center"/>
          </w:tcPr>
          <w:p w14:paraId="10321CF2" w14:textId="45257A8A" w:rsidR="00DF240C" w:rsidRPr="00FA56E6" w:rsidRDefault="003839DC" w:rsidP="00493E73">
            <w:pPr>
              <w:rPr>
                <w:sz w:val="20"/>
                <w:szCs w:val="20"/>
              </w:rPr>
            </w:pPr>
            <w:r w:rsidRPr="00FA56E6">
              <w:rPr>
                <w:sz w:val="20"/>
                <w:szCs w:val="20"/>
              </w:rPr>
              <w:t>Ongoing</w:t>
            </w:r>
            <w:r w:rsidR="007D7DC9" w:rsidRPr="00FA56E6">
              <w:rPr>
                <w:sz w:val="20"/>
                <w:szCs w:val="20"/>
              </w:rPr>
              <w:t>.</w:t>
            </w:r>
            <w:r w:rsidR="00DF240C" w:rsidRPr="00FA56E6">
              <w:rPr>
                <w:rFonts w:eastAsia="Calibri"/>
                <w:sz w:val="20"/>
                <w:szCs w:val="20"/>
              </w:rPr>
              <w:t xml:space="preserve"> </w:t>
            </w:r>
          </w:p>
        </w:tc>
        <w:tc>
          <w:tcPr>
            <w:tcW w:w="1801" w:type="dxa"/>
            <w:vAlign w:val="center"/>
          </w:tcPr>
          <w:p w14:paraId="6D8D226A" w14:textId="6DBAFBD4" w:rsidR="00DF240C" w:rsidRPr="00FA56E6" w:rsidRDefault="009B2584" w:rsidP="00493E73">
            <w:pPr>
              <w:rPr>
                <w:sz w:val="20"/>
                <w:szCs w:val="20"/>
              </w:rPr>
            </w:pPr>
            <w:r w:rsidRPr="00FA56E6">
              <w:rPr>
                <w:rFonts w:eastAsia="Calibri"/>
                <w:sz w:val="20"/>
                <w:szCs w:val="20"/>
              </w:rPr>
              <w:t>Data governance documentation and process maintenance practices</w:t>
            </w:r>
            <w:r w:rsidR="00DF240C" w:rsidRPr="00FA56E6">
              <w:rPr>
                <w:rFonts w:eastAsia="Calibri"/>
                <w:sz w:val="20"/>
                <w:szCs w:val="20"/>
              </w:rPr>
              <w:t xml:space="preserve">. </w:t>
            </w:r>
          </w:p>
        </w:tc>
      </w:tr>
    </w:tbl>
    <w:p w14:paraId="6CC94B07" w14:textId="77777777" w:rsidR="008B6FD5" w:rsidRDefault="008B6FD5">
      <w:pPr>
        <w:rPr>
          <w:b/>
          <w:bCs/>
          <w:lang w:val="en-NZ" w:eastAsia="en-NZ"/>
        </w:rPr>
      </w:pPr>
    </w:p>
    <w:p w14:paraId="1BB84191" w14:textId="77777777" w:rsidR="00FA56E6" w:rsidRDefault="00FA56E6">
      <w:pPr>
        <w:rPr>
          <w:b/>
          <w:bCs/>
          <w:lang w:val="en-NZ" w:eastAsia="en-NZ"/>
        </w:rPr>
      </w:pPr>
    </w:p>
    <w:p w14:paraId="437EA107" w14:textId="77777777" w:rsidR="00FA56E6" w:rsidRDefault="00FA56E6">
      <w:pPr>
        <w:rPr>
          <w:b/>
          <w:bCs/>
          <w:lang w:val="en-NZ" w:eastAsia="en-NZ"/>
        </w:rPr>
      </w:pPr>
    </w:p>
    <w:p w14:paraId="3FCCFD7C" w14:textId="77777777" w:rsidR="00F31979" w:rsidRDefault="00F31979">
      <w:pPr>
        <w:spacing w:line="259" w:lineRule="auto"/>
        <w:rPr>
          <w:b/>
          <w:bCs/>
          <w:lang w:val="en-NZ" w:eastAsia="en-NZ"/>
        </w:rPr>
      </w:pPr>
      <w:r>
        <w:rPr>
          <w:b/>
          <w:bCs/>
          <w:lang w:val="en-NZ" w:eastAsia="en-NZ"/>
        </w:rPr>
        <w:br w:type="page"/>
      </w:r>
    </w:p>
    <w:p w14:paraId="5CA9590D" w14:textId="59557DEE" w:rsidR="006C4BF4" w:rsidRDefault="006C4BF4">
      <w:pPr>
        <w:rPr>
          <w:b/>
          <w:bCs/>
          <w:lang w:val="en-NZ" w:eastAsia="en-NZ"/>
        </w:rPr>
      </w:pPr>
      <w:r w:rsidRPr="00D27500">
        <w:rPr>
          <w:b/>
          <w:bCs/>
          <w:lang w:val="en-NZ" w:eastAsia="en-NZ"/>
        </w:rPr>
        <w:lastRenderedPageBreak/>
        <w:t xml:space="preserve">Evaluation </w:t>
      </w:r>
      <w:r w:rsidR="007D7DC9">
        <w:rPr>
          <w:b/>
          <w:bCs/>
          <w:lang w:val="en-NZ" w:eastAsia="en-NZ"/>
        </w:rPr>
        <w:t>c</w:t>
      </w:r>
      <w:r w:rsidRPr="00D27500">
        <w:rPr>
          <w:b/>
          <w:bCs/>
          <w:lang w:val="en-NZ" w:eastAsia="en-NZ"/>
        </w:rPr>
        <w:t xml:space="preserve">apacity </w:t>
      </w:r>
      <w:r w:rsidR="007D7DC9">
        <w:rPr>
          <w:b/>
          <w:bCs/>
          <w:lang w:val="en-NZ" w:eastAsia="en-NZ"/>
        </w:rPr>
        <w:t>b</w:t>
      </w:r>
      <w:r w:rsidRPr="00D27500">
        <w:rPr>
          <w:b/>
          <w:bCs/>
          <w:lang w:val="en-NZ" w:eastAsia="en-NZ"/>
        </w:rPr>
        <w:t>uilding – the who, the what</w:t>
      </w:r>
      <w:r w:rsidR="007D7DC9">
        <w:rPr>
          <w:b/>
          <w:bCs/>
          <w:lang w:val="en-NZ" w:eastAsia="en-NZ"/>
        </w:rPr>
        <w:t>,</w:t>
      </w:r>
      <w:r w:rsidRPr="00D27500">
        <w:rPr>
          <w:b/>
          <w:bCs/>
          <w:lang w:val="en-NZ" w:eastAsia="en-NZ"/>
        </w:rPr>
        <w:t xml:space="preserve"> and the when</w:t>
      </w:r>
    </w:p>
    <w:p w14:paraId="2D896B60" w14:textId="696E9AFB" w:rsidR="00DC60E7" w:rsidRPr="00FA56E6" w:rsidRDefault="00DC60E7" w:rsidP="00D27500">
      <w:pPr>
        <w:rPr>
          <w:i/>
          <w:iCs/>
          <w:sz w:val="20"/>
          <w:szCs w:val="20"/>
          <w:lang w:val="en-NZ" w:eastAsia="en-NZ"/>
        </w:rPr>
      </w:pPr>
      <w:r w:rsidRPr="00FA56E6">
        <w:rPr>
          <w:i/>
          <w:iCs/>
          <w:sz w:val="20"/>
          <w:szCs w:val="20"/>
          <w:lang w:val="en-NZ" w:eastAsia="en-NZ"/>
        </w:rPr>
        <w:t xml:space="preserve">Table </w:t>
      </w:r>
      <w:r w:rsidR="009C2B82" w:rsidRPr="00FA56E6">
        <w:rPr>
          <w:i/>
          <w:iCs/>
          <w:sz w:val="20"/>
          <w:szCs w:val="20"/>
          <w:lang w:val="en-NZ" w:eastAsia="en-NZ"/>
        </w:rPr>
        <w:t>5</w:t>
      </w:r>
      <w:r w:rsidRPr="00FA56E6">
        <w:rPr>
          <w:i/>
          <w:iCs/>
          <w:sz w:val="20"/>
          <w:szCs w:val="20"/>
          <w:lang w:val="en-NZ" w:eastAsia="en-NZ"/>
        </w:rPr>
        <w:t xml:space="preserve">: </w:t>
      </w:r>
      <w:r w:rsidR="009C2B82" w:rsidRPr="00FA56E6">
        <w:rPr>
          <w:i/>
          <w:iCs/>
          <w:sz w:val="20"/>
          <w:szCs w:val="20"/>
          <w:lang w:val="en-NZ" w:eastAsia="en-NZ"/>
        </w:rPr>
        <w:t>Details what was delivered under evaluation capacity building, who and what was involved, when it was delivered</w:t>
      </w:r>
      <w:r w:rsidR="0001369A">
        <w:rPr>
          <w:i/>
          <w:iCs/>
          <w:sz w:val="20"/>
          <w:szCs w:val="20"/>
          <w:lang w:val="en-NZ" w:eastAsia="en-NZ"/>
        </w:rPr>
        <w:t>,</w:t>
      </w:r>
      <w:r w:rsidR="009C2B82" w:rsidRPr="00FA56E6">
        <w:rPr>
          <w:i/>
          <w:iCs/>
          <w:sz w:val="20"/>
          <w:szCs w:val="20"/>
          <w:lang w:val="en-NZ" w:eastAsia="en-NZ"/>
        </w:rPr>
        <w:t xml:space="preserve"> and the evidence of output.</w:t>
      </w:r>
    </w:p>
    <w:tbl>
      <w:tblPr>
        <w:tblStyle w:val="TableGrid0"/>
        <w:tblW w:w="900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1" w:type="dxa"/>
        </w:tblCellMar>
        <w:tblLook w:val="04A0" w:firstRow="1" w:lastRow="0" w:firstColumn="1" w:lastColumn="0" w:noHBand="0" w:noVBand="1"/>
      </w:tblPr>
      <w:tblGrid>
        <w:gridCol w:w="1799"/>
        <w:gridCol w:w="1802"/>
        <w:gridCol w:w="1802"/>
        <w:gridCol w:w="1800"/>
        <w:gridCol w:w="1801"/>
      </w:tblGrid>
      <w:tr w:rsidR="008B6FD5" w:rsidRPr="00FA56E6" w14:paraId="6F887DD7" w14:textId="77777777" w:rsidTr="005312E8">
        <w:trPr>
          <w:trHeight w:val="317"/>
        </w:trPr>
        <w:tc>
          <w:tcPr>
            <w:tcW w:w="1799" w:type="dxa"/>
            <w:shd w:val="clear" w:color="auto" w:fill="78DED9" w:themeFill="accent1"/>
          </w:tcPr>
          <w:p w14:paraId="55D17341" w14:textId="1744A39D" w:rsidR="008B6FD5" w:rsidRPr="00FA56E6" w:rsidRDefault="008B6FD5" w:rsidP="008B6FD5">
            <w:pPr>
              <w:rPr>
                <w:rFonts w:eastAsia="Calibri"/>
                <w:b/>
                <w:bCs/>
                <w:color w:val="000000"/>
                <w:sz w:val="20"/>
                <w:szCs w:val="20"/>
              </w:rPr>
            </w:pPr>
            <w:r w:rsidRPr="00FA56E6">
              <w:rPr>
                <w:rFonts w:eastAsia="Calibri"/>
                <w:b/>
                <w:bCs/>
                <w:color w:val="000000"/>
                <w:sz w:val="20"/>
                <w:szCs w:val="20"/>
              </w:rPr>
              <w:t xml:space="preserve"> </w:t>
            </w:r>
            <w:r w:rsidRPr="00FA56E6">
              <w:rPr>
                <w:rFonts w:eastAsia="Calibri"/>
                <w:b/>
                <w:bCs/>
                <w:sz w:val="20"/>
                <w:szCs w:val="20"/>
              </w:rPr>
              <w:t>Item</w:t>
            </w:r>
          </w:p>
        </w:tc>
        <w:tc>
          <w:tcPr>
            <w:tcW w:w="1802" w:type="dxa"/>
            <w:shd w:val="clear" w:color="auto" w:fill="78DED9" w:themeFill="accent1"/>
          </w:tcPr>
          <w:p w14:paraId="5F3F6EC9" w14:textId="3F458691" w:rsidR="008B6FD5" w:rsidRPr="00FA56E6" w:rsidRDefault="008B6FD5" w:rsidP="008B6FD5">
            <w:pPr>
              <w:rPr>
                <w:rFonts w:eastAsia="Calibri"/>
                <w:b/>
                <w:bCs/>
                <w:sz w:val="20"/>
                <w:szCs w:val="20"/>
              </w:rPr>
            </w:pPr>
            <w:r w:rsidRPr="00FA56E6">
              <w:rPr>
                <w:rFonts w:eastAsia="Calibri"/>
                <w:b/>
                <w:bCs/>
                <w:sz w:val="20"/>
                <w:szCs w:val="20"/>
              </w:rPr>
              <w:t xml:space="preserve">Who </w:t>
            </w:r>
          </w:p>
        </w:tc>
        <w:tc>
          <w:tcPr>
            <w:tcW w:w="1802" w:type="dxa"/>
            <w:shd w:val="clear" w:color="auto" w:fill="78DED9" w:themeFill="accent1"/>
          </w:tcPr>
          <w:p w14:paraId="1F89FD9F" w14:textId="69483BEB" w:rsidR="008B6FD5" w:rsidRPr="00FA56E6" w:rsidRDefault="008B6FD5" w:rsidP="008B6FD5">
            <w:pPr>
              <w:rPr>
                <w:rFonts w:eastAsia="Calibri"/>
                <w:b/>
                <w:bCs/>
                <w:sz w:val="20"/>
                <w:szCs w:val="20"/>
              </w:rPr>
            </w:pPr>
            <w:r w:rsidRPr="00FA56E6">
              <w:rPr>
                <w:rFonts w:eastAsia="Calibri"/>
                <w:b/>
                <w:bCs/>
                <w:sz w:val="20"/>
                <w:szCs w:val="20"/>
              </w:rPr>
              <w:t xml:space="preserve">What </w:t>
            </w:r>
          </w:p>
        </w:tc>
        <w:tc>
          <w:tcPr>
            <w:tcW w:w="1800" w:type="dxa"/>
            <w:shd w:val="clear" w:color="auto" w:fill="78DED9" w:themeFill="accent1"/>
          </w:tcPr>
          <w:p w14:paraId="0BD3861F" w14:textId="132F9F02" w:rsidR="008B6FD5" w:rsidRPr="00FA56E6" w:rsidRDefault="008B6FD5" w:rsidP="008B6FD5">
            <w:pPr>
              <w:rPr>
                <w:rFonts w:eastAsia="Calibri"/>
                <w:b/>
                <w:bCs/>
                <w:sz w:val="20"/>
                <w:szCs w:val="20"/>
              </w:rPr>
            </w:pPr>
            <w:r w:rsidRPr="00FA56E6">
              <w:rPr>
                <w:rFonts w:eastAsia="Calibri"/>
                <w:b/>
                <w:bCs/>
                <w:sz w:val="20"/>
                <w:szCs w:val="20"/>
              </w:rPr>
              <w:t xml:space="preserve">Delivered </w:t>
            </w:r>
          </w:p>
        </w:tc>
        <w:tc>
          <w:tcPr>
            <w:tcW w:w="1801" w:type="dxa"/>
            <w:shd w:val="clear" w:color="auto" w:fill="78DED9" w:themeFill="accent1"/>
          </w:tcPr>
          <w:p w14:paraId="4CCD0012" w14:textId="24F3D423" w:rsidR="008B6FD5" w:rsidRPr="00FA56E6" w:rsidRDefault="008B6FD5" w:rsidP="008B6FD5">
            <w:pPr>
              <w:rPr>
                <w:rFonts w:eastAsia="Calibri"/>
                <w:b/>
                <w:bCs/>
                <w:sz w:val="20"/>
                <w:szCs w:val="20"/>
              </w:rPr>
            </w:pPr>
            <w:r w:rsidRPr="00FA56E6">
              <w:rPr>
                <w:rFonts w:eastAsia="Calibri"/>
                <w:b/>
                <w:bCs/>
                <w:sz w:val="20"/>
                <w:szCs w:val="20"/>
              </w:rPr>
              <w:t xml:space="preserve">Evidenced by </w:t>
            </w:r>
          </w:p>
        </w:tc>
      </w:tr>
      <w:tr w:rsidR="00670EFE" w:rsidRPr="00FA56E6" w14:paraId="79925F27" w14:textId="77777777">
        <w:trPr>
          <w:trHeight w:val="1224"/>
        </w:trPr>
        <w:tc>
          <w:tcPr>
            <w:tcW w:w="1799" w:type="dxa"/>
            <w:vAlign w:val="center"/>
          </w:tcPr>
          <w:p w14:paraId="100D2A1C" w14:textId="59117F58" w:rsidR="00670EFE" w:rsidRPr="00FA56E6" w:rsidRDefault="00BC55F0" w:rsidP="00D27500">
            <w:pPr>
              <w:rPr>
                <w:sz w:val="20"/>
                <w:szCs w:val="20"/>
              </w:rPr>
            </w:pPr>
            <w:r w:rsidRPr="00FA56E6">
              <w:rPr>
                <w:rFonts w:eastAsia="Calibri"/>
                <w:sz w:val="20"/>
                <w:szCs w:val="20"/>
              </w:rPr>
              <w:t>Development of a HEPPP program monitoring dashboard</w:t>
            </w:r>
            <w:r w:rsidR="0001369A" w:rsidRPr="00FA56E6">
              <w:rPr>
                <w:rFonts w:eastAsia="Calibri"/>
                <w:sz w:val="20"/>
                <w:szCs w:val="20"/>
              </w:rPr>
              <w:t>.</w:t>
            </w:r>
          </w:p>
        </w:tc>
        <w:tc>
          <w:tcPr>
            <w:tcW w:w="1802" w:type="dxa"/>
            <w:vAlign w:val="center"/>
          </w:tcPr>
          <w:p w14:paraId="64152C71" w14:textId="77777777" w:rsidR="00670EFE" w:rsidRPr="00FA56E6" w:rsidRDefault="00670EFE" w:rsidP="00D27500">
            <w:pPr>
              <w:rPr>
                <w:sz w:val="20"/>
                <w:szCs w:val="20"/>
              </w:rPr>
            </w:pPr>
            <w:r w:rsidRPr="00FA56E6">
              <w:rPr>
                <w:rFonts w:eastAsia="Calibri"/>
                <w:sz w:val="20"/>
                <w:szCs w:val="20"/>
              </w:rPr>
              <w:t xml:space="preserve">Deakin Analytics &amp; </w:t>
            </w:r>
          </w:p>
          <w:p w14:paraId="1B56D4B4" w14:textId="69FD4CBA" w:rsidR="00670EFE" w:rsidRPr="00FA56E6" w:rsidRDefault="00670EFE" w:rsidP="00D27500">
            <w:pPr>
              <w:rPr>
                <w:rFonts w:eastAsia="Calibri"/>
                <w:sz w:val="20"/>
                <w:szCs w:val="20"/>
              </w:rPr>
            </w:pPr>
            <w:r w:rsidRPr="00FA56E6">
              <w:rPr>
                <w:rFonts w:eastAsia="Calibri"/>
                <w:sz w:val="20"/>
                <w:szCs w:val="20"/>
              </w:rPr>
              <w:t>Insights</w:t>
            </w:r>
            <w:r w:rsidR="0001369A" w:rsidRPr="00FA56E6">
              <w:rPr>
                <w:rFonts w:eastAsia="Calibri"/>
                <w:sz w:val="20"/>
                <w:szCs w:val="20"/>
              </w:rPr>
              <w:t>.</w:t>
            </w:r>
            <w:r w:rsidRPr="00FA56E6">
              <w:rPr>
                <w:rFonts w:eastAsia="Calibri"/>
                <w:sz w:val="20"/>
                <w:szCs w:val="20"/>
              </w:rPr>
              <w:t xml:space="preserve"> </w:t>
            </w:r>
          </w:p>
          <w:p w14:paraId="58834ED6" w14:textId="389E0F24" w:rsidR="00670EFE" w:rsidRPr="00FA56E6" w:rsidRDefault="00670EFE" w:rsidP="00D27500">
            <w:pPr>
              <w:rPr>
                <w:rFonts w:eastAsia="Calibri"/>
                <w:sz w:val="20"/>
                <w:szCs w:val="20"/>
              </w:rPr>
            </w:pPr>
            <w:r w:rsidRPr="00FA56E6">
              <w:rPr>
                <w:rFonts w:eastAsia="Calibri"/>
                <w:sz w:val="20"/>
                <w:szCs w:val="20"/>
              </w:rPr>
              <w:t>Equity &amp; Inclusion</w:t>
            </w:r>
            <w:r w:rsidR="0001369A" w:rsidRPr="00FA56E6">
              <w:rPr>
                <w:rFonts w:eastAsia="Calibri"/>
                <w:sz w:val="20"/>
                <w:szCs w:val="20"/>
              </w:rPr>
              <w:t>.</w:t>
            </w:r>
            <w:r w:rsidRPr="00FA56E6">
              <w:rPr>
                <w:rFonts w:eastAsia="Calibri"/>
                <w:sz w:val="20"/>
                <w:szCs w:val="20"/>
              </w:rPr>
              <w:t xml:space="preserve">  </w:t>
            </w:r>
          </w:p>
        </w:tc>
        <w:tc>
          <w:tcPr>
            <w:tcW w:w="1802" w:type="dxa"/>
          </w:tcPr>
          <w:p w14:paraId="4E0E616B" w14:textId="77777777" w:rsidR="006B75E4" w:rsidRPr="00FA56E6" w:rsidRDefault="006B75E4" w:rsidP="00D27500">
            <w:pPr>
              <w:rPr>
                <w:rFonts w:eastAsia="Calibri"/>
                <w:sz w:val="20"/>
                <w:szCs w:val="20"/>
              </w:rPr>
            </w:pPr>
          </w:p>
          <w:p w14:paraId="4888D157" w14:textId="55DD68EC" w:rsidR="00670EFE" w:rsidRPr="00FA56E6" w:rsidRDefault="004D3779" w:rsidP="00D27500">
            <w:pPr>
              <w:rPr>
                <w:sz w:val="20"/>
                <w:szCs w:val="20"/>
              </w:rPr>
            </w:pPr>
            <w:r w:rsidRPr="00FA56E6">
              <w:rPr>
                <w:rFonts w:eastAsia="Calibri"/>
                <w:sz w:val="20"/>
                <w:szCs w:val="20"/>
              </w:rPr>
              <w:t>Primary outcome indicators for participation lifecycle stage programs</w:t>
            </w:r>
            <w:r w:rsidR="006B75E4" w:rsidRPr="00FA56E6">
              <w:rPr>
                <w:rFonts w:eastAsia="Calibri"/>
                <w:sz w:val="20"/>
                <w:szCs w:val="20"/>
              </w:rPr>
              <w:t xml:space="preserve"> enabled in dashboard view.</w:t>
            </w:r>
            <w:r w:rsidR="00670EFE" w:rsidRPr="00FA56E6">
              <w:rPr>
                <w:rFonts w:eastAsia="Calibri"/>
                <w:sz w:val="20"/>
                <w:szCs w:val="20"/>
              </w:rPr>
              <w:t xml:space="preserve"> </w:t>
            </w:r>
          </w:p>
        </w:tc>
        <w:tc>
          <w:tcPr>
            <w:tcW w:w="1800" w:type="dxa"/>
            <w:vAlign w:val="center"/>
          </w:tcPr>
          <w:p w14:paraId="43D3E31A" w14:textId="223AF4DF" w:rsidR="00670EFE" w:rsidRPr="00FA56E6" w:rsidRDefault="004F7A51" w:rsidP="00D27500">
            <w:pPr>
              <w:rPr>
                <w:sz w:val="20"/>
                <w:szCs w:val="20"/>
              </w:rPr>
            </w:pPr>
            <w:r w:rsidRPr="00FA56E6">
              <w:rPr>
                <w:sz w:val="20"/>
                <w:szCs w:val="20"/>
              </w:rPr>
              <w:t>September 2025</w:t>
            </w:r>
            <w:r w:rsidR="0001369A" w:rsidRPr="00FA56E6">
              <w:rPr>
                <w:sz w:val="20"/>
                <w:szCs w:val="20"/>
              </w:rPr>
              <w:t>.</w:t>
            </w:r>
          </w:p>
        </w:tc>
        <w:tc>
          <w:tcPr>
            <w:tcW w:w="1801" w:type="dxa"/>
            <w:vAlign w:val="center"/>
          </w:tcPr>
          <w:p w14:paraId="32BC36E3" w14:textId="6AEC6B10" w:rsidR="00670EFE" w:rsidRPr="00FA56E6" w:rsidRDefault="004F7A51" w:rsidP="00D27500">
            <w:pPr>
              <w:rPr>
                <w:sz w:val="20"/>
                <w:szCs w:val="20"/>
              </w:rPr>
            </w:pPr>
            <w:r w:rsidRPr="00FA56E6">
              <w:rPr>
                <w:rFonts w:eastAsia="Calibri"/>
                <w:sz w:val="20"/>
                <w:szCs w:val="20"/>
              </w:rPr>
              <w:t>Resource delivered and dynamic insight</w:t>
            </w:r>
            <w:r w:rsidR="009979FF" w:rsidRPr="00FA56E6">
              <w:rPr>
                <w:rFonts w:eastAsia="Calibri"/>
                <w:sz w:val="20"/>
                <w:szCs w:val="20"/>
              </w:rPr>
              <w:t>s</w:t>
            </w:r>
            <w:r w:rsidRPr="00FA56E6">
              <w:rPr>
                <w:rFonts w:eastAsia="Calibri"/>
                <w:sz w:val="20"/>
                <w:szCs w:val="20"/>
              </w:rPr>
              <w:t xml:space="preserve"> for </w:t>
            </w:r>
            <w:r w:rsidR="009979FF" w:rsidRPr="00FA56E6">
              <w:rPr>
                <w:rFonts w:eastAsia="Calibri"/>
                <w:sz w:val="20"/>
                <w:szCs w:val="20"/>
              </w:rPr>
              <w:t>funding decision makers made available</w:t>
            </w:r>
            <w:r w:rsidR="00670EFE" w:rsidRPr="00FA56E6">
              <w:rPr>
                <w:rFonts w:eastAsia="Calibri"/>
                <w:sz w:val="20"/>
                <w:szCs w:val="20"/>
              </w:rPr>
              <w:t xml:space="preserve">. </w:t>
            </w:r>
          </w:p>
        </w:tc>
      </w:tr>
      <w:tr w:rsidR="00670EFE" w:rsidRPr="00FA56E6" w14:paraId="286CA42A" w14:textId="77777777">
        <w:trPr>
          <w:trHeight w:val="557"/>
        </w:trPr>
        <w:tc>
          <w:tcPr>
            <w:tcW w:w="1799" w:type="dxa"/>
            <w:vAlign w:val="center"/>
          </w:tcPr>
          <w:p w14:paraId="7F596050" w14:textId="6D222D15" w:rsidR="00670EFE" w:rsidRPr="00FA56E6" w:rsidRDefault="00BC55F0" w:rsidP="00D27500">
            <w:pPr>
              <w:rPr>
                <w:sz w:val="20"/>
                <w:szCs w:val="20"/>
              </w:rPr>
            </w:pPr>
            <w:r w:rsidRPr="00FA56E6">
              <w:rPr>
                <w:rFonts w:eastAsia="Calibri"/>
                <w:sz w:val="20"/>
                <w:szCs w:val="20"/>
              </w:rPr>
              <w:t>Establishment of a dataset for evaluation</w:t>
            </w:r>
            <w:r w:rsidR="0001369A" w:rsidRPr="00FA56E6">
              <w:rPr>
                <w:rFonts w:eastAsia="Calibri"/>
                <w:sz w:val="20"/>
                <w:szCs w:val="20"/>
              </w:rPr>
              <w:t>.</w:t>
            </w:r>
            <w:r w:rsidR="00670EFE" w:rsidRPr="00FA56E6">
              <w:rPr>
                <w:rFonts w:eastAsia="Calibri"/>
                <w:sz w:val="20"/>
                <w:szCs w:val="20"/>
              </w:rPr>
              <w:t xml:space="preserve"> </w:t>
            </w:r>
          </w:p>
        </w:tc>
        <w:tc>
          <w:tcPr>
            <w:tcW w:w="1802" w:type="dxa"/>
            <w:vAlign w:val="center"/>
          </w:tcPr>
          <w:p w14:paraId="22D0D4BA" w14:textId="77777777" w:rsidR="00670EFE" w:rsidRPr="00FA56E6" w:rsidRDefault="00670EFE" w:rsidP="00D27500">
            <w:pPr>
              <w:rPr>
                <w:sz w:val="20"/>
                <w:szCs w:val="20"/>
              </w:rPr>
            </w:pPr>
            <w:r w:rsidRPr="00FA56E6">
              <w:rPr>
                <w:rFonts w:eastAsia="Calibri"/>
                <w:sz w:val="20"/>
                <w:szCs w:val="20"/>
              </w:rPr>
              <w:t xml:space="preserve">Deakin Analytics &amp; </w:t>
            </w:r>
          </w:p>
          <w:p w14:paraId="407D9A31" w14:textId="46E3B2BF" w:rsidR="00670EFE" w:rsidRPr="00FA56E6" w:rsidRDefault="00670EFE" w:rsidP="00D27500">
            <w:pPr>
              <w:rPr>
                <w:rFonts w:eastAsia="Calibri"/>
                <w:sz w:val="20"/>
                <w:szCs w:val="20"/>
              </w:rPr>
            </w:pPr>
            <w:r w:rsidRPr="00FA56E6">
              <w:rPr>
                <w:rFonts w:eastAsia="Calibri"/>
                <w:sz w:val="20"/>
                <w:szCs w:val="20"/>
              </w:rPr>
              <w:t>Insights</w:t>
            </w:r>
            <w:r w:rsidR="0001369A" w:rsidRPr="00FA56E6">
              <w:rPr>
                <w:rFonts w:eastAsia="Calibri"/>
                <w:sz w:val="20"/>
                <w:szCs w:val="20"/>
              </w:rPr>
              <w:t>.</w:t>
            </w:r>
            <w:r w:rsidRPr="00FA56E6">
              <w:rPr>
                <w:rFonts w:eastAsia="Calibri"/>
                <w:sz w:val="20"/>
                <w:szCs w:val="20"/>
              </w:rPr>
              <w:t xml:space="preserve"> </w:t>
            </w:r>
          </w:p>
          <w:p w14:paraId="2D91339A" w14:textId="34C6E499" w:rsidR="00670EFE" w:rsidRPr="00FA56E6" w:rsidRDefault="00670EFE" w:rsidP="00D27500">
            <w:pPr>
              <w:rPr>
                <w:sz w:val="20"/>
                <w:szCs w:val="20"/>
              </w:rPr>
            </w:pPr>
            <w:r w:rsidRPr="00FA56E6">
              <w:rPr>
                <w:sz w:val="20"/>
                <w:szCs w:val="20"/>
              </w:rPr>
              <w:t xml:space="preserve">Equity </w:t>
            </w:r>
            <w:r w:rsidR="00546A88" w:rsidRPr="00FA56E6">
              <w:rPr>
                <w:sz w:val="20"/>
                <w:szCs w:val="20"/>
              </w:rPr>
              <w:t>&amp;</w:t>
            </w:r>
            <w:r w:rsidRPr="00FA56E6">
              <w:rPr>
                <w:sz w:val="20"/>
                <w:szCs w:val="20"/>
              </w:rPr>
              <w:t xml:space="preserve"> Inclusion</w:t>
            </w:r>
            <w:r w:rsidR="0001369A" w:rsidRPr="00FA56E6">
              <w:rPr>
                <w:sz w:val="20"/>
                <w:szCs w:val="20"/>
              </w:rPr>
              <w:t>.</w:t>
            </w:r>
          </w:p>
          <w:p w14:paraId="367560B4" w14:textId="0F44F222" w:rsidR="00670EFE" w:rsidRPr="00FA56E6" w:rsidRDefault="0089584E" w:rsidP="00D27500">
            <w:pPr>
              <w:rPr>
                <w:sz w:val="20"/>
                <w:szCs w:val="20"/>
              </w:rPr>
            </w:pPr>
            <w:r w:rsidRPr="00FA56E6">
              <w:rPr>
                <w:sz w:val="20"/>
                <w:szCs w:val="20"/>
              </w:rPr>
              <w:t>Biostatistics Unit</w:t>
            </w:r>
            <w:r w:rsidR="00D44E71">
              <w:rPr>
                <w:sz w:val="20"/>
                <w:szCs w:val="20"/>
              </w:rPr>
              <w:t xml:space="preserve"> </w:t>
            </w:r>
            <w:r w:rsidR="00D44E71" w:rsidRPr="00D44E71">
              <w:rPr>
                <w:sz w:val="20"/>
                <w:szCs w:val="20"/>
              </w:rPr>
              <w:t>–</w:t>
            </w:r>
            <w:r w:rsidRPr="00FA56E6">
              <w:rPr>
                <w:sz w:val="20"/>
                <w:szCs w:val="20"/>
              </w:rPr>
              <w:t xml:space="preserve"> Faculty of Health</w:t>
            </w:r>
            <w:r w:rsidR="0001369A" w:rsidRPr="00FA56E6">
              <w:rPr>
                <w:sz w:val="20"/>
                <w:szCs w:val="20"/>
              </w:rPr>
              <w:t>.</w:t>
            </w:r>
            <w:r w:rsidRPr="00FA56E6">
              <w:rPr>
                <w:sz w:val="20"/>
                <w:szCs w:val="20"/>
              </w:rPr>
              <w:t xml:space="preserve"> </w:t>
            </w:r>
          </w:p>
        </w:tc>
        <w:tc>
          <w:tcPr>
            <w:tcW w:w="1802" w:type="dxa"/>
          </w:tcPr>
          <w:p w14:paraId="6D0B0700" w14:textId="77777777" w:rsidR="0006553D" w:rsidRPr="00FA56E6" w:rsidRDefault="00546A88" w:rsidP="00D27500">
            <w:pPr>
              <w:rPr>
                <w:rFonts w:eastAsia="Calibri"/>
                <w:sz w:val="20"/>
                <w:szCs w:val="20"/>
              </w:rPr>
            </w:pPr>
            <w:r w:rsidRPr="00FA56E6">
              <w:rPr>
                <w:rFonts w:eastAsia="Calibri"/>
                <w:sz w:val="20"/>
                <w:szCs w:val="20"/>
              </w:rPr>
              <w:t xml:space="preserve">Collaborate with internal researchers to </w:t>
            </w:r>
            <w:r w:rsidR="0006553D" w:rsidRPr="00FA56E6">
              <w:rPr>
                <w:rFonts w:eastAsia="Calibri"/>
                <w:sz w:val="20"/>
                <w:szCs w:val="20"/>
              </w:rPr>
              <w:t>co-design evaluation approach.</w:t>
            </w:r>
          </w:p>
          <w:p w14:paraId="6C85C8FD" w14:textId="3B150A5F" w:rsidR="00670EFE" w:rsidRPr="00FA56E6" w:rsidRDefault="003011FB" w:rsidP="00D27500">
            <w:pPr>
              <w:rPr>
                <w:sz w:val="20"/>
                <w:szCs w:val="20"/>
              </w:rPr>
            </w:pPr>
            <w:r w:rsidRPr="00FA56E6">
              <w:rPr>
                <w:rFonts w:eastAsia="Calibri"/>
                <w:sz w:val="20"/>
                <w:szCs w:val="20"/>
              </w:rPr>
              <w:t>Translate and establish mutual understanding of student equity practice and evaluative discipline.</w:t>
            </w:r>
          </w:p>
        </w:tc>
        <w:tc>
          <w:tcPr>
            <w:tcW w:w="1800" w:type="dxa"/>
            <w:vAlign w:val="center"/>
          </w:tcPr>
          <w:p w14:paraId="637C952F" w14:textId="47434132" w:rsidR="00670EFE" w:rsidRPr="00FA56E6" w:rsidRDefault="004F7A51" w:rsidP="00D27500">
            <w:pPr>
              <w:rPr>
                <w:sz w:val="20"/>
                <w:szCs w:val="20"/>
              </w:rPr>
            </w:pPr>
            <w:r w:rsidRPr="00FA56E6">
              <w:rPr>
                <w:sz w:val="20"/>
                <w:szCs w:val="20"/>
              </w:rPr>
              <w:t>October 2025</w:t>
            </w:r>
            <w:r w:rsidR="0001369A" w:rsidRPr="00FA56E6">
              <w:rPr>
                <w:sz w:val="20"/>
                <w:szCs w:val="20"/>
              </w:rPr>
              <w:t>.</w:t>
            </w:r>
            <w:r w:rsidR="00670EFE" w:rsidRPr="00FA56E6">
              <w:rPr>
                <w:rFonts w:eastAsia="Calibri"/>
                <w:sz w:val="20"/>
                <w:szCs w:val="20"/>
              </w:rPr>
              <w:t xml:space="preserve"> </w:t>
            </w:r>
          </w:p>
        </w:tc>
        <w:tc>
          <w:tcPr>
            <w:tcW w:w="1801" w:type="dxa"/>
            <w:vAlign w:val="center"/>
          </w:tcPr>
          <w:p w14:paraId="203ACDED" w14:textId="77777777" w:rsidR="00B666CE" w:rsidRPr="00FA56E6" w:rsidRDefault="009979FF" w:rsidP="00D27500">
            <w:pPr>
              <w:rPr>
                <w:rFonts w:eastAsia="Calibri"/>
                <w:sz w:val="20"/>
                <w:szCs w:val="20"/>
              </w:rPr>
            </w:pPr>
            <w:r w:rsidRPr="00FA56E6">
              <w:rPr>
                <w:rFonts w:eastAsia="Calibri"/>
                <w:sz w:val="20"/>
                <w:szCs w:val="20"/>
              </w:rPr>
              <w:t>Workable evaluation dataset</w:t>
            </w:r>
            <w:r w:rsidR="00B666CE" w:rsidRPr="00FA56E6">
              <w:rPr>
                <w:rFonts w:eastAsia="Calibri"/>
                <w:sz w:val="20"/>
                <w:szCs w:val="20"/>
              </w:rPr>
              <w:t xml:space="preserve"> delivered at appropriate granularity for analysis</w:t>
            </w:r>
            <w:r w:rsidR="00670EFE" w:rsidRPr="00FA56E6">
              <w:rPr>
                <w:rFonts w:eastAsia="Calibri"/>
                <w:sz w:val="20"/>
                <w:szCs w:val="20"/>
              </w:rPr>
              <w:t>.</w:t>
            </w:r>
          </w:p>
          <w:p w14:paraId="3D740EE8" w14:textId="6E192011" w:rsidR="00670EFE" w:rsidRPr="00FA56E6" w:rsidRDefault="00B666CE" w:rsidP="00D27500">
            <w:pPr>
              <w:rPr>
                <w:sz w:val="20"/>
                <w:szCs w:val="20"/>
              </w:rPr>
            </w:pPr>
            <w:r w:rsidRPr="00FA56E6">
              <w:rPr>
                <w:rFonts w:eastAsia="Calibri"/>
                <w:sz w:val="20"/>
                <w:szCs w:val="20"/>
              </w:rPr>
              <w:t>Early-stage learnings uncovered</w:t>
            </w:r>
            <w:r w:rsidR="00712669" w:rsidRPr="00FA56E6">
              <w:rPr>
                <w:rFonts w:eastAsia="Calibri"/>
                <w:sz w:val="20"/>
                <w:szCs w:val="20"/>
              </w:rPr>
              <w:t xml:space="preserve"> and future challenges and/or next steps identified.</w:t>
            </w:r>
            <w:r w:rsidR="00670EFE" w:rsidRPr="00FA56E6">
              <w:rPr>
                <w:rFonts w:eastAsia="Calibri"/>
                <w:sz w:val="20"/>
                <w:szCs w:val="20"/>
              </w:rPr>
              <w:t xml:space="preserve"> </w:t>
            </w:r>
          </w:p>
        </w:tc>
      </w:tr>
    </w:tbl>
    <w:p w14:paraId="67CA28D4" w14:textId="73DAD322" w:rsidR="006C4BF4" w:rsidRPr="006C4BF4" w:rsidRDefault="006C4BF4" w:rsidP="006C4BF4">
      <w:pPr>
        <w:spacing w:after="168" w:line="266" w:lineRule="auto"/>
        <w:ind w:left="-4" w:hanging="10"/>
        <w:rPr>
          <w:rFonts w:ascii="Calibri" w:eastAsia="Calibri" w:hAnsi="Calibri" w:cs="Calibri"/>
          <w:color w:val="000000"/>
          <w:szCs w:val="24"/>
          <w:lang w:val="en-NZ" w:eastAsia="en-NZ"/>
        </w:rPr>
      </w:pPr>
    </w:p>
    <w:p w14:paraId="3326228B" w14:textId="06271B5A" w:rsidR="006C4BF4" w:rsidRPr="006C4BF4" w:rsidRDefault="006C4BF4" w:rsidP="00D27500">
      <w:pPr>
        <w:rPr>
          <w:lang w:val="en-NZ" w:eastAsia="en-NZ"/>
        </w:rPr>
      </w:pPr>
      <w:r w:rsidRPr="006C4BF4">
        <w:rPr>
          <w:lang w:val="en-NZ" w:eastAsia="en-NZ"/>
        </w:rPr>
        <w:t xml:space="preserve">This project drew on </w:t>
      </w:r>
      <w:r w:rsidR="00901973">
        <w:rPr>
          <w:lang w:val="en-NZ" w:eastAsia="en-NZ"/>
        </w:rPr>
        <w:t xml:space="preserve">equity program </w:t>
      </w:r>
      <w:r w:rsidRPr="006C4BF4">
        <w:rPr>
          <w:lang w:val="en-NZ" w:eastAsia="en-NZ"/>
        </w:rPr>
        <w:t>subject matter expertise from the Equity &amp; Inclusion and Academic Governance and Standards team</w:t>
      </w:r>
      <w:r w:rsidR="00901973">
        <w:rPr>
          <w:lang w:val="en-NZ" w:eastAsia="en-NZ"/>
        </w:rPr>
        <w:t xml:space="preserve"> members</w:t>
      </w:r>
      <w:r w:rsidR="00D44E71">
        <w:rPr>
          <w:lang w:val="en-NZ" w:eastAsia="en-NZ"/>
        </w:rPr>
        <w:t>;</w:t>
      </w:r>
      <w:r w:rsidR="00901973">
        <w:rPr>
          <w:lang w:val="en-NZ" w:eastAsia="en-NZ"/>
        </w:rPr>
        <w:t xml:space="preserve"> </w:t>
      </w:r>
      <w:r w:rsidRPr="006C4BF4">
        <w:rPr>
          <w:lang w:val="en-NZ" w:eastAsia="en-NZ"/>
        </w:rPr>
        <w:t>technical and data engineering capabilities from Deakin Analytics &amp; Insights</w:t>
      </w:r>
      <w:r w:rsidR="00D44E71">
        <w:rPr>
          <w:lang w:val="en-NZ" w:eastAsia="en-NZ"/>
        </w:rPr>
        <w:t>;</w:t>
      </w:r>
      <w:r w:rsidRPr="006C4BF4">
        <w:rPr>
          <w:lang w:val="en-NZ" w:eastAsia="en-NZ"/>
        </w:rPr>
        <w:t xml:space="preserve"> and iterative, specialised feedback from biostatisticians in the Faculty of Health. It also relied on enterprise data management support from the Data Platforms team and consultation with the Government Reporting team within Student Information Services and Systems, who manage the </w:t>
      </w:r>
      <w:r w:rsidR="006906A9">
        <w:rPr>
          <w:lang w:val="en-NZ" w:eastAsia="en-NZ"/>
        </w:rPr>
        <w:t>“</w:t>
      </w:r>
      <w:r w:rsidRPr="006C4BF4">
        <w:rPr>
          <w:lang w:val="en-NZ" w:eastAsia="en-NZ"/>
        </w:rPr>
        <w:t>first reported address</w:t>
      </w:r>
      <w:r w:rsidR="006906A9">
        <w:rPr>
          <w:lang w:val="en-NZ" w:eastAsia="en-NZ"/>
        </w:rPr>
        <w:t>”</w:t>
      </w:r>
      <w:r w:rsidRPr="006C4BF4">
        <w:rPr>
          <w:lang w:val="en-NZ" w:eastAsia="en-NZ"/>
        </w:rPr>
        <w:t xml:space="preserve"> file and serve as the primary liaison with</w:t>
      </w:r>
      <w:r w:rsidR="001A43EE">
        <w:rPr>
          <w:lang w:val="en-NZ" w:eastAsia="en-NZ"/>
        </w:rPr>
        <w:t xml:space="preserve"> </w:t>
      </w:r>
      <w:r w:rsidR="00D3078A">
        <w:rPr>
          <w:lang w:val="en-NZ" w:eastAsia="en-NZ"/>
        </w:rPr>
        <w:t xml:space="preserve">the Federal </w:t>
      </w:r>
      <w:r w:rsidR="00547C03">
        <w:rPr>
          <w:lang w:val="en-NZ" w:eastAsia="en-NZ"/>
        </w:rPr>
        <w:t>G</w:t>
      </w:r>
      <w:r w:rsidR="00D3078A">
        <w:rPr>
          <w:lang w:val="en-NZ" w:eastAsia="en-NZ"/>
        </w:rPr>
        <w:t>overnment</w:t>
      </w:r>
      <w:r w:rsidR="00547C03">
        <w:rPr>
          <w:lang w:val="en-NZ" w:eastAsia="en-NZ"/>
        </w:rPr>
        <w:t>’</w:t>
      </w:r>
      <w:r w:rsidR="00D3078A">
        <w:rPr>
          <w:lang w:val="en-NZ" w:eastAsia="en-NZ"/>
        </w:rPr>
        <w:t>s data collection</w:t>
      </w:r>
      <w:r w:rsidR="00B3662E">
        <w:rPr>
          <w:lang w:val="en-NZ" w:eastAsia="en-NZ"/>
        </w:rPr>
        <w:t xml:space="preserve"> divisions</w:t>
      </w:r>
      <w:r w:rsidR="00D3078A">
        <w:rPr>
          <w:lang w:val="en-NZ" w:eastAsia="en-NZ"/>
        </w:rPr>
        <w:t xml:space="preserve"> (</w:t>
      </w:r>
      <w:r w:rsidR="00547C03">
        <w:rPr>
          <w:lang w:val="en-NZ" w:eastAsia="en-NZ"/>
        </w:rPr>
        <w:t>for example</w:t>
      </w:r>
      <w:r w:rsidR="00D3078A">
        <w:rPr>
          <w:lang w:val="en-NZ" w:eastAsia="en-NZ"/>
        </w:rPr>
        <w:t xml:space="preserve">, </w:t>
      </w:r>
      <w:r w:rsidRPr="006C4BF4">
        <w:rPr>
          <w:lang w:val="en-NZ" w:eastAsia="en-NZ"/>
        </w:rPr>
        <w:t>Tertiary Collection of Student Information</w:t>
      </w:r>
      <w:r w:rsidR="00547C03">
        <w:rPr>
          <w:lang w:val="en-NZ" w:eastAsia="en-NZ"/>
        </w:rPr>
        <w:t xml:space="preserve"> (TCSI</w:t>
      </w:r>
      <w:r w:rsidRPr="006C4BF4">
        <w:rPr>
          <w:lang w:val="en-NZ" w:eastAsia="en-NZ"/>
        </w:rPr>
        <w:t>)</w:t>
      </w:r>
      <w:r w:rsidR="00D3078A">
        <w:rPr>
          <w:lang w:val="en-NZ" w:eastAsia="en-NZ"/>
        </w:rPr>
        <w:t>)</w:t>
      </w:r>
      <w:r w:rsidRPr="006C4BF4">
        <w:rPr>
          <w:lang w:val="en-NZ" w:eastAsia="en-NZ"/>
        </w:rPr>
        <w:t xml:space="preserve">. </w:t>
      </w:r>
    </w:p>
    <w:p w14:paraId="5908105A" w14:textId="16EB079F" w:rsidR="006C4BF4" w:rsidRPr="006C4BF4" w:rsidRDefault="006C4BF4" w:rsidP="00D27500">
      <w:pPr>
        <w:rPr>
          <w:lang w:val="en-NZ" w:eastAsia="en-NZ"/>
        </w:rPr>
      </w:pPr>
      <w:r w:rsidRPr="006C4BF4">
        <w:rPr>
          <w:lang w:val="en-NZ" w:eastAsia="en-NZ"/>
        </w:rPr>
        <w:t>Throughout the project, Equity &amp; Inclusion and Deakin Analytics &amp; Insights met approximately 19 times to workshop, conduct data discovery</w:t>
      </w:r>
      <w:r w:rsidR="00E411B3">
        <w:rPr>
          <w:lang w:val="en-NZ" w:eastAsia="en-NZ"/>
        </w:rPr>
        <w:t>,</w:t>
      </w:r>
      <w:r w:rsidRPr="006C4BF4">
        <w:rPr>
          <w:lang w:val="en-NZ" w:eastAsia="en-NZ"/>
        </w:rPr>
        <w:t xml:space="preserve"> and build shared</w:t>
      </w:r>
      <w:r w:rsidR="00ED245A">
        <w:rPr>
          <w:lang w:val="en-NZ" w:eastAsia="en-NZ"/>
        </w:rPr>
        <w:t xml:space="preserve"> </w:t>
      </w:r>
      <w:r w:rsidRPr="006C4BF4">
        <w:rPr>
          <w:lang w:val="en-NZ" w:eastAsia="en-NZ"/>
        </w:rPr>
        <w:t>understanding</w:t>
      </w:r>
      <w:r w:rsidR="00ED245A">
        <w:rPr>
          <w:lang w:val="en-NZ" w:eastAsia="en-NZ"/>
        </w:rPr>
        <w:t xml:space="preserve"> </w:t>
      </w:r>
      <w:r w:rsidRPr="006C4BF4">
        <w:rPr>
          <w:lang w:val="en-NZ" w:eastAsia="en-NZ"/>
        </w:rPr>
        <w:t xml:space="preserve">of program logic and system capabilities. Additionally, Equity &amp; Inclusion, Deakin Analytics &amp; Insights, and the Biostatistics Unit </w:t>
      </w:r>
      <w:r w:rsidR="00E411B3">
        <w:rPr>
          <w:rFonts w:eastAsia="Times New Roman" w:cs="Arial"/>
          <w:color w:val="000000"/>
        </w:rPr>
        <w:t xml:space="preserve">– </w:t>
      </w:r>
      <w:r w:rsidRPr="006C4BF4">
        <w:rPr>
          <w:lang w:val="en-NZ" w:eastAsia="en-NZ"/>
        </w:rPr>
        <w:t>Faculty of Health met approximately 10 times to refine which evaluation questions could be assessed with the information currently available</w:t>
      </w:r>
      <w:r w:rsidR="00D44E71">
        <w:rPr>
          <w:lang w:val="en-NZ" w:eastAsia="en-NZ"/>
        </w:rPr>
        <w:t>,</w:t>
      </w:r>
      <w:r w:rsidRPr="006C4BF4">
        <w:rPr>
          <w:lang w:val="en-NZ" w:eastAsia="en-NZ"/>
        </w:rPr>
        <w:t xml:space="preserve"> and proposed the type of data that will need to be collected in the future to address further questions. These meetings were also important for determining the level of data granularity required for analysis of the dataset.  </w:t>
      </w:r>
    </w:p>
    <w:p w14:paraId="2E7C0676" w14:textId="07AE9602" w:rsidR="007C219D" w:rsidRDefault="006C4BF4" w:rsidP="00D27500">
      <w:pPr>
        <w:rPr>
          <w:lang w:val="en-NZ" w:eastAsia="en-NZ"/>
        </w:rPr>
      </w:pPr>
      <w:r w:rsidRPr="006C4BF4">
        <w:rPr>
          <w:lang w:val="en-NZ" w:eastAsia="en-NZ"/>
        </w:rPr>
        <w:t>Beyond scheduled meetings, teams engaged in ad</w:t>
      </w:r>
      <w:r w:rsidR="00D44E71">
        <w:rPr>
          <w:lang w:val="en-NZ" w:eastAsia="en-NZ"/>
        </w:rPr>
        <w:t xml:space="preserve"> </w:t>
      </w:r>
      <w:r w:rsidRPr="006C4BF4">
        <w:rPr>
          <w:lang w:val="en-NZ" w:eastAsia="en-NZ"/>
        </w:rPr>
        <w:t>hoc collaboration and undertook substantial independent work to advance the project. Equity &amp; Inclusion consolidated and coded historical HEPPP data for input; Deakin Analytics &amp; Insights engineered the data and developed an integration</w:t>
      </w:r>
      <w:r w:rsidR="00C22C33">
        <w:rPr>
          <w:lang w:val="en-NZ" w:eastAsia="en-NZ"/>
        </w:rPr>
        <w:t>-</w:t>
      </w:r>
      <w:r w:rsidRPr="006C4BF4">
        <w:rPr>
          <w:lang w:val="en-NZ" w:eastAsia="en-NZ"/>
        </w:rPr>
        <w:t xml:space="preserve">ready data model; and the Biostatistics Unit reviewed prototype datasets and helped refine the evaluation questions and establish an appropriate statistical analysis plan.  </w:t>
      </w:r>
    </w:p>
    <w:p w14:paraId="7CE1CA81" w14:textId="39412C32" w:rsidR="00C22C33" w:rsidRDefault="00C22C33" w:rsidP="00366122">
      <w:pPr>
        <w:pStyle w:val="Heading2"/>
        <w:ind w:left="851"/>
        <w:rPr>
          <w:rFonts w:eastAsia="Calibri"/>
          <w:lang w:val="en-NZ"/>
        </w:rPr>
      </w:pPr>
      <w:r>
        <w:rPr>
          <w:rFonts w:eastAsia="Calibri"/>
          <w:lang w:val="en-NZ"/>
        </w:rPr>
        <w:lastRenderedPageBreak/>
        <w:t>Challenges and enablers</w:t>
      </w:r>
    </w:p>
    <w:p w14:paraId="4A8E87B1" w14:textId="77777777" w:rsidR="00C22C33" w:rsidRPr="00C22C33" w:rsidRDefault="00C22C33" w:rsidP="008B08A1">
      <w:pPr>
        <w:rPr>
          <w:lang w:val="en-NZ" w:eastAsia="en-NZ"/>
        </w:rPr>
      </w:pPr>
      <w:r w:rsidRPr="00C22C33">
        <w:rPr>
          <w:lang w:val="en-NZ" w:eastAsia="en-NZ"/>
        </w:rPr>
        <w:t xml:space="preserve">Some challenges included: </w:t>
      </w:r>
    </w:p>
    <w:p w14:paraId="791E03E3" w14:textId="34998225" w:rsidR="007250EF" w:rsidRPr="000C611D" w:rsidRDefault="00C22C33" w:rsidP="008B08A1">
      <w:pPr>
        <w:pStyle w:val="ListParagraph"/>
        <w:numPr>
          <w:ilvl w:val="0"/>
          <w:numId w:val="15"/>
        </w:numPr>
        <w:rPr>
          <w:lang w:val="en-NZ" w:eastAsia="en-NZ"/>
        </w:rPr>
      </w:pPr>
      <w:r w:rsidRPr="00547C03">
        <w:rPr>
          <w:b/>
          <w:lang w:val="en-NZ" w:eastAsia="en-NZ"/>
        </w:rPr>
        <w:t>Exploratory process took time:</w:t>
      </w:r>
      <w:r w:rsidRPr="000C611D">
        <w:rPr>
          <w:lang w:val="en-NZ" w:eastAsia="en-NZ"/>
        </w:rPr>
        <w:t xml:space="preserve"> The project required iterative discovery and problem</w:t>
      </w:r>
      <w:r w:rsidR="00942996">
        <w:rPr>
          <w:lang w:val="en-NZ" w:eastAsia="en-NZ"/>
        </w:rPr>
        <w:t xml:space="preserve"> </w:t>
      </w:r>
      <w:r w:rsidRPr="000C611D">
        <w:rPr>
          <w:lang w:val="en-NZ" w:eastAsia="en-NZ"/>
        </w:rPr>
        <w:t xml:space="preserve">solving, which extended timelines.  </w:t>
      </w:r>
    </w:p>
    <w:p w14:paraId="3E45B63D" w14:textId="77777777" w:rsidR="00942996" w:rsidRPr="00942996" w:rsidRDefault="00942996" w:rsidP="00942996">
      <w:pPr>
        <w:pStyle w:val="ListParagraph"/>
        <w:ind w:left="720"/>
        <w:rPr>
          <w:lang w:val="en-NZ" w:eastAsia="en-NZ"/>
        </w:rPr>
      </w:pPr>
    </w:p>
    <w:p w14:paraId="70DCE06C" w14:textId="5C8D92CD" w:rsidR="007250EF" w:rsidRPr="000C611D" w:rsidRDefault="00C22C33" w:rsidP="008B08A1">
      <w:pPr>
        <w:pStyle w:val="ListParagraph"/>
        <w:numPr>
          <w:ilvl w:val="0"/>
          <w:numId w:val="15"/>
        </w:numPr>
        <w:rPr>
          <w:lang w:val="en-NZ" w:eastAsia="en-NZ"/>
        </w:rPr>
      </w:pPr>
      <w:r w:rsidRPr="00547C03">
        <w:rPr>
          <w:b/>
          <w:lang w:val="en-NZ" w:eastAsia="en-NZ"/>
        </w:rPr>
        <w:t>Establishing a common technical language across disciplines:</w:t>
      </w:r>
      <w:r w:rsidRPr="000C611D">
        <w:rPr>
          <w:lang w:val="en-NZ" w:eastAsia="en-NZ"/>
        </w:rPr>
        <w:t xml:space="preserve"> Aligning technical and operational perspectives meant bridging differences in terminology and understanding of requirements.  </w:t>
      </w:r>
    </w:p>
    <w:p w14:paraId="251C33DA" w14:textId="77777777" w:rsidR="00942996" w:rsidRPr="00942996" w:rsidRDefault="00942996" w:rsidP="00942996">
      <w:pPr>
        <w:pStyle w:val="ListParagraph"/>
        <w:ind w:left="720"/>
        <w:rPr>
          <w:lang w:val="en-NZ" w:eastAsia="en-NZ"/>
        </w:rPr>
      </w:pPr>
    </w:p>
    <w:p w14:paraId="12511069" w14:textId="743B619A" w:rsidR="00C22C33" w:rsidRPr="000C611D" w:rsidRDefault="00C22C33" w:rsidP="008B08A1">
      <w:pPr>
        <w:pStyle w:val="ListParagraph"/>
        <w:numPr>
          <w:ilvl w:val="0"/>
          <w:numId w:val="15"/>
        </w:numPr>
        <w:rPr>
          <w:lang w:val="en-NZ" w:eastAsia="en-NZ"/>
        </w:rPr>
      </w:pPr>
      <w:r w:rsidRPr="00547C03">
        <w:rPr>
          <w:b/>
          <w:lang w:val="en-NZ" w:eastAsia="en-NZ"/>
        </w:rPr>
        <w:t>Volume of data:</w:t>
      </w:r>
      <w:r w:rsidRPr="000C611D">
        <w:rPr>
          <w:b/>
          <w:lang w:val="en-NZ" w:eastAsia="en-NZ"/>
        </w:rPr>
        <w:t xml:space="preserve"> </w:t>
      </w:r>
      <w:r w:rsidRPr="000C611D">
        <w:rPr>
          <w:lang w:val="en-NZ" w:eastAsia="en-NZ"/>
        </w:rPr>
        <w:t>A shift from scarcity to abundance. While access to data</w:t>
      </w:r>
      <w:r w:rsidR="00DD1663">
        <w:rPr>
          <w:lang w:val="en-NZ" w:eastAsia="en-NZ"/>
        </w:rPr>
        <w:t xml:space="preserve"> has</w:t>
      </w:r>
      <w:r w:rsidRPr="000C611D">
        <w:rPr>
          <w:lang w:val="en-NZ" w:eastAsia="en-NZ"/>
        </w:rPr>
        <w:t xml:space="preserve"> improved significantly, the challenge</w:t>
      </w:r>
      <w:r w:rsidR="00DD1663">
        <w:rPr>
          <w:lang w:val="en-NZ" w:eastAsia="en-NZ"/>
        </w:rPr>
        <w:t xml:space="preserve"> has transitioned to</w:t>
      </w:r>
      <w:r w:rsidRPr="000C611D">
        <w:rPr>
          <w:lang w:val="en-NZ" w:eastAsia="en-NZ"/>
        </w:rPr>
        <w:t xml:space="preserve"> making sense of large complex datasets. This means: </w:t>
      </w:r>
    </w:p>
    <w:p w14:paraId="0BCAF2DE" w14:textId="77777777" w:rsidR="00942996" w:rsidRDefault="00942996" w:rsidP="00942996">
      <w:pPr>
        <w:pStyle w:val="ListParagraph"/>
        <w:ind w:left="1440"/>
        <w:rPr>
          <w:lang w:val="en-NZ" w:eastAsia="en-NZ"/>
        </w:rPr>
      </w:pPr>
    </w:p>
    <w:p w14:paraId="4AEF5559" w14:textId="53F8D331" w:rsidR="00C22C33" w:rsidRPr="000C611D" w:rsidRDefault="00C22C33" w:rsidP="008B08A1">
      <w:pPr>
        <w:pStyle w:val="ListParagraph"/>
        <w:numPr>
          <w:ilvl w:val="0"/>
          <w:numId w:val="18"/>
        </w:numPr>
        <w:rPr>
          <w:lang w:val="en-NZ" w:eastAsia="en-NZ"/>
        </w:rPr>
      </w:pPr>
      <w:r w:rsidRPr="000C611D">
        <w:rPr>
          <w:lang w:val="en-NZ" w:eastAsia="en-NZ"/>
        </w:rPr>
        <w:t xml:space="preserve">For senior leadership: Identifying what data supports strategic program decisions.  </w:t>
      </w:r>
    </w:p>
    <w:p w14:paraId="5AAA22EE" w14:textId="77777777" w:rsidR="00C22C33" w:rsidRPr="000C611D" w:rsidRDefault="00C22C33" w:rsidP="008B08A1">
      <w:pPr>
        <w:pStyle w:val="ListParagraph"/>
        <w:numPr>
          <w:ilvl w:val="0"/>
          <w:numId w:val="18"/>
        </w:numPr>
        <w:rPr>
          <w:lang w:val="en-NZ" w:eastAsia="en-NZ"/>
        </w:rPr>
      </w:pPr>
      <w:r w:rsidRPr="000C611D">
        <w:rPr>
          <w:lang w:val="en-NZ" w:eastAsia="en-NZ"/>
        </w:rPr>
        <w:t xml:space="preserve">For project teams: Determining what informs operational direction.  </w:t>
      </w:r>
    </w:p>
    <w:p w14:paraId="4C0AD801" w14:textId="5CAD9EBF" w:rsidR="00C22C33" w:rsidRPr="00635D21" w:rsidRDefault="00C57031" w:rsidP="00547C03">
      <w:pPr>
        <w:ind w:left="720"/>
        <w:rPr>
          <w:lang w:val="en-NZ" w:eastAsia="en-NZ"/>
        </w:rPr>
      </w:pPr>
      <w:r>
        <w:rPr>
          <w:lang w:val="en-NZ" w:eastAsia="en-NZ"/>
        </w:rPr>
        <w:t>T</w:t>
      </w:r>
      <w:r w:rsidR="00C22C33" w:rsidRPr="00C57031">
        <w:rPr>
          <w:lang w:val="en-NZ" w:eastAsia="en-NZ"/>
        </w:rPr>
        <w:t xml:space="preserve">he </w:t>
      </w:r>
      <w:r w:rsidR="00821206" w:rsidRPr="00C57031">
        <w:rPr>
          <w:lang w:val="en-NZ" w:eastAsia="en-NZ"/>
        </w:rPr>
        <w:t>goal</w:t>
      </w:r>
      <w:r w:rsidR="00C22C33" w:rsidRPr="00C57031">
        <w:rPr>
          <w:lang w:val="en-NZ" w:eastAsia="en-NZ"/>
        </w:rPr>
        <w:t xml:space="preserve"> </w:t>
      </w:r>
      <w:r w:rsidR="00DD1663">
        <w:rPr>
          <w:lang w:val="en-NZ" w:eastAsia="en-NZ"/>
        </w:rPr>
        <w:t xml:space="preserve">of future work </w:t>
      </w:r>
      <w:r w:rsidR="00181ED3">
        <w:rPr>
          <w:lang w:val="en-NZ" w:eastAsia="en-NZ"/>
        </w:rPr>
        <w:t>will be to ensure</w:t>
      </w:r>
      <w:r w:rsidR="00C22C33" w:rsidRPr="00C57031">
        <w:rPr>
          <w:lang w:val="en-NZ" w:eastAsia="en-NZ"/>
        </w:rPr>
        <w:t xml:space="preserve"> data insights translate into better outcomes for students, not just more information. </w:t>
      </w:r>
    </w:p>
    <w:p w14:paraId="0FFE1B92" w14:textId="33708DFC" w:rsidR="00C22C33" w:rsidRPr="001F70D7" w:rsidRDefault="00C22C33" w:rsidP="00547C03">
      <w:pPr>
        <w:pStyle w:val="ListParagraph"/>
        <w:numPr>
          <w:ilvl w:val="0"/>
          <w:numId w:val="15"/>
        </w:numPr>
        <w:rPr>
          <w:lang w:val="en-NZ" w:eastAsia="en-NZ"/>
        </w:rPr>
      </w:pPr>
      <w:r w:rsidRPr="00547C03">
        <w:rPr>
          <w:b/>
          <w:lang w:val="en-NZ" w:eastAsia="en-NZ"/>
        </w:rPr>
        <w:t>Intentional data collection:</w:t>
      </w:r>
      <w:r w:rsidRPr="000C611D">
        <w:rPr>
          <w:lang w:val="en-NZ" w:eastAsia="en-NZ"/>
        </w:rPr>
        <w:t xml:space="preserve"> The next challenge is not to collect more data immediately, but to ensure that data collection is purposeful and aligned with program strategy. </w:t>
      </w:r>
      <w:r w:rsidR="001F70D7" w:rsidRPr="001F70D7">
        <w:rPr>
          <w:lang w:val="en-NZ" w:eastAsia="en-NZ"/>
        </w:rPr>
        <w:t xml:space="preserve">The recommendation </w:t>
      </w:r>
      <w:r w:rsidR="00275026">
        <w:rPr>
          <w:lang w:val="en-NZ" w:eastAsia="en-NZ"/>
        </w:rPr>
        <w:t>is</w:t>
      </w:r>
      <w:r w:rsidR="001F70D7" w:rsidRPr="001F70D7">
        <w:rPr>
          <w:lang w:val="en-NZ" w:eastAsia="en-NZ"/>
        </w:rPr>
        <w:t xml:space="preserve"> to </w:t>
      </w:r>
      <w:r w:rsidR="001F70D7">
        <w:rPr>
          <w:lang w:val="en-NZ" w:eastAsia="en-NZ"/>
        </w:rPr>
        <w:t>g</w:t>
      </w:r>
      <w:r w:rsidRPr="001F70D7">
        <w:rPr>
          <w:lang w:val="en-NZ" w:eastAsia="en-NZ"/>
        </w:rPr>
        <w:t>ather new data only if it addresses a clearly defined critical gap and will directly inform program strategy or operational improvements</w:t>
      </w:r>
      <w:r w:rsidR="00E411B3" w:rsidRPr="001F70D7">
        <w:rPr>
          <w:lang w:val="en-NZ" w:eastAsia="en-NZ"/>
        </w:rPr>
        <w:t>—</w:t>
      </w:r>
      <w:r w:rsidRPr="001F70D7">
        <w:rPr>
          <w:lang w:val="en-NZ" w:eastAsia="en-NZ"/>
        </w:rPr>
        <w:t xml:space="preserve">ultimately enhancing support for students. </w:t>
      </w:r>
    </w:p>
    <w:p w14:paraId="22745A27" w14:textId="77777777" w:rsidR="00C22C33" w:rsidRPr="00C22C33" w:rsidRDefault="00C22C33" w:rsidP="008B08A1">
      <w:pPr>
        <w:rPr>
          <w:lang w:val="en-NZ" w:eastAsia="en-NZ"/>
        </w:rPr>
      </w:pPr>
      <w:r w:rsidRPr="00C22C33">
        <w:rPr>
          <w:lang w:val="en-NZ" w:eastAsia="en-NZ"/>
        </w:rPr>
        <w:t xml:space="preserve">Some enablers included:  </w:t>
      </w:r>
    </w:p>
    <w:p w14:paraId="1C2A2B17" w14:textId="23A45F36" w:rsidR="007250EF" w:rsidRPr="000C611D" w:rsidRDefault="00C22C33" w:rsidP="008B08A1">
      <w:pPr>
        <w:pStyle w:val="ListParagraph"/>
        <w:numPr>
          <w:ilvl w:val="0"/>
          <w:numId w:val="19"/>
        </w:numPr>
        <w:rPr>
          <w:lang w:val="en-NZ" w:eastAsia="en-NZ"/>
        </w:rPr>
      </w:pPr>
      <w:r w:rsidRPr="00547C03">
        <w:rPr>
          <w:b/>
          <w:lang w:val="en-NZ" w:eastAsia="en-NZ"/>
        </w:rPr>
        <w:t xml:space="preserve">Resourcing: </w:t>
      </w:r>
      <w:r w:rsidRPr="000C611D">
        <w:rPr>
          <w:lang w:val="en-NZ" w:eastAsia="en-NZ"/>
        </w:rPr>
        <w:t>Funding support from ACSES, HEPPP</w:t>
      </w:r>
      <w:r w:rsidR="00E411B3">
        <w:rPr>
          <w:lang w:val="en-NZ" w:eastAsia="en-NZ"/>
        </w:rPr>
        <w:t>,</w:t>
      </w:r>
      <w:r w:rsidRPr="000C611D">
        <w:rPr>
          <w:lang w:val="en-NZ" w:eastAsia="en-NZ"/>
        </w:rPr>
        <w:t xml:space="preserve"> and in-kind contributions from Deakin provided the financial and operational capacity to deliver the project.  </w:t>
      </w:r>
    </w:p>
    <w:p w14:paraId="63159291" w14:textId="77777777" w:rsidR="005A5AAE" w:rsidRPr="005A5AAE" w:rsidRDefault="005A5AAE" w:rsidP="005A5AAE">
      <w:pPr>
        <w:pStyle w:val="ListParagraph"/>
        <w:ind w:left="720"/>
        <w:rPr>
          <w:lang w:val="en-NZ" w:eastAsia="en-NZ"/>
        </w:rPr>
      </w:pPr>
    </w:p>
    <w:p w14:paraId="2C9ECBCE" w14:textId="64A32D81" w:rsidR="007250EF" w:rsidRPr="000C611D" w:rsidRDefault="00C22C33" w:rsidP="008B08A1">
      <w:pPr>
        <w:pStyle w:val="ListParagraph"/>
        <w:numPr>
          <w:ilvl w:val="0"/>
          <w:numId w:val="19"/>
        </w:numPr>
        <w:rPr>
          <w:lang w:val="en-NZ" w:eastAsia="en-NZ"/>
        </w:rPr>
      </w:pPr>
      <w:r w:rsidRPr="00547C03">
        <w:rPr>
          <w:b/>
          <w:lang w:val="en-NZ" w:eastAsia="en-NZ"/>
        </w:rPr>
        <w:t>Senior leadership trust and support:</w:t>
      </w:r>
      <w:r w:rsidRPr="000C611D">
        <w:rPr>
          <w:b/>
          <w:lang w:val="en-NZ" w:eastAsia="en-NZ"/>
        </w:rPr>
        <w:t xml:space="preserve"> </w:t>
      </w:r>
      <w:r w:rsidRPr="000C611D">
        <w:rPr>
          <w:lang w:val="en-NZ" w:eastAsia="en-NZ"/>
        </w:rPr>
        <w:t>Leaders offered autonomy and confidence in the team’s approach, allowing flexibility when deviations from the original plan were necessary.</w:t>
      </w:r>
    </w:p>
    <w:p w14:paraId="631E6947" w14:textId="77777777" w:rsidR="005A5AAE" w:rsidRPr="005A5AAE" w:rsidRDefault="005A5AAE" w:rsidP="005A5AAE">
      <w:pPr>
        <w:pStyle w:val="ListParagraph"/>
        <w:ind w:left="720"/>
        <w:rPr>
          <w:lang w:val="en-NZ" w:eastAsia="en-NZ"/>
        </w:rPr>
      </w:pPr>
    </w:p>
    <w:p w14:paraId="0E6BFDDE" w14:textId="10D42DE1" w:rsidR="007250EF" w:rsidRPr="000C611D" w:rsidRDefault="00C22C33" w:rsidP="008B08A1">
      <w:pPr>
        <w:pStyle w:val="ListParagraph"/>
        <w:numPr>
          <w:ilvl w:val="0"/>
          <w:numId w:val="19"/>
        </w:numPr>
        <w:rPr>
          <w:lang w:val="en-NZ" w:eastAsia="en-NZ"/>
        </w:rPr>
      </w:pPr>
      <w:r w:rsidRPr="00547C03">
        <w:rPr>
          <w:b/>
          <w:lang w:val="en-NZ" w:eastAsia="en-NZ"/>
        </w:rPr>
        <w:t>Right mix of expertise:</w:t>
      </w:r>
      <w:r w:rsidRPr="000C611D">
        <w:rPr>
          <w:b/>
          <w:lang w:val="en-NZ" w:eastAsia="en-NZ"/>
        </w:rPr>
        <w:t xml:space="preserve"> </w:t>
      </w:r>
      <w:r w:rsidRPr="000C611D">
        <w:rPr>
          <w:lang w:val="en-NZ" w:eastAsia="en-NZ"/>
        </w:rPr>
        <w:t>The team combined data analytics specialists, biostatisticians</w:t>
      </w:r>
      <w:r w:rsidR="005A5AAE">
        <w:rPr>
          <w:lang w:val="en-NZ" w:eastAsia="en-NZ"/>
        </w:rPr>
        <w:t>,</w:t>
      </w:r>
      <w:r w:rsidRPr="000C611D">
        <w:rPr>
          <w:lang w:val="en-NZ" w:eastAsia="en-NZ"/>
        </w:rPr>
        <w:t xml:space="preserve"> and equity program experts, all of whom could both function with an operational lens and consider strategic alignment</w:t>
      </w:r>
      <w:r w:rsidR="00E411B3">
        <w:rPr>
          <w:lang w:val="en-NZ" w:eastAsia="en-NZ"/>
        </w:rPr>
        <w:t>,</w:t>
      </w:r>
      <w:r w:rsidRPr="000C611D">
        <w:rPr>
          <w:lang w:val="en-NZ" w:eastAsia="en-NZ"/>
        </w:rPr>
        <w:t xml:space="preserve"> ensuring both technical rigo</w:t>
      </w:r>
      <w:r w:rsidR="005A5AAE">
        <w:rPr>
          <w:lang w:val="en-NZ" w:eastAsia="en-NZ"/>
        </w:rPr>
        <w:t>u</w:t>
      </w:r>
      <w:r w:rsidRPr="000C611D">
        <w:rPr>
          <w:lang w:val="en-NZ" w:eastAsia="en-NZ"/>
        </w:rPr>
        <w:t xml:space="preserve">r and contextual relevance.  </w:t>
      </w:r>
    </w:p>
    <w:p w14:paraId="632D85D8" w14:textId="77777777" w:rsidR="005A5AAE" w:rsidRPr="005A5AAE" w:rsidRDefault="005A5AAE" w:rsidP="005A5AAE">
      <w:pPr>
        <w:pStyle w:val="ListParagraph"/>
        <w:ind w:left="720"/>
        <w:rPr>
          <w:b/>
          <w:lang w:val="en-NZ" w:eastAsia="en-NZ"/>
        </w:rPr>
      </w:pPr>
    </w:p>
    <w:p w14:paraId="3734E02A" w14:textId="1E659D7E" w:rsidR="00C22C33" w:rsidRPr="000C611D" w:rsidRDefault="00C22C33" w:rsidP="008B08A1">
      <w:pPr>
        <w:pStyle w:val="ListParagraph"/>
        <w:numPr>
          <w:ilvl w:val="0"/>
          <w:numId w:val="19"/>
        </w:numPr>
        <w:rPr>
          <w:lang w:val="en-NZ" w:eastAsia="en-NZ"/>
        </w:rPr>
      </w:pPr>
      <w:r w:rsidRPr="00547C03">
        <w:rPr>
          <w:b/>
          <w:lang w:val="en-NZ" w:eastAsia="en-NZ"/>
        </w:rPr>
        <w:t>Culture of collective leadership:</w:t>
      </w:r>
      <w:r w:rsidRPr="000C611D">
        <w:rPr>
          <w:b/>
          <w:lang w:val="en-NZ" w:eastAsia="en-NZ"/>
        </w:rPr>
        <w:t xml:space="preserve"> </w:t>
      </w:r>
      <w:r w:rsidRPr="000C611D">
        <w:rPr>
          <w:lang w:val="en-NZ" w:eastAsia="en-NZ"/>
        </w:rPr>
        <w:t>Shared accountability and collaborative decision</w:t>
      </w:r>
      <w:r w:rsidR="005A5AAE">
        <w:rPr>
          <w:lang w:val="en-NZ" w:eastAsia="en-NZ"/>
        </w:rPr>
        <w:t xml:space="preserve"> </w:t>
      </w:r>
      <w:r w:rsidRPr="000C611D">
        <w:rPr>
          <w:lang w:val="en-NZ" w:eastAsia="en-NZ"/>
        </w:rPr>
        <w:t xml:space="preserve">making maintained momentum throughout the project. </w:t>
      </w:r>
    </w:p>
    <w:p w14:paraId="4B7AD557" w14:textId="2B67D891" w:rsidR="00C22C33" w:rsidRDefault="00F2721A" w:rsidP="007250EF">
      <w:pPr>
        <w:pStyle w:val="Heading1"/>
        <w:rPr>
          <w:rFonts w:eastAsia="Calibri"/>
          <w:lang w:val="en-NZ" w:eastAsia="en-NZ"/>
        </w:rPr>
      </w:pPr>
      <w:r>
        <w:rPr>
          <w:rFonts w:eastAsia="Calibri"/>
          <w:lang w:val="en-NZ" w:eastAsia="en-NZ"/>
        </w:rPr>
        <w:lastRenderedPageBreak/>
        <w:t>Outputs</w:t>
      </w:r>
    </w:p>
    <w:p w14:paraId="72B39474" w14:textId="62743CC7" w:rsidR="00323DDD" w:rsidRPr="00323DDD" w:rsidRDefault="00323DDD" w:rsidP="008B08A1">
      <w:pPr>
        <w:pStyle w:val="Heading2"/>
        <w:ind w:left="851"/>
        <w:rPr>
          <w:rFonts w:eastAsia="Calibri"/>
          <w:lang w:val="en-NZ"/>
        </w:rPr>
      </w:pPr>
      <w:r w:rsidRPr="00323DDD">
        <w:rPr>
          <w:rFonts w:eastAsia="Calibri"/>
          <w:lang w:val="en-NZ"/>
        </w:rPr>
        <w:t xml:space="preserve">Key </w:t>
      </w:r>
      <w:r w:rsidR="00575CE1">
        <w:rPr>
          <w:rFonts w:eastAsia="Calibri"/>
          <w:lang w:val="en-NZ"/>
        </w:rPr>
        <w:t>r</w:t>
      </w:r>
      <w:r w:rsidRPr="00323DDD">
        <w:rPr>
          <w:rFonts w:eastAsia="Calibri"/>
          <w:lang w:val="en-NZ"/>
        </w:rPr>
        <w:t xml:space="preserve">esults </w:t>
      </w:r>
    </w:p>
    <w:p w14:paraId="6E5323A5" w14:textId="77777777" w:rsidR="00323DDD" w:rsidRPr="00323DDD" w:rsidRDefault="00323DDD" w:rsidP="008B08A1">
      <w:pPr>
        <w:rPr>
          <w:lang w:val="en-NZ" w:eastAsia="en-NZ"/>
        </w:rPr>
      </w:pPr>
      <w:r w:rsidRPr="00323DDD">
        <w:rPr>
          <w:b/>
          <w:lang w:val="en-NZ" w:eastAsia="en-NZ"/>
        </w:rPr>
        <w:t>Data structure and governance</w:t>
      </w:r>
      <w:r w:rsidRPr="00323DDD">
        <w:rPr>
          <w:lang w:val="en-NZ" w:eastAsia="en-NZ"/>
        </w:rPr>
        <w:t xml:space="preserve">: Delivered a data model to allow integration of datasets, supported by a data dictionary, naming conventions, and governance documentation to ensure consistency and sustainability. </w:t>
      </w:r>
    </w:p>
    <w:p w14:paraId="068B5460" w14:textId="77777777" w:rsidR="00323DDD" w:rsidRPr="00323DDD" w:rsidRDefault="00323DDD" w:rsidP="008B08A1">
      <w:pPr>
        <w:rPr>
          <w:lang w:val="en-NZ" w:eastAsia="en-NZ"/>
        </w:rPr>
      </w:pPr>
      <w:r w:rsidRPr="00323DDD">
        <w:rPr>
          <w:b/>
          <w:lang w:val="en-NZ" w:eastAsia="en-NZ"/>
        </w:rPr>
        <w:t>Student equity monitoring dashboard</w:t>
      </w:r>
      <w:r w:rsidRPr="00323DDD">
        <w:rPr>
          <w:lang w:val="en-NZ" w:eastAsia="en-NZ"/>
        </w:rPr>
        <w:t xml:space="preserve">: Developed a dashboard to support program planning and monitoring, enabling a shift from static to dynamic reporting. </w:t>
      </w:r>
    </w:p>
    <w:p w14:paraId="25D7BDC8" w14:textId="51C3534A" w:rsidR="00323DDD" w:rsidRPr="00323DDD" w:rsidRDefault="00323DDD" w:rsidP="008B08A1">
      <w:pPr>
        <w:rPr>
          <w:lang w:val="en-NZ" w:eastAsia="en-NZ"/>
        </w:rPr>
      </w:pPr>
      <w:r w:rsidRPr="00323DDD">
        <w:rPr>
          <w:b/>
          <w:lang w:val="en-NZ" w:eastAsia="en-NZ"/>
        </w:rPr>
        <w:t>Dataset for analysis:</w:t>
      </w:r>
      <w:r w:rsidRPr="00323DDD">
        <w:rPr>
          <w:lang w:val="en-NZ" w:eastAsia="en-NZ"/>
        </w:rPr>
        <w:t xml:space="preserve"> Delivered a longitudinal dataset capable of tracking engagement across programs and years, supporting future impact evaluation. </w:t>
      </w:r>
      <w:r w:rsidRPr="00323DDD">
        <w:rPr>
          <w:b/>
          <w:lang w:val="en-NZ" w:eastAsia="en-NZ"/>
        </w:rPr>
        <w:t xml:space="preserve"> </w:t>
      </w:r>
    </w:p>
    <w:p w14:paraId="60987559" w14:textId="77777777" w:rsidR="00323DDD" w:rsidRPr="00074F76" w:rsidRDefault="00323DDD" w:rsidP="005312E8">
      <w:pPr>
        <w:pStyle w:val="Heading2"/>
        <w:ind w:left="900"/>
      </w:pPr>
      <w:r w:rsidRPr="00074F76">
        <w:t xml:space="preserve">Key Learnings and Findings </w:t>
      </w:r>
    </w:p>
    <w:p w14:paraId="53DAD36A" w14:textId="7AB1BDB6" w:rsidR="00323DDD" w:rsidRPr="008B08A1" w:rsidRDefault="00323DDD" w:rsidP="00546DE8">
      <w:pPr>
        <w:pStyle w:val="Heading3"/>
        <w:rPr>
          <w:bCs w:val="0"/>
        </w:rPr>
      </w:pPr>
      <w:r w:rsidRPr="008B08A1">
        <w:t xml:space="preserve">Non-linear implementation of the SEHEEF </w:t>
      </w:r>
    </w:p>
    <w:p w14:paraId="23082445" w14:textId="2063DF8D" w:rsidR="00F2721A" w:rsidRDefault="00323DDD" w:rsidP="008B08A1">
      <w:pPr>
        <w:rPr>
          <w:lang w:val="en-NZ" w:eastAsia="en-NZ"/>
        </w:rPr>
      </w:pPr>
      <w:r w:rsidRPr="00323DDD">
        <w:rPr>
          <w:lang w:val="en-NZ" w:eastAsia="en-NZ"/>
        </w:rPr>
        <w:t xml:space="preserve">Embedding the SEHEEF is not a linear process. Elements of </w:t>
      </w:r>
      <w:r w:rsidR="00CD5C7C">
        <w:rPr>
          <w:lang w:val="en-NZ" w:eastAsia="en-NZ"/>
        </w:rPr>
        <w:t>s</w:t>
      </w:r>
      <w:r w:rsidRPr="00323DDD">
        <w:rPr>
          <w:lang w:val="en-NZ" w:eastAsia="en-NZ"/>
        </w:rPr>
        <w:t xml:space="preserve">tages </w:t>
      </w:r>
      <w:r w:rsidR="00825D24">
        <w:rPr>
          <w:lang w:val="en-NZ" w:eastAsia="en-NZ"/>
        </w:rPr>
        <w:t>two</w:t>
      </w:r>
      <w:r w:rsidRPr="00323DDD">
        <w:rPr>
          <w:lang w:val="en-NZ" w:eastAsia="en-NZ"/>
        </w:rPr>
        <w:t xml:space="preserve"> and </w:t>
      </w:r>
      <w:r w:rsidR="00825D24">
        <w:rPr>
          <w:lang w:val="en-NZ" w:eastAsia="en-NZ"/>
        </w:rPr>
        <w:t>three</w:t>
      </w:r>
      <w:r w:rsidRPr="00323DDD">
        <w:rPr>
          <w:lang w:val="en-NZ" w:eastAsia="en-NZ"/>
        </w:rPr>
        <w:t xml:space="preserve"> progressed concurrently, with refinement occurring through cycles of development, trial</w:t>
      </w:r>
      <w:r w:rsidR="00CD5C7C">
        <w:rPr>
          <w:lang w:val="en-NZ" w:eastAsia="en-NZ"/>
        </w:rPr>
        <w:t>,</w:t>
      </w:r>
      <w:r w:rsidRPr="00323DDD">
        <w:rPr>
          <w:lang w:val="en-NZ" w:eastAsia="en-NZ"/>
        </w:rPr>
        <w:t xml:space="preserve"> and review. </w:t>
      </w:r>
    </w:p>
    <w:p w14:paraId="08DE2C75" w14:textId="77777777" w:rsidR="00323DDD" w:rsidRPr="00546DE8" w:rsidRDefault="00323DDD" w:rsidP="00546DE8">
      <w:pPr>
        <w:pStyle w:val="Heading3"/>
        <w:rPr>
          <w:bCs w:val="0"/>
        </w:rPr>
      </w:pPr>
      <w:r w:rsidRPr="00546DE8">
        <w:t xml:space="preserve">Complexity in defining equity indicators </w:t>
      </w:r>
    </w:p>
    <w:p w14:paraId="4E5C3E20" w14:textId="77777777" w:rsidR="00323DDD" w:rsidRPr="00323DDD" w:rsidRDefault="00323DDD" w:rsidP="00546DE8">
      <w:pPr>
        <w:rPr>
          <w:lang w:val="en-NZ" w:eastAsia="en-NZ"/>
        </w:rPr>
      </w:pPr>
      <w:r w:rsidRPr="00323DDD">
        <w:rPr>
          <w:lang w:val="en-NZ" w:eastAsia="en-NZ"/>
        </w:rPr>
        <w:t xml:space="preserve">The process of reviewing enterprise equity definitions to ensure policy alignment identified cases that needed further consideration in the first reported address file, including: </w:t>
      </w:r>
    </w:p>
    <w:p w14:paraId="43C81F40" w14:textId="7BD94B08" w:rsidR="00323DDD" w:rsidRPr="000C611D" w:rsidRDefault="00825D24" w:rsidP="00546DE8">
      <w:pPr>
        <w:pStyle w:val="ListParagraph"/>
        <w:numPr>
          <w:ilvl w:val="0"/>
          <w:numId w:val="21"/>
        </w:numPr>
        <w:rPr>
          <w:lang w:val="en-NZ" w:eastAsia="en-NZ"/>
        </w:rPr>
      </w:pPr>
      <w:r>
        <w:rPr>
          <w:lang w:val="en-NZ" w:eastAsia="en-NZ"/>
        </w:rPr>
        <w:t>i</w:t>
      </w:r>
      <w:r w:rsidR="00323DDD" w:rsidRPr="000C611D">
        <w:rPr>
          <w:lang w:val="en-NZ" w:eastAsia="en-NZ"/>
        </w:rPr>
        <w:t xml:space="preserve">nternational students who become domestic students during their course </w:t>
      </w:r>
    </w:p>
    <w:p w14:paraId="6F63BAFB" w14:textId="3F19554C" w:rsidR="00323DDD" w:rsidRPr="000C611D" w:rsidRDefault="00825D24" w:rsidP="00546DE8">
      <w:pPr>
        <w:pStyle w:val="ListParagraph"/>
        <w:numPr>
          <w:ilvl w:val="0"/>
          <w:numId w:val="21"/>
        </w:numPr>
        <w:rPr>
          <w:lang w:val="en-NZ" w:eastAsia="en-NZ"/>
        </w:rPr>
      </w:pPr>
      <w:r>
        <w:rPr>
          <w:lang w:val="en-NZ" w:eastAsia="en-NZ"/>
        </w:rPr>
        <w:t>d</w:t>
      </w:r>
      <w:r w:rsidR="00323DDD" w:rsidRPr="000C611D">
        <w:rPr>
          <w:lang w:val="en-NZ" w:eastAsia="en-NZ"/>
        </w:rPr>
        <w:t xml:space="preserve">omestic students living overseas. </w:t>
      </w:r>
    </w:p>
    <w:p w14:paraId="3ED1E236" w14:textId="3DDC8840" w:rsidR="00F2721A" w:rsidRDefault="00323DDD" w:rsidP="00546DE8">
      <w:pPr>
        <w:rPr>
          <w:lang w:val="en-NZ" w:eastAsia="en-NZ"/>
        </w:rPr>
      </w:pPr>
      <w:r w:rsidRPr="00323DDD">
        <w:rPr>
          <w:lang w:val="en-NZ" w:eastAsia="en-NZ"/>
        </w:rPr>
        <w:t>These cases have been escalated to University Statistics and TCSI, prompting a review prior to providing actionable advice.</w:t>
      </w:r>
    </w:p>
    <w:p w14:paraId="5888FC06" w14:textId="643E7EB6" w:rsidR="00323DDD" w:rsidRPr="00546DE8" w:rsidRDefault="00323DDD" w:rsidP="00F555E6">
      <w:pPr>
        <w:pStyle w:val="Heading3"/>
        <w:rPr>
          <w:bCs w:val="0"/>
        </w:rPr>
      </w:pPr>
      <w:r w:rsidRPr="00546DE8">
        <w:t xml:space="preserve">Not all engagement equals a count of one </w:t>
      </w:r>
    </w:p>
    <w:p w14:paraId="1A394A73" w14:textId="4E0F3821" w:rsidR="00323DDD" w:rsidRPr="00323DDD" w:rsidRDefault="00323DDD" w:rsidP="00546DE8">
      <w:pPr>
        <w:rPr>
          <w:lang w:val="en-NZ" w:eastAsia="en-NZ"/>
        </w:rPr>
      </w:pPr>
      <w:r w:rsidRPr="00323DDD">
        <w:rPr>
          <w:lang w:val="en-NZ" w:eastAsia="en-NZ"/>
        </w:rPr>
        <w:t>Evaluation design must account for the nature, depth</w:t>
      </w:r>
      <w:r w:rsidR="00E411B3">
        <w:rPr>
          <w:lang w:val="en-NZ" w:eastAsia="en-NZ"/>
        </w:rPr>
        <w:t>,</w:t>
      </w:r>
      <w:r w:rsidRPr="00323DDD">
        <w:rPr>
          <w:lang w:val="en-NZ" w:eastAsia="en-NZ"/>
        </w:rPr>
        <w:t xml:space="preserve"> and frequency of engagement. For example, a single activity type</w:t>
      </w:r>
      <w:r w:rsidR="00E411B3">
        <w:rPr>
          <w:lang w:val="en-NZ" w:eastAsia="en-NZ"/>
        </w:rPr>
        <w:t>—</w:t>
      </w:r>
      <w:r w:rsidRPr="00323DDD">
        <w:rPr>
          <w:lang w:val="en-NZ" w:eastAsia="en-NZ"/>
        </w:rPr>
        <w:t>such as a scholarship</w:t>
      </w:r>
      <w:r w:rsidR="00E411B3">
        <w:rPr>
          <w:lang w:val="en-NZ" w:eastAsia="en-NZ"/>
        </w:rPr>
        <w:t>—</w:t>
      </w:r>
      <w:r w:rsidRPr="00323DDD">
        <w:rPr>
          <w:lang w:val="en-NZ" w:eastAsia="en-NZ"/>
        </w:rPr>
        <w:t xml:space="preserve">can vary significantly depending on its value and delivery schedule. Similarly, one-to-one peer mentoring differs from a group study session, even though both may be recorded as a single count of engagement. </w:t>
      </w:r>
    </w:p>
    <w:p w14:paraId="7EE53E18" w14:textId="1B7D902C" w:rsidR="00323DDD" w:rsidRDefault="00323DDD" w:rsidP="00546DE8">
      <w:pPr>
        <w:rPr>
          <w:b/>
          <w:lang w:val="en-NZ" w:eastAsia="en-NZ"/>
        </w:rPr>
      </w:pPr>
      <w:r w:rsidRPr="00323DDD">
        <w:rPr>
          <w:lang w:val="en-NZ" w:eastAsia="en-NZ"/>
        </w:rPr>
        <w:t xml:space="preserve">This highlights the need for a more nuanced approach to documenting activities and measuring engagement. A recommendation for future work is to develop an </w:t>
      </w:r>
      <w:r w:rsidRPr="006906A9">
        <w:rPr>
          <w:iCs/>
          <w:lang w:val="en-NZ" w:eastAsia="en-NZ"/>
        </w:rPr>
        <w:t>engagement matrix</w:t>
      </w:r>
      <w:r w:rsidRPr="00323DDD">
        <w:rPr>
          <w:lang w:val="en-NZ" w:eastAsia="en-NZ"/>
        </w:rPr>
        <w:t xml:space="preserve"> for equity program</w:t>
      </w:r>
      <w:r w:rsidR="003A7372">
        <w:rPr>
          <w:lang w:val="en-NZ" w:eastAsia="en-NZ"/>
        </w:rPr>
        <w:t>s</w:t>
      </w:r>
      <w:r w:rsidRPr="00323DDD">
        <w:rPr>
          <w:lang w:val="en-NZ" w:eastAsia="en-NZ"/>
        </w:rPr>
        <w:t xml:space="preserve">, to capture the variability and intensity of student interactions across initiatives and therefore support more accurate and meaningful evaluation. </w:t>
      </w:r>
      <w:r w:rsidRPr="00323DDD">
        <w:rPr>
          <w:b/>
          <w:lang w:val="en-NZ" w:eastAsia="en-NZ"/>
        </w:rPr>
        <w:t xml:space="preserve"> </w:t>
      </w:r>
    </w:p>
    <w:p w14:paraId="3B8C0B71" w14:textId="77777777" w:rsidR="00323DDD" w:rsidRPr="00F555E6" w:rsidRDefault="00323DDD" w:rsidP="00074F76">
      <w:pPr>
        <w:pStyle w:val="Heading3"/>
        <w:rPr>
          <w:bCs w:val="0"/>
        </w:rPr>
      </w:pPr>
      <w:r w:rsidRPr="00F555E6">
        <w:lastRenderedPageBreak/>
        <w:t xml:space="preserve">From static to dynamic planning and monitoring  </w:t>
      </w:r>
    </w:p>
    <w:p w14:paraId="069FB71C" w14:textId="77777777" w:rsidR="00323DDD" w:rsidRPr="00323DDD" w:rsidRDefault="00323DDD" w:rsidP="00F555E6">
      <w:pPr>
        <w:rPr>
          <w:lang w:val="en-NZ" w:eastAsia="en-NZ"/>
        </w:rPr>
      </w:pPr>
      <w:r w:rsidRPr="00323DDD">
        <w:rPr>
          <w:lang w:val="en-NZ" w:eastAsia="en-NZ"/>
        </w:rPr>
        <w:t xml:space="preserve">The transition to dynamic dashboards and integrated datasets has enabled more in-depth monitoring of HEPPP-funded initiatives. This shift provides richer insights into program performance, supports strategic decision-making, and fosters a culture of continuous improvement. </w:t>
      </w:r>
    </w:p>
    <w:p w14:paraId="38406478" w14:textId="77777777" w:rsidR="00323DDD" w:rsidRDefault="00323DDD" w:rsidP="00F555E6">
      <w:pPr>
        <w:rPr>
          <w:lang w:val="en-NZ" w:eastAsia="en-NZ"/>
        </w:rPr>
      </w:pPr>
      <w:r w:rsidRPr="00323DDD">
        <w:rPr>
          <w:lang w:val="en-NZ" w:eastAsia="en-NZ"/>
        </w:rPr>
        <w:t xml:space="preserve">Importantly, this project has created opportunities for dynamic planning, where student management system (SMS) data can be used not only to monitor outcomes but also to proactively identify trends, design programs in response to emerging insights, and track progress towards desired outcomes over time. </w:t>
      </w:r>
    </w:p>
    <w:p w14:paraId="61B59F7F" w14:textId="35D98BE8" w:rsidR="00F2721A" w:rsidRPr="00323DDD" w:rsidRDefault="00F2721A" w:rsidP="00F555E6">
      <w:pPr>
        <w:pStyle w:val="Heading2"/>
        <w:ind w:left="851"/>
        <w:rPr>
          <w:rFonts w:eastAsia="Calibri"/>
          <w:lang w:val="en-NZ"/>
        </w:rPr>
      </w:pPr>
      <w:r>
        <w:rPr>
          <w:rFonts w:eastAsia="Calibri"/>
          <w:lang w:val="en-NZ"/>
        </w:rPr>
        <w:t>Next steps</w:t>
      </w:r>
    </w:p>
    <w:p w14:paraId="5A350210" w14:textId="61A79D19" w:rsidR="00F2721A" w:rsidRPr="00323DDD" w:rsidRDefault="00323DDD" w:rsidP="00F555E6">
      <w:pPr>
        <w:rPr>
          <w:lang w:val="en-NZ" w:eastAsia="en-NZ"/>
        </w:rPr>
      </w:pPr>
      <w:r w:rsidRPr="00323DDD">
        <w:rPr>
          <w:lang w:val="en-NZ" w:eastAsia="en-NZ"/>
        </w:rPr>
        <w:t xml:space="preserve">This work serves as a proof of concept for supporting dynamic planning. The next steps are to fully realise this in practice by: </w:t>
      </w:r>
    </w:p>
    <w:p w14:paraId="7BEE32D0" w14:textId="129AF4A1" w:rsidR="00F2721A" w:rsidRPr="00F555E6" w:rsidRDefault="00323DDD" w:rsidP="00074F76">
      <w:pPr>
        <w:pStyle w:val="Heading3"/>
        <w:rPr>
          <w:bCs w:val="0"/>
        </w:rPr>
      </w:pPr>
      <w:r w:rsidRPr="00F555E6">
        <w:t xml:space="preserve">Building data literacy and analytical capacity </w:t>
      </w:r>
    </w:p>
    <w:p w14:paraId="20FFBCE2" w14:textId="43094799" w:rsidR="00F2721A" w:rsidRDefault="00323DDD" w:rsidP="000C611D">
      <w:pPr>
        <w:rPr>
          <w:lang w:val="en-NZ" w:eastAsia="en-NZ"/>
        </w:rPr>
      </w:pPr>
      <w:r w:rsidRPr="00323DDD">
        <w:rPr>
          <w:lang w:val="en-NZ" w:eastAsia="en-NZ"/>
        </w:rPr>
        <w:t xml:space="preserve">Project teams need dedicated time and support to develop skills in asking meaningful evaluation questions, interpreting findings effectively, and translating insights into actionable improvements. </w:t>
      </w:r>
    </w:p>
    <w:p w14:paraId="63BFED18" w14:textId="2F02BE95" w:rsidR="00F2721A" w:rsidRPr="00F555E6" w:rsidRDefault="00323DDD" w:rsidP="00074F76">
      <w:pPr>
        <w:pStyle w:val="Heading3"/>
        <w:rPr>
          <w:bCs w:val="0"/>
        </w:rPr>
      </w:pPr>
      <w:r w:rsidRPr="00F555E6">
        <w:t xml:space="preserve">Developing an evaluation framework for </w:t>
      </w:r>
      <w:r w:rsidR="00A85390">
        <w:t xml:space="preserve">the </w:t>
      </w:r>
      <w:r w:rsidRPr="00F555E6">
        <w:t>equity program</w:t>
      </w:r>
      <w:r w:rsidR="00A85390">
        <w:t xml:space="preserve"> </w:t>
      </w:r>
      <w:r w:rsidRPr="00F555E6">
        <w:t xml:space="preserve">at Deakin </w:t>
      </w:r>
    </w:p>
    <w:p w14:paraId="7C03A055" w14:textId="43F40DE3" w:rsidR="00323DDD" w:rsidRPr="00323DDD" w:rsidRDefault="00323DDD" w:rsidP="00F555E6">
      <w:pPr>
        <w:rPr>
          <w:lang w:val="en-NZ" w:eastAsia="en-NZ"/>
        </w:rPr>
      </w:pPr>
      <w:r w:rsidRPr="00323DDD">
        <w:rPr>
          <w:lang w:val="en-NZ" w:eastAsia="en-NZ"/>
        </w:rPr>
        <w:t>The project has already enabled SMS data to inform primary outcomes for student success, establish benchmarks, and track student progress through longitudinal analysis</w:t>
      </w:r>
      <w:r w:rsidR="00E411B3">
        <w:rPr>
          <w:lang w:val="en-NZ" w:eastAsia="en-NZ"/>
        </w:rPr>
        <w:t>,</w:t>
      </w:r>
      <w:r w:rsidRPr="00323DDD">
        <w:rPr>
          <w:lang w:val="en-NZ" w:eastAsia="en-NZ"/>
        </w:rPr>
        <w:t xml:space="preserve"> laying the foundation for evidence-based equity program</w:t>
      </w:r>
      <w:r w:rsidR="00F36210">
        <w:rPr>
          <w:lang w:val="en-NZ" w:eastAsia="en-NZ"/>
        </w:rPr>
        <w:t xml:space="preserve"> design</w:t>
      </w:r>
      <w:r w:rsidR="00AB18D6">
        <w:rPr>
          <w:lang w:val="en-NZ" w:eastAsia="en-NZ"/>
        </w:rPr>
        <w:t>, monitoring</w:t>
      </w:r>
      <w:r w:rsidR="00CA7BC3">
        <w:rPr>
          <w:lang w:val="en-NZ" w:eastAsia="en-NZ"/>
        </w:rPr>
        <w:t>,</w:t>
      </w:r>
      <w:r w:rsidR="00AB18D6">
        <w:rPr>
          <w:lang w:val="en-NZ" w:eastAsia="en-NZ"/>
        </w:rPr>
        <w:t xml:space="preserve"> and evaluation</w:t>
      </w:r>
      <w:r w:rsidR="00F36210">
        <w:rPr>
          <w:lang w:val="en-NZ" w:eastAsia="en-NZ"/>
        </w:rPr>
        <w:t>.</w:t>
      </w:r>
    </w:p>
    <w:p w14:paraId="322AC81A" w14:textId="77777777" w:rsidR="00323DDD" w:rsidRPr="00323DDD" w:rsidRDefault="00323DDD" w:rsidP="00F555E6">
      <w:pPr>
        <w:rPr>
          <w:lang w:val="en-NZ" w:eastAsia="en-NZ"/>
        </w:rPr>
      </w:pPr>
      <w:r w:rsidRPr="00323DDD">
        <w:rPr>
          <w:lang w:val="en-NZ" w:eastAsia="en-NZ"/>
        </w:rPr>
        <w:t xml:space="preserve">Current primary outcomes being explored for whole-of-program evaluation include: </w:t>
      </w:r>
    </w:p>
    <w:p w14:paraId="2E4B6497" w14:textId="1C9990EB" w:rsidR="00323DDD" w:rsidRDefault="00323DDD" w:rsidP="00F555E6">
      <w:pPr>
        <w:pStyle w:val="ListParagraph"/>
        <w:numPr>
          <w:ilvl w:val="0"/>
          <w:numId w:val="22"/>
        </w:numPr>
        <w:rPr>
          <w:lang w:val="en-NZ" w:eastAsia="en-NZ"/>
        </w:rPr>
      </w:pPr>
      <w:r w:rsidRPr="00F555E6">
        <w:rPr>
          <w:lang w:val="en-NZ" w:eastAsia="en-NZ"/>
        </w:rPr>
        <w:t>Success</w:t>
      </w:r>
      <w:r w:rsidR="00CA7BC3">
        <w:rPr>
          <w:lang w:val="en-NZ" w:eastAsia="en-NZ"/>
        </w:rPr>
        <w:t>—</w:t>
      </w:r>
      <w:r w:rsidRPr="000C611D">
        <w:rPr>
          <w:lang w:val="en-NZ" w:eastAsia="en-NZ"/>
        </w:rPr>
        <w:t>viewed as the student success rate</w:t>
      </w:r>
      <w:r w:rsidR="007D27AC">
        <w:rPr>
          <w:lang w:val="en-NZ" w:eastAsia="en-NZ"/>
        </w:rPr>
        <w:t xml:space="preserve"> (pass rate)</w:t>
      </w:r>
      <w:r w:rsidRPr="000C611D">
        <w:rPr>
          <w:lang w:val="en-NZ" w:eastAsia="en-NZ"/>
        </w:rPr>
        <w:t xml:space="preserve">, defined as the number of units passed divided by the number of units enrolled within an academic year. </w:t>
      </w:r>
    </w:p>
    <w:p w14:paraId="4E67D13A" w14:textId="77777777" w:rsidR="0096736B" w:rsidRPr="000C611D" w:rsidRDefault="0096736B" w:rsidP="0096736B">
      <w:pPr>
        <w:pStyle w:val="ListParagraph"/>
        <w:ind w:left="720"/>
        <w:rPr>
          <w:lang w:val="en-NZ" w:eastAsia="en-NZ"/>
        </w:rPr>
      </w:pPr>
    </w:p>
    <w:p w14:paraId="1367F64A" w14:textId="1AF83653" w:rsidR="0096736B" w:rsidRPr="0096736B" w:rsidRDefault="00323DDD" w:rsidP="0096736B">
      <w:pPr>
        <w:pStyle w:val="ListParagraph"/>
        <w:numPr>
          <w:ilvl w:val="0"/>
          <w:numId w:val="22"/>
        </w:numPr>
        <w:rPr>
          <w:lang w:val="en-NZ" w:eastAsia="en-NZ"/>
        </w:rPr>
      </w:pPr>
      <w:r w:rsidRPr="00F555E6">
        <w:rPr>
          <w:lang w:val="en-NZ" w:eastAsia="en-NZ"/>
        </w:rPr>
        <w:t>Participation</w:t>
      </w:r>
      <w:r w:rsidR="00CA7BC3">
        <w:rPr>
          <w:lang w:val="en-NZ" w:eastAsia="en-NZ"/>
        </w:rPr>
        <w:t>—</w:t>
      </w:r>
      <w:r w:rsidRPr="000C611D">
        <w:rPr>
          <w:lang w:val="en-NZ" w:eastAsia="en-NZ"/>
        </w:rPr>
        <w:t>measured by participation indicators (student ID collected in activity’s administration data)</w:t>
      </w:r>
      <w:r w:rsidR="00E411B3">
        <w:rPr>
          <w:lang w:val="en-NZ" w:eastAsia="en-NZ"/>
        </w:rPr>
        <w:t>. T</w:t>
      </w:r>
      <w:r w:rsidRPr="000C611D">
        <w:rPr>
          <w:lang w:val="en-NZ" w:eastAsia="en-NZ"/>
        </w:rPr>
        <w:t xml:space="preserve">hese indicators can be used to estimate reach (participation rate) of the program or specific activities. </w:t>
      </w:r>
    </w:p>
    <w:p w14:paraId="1A3C391E" w14:textId="77777777" w:rsidR="0096736B" w:rsidRPr="000C611D" w:rsidRDefault="0096736B" w:rsidP="0096736B">
      <w:pPr>
        <w:pStyle w:val="ListParagraph"/>
        <w:ind w:left="720"/>
        <w:rPr>
          <w:lang w:val="en-NZ" w:eastAsia="en-NZ"/>
        </w:rPr>
      </w:pPr>
    </w:p>
    <w:p w14:paraId="54D9A620" w14:textId="03F01C2A" w:rsidR="00323DDD" w:rsidRPr="000C611D" w:rsidRDefault="00323DDD" w:rsidP="00F555E6">
      <w:pPr>
        <w:pStyle w:val="ListParagraph"/>
        <w:numPr>
          <w:ilvl w:val="0"/>
          <w:numId w:val="22"/>
        </w:numPr>
        <w:rPr>
          <w:lang w:val="en-NZ" w:eastAsia="en-NZ"/>
        </w:rPr>
      </w:pPr>
      <w:r w:rsidRPr="00F555E6">
        <w:rPr>
          <w:lang w:val="en-NZ" w:eastAsia="en-NZ"/>
        </w:rPr>
        <w:t>Retention</w:t>
      </w:r>
      <w:r w:rsidR="00CA7BC3">
        <w:rPr>
          <w:lang w:val="en-NZ" w:eastAsia="en-NZ"/>
        </w:rPr>
        <w:t>—</w:t>
      </w:r>
      <w:r w:rsidRPr="000C611D">
        <w:rPr>
          <w:lang w:val="en-NZ" w:eastAsia="en-NZ"/>
        </w:rPr>
        <w:t xml:space="preserve">categorised as continued course progression or course discontinuation, for reasons theoretically related to </w:t>
      </w:r>
      <w:r w:rsidR="001B0996">
        <w:rPr>
          <w:lang w:val="en-NZ" w:eastAsia="en-NZ"/>
        </w:rPr>
        <w:t xml:space="preserve">the </w:t>
      </w:r>
      <w:r w:rsidRPr="000C611D">
        <w:rPr>
          <w:lang w:val="en-NZ" w:eastAsia="en-NZ"/>
        </w:rPr>
        <w:t>program</w:t>
      </w:r>
      <w:r w:rsidR="0069320E">
        <w:rPr>
          <w:lang w:val="en-NZ" w:eastAsia="en-NZ"/>
        </w:rPr>
        <w:t>’</w:t>
      </w:r>
      <w:r w:rsidR="00BF0419">
        <w:rPr>
          <w:lang w:val="en-NZ" w:eastAsia="en-NZ"/>
        </w:rPr>
        <w:t>s</w:t>
      </w:r>
      <w:r w:rsidRPr="000C611D">
        <w:rPr>
          <w:lang w:val="en-NZ" w:eastAsia="en-NZ"/>
        </w:rPr>
        <w:t xml:space="preserve"> intent. These include students identifying the course as too difficult, financial reasons, and health reasons (as a proxy for wellbeing). </w:t>
      </w:r>
    </w:p>
    <w:p w14:paraId="3CC700BA" w14:textId="7F559EAD" w:rsidR="00323DDD" w:rsidRPr="00323DDD" w:rsidRDefault="00323DDD" w:rsidP="00F555E6">
      <w:pPr>
        <w:rPr>
          <w:lang w:val="en-NZ" w:eastAsia="en-NZ"/>
        </w:rPr>
      </w:pPr>
      <w:r w:rsidRPr="00323DDD">
        <w:rPr>
          <w:lang w:val="en-NZ" w:eastAsia="en-NZ"/>
        </w:rPr>
        <w:t>These outcomes can be defined at the individual student level and then aggregated in multiple ways (</w:t>
      </w:r>
      <w:r w:rsidR="00642DD0">
        <w:rPr>
          <w:lang w:val="en-NZ" w:eastAsia="en-NZ"/>
        </w:rPr>
        <w:t>for example</w:t>
      </w:r>
      <w:r w:rsidRPr="00323DDD">
        <w:rPr>
          <w:lang w:val="en-NZ" w:eastAsia="en-NZ"/>
        </w:rPr>
        <w:t xml:space="preserve">, by cohort, program, or activity). </w:t>
      </w:r>
    </w:p>
    <w:p w14:paraId="3973B703" w14:textId="28E1EC33" w:rsidR="00323DDD" w:rsidRPr="00323DDD" w:rsidRDefault="00323DDD" w:rsidP="72F2BDE2">
      <w:pPr>
        <w:rPr>
          <w:lang w:eastAsia="en-NZ"/>
        </w:rPr>
      </w:pPr>
      <w:r w:rsidRPr="72F2BDE2">
        <w:rPr>
          <w:lang w:eastAsia="en-NZ"/>
        </w:rPr>
        <w:t>In the future</w:t>
      </w:r>
      <w:r w:rsidR="0069320E">
        <w:rPr>
          <w:lang w:eastAsia="en-NZ"/>
        </w:rPr>
        <w:t>,</w:t>
      </w:r>
      <w:r w:rsidRPr="72F2BDE2">
        <w:rPr>
          <w:lang w:eastAsia="en-NZ"/>
        </w:rPr>
        <w:t xml:space="preserve"> we will aim to explore linkage of participation with Quality Indicators for Learning and Teaching (QILT) data to further understand relevant outcomes. The first </w:t>
      </w:r>
      <w:r w:rsidRPr="72F2BDE2">
        <w:rPr>
          <w:lang w:eastAsia="en-NZ"/>
        </w:rPr>
        <w:lastRenderedPageBreak/>
        <w:t xml:space="preserve">indicators to explore include </w:t>
      </w:r>
      <w:r w:rsidR="00642DD0" w:rsidRPr="72F2BDE2">
        <w:rPr>
          <w:lang w:eastAsia="en-NZ"/>
        </w:rPr>
        <w:t>“</w:t>
      </w:r>
      <w:r w:rsidRPr="72F2BDE2">
        <w:rPr>
          <w:lang w:eastAsia="en-NZ"/>
        </w:rPr>
        <w:t>sense of belonging to institution</w:t>
      </w:r>
      <w:r w:rsidR="00642DD0" w:rsidRPr="72F2BDE2">
        <w:rPr>
          <w:lang w:eastAsia="en-NZ"/>
        </w:rPr>
        <w:t>”</w:t>
      </w:r>
      <w:r w:rsidRPr="72F2BDE2">
        <w:rPr>
          <w:lang w:eastAsia="en-NZ"/>
        </w:rPr>
        <w:t xml:space="preserve"> and ratings of </w:t>
      </w:r>
      <w:r w:rsidR="00642DD0" w:rsidRPr="72F2BDE2">
        <w:rPr>
          <w:lang w:eastAsia="en-NZ"/>
        </w:rPr>
        <w:t>“</w:t>
      </w:r>
      <w:r w:rsidRPr="72F2BDE2">
        <w:rPr>
          <w:lang w:eastAsia="en-NZ"/>
        </w:rPr>
        <w:t>overall quality of educational experience</w:t>
      </w:r>
      <w:r w:rsidR="00642DD0" w:rsidRPr="72F2BDE2">
        <w:rPr>
          <w:lang w:eastAsia="en-NZ"/>
        </w:rPr>
        <w:t>”</w:t>
      </w:r>
      <w:r w:rsidRPr="72F2BDE2">
        <w:rPr>
          <w:lang w:eastAsia="en-NZ"/>
        </w:rPr>
        <w:t xml:space="preserve">. </w:t>
      </w:r>
    </w:p>
    <w:p w14:paraId="2740C6F5" w14:textId="77777777" w:rsidR="00323DDD" w:rsidRPr="00323DDD" w:rsidRDefault="00323DDD" w:rsidP="00F555E6">
      <w:pPr>
        <w:rPr>
          <w:lang w:val="en-NZ" w:eastAsia="en-NZ"/>
        </w:rPr>
      </w:pPr>
      <w:r w:rsidRPr="00323DDD">
        <w:rPr>
          <w:lang w:val="en-NZ" w:eastAsia="en-NZ"/>
        </w:rPr>
        <w:t xml:space="preserve">The report appendix provides examples of dashboard wireframes for monitoring and evaluation. </w:t>
      </w:r>
    </w:p>
    <w:p w14:paraId="7B1D68D0" w14:textId="1F7691D1" w:rsidR="00323DDD" w:rsidRDefault="00323DDD" w:rsidP="00F555E6">
      <w:pPr>
        <w:rPr>
          <w:lang w:val="en-NZ" w:eastAsia="en-NZ"/>
        </w:rPr>
      </w:pPr>
      <w:r w:rsidRPr="00323DDD">
        <w:rPr>
          <w:lang w:val="en-NZ" w:eastAsia="en-NZ"/>
        </w:rPr>
        <w:t>Crucially, this progress has been made possible through the capacity</w:t>
      </w:r>
      <w:r w:rsidR="0069320E">
        <w:rPr>
          <w:lang w:val="en-NZ" w:eastAsia="en-NZ"/>
        </w:rPr>
        <w:t xml:space="preserve"> </w:t>
      </w:r>
      <w:r w:rsidRPr="00323DDD">
        <w:rPr>
          <w:lang w:val="en-NZ" w:eastAsia="en-NZ"/>
        </w:rPr>
        <w:t>building which has occurred between teams</w:t>
      </w:r>
      <w:r w:rsidR="00642DD0">
        <w:rPr>
          <w:lang w:val="en-NZ" w:eastAsia="en-NZ"/>
        </w:rPr>
        <w:t xml:space="preserve">, </w:t>
      </w:r>
      <w:r w:rsidRPr="00323DDD">
        <w:rPr>
          <w:lang w:val="en-NZ" w:eastAsia="en-NZ"/>
        </w:rPr>
        <w:t>bringing together the data expertise of the Analytics &amp; Insights team with the program knowledge and subject matter expertise of Equity &amp; Inclusion</w:t>
      </w:r>
      <w:r w:rsidR="0069320E">
        <w:rPr>
          <w:lang w:val="en-NZ" w:eastAsia="en-NZ"/>
        </w:rPr>
        <w:t>,</w:t>
      </w:r>
      <w:r w:rsidRPr="00323DDD">
        <w:rPr>
          <w:lang w:val="en-NZ" w:eastAsia="en-NZ"/>
        </w:rPr>
        <w:t xml:space="preserve"> and the statistical rigo</w:t>
      </w:r>
      <w:r w:rsidR="0069320E">
        <w:rPr>
          <w:lang w:val="en-NZ" w:eastAsia="en-NZ"/>
        </w:rPr>
        <w:t>u</w:t>
      </w:r>
      <w:r w:rsidRPr="00323DDD">
        <w:rPr>
          <w:lang w:val="en-NZ" w:eastAsia="en-NZ"/>
        </w:rPr>
        <w:t xml:space="preserve">r of the Faculty of Health’s Biostatistics Unit. This collaboration has established a foundation for robust and meaningful evaluation of </w:t>
      </w:r>
      <w:r w:rsidR="0041483B">
        <w:rPr>
          <w:lang w:val="en-NZ" w:eastAsia="en-NZ"/>
        </w:rPr>
        <w:t xml:space="preserve">the </w:t>
      </w:r>
      <w:r w:rsidRPr="00323DDD">
        <w:rPr>
          <w:lang w:val="en-NZ" w:eastAsia="en-NZ"/>
        </w:rPr>
        <w:t xml:space="preserve">equity </w:t>
      </w:r>
      <w:r w:rsidR="0041483B">
        <w:rPr>
          <w:lang w:val="en-NZ" w:eastAsia="en-NZ"/>
        </w:rPr>
        <w:t>program.</w:t>
      </w:r>
    </w:p>
    <w:p w14:paraId="324ADC2A" w14:textId="77777777" w:rsidR="00323DDD" w:rsidRPr="00F555E6" w:rsidRDefault="00323DDD" w:rsidP="00074F76">
      <w:pPr>
        <w:pStyle w:val="Heading3"/>
        <w:rPr>
          <w:bCs w:val="0"/>
        </w:rPr>
      </w:pPr>
      <w:r w:rsidRPr="00F555E6">
        <w:t xml:space="preserve">Granularity matters </w:t>
      </w:r>
    </w:p>
    <w:p w14:paraId="7CED009C" w14:textId="04E06F0B" w:rsidR="00323DDD" w:rsidRPr="00323DDD" w:rsidRDefault="00323DDD" w:rsidP="72F2BDE2">
      <w:pPr>
        <w:rPr>
          <w:lang w:eastAsia="en-NZ"/>
        </w:rPr>
      </w:pPr>
      <w:r w:rsidRPr="72F2BDE2">
        <w:rPr>
          <w:lang w:eastAsia="en-NZ"/>
        </w:rPr>
        <w:t xml:space="preserve">The SEHEEF categorised system levels as </w:t>
      </w:r>
      <w:r w:rsidR="00642DD0" w:rsidRPr="72F2BDE2">
        <w:rPr>
          <w:lang w:eastAsia="en-NZ"/>
        </w:rPr>
        <w:t>“</w:t>
      </w:r>
      <w:r w:rsidRPr="72F2BDE2">
        <w:rPr>
          <w:lang w:eastAsia="en-NZ"/>
        </w:rPr>
        <w:t>student</w:t>
      </w:r>
      <w:r w:rsidR="00642DD0" w:rsidRPr="72F2BDE2">
        <w:rPr>
          <w:lang w:eastAsia="en-NZ"/>
        </w:rPr>
        <w:t>”</w:t>
      </w:r>
      <w:r w:rsidRPr="72F2BDE2">
        <w:rPr>
          <w:i/>
          <w:iCs/>
          <w:lang w:eastAsia="en-NZ"/>
        </w:rPr>
        <w:t xml:space="preserve">, </w:t>
      </w:r>
      <w:r w:rsidR="00642DD0" w:rsidRPr="72F2BDE2">
        <w:rPr>
          <w:i/>
          <w:iCs/>
          <w:lang w:eastAsia="en-NZ"/>
        </w:rPr>
        <w:t>“</w:t>
      </w:r>
      <w:r w:rsidRPr="72F2BDE2">
        <w:rPr>
          <w:lang w:eastAsia="en-NZ"/>
        </w:rPr>
        <w:t>family</w:t>
      </w:r>
      <w:r w:rsidR="00642DD0" w:rsidRPr="72F2BDE2">
        <w:rPr>
          <w:lang w:eastAsia="en-NZ"/>
        </w:rPr>
        <w:t>”</w:t>
      </w:r>
      <w:r w:rsidRPr="72F2BDE2">
        <w:rPr>
          <w:i/>
          <w:iCs/>
          <w:lang w:eastAsia="en-NZ"/>
        </w:rPr>
        <w:t xml:space="preserve">, </w:t>
      </w:r>
      <w:r w:rsidR="00642DD0" w:rsidRPr="72F2BDE2">
        <w:rPr>
          <w:lang w:eastAsia="en-NZ"/>
        </w:rPr>
        <w:t>“</w:t>
      </w:r>
      <w:r w:rsidRPr="72F2BDE2">
        <w:rPr>
          <w:lang w:eastAsia="en-NZ"/>
        </w:rPr>
        <w:t>community</w:t>
      </w:r>
      <w:r w:rsidR="00642DD0" w:rsidRPr="72F2BDE2">
        <w:rPr>
          <w:lang w:eastAsia="en-NZ"/>
        </w:rPr>
        <w:t>”,</w:t>
      </w:r>
      <w:r w:rsidRPr="72F2BDE2">
        <w:rPr>
          <w:lang w:eastAsia="en-NZ"/>
        </w:rPr>
        <w:t xml:space="preserve"> and </w:t>
      </w:r>
      <w:r w:rsidR="00642DD0" w:rsidRPr="72F2BDE2">
        <w:rPr>
          <w:lang w:eastAsia="en-NZ"/>
        </w:rPr>
        <w:t>“</w:t>
      </w:r>
      <w:r w:rsidRPr="72F2BDE2">
        <w:rPr>
          <w:lang w:eastAsia="en-NZ"/>
        </w:rPr>
        <w:t>institution</w:t>
      </w:r>
      <w:r w:rsidR="00642DD0" w:rsidRPr="72F2BDE2">
        <w:rPr>
          <w:lang w:eastAsia="en-NZ"/>
        </w:rPr>
        <w:t>”</w:t>
      </w:r>
      <w:r w:rsidRPr="72F2BDE2">
        <w:rPr>
          <w:i/>
          <w:iCs/>
          <w:lang w:eastAsia="en-NZ"/>
        </w:rPr>
        <w:t>.</w:t>
      </w:r>
      <w:r w:rsidRPr="72F2BDE2">
        <w:rPr>
          <w:lang w:eastAsia="en-NZ"/>
        </w:rPr>
        <w:t xml:space="preserve"> This project reinforced the importance of understanding engagement and intervention across multiple levels: </w:t>
      </w:r>
    </w:p>
    <w:p w14:paraId="2B3D5A35" w14:textId="4E13E79B" w:rsidR="00323DDD" w:rsidRPr="000C611D" w:rsidRDefault="00642DD0" w:rsidP="00F555E6">
      <w:pPr>
        <w:pStyle w:val="ListParagraph"/>
        <w:numPr>
          <w:ilvl w:val="0"/>
          <w:numId w:val="23"/>
        </w:numPr>
        <w:rPr>
          <w:lang w:val="en-NZ" w:eastAsia="en-NZ"/>
        </w:rPr>
      </w:pPr>
      <w:r>
        <w:rPr>
          <w:lang w:val="en-NZ" w:eastAsia="en-NZ"/>
        </w:rPr>
        <w:t>i</w:t>
      </w:r>
      <w:r w:rsidR="00323DDD" w:rsidRPr="000C611D">
        <w:rPr>
          <w:lang w:val="en-NZ" w:eastAsia="en-NZ"/>
        </w:rPr>
        <w:t xml:space="preserve">ndividual student level </w:t>
      </w:r>
    </w:p>
    <w:p w14:paraId="6BBA6EB4" w14:textId="700B32B9" w:rsidR="00323DDD" w:rsidRPr="000C611D" w:rsidRDefault="00642DD0" w:rsidP="00F555E6">
      <w:pPr>
        <w:pStyle w:val="ListParagraph"/>
        <w:numPr>
          <w:ilvl w:val="0"/>
          <w:numId w:val="23"/>
        </w:numPr>
        <w:rPr>
          <w:lang w:val="en-NZ" w:eastAsia="en-NZ"/>
        </w:rPr>
      </w:pPr>
      <w:r>
        <w:rPr>
          <w:lang w:val="en-NZ" w:eastAsia="en-NZ"/>
        </w:rPr>
        <w:t>s</w:t>
      </w:r>
      <w:r w:rsidR="00323DDD" w:rsidRPr="000C611D">
        <w:rPr>
          <w:lang w:val="en-NZ" w:eastAsia="en-NZ"/>
        </w:rPr>
        <w:t xml:space="preserve">econdary school level </w:t>
      </w:r>
    </w:p>
    <w:p w14:paraId="6A35EC38" w14:textId="7257F472" w:rsidR="00323DDD" w:rsidRPr="000C611D" w:rsidRDefault="00642DD0" w:rsidP="00F555E6">
      <w:pPr>
        <w:pStyle w:val="ListParagraph"/>
        <w:numPr>
          <w:ilvl w:val="0"/>
          <w:numId w:val="23"/>
        </w:numPr>
        <w:rPr>
          <w:lang w:val="en-NZ" w:eastAsia="en-NZ"/>
        </w:rPr>
      </w:pPr>
      <w:r>
        <w:rPr>
          <w:lang w:val="en-NZ" w:eastAsia="en-NZ"/>
        </w:rPr>
        <w:t>c</w:t>
      </w:r>
      <w:r w:rsidR="00323DDD" w:rsidRPr="000C611D">
        <w:rPr>
          <w:lang w:val="en-NZ" w:eastAsia="en-NZ"/>
        </w:rPr>
        <w:t xml:space="preserve">ommunity level </w:t>
      </w:r>
    </w:p>
    <w:p w14:paraId="31B411DC" w14:textId="0699D37C" w:rsidR="00323DDD" w:rsidRPr="000C611D" w:rsidRDefault="00642DD0" w:rsidP="00F555E6">
      <w:pPr>
        <w:pStyle w:val="ListParagraph"/>
        <w:numPr>
          <w:ilvl w:val="0"/>
          <w:numId w:val="23"/>
        </w:numPr>
        <w:rPr>
          <w:lang w:val="en-NZ" w:eastAsia="en-NZ"/>
        </w:rPr>
      </w:pPr>
      <w:r>
        <w:rPr>
          <w:lang w:val="en-NZ" w:eastAsia="en-NZ"/>
        </w:rPr>
        <w:t>u</w:t>
      </w:r>
      <w:r w:rsidR="00323DDD" w:rsidRPr="000C611D">
        <w:rPr>
          <w:lang w:val="en-NZ" w:eastAsia="en-NZ"/>
        </w:rPr>
        <w:t xml:space="preserve">nit level </w:t>
      </w:r>
    </w:p>
    <w:p w14:paraId="641E05E1" w14:textId="0CF3393F" w:rsidR="00323DDD" w:rsidRPr="000C611D" w:rsidRDefault="00642DD0" w:rsidP="00F555E6">
      <w:pPr>
        <w:pStyle w:val="ListParagraph"/>
        <w:numPr>
          <w:ilvl w:val="0"/>
          <w:numId w:val="23"/>
        </w:numPr>
        <w:rPr>
          <w:lang w:val="en-NZ" w:eastAsia="en-NZ"/>
        </w:rPr>
      </w:pPr>
      <w:r>
        <w:rPr>
          <w:lang w:val="en-NZ" w:eastAsia="en-NZ"/>
        </w:rPr>
        <w:t>c</w:t>
      </w:r>
      <w:r w:rsidR="00323DDD" w:rsidRPr="000C611D">
        <w:rPr>
          <w:lang w:val="en-NZ" w:eastAsia="en-NZ"/>
        </w:rPr>
        <w:t xml:space="preserve">ohort level </w:t>
      </w:r>
    </w:p>
    <w:p w14:paraId="6ED46439" w14:textId="7571BEB4" w:rsidR="00323DDD" w:rsidRPr="000C611D" w:rsidRDefault="00642DD0" w:rsidP="00F555E6">
      <w:pPr>
        <w:pStyle w:val="ListParagraph"/>
        <w:numPr>
          <w:ilvl w:val="0"/>
          <w:numId w:val="23"/>
        </w:numPr>
        <w:rPr>
          <w:lang w:val="en-NZ" w:eastAsia="en-NZ"/>
        </w:rPr>
      </w:pPr>
      <w:r>
        <w:rPr>
          <w:lang w:val="en-NZ" w:eastAsia="en-NZ"/>
        </w:rPr>
        <w:t>i</w:t>
      </w:r>
      <w:r w:rsidR="00323DDD" w:rsidRPr="000C611D">
        <w:rPr>
          <w:lang w:val="en-NZ" w:eastAsia="en-NZ"/>
        </w:rPr>
        <w:t>nstitution-wide level</w:t>
      </w:r>
      <w:r>
        <w:rPr>
          <w:lang w:val="en-NZ" w:eastAsia="en-NZ"/>
        </w:rPr>
        <w:t>.</w:t>
      </w:r>
    </w:p>
    <w:p w14:paraId="6515D697" w14:textId="765C6CD5" w:rsidR="00323DDD" w:rsidRPr="00323DDD" w:rsidRDefault="00323DDD" w:rsidP="00F555E6">
      <w:pPr>
        <w:rPr>
          <w:lang w:val="en-NZ" w:eastAsia="en-NZ"/>
        </w:rPr>
      </w:pPr>
      <w:r w:rsidRPr="00323DDD">
        <w:rPr>
          <w:lang w:val="en-NZ" w:eastAsia="en-NZ"/>
        </w:rPr>
        <w:t xml:space="preserve">A key outcome of the project was the need to scrutinise the intended system level with greater granularity than previously applied. This led to a refinement in how categories such as </w:t>
      </w:r>
      <w:r w:rsidR="00642DD0">
        <w:rPr>
          <w:lang w:val="en-NZ" w:eastAsia="en-NZ"/>
        </w:rPr>
        <w:t>“</w:t>
      </w:r>
      <w:r w:rsidRPr="00F555E6">
        <w:rPr>
          <w:iCs/>
          <w:lang w:val="en-NZ" w:eastAsia="en-NZ"/>
        </w:rPr>
        <w:t>community</w:t>
      </w:r>
      <w:r w:rsidR="00642DD0">
        <w:rPr>
          <w:iCs/>
          <w:lang w:val="en-NZ" w:eastAsia="en-NZ"/>
        </w:rPr>
        <w:t>”</w:t>
      </w:r>
      <w:r w:rsidRPr="00323DDD">
        <w:rPr>
          <w:lang w:val="en-NZ" w:eastAsia="en-NZ"/>
        </w:rPr>
        <w:t xml:space="preserve"> are conceptualised</w:t>
      </w:r>
      <w:r w:rsidR="00642DD0">
        <w:rPr>
          <w:lang w:val="en-NZ" w:eastAsia="en-NZ"/>
        </w:rPr>
        <w:t>—</w:t>
      </w:r>
      <w:r w:rsidRPr="00323DDD">
        <w:rPr>
          <w:lang w:val="en-NZ" w:eastAsia="en-NZ"/>
        </w:rPr>
        <w:t>particularly in the pre-access stage. It highlighted the value of considering secondary schools, local government areas</w:t>
      </w:r>
      <w:r w:rsidR="00642DD0">
        <w:rPr>
          <w:lang w:val="en-NZ" w:eastAsia="en-NZ"/>
        </w:rPr>
        <w:t>,</w:t>
      </w:r>
      <w:r w:rsidRPr="00323DDD">
        <w:rPr>
          <w:lang w:val="en-NZ" w:eastAsia="en-NZ"/>
        </w:rPr>
        <w:t xml:space="preserve"> and cultural communities as distinct intervention levels, until more individualised tracking of outcomes becomes accessible for universities in communities and state schools.  </w:t>
      </w:r>
    </w:p>
    <w:p w14:paraId="11D650AD" w14:textId="6EB131A5" w:rsidR="00323DDD" w:rsidRPr="00323DDD" w:rsidRDefault="00323DDD" w:rsidP="00F555E6">
      <w:pPr>
        <w:rPr>
          <w:lang w:val="en-NZ" w:eastAsia="en-NZ"/>
        </w:rPr>
      </w:pPr>
      <w:r w:rsidRPr="00323DDD">
        <w:rPr>
          <w:lang w:val="en-NZ" w:eastAsia="en-NZ"/>
        </w:rPr>
        <w:t xml:space="preserve">Similarly, the </w:t>
      </w:r>
      <w:r w:rsidR="00642DD0">
        <w:rPr>
          <w:lang w:val="en-NZ" w:eastAsia="en-NZ"/>
        </w:rPr>
        <w:t>“</w:t>
      </w:r>
      <w:r w:rsidRPr="00F555E6">
        <w:rPr>
          <w:iCs/>
          <w:lang w:val="en-NZ" w:eastAsia="en-NZ"/>
        </w:rPr>
        <w:t>institution</w:t>
      </w:r>
      <w:r w:rsidR="00642DD0">
        <w:rPr>
          <w:iCs/>
          <w:lang w:val="en-NZ" w:eastAsia="en-NZ"/>
        </w:rPr>
        <w:t>”</w:t>
      </w:r>
      <w:r w:rsidRPr="00323DDD">
        <w:rPr>
          <w:lang w:val="en-NZ" w:eastAsia="en-NZ"/>
        </w:rPr>
        <w:t xml:space="preserve"> level can be unpacked to include unit, course</w:t>
      </w:r>
      <w:r w:rsidR="00642DD0">
        <w:rPr>
          <w:lang w:val="en-NZ" w:eastAsia="en-NZ"/>
        </w:rPr>
        <w:t>,</w:t>
      </w:r>
      <w:r w:rsidRPr="00323DDD">
        <w:rPr>
          <w:lang w:val="en-NZ" w:eastAsia="en-NZ"/>
        </w:rPr>
        <w:t xml:space="preserve"> and cohorts as sub-levels of intervention, allowing for more targeted </w:t>
      </w:r>
      <w:r w:rsidR="00EF5533">
        <w:rPr>
          <w:lang w:val="en-NZ" w:eastAsia="en-NZ"/>
        </w:rPr>
        <w:t>intervention</w:t>
      </w:r>
      <w:r w:rsidR="00EF5533" w:rsidRPr="00323DDD">
        <w:rPr>
          <w:lang w:val="en-NZ" w:eastAsia="en-NZ"/>
        </w:rPr>
        <w:t xml:space="preserve"> </w:t>
      </w:r>
      <w:r w:rsidRPr="00323DDD">
        <w:rPr>
          <w:lang w:val="en-NZ" w:eastAsia="en-NZ"/>
        </w:rPr>
        <w:t xml:space="preserve">and insight. </w:t>
      </w:r>
    </w:p>
    <w:p w14:paraId="65E1ACF3" w14:textId="3A7ED69F" w:rsidR="00323DDD" w:rsidRPr="00323DDD" w:rsidRDefault="00323DDD" w:rsidP="00F555E6">
      <w:pPr>
        <w:rPr>
          <w:lang w:val="en-NZ" w:eastAsia="en-NZ"/>
        </w:rPr>
      </w:pPr>
      <w:r w:rsidRPr="00323DDD">
        <w:rPr>
          <w:lang w:val="en-NZ" w:eastAsia="en-NZ"/>
        </w:rPr>
        <w:t>The methodology developed through this project is well</w:t>
      </w:r>
      <w:r w:rsidR="00963925">
        <w:rPr>
          <w:lang w:val="en-NZ" w:eastAsia="en-NZ"/>
        </w:rPr>
        <w:t xml:space="preserve"> </w:t>
      </w:r>
      <w:r w:rsidRPr="00323DDD">
        <w:rPr>
          <w:lang w:val="en-NZ" w:eastAsia="en-NZ"/>
        </w:rPr>
        <w:t xml:space="preserve">suited to measuring initiatives that intervene at the individual student level during the participation stage, where student IDs can be linked to participation data and internal student outcome databases. However, initiatives focused on institutional development or those operating outside the participation life stage require alternative approaches to scalable monitoring and evaluation. </w:t>
      </w:r>
    </w:p>
    <w:p w14:paraId="1DB4D7A5" w14:textId="33600C4B" w:rsidR="00323DDD" w:rsidRDefault="00323DDD" w:rsidP="00F555E6">
      <w:pPr>
        <w:rPr>
          <w:b/>
          <w:lang w:val="en-NZ" w:eastAsia="en-NZ"/>
        </w:rPr>
      </w:pPr>
      <w:r w:rsidRPr="00323DDD">
        <w:rPr>
          <w:lang w:val="en-NZ" w:eastAsia="en-NZ"/>
        </w:rPr>
        <w:t>Importantly, while institutional development initiatives remain a critical area for investment</w:t>
      </w:r>
      <w:r w:rsidR="009137E6">
        <w:rPr>
          <w:lang w:val="en-NZ" w:eastAsia="en-NZ"/>
        </w:rPr>
        <w:t xml:space="preserve">, </w:t>
      </w:r>
      <w:r w:rsidRPr="00323DDD">
        <w:rPr>
          <w:lang w:val="en-NZ" w:eastAsia="en-NZ"/>
        </w:rPr>
        <w:t>they may be more challenging to measure compared to direct-to-student initiatives. Systematic changes that enhance the teaching, learning</w:t>
      </w:r>
      <w:r w:rsidR="00642DD0">
        <w:rPr>
          <w:lang w:val="en-NZ" w:eastAsia="en-NZ"/>
        </w:rPr>
        <w:t>,</w:t>
      </w:r>
      <w:r w:rsidRPr="00323DDD">
        <w:rPr>
          <w:lang w:val="en-NZ" w:eastAsia="en-NZ"/>
        </w:rPr>
        <w:t xml:space="preserve"> and support service environment around students are essential to advancing equity across the </w:t>
      </w:r>
      <w:r w:rsidR="009137E6">
        <w:rPr>
          <w:lang w:val="en-NZ" w:eastAsia="en-NZ"/>
        </w:rPr>
        <w:t>u</w:t>
      </w:r>
      <w:r w:rsidRPr="00323DDD">
        <w:rPr>
          <w:lang w:val="en-NZ" w:eastAsia="en-NZ"/>
        </w:rPr>
        <w:t>niversity, particularly when insights into program reach and participation rates indicate that not all eligible equity students are consistently engaged by direct support offerings like scholarships or peer mentoring.</w:t>
      </w:r>
      <w:r w:rsidRPr="00323DDD">
        <w:rPr>
          <w:b/>
          <w:lang w:val="en-NZ" w:eastAsia="en-NZ"/>
        </w:rPr>
        <w:t xml:space="preserve"> </w:t>
      </w:r>
    </w:p>
    <w:p w14:paraId="546BDB44" w14:textId="77777777" w:rsidR="00642DD0" w:rsidRDefault="00642DD0">
      <w:pPr>
        <w:spacing w:line="259" w:lineRule="auto"/>
        <w:rPr>
          <w:rFonts w:eastAsia="Calibri" w:cstheme="majorBidi"/>
          <w:color w:val="6B3B57"/>
          <w:sz w:val="52"/>
          <w:szCs w:val="40"/>
          <w:lang w:val="en-NZ" w:eastAsia="en-NZ"/>
        </w:rPr>
      </w:pPr>
      <w:r>
        <w:rPr>
          <w:rFonts w:eastAsia="Calibri"/>
          <w:lang w:val="en-NZ" w:eastAsia="en-NZ"/>
        </w:rPr>
        <w:br w:type="page"/>
      </w:r>
    </w:p>
    <w:p w14:paraId="3F6D13F6" w14:textId="5833C07A" w:rsidR="00AA7B6F" w:rsidRPr="00323DDD" w:rsidRDefault="00454070" w:rsidP="00AA7B6F">
      <w:pPr>
        <w:pStyle w:val="Heading1"/>
        <w:rPr>
          <w:rFonts w:eastAsia="Calibri"/>
          <w:lang w:val="en-NZ" w:eastAsia="en-NZ"/>
        </w:rPr>
      </w:pPr>
      <w:r>
        <w:rPr>
          <w:rFonts w:eastAsia="Calibri"/>
          <w:lang w:val="en-NZ" w:eastAsia="en-NZ"/>
        </w:rPr>
        <w:lastRenderedPageBreak/>
        <w:t>Impact</w:t>
      </w:r>
    </w:p>
    <w:p w14:paraId="2AF55364" w14:textId="77777777" w:rsidR="00454070" w:rsidRDefault="00454070" w:rsidP="00074F76">
      <w:r>
        <w:t>This project significantly strengthened Deakin University’s institutional capacity to evaluate student equity initiatives by aligning systems, fostering cross-organisational collaboration, and deepening evaluative understanding across teams.</w:t>
      </w:r>
      <w:r>
        <w:rPr>
          <w:rFonts w:ascii="Calibri" w:eastAsia="Calibri" w:hAnsi="Calibri" w:cs="Calibri"/>
        </w:rPr>
        <w:t xml:space="preserve"> </w:t>
      </w:r>
    </w:p>
    <w:p w14:paraId="4C0559BA" w14:textId="58FB7454" w:rsidR="00454070" w:rsidRDefault="00454070" w:rsidP="00074F76">
      <w:r>
        <w:t>The project delivered an uplift in Deakin’s ability to plan, monitor, evaluate, and improve equity program</w:t>
      </w:r>
      <w:r w:rsidR="004B3479">
        <w:t xml:space="preserve"> delivery</w:t>
      </w:r>
      <w:r>
        <w:t xml:space="preserve">. Key impacts include: </w:t>
      </w:r>
    </w:p>
    <w:p w14:paraId="04501A67" w14:textId="77777777" w:rsidR="00454070" w:rsidRDefault="00454070" w:rsidP="00074F76">
      <w:pPr>
        <w:pStyle w:val="ListParagraph"/>
        <w:numPr>
          <w:ilvl w:val="0"/>
          <w:numId w:val="27"/>
        </w:numPr>
      </w:pPr>
      <w:r w:rsidRPr="003A6DA1">
        <w:rPr>
          <w:b/>
        </w:rPr>
        <w:t>Systemic integration of equity data:</w:t>
      </w:r>
      <w:r>
        <w:t xml:space="preserve"> By aligning HEPPP data with enterprise-level systems, the project enabled a shift from fragmented monitoring to integrated dynamic insights. This has laid the groundwork for scalable, longitudinal evaluation of equity participation data. </w:t>
      </w:r>
    </w:p>
    <w:p w14:paraId="423B5779" w14:textId="77777777" w:rsidR="009137E6" w:rsidRPr="009137E6" w:rsidRDefault="009137E6" w:rsidP="003A6DA1">
      <w:pPr>
        <w:pStyle w:val="ListParagraph"/>
        <w:ind w:left="720"/>
      </w:pPr>
    </w:p>
    <w:p w14:paraId="10118F21" w14:textId="1DEB30A8" w:rsidR="00454070" w:rsidRDefault="00454070" w:rsidP="00074F76">
      <w:pPr>
        <w:pStyle w:val="ListParagraph"/>
        <w:numPr>
          <w:ilvl w:val="0"/>
          <w:numId w:val="27"/>
        </w:numPr>
      </w:pPr>
      <w:r w:rsidRPr="003A6DA1">
        <w:rPr>
          <w:b/>
        </w:rPr>
        <w:t>Alignment of enterprise equity definitions:</w:t>
      </w:r>
      <w:r w:rsidRPr="00642DD0">
        <w:rPr>
          <w:b/>
        </w:rPr>
        <w:t xml:space="preserve"> </w:t>
      </w:r>
      <w:r>
        <w:t>The development and implementation of a consistent student equity flag across institutional datasets has standardised how equity cohorts are identified and tracked (</w:t>
      </w:r>
      <w:r w:rsidRPr="005312E8">
        <w:rPr>
          <w:iCs/>
        </w:rPr>
        <w:t xml:space="preserve">see </w:t>
      </w:r>
      <w:r w:rsidR="00B3490D">
        <w:rPr>
          <w:iCs/>
        </w:rPr>
        <w:t>A</w:t>
      </w:r>
      <w:r w:rsidRPr="005312E8">
        <w:rPr>
          <w:iCs/>
        </w:rPr>
        <w:t xml:space="preserve">ppendix: Table </w:t>
      </w:r>
      <w:r w:rsidR="007A1F1B">
        <w:rPr>
          <w:iCs/>
        </w:rPr>
        <w:t>6</w:t>
      </w:r>
      <w:r w:rsidR="00D35FC6">
        <w:rPr>
          <w:iCs/>
        </w:rPr>
        <w:t>:</w:t>
      </w:r>
      <w:r w:rsidRPr="005312E8">
        <w:rPr>
          <w:iCs/>
        </w:rPr>
        <w:t xml:space="preserve"> Student </w:t>
      </w:r>
      <w:r w:rsidR="007A1F1B">
        <w:rPr>
          <w:iCs/>
        </w:rPr>
        <w:t>f</w:t>
      </w:r>
      <w:r w:rsidRPr="005312E8">
        <w:rPr>
          <w:iCs/>
        </w:rPr>
        <w:t xml:space="preserve">lag </w:t>
      </w:r>
      <w:r w:rsidR="007A1F1B">
        <w:rPr>
          <w:iCs/>
        </w:rPr>
        <w:t>d</w:t>
      </w:r>
      <w:r w:rsidRPr="005312E8">
        <w:rPr>
          <w:iCs/>
        </w:rPr>
        <w:t>escription</w:t>
      </w:r>
      <w:r>
        <w:t xml:space="preserve">). This consistency is critical for robust evaluation and strategic planning. </w:t>
      </w:r>
    </w:p>
    <w:p w14:paraId="4FC1463F" w14:textId="77777777" w:rsidR="009137E6" w:rsidRPr="009137E6" w:rsidRDefault="009137E6" w:rsidP="003A6DA1">
      <w:pPr>
        <w:pStyle w:val="ListParagraph"/>
        <w:ind w:left="720"/>
      </w:pPr>
    </w:p>
    <w:p w14:paraId="0CAC90D3" w14:textId="48C6753C" w:rsidR="00454070" w:rsidRDefault="00454070" w:rsidP="00074F76">
      <w:pPr>
        <w:pStyle w:val="ListParagraph"/>
        <w:numPr>
          <w:ilvl w:val="0"/>
          <w:numId w:val="27"/>
        </w:numPr>
      </w:pPr>
      <w:r w:rsidRPr="003A6DA1">
        <w:rPr>
          <w:b/>
        </w:rPr>
        <w:t>Evaluation-ready infrastructure:</w:t>
      </w:r>
      <w:r>
        <w:t xml:space="preserve"> The creation of a dataset for analysis and </w:t>
      </w:r>
      <w:r w:rsidR="00B3490D">
        <w:t xml:space="preserve">a </w:t>
      </w:r>
      <w:r>
        <w:t xml:space="preserve">monitoring dashboard has equipped the </w:t>
      </w:r>
      <w:r w:rsidR="00B3490D">
        <w:t>u</w:t>
      </w:r>
      <w:r>
        <w:t xml:space="preserve">niversity with tools to conduct timely, evidence-based evaluations of HEPPP-funded initiatives. These outputs support both compliance and continuous improvement. </w:t>
      </w:r>
    </w:p>
    <w:p w14:paraId="4213E916" w14:textId="5CE0EE23" w:rsidR="006C289D" w:rsidRPr="005312E8" w:rsidRDefault="00454070" w:rsidP="0025338E">
      <w:pPr>
        <w:rPr>
          <w:b/>
          <w:bCs/>
        </w:rPr>
      </w:pPr>
      <w:r w:rsidRPr="005312E8">
        <w:rPr>
          <w:b/>
          <w:bCs/>
        </w:rPr>
        <w:t xml:space="preserve">Capacity </w:t>
      </w:r>
      <w:r w:rsidR="007D4C52">
        <w:rPr>
          <w:b/>
          <w:bCs/>
        </w:rPr>
        <w:t>d</w:t>
      </w:r>
      <w:r w:rsidRPr="005312E8">
        <w:rPr>
          <w:b/>
          <w:bCs/>
        </w:rPr>
        <w:t xml:space="preserve">evelopment </w:t>
      </w:r>
      <w:r w:rsidR="007D4C52">
        <w:rPr>
          <w:b/>
          <w:bCs/>
        </w:rPr>
        <w:t>t</w:t>
      </w:r>
      <w:r w:rsidRPr="005312E8">
        <w:rPr>
          <w:b/>
          <w:bCs/>
        </w:rPr>
        <w:t xml:space="preserve">hrough </w:t>
      </w:r>
      <w:r w:rsidR="007D4C52">
        <w:rPr>
          <w:b/>
          <w:bCs/>
        </w:rPr>
        <w:t>c</w:t>
      </w:r>
      <w:r w:rsidRPr="005312E8">
        <w:rPr>
          <w:b/>
          <w:bCs/>
        </w:rPr>
        <w:t>ollaboration</w:t>
      </w:r>
      <w:r w:rsidR="006C289D" w:rsidRPr="005312E8">
        <w:rPr>
          <w:b/>
          <w:bCs/>
        </w:rPr>
        <w:t xml:space="preserve"> and</w:t>
      </w:r>
      <w:r w:rsidRPr="005312E8">
        <w:rPr>
          <w:b/>
          <w:bCs/>
        </w:rPr>
        <w:t xml:space="preserve"> </w:t>
      </w:r>
      <w:r w:rsidR="007D4C52">
        <w:rPr>
          <w:b/>
          <w:bCs/>
        </w:rPr>
        <w:t>m</w:t>
      </w:r>
      <w:r w:rsidR="006C289D" w:rsidRPr="005312E8">
        <w:rPr>
          <w:b/>
          <w:bCs/>
        </w:rPr>
        <w:t xml:space="preserve">utual </w:t>
      </w:r>
      <w:r w:rsidR="007D4C52">
        <w:rPr>
          <w:b/>
          <w:bCs/>
        </w:rPr>
        <w:t>l</w:t>
      </w:r>
      <w:r w:rsidR="006C289D" w:rsidRPr="005312E8">
        <w:rPr>
          <w:b/>
          <w:bCs/>
        </w:rPr>
        <w:t xml:space="preserve">earning </w:t>
      </w:r>
    </w:p>
    <w:p w14:paraId="38DED937" w14:textId="1417D4E8" w:rsidR="00454070" w:rsidRDefault="00454070" w:rsidP="0025338E">
      <w:r>
        <w:t>The project was intentionally designed to build capacity not only through technical and resource outputs, but also through the process of collaboration. Teams learned from each other by working across disciplinary and functional boundaries</w:t>
      </w:r>
      <w:r w:rsidR="00B15652">
        <w:t>.</w:t>
      </w:r>
    </w:p>
    <w:p w14:paraId="5D595204" w14:textId="2808639F" w:rsidR="00454070" w:rsidRDefault="00454070" w:rsidP="0025338E">
      <w:r>
        <w:t xml:space="preserve">Through regular meetings and iterative development, teams co-developed a shared understanding of the project requirements, enabling more meaningful and aligned evaluation practices. </w:t>
      </w:r>
    </w:p>
    <w:p w14:paraId="4612F7E1" w14:textId="588EB7CB" w:rsidR="007D4C52" w:rsidRPr="005312E8" w:rsidRDefault="00454070" w:rsidP="007D4C52">
      <w:pPr>
        <w:rPr>
          <w:b/>
          <w:bCs/>
        </w:rPr>
      </w:pPr>
      <w:r w:rsidRPr="005312E8">
        <w:rPr>
          <w:b/>
          <w:bCs/>
        </w:rPr>
        <w:t xml:space="preserve">Capacity </w:t>
      </w:r>
      <w:r w:rsidR="007D4C52">
        <w:rPr>
          <w:b/>
          <w:bCs/>
        </w:rPr>
        <w:t>b</w:t>
      </w:r>
      <w:r w:rsidRPr="005312E8">
        <w:rPr>
          <w:b/>
          <w:bCs/>
        </w:rPr>
        <w:t xml:space="preserve">uilding </w:t>
      </w:r>
      <w:r w:rsidR="007D4C52">
        <w:rPr>
          <w:b/>
          <w:bCs/>
        </w:rPr>
        <w:t>t</w:t>
      </w:r>
      <w:r w:rsidRPr="005312E8">
        <w:rPr>
          <w:b/>
          <w:bCs/>
        </w:rPr>
        <w:t xml:space="preserve">hrough </w:t>
      </w:r>
      <w:r w:rsidR="007D4C52">
        <w:rPr>
          <w:b/>
          <w:bCs/>
        </w:rPr>
        <w:t>p</w:t>
      </w:r>
      <w:r w:rsidRPr="005312E8">
        <w:rPr>
          <w:b/>
          <w:bCs/>
        </w:rPr>
        <w:t>ractice</w:t>
      </w:r>
    </w:p>
    <w:p w14:paraId="46AC5B43" w14:textId="4F2A2A94" w:rsidR="00454070" w:rsidRDefault="00454070" w:rsidP="007D4C52">
      <w:r>
        <w:t xml:space="preserve">Staff involved in the project developed new skills in: </w:t>
      </w:r>
    </w:p>
    <w:p w14:paraId="5D360430" w14:textId="1CC25C99" w:rsidR="00454070" w:rsidRDefault="006F0412" w:rsidP="005312E8">
      <w:pPr>
        <w:pStyle w:val="ListParagraph"/>
        <w:numPr>
          <w:ilvl w:val="0"/>
          <w:numId w:val="25"/>
        </w:numPr>
      </w:pPr>
      <w:r>
        <w:t>t</w:t>
      </w:r>
      <w:r w:rsidR="00454070">
        <w:t>ranslating policy into data structures</w:t>
      </w:r>
    </w:p>
    <w:p w14:paraId="7C4B8006" w14:textId="2E7D26C8" w:rsidR="00454070" w:rsidRDefault="006F0412" w:rsidP="005312E8">
      <w:pPr>
        <w:pStyle w:val="ListParagraph"/>
        <w:numPr>
          <w:ilvl w:val="0"/>
          <w:numId w:val="25"/>
        </w:numPr>
      </w:pPr>
      <w:r>
        <w:t>d</w:t>
      </w:r>
      <w:r w:rsidR="00454070">
        <w:t>esigning evaluation-ready datasets</w:t>
      </w:r>
    </w:p>
    <w:p w14:paraId="777B572B" w14:textId="2531E868" w:rsidR="00454070" w:rsidRDefault="006F0412" w:rsidP="005312E8">
      <w:pPr>
        <w:pStyle w:val="ListParagraph"/>
        <w:numPr>
          <w:ilvl w:val="0"/>
          <w:numId w:val="25"/>
        </w:numPr>
      </w:pPr>
      <w:r>
        <w:t>i</w:t>
      </w:r>
      <w:r w:rsidR="00454070">
        <w:t>nterpreting dynamic dashboards</w:t>
      </w:r>
    </w:p>
    <w:p w14:paraId="51CC0987" w14:textId="77A6F723" w:rsidR="00454070" w:rsidRDefault="006F0412" w:rsidP="005312E8">
      <w:pPr>
        <w:pStyle w:val="ListParagraph"/>
        <w:numPr>
          <w:ilvl w:val="0"/>
          <w:numId w:val="25"/>
        </w:numPr>
      </w:pPr>
      <w:r>
        <w:t>a</w:t>
      </w:r>
      <w:r w:rsidR="00454070">
        <w:t>pplying program logic to real-world data</w:t>
      </w:r>
      <w:r w:rsidR="007D4C52">
        <w:t>.</w:t>
      </w:r>
    </w:p>
    <w:p w14:paraId="1B965218" w14:textId="0F7A5414" w:rsidR="00454070" w:rsidRDefault="00454070" w:rsidP="0025338E">
      <w:r>
        <w:t>This hands-on, collaborative approach ensured that the capacity building is now embedded in day-to</w:t>
      </w:r>
      <w:r w:rsidR="007D4C52">
        <w:t>-</w:t>
      </w:r>
      <w:r>
        <w:t xml:space="preserve">day work, rather than treated as a separate or one-off training activity. </w:t>
      </w:r>
    </w:p>
    <w:p w14:paraId="529F3C22" w14:textId="77777777" w:rsidR="009137E6" w:rsidRDefault="009137E6" w:rsidP="0025338E">
      <w:pPr>
        <w:rPr>
          <w:i/>
          <w:iCs/>
        </w:rPr>
      </w:pPr>
    </w:p>
    <w:p w14:paraId="6E8D61A9" w14:textId="77777777" w:rsidR="009137E6" w:rsidRDefault="009137E6" w:rsidP="0025338E">
      <w:pPr>
        <w:rPr>
          <w:i/>
          <w:iCs/>
        </w:rPr>
      </w:pPr>
    </w:p>
    <w:p w14:paraId="5483A682" w14:textId="7F90C7C9" w:rsidR="0025338E" w:rsidRPr="00A53CDA" w:rsidRDefault="0025338E" w:rsidP="0025338E">
      <w:pPr>
        <w:rPr>
          <w:sz w:val="20"/>
          <w:szCs w:val="20"/>
        </w:rPr>
      </w:pPr>
      <w:r w:rsidRPr="00A53CDA">
        <w:rPr>
          <w:i/>
          <w:iCs/>
          <w:sz w:val="20"/>
          <w:szCs w:val="20"/>
        </w:rPr>
        <w:lastRenderedPageBreak/>
        <w:t xml:space="preserve">Figure </w:t>
      </w:r>
      <w:r w:rsidR="008B79C4" w:rsidRPr="00A53CDA">
        <w:rPr>
          <w:i/>
          <w:iCs/>
          <w:sz w:val="20"/>
          <w:szCs w:val="20"/>
        </w:rPr>
        <w:t>1</w:t>
      </w:r>
      <w:r w:rsidR="008B297C">
        <w:rPr>
          <w:i/>
          <w:iCs/>
          <w:sz w:val="20"/>
          <w:szCs w:val="20"/>
        </w:rPr>
        <w:t>:</w:t>
      </w:r>
      <w:r w:rsidRPr="00A53CDA">
        <w:rPr>
          <w:i/>
          <w:iCs/>
          <w:sz w:val="20"/>
          <w:szCs w:val="20"/>
        </w:rPr>
        <w:t xml:space="preserve"> Illustrates the post-capacity building ecosystem at Deakin, showing how multidisciplinary teams are now connected and working collaboratively. </w:t>
      </w:r>
      <w:r w:rsidR="008B37ED" w:rsidRPr="00A53CDA">
        <w:rPr>
          <w:i/>
          <w:iCs/>
          <w:sz w:val="20"/>
          <w:szCs w:val="20"/>
        </w:rPr>
        <w:t xml:space="preserve">The orange line represents </w:t>
      </w:r>
      <w:r w:rsidR="00153AC1" w:rsidRPr="00A53CDA">
        <w:rPr>
          <w:i/>
          <w:iCs/>
          <w:sz w:val="20"/>
          <w:szCs w:val="20"/>
        </w:rPr>
        <w:t xml:space="preserve">where the most substantial capacity building for monitoring and evaluation of </w:t>
      </w:r>
      <w:r w:rsidR="004D202E" w:rsidRPr="00A53CDA">
        <w:rPr>
          <w:i/>
          <w:iCs/>
          <w:sz w:val="20"/>
          <w:szCs w:val="20"/>
        </w:rPr>
        <w:t xml:space="preserve">the </w:t>
      </w:r>
      <w:r w:rsidR="00153AC1" w:rsidRPr="00A53CDA">
        <w:rPr>
          <w:i/>
          <w:iCs/>
          <w:sz w:val="20"/>
          <w:szCs w:val="20"/>
        </w:rPr>
        <w:t>equity program occurred.</w:t>
      </w:r>
    </w:p>
    <w:p w14:paraId="2C3FF4B1" w14:textId="58E4F8AD" w:rsidR="00454070" w:rsidRDefault="00454070" w:rsidP="00192F8E">
      <w:r>
        <w:rPr>
          <w:b/>
        </w:rPr>
        <w:t xml:space="preserve"> </w:t>
      </w:r>
      <w:r w:rsidR="00385AF6">
        <w:rPr>
          <w:b/>
          <w:noProof/>
        </w:rPr>
        <w:drawing>
          <wp:inline distT="0" distB="0" distL="0" distR="0" wp14:anchorId="1BDE2552" wp14:editId="74124DCF">
            <wp:extent cx="5503985" cy="3619065"/>
            <wp:effectExtent l="0" t="0" r="1905" b="635"/>
            <wp:docPr id="2053088773" name="Picture 3" descr="Diagram showing the connected team structure for the capacity building project. Equity &amp; Inclusion, Analytics &amp; Insights, Data Platforms, and Student Information Services &amp; Systems are linked through shared communication channels and data governance. Equity &amp; Inclusion, Project Leads, Analytics &amp; Insights, and the Biostatistics Unit are connected by an orange pathway, highlighting a enduring collaboration for monitoring and evaluation capacity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8773" name="Picture 3" descr="Diagram showing the connected team structure for the capacity building project. Equity &amp; Inclusion, Analytics &amp; Insights, Data Platforms, and Student Information Services &amp; Systems are linked through shared communication channels and data governance. Equity &amp; Inclusion, Project Leads, Analytics &amp; Insights, and the Biostatistics Unit are connected by an orange pathway, highlighting a enduring collaboration for monitoring and evaluation capacity building."/>
                    <pic:cNvPicPr/>
                  </pic:nvPicPr>
                  <pic:blipFill rotWithShape="1">
                    <a:blip r:embed="rId26">
                      <a:extLst>
                        <a:ext uri="{28A0092B-C50C-407E-A947-70E740481C1C}">
                          <a14:useLocalDpi xmlns:a14="http://schemas.microsoft.com/office/drawing/2010/main" val="0"/>
                        </a:ext>
                      </a:extLst>
                    </a:blip>
                    <a:srcRect l="14576" t="14727" r="23595" b="12996"/>
                    <a:stretch>
                      <a:fillRect/>
                    </a:stretch>
                  </pic:blipFill>
                  <pic:spPr bwMode="auto">
                    <a:xfrm>
                      <a:off x="0" y="0"/>
                      <a:ext cx="5545249" cy="3646198"/>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p>
    <w:p w14:paraId="0CEF8E8D" w14:textId="77777777" w:rsidR="00385AF6" w:rsidRDefault="00385AF6" w:rsidP="0025338E">
      <w:pPr>
        <w:rPr>
          <w:b/>
          <w:bCs/>
        </w:rPr>
      </w:pPr>
    </w:p>
    <w:p w14:paraId="5028FFB3" w14:textId="62B3206B" w:rsidR="00454070" w:rsidRPr="006C289D" w:rsidRDefault="00454070" w:rsidP="0025338E">
      <w:pPr>
        <w:rPr>
          <w:b/>
          <w:bCs/>
        </w:rPr>
      </w:pPr>
      <w:r w:rsidRPr="006C289D">
        <w:rPr>
          <w:b/>
          <w:bCs/>
        </w:rPr>
        <w:t xml:space="preserve">A </w:t>
      </w:r>
      <w:r w:rsidR="007D4C52">
        <w:rPr>
          <w:b/>
          <w:bCs/>
        </w:rPr>
        <w:t>c</w:t>
      </w:r>
      <w:r w:rsidRPr="006C289D">
        <w:rPr>
          <w:b/>
          <w:bCs/>
        </w:rPr>
        <w:t xml:space="preserve">ulture </w:t>
      </w:r>
      <w:r w:rsidR="006C289D">
        <w:rPr>
          <w:b/>
          <w:bCs/>
        </w:rPr>
        <w:t>o</w:t>
      </w:r>
      <w:r w:rsidRPr="006C289D">
        <w:rPr>
          <w:b/>
          <w:bCs/>
        </w:rPr>
        <w:t xml:space="preserve">f </w:t>
      </w:r>
      <w:r w:rsidR="007D4C52">
        <w:rPr>
          <w:b/>
          <w:bCs/>
        </w:rPr>
        <w:t>c</w:t>
      </w:r>
      <w:r w:rsidRPr="006C289D">
        <w:rPr>
          <w:b/>
          <w:bCs/>
        </w:rPr>
        <w:t xml:space="preserve">ontinuous </w:t>
      </w:r>
      <w:r w:rsidR="007D4C52">
        <w:rPr>
          <w:b/>
          <w:bCs/>
        </w:rPr>
        <w:t>i</w:t>
      </w:r>
      <w:r w:rsidRPr="006C289D">
        <w:rPr>
          <w:b/>
          <w:bCs/>
        </w:rPr>
        <w:t xml:space="preserve">mprovement </w:t>
      </w:r>
    </w:p>
    <w:p w14:paraId="4FE65EDA" w14:textId="26E2531B" w:rsidR="00454070" w:rsidRDefault="00454070" w:rsidP="0025338E">
      <w:r>
        <w:t xml:space="preserve">Perhaps most importantly, the project fostered a culture of continuous improvement and evaluative thinking. By embedding evaluation into the design and delivery of equity initiatives, the </w:t>
      </w:r>
      <w:r w:rsidR="00A53CDA">
        <w:t>u</w:t>
      </w:r>
      <w:r>
        <w:t xml:space="preserve">niversity is now better positioned to: </w:t>
      </w:r>
    </w:p>
    <w:p w14:paraId="53D1AF74" w14:textId="306ED193" w:rsidR="00454070" w:rsidRPr="006C289D" w:rsidRDefault="00A53CDA" w:rsidP="005312E8">
      <w:pPr>
        <w:pStyle w:val="ListParagraph"/>
        <w:numPr>
          <w:ilvl w:val="0"/>
          <w:numId w:val="26"/>
        </w:numPr>
      </w:pPr>
      <w:r>
        <w:t>i</w:t>
      </w:r>
      <w:r w:rsidR="00454070" w:rsidRPr="006C289D">
        <w:t>dentify what works, for whom, and under what conditions</w:t>
      </w:r>
    </w:p>
    <w:p w14:paraId="2E44E250" w14:textId="3DE118C2" w:rsidR="00454070" w:rsidRPr="006C289D" w:rsidRDefault="00A53CDA" w:rsidP="005312E8">
      <w:pPr>
        <w:pStyle w:val="ListParagraph"/>
        <w:numPr>
          <w:ilvl w:val="0"/>
          <w:numId w:val="26"/>
        </w:numPr>
      </w:pPr>
      <w:r>
        <w:t>a</w:t>
      </w:r>
      <w:r w:rsidR="00454070" w:rsidRPr="006C289D">
        <w:t>llocate resources more strategically</w:t>
      </w:r>
    </w:p>
    <w:p w14:paraId="23AAE37E" w14:textId="0FD9CA07" w:rsidR="00454070" w:rsidRPr="006C289D" w:rsidRDefault="00A53CDA" w:rsidP="005312E8">
      <w:pPr>
        <w:pStyle w:val="ListParagraph"/>
        <w:numPr>
          <w:ilvl w:val="0"/>
          <w:numId w:val="26"/>
        </w:numPr>
      </w:pPr>
      <w:r>
        <w:t>r</w:t>
      </w:r>
      <w:r w:rsidR="00454070" w:rsidRPr="006C289D">
        <w:t>espond to emerging needs with agility and evidence</w:t>
      </w:r>
      <w:r w:rsidR="007D4C52">
        <w:t>.</w:t>
      </w:r>
    </w:p>
    <w:p w14:paraId="02FBBD71" w14:textId="4397F34A" w:rsidR="0025338E" w:rsidRDefault="00454070">
      <w:pPr>
        <w:spacing w:line="259" w:lineRule="auto"/>
      </w:pPr>
      <w:r>
        <w:t>Whil</w:t>
      </w:r>
      <w:r w:rsidR="00A53CDA">
        <w:t>e</w:t>
      </w:r>
      <w:r>
        <w:t xml:space="preserve"> further work is still required to automate and refine the digital infrastructure, and to draw meaningful insights from the information now available, this project marks a significant step in implementing the </w:t>
      </w:r>
      <w:r w:rsidR="00A53CDA">
        <w:t>SEHEEF</w:t>
      </w:r>
      <w:r>
        <w:t xml:space="preserve"> at Deakin University. </w:t>
      </w:r>
      <w:r w:rsidR="0025338E">
        <w:br w:type="page"/>
      </w:r>
    </w:p>
    <w:p w14:paraId="42482320" w14:textId="2098AE94" w:rsidR="00463FB5" w:rsidRDefault="006C289D" w:rsidP="00C37179">
      <w:pPr>
        <w:pStyle w:val="Heading1"/>
        <w:rPr>
          <w:rFonts w:eastAsia="Times New Roman"/>
          <w:lang w:eastAsia="en-AU"/>
        </w:rPr>
      </w:pPr>
      <w:r>
        <w:rPr>
          <w:rFonts w:eastAsia="Times New Roman"/>
          <w:lang w:eastAsia="en-AU"/>
        </w:rPr>
        <w:lastRenderedPageBreak/>
        <w:t>Appendix</w:t>
      </w:r>
      <w:r w:rsidR="00DC60E7">
        <w:rPr>
          <w:rFonts w:eastAsia="Times New Roman"/>
          <w:lang w:eastAsia="en-AU"/>
        </w:rPr>
        <w:t xml:space="preserve">: </w:t>
      </w:r>
      <w:r w:rsidR="007C28E6">
        <w:rPr>
          <w:rFonts w:eastAsia="Times New Roman"/>
          <w:lang w:eastAsia="en-AU"/>
        </w:rPr>
        <w:t xml:space="preserve">Example </w:t>
      </w:r>
      <w:r w:rsidR="007D4C52">
        <w:rPr>
          <w:rFonts w:eastAsia="Times New Roman"/>
          <w:lang w:eastAsia="en-AU"/>
        </w:rPr>
        <w:t>d</w:t>
      </w:r>
      <w:r w:rsidR="007C28E6">
        <w:rPr>
          <w:rFonts w:eastAsia="Times New Roman"/>
          <w:lang w:eastAsia="en-AU"/>
        </w:rPr>
        <w:t xml:space="preserve">ashboard </w:t>
      </w:r>
      <w:r w:rsidR="007D4C52">
        <w:rPr>
          <w:rFonts w:eastAsia="Times New Roman"/>
          <w:lang w:eastAsia="en-AU"/>
        </w:rPr>
        <w:t>w</w:t>
      </w:r>
      <w:r w:rsidR="007C28E6">
        <w:rPr>
          <w:rFonts w:eastAsia="Times New Roman"/>
          <w:lang w:eastAsia="en-AU"/>
        </w:rPr>
        <w:t>ireframes</w:t>
      </w:r>
    </w:p>
    <w:p w14:paraId="5AD408EF" w14:textId="5024C267" w:rsidR="0025338E" w:rsidRPr="0096736B" w:rsidRDefault="0025338E" w:rsidP="005312E8">
      <w:pPr>
        <w:rPr>
          <w:sz w:val="20"/>
          <w:szCs w:val="20"/>
          <w:lang w:eastAsia="en-AU"/>
        </w:rPr>
      </w:pPr>
      <w:r w:rsidRPr="00C42AB2">
        <w:rPr>
          <w:i/>
          <w:iCs/>
          <w:sz w:val="20"/>
          <w:szCs w:val="20"/>
        </w:rPr>
        <w:t xml:space="preserve">Table </w:t>
      </w:r>
      <w:r w:rsidR="009C2B82" w:rsidRPr="00C42AB2">
        <w:rPr>
          <w:i/>
          <w:iCs/>
          <w:sz w:val="20"/>
          <w:szCs w:val="20"/>
        </w:rPr>
        <w:t>6</w:t>
      </w:r>
      <w:r w:rsidR="00D35FC6">
        <w:rPr>
          <w:i/>
          <w:iCs/>
          <w:sz w:val="20"/>
          <w:szCs w:val="20"/>
        </w:rPr>
        <w:t>:</w:t>
      </w:r>
      <w:r w:rsidRPr="00C42AB2">
        <w:rPr>
          <w:i/>
          <w:iCs/>
          <w:sz w:val="20"/>
          <w:szCs w:val="20"/>
        </w:rPr>
        <w:t xml:space="preserve"> Outlines the enterprise definition of a HEPPP</w:t>
      </w:r>
      <w:r w:rsidR="007A1F1B">
        <w:rPr>
          <w:i/>
          <w:iCs/>
          <w:sz w:val="20"/>
          <w:szCs w:val="20"/>
        </w:rPr>
        <w:t>-</w:t>
      </w:r>
      <w:r w:rsidRPr="0096736B">
        <w:rPr>
          <w:i/>
          <w:iCs/>
          <w:sz w:val="20"/>
          <w:szCs w:val="20"/>
        </w:rPr>
        <w:t xml:space="preserve">eligible (equity) student. </w:t>
      </w:r>
    </w:p>
    <w:tbl>
      <w:tblPr>
        <w:tblStyle w:val="PlainTable1"/>
        <w:tblW w:w="9018" w:type="dxa"/>
        <w:tblLook w:val="04A0" w:firstRow="1" w:lastRow="0" w:firstColumn="1" w:lastColumn="0" w:noHBand="0" w:noVBand="1"/>
      </w:tblPr>
      <w:tblGrid>
        <w:gridCol w:w="3149"/>
        <w:gridCol w:w="5869"/>
      </w:tblGrid>
      <w:tr w:rsidR="007C28E6" w:rsidRPr="009C2B82" w14:paraId="1677EE7B" w14:textId="77777777" w:rsidTr="0054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018" w:type="dxa"/>
            <w:gridSpan w:val="2"/>
          </w:tcPr>
          <w:p w14:paraId="6CE7DF8C" w14:textId="4A64A837" w:rsidR="007C28E6" w:rsidRPr="00547C03" w:rsidRDefault="007C28E6" w:rsidP="002E211E">
            <w:pPr>
              <w:spacing w:line="276" w:lineRule="auto"/>
              <w:rPr>
                <w:sz w:val="20"/>
                <w:szCs w:val="20"/>
              </w:rPr>
            </w:pPr>
            <w:r w:rsidRPr="00547C03">
              <w:rPr>
                <w:rFonts w:eastAsia="Calibri"/>
                <w:sz w:val="20"/>
                <w:szCs w:val="20"/>
              </w:rPr>
              <w:t xml:space="preserve">Student </w:t>
            </w:r>
            <w:r w:rsidR="00680D6E" w:rsidRPr="00547C03">
              <w:rPr>
                <w:rFonts w:eastAsia="Calibri"/>
                <w:sz w:val="20"/>
                <w:szCs w:val="20"/>
              </w:rPr>
              <w:t>f</w:t>
            </w:r>
            <w:r w:rsidRPr="00547C03">
              <w:rPr>
                <w:rFonts w:eastAsia="Calibri"/>
                <w:sz w:val="20"/>
                <w:szCs w:val="20"/>
              </w:rPr>
              <w:t xml:space="preserve">lag </w:t>
            </w:r>
            <w:r w:rsidR="00680D6E" w:rsidRPr="00547C03">
              <w:rPr>
                <w:rFonts w:eastAsia="Calibri"/>
                <w:sz w:val="20"/>
                <w:szCs w:val="20"/>
              </w:rPr>
              <w:t>d</w:t>
            </w:r>
            <w:r w:rsidRPr="00547C03">
              <w:rPr>
                <w:rFonts w:eastAsia="Calibri"/>
                <w:sz w:val="20"/>
                <w:szCs w:val="20"/>
              </w:rPr>
              <w:t xml:space="preserve">escription </w:t>
            </w:r>
          </w:p>
        </w:tc>
      </w:tr>
      <w:tr w:rsidR="007C28E6" w:rsidRPr="009C2B82" w14:paraId="6C76F1A0" w14:textId="77777777" w:rsidTr="00547C0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149" w:type="dxa"/>
          </w:tcPr>
          <w:p w14:paraId="12049876" w14:textId="77777777" w:rsidR="007C28E6" w:rsidRPr="00547C03" w:rsidRDefault="007C28E6" w:rsidP="002E211E">
            <w:pPr>
              <w:spacing w:line="276" w:lineRule="auto"/>
              <w:rPr>
                <w:b w:val="0"/>
                <w:bCs w:val="0"/>
                <w:sz w:val="20"/>
                <w:szCs w:val="20"/>
              </w:rPr>
            </w:pPr>
            <w:r w:rsidRPr="00547C03">
              <w:rPr>
                <w:rFonts w:eastAsia="Calibri"/>
                <w:sz w:val="20"/>
                <w:szCs w:val="20"/>
              </w:rPr>
              <w:t xml:space="preserve">Dimension </w:t>
            </w:r>
          </w:p>
        </w:tc>
        <w:tc>
          <w:tcPr>
            <w:tcW w:w="5869" w:type="dxa"/>
          </w:tcPr>
          <w:p w14:paraId="5559AE0C" w14:textId="77777777" w:rsidR="007C28E6" w:rsidRPr="00547C03"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547C03">
              <w:rPr>
                <w:rFonts w:eastAsia="Calibri"/>
                <w:b/>
                <w:bCs/>
                <w:sz w:val="20"/>
                <w:szCs w:val="20"/>
              </w:rPr>
              <w:t xml:space="preserve">Description </w:t>
            </w:r>
          </w:p>
        </w:tc>
      </w:tr>
      <w:tr w:rsidR="007C28E6" w:rsidRPr="009C2B82" w14:paraId="61D1FA96" w14:textId="77777777" w:rsidTr="00547C03">
        <w:trPr>
          <w:trHeight w:val="317"/>
        </w:trPr>
        <w:tc>
          <w:tcPr>
            <w:cnfStyle w:val="001000000000" w:firstRow="0" w:lastRow="0" w:firstColumn="1" w:lastColumn="0" w:oddVBand="0" w:evenVBand="0" w:oddHBand="0" w:evenHBand="0" w:firstRowFirstColumn="0" w:firstRowLastColumn="0" w:lastRowFirstColumn="0" w:lastRowLastColumn="0"/>
            <w:tcW w:w="3149" w:type="dxa"/>
          </w:tcPr>
          <w:p w14:paraId="2A207D37" w14:textId="77777777" w:rsidR="007C28E6" w:rsidRPr="00547C03" w:rsidRDefault="007C28E6" w:rsidP="002E211E">
            <w:pPr>
              <w:spacing w:line="276" w:lineRule="auto"/>
              <w:rPr>
                <w:sz w:val="20"/>
                <w:szCs w:val="20"/>
              </w:rPr>
            </w:pPr>
            <w:r w:rsidRPr="00547C03">
              <w:rPr>
                <w:sz w:val="20"/>
                <w:szCs w:val="20"/>
              </w:rPr>
              <w:t>Domestic student</w:t>
            </w:r>
            <w:r w:rsidRPr="00547C03">
              <w:rPr>
                <w:rFonts w:eastAsia="Calibri"/>
                <w:sz w:val="20"/>
                <w:szCs w:val="20"/>
              </w:rPr>
              <w:t xml:space="preserve"> </w:t>
            </w:r>
          </w:p>
        </w:tc>
        <w:tc>
          <w:tcPr>
            <w:tcW w:w="5869" w:type="dxa"/>
          </w:tcPr>
          <w:p w14:paraId="3B7064A6" w14:textId="0069B090" w:rsidR="007C28E6" w:rsidRPr="00547C03" w:rsidRDefault="007C28E6" w:rsidP="002E211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47C03">
              <w:rPr>
                <w:sz w:val="20"/>
                <w:szCs w:val="20"/>
              </w:rPr>
              <w:t>Not an overseas student</w:t>
            </w:r>
            <w:r w:rsidR="00680D6E" w:rsidRPr="00547C03">
              <w:rPr>
                <w:rFonts w:eastAsia="Calibri"/>
                <w:sz w:val="20"/>
                <w:szCs w:val="20"/>
              </w:rPr>
              <w:t>.</w:t>
            </w:r>
          </w:p>
        </w:tc>
      </w:tr>
      <w:tr w:rsidR="007C28E6" w:rsidRPr="009C2B82" w14:paraId="6205A566" w14:textId="77777777" w:rsidTr="00547C0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149" w:type="dxa"/>
          </w:tcPr>
          <w:p w14:paraId="4F8734DE" w14:textId="77777777" w:rsidR="007C28E6" w:rsidRPr="00547C03" w:rsidRDefault="007C28E6" w:rsidP="002E211E">
            <w:pPr>
              <w:spacing w:line="276" w:lineRule="auto"/>
              <w:rPr>
                <w:sz w:val="20"/>
                <w:szCs w:val="20"/>
              </w:rPr>
            </w:pPr>
            <w:r w:rsidRPr="00547C03">
              <w:rPr>
                <w:sz w:val="20"/>
                <w:szCs w:val="20"/>
              </w:rPr>
              <w:t>Undergraduate course</w:t>
            </w:r>
            <w:r w:rsidRPr="00547C03">
              <w:rPr>
                <w:rFonts w:eastAsia="Calibri"/>
                <w:sz w:val="20"/>
                <w:szCs w:val="20"/>
              </w:rPr>
              <w:t xml:space="preserve"> </w:t>
            </w:r>
          </w:p>
        </w:tc>
        <w:tc>
          <w:tcPr>
            <w:tcW w:w="5869" w:type="dxa"/>
          </w:tcPr>
          <w:p w14:paraId="11040377" w14:textId="0161C3E8" w:rsidR="007C28E6" w:rsidRPr="00547C03"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47C03">
              <w:rPr>
                <w:sz w:val="20"/>
                <w:szCs w:val="20"/>
              </w:rPr>
              <w:t>Student enrolled in an undergraduate course of study</w:t>
            </w:r>
            <w:r w:rsidR="00680D6E" w:rsidRPr="00547C03">
              <w:rPr>
                <w:rFonts w:eastAsia="Calibri"/>
                <w:sz w:val="20"/>
                <w:szCs w:val="20"/>
              </w:rPr>
              <w:t>.</w:t>
            </w:r>
          </w:p>
        </w:tc>
      </w:tr>
      <w:tr w:rsidR="007C28E6" w:rsidRPr="009C2B82" w14:paraId="3DE5918C" w14:textId="77777777" w:rsidTr="00547C03">
        <w:trPr>
          <w:trHeight w:val="624"/>
        </w:trPr>
        <w:tc>
          <w:tcPr>
            <w:cnfStyle w:val="001000000000" w:firstRow="0" w:lastRow="0" w:firstColumn="1" w:lastColumn="0" w:oddVBand="0" w:evenVBand="0" w:oddHBand="0" w:evenHBand="0" w:firstRowFirstColumn="0" w:firstRowLastColumn="0" w:lastRowFirstColumn="0" w:lastRowLastColumn="0"/>
            <w:tcW w:w="3149" w:type="dxa"/>
          </w:tcPr>
          <w:p w14:paraId="0DA72A9A" w14:textId="1591EBDE" w:rsidR="007C28E6" w:rsidRPr="00547C03" w:rsidRDefault="007C28E6" w:rsidP="002E211E">
            <w:pPr>
              <w:spacing w:line="276" w:lineRule="auto"/>
              <w:rPr>
                <w:sz w:val="20"/>
                <w:szCs w:val="20"/>
              </w:rPr>
            </w:pPr>
            <w:r w:rsidRPr="00547C03">
              <w:rPr>
                <w:sz w:val="20"/>
                <w:szCs w:val="20"/>
              </w:rPr>
              <w:t xml:space="preserve">Low </w:t>
            </w:r>
            <w:r w:rsidR="00680D6E" w:rsidRPr="00547C03">
              <w:rPr>
                <w:sz w:val="20"/>
                <w:szCs w:val="20"/>
              </w:rPr>
              <w:t>s</w:t>
            </w:r>
            <w:r w:rsidRPr="00547C03">
              <w:rPr>
                <w:sz w:val="20"/>
                <w:szCs w:val="20"/>
              </w:rPr>
              <w:t>ocio-</w:t>
            </w:r>
            <w:r w:rsidR="00680D6E" w:rsidRPr="00547C03">
              <w:rPr>
                <w:sz w:val="20"/>
                <w:szCs w:val="20"/>
              </w:rPr>
              <w:t>e</w:t>
            </w:r>
            <w:r w:rsidRPr="00547C03">
              <w:rPr>
                <w:sz w:val="20"/>
                <w:szCs w:val="20"/>
              </w:rPr>
              <w:t xml:space="preserve">conomic </w:t>
            </w:r>
            <w:r w:rsidR="00680D6E" w:rsidRPr="00547C03">
              <w:rPr>
                <w:sz w:val="20"/>
                <w:szCs w:val="20"/>
              </w:rPr>
              <w:t>s</w:t>
            </w:r>
            <w:r w:rsidRPr="00547C03">
              <w:rPr>
                <w:sz w:val="20"/>
                <w:szCs w:val="20"/>
              </w:rPr>
              <w:t>tatus background</w:t>
            </w:r>
            <w:r w:rsidRPr="00547C03">
              <w:rPr>
                <w:rFonts w:eastAsia="Calibri"/>
                <w:sz w:val="20"/>
                <w:szCs w:val="20"/>
              </w:rPr>
              <w:t xml:space="preserve"> </w:t>
            </w:r>
          </w:p>
        </w:tc>
        <w:tc>
          <w:tcPr>
            <w:tcW w:w="5869" w:type="dxa"/>
          </w:tcPr>
          <w:p w14:paraId="611A02AD" w14:textId="6D2ED7B0" w:rsidR="007C28E6" w:rsidRPr="00547C03" w:rsidRDefault="007C28E6" w:rsidP="002E211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47C03">
              <w:rPr>
                <w:sz w:val="20"/>
                <w:szCs w:val="20"/>
              </w:rPr>
              <w:t>First residential address postcode (SEIFA, 2021)</w:t>
            </w:r>
            <w:r w:rsidR="00680D6E" w:rsidRPr="00547C03">
              <w:rPr>
                <w:rFonts w:eastAsia="Calibri"/>
                <w:sz w:val="20"/>
                <w:szCs w:val="20"/>
              </w:rPr>
              <w:t>.</w:t>
            </w:r>
          </w:p>
        </w:tc>
      </w:tr>
      <w:tr w:rsidR="007C28E6" w:rsidRPr="009C2B82" w14:paraId="0F54BCAA" w14:textId="77777777" w:rsidTr="00547C03">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149" w:type="dxa"/>
          </w:tcPr>
          <w:p w14:paraId="2B0D7483" w14:textId="59EA28A3" w:rsidR="007C28E6" w:rsidRPr="00547C03" w:rsidRDefault="007C28E6" w:rsidP="002E211E">
            <w:pPr>
              <w:spacing w:line="276" w:lineRule="auto"/>
              <w:rPr>
                <w:sz w:val="20"/>
                <w:szCs w:val="20"/>
              </w:rPr>
            </w:pPr>
            <w:r w:rsidRPr="00547C03">
              <w:rPr>
                <w:sz w:val="20"/>
                <w:szCs w:val="20"/>
              </w:rPr>
              <w:t>Regional</w:t>
            </w:r>
            <w:r w:rsidR="00680D6E" w:rsidRPr="00547C03">
              <w:rPr>
                <w:sz w:val="20"/>
                <w:szCs w:val="20"/>
              </w:rPr>
              <w:t>, rural,</w:t>
            </w:r>
            <w:r w:rsidRPr="00547C03">
              <w:rPr>
                <w:sz w:val="20"/>
                <w:szCs w:val="20"/>
              </w:rPr>
              <w:t xml:space="preserve"> and </w:t>
            </w:r>
            <w:r w:rsidR="00680D6E" w:rsidRPr="00547C03">
              <w:rPr>
                <w:sz w:val="20"/>
                <w:szCs w:val="20"/>
              </w:rPr>
              <w:t>r</w:t>
            </w:r>
            <w:r w:rsidRPr="00547C03">
              <w:rPr>
                <w:sz w:val="20"/>
                <w:szCs w:val="20"/>
              </w:rPr>
              <w:t>emote background</w:t>
            </w:r>
            <w:r w:rsidRPr="00547C03">
              <w:rPr>
                <w:rFonts w:eastAsia="Calibri"/>
                <w:sz w:val="20"/>
                <w:szCs w:val="20"/>
              </w:rPr>
              <w:t xml:space="preserve"> </w:t>
            </w:r>
          </w:p>
        </w:tc>
        <w:tc>
          <w:tcPr>
            <w:tcW w:w="5869" w:type="dxa"/>
          </w:tcPr>
          <w:p w14:paraId="3E3B9876" w14:textId="3ABE4E72" w:rsidR="007C28E6" w:rsidRPr="00547C03"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47C03">
              <w:rPr>
                <w:sz w:val="20"/>
                <w:szCs w:val="20"/>
              </w:rPr>
              <w:t>First residential address postcode (ASGS, 2021)</w:t>
            </w:r>
            <w:r w:rsidR="00680D6E" w:rsidRPr="00547C03">
              <w:rPr>
                <w:rFonts w:eastAsia="Calibri"/>
                <w:sz w:val="20"/>
                <w:szCs w:val="20"/>
              </w:rPr>
              <w:t>.</w:t>
            </w:r>
          </w:p>
        </w:tc>
      </w:tr>
      <w:tr w:rsidR="007C28E6" w:rsidRPr="009C2B82" w14:paraId="414107B1" w14:textId="77777777" w:rsidTr="00547C03">
        <w:trPr>
          <w:trHeight w:val="625"/>
        </w:trPr>
        <w:tc>
          <w:tcPr>
            <w:cnfStyle w:val="001000000000" w:firstRow="0" w:lastRow="0" w:firstColumn="1" w:lastColumn="0" w:oddVBand="0" w:evenVBand="0" w:oddHBand="0" w:evenHBand="0" w:firstRowFirstColumn="0" w:firstRowLastColumn="0" w:lastRowFirstColumn="0" w:lastRowLastColumn="0"/>
            <w:tcW w:w="3149" w:type="dxa"/>
          </w:tcPr>
          <w:p w14:paraId="40D67869" w14:textId="5CE626A3" w:rsidR="007C28E6" w:rsidRPr="00547C03" w:rsidRDefault="007C28E6" w:rsidP="002E211E">
            <w:pPr>
              <w:spacing w:line="276" w:lineRule="auto"/>
              <w:rPr>
                <w:sz w:val="20"/>
                <w:szCs w:val="20"/>
              </w:rPr>
            </w:pPr>
            <w:r w:rsidRPr="00547C03">
              <w:rPr>
                <w:sz w:val="20"/>
                <w:szCs w:val="20"/>
              </w:rPr>
              <w:t>Aboriginal and</w:t>
            </w:r>
            <w:r w:rsidR="001C63AE">
              <w:rPr>
                <w:sz w:val="20"/>
                <w:szCs w:val="20"/>
              </w:rPr>
              <w:t>/or</w:t>
            </w:r>
            <w:r w:rsidRPr="00547C03">
              <w:rPr>
                <w:sz w:val="20"/>
                <w:szCs w:val="20"/>
              </w:rPr>
              <w:t xml:space="preserve"> Torres Strait </w:t>
            </w:r>
          </w:p>
          <w:p w14:paraId="7ED625E3" w14:textId="77777777" w:rsidR="007C28E6" w:rsidRPr="00547C03" w:rsidRDefault="007C28E6" w:rsidP="002E211E">
            <w:pPr>
              <w:spacing w:line="276" w:lineRule="auto"/>
              <w:rPr>
                <w:sz w:val="20"/>
                <w:szCs w:val="20"/>
              </w:rPr>
            </w:pPr>
            <w:r w:rsidRPr="00547C03">
              <w:rPr>
                <w:sz w:val="20"/>
                <w:szCs w:val="20"/>
              </w:rPr>
              <w:t>Islander student</w:t>
            </w:r>
            <w:r w:rsidRPr="00547C03">
              <w:rPr>
                <w:rFonts w:eastAsia="Calibri"/>
                <w:sz w:val="20"/>
                <w:szCs w:val="20"/>
              </w:rPr>
              <w:t xml:space="preserve"> </w:t>
            </w:r>
          </w:p>
        </w:tc>
        <w:tc>
          <w:tcPr>
            <w:tcW w:w="5869" w:type="dxa"/>
          </w:tcPr>
          <w:p w14:paraId="78787C2F" w14:textId="3E23DF6D" w:rsidR="007C28E6" w:rsidRPr="00547C03" w:rsidRDefault="007C28E6" w:rsidP="002E211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47C03">
              <w:rPr>
                <w:sz w:val="20"/>
                <w:szCs w:val="20"/>
              </w:rPr>
              <w:t>Student identifies as being of Aboriginal and/or Torres Strait Islander descent and reported in student management system</w:t>
            </w:r>
            <w:r w:rsidR="00680D6E" w:rsidRPr="00547C03">
              <w:rPr>
                <w:rFonts w:eastAsia="Calibri"/>
                <w:sz w:val="20"/>
                <w:szCs w:val="20"/>
              </w:rPr>
              <w:t>.</w:t>
            </w:r>
          </w:p>
        </w:tc>
      </w:tr>
    </w:tbl>
    <w:p w14:paraId="1175372B" w14:textId="77777777" w:rsidR="008B79C4" w:rsidRDefault="007C28E6" w:rsidP="005312E8">
      <w:pPr>
        <w:rPr>
          <w:i/>
          <w:iCs/>
        </w:rPr>
      </w:pPr>
      <w:r w:rsidRPr="005312E8">
        <w:rPr>
          <w:i/>
          <w:iCs/>
        </w:rPr>
        <w:t xml:space="preserve"> </w:t>
      </w:r>
    </w:p>
    <w:p w14:paraId="3A6C67DA" w14:textId="62A0B562" w:rsidR="007C28E6" w:rsidRPr="00C42AB2" w:rsidRDefault="0025338E" w:rsidP="005312E8">
      <w:pPr>
        <w:rPr>
          <w:sz w:val="20"/>
          <w:szCs w:val="20"/>
        </w:rPr>
      </w:pPr>
      <w:r w:rsidRPr="00C42AB2">
        <w:rPr>
          <w:i/>
          <w:iCs/>
          <w:sz w:val="20"/>
          <w:szCs w:val="20"/>
        </w:rPr>
        <w:t xml:space="preserve">Figure </w:t>
      </w:r>
      <w:r w:rsidR="008B79C4" w:rsidRPr="00C42AB2">
        <w:rPr>
          <w:i/>
          <w:iCs/>
          <w:sz w:val="20"/>
          <w:szCs w:val="20"/>
        </w:rPr>
        <w:t>2</w:t>
      </w:r>
      <w:r w:rsidRPr="00C42AB2">
        <w:rPr>
          <w:i/>
          <w:iCs/>
          <w:sz w:val="20"/>
          <w:szCs w:val="20"/>
        </w:rPr>
        <w:t xml:space="preserve">. Example wireframe for the dashboards, </w:t>
      </w:r>
      <w:r w:rsidR="00DA7509" w:rsidRPr="00C42AB2">
        <w:rPr>
          <w:i/>
          <w:iCs/>
          <w:sz w:val="20"/>
          <w:szCs w:val="20"/>
        </w:rPr>
        <w:t xml:space="preserve">2x2 matrix </w:t>
      </w:r>
      <w:r w:rsidRPr="00C42AB2">
        <w:rPr>
          <w:i/>
          <w:iCs/>
          <w:sz w:val="20"/>
          <w:szCs w:val="20"/>
        </w:rPr>
        <w:t>looking at reach of the program</w:t>
      </w:r>
      <w:r w:rsidR="008C011C" w:rsidRPr="00C42AB2">
        <w:rPr>
          <w:i/>
          <w:iCs/>
          <w:sz w:val="20"/>
          <w:szCs w:val="20"/>
        </w:rPr>
        <w:t xml:space="preserve"> split by equity vs non-equity </w:t>
      </w:r>
      <w:r w:rsidR="00DA7509" w:rsidRPr="00C42AB2">
        <w:rPr>
          <w:i/>
          <w:iCs/>
          <w:sz w:val="20"/>
          <w:szCs w:val="20"/>
        </w:rPr>
        <w:t xml:space="preserve">on the </w:t>
      </w:r>
      <w:r w:rsidR="009E6D88" w:rsidRPr="00C42AB2">
        <w:rPr>
          <w:i/>
          <w:iCs/>
          <w:sz w:val="20"/>
          <w:szCs w:val="20"/>
        </w:rPr>
        <w:t xml:space="preserve">vertical axis and </w:t>
      </w:r>
      <w:r w:rsidR="00275021" w:rsidRPr="00C42AB2">
        <w:rPr>
          <w:i/>
          <w:iCs/>
          <w:sz w:val="20"/>
          <w:szCs w:val="20"/>
        </w:rPr>
        <w:t>program participation on the horizontal axis.</w:t>
      </w:r>
    </w:p>
    <w:p w14:paraId="5FFD58D8" w14:textId="2CEB602C" w:rsidR="00F1670E" w:rsidRPr="00F1670E" w:rsidRDefault="000648BB" w:rsidP="00F1670E">
      <w:pPr>
        <w:spacing w:after="117" w:line="259" w:lineRule="auto"/>
        <w:ind w:right="120"/>
        <w:jc w:val="right"/>
        <w:sectPr w:rsidR="00F1670E" w:rsidRPr="00F1670E" w:rsidSect="008C7722">
          <w:footerReference w:type="default" r:id="rId27"/>
          <w:pgSz w:w="11906" w:h="16838"/>
          <w:pgMar w:top="1440" w:right="1440" w:bottom="1440" w:left="1440" w:header="708" w:footer="397" w:gutter="0"/>
          <w:pgNumType w:start="1"/>
          <w:cols w:space="708"/>
          <w:docGrid w:linePitch="360"/>
        </w:sectPr>
      </w:pPr>
      <w:r>
        <w:rPr>
          <w:noProof/>
        </w:rPr>
        <w:drawing>
          <wp:inline distT="0" distB="0" distL="0" distR="0" wp14:anchorId="1DE20BE9" wp14:editId="2FFE7761">
            <wp:extent cx="5486400" cy="4175760"/>
            <wp:effectExtent l="247650" t="0" r="247650" b="0"/>
            <wp:docPr id="1565502595" name="Diagram 2" descr="Example dashboard wireframe shown as a 2×2 matrix. The vertical axis compares equity and non‑equity students, and the horizontal axis compares program participation and non‑participation. The matrix is used to visualise program reach across equity and non‑equity cohor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7C28E6">
        <w:rPr>
          <w:rFonts w:ascii="Calibri" w:eastAsia="Calibri" w:hAnsi="Calibri" w:cs="Calibri"/>
          <w:i/>
        </w:rPr>
        <w:t xml:space="preserve"> </w:t>
      </w:r>
    </w:p>
    <w:p w14:paraId="3E8FFBE2" w14:textId="09DD304A" w:rsidR="0025338E" w:rsidRPr="0096736B" w:rsidRDefault="007C28E6" w:rsidP="00F1670E">
      <w:pPr>
        <w:spacing w:after="0" w:line="259" w:lineRule="auto"/>
        <w:rPr>
          <w:sz w:val="20"/>
          <w:szCs w:val="20"/>
        </w:rPr>
      </w:pPr>
      <w:r w:rsidRPr="00C42AB2">
        <w:rPr>
          <w:rFonts w:ascii="Calibri" w:eastAsia="Calibri" w:hAnsi="Calibri" w:cs="Calibri"/>
          <w:sz w:val="20"/>
          <w:szCs w:val="20"/>
        </w:rPr>
        <w:lastRenderedPageBreak/>
        <w:t xml:space="preserve"> </w:t>
      </w:r>
      <w:r w:rsidR="0025338E" w:rsidRPr="00C42AB2">
        <w:rPr>
          <w:rFonts w:eastAsia="Calibri" w:cs="Arial"/>
          <w:i/>
          <w:sz w:val="20"/>
          <w:szCs w:val="20"/>
        </w:rPr>
        <w:t xml:space="preserve">Figure </w:t>
      </w:r>
      <w:r w:rsidR="00FC29ED" w:rsidRPr="00C42AB2">
        <w:rPr>
          <w:rFonts w:eastAsia="Calibri" w:cs="Arial"/>
          <w:i/>
          <w:sz w:val="20"/>
          <w:szCs w:val="20"/>
        </w:rPr>
        <w:t>3</w:t>
      </w:r>
      <w:r w:rsidR="0025338E" w:rsidRPr="00C42AB2">
        <w:rPr>
          <w:rFonts w:eastAsia="Calibri" w:cs="Arial"/>
          <w:i/>
          <w:sz w:val="20"/>
          <w:szCs w:val="20"/>
        </w:rPr>
        <w:t xml:space="preserve"> and Table </w:t>
      </w:r>
      <w:r w:rsidR="00FC29ED" w:rsidRPr="00C42AB2">
        <w:rPr>
          <w:rFonts w:eastAsia="Calibri" w:cs="Arial"/>
          <w:i/>
          <w:sz w:val="20"/>
          <w:szCs w:val="20"/>
        </w:rPr>
        <w:t>7</w:t>
      </w:r>
      <w:r w:rsidR="00D35FC6">
        <w:rPr>
          <w:rFonts w:eastAsia="Calibri" w:cs="Arial"/>
          <w:i/>
          <w:sz w:val="20"/>
          <w:szCs w:val="20"/>
        </w:rPr>
        <w:t>:</w:t>
      </w:r>
      <w:r w:rsidR="0025338E" w:rsidRPr="00C42AB2">
        <w:rPr>
          <w:rFonts w:eastAsia="Calibri" w:cs="Arial"/>
          <w:i/>
          <w:sz w:val="20"/>
          <w:szCs w:val="20"/>
        </w:rPr>
        <w:t xml:space="preserve"> Example wireframe for the dashboards, looking at year</w:t>
      </w:r>
      <w:r w:rsidR="001C63AE">
        <w:rPr>
          <w:rFonts w:eastAsia="Calibri" w:cs="Arial"/>
          <w:i/>
          <w:sz w:val="20"/>
          <w:szCs w:val="20"/>
        </w:rPr>
        <w:t>-</w:t>
      </w:r>
      <w:r w:rsidR="0025338E" w:rsidRPr="0096736B">
        <w:rPr>
          <w:rFonts w:eastAsia="Calibri" w:cs="Arial"/>
          <w:i/>
          <w:sz w:val="20"/>
          <w:szCs w:val="20"/>
        </w:rPr>
        <w:t>on</w:t>
      </w:r>
      <w:r w:rsidR="001C63AE">
        <w:rPr>
          <w:rFonts w:eastAsia="Calibri" w:cs="Arial"/>
          <w:i/>
          <w:sz w:val="20"/>
          <w:szCs w:val="20"/>
        </w:rPr>
        <w:t>-</w:t>
      </w:r>
      <w:r w:rsidR="0025338E" w:rsidRPr="0096736B">
        <w:rPr>
          <w:rFonts w:eastAsia="Calibri" w:cs="Arial"/>
          <w:i/>
          <w:sz w:val="20"/>
          <w:szCs w:val="20"/>
        </w:rPr>
        <w:t>year investment per life stage.</w:t>
      </w:r>
    </w:p>
    <w:tbl>
      <w:tblPr>
        <w:tblStyle w:val="GridTable4-Accent2"/>
        <w:tblW w:w="5000" w:type="pct"/>
        <w:tblLayout w:type="fixed"/>
        <w:tblLook w:val="04A0" w:firstRow="1" w:lastRow="0" w:firstColumn="1" w:lastColumn="0" w:noHBand="0" w:noVBand="1"/>
      </w:tblPr>
      <w:tblGrid>
        <w:gridCol w:w="2247"/>
        <w:gridCol w:w="2341"/>
        <w:gridCol w:w="2340"/>
        <w:gridCol w:w="2340"/>
        <w:gridCol w:w="2340"/>
        <w:gridCol w:w="2340"/>
      </w:tblGrid>
      <w:tr w:rsidR="00DF24C4" w:rsidRPr="00DF24C4" w14:paraId="153AC6DB" w14:textId="77777777" w:rsidTr="0062235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348A3682" w14:textId="217C15AC" w:rsidR="00360BD5" w:rsidRPr="00360BD5" w:rsidRDefault="00360BD5" w:rsidP="00622359">
            <w:pPr>
              <w:spacing w:after="132" w:line="259" w:lineRule="auto"/>
              <w:jc w:val="center"/>
              <w:rPr>
                <w:rFonts w:eastAsia="Calibri" w:cs="Arial"/>
                <w:i/>
                <w:sz w:val="20"/>
                <w:szCs w:val="20"/>
                <w:lang w:val="en-US"/>
              </w:rPr>
            </w:pPr>
            <w:r w:rsidRPr="00360BD5">
              <w:rPr>
                <w:rFonts w:eastAsia="Calibri" w:cs="Arial"/>
                <w:i/>
              </w:rPr>
              <w:t> </w:t>
            </w:r>
            <w:r w:rsidRPr="00360BD5">
              <w:rPr>
                <w:rFonts w:eastAsia="Calibri" w:cs="Arial"/>
                <w:i/>
                <w:sz w:val="20"/>
                <w:szCs w:val="20"/>
                <w:lang w:val="en-US"/>
              </w:rPr>
              <w:t xml:space="preserve">Primary </w:t>
            </w:r>
            <w:r w:rsidR="001C63AE">
              <w:rPr>
                <w:rFonts w:eastAsia="Calibri" w:cs="Arial"/>
                <w:i/>
                <w:sz w:val="20"/>
                <w:szCs w:val="20"/>
                <w:lang w:val="en-US"/>
              </w:rPr>
              <w:t>s</w:t>
            </w:r>
            <w:r w:rsidRPr="00360BD5">
              <w:rPr>
                <w:rFonts w:eastAsia="Calibri" w:cs="Arial"/>
                <w:i/>
                <w:sz w:val="20"/>
                <w:szCs w:val="20"/>
                <w:lang w:val="en-US"/>
              </w:rPr>
              <w:t xml:space="preserve">tudent </w:t>
            </w:r>
            <w:r w:rsidR="001C63AE">
              <w:rPr>
                <w:rFonts w:eastAsia="Calibri" w:cs="Arial"/>
                <w:i/>
                <w:sz w:val="20"/>
                <w:szCs w:val="20"/>
                <w:lang w:val="en-US"/>
              </w:rPr>
              <w:t>l</w:t>
            </w:r>
            <w:r w:rsidRPr="00360BD5">
              <w:rPr>
                <w:rFonts w:eastAsia="Calibri" w:cs="Arial"/>
                <w:i/>
                <w:sz w:val="20"/>
                <w:szCs w:val="20"/>
                <w:lang w:val="en-US"/>
              </w:rPr>
              <w:t xml:space="preserve">ifecycle </w:t>
            </w:r>
            <w:r w:rsidR="001C63AE">
              <w:rPr>
                <w:rFonts w:eastAsia="Calibri" w:cs="Arial"/>
                <w:i/>
                <w:sz w:val="20"/>
                <w:szCs w:val="20"/>
                <w:lang w:val="en-US"/>
              </w:rPr>
              <w:t>s</w:t>
            </w:r>
            <w:r w:rsidRPr="00360BD5">
              <w:rPr>
                <w:rFonts w:eastAsia="Calibri" w:cs="Arial"/>
                <w:i/>
                <w:sz w:val="20"/>
                <w:szCs w:val="20"/>
                <w:lang w:val="en-US"/>
              </w:rPr>
              <w:t>tage​​</w:t>
            </w:r>
          </w:p>
        </w:tc>
        <w:tc>
          <w:tcPr>
            <w:tcW w:w="839" w:type="pct"/>
            <w:vAlign w:val="center"/>
            <w:hideMark/>
          </w:tcPr>
          <w:p w14:paraId="52FD50D1" w14:textId="4831FD81" w:rsidR="00360BD5" w:rsidRPr="00360BD5" w:rsidRDefault="00360BD5" w:rsidP="00622359">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 xml:space="preserve">Total </w:t>
            </w:r>
            <w:r w:rsidR="001C63AE">
              <w:rPr>
                <w:rFonts w:eastAsia="Calibri" w:cs="Arial"/>
                <w:i/>
                <w:sz w:val="20"/>
                <w:szCs w:val="20"/>
                <w:lang w:val="en-US"/>
              </w:rPr>
              <w:t>i</w:t>
            </w:r>
            <w:r w:rsidRPr="00360BD5">
              <w:rPr>
                <w:rFonts w:eastAsia="Calibri" w:cs="Arial"/>
                <w:i/>
                <w:sz w:val="20"/>
                <w:szCs w:val="20"/>
                <w:lang w:val="en-US"/>
              </w:rPr>
              <w:t>nvestment for a selected year​​</w:t>
            </w:r>
            <w:r w:rsidR="00DF24C4">
              <w:rPr>
                <w:rFonts w:eastAsia="Calibri" w:cs="Arial"/>
                <w:i/>
                <w:sz w:val="20"/>
                <w:szCs w:val="20"/>
                <w:lang w:val="en-US"/>
              </w:rPr>
              <w:t xml:space="preserve"> </w:t>
            </w:r>
            <w:r w:rsidR="00971B15">
              <w:rPr>
                <w:rFonts w:eastAsia="Calibri" w:cs="Arial"/>
                <w:i/>
                <w:sz w:val="20"/>
                <w:szCs w:val="20"/>
                <w:lang w:val="en-US"/>
              </w:rPr>
              <w:t>(</w:t>
            </w:r>
            <w:r w:rsidRPr="00360BD5">
              <w:rPr>
                <w:rFonts w:eastAsia="Calibri" w:cs="Arial"/>
                <w:i/>
                <w:sz w:val="20"/>
                <w:szCs w:val="20"/>
                <w:lang w:val="en-US"/>
              </w:rPr>
              <w:t>$​​</w:t>
            </w:r>
            <w:r w:rsidR="00971B15">
              <w:rPr>
                <w:rFonts w:eastAsia="Calibri" w:cs="Arial"/>
                <w:i/>
                <w:sz w:val="20"/>
                <w:szCs w:val="20"/>
                <w:lang w:val="en-US"/>
              </w:rPr>
              <w:t>)</w:t>
            </w:r>
          </w:p>
        </w:tc>
        <w:tc>
          <w:tcPr>
            <w:tcW w:w="839" w:type="pct"/>
            <w:vAlign w:val="center"/>
            <w:hideMark/>
          </w:tcPr>
          <w:p w14:paraId="687CBDFD" w14:textId="75C57136" w:rsidR="00360BD5" w:rsidRPr="00360BD5" w:rsidRDefault="00360BD5" w:rsidP="00622359">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Portion of total investment​</w:t>
            </w:r>
            <w:r w:rsidR="00DF24C4">
              <w:rPr>
                <w:rFonts w:eastAsia="Calibri" w:cs="Arial"/>
                <w:i/>
                <w:sz w:val="20"/>
                <w:szCs w:val="20"/>
                <w:lang w:val="en-US"/>
              </w:rPr>
              <w:t xml:space="preserve"> </w:t>
            </w:r>
            <w:r w:rsidR="00971B15">
              <w:rPr>
                <w:rFonts w:eastAsia="Calibri" w:cs="Arial"/>
                <w:i/>
                <w:sz w:val="20"/>
                <w:szCs w:val="20"/>
                <w:lang w:val="en-US"/>
              </w:rPr>
              <w:t>(</w:t>
            </w:r>
            <w:r w:rsidRPr="00360BD5">
              <w:rPr>
                <w:rFonts w:eastAsia="Calibri" w:cs="Arial"/>
                <w:i/>
                <w:sz w:val="20"/>
                <w:szCs w:val="20"/>
                <w:lang w:val="en-US"/>
              </w:rPr>
              <w:t>%​​</w:t>
            </w:r>
            <w:r w:rsidR="00971B15">
              <w:rPr>
                <w:rFonts w:eastAsia="Calibri" w:cs="Arial"/>
                <w:i/>
                <w:sz w:val="20"/>
                <w:szCs w:val="20"/>
                <w:lang w:val="en-US"/>
              </w:rPr>
              <w:t>)</w:t>
            </w:r>
          </w:p>
        </w:tc>
        <w:tc>
          <w:tcPr>
            <w:tcW w:w="839" w:type="pct"/>
            <w:vAlign w:val="center"/>
            <w:hideMark/>
          </w:tcPr>
          <w:p w14:paraId="14918D1F" w14:textId="614609C1" w:rsidR="00360BD5" w:rsidRPr="00360BD5" w:rsidRDefault="00360BD5" w:rsidP="00622359">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 xml:space="preserve">Total </w:t>
            </w:r>
            <w:r w:rsidR="001C63AE">
              <w:rPr>
                <w:rFonts w:eastAsia="Calibri" w:cs="Arial"/>
                <w:i/>
                <w:sz w:val="20"/>
                <w:szCs w:val="20"/>
                <w:lang w:val="en-US"/>
              </w:rPr>
              <w:t>i</w:t>
            </w:r>
            <w:r w:rsidRPr="00360BD5">
              <w:rPr>
                <w:rFonts w:eastAsia="Calibri" w:cs="Arial"/>
                <w:i/>
                <w:sz w:val="20"/>
                <w:szCs w:val="20"/>
                <w:lang w:val="en-US"/>
              </w:rPr>
              <w:t>nvestment for the previous year​</w:t>
            </w:r>
            <w:r w:rsidR="00622359">
              <w:rPr>
                <w:rFonts w:eastAsia="Calibri" w:cs="Arial"/>
                <w:i/>
                <w:sz w:val="20"/>
                <w:szCs w:val="20"/>
                <w:lang w:val="en-US"/>
              </w:rPr>
              <w:t xml:space="preserve"> ($)</w:t>
            </w:r>
          </w:p>
        </w:tc>
        <w:tc>
          <w:tcPr>
            <w:tcW w:w="839" w:type="pct"/>
            <w:vAlign w:val="center"/>
            <w:hideMark/>
          </w:tcPr>
          <w:p w14:paraId="535F6064" w14:textId="5C81F6DB" w:rsidR="00360BD5" w:rsidRPr="00360BD5" w:rsidRDefault="00360BD5" w:rsidP="00622359">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Portion of total investment for the previous year​</w:t>
            </w:r>
            <w:r w:rsidR="00DF24C4">
              <w:rPr>
                <w:rFonts w:eastAsia="Calibri" w:cs="Arial"/>
                <w:i/>
                <w:sz w:val="20"/>
                <w:szCs w:val="20"/>
                <w:lang w:val="en-US"/>
              </w:rPr>
              <w:t xml:space="preserve"> </w:t>
            </w:r>
            <w:r w:rsidR="00622359">
              <w:rPr>
                <w:rFonts w:eastAsia="Calibri" w:cs="Arial"/>
                <w:i/>
                <w:sz w:val="20"/>
                <w:szCs w:val="20"/>
                <w:lang w:val="en-US"/>
              </w:rPr>
              <w:t>(</w:t>
            </w:r>
            <w:r w:rsidRPr="00360BD5">
              <w:rPr>
                <w:rFonts w:eastAsia="Calibri" w:cs="Arial"/>
                <w:i/>
                <w:sz w:val="20"/>
                <w:szCs w:val="20"/>
                <w:lang w:val="en-US"/>
              </w:rPr>
              <w:t>%​</w:t>
            </w:r>
            <w:r w:rsidR="00622359">
              <w:rPr>
                <w:rFonts w:eastAsia="Calibri" w:cs="Arial"/>
                <w:i/>
                <w:sz w:val="20"/>
                <w:szCs w:val="20"/>
                <w:lang w:val="en-US"/>
              </w:rPr>
              <w:t>)</w:t>
            </w:r>
          </w:p>
        </w:tc>
        <w:tc>
          <w:tcPr>
            <w:tcW w:w="839" w:type="pct"/>
            <w:vAlign w:val="center"/>
            <w:hideMark/>
          </w:tcPr>
          <w:p w14:paraId="0D01B2F3" w14:textId="23E368C5" w:rsidR="00360BD5" w:rsidRPr="00360BD5" w:rsidRDefault="00622359" w:rsidP="00622359">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Pr>
                <w:rFonts w:eastAsia="Calibri" w:cs="Arial"/>
                <w:i/>
                <w:sz w:val="20"/>
                <w:szCs w:val="20"/>
                <w:lang w:val="en-US"/>
              </w:rPr>
              <w:t xml:space="preserve">Percentage </w:t>
            </w:r>
            <w:r w:rsidR="00F92DEF">
              <w:rPr>
                <w:rFonts w:eastAsia="Calibri" w:cs="Arial"/>
                <w:i/>
                <w:sz w:val="20"/>
                <w:szCs w:val="20"/>
                <w:lang w:val="en-US"/>
              </w:rPr>
              <w:t>d</w:t>
            </w:r>
            <w:r w:rsidR="00360BD5" w:rsidRPr="00360BD5">
              <w:rPr>
                <w:rFonts w:eastAsia="Calibri" w:cs="Arial"/>
                <w:i/>
                <w:sz w:val="20"/>
                <w:szCs w:val="20"/>
                <w:lang w:val="en-US"/>
              </w:rPr>
              <w:t>ifference in total </w:t>
            </w:r>
            <w:r w:rsidR="0096736B">
              <w:rPr>
                <w:rFonts w:eastAsia="Calibri" w:cs="Arial"/>
                <w:i/>
                <w:sz w:val="20"/>
                <w:szCs w:val="20"/>
                <w:lang w:val="en-US"/>
              </w:rPr>
              <w:t>expenditure between</w:t>
            </w:r>
            <w:r w:rsidR="00360BD5" w:rsidRPr="00360BD5">
              <w:rPr>
                <w:rFonts w:eastAsia="Calibri" w:cs="Arial"/>
                <w:i/>
                <w:sz w:val="20"/>
                <w:szCs w:val="20"/>
                <w:lang w:val="en-US"/>
              </w:rPr>
              <w:t xml:space="preserve"> years​</w:t>
            </w:r>
            <w:r>
              <w:rPr>
                <w:rFonts w:eastAsia="Calibri" w:cs="Arial"/>
                <w:i/>
                <w:sz w:val="20"/>
                <w:szCs w:val="20"/>
                <w:lang w:val="en-US"/>
              </w:rPr>
              <w:t xml:space="preserve"> (%)</w:t>
            </w:r>
          </w:p>
        </w:tc>
      </w:tr>
      <w:tr w:rsidR="00DF24C4" w:rsidRPr="00DF24C4" w14:paraId="002B042A" w14:textId="77777777" w:rsidTr="0062235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0AEB8A57" w14:textId="094114BD" w:rsidR="00360BD5" w:rsidRPr="00360BD5" w:rsidRDefault="00360BD5" w:rsidP="00DF24C4">
            <w:pPr>
              <w:spacing w:after="132" w:line="259" w:lineRule="auto"/>
              <w:rPr>
                <w:rFonts w:eastAsia="Calibri" w:cs="Arial"/>
                <w:i/>
                <w:sz w:val="20"/>
                <w:szCs w:val="20"/>
                <w:lang w:val="en-US"/>
              </w:rPr>
            </w:pPr>
            <w:r w:rsidRPr="00360BD5">
              <w:rPr>
                <w:rFonts w:eastAsia="Calibri" w:cs="Arial"/>
                <w:i/>
                <w:sz w:val="20"/>
                <w:szCs w:val="20"/>
                <w:lang w:val="en-US"/>
              </w:rPr>
              <w:t>Pre-</w:t>
            </w:r>
            <w:r w:rsidR="00F62A18">
              <w:rPr>
                <w:rFonts w:eastAsia="Calibri" w:cs="Arial"/>
                <w:i/>
                <w:sz w:val="20"/>
                <w:szCs w:val="20"/>
                <w:lang w:val="en-US"/>
              </w:rPr>
              <w:t>a</w:t>
            </w:r>
            <w:r w:rsidRPr="00360BD5">
              <w:rPr>
                <w:rFonts w:eastAsia="Calibri" w:cs="Arial"/>
                <w:i/>
                <w:sz w:val="20"/>
                <w:szCs w:val="20"/>
                <w:lang w:val="en-US"/>
              </w:rPr>
              <w:t>ccess​​</w:t>
            </w:r>
          </w:p>
        </w:tc>
        <w:tc>
          <w:tcPr>
            <w:tcW w:w="839" w:type="pct"/>
            <w:vAlign w:val="center"/>
            <w:hideMark/>
          </w:tcPr>
          <w:p w14:paraId="0926E9BA"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34E127F0"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3CC5F1D6"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10DB7BCE"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4F29583D"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r w:rsidRPr="00360BD5">
              <w:rPr>
                <w:rFonts w:eastAsia="Calibri" w:cs="Arial"/>
                <w:i/>
                <w:sz w:val="20"/>
                <w:szCs w:val="20"/>
              </w:rPr>
              <w:t>↑</w:t>
            </w:r>
            <w:r w:rsidRPr="00360BD5">
              <w:rPr>
                <w:rFonts w:eastAsia="Calibri" w:cs="Arial"/>
                <w:i/>
                <w:sz w:val="20"/>
                <w:szCs w:val="20"/>
                <w:lang w:val="en-US"/>
              </w:rPr>
              <w:t>or </w:t>
            </w:r>
            <w:r w:rsidRPr="00360BD5">
              <w:rPr>
                <w:rFonts w:eastAsia="Calibri" w:cs="Arial"/>
                <w:i/>
                <w:sz w:val="20"/>
                <w:szCs w:val="20"/>
              </w:rPr>
              <w:t>↓</w:t>
            </w:r>
            <w:r w:rsidRPr="00360BD5">
              <w:rPr>
                <w:rFonts w:eastAsia="Calibri" w:cs="Arial"/>
                <w:i/>
                <w:sz w:val="20"/>
                <w:szCs w:val="20"/>
                <w:lang w:val="en-US"/>
              </w:rPr>
              <w:t>​</w:t>
            </w:r>
          </w:p>
        </w:tc>
      </w:tr>
      <w:tr w:rsidR="00DF24C4" w:rsidRPr="00DF24C4" w14:paraId="7229FBDC" w14:textId="77777777" w:rsidTr="00622359">
        <w:trPr>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0D4B773C" w14:textId="77777777" w:rsidR="00360BD5" w:rsidRPr="00360BD5" w:rsidRDefault="00360BD5" w:rsidP="00DF24C4">
            <w:pPr>
              <w:spacing w:after="132" w:line="259" w:lineRule="auto"/>
              <w:rPr>
                <w:rFonts w:eastAsia="Calibri" w:cs="Arial"/>
                <w:i/>
                <w:sz w:val="20"/>
                <w:szCs w:val="20"/>
                <w:lang w:val="en-US"/>
              </w:rPr>
            </w:pPr>
            <w:r w:rsidRPr="00360BD5">
              <w:rPr>
                <w:rFonts w:eastAsia="Calibri" w:cs="Arial"/>
                <w:i/>
                <w:sz w:val="20"/>
                <w:szCs w:val="20"/>
                <w:lang w:val="en-US"/>
              </w:rPr>
              <w:t>Access​​</w:t>
            </w:r>
          </w:p>
        </w:tc>
        <w:tc>
          <w:tcPr>
            <w:tcW w:w="839" w:type="pct"/>
            <w:vAlign w:val="center"/>
            <w:hideMark/>
          </w:tcPr>
          <w:p w14:paraId="2329E036"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188B4E4D"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3347B0A2"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60501213"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7AD25594"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r w:rsidRPr="00360BD5">
              <w:rPr>
                <w:rFonts w:eastAsia="Calibri" w:cs="Arial"/>
                <w:i/>
                <w:sz w:val="20"/>
                <w:szCs w:val="20"/>
              </w:rPr>
              <w:t>↑</w:t>
            </w:r>
            <w:r w:rsidRPr="00360BD5">
              <w:rPr>
                <w:rFonts w:eastAsia="Calibri" w:cs="Arial"/>
                <w:i/>
                <w:sz w:val="20"/>
                <w:szCs w:val="20"/>
                <w:lang w:val="en-US"/>
              </w:rPr>
              <w:t>or </w:t>
            </w:r>
            <w:r w:rsidRPr="00360BD5">
              <w:rPr>
                <w:rFonts w:eastAsia="Calibri" w:cs="Arial"/>
                <w:i/>
                <w:sz w:val="20"/>
                <w:szCs w:val="20"/>
              </w:rPr>
              <w:t>↓</w:t>
            </w:r>
            <w:r w:rsidRPr="00360BD5">
              <w:rPr>
                <w:rFonts w:eastAsia="Calibri" w:cs="Arial"/>
                <w:i/>
                <w:sz w:val="20"/>
                <w:szCs w:val="20"/>
                <w:lang w:val="en-US"/>
              </w:rPr>
              <w:t>​</w:t>
            </w:r>
          </w:p>
        </w:tc>
      </w:tr>
      <w:tr w:rsidR="00DF24C4" w:rsidRPr="00DF24C4" w14:paraId="69CAF356" w14:textId="77777777" w:rsidTr="0062235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4FB012BE" w14:textId="77777777" w:rsidR="00360BD5" w:rsidRPr="00360BD5" w:rsidRDefault="00360BD5" w:rsidP="00DF24C4">
            <w:pPr>
              <w:spacing w:after="132" w:line="259" w:lineRule="auto"/>
              <w:rPr>
                <w:rFonts w:eastAsia="Calibri" w:cs="Arial"/>
                <w:i/>
                <w:sz w:val="20"/>
                <w:szCs w:val="20"/>
                <w:lang w:val="en-US"/>
              </w:rPr>
            </w:pPr>
            <w:r w:rsidRPr="00360BD5">
              <w:rPr>
                <w:rFonts w:eastAsia="Calibri" w:cs="Arial"/>
                <w:i/>
                <w:sz w:val="20"/>
                <w:szCs w:val="20"/>
                <w:lang w:val="en-US"/>
              </w:rPr>
              <w:t>Participation​​</w:t>
            </w:r>
          </w:p>
        </w:tc>
        <w:tc>
          <w:tcPr>
            <w:tcW w:w="839" w:type="pct"/>
            <w:vAlign w:val="center"/>
            <w:hideMark/>
          </w:tcPr>
          <w:p w14:paraId="30CBEB8D"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1A18429D"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2FC031F7"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7B499BA8"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51E56E72"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r w:rsidRPr="00360BD5">
              <w:rPr>
                <w:rFonts w:eastAsia="Calibri" w:cs="Arial"/>
                <w:i/>
                <w:sz w:val="20"/>
                <w:szCs w:val="20"/>
              </w:rPr>
              <w:t>↑</w:t>
            </w:r>
            <w:r w:rsidRPr="00360BD5">
              <w:rPr>
                <w:rFonts w:eastAsia="Calibri" w:cs="Arial"/>
                <w:i/>
                <w:sz w:val="20"/>
                <w:szCs w:val="20"/>
                <w:lang w:val="en-US"/>
              </w:rPr>
              <w:t>or </w:t>
            </w:r>
            <w:r w:rsidRPr="00360BD5">
              <w:rPr>
                <w:rFonts w:eastAsia="Calibri" w:cs="Arial"/>
                <w:i/>
                <w:sz w:val="20"/>
                <w:szCs w:val="20"/>
              </w:rPr>
              <w:t>↓</w:t>
            </w:r>
            <w:r w:rsidRPr="00360BD5">
              <w:rPr>
                <w:rFonts w:eastAsia="Calibri" w:cs="Arial"/>
                <w:i/>
                <w:sz w:val="20"/>
                <w:szCs w:val="20"/>
                <w:lang w:val="en-US"/>
              </w:rPr>
              <w:t>​</w:t>
            </w:r>
          </w:p>
        </w:tc>
      </w:tr>
      <w:tr w:rsidR="00DF24C4" w:rsidRPr="00DF24C4" w14:paraId="4D570848" w14:textId="77777777" w:rsidTr="00622359">
        <w:trPr>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29E627F9" w14:textId="39CA2C22" w:rsidR="00360BD5" w:rsidRPr="00360BD5" w:rsidRDefault="00360BD5" w:rsidP="00DF24C4">
            <w:pPr>
              <w:spacing w:after="132" w:line="259" w:lineRule="auto"/>
              <w:rPr>
                <w:rFonts w:eastAsia="Calibri" w:cs="Arial"/>
                <w:i/>
                <w:sz w:val="20"/>
                <w:szCs w:val="20"/>
                <w:lang w:val="en-US"/>
              </w:rPr>
            </w:pPr>
            <w:r w:rsidRPr="00360BD5">
              <w:rPr>
                <w:rFonts w:eastAsia="Calibri" w:cs="Arial"/>
                <w:i/>
                <w:sz w:val="20"/>
                <w:szCs w:val="20"/>
                <w:lang w:val="en-US"/>
              </w:rPr>
              <w:t xml:space="preserve">Attainment and </w:t>
            </w:r>
            <w:r w:rsidR="00F62A18">
              <w:rPr>
                <w:rFonts w:eastAsia="Calibri" w:cs="Arial"/>
                <w:i/>
                <w:sz w:val="20"/>
                <w:szCs w:val="20"/>
                <w:lang w:val="en-US"/>
              </w:rPr>
              <w:t>t</w:t>
            </w:r>
            <w:r w:rsidRPr="00360BD5">
              <w:rPr>
                <w:rFonts w:eastAsia="Calibri" w:cs="Arial"/>
                <w:i/>
                <w:sz w:val="20"/>
                <w:szCs w:val="20"/>
                <w:lang w:val="en-US"/>
              </w:rPr>
              <w:t xml:space="preserve">ransition </w:t>
            </w:r>
            <w:r w:rsidR="00F62A18">
              <w:rPr>
                <w:rFonts w:eastAsia="Calibri" w:cs="Arial"/>
                <w:i/>
                <w:sz w:val="20"/>
                <w:szCs w:val="20"/>
                <w:lang w:val="en-US"/>
              </w:rPr>
              <w:t>o</w:t>
            </w:r>
            <w:r w:rsidRPr="00360BD5">
              <w:rPr>
                <w:rFonts w:eastAsia="Calibri" w:cs="Arial"/>
                <w:i/>
                <w:sz w:val="20"/>
                <w:szCs w:val="20"/>
                <w:lang w:val="en-US"/>
              </w:rPr>
              <w:t>ut​​</w:t>
            </w:r>
          </w:p>
        </w:tc>
        <w:tc>
          <w:tcPr>
            <w:tcW w:w="839" w:type="pct"/>
            <w:vAlign w:val="center"/>
            <w:hideMark/>
          </w:tcPr>
          <w:p w14:paraId="7D984D5A"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56DC63FD"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5FF4C922"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4CD51097"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24EA58A2"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r w:rsidRPr="00360BD5">
              <w:rPr>
                <w:rFonts w:eastAsia="Calibri" w:cs="Arial"/>
                <w:i/>
                <w:sz w:val="20"/>
                <w:szCs w:val="20"/>
              </w:rPr>
              <w:t>↑</w:t>
            </w:r>
            <w:r w:rsidRPr="00360BD5">
              <w:rPr>
                <w:rFonts w:eastAsia="Calibri" w:cs="Arial"/>
                <w:i/>
                <w:sz w:val="20"/>
                <w:szCs w:val="20"/>
                <w:lang w:val="en-US"/>
              </w:rPr>
              <w:t>or </w:t>
            </w:r>
            <w:r w:rsidRPr="00360BD5">
              <w:rPr>
                <w:rFonts w:eastAsia="Calibri" w:cs="Arial"/>
                <w:i/>
                <w:sz w:val="20"/>
                <w:szCs w:val="20"/>
              </w:rPr>
              <w:t>↓</w:t>
            </w:r>
            <w:r w:rsidRPr="00360BD5">
              <w:rPr>
                <w:rFonts w:eastAsia="Calibri" w:cs="Arial"/>
                <w:i/>
                <w:sz w:val="20"/>
                <w:szCs w:val="20"/>
                <w:lang w:val="en-US"/>
              </w:rPr>
              <w:t>​</w:t>
            </w:r>
          </w:p>
        </w:tc>
      </w:tr>
      <w:tr w:rsidR="00DF24C4" w:rsidRPr="00DF24C4" w14:paraId="0DCAE4C5" w14:textId="77777777" w:rsidTr="0062235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1EE58C4C" w14:textId="1D64DECF" w:rsidR="00360BD5" w:rsidRPr="00360BD5" w:rsidRDefault="00360BD5" w:rsidP="00DF24C4">
            <w:pPr>
              <w:spacing w:after="132" w:line="259" w:lineRule="auto"/>
              <w:rPr>
                <w:rFonts w:eastAsia="Calibri" w:cs="Arial"/>
                <w:i/>
                <w:sz w:val="20"/>
                <w:szCs w:val="20"/>
                <w:lang w:val="en-US"/>
              </w:rPr>
            </w:pPr>
            <w:r w:rsidRPr="00360BD5">
              <w:rPr>
                <w:rFonts w:eastAsia="Calibri" w:cs="Arial"/>
                <w:i/>
                <w:sz w:val="20"/>
                <w:szCs w:val="20"/>
                <w:lang w:val="en-US"/>
              </w:rPr>
              <w:t>Non-</w:t>
            </w:r>
            <w:r w:rsidR="00F62A18">
              <w:rPr>
                <w:rFonts w:eastAsia="Calibri" w:cs="Arial"/>
                <w:i/>
                <w:sz w:val="20"/>
                <w:szCs w:val="20"/>
                <w:lang w:val="en-US"/>
              </w:rPr>
              <w:t>l</w:t>
            </w:r>
            <w:r w:rsidRPr="00360BD5">
              <w:rPr>
                <w:rFonts w:eastAsia="Calibri" w:cs="Arial"/>
                <w:i/>
                <w:sz w:val="20"/>
                <w:szCs w:val="20"/>
                <w:lang w:val="en-US"/>
              </w:rPr>
              <w:t>ifecycle specific​​</w:t>
            </w:r>
          </w:p>
        </w:tc>
        <w:tc>
          <w:tcPr>
            <w:tcW w:w="839" w:type="pct"/>
            <w:vAlign w:val="center"/>
            <w:hideMark/>
          </w:tcPr>
          <w:p w14:paraId="674406CA"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37C562A7"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2A667065"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36F2905C"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1298DFB5" w14:textId="77777777" w:rsidR="00360BD5" w:rsidRPr="00360BD5" w:rsidRDefault="00360BD5" w:rsidP="00DF24C4">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r w:rsidRPr="00360BD5">
              <w:rPr>
                <w:rFonts w:eastAsia="Calibri" w:cs="Arial"/>
                <w:i/>
                <w:sz w:val="20"/>
                <w:szCs w:val="20"/>
              </w:rPr>
              <w:t>↑</w:t>
            </w:r>
            <w:r w:rsidRPr="00360BD5">
              <w:rPr>
                <w:rFonts w:eastAsia="Calibri" w:cs="Arial"/>
                <w:i/>
                <w:sz w:val="20"/>
                <w:szCs w:val="20"/>
                <w:lang w:val="en-US"/>
              </w:rPr>
              <w:t>or </w:t>
            </w:r>
            <w:r w:rsidRPr="00360BD5">
              <w:rPr>
                <w:rFonts w:eastAsia="Calibri" w:cs="Arial"/>
                <w:i/>
                <w:sz w:val="20"/>
                <w:szCs w:val="20"/>
              </w:rPr>
              <w:t>↓</w:t>
            </w:r>
            <w:r w:rsidRPr="00360BD5">
              <w:rPr>
                <w:rFonts w:eastAsia="Calibri" w:cs="Arial"/>
                <w:i/>
                <w:sz w:val="20"/>
                <w:szCs w:val="20"/>
                <w:lang w:val="en-US"/>
              </w:rPr>
              <w:t>​</w:t>
            </w:r>
          </w:p>
        </w:tc>
      </w:tr>
      <w:tr w:rsidR="00DF24C4" w:rsidRPr="00DF24C4" w14:paraId="0CAF607A" w14:textId="77777777" w:rsidTr="00622359">
        <w:trPr>
          <w:trHeight w:val="567"/>
        </w:trPr>
        <w:tc>
          <w:tcPr>
            <w:cnfStyle w:val="001000000000" w:firstRow="0" w:lastRow="0" w:firstColumn="1" w:lastColumn="0" w:oddVBand="0" w:evenVBand="0" w:oddHBand="0" w:evenHBand="0" w:firstRowFirstColumn="0" w:firstRowLastColumn="0" w:lastRowFirstColumn="0" w:lastRowLastColumn="0"/>
            <w:tcW w:w="805" w:type="pct"/>
            <w:vAlign w:val="center"/>
            <w:hideMark/>
          </w:tcPr>
          <w:p w14:paraId="3BB70E04" w14:textId="6D7EA71A" w:rsidR="00360BD5" w:rsidRPr="00360BD5" w:rsidRDefault="00360BD5" w:rsidP="00DF24C4">
            <w:pPr>
              <w:spacing w:after="132" w:line="259" w:lineRule="auto"/>
              <w:rPr>
                <w:rFonts w:eastAsia="Calibri" w:cs="Arial"/>
                <w:i/>
                <w:sz w:val="20"/>
                <w:szCs w:val="20"/>
                <w:lang w:val="en-US"/>
              </w:rPr>
            </w:pPr>
            <w:r w:rsidRPr="00360BD5">
              <w:rPr>
                <w:rFonts w:eastAsia="Calibri" w:cs="Arial"/>
                <w:i/>
                <w:sz w:val="20"/>
                <w:szCs w:val="20"/>
                <w:lang w:val="en-US"/>
              </w:rPr>
              <w:t>Grand total​</w:t>
            </w:r>
            <w:r w:rsidR="007F0C7B">
              <w:rPr>
                <w:rFonts w:eastAsia="Calibri" w:cs="Arial"/>
                <w:i/>
                <w:sz w:val="20"/>
                <w:szCs w:val="20"/>
                <w:lang w:val="en-US"/>
              </w:rPr>
              <w:t xml:space="preserve">                                                                                                                                                                                                                                                                                                                                                                                                                                                                                                                                                                                                                                                                                                                                                                                                                                                                                                                                                                                                                                                                                                                                                                                                                                                                                                                                                                                                                                                                                                                                                                                                                                                                                                                                                                                                                                                                                                                                                                                                                                                                                                                                                                                                                                                                                                                                                                                                                                                                                                                                                                                                                                                                                                                                                                                                                                                                                                                                                                                                                                                                                                                                                                                                                                                                                                                                                                                                                                                                                                                                                                                                                                                                                                                                                                                                                                                                                                                                                                                                                                                                                                                                                                                                                                                                                                                                                                                                                                                                                                                                                                                                                                                                                                                                                                                                                                                                                                                                                                                                                                                                                                                                                                                                                                                                                                                                                                                                                                                                                                                                                                                                                                                                                                                                                                                                                                                                                                                                                                                                                                                                                                                                                                                                                                                                                                                                                                                                                                                                                                                                                                                                                                                                                                                                                                                                                                                                                                                                                                                                                                                                                                                                                                                                                                                                                                                                                                                                                                                                                                                                                                                                                                                                                                                                                                                                                                                                                                                                                                                                                                                                                                                                                                                                                                                                                                                                                                                                                                                                                                                                                                                                                                                                                                                                                                                                                                                                                                                                                                                                                                                                                                                                                                                                                                                                                                                                                                                                                                                                                                                                                                                                                                                                                                                                                                                                                                                                                                                                                                                                                                                                                                                                                                                                                                                                                                                                                                                                                                                                                                                                                                                                                                                                                                                                                                                                                                                                                                                                                                                                                                                                                                                                                                                                                                                                                                                                                                                                                                                                                                                                                                                                                                                                                                                                                                                                                                                                                                                                                                                                                                                                                                                                                                                                                                                                                                                                                                                                                                                                                                                                                                                                                                                                                                                                                                                                                                                                                                                                                                                                                                                                                                                                                                                                                                                                                                                                                                                                                                                                                                                                                                                                                                                                                                                                                                                                                                                                                                                                                                                                                                                                                                                                                                                                                                                                                                                                                                                                                                                                                                                                                                                                                                                                                                                                                                           </w:t>
            </w:r>
            <w:r w:rsidR="005E1DF2">
              <w:rPr>
                <w:rFonts w:eastAsia="Calibri" w:cs="Arial"/>
                <w:i/>
                <w:sz w:val="20"/>
                <w:szCs w:val="20"/>
                <w:lang w:val="en-US"/>
              </w:rPr>
              <w:t xml:space="preserve">                                                                                                                                                                                                                                                                                                                                                                                                                                                                                                                                                                                                                                                                                                                                                                                                                                                                                                                                                                                                                                                                                                                                                                                                                          </w:t>
            </w:r>
            <w:r w:rsidR="003F749C">
              <w:rPr>
                <w:rFonts w:eastAsia="Calibri" w:cs="Arial"/>
                <w:i/>
                <w:sz w:val="20"/>
                <w:szCs w:val="20"/>
                <w:lang w:val="en-US"/>
              </w:rPr>
              <w:t xml:space="preserve">                                                               </w:t>
            </w:r>
          </w:p>
        </w:tc>
        <w:tc>
          <w:tcPr>
            <w:tcW w:w="839" w:type="pct"/>
            <w:vAlign w:val="center"/>
            <w:hideMark/>
          </w:tcPr>
          <w:p w14:paraId="78A18EFC"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68F74A16"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​100%​</w:t>
            </w:r>
          </w:p>
        </w:tc>
        <w:tc>
          <w:tcPr>
            <w:tcW w:w="839" w:type="pct"/>
            <w:vAlign w:val="center"/>
            <w:hideMark/>
          </w:tcPr>
          <w:p w14:paraId="71E22799"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p>
        </w:tc>
        <w:tc>
          <w:tcPr>
            <w:tcW w:w="839" w:type="pct"/>
            <w:vAlign w:val="center"/>
            <w:hideMark/>
          </w:tcPr>
          <w:p w14:paraId="0C161138"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​100%​</w:t>
            </w:r>
          </w:p>
        </w:tc>
        <w:tc>
          <w:tcPr>
            <w:tcW w:w="839" w:type="pct"/>
            <w:vAlign w:val="center"/>
            <w:hideMark/>
          </w:tcPr>
          <w:p w14:paraId="459F55E7" w14:textId="77777777" w:rsidR="00360BD5" w:rsidRPr="00360BD5" w:rsidRDefault="00360BD5" w:rsidP="00DF24C4">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360BD5">
              <w:rPr>
                <w:rFonts w:eastAsia="Calibri" w:cs="Arial"/>
                <w:i/>
                <w:sz w:val="20"/>
                <w:szCs w:val="20"/>
                <w:lang w:val="en-US"/>
              </w:rPr>
              <w:t>%</w:t>
            </w:r>
            <w:r w:rsidRPr="00360BD5">
              <w:rPr>
                <w:rFonts w:eastAsia="Calibri" w:cs="Arial"/>
                <w:i/>
                <w:sz w:val="20"/>
                <w:szCs w:val="20"/>
              </w:rPr>
              <w:t>↑</w:t>
            </w:r>
            <w:r w:rsidRPr="00360BD5">
              <w:rPr>
                <w:rFonts w:eastAsia="Calibri" w:cs="Arial"/>
                <w:i/>
                <w:sz w:val="20"/>
                <w:szCs w:val="20"/>
                <w:lang w:val="en-US"/>
              </w:rPr>
              <w:t>or </w:t>
            </w:r>
            <w:r w:rsidRPr="00360BD5">
              <w:rPr>
                <w:rFonts w:eastAsia="Calibri" w:cs="Arial"/>
                <w:i/>
                <w:sz w:val="20"/>
                <w:szCs w:val="20"/>
              </w:rPr>
              <w:t>↓</w:t>
            </w:r>
            <w:r w:rsidRPr="00360BD5">
              <w:rPr>
                <w:rFonts w:eastAsia="Calibri" w:cs="Arial"/>
                <w:i/>
                <w:sz w:val="20"/>
                <w:szCs w:val="20"/>
                <w:lang w:val="en-US"/>
              </w:rPr>
              <w:t>​</w:t>
            </w:r>
          </w:p>
        </w:tc>
      </w:tr>
    </w:tbl>
    <w:p w14:paraId="12F816A1" w14:textId="018FBFC6" w:rsidR="007C28E6" w:rsidRDefault="007C28E6" w:rsidP="007C28E6">
      <w:pPr>
        <w:spacing w:after="0" w:line="259" w:lineRule="auto"/>
        <w:ind w:right="120"/>
        <w:jc w:val="right"/>
      </w:pPr>
      <w:r>
        <w:rPr>
          <w:rFonts w:ascii="Calibri" w:eastAsia="Calibri" w:hAnsi="Calibri" w:cs="Calibri"/>
        </w:rPr>
        <w:t xml:space="preserve"> </w:t>
      </w:r>
      <w:r w:rsidR="00AA4985">
        <w:rPr>
          <w:rFonts w:ascii="Calibri" w:eastAsia="Calibri" w:hAnsi="Calibri" w:cs="Calibri"/>
        </w:rPr>
        <w:t xml:space="preserve">                          </w:t>
      </w:r>
      <w:r w:rsidR="00003965">
        <w:rPr>
          <w:rFonts w:ascii="Calibri" w:eastAsia="Calibri" w:hAnsi="Calibri" w:cs="Calibri"/>
        </w:rPr>
        <w:t xml:space="preserve">                      </w:t>
      </w:r>
      <w:r w:rsidR="006F50BC">
        <w:rPr>
          <w:rFonts w:ascii="Calibri" w:eastAsia="Calibri" w:hAnsi="Calibri" w:cs="Calibri"/>
        </w:rPr>
        <w:t xml:space="preserve"> </w:t>
      </w:r>
    </w:p>
    <w:tbl>
      <w:tblPr>
        <w:tblStyle w:val="PlainTable1"/>
        <w:tblW w:w="13887" w:type="dxa"/>
        <w:tblLook w:val="04A0" w:firstRow="1" w:lastRow="0" w:firstColumn="1" w:lastColumn="0" w:noHBand="0" w:noVBand="1"/>
      </w:tblPr>
      <w:tblGrid>
        <w:gridCol w:w="5240"/>
        <w:gridCol w:w="8647"/>
      </w:tblGrid>
      <w:tr w:rsidR="007C28E6" w:rsidRPr="00584C6E" w14:paraId="66C63892" w14:textId="77777777" w:rsidTr="00153BF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887" w:type="dxa"/>
            <w:gridSpan w:val="2"/>
          </w:tcPr>
          <w:p w14:paraId="5288D7A8" w14:textId="0C4B8021" w:rsidR="007C28E6" w:rsidRPr="00584C6E" w:rsidRDefault="007C28E6" w:rsidP="002E211E">
            <w:pPr>
              <w:spacing w:line="276" w:lineRule="auto"/>
              <w:rPr>
                <w:b w:val="0"/>
                <w:bCs w:val="0"/>
                <w:sz w:val="20"/>
                <w:szCs w:val="20"/>
              </w:rPr>
            </w:pPr>
            <w:r w:rsidRPr="00584C6E">
              <w:rPr>
                <w:rFonts w:eastAsia="Calibri"/>
                <w:sz w:val="20"/>
                <w:szCs w:val="20"/>
              </w:rPr>
              <w:t xml:space="preserve">Table </w:t>
            </w:r>
            <w:r w:rsidR="008B6FD5">
              <w:rPr>
                <w:rFonts w:eastAsia="Calibri"/>
                <w:sz w:val="20"/>
                <w:szCs w:val="20"/>
              </w:rPr>
              <w:t>7</w:t>
            </w:r>
            <w:r w:rsidR="00FC29ED">
              <w:rPr>
                <w:rFonts w:eastAsia="Calibri"/>
                <w:sz w:val="20"/>
                <w:szCs w:val="20"/>
              </w:rPr>
              <w:t xml:space="preserve">: </w:t>
            </w:r>
            <w:r w:rsidRPr="00584C6E">
              <w:rPr>
                <w:rFonts w:eastAsia="Calibri"/>
                <w:sz w:val="20"/>
                <w:szCs w:val="20"/>
              </w:rPr>
              <w:t xml:space="preserve">Figure </w:t>
            </w:r>
            <w:r w:rsidR="00FC29ED">
              <w:rPr>
                <w:rFonts w:eastAsia="Calibri"/>
                <w:sz w:val="20"/>
                <w:szCs w:val="20"/>
              </w:rPr>
              <w:t>3</w:t>
            </w:r>
            <w:r w:rsidRPr="00584C6E">
              <w:rPr>
                <w:rFonts w:eastAsia="Calibri"/>
                <w:sz w:val="20"/>
                <w:szCs w:val="20"/>
              </w:rPr>
              <w:t xml:space="preserve"> </w:t>
            </w:r>
            <w:r w:rsidR="00680D6E" w:rsidRPr="00584C6E">
              <w:rPr>
                <w:rFonts w:eastAsia="Calibri"/>
                <w:sz w:val="20"/>
                <w:szCs w:val="20"/>
              </w:rPr>
              <w:t>d</w:t>
            </w:r>
            <w:r w:rsidRPr="00584C6E">
              <w:rPr>
                <w:rFonts w:eastAsia="Calibri"/>
                <w:sz w:val="20"/>
                <w:szCs w:val="20"/>
              </w:rPr>
              <w:t xml:space="preserve">escriptions </w:t>
            </w:r>
          </w:p>
        </w:tc>
      </w:tr>
      <w:tr w:rsidR="007C28E6" w:rsidRPr="00584C6E" w14:paraId="68A20A64"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5D75327F" w14:textId="77777777" w:rsidR="007C28E6" w:rsidRPr="00584C6E" w:rsidRDefault="007C28E6" w:rsidP="002E211E">
            <w:pPr>
              <w:spacing w:line="276" w:lineRule="auto"/>
              <w:rPr>
                <w:b w:val="0"/>
                <w:bCs w:val="0"/>
                <w:sz w:val="20"/>
                <w:szCs w:val="20"/>
              </w:rPr>
            </w:pPr>
            <w:r w:rsidRPr="00584C6E">
              <w:rPr>
                <w:rFonts w:eastAsia="Calibri"/>
                <w:sz w:val="20"/>
                <w:szCs w:val="20"/>
              </w:rPr>
              <w:t xml:space="preserve">Dimension </w:t>
            </w:r>
          </w:p>
        </w:tc>
        <w:tc>
          <w:tcPr>
            <w:tcW w:w="8647" w:type="dxa"/>
          </w:tcPr>
          <w:p w14:paraId="741F1CD5" w14:textId="77777777" w:rsidR="007C28E6" w:rsidRPr="00584C6E"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584C6E">
              <w:rPr>
                <w:rFonts w:eastAsia="Calibri"/>
                <w:b/>
                <w:bCs/>
                <w:sz w:val="20"/>
                <w:szCs w:val="20"/>
              </w:rPr>
              <w:t xml:space="preserve">Description </w:t>
            </w:r>
          </w:p>
        </w:tc>
      </w:tr>
      <w:tr w:rsidR="007C28E6" w:rsidRPr="00584C6E" w14:paraId="19625FB7" w14:textId="77777777" w:rsidTr="00153BF4">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2B7597A3" w14:textId="77777777" w:rsidR="007C28E6" w:rsidRPr="00584C6E" w:rsidRDefault="007C28E6" w:rsidP="002E211E">
            <w:pPr>
              <w:spacing w:line="276" w:lineRule="auto"/>
              <w:rPr>
                <w:sz w:val="20"/>
                <w:szCs w:val="20"/>
              </w:rPr>
            </w:pPr>
            <w:r w:rsidRPr="00584C6E">
              <w:rPr>
                <w:sz w:val="20"/>
                <w:szCs w:val="20"/>
              </w:rPr>
              <w:t>Primary student lifecycle stage</w:t>
            </w:r>
            <w:r w:rsidRPr="00584C6E">
              <w:rPr>
                <w:rFonts w:eastAsia="Calibri"/>
                <w:sz w:val="20"/>
                <w:szCs w:val="20"/>
              </w:rPr>
              <w:t xml:space="preserve"> </w:t>
            </w:r>
          </w:p>
        </w:tc>
        <w:tc>
          <w:tcPr>
            <w:tcW w:w="8647" w:type="dxa"/>
          </w:tcPr>
          <w:p w14:paraId="594724FA" w14:textId="134665C7" w:rsidR="007C28E6" w:rsidRPr="00584C6E" w:rsidRDefault="007C28E6" w:rsidP="002E211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Student life stages as defined by the SEHEEF program logic</w:t>
            </w:r>
            <w:r w:rsidR="00680D6E" w:rsidRPr="00584C6E">
              <w:rPr>
                <w:rFonts w:eastAsia="Calibri"/>
                <w:sz w:val="20"/>
                <w:szCs w:val="20"/>
              </w:rPr>
              <w:t>.</w:t>
            </w:r>
          </w:p>
        </w:tc>
      </w:tr>
      <w:tr w:rsidR="007C28E6" w:rsidRPr="00584C6E" w14:paraId="3D5B8D98"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6DFEC199" w14:textId="4163E338" w:rsidR="007C28E6" w:rsidRPr="00584C6E" w:rsidRDefault="007C28E6" w:rsidP="002E211E">
            <w:pPr>
              <w:spacing w:line="276" w:lineRule="auto"/>
              <w:rPr>
                <w:sz w:val="20"/>
                <w:szCs w:val="20"/>
              </w:rPr>
            </w:pPr>
            <w:r w:rsidRPr="00584C6E">
              <w:rPr>
                <w:sz w:val="20"/>
                <w:szCs w:val="20"/>
              </w:rPr>
              <w:t xml:space="preserve">Total investment for </w:t>
            </w:r>
            <w:r w:rsidR="00F62A18">
              <w:rPr>
                <w:sz w:val="20"/>
                <w:szCs w:val="20"/>
              </w:rPr>
              <w:t xml:space="preserve">a </w:t>
            </w:r>
            <w:r w:rsidRPr="00584C6E">
              <w:rPr>
                <w:sz w:val="20"/>
                <w:szCs w:val="20"/>
              </w:rPr>
              <w:t>select</w:t>
            </w:r>
            <w:r w:rsidR="00F62A18">
              <w:rPr>
                <w:sz w:val="20"/>
                <w:szCs w:val="20"/>
              </w:rPr>
              <w:t>ed</w:t>
            </w:r>
            <w:r w:rsidRPr="00584C6E">
              <w:rPr>
                <w:sz w:val="20"/>
                <w:szCs w:val="20"/>
              </w:rPr>
              <w:t xml:space="preserve"> year</w:t>
            </w:r>
            <w:r w:rsidRPr="00584C6E">
              <w:rPr>
                <w:rFonts w:eastAsia="Calibri"/>
                <w:sz w:val="20"/>
                <w:szCs w:val="20"/>
              </w:rPr>
              <w:t xml:space="preserve"> </w:t>
            </w:r>
          </w:p>
        </w:tc>
        <w:tc>
          <w:tcPr>
            <w:tcW w:w="8647" w:type="dxa"/>
          </w:tcPr>
          <w:p w14:paraId="61560DC8" w14:textId="26DE2B8E" w:rsidR="007C28E6" w:rsidRPr="00584C6E"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Organisation</w:t>
            </w:r>
            <w:r w:rsidR="004F3CC1" w:rsidRPr="00584C6E">
              <w:rPr>
                <w:sz w:val="20"/>
                <w:szCs w:val="20"/>
              </w:rPr>
              <w:t>’</w:t>
            </w:r>
            <w:r w:rsidRPr="00584C6E">
              <w:rPr>
                <w:sz w:val="20"/>
                <w:szCs w:val="20"/>
              </w:rPr>
              <w:t>s allocation split by life stage</w:t>
            </w:r>
            <w:r w:rsidR="00680D6E" w:rsidRPr="00584C6E">
              <w:rPr>
                <w:rFonts w:eastAsia="Calibri"/>
                <w:sz w:val="20"/>
                <w:szCs w:val="20"/>
              </w:rPr>
              <w:t>.</w:t>
            </w:r>
          </w:p>
        </w:tc>
      </w:tr>
      <w:tr w:rsidR="007C28E6" w:rsidRPr="00584C6E" w14:paraId="57F7F2D5" w14:textId="77777777" w:rsidTr="00153BF4">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7C53D52F" w14:textId="77777777" w:rsidR="007C28E6" w:rsidRPr="00584C6E" w:rsidRDefault="007C28E6" w:rsidP="002E211E">
            <w:pPr>
              <w:spacing w:line="276" w:lineRule="auto"/>
              <w:rPr>
                <w:sz w:val="20"/>
                <w:szCs w:val="20"/>
              </w:rPr>
            </w:pPr>
            <w:r w:rsidRPr="00584C6E">
              <w:rPr>
                <w:sz w:val="20"/>
                <w:szCs w:val="20"/>
              </w:rPr>
              <w:t>Portion of total investment</w:t>
            </w:r>
            <w:r w:rsidRPr="00584C6E">
              <w:rPr>
                <w:rFonts w:eastAsia="Calibri"/>
                <w:sz w:val="20"/>
                <w:szCs w:val="20"/>
              </w:rPr>
              <w:t xml:space="preserve"> </w:t>
            </w:r>
          </w:p>
        </w:tc>
        <w:tc>
          <w:tcPr>
            <w:tcW w:w="8647" w:type="dxa"/>
          </w:tcPr>
          <w:p w14:paraId="37266B87" w14:textId="35065075" w:rsidR="007C28E6" w:rsidRPr="00584C6E" w:rsidRDefault="007C28E6" w:rsidP="002E211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Percentage of organisation</w:t>
            </w:r>
            <w:r w:rsidR="00F62A18">
              <w:rPr>
                <w:sz w:val="20"/>
                <w:szCs w:val="20"/>
              </w:rPr>
              <w:t>’</w:t>
            </w:r>
            <w:r w:rsidRPr="00584C6E">
              <w:rPr>
                <w:sz w:val="20"/>
                <w:szCs w:val="20"/>
              </w:rPr>
              <w:t>s allocation split by life stage</w:t>
            </w:r>
            <w:r w:rsidR="00680D6E" w:rsidRPr="00584C6E">
              <w:rPr>
                <w:rFonts w:eastAsia="Calibri"/>
                <w:sz w:val="20"/>
                <w:szCs w:val="20"/>
              </w:rPr>
              <w:t>.</w:t>
            </w:r>
          </w:p>
        </w:tc>
      </w:tr>
      <w:tr w:rsidR="007C28E6" w:rsidRPr="00584C6E" w14:paraId="31A72C2D"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5E2BB895" w14:textId="5F2FADF4" w:rsidR="007C28E6" w:rsidRPr="00584C6E" w:rsidRDefault="007C28E6" w:rsidP="002E211E">
            <w:pPr>
              <w:spacing w:line="276" w:lineRule="auto"/>
              <w:rPr>
                <w:sz w:val="20"/>
                <w:szCs w:val="20"/>
              </w:rPr>
            </w:pPr>
            <w:r w:rsidRPr="00584C6E">
              <w:rPr>
                <w:sz w:val="20"/>
                <w:szCs w:val="20"/>
              </w:rPr>
              <w:t xml:space="preserve">Total investment for </w:t>
            </w:r>
            <w:r w:rsidR="00F62A18">
              <w:rPr>
                <w:sz w:val="20"/>
                <w:szCs w:val="20"/>
              </w:rPr>
              <w:t xml:space="preserve">the </w:t>
            </w:r>
            <w:r w:rsidRPr="00584C6E">
              <w:rPr>
                <w:sz w:val="20"/>
                <w:szCs w:val="20"/>
              </w:rPr>
              <w:t>previous year</w:t>
            </w:r>
            <w:r w:rsidRPr="00584C6E">
              <w:rPr>
                <w:rFonts w:eastAsia="Calibri"/>
                <w:sz w:val="20"/>
                <w:szCs w:val="20"/>
              </w:rPr>
              <w:t xml:space="preserve"> </w:t>
            </w:r>
          </w:p>
        </w:tc>
        <w:tc>
          <w:tcPr>
            <w:tcW w:w="8647" w:type="dxa"/>
          </w:tcPr>
          <w:p w14:paraId="4E5518D9" w14:textId="03448BC5" w:rsidR="007C28E6" w:rsidRPr="00584C6E"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Organisation</w:t>
            </w:r>
            <w:r w:rsidR="00F62A18">
              <w:rPr>
                <w:sz w:val="20"/>
                <w:szCs w:val="20"/>
              </w:rPr>
              <w:t>’</w:t>
            </w:r>
            <w:r w:rsidRPr="00584C6E">
              <w:rPr>
                <w:sz w:val="20"/>
                <w:szCs w:val="20"/>
              </w:rPr>
              <w:t>s allocation split by life stage for preceding year</w:t>
            </w:r>
            <w:r w:rsidR="00680D6E" w:rsidRPr="00584C6E">
              <w:rPr>
                <w:rFonts w:eastAsia="Calibri"/>
                <w:sz w:val="20"/>
                <w:szCs w:val="20"/>
              </w:rPr>
              <w:t>.</w:t>
            </w:r>
          </w:p>
        </w:tc>
      </w:tr>
      <w:tr w:rsidR="007C28E6" w:rsidRPr="00584C6E" w14:paraId="4A78F727" w14:textId="77777777" w:rsidTr="00153BF4">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75569109" w14:textId="37C0DA79" w:rsidR="007C28E6" w:rsidRPr="00584C6E" w:rsidRDefault="007C28E6" w:rsidP="002E211E">
            <w:pPr>
              <w:spacing w:line="276" w:lineRule="auto"/>
              <w:rPr>
                <w:sz w:val="20"/>
                <w:szCs w:val="20"/>
              </w:rPr>
            </w:pPr>
            <w:r w:rsidRPr="00584C6E">
              <w:rPr>
                <w:sz w:val="20"/>
                <w:szCs w:val="20"/>
              </w:rPr>
              <w:t xml:space="preserve">Portion of total investment for </w:t>
            </w:r>
            <w:r w:rsidR="00F62A18">
              <w:rPr>
                <w:sz w:val="20"/>
                <w:szCs w:val="20"/>
              </w:rPr>
              <w:t xml:space="preserve">the </w:t>
            </w:r>
            <w:r w:rsidRPr="00584C6E">
              <w:rPr>
                <w:sz w:val="20"/>
                <w:szCs w:val="20"/>
              </w:rPr>
              <w:t>previous year</w:t>
            </w:r>
            <w:r w:rsidRPr="00584C6E">
              <w:rPr>
                <w:rFonts w:eastAsia="Calibri"/>
                <w:sz w:val="20"/>
                <w:szCs w:val="20"/>
              </w:rPr>
              <w:t xml:space="preserve"> </w:t>
            </w:r>
          </w:p>
        </w:tc>
        <w:tc>
          <w:tcPr>
            <w:tcW w:w="8647" w:type="dxa"/>
          </w:tcPr>
          <w:p w14:paraId="15070C8B" w14:textId="5032ED3B" w:rsidR="007C28E6" w:rsidRPr="00584C6E" w:rsidRDefault="007C28E6" w:rsidP="002E211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Percentage of organisation</w:t>
            </w:r>
            <w:r w:rsidR="00F62A18">
              <w:rPr>
                <w:sz w:val="20"/>
                <w:szCs w:val="20"/>
              </w:rPr>
              <w:t>’</w:t>
            </w:r>
            <w:r w:rsidRPr="00584C6E">
              <w:rPr>
                <w:sz w:val="20"/>
                <w:szCs w:val="20"/>
              </w:rPr>
              <w:t>s allocation split by life stage for preceding year</w:t>
            </w:r>
            <w:r w:rsidR="00680D6E" w:rsidRPr="00584C6E">
              <w:rPr>
                <w:rFonts w:eastAsia="Calibri"/>
                <w:sz w:val="20"/>
                <w:szCs w:val="20"/>
              </w:rPr>
              <w:t>.</w:t>
            </w:r>
          </w:p>
        </w:tc>
      </w:tr>
      <w:tr w:rsidR="007C28E6" w:rsidRPr="00584C6E" w14:paraId="1B2F6B60"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1DAE7806" w14:textId="48F11574" w:rsidR="007C28E6" w:rsidRPr="00584C6E" w:rsidRDefault="007C28E6" w:rsidP="002E211E">
            <w:pPr>
              <w:spacing w:line="276" w:lineRule="auto"/>
              <w:rPr>
                <w:sz w:val="20"/>
                <w:szCs w:val="20"/>
              </w:rPr>
            </w:pPr>
            <w:r w:rsidRPr="00584C6E">
              <w:rPr>
                <w:sz w:val="20"/>
                <w:szCs w:val="20"/>
              </w:rPr>
              <w:t xml:space="preserve">Percentage difference in </w:t>
            </w:r>
            <w:r w:rsidR="00F62A18">
              <w:rPr>
                <w:sz w:val="20"/>
                <w:szCs w:val="20"/>
              </w:rPr>
              <w:t xml:space="preserve">total </w:t>
            </w:r>
            <w:r w:rsidRPr="00584C6E">
              <w:rPr>
                <w:sz w:val="20"/>
                <w:szCs w:val="20"/>
              </w:rPr>
              <w:t>expenditure between years</w:t>
            </w:r>
            <w:r w:rsidRPr="00584C6E">
              <w:rPr>
                <w:rFonts w:eastAsia="Calibri"/>
                <w:sz w:val="20"/>
                <w:szCs w:val="20"/>
              </w:rPr>
              <w:t xml:space="preserve"> </w:t>
            </w:r>
          </w:p>
        </w:tc>
        <w:tc>
          <w:tcPr>
            <w:tcW w:w="8647" w:type="dxa"/>
          </w:tcPr>
          <w:p w14:paraId="493F4463" w14:textId="7392E93B" w:rsidR="007C28E6" w:rsidRPr="00584C6E" w:rsidRDefault="007C28E6" w:rsidP="002E211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Percentage difference in year-on-year expenditure split by life stage</w:t>
            </w:r>
            <w:r w:rsidR="00680D6E" w:rsidRPr="00584C6E">
              <w:rPr>
                <w:rFonts w:eastAsia="Calibri"/>
                <w:sz w:val="20"/>
                <w:szCs w:val="20"/>
              </w:rPr>
              <w:t>.</w:t>
            </w:r>
          </w:p>
        </w:tc>
      </w:tr>
    </w:tbl>
    <w:p w14:paraId="08987EA1" w14:textId="77777777" w:rsidR="002A31D1" w:rsidRDefault="002A31D1" w:rsidP="000C6EF9">
      <w:pPr>
        <w:spacing w:after="132" w:line="259" w:lineRule="auto"/>
        <w:rPr>
          <w:rFonts w:eastAsia="Calibri" w:cs="Arial"/>
          <w:i/>
        </w:rPr>
      </w:pPr>
    </w:p>
    <w:p w14:paraId="6D777676" w14:textId="77777777" w:rsidR="00FB4832" w:rsidRDefault="00FB4832">
      <w:pPr>
        <w:spacing w:line="259" w:lineRule="auto"/>
        <w:rPr>
          <w:rFonts w:eastAsia="Calibri" w:cs="Arial"/>
          <w:i/>
        </w:rPr>
      </w:pPr>
      <w:r>
        <w:rPr>
          <w:rFonts w:eastAsia="Calibri" w:cs="Arial"/>
          <w:i/>
        </w:rPr>
        <w:br w:type="page"/>
      </w:r>
    </w:p>
    <w:p w14:paraId="38E9CA8C" w14:textId="6077C675" w:rsidR="000C6EF9" w:rsidRPr="00C42AB2" w:rsidRDefault="000C6EF9" w:rsidP="000C6EF9">
      <w:pPr>
        <w:spacing w:after="132" w:line="259" w:lineRule="auto"/>
        <w:rPr>
          <w:rFonts w:eastAsia="Calibri" w:cs="Arial"/>
          <w:i/>
          <w:sz w:val="20"/>
          <w:szCs w:val="20"/>
        </w:rPr>
      </w:pPr>
      <w:r w:rsidRPr="00C42AB2">
        <w:rPr>
          <w:rFonts w:eastAsia="Calibri" w:cs="Arial"/>
          <w:i/>
          <w:sz w:val="20"/>
          <w:szCs w:val="20"/>
        </w:rPr>
        <w:lastRenderedPageBreak/>
        <w:t xml:space="preserve">Figure </w:t>
      </w:r>
      <w:r w:rsidR="00FC29ED" w:rsidRPr="00C42AB2">
        <w:rPr>
          <w:rFonts w:eastAsia="Calibri" w:cs="Arial"/>
          <w:i/>
          <w:sz w:val="20"/>
          <w:szCs w:val="20"/>
        </w:rPr>
        <w:t>4</w:t>
      </w:r>
      <w:r w:rsidRPr="00C42AB2">
        <w:rPr>
          <w:rFonts w:eastAsia="Calibri" w:cs="Arial"/>
          <w:i/>
          <w:sz w:val="20"/>
          <w:szCs w:val="20"/>
        </w:rPr>
        <w:t xml:space="preserve"> and Table </w:t>
      </w:r>
      <w:r w:rsidR="00FC29ED" w:rsidRPr="00C42AB2">
        <w:rPr>
          <w:rFonts w:eastAsia="Calibri" w:cs="Arial"/>
          <w:i/>
          <w:sz w:val="20"/>
          <w:szCs w:val="20"/>
        </w:rPr>
        <w:t>8</w:t>
      </w:r>
      <w:r w:rsidR="00D35FC6">
        <w:rPr>
          <w:rFonts w:eastAsia="Calibri" w:cs="Arial"/>
          <w:i/>
          <w:sz w:val="20"/>
          <w:szCs w:val="20"/>
        </w:rPr>
        <w:t>:</w:t>
      </w:r>
      <w:r w:rsidRPr="00C42AB2">
        <w:rPr>
          <w:rFonts w:eastAsia="Calibri" w:cs="Arial"/>
          <w:i/>
          <w:sz w:val="20"/>
          <w:szCs w:val="20"/>
        </w:rPr>
        <w:t xml:space="preserve"> Example wireframe for the dashboards, looking at year</w:t>
      </w:r>
      <w:r w:rsidR="00C42AB2">
        <w:rPr>
          <w:rFonts w:eastAsia="Calibri" w:cs="Arial"/>
          <w:i/>
          <w:sz w:val="20"/>
          <w:szCs w:val="20"/>
        </w:rPr>
        <w:t>-</w:t>
      </w:r>
      <w:r w:rsidRPr="00C42AB2">
        <w:rPr>
          <w:rFonts w:eastAsia="Calibri" w:cs="Arial"/>
          <w:i/>
          <w:sz w:val="20"/>
          <w:szCs w:val="20"/>
        </w:rPr>
        <w:t>on</w:t>
      </w:r>
      <w:r w:rsidR="00C42AB2">
        <w:rPr>
          <w:rFonts w:eastAsia="Calibri" w:cs="Arial"/>
          <w:i/>
          <w:sz w:val="20"/>
          <w:szCs w:val="20"/>
        </w:rPr>
        <w:t>-</w:t>
      </w:r>
      <w:r w:rsidRPr="00C42AB2">
        <w:rPr>
          <w:rFonts w:eastAsia="Calibri" w:cs="Arial"/>
          <w:i/>
          <w:sz w:val="20"/>
          <w:szCs w:val="20"/>
        </w:rPr>
        <w:t>year investment per life stage.</w:t>
      </w:r>
    </w:p>
    <w:tbl>
      <w:tblPr>
        <w:tblStyle w:val="GridTable4-Accent2"/>
        <w:tblW w:w="13942" w:type="dxa"/>
        <w:tblLook w:val="04A0" w:firstRow="1" w:lastRow="0" w:firstColumn="1" w:lastColumn="0" w:noHBand="0" w:noVBand="1"/>
      </w:tblPr>
      <w:tblGrid>
        <w:gridCol w:w="1135"/>
        <w:gridCol w:w="1139"/>
        <w:gridCol w:w="1106"/>
        <w:gridCol w:w="1163"/>
        <w:gridCol w:w="1669"/>
        <w:gridCol w:w="1652"/>
        <w:gridCol w:w="1456"/>
        <w:gridCol w:w="1988"/>
        <w:gridCol w:w="2634"/>
      </w:tblGrid>
      <w:tr w:rsidR="00153BF4" w:rsidRPr="00444DC6" w14:paraId="7E08552D" w14:textId="77777777" w:rsidTr="00153BF4">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1135" w:type="dxa"/>
            <w:vAlign w:val="center"/>
            <w:hideMark/>
          </w:tcPr>
          <w:p w14:paraId="0D7A4C59" w14:textId="5148C434" w:rsidR="00444DC6" w:rsidRPr="00444DC6" w:rsidRDefault="00444DC6" w:rsidP="00153BF4">
            <w:pPr>
              <w:spacing w:after="132" w:line="259" w:lineRule="auto"/>
              <w:jc w:val="center"/>
              <w:rPr>
                <w:rFonts w:eastAsia="Calibri" w:cs="Arial"/>
                <w:i/>
                <w:sz w:val="20"/>
                <w:szCs w:val="20"/>
                <w:lang w:val="en-US"/>
              </w:rPr>
            </w:pPr>
            <w:r w:rsidRPr="00444DC6">
              <w:rPr>
                <w:rFonts w:eastAsia="Calibri" w:cs="Arial"/>
                <w:i/>
                <w:sz w:val="20"/>
                <w:szCs w:val="20"/>
                <w:lang w:val="en-US"/>
              </w:rPr>
              <w:t xml:space="preserve">Project </w:t>
            </w:r>
            <w:r w:rsidR="00C42AB2">
              <w:rPr>
                <w:rFonts w:eastAsia="Calibri" w:cs="Arial"/>
                <w:i/>
                <w:sz w:val="20"/>
                <w:szCs w:val="20"/>
                <w:lang w:val="en-US"/>
              </w:rPr>
              <w:t>c</w:t>
            </w:r>
            <w:r w:rsidRPr="00444DC6">
              <w:rPr>
                <w:rFonts w:eastAsia="Calibri" w:cs="Arial"/>
                <w:i/>
                <w:sz w:val="20"/>
                <w:szCs w:val="20"/>
                <w:lang w:val="en-US"/>
              </w:rPr>
              <w:t>ode​</w:t>
            </w:r>
          </w:p>
        </w:tc>
        <w:tc>
          <w:tcPr>
            <w:tcW w:w="1139" w:type="dxa"/>
            <w:vAlign w:val="center"/>
            <w:hideMark/>
          </w:tcPr>
          <w:p w14:paraId="27CFBB8A" w14:textId="552C6A11"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 xml:space="preserve">Project​ </w:t>
            </w:r>
            <w:r w:rsidR="00C42AB2">
              <w:rPr>
                <w:rFonts w:eastAsia="Calibri" w:cs="Arial"/>
                <w:i/>
                <w:sz w:val="20"/>
                <w:szCs w:val="20"/>
                <w:lang w:val="en-US"/>
              </w:rPr>
              <w:t>n</w:t>
            </w:r>
            <w:r w:rsidRPr="00444DC6">
              <w:rPr>
                <w:rFonts w:eastAsia="Calibri" w:cs="Arial"/>
                <w:i/>
                <w:sz w:val="20"/>
                <w:szCs w:val="20"/>
                <w:lang w:val="en-US"/>
              </w:rPr>
              <w:t>ame​</w:t>
            </w:r>
          </w:p>
        </w:tc>
        <w:tc>
          <w:tcPr>
            <w:tcW w:w="1106" w:type="dxa"/>
            <w:vAlign w:val="center"/>
            <w:hideMark/>
          </w:tcPr>
          <w:p w14:paraId="675A625D" w14:textId="0C747ED0"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 xml:space="preserve">Project </w:t>
            </w:r>
            <w:r w:rsidR="00C42AB2">
              <w:rPr>
                <w:rFonts w:eastAsia="Calibri" w:cs="Arial"/>
                <w:i/>
                <w:sz w:val="20"/>
                <w:szCs w:val="20"/>
                <w:lang w:val="en-US"/>
              </w:rPr>
              <w:t>y</w:t>
            </w:r>
            <w:r w:rsidRPr="00444DC6">
              <w:rPr>
                <w:rFonts w:eastAsia="Calibri" w:cs="Arial"/>
                <w:i/>
                <w:sz w:val="20"/>
                <w:szCs w:val="20"/>
                <w:lang w:val="en-US"/>
              </w:rPr>
              <w:t>ear​</w:t>
            </w:r>
          </w:p>
        </w:tc>
        <w:tc>
          <w:tcPr>
            <w:tcW w:w="1163" w:type="dxa"/>
            <w:vAlign w:val="center"/>
            <w:hideMark/>
          </w:tcPr>
          <w:p w14:paraId="117C83B2" w14:textId="3346A7DC"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 xml:space="preserve">Student </w:t>
            </w:r>
            <w:r w:rsidR="00C42AB2">
              <w:rPr>
                <w:rFonts w:eastAsia="Calibri" w:cs="Arial"/>
                <w:i/>
                <w:sz w:val="20"/>
                <w:szCs w:val="20"/>
                <w:lang w:val="en-US"/>
              </w:rPr>
              <w:t>c</w:t>
            </w:r>
            <w:r w:rsidRPr="00444DC6">
              <w:rPr>
                <w:rFonts w:eastAsia="Calibri" w:cs="Arial"/>
                <w:i/>
                <w:sz w:val="20"/>
                <w:szCs w:val="20"/>
                <w:lang w:val="en-US"/>
              </w:rPr>
              <w:t>ount​</w:t>
            </w:r>
          </w:p>
        </w:tc>
        <w:tc>
          <w:tcPr>
            <w:tcW w:w="1669" w:type="dxa"/>
            <w:vAlign w:val="center"/>
            <w:hideMark/>
          </w:tcPr>
          <w:p w14:paraId="70D50B71" w14:textId="7A2A5490"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 xml:space="preserve">Equity </w:t>
            </w:r>
            <w:r w:rsidR="00C42AB2">
              <w:rPr>
                <w:rFonts w:eastAsia="Calibri" w:cs="Arial"/>
                <w:i/>
                <w:sz w:val="20"/>
                <w:szCs w:val="20"/>
                <w:lang w:val="en-US"/>
              </w:rPr>
              <w:t>s</w:t>
            </w:r>
            <w:r w:rsidRPr="00444DC6">
              <w:rPr>
                <w:rFonts w:eastAsia="Calibri" w:cs="Arial"/>
                <w:i/>
                <w:sz w:val="20"/>
                <w:szCs w:val="20"/>
                <w:lang w:val="en-US"/>
              </w:rPr>
              <w:t>tudent </w:t>
            </w:r>
            <w:r w:rsidR="00C42AB2">
              <w:rPr>
                <w:rFonts w:eastAsia="Calibri" w:cs="Arial"/>
                <w:i/>
                <w:sz w:val="20"/>
                <w:szCs w:val="20"/>
                <w:lang w:val="en-US"/>
              </w:rPr>
              <w:t>c</w:t>
            </w:r>
            <w:r w:rsidRPr="00444DC6">
              <w:rPr>
                <w:rFonts w:eastAsia="Calibri" w:cs="Arial"/>
                <w:i/>
                <w:sz w:val="20"/>
                <w:szCs w:val="20"/>
                <w:lang w:val="en-US"/>
              </w:rPr>
              <w:t>ount​</w:t>
            </w:r>
          </w:p>
        </w:tc>
        <w:tc>
          <w:tcPr>
            <w:tcW w:w="1652" w:type="dxa"/>
            <w:vAlign w:val="center"/>
            <w:hideMark/>
          </w:tcPr>
          <w:p w14:paraId="3824EEB4" w14:textId="6D2D7956"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 xml:space="preserve">Equity </w:t>
            </w:r>
            <w:r w:rsidR="00C42AB2">
              <w:rPr>
                <w:rFonts w:eastAsia="Calibri" w:cs="Arial"/>
                <w:i/>
                <w:sz w:val="20"/>
                <w:szCs w:val="20"/>
                <w:lang w:val="en-US"/>
              </w:rPr>
              <w:t>s</w:t>
            </w:r>
            <w:r w:rsidRPr="00444DC6">
              <w:rPr>
                <w:rFonts w:eastAsia="Calibri" w:cs="Arial"/>
                <w:i/>
                <w:sz w:val="20"/>
                <w:szCs w:val="20"/>
                <w:lang w:val="en-US"/>
              </w:rPr>
              <w:t>tudent </w:t>
            </w:r>
            <w:r w:rsidR="00C42AB2">
              <w:rPr>
                <w:rFonts w:eastAsia="Calibri" w:cs="Arial"/>
                <w:i/>
                <w:sz w:val="20"/>
                <w:szCs w:val="20"/>
                <w:lang w:val="en-US"/>
              </w:rPr>
              <w:t>s</w:t>
            </w:r>
            <w:r w:rsidRPr="00444DC6">
              <w:rPr>
                <w:rFonts w:eastAsia="Calibri" w:cs="Arial"/>
                <w:i/>
                <w:sz w:val="20"/>
                <w:szCs w:val="20"/>
                <w:lang w:val="en-US"/>
              </w:rPr>
              <w:t xml:space="preserve">tudy </w:t>
            </w:r>
            <w:r w:rsidR="00C42AB2">
              <w:rPr>
                <w:rFonts w:eastAsia="Calibri" w:cs="Arial"/>
                <w:i/>
                <w:sz w:val="20"/>
                <w:szCs w:val="20"/>
                <w:lang w:val="en-US"/>
              </w:rPr>
              <w:t>l</w:t>
            </w:r>
            <w:r w:rsidRPr="00444DC6">
              <w:rPr>
                <w:rFonts w:eastAsia="Calibri" w:cs="Arial"/>
                <w:i/>
                <w:sz w:val="20"/>
                <w:szCs w:val="20"/>
                <w:lang w:val="en-US"/>
              </w:rPr>
              <w:t>oad​</w:t>
            </w:r>
          </w:p>
        </w:tc>
        <w:tc>
          <w:tcPr>
            <w:tcW w:w="1456" w:type="dxa"/>
            <w:vAlign w:val="center"/>
            <w:hideMark/>
          </w:tcPr>
          <w:p w14:paraId="7BE64495" w14:textId="5E49620E"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Cost</w:t>
            </w:r>
            <w:r w:rsidR="00153BF4">
              <w:rPr>
                <w:rFonts w:eastAsia="Calibri" w:cs="Arial"/>
                <w:i/>
                <w:sz w:val="20"/>
                <w:szCs w:val="20"/>
                <w:lang w:val="en-US"/>
              </w:rPr>
              <w:t xml:space="preserve"> </w:t>
            </w:r>
            <w:r w:rsidRPr="00444DC6">
              <w:rPr>
                <w:rFonts w:eastAsia="Calibri" w:cs="Arial"/>
                <w:i/>
                <w:sz w:val="20"/>
                <w:szCs w:val="20"/>
                <w:lang w:val="en-US"/>
              </w:rPr>
              <w:t>per</w:t>
            </w:r>
            <w:r w:rsidR="00153BF4">
              <w:rPr>
                <w:rFonts w:eastAsia="Calibri" w:cs="Arial"/>
                <w:i/>
                <w:sz w:val="20"/>
                <w:szCs w:val="20"/>
                <w:lang w:val="en-US"/>
              </w:rPr>
              <w:t xml:space="preserve"> </w:t>
            </w:r>
            <w:r w:rsidR="00C42AB2">
              <w:rPr>
                <w:rFonts w:eastAsia="Calibri" w:cs="Arial"/>
                <w:i/>
                <w:sz w:val="20"/>
                <w:szCs w:val="20"/>
                <w:lang w:val="en-US"/>
              </w:rPr>
              <w:t>s</w:t>
            </w:r>
            <w:r w:rsidRPr="00444DC6">
              <w:rPr>
                <w:rFonts w:eastAsia="Calibri" w:cs="Arial"/>
                <w:i/>
                <w:sz w:val="20"/>
                <w:szCs w:val="20"/>
                <w:lang w:val="en-US"/>
              </w:rPr>
              <w:t>tudent​​</w:t>
            </w:r>
          </w:p>
        </w:tc>
        <w:tc>
          <w:tcPr>
            <w:tcW w:w="1988" w:type="dxa"/>
            <w:vAlign w:val="center"/>
            <w:hideMark/>
          </w:tcPr>
          <w:p w14:paraId="4BE1F620" w14:textId="1FD9ADFD"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Cost</w:t>
            </w:r>
            <w:r w:rsidR="00153BF4">
              <w:rPr>
                <w:rFonts w:eastAsia="Calibri" w:cs="Arial"/>
                <w:i/>
                <w:sz w:val="20"/>
                <w:szCs w:val="20"/>
                <w:lang w:val="en-US"/>
              </w:rPr>
              <w:t xml:space="preserve"> </w:t>
            </w:r>
            <w:r w:rsidRPr="00444DC6">
              <w:rPr>
                <w:rFonts w:eastAsia="Calibri" w:cs="Arial"/>
                <w:i/>
                <w:sz w:val="20"/>
                <w:szCs w:val="20"/>
                <w:lang w:val="en-US"/>
              </w:rPr>
              <w:t>per</w:t>
            </w:r>
            <w:r w:rsidR="00153BF4">
              <w:rPr>
                <w:rFonts w:eastAsia="Calibri" w:cs="Arial"/>
                <w:i/>
                <w:sz w:val="20"/>
                <w:szCs w:val="20"/>
                <w:lang w:val="en-US"/>
              </w:rPr>
              <w:t xml:space="preserve"> </w:t>
            </w:r>
            <w:r w:rsidR="00C42AB2">
              <w:rPr>
                <w:rFonts w:eastAsia="Calibri" w:cs="Arial"/>
                <w:i/>
                <w:sz w:val="20"/>
                <w:szCs w:val="20"/>
                <w:lang w:val="en-US"/>
              </w:rPr>
              <w:t>e</w:t>
            </w:r>
            <w:r w:rsidRPr="00444DC6">
              <w:rPr>
                <w:rFonts w:eastAsia="Calibri" w:cs="Arial"/>
                <w:i/>
                <w:sz w:val="20"/>
                <w:szCs w:val="20"/>
                <w:lang w:val="en-US"/>
              </w:rPr>
              <w:t>quity </w:t>
            </w:r>
            <w:r w:rsidR="00C42AB2">
              <w:rPr>
                <w:rFonts w:eastAsia="Calibri" w:cs="Arial"/>
                <w:i/>
                <w:sz w:val="20"/>
                <w:szCs w:val="20"/>
                <w:lang w:val="en-US"/>
              </w:rPr>
              <w:t>s</w:t>
            </w:r>
            <w:r w:rsidRPr="00444DC6">
              <w:rPr>
                <w:rFonts w:eastAsia="Calibri" w:cs="Arial"/>
                <w:i/>
                <w:sz w:val="20"/>
                <w:szCs w:val="20"/>
                <w:lang w:val="en-US"/>
              </w:rPr>
              <w:t>tudent​</w:t>
            </w:r>
          </w:p>
        </w:tc>
        <w:tc>
          <w:tcPr>
            <w:tcW w:w="2634" w:type="dxa"/>
            <w:vAlign w:val="center"/>
            <w:hideMark/>
          </w:tcPr>
          <w:p w14:paraId="36ABF5FA" w14:textId="5941A668" w:rsidR="00444DC6" w:rsidRPr="00444DC6" w:rsidRDefault="00444DC6" w:rsidP="00153BF4">
            <w:pPr>
              <w:spacing w:after="132"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Cost</w:t>
            </w:r>
            <w:r w:rsidR="00153BF4">
              <w:rPr>
                <w:rFonts w:eastAsia="Calibri" w:cs="Arial"/>
                <w:i/>
                <w:sz w:val="20"/>
                <w:szCs w:val="20"/>
                <w:lang w:val="en-US"/>
              </w:rPr>
              <w:t xml:space="preserve"> </w:t>
            </w:r>
            <w:r w:rsidRPr="00444DC6">
              <w:rPr>
                <w:rFonts w:eastAsia="Calibri" w:cs="Arial"/>
                <w:i/>
                <w:sz w:val="20"/>
                <w:szCs w:val="20"/>
                <w:lang w:val="en-US"/>
              </w:rPr>
              <w:t>per</w:t>
            </w:r>
            <w:r w:rsidR="00153BF4">
              <w:rPr>
                <w:rFonts w:eastAsia="Calibri" w:cs="Arial"/>
                <w:i/>
                <w:sz w:val="20"/>
                <w:szCs w:val="20"/>
                <w:lang w:val="en-US"/>
              </w:rPr>
              <w:t xml:space="preserve"> </w:t>
            </w:r>
            <w:r w:rsidR="00C42AB2">
              <w:rPr>
                <w:rFonts w:eastAsia="Calibri" w:cs="Arial"/>
                <w:i/>
                <w:sz w:val="20"/>
                <w:szCs w:val="20"/>
                <w:lang w:val="en-US"/>
              </w:rPr>
              <w:t>e</w:t>
            </w:r>
            <w:r w:rsidRPr="00444DC6">
              <w:rPr>
                <w:rFonts w:eastAsia="Calibri" w:cs="Arial"/>
                <w:i/>
                <w:sz w:val="20"/>
                <w:szCs w:val="20"/>
                <w:lang w:val="en-US"/>
              </w:rPr>
              <w:t>quity </w:t>
            </w:r>
            <w:r w:rsidR="00C42AB2">
              <w:rPr>
                <w:rFonts w:eastAsia="Calibri" w:cs="Arial"/>
                <w:i/>
                <w:sz w:val="20"/>
                <w:szCs w:val="20"/>
                <w:lang w:val="en-US"/>
              </w:rPr>
              <w:t>s</w:t>
            </w:r>
            <w:r w:rsidRPr="00444DC6">
              <w:rPr>
                <w:rFonts w:eastAsia="Calibri" w:cs="Arial"/>
                <w:i/>
                <w:sz w:val="20"/>
                <w:szCs w:val="20"/>
                <w:lang w:val="en-US"/>
              </w:rPr>
              <w:t>tudent study load​</w:t>
            </w:r>
          </w:p>
        </w:tc>
      </w:tr>
      <w:tr w:rsidR="00153BF4" w:rsidRPr="00444DC6" w14:paraId="09B2713E" w14:textId="77777777" w:rsidTr="00153BF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135" w:type="dxa"/>
            <w:hideMark/>
          </w:tcPr>
          <w:p w14:paraId="20B8ABFE" w14:textId="77777777" w:rsidR="00444DC6" w:rsidRPr="00444DC6" w:rsidRDefault="00444DC6" w:rsidP="00444DC6">
            <w:pPr>
              <w:spacing w:after="132" w:line="259" w:lineRule="auto"/>
              <w:rPr>
                <w:rFonts w:eastAsia="Calibri" w:cs="Arial"/>
                <w:i/>
                <w:sz w:val="20"/>
                <w:szCs w:val="20"/>
                <w:lang w:val="en-US"/>
              </w:rPr>
            </w:pPr>
            <w:r w:rsidRPr="00444DC6">
              <w:rPr>
                <w:rFonts w:eastAsia="Calibri" w:cs="Arial"/>
                <w:i/>
                <w:sz w:val="20"/>
                <w:szCs w:val="20"/>
                <w:lang w:val="en-US"/>
              </w:rPr>
              <w:t>100X​</w:t>
            </w:r>
          </w:p>
        </w:tc>
        <w:tc>
          <w:tcPr>
            <w:tcW w:w="1139" w:type="dxa"/>
            <w:hideMark/>
          </w:tcPr>
          <w:p w14:paraId="67AAE080"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Name​</w:t>
            </w:r>
          </w:p>
        </w:tc>
        <w:tc>
          <w:tcPr>
            <w:tcW w:w="1106" w:type="dxa"/>
            <w:hideMark/>
          </w:tcPr>
          <w:p w14:paraId="2173754E"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20XX​</w:t>
            </w:r>
          </w:p>
        </w:tc>
        <w:tc>
          <w:tcPr>
            <w:tcW w:w="1163" w:type="dxa"/>
            <w:hideMark/>
          </w:tcPr>
          <w:p w14:paraId="6567ECE7"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69" w:type="dxa"/>
            <w:hideMark/>
          </w:tcPr>
          <w:p w14:paraId="5EF84344"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52" w:type="dxa"/>
            <w:hideMark/>
          </w:tcPr>
          <w:p w14:paraId="75397060"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456" w:type="dxa"/>
            <w:hideMark/>
          </w:tcPr>
          <w:p w14:paraId="37990990"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1988" w:type="dxa"/>
            <w:hideMark/>
          </w:tcPr>
          <w:p w14:paraId="0510A85E"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2634" w:type="dxa"/>
            <w:hideMark/>
          </w:tcPr>
          <w:p w14:paraId="6B17C376"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r>
      <w:tr w:rsidR="00153BF4" w:rsidRPr="00444DC6" w14:paraId="30F5F4C2" w14:textId="77777777" w:rsidTr="00153BF4">
        <w:trPr>
          <w:trHeight w:val="65"/>
        </w:trPr>
        <w:tc>
          <w:tcPr>
            <w:cnfStyle w:val="001000000000" w:firstRow="0" w:lastRow="0" w:firstColumn="1" w:lastColumn="0" w:oddVBand="0" w:evenVBand="0" w:oddHBand="0" w:evenHBand="0" w:firstRowFirstColumn="0" w:firstRowLastColumn="0" w:lastRowFirstColumn="0" w:lastRowLastColumn="0"/>
            <w:tcW w:w="1135" w:type="dxa"/>
            <w:hideMark/>
          </w:tcPr>
          <w:p w14:paraId="60F4FD45" w14:textId="48224A85" w:rsidR="00444DC6" w:rsidRPr="00444DC6" w:rsidRDefault="00444DC6" w:rsidP="00444DC6">
            <w:pPr>
              <w:spacing w:after="132" w:line="259" w:lineRule="auto"/>
              <w:rPr>
                <w:rFonts w:eastAsia="Calibri" w:cs="Arial"/>
                <w:i/>
                <w:sz w:val="20"/>
                <w:szCs w:val="20"/>
                <w:lang w:val="en-US"/>
              </w:rPr>
            </w:pPr>
            <w:r w:rsidRPr="00444DC6">
              <w:rPr>
                <w:rFonts w:eastAsia="Calibri" w:cs="Arial"/>
                <w:i/>
                <w:sz w:val="20"/>
                <w:szCs w:val="20"/>
                <w:lang w:val="en-US"/>
              </w:rPr>
              <w:t>100X​</w:t>
            </w:r>
          </w:p>
        </w:tc>
        <w:tc>
          <w:tcPr>
            <w:tcW w:w="1139" w:type="dxa"/>
            <w:hideMark/>
          </w:tcPr>
          <w:p w14:paraId="31A53B79"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Name​</w:t>
            </w:r>
          </w:p>
        </w:tc>
        <w:tc>
          <w:tcPr>
            <w:tcW w:w="1106" w:type="dxa"/>
            <w:hideMark/>
          </w:tcPr>
          <w:p w14:paraId="2AE77104"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20XX​</w:t>
            </w:r>
          </w:p>
        </w:tc>
        <w:tc>
          <w:tcPr>
            <w:tcW w:w="1163" w:type="dxa"/>
            <w:hideMark/>
          </w:tcPr>
          <w:p w14:paraId="0BE77B0D"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69" w:type="dxa"/>
            <w:hideMark/>
          </w:tcPr>
          <w:p w14:paraId="4A6857F8"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52" w:type="dxa"/>
            <w:hideMark/>
          </w:tcPr>
          <w:p w14:paraId="2003B26B"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456" w:type="dxa"/>
            <w:hideMark/>
          </w:tcPr>
          <w:p w14:paraId="48E066DF"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1988" w:type="dxa"/>
            <w:hideMark/>
          </w:tcPr>
          <w:p w14:paraId="63D75519"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2634" w:type="dxa"/>
            <w:hideMark/>
          </w:tcPr>
          <w:p w14:paraId="56E882FC"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r>
      <w:tr w:rsidR="00153BF4" w:rsidRPr="00444DC6" w14:paraId="5CA5A207" w14:textId="77777777" w:rsidTr="00153BF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135" w:type="dxa"/>
            <w:hideMark/>
          </w:tcPr>
          <w:p w14:paraId="448DE5BF" w14:textId="76CA4782" w:rsidR="00444DC6" w:rsidRPr="00444DC6" w:rsidRDefault="00444DC6" w:rsidP="00444DC6">
            <w:pPr>
              <w:spacing w:after="132" w:line="259" w:lineRule="auto"/>
              <w:rPr>
                <w:rFonts w:eastAsia="Calibri" w:cs="Arial"/>
                <w:i/>
                <w:sz w:val="20"/>
                <w:szCs w:val="20"/>
                <w:lang w:val="en-US"/>
              </w:rPr>
            </w:pPr>
            <w:r w:rsidRPr="00444DC6">
              <w:rPr>
                <w:rFonts w:eastAsia="Calibri" w:cs="Arial"/>
                <w:i/>
                <w:sz w:val="20"/>
                <w:szCs w:val="20"/>
                <w:lang w:val="en-US"/>
              </w:rPr>
              <w:t>100X​</w:t>
            </w:r>
          </w:p>
        </w:tc>
        <w:tc>
          <w:tcPr>
            <w:tcW w:w="1139" w:type="dxa"/>
            <w:hideMark/>
          </w:tcPr>
          <w:p w14:paraId="12B39805"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Name​</w:t>
            </w:r>
          </w:p>
        </w:tc>
        <w:tc>
          <w:tcPr>
            <w:tcW w:w="1106" w:type="dxa"/>
            <w:hideMark/>
          </w:tcPr>
          <w:p w14:paraId="0EDBC42C"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20XX​</w:t>
            </w:r>
          </w:p>
        </w:tc>
        <w:tc>
          <w:tcPr>
            <w:tcW w:w="1163" w:type="dxa"/>
            <w:hideMark/>
          </w:tcPr>
          <w:p w14:paraId="200182FC"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69" w:type="dxa"/>
            <w:hideMark/>
          </w:tcPr>
          <w:p w14:paraId="750ABD75"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52" w:type="dxa"/>
            <w:hideMark/>
          </w:tcPr>
          <w:p w14:paraId="38132F62"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456" w:type="dxa"/>
            <w:hideMark/>
          </w:tcPr>
          <w:p w14:paraId="530DA26F"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1988" w:type="dxa"/>
            <w:hideMark/>
          </w:tcPr>
          <w:p w14:paraId="4D1D6260"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2634" w:type="dxa"/>
            <w:hideMark/>
          </w:tcPr>
          <w:p w14:paraId="7B53E5D9"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r>
      <w:tr w:rsidR="00153BF4" w:rsidRPr="00444DC6" w14:paraId="2653345D" w14:textId="77777777" w:rsidTr="00153BF4">
        <w:trPr>
          <w:trHeight w:val="65"/>
        </w:trPr>
        <w:tc>
          <w:tcPr>
            <w:cnfStyle w:val="001000000000" w:firstRow="0" w:lastRow="0" w:firstColumn="1" w:lastColumn="0" w:oddVBand="0" w:evenVBand="0" w:oddHBand="0" w:evenHBand="0" w:firstRowFirstColumn="0" w:firstRowLastColumn="0" w:lastRowFirstColumn="0" w:lastRowLastColumn="0"/>
            <w:tcW w:w="1135" w:type="dxa"/>
            <w:hideMark/>
          </w:tcPr>
          <w:p w14:paraId="659BAE22" w14:textId="4103C796" w:rsidR="00444DC6" w:rsidRPr="00444DC6" w:rsidRDefault="00444DC6" w:rsidP="00444DC6">
            <w:pPr>
              <w:spacing w:after="132" w:line="259" w:lineRule="auto"/>
              <w:rPr>
                <w:rFonts w:eastAsia="Calibri" w:cs="Arial"/>
                <w:i/>
                <w:sz w:val="20"/>
                <w:szCs w:val="20"/>
                <w:lang w:val="en-US"/>
              </w:rPr>
            </w:pPr>
            <w:r w:rsidRPr="00444DC6">
              <w:rPr>
                <w:rFonts w:eastAsia="Calibri" w:cs="Arial"/>
                <w:i/>
                <w:sz w:val="20"/>
                <w:szCs w:val="20"/>
                <w:lang w:val="en-US"/>
              </w:rPr>
              <w:t>100X​</w:t>
            </w:r>
          </w:p>
        </w:tc>
        <w:tc>
          <w:tcPr>
            <w:tcW w:w="1139" w:type="dxa"/>
            <w:hideMark/>
          </w:tcPr>
          <w:p w14:paraId="20742BA4"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Name​</w:t>
            </w:r>
          </w:p>
        </w:tc>
        <w:tc>
          <w:tcPr>
            <w:tcW w:w="1106" w:type="dxa"/>
            <w:hideMark/>
          </w:tcPr>
          <w:p w14:paraId="23BAEB87"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20XX​</w:t>
            </w:r>
          </w:p>
        </w:tc>
        <w:tc>
          <w:tcPr>
            <w:tcW w:w="1163" w:type="dxa"/>
            <w:hideMark/>
          </w:tcPr>
          <w:p w14:paraId="3BF1B5E3" w14:textId="61618936"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69" w:type="dxa"/>
            <w:hideMark/>
          </w:tcPr>
          <w:p w14:paraId="42DB88AD"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52" w:type="dxa"/>
            <w:hideMark/>
          </w:tcPr>
          <w:p w14:paraId="7B172C10"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456" w:type="dxa"/>
            <w:hideMark/>
          </w:tcPr>
          <w:p w14:paraId="43024C23"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1988" w:type="dxa"/>
            <w:hideMark/>
          </w:tcPr>
          <w:p w14:paraId="4A2FAAF6"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2634" w:type="dxa"/>
            <w:hideMark/>
          </w:tcPr>
          <w:p w14:paraId="21BE8DD0"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r>
      <w:tr w:rsidR="00153BF4" w:rsidRPr="00444DC6" w14:paraId="54E1FCCC" w14:textId="77777777" w:rsidTr="00153BF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135" w:type="dxa"/>
            <w:hideMark/>
          </w:tcPr>
          <w:p w14:paraId="3B402966" w14:textId="6D4E95DA" w:rsidR="00444DC6" w:rsidRPr="00444DC6" w:rsidRDefault="00444DC6" w:rsidP="00444DC6">
            <w:pPr>
              <w:spacing w:after="132" w:line="259" w:lineRule="auto"/>
              <w:rPr>
                <w:rFonts w:eastAsia="Calibri" w:cs="Arial"/>
                <w:i/>
                <w:sz w:val="20"/>
                <w:szCs w:val="20"/>
                <w:lang w:val="en-US"/>
              </w:rPr>
            </w:pPr>
            <w:r w:rsidRPr="00444DC6">
              <w:rPr>
                <w:rFonts w:eastAsia="Calibri" w:cs="Arial"/>
                <w:i/>
                <w:sz w:val="20"/>
                <w:szCs w:val="20"/>
                <w:lang w:val="en-US"/>
              </w:rPr>
              <w:t>100X​</w:t>
            </w:r>
          </w:p>
        </w:tc>
        <w:tc>
          <w:tcPr>
            <w:tcW w:w="1139" w:type="dxa"/>
            <w:hideMark/>
          </w:tcPr>
          <w:p w14:paraId="2780F071"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Name​</w:t>
            </w:r>
          </w:p>
        </w:tc>
        <w:tc>
          <w:tcPr>
            <w:tcW w:w="1106" w:type="dxa"/>
            <w:hideMark/>
          </w:tcPr>
          <w:p w14:paraId="1894F658"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20XX​</w:t>
            </w:r>
          </w:p>
        </w:tc>
        <w:tc>
          <w:tcPr>
            <w:tcW w:w="1163" w:type="dxa"/>
            <w:hideMark/>
          </w:tcPr>
          <w:p w14:paraId="25BB58E6"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69" w:type="dxa"/>
            <w:hideMark/>
          </w:tcPr>
          <w:p w14:paraId="1F4E3B9C"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52" w:type="dxa"/>
            <w:hideMark/>
          </w:tcPr>
          <w:p w14:paraId="17519129"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456" w:type="dxa"/>
            <w:hideMark/>
          </w:tcPr>
          <w:p w14:paraId="2F3AA24B"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1988" w:type="dxa"/>
            <w:hideMark/>
          </w:tcPr>
          <w:p w14:paraId="7770ED43"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2634" w:type="dxa"/>
            <w:hideMark/>
          </w:tcPr>
          <w:p w14:paraId="424B1143" w14:textId="77777777" w:rsidR="00444DC6" w:rsidRPr="00444DC6" w:rsidRDefault="00444DC6" w:rsidP="00444DC6">
            <w:pPr>
              <w:spacing w:after="132" w:line="259" w:lineRule="auto"/>
              <w:cnfStyle w:val="000000100000" w:firstRow="0" w:lastRow="0" w:firstColumn="0" w:lastColumn="0" w:oddVBand="0" w:evenVBand="0" w:oddHBand="1"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r>
      <w:tr w:rsidR="00153BF4" w:rsidRPr="00444DC6" w14:paraId="636DC593" w14:textId="77777777" w:rsidTr="00153BF4">
        <w:trPr>
          <w:trHeight w:val="65"/>
        </w:trPr>
        <w:tc>
          <w:tcPr>
            <w:cnfStyle w:val="001000000000" w:firstRow="0" w:lastRow="0" w:firstColumn="1" w:lastColumn="0" w:oddVBand="0" w:evenVBand="0" w:oddHBand="0" w:evenHBand="0" w:firstRowFirstColumn="0" w:firstRowLastColumn="0" w:lastRowFirstColumn="0" w:lastRowLastColumn="0"/>
            <w:tcW w:w="1135" w:type="dxa"/>
            <w:hideMark/>
          </w:tcPr>
          <w:p w14:paraId="6E847DBA" w14:textId="06B08DC4" w:rsidR="00444DC6" w:rsidRPr="00444DC6" w:rsidRDefault="00444DC6" w:rsidP="00444DC6">
            <w:pPr>
              <w:spacing w:after="132" w:line="259" w:lineRule="auto"/>
              <w:rPr>
                <w:rFonts w:eastAsia="Calibri" w:cs="Arial"/>
                <w:i/>
                <w:sz w:val="20"/>
                <w:szCs w:val="20"/>
                <w:lang w:val="en-US"/>
              </w:rPr>
            </w:pPr>
            <w:r w:rsidRPr="00444DC6">
              <w:rPr>
                <w:rFonts w:eastAsia="Calibri" w:cs="Arial"/>
                <w:i/>
                <w:sz w:val="20"/>
                <w:szCs w:val="20"/>
                <w:lang w:val="en-US"/>
              </w:rPr>
              <w:t>100X​</w:t>
            </w:r>
          </w:p>
        </w:tc>
        <w:tc>
          <w:tcPr>
            <w:tcW w:w="1139" w:type="dxa"/>
            <w:hideMark/>
          </w:tcPr>
          <w:p w14:paraId="6BD84A6B"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Name​</w:t>
            </w:r>
          </w:p>
        </w:tc>
        <w:tc>
          <w:tcPr>
            <w:tcW w:w="1106" w:type="dxa"/>
            <w:hideMark/>
          </w:tcPr>
          <w:p w14:paraId="63ABE2D4"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20XX​</w:t>
            </w:r>
          </w:p>
        </w:tc>
        <w:tc>
          <w:tcPr>
            <w:tcW w:w="1163" w:type="dxa"/>
            <w:hideMark/>
          </w:tcPr>
          <w:p w14:paraId="5429D7E0"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69" w:type="dxa"/>
            <w:hideMark/>
          </w:tcPr>
          <w:p w14:paraId="644B85B0"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652" w:type="dxa"/>
            <w:hideMark/>
          </w:tcPr>
          <w:p w14:paraId="40549E8F"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lang w:val="en-US"/>
              </w:rPr>
            </w:pPr>
            <w:r w:rsidRPr="00444DC6">
              <w:rPr>
                <w:rFonts w:eastAsia="Calibri" w:cs="Arial"/>
                <w:i/>
                <w:sz w:val="20"/>
                <w:szCs w:val="20"/>
                <w:lang w:val="en-US"/>
              </w:rPr>
              <w:t>#​</w:t>
            </w:r>
          </w:p>
        </w:tc>
        <w:tc>
          <w:tcPr>
            <w:tcW w:w="1456" w:type="dxa"/>
            <w:hideMark/>
          </w:tcPr>
          <w:p w14:paraId="0953A3D4"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1988" w:type="dxa"/>
            <w:hideMark/>
          </w:tcPr>
          <w:p w14:paraId="68C0A141"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c>
          <w:tcPr>
            <w:tcW w:w="2634" w:type="dxa"/>
            <w:hideMark/>
          </w:tcPr>
          <w:p w14:paraId="40F71F04" w14:textId="77777777" w:rsidR="00444DC6" w:rsidRPr="00444DC6" w:rsidRDefault="00444DC6" w:rsidP="00444DC6">
            <w:pPr>
              <w:spacing w:after="132" w:line="259" w:lineRule="auto"/>
              <w:cnfStyle w:val="000000000000" w:firstRow="0" w:lastRow="0" w:firstColumn="0" w:lastColumn="0" w:oddVBand="0" w:evenVBand="0" w:oddHBand="0" w:evenHBand="0" w:firstRowFirstColumn="0" w:firstRowLastColumn="0" w:lastRowFirstColumn="0" w:lastRowLastColumn="0"/>
              <w:rPr>
                <w:rFonts w:eastAsia="Calibri" w:cs="Arial"/>
                <w:i/>
                <w:sz w:val="20"/>
                <w:szCs w:val="20"/>
              </w:rPr>
            </w:pPr>
            <w:r w:rsidRPr="00444DC6">
              <w:rPr>
                <w:rFonts w:eastAsia="Calibri" w:cs="Arial"/>
                <w:i/>
                <w:sz w:val="20"/>
                <w:szCs w:val="20"/>
              </w:rPr>
              <w:t>$#​</w:t>
            </w:r>
          </w:p>
        </w:tc>
      </w:tr>
    </w:tbl>
    <w:p w14:paraId="1BF8C31B" w14:textId="78E97F05" w:rsidR="007C28E6" w:rsidRDefault="007C28E6" w:rsidP="007C28E6">
      <w:pPr>
        <w:spacing w:after="0" w:line="259" w:lineRule="auto"/>
        <w:ind w:right="120"/>
        <w:jc w:val="right"/>
      </w:pPr>
      <w:r>
        <w:rPr>
          <w:rFonts w:ascii="Calibri" w:eastAsia="Calibri" w:hAnsi="Calibri" w:cs="Calibri"/>
        </w:rPr>
        <w:t xml:space="preserve"> </w:t>
      </w:r>
    </w:p>
    <w:tbl>
      <w:tblPr>
        <w:tblStyle w:val="PlainTable1"/>
        <w:tblW w:w="13887" w:type="dxa"/>
        <w:tblLook w:val="04A0" w:firstRow="1" w:lastRow="0" w:firstColumn="1" w:lastColumn="0" w:noHBand="0" w:noVBand="1"/>
      </w:tblPr>
      <w:tblGrid>
        <w:gridCol w:w="5240"/>
        <w:gridCol w:w="8647"/>
      </w:tblGrid>
      <w:tr w:rsidR="007C28E6" w:rsidRPr="00584C6E" w14:paraId="65C0F6F6" w14:textId="77777777" w:rsidTr="00153BF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3161A426" w14:textId="0F910509" w:rsidR="007C28E6" w:rsidRPr="00584C6E" w:rsidRDefault="007C28E6" w:rsidP="008B6FD5">
            <w:pPr>
              <w:spacing w:line="276" w:lineRule="auto"/>
              <w:ind w:right="-1525"/>
              <w:rPr>
                <w:b w:val="0"/>
                <w:bCs w:val="0"/>
                <w:sz w:val="20"/>
                <w:szCs w:val="20"/>
              </w:rPr>
            </w:pPr>
            <w:r w:rsidRPr="00584C6E">
              <w:rPr>
                <w:rFonts w:eastAsia="Calibri"/>
                <w:sz w:val="20"/>
                <w:szCs w:val="20"/>
              </w:rPr>
              <w:t xml:space="preserve">Table </w:t>
            </w:r>
            <w:r w:rsidR="008B6FD5">
              <w:rPr>
                <w:rFonts w:eastAsia="Calibri"/>
                <w:sz w:val="20"/>
                <w:szCs w:val="20"/>
              </w:rPr>
              <w:t>8</w:t>
            </w:r>
            <w:r w:rsidR="00FC29ED">
              <w:rPr>
                <w:rFonts w:eastAsia="Calibri"/>
                <w:sz w:val="20"/>
                <w:szCs w:val="20"/>
              </w:rPr>
              <w:t>:</w:t>
            </w:r>
            <w:r w:rsidRPr="00584C6E">
              <w:rPr>
                <w:rFonts w:eastAsia="Calibri"/>
                <w:sz w:val="20"/>
                <w:szCs w:val="20"/>
              </w:rPr>
              <w:t xml:space="preserve"> Figure </w:t>
            </w:r>
            <w:r w:rsidR="00FC29ED">
              <w:rPr>
                <w:rFonts w:eastAsia="Calibri"/>
                <w:sz w:val="20"/>
                <w:szCs w:val="20"/>
              </w:rPr>
              <w:t>4</w:t>
            </w:r>
            <w:r w:rsidR="00FC6383" w:rsidRPr="00584C6E">
              <w:rPr>
                <w:rFonts w:eastAsia="Calibri"/>
                <w:sz w:val="20"/>
                <w:szCs w:val="20"/>
              </w:rPr>
              <w:t xml:space="preserve"> d</w:t>
            </w:r>
            <w:r w:rsidRPr="00584C6E">
              <w:rPr>
                <w:rFonts w:eastAsia="Calibri"/>
                <w:sz w:val="20"/>
                <w:szCs w:val="20"/>
              </w:rPr>
              <w:t xml:space="preserve">escriptions </w:t>
            </w:r>
          </w:p>
        </w:tc>
        <w:tc>
          <w:tcPr>
            <w:tcW w:w="8647" w:type="dxa"/>
          </w:tcPr>
          <w:p w14:paraId="09E30845" w14:textId="77777777" w:rsidR="007C28E6" w:rsidRPr="00584C6E" w:rsidRDefault="007C28E6" w:rsidP="008B6FD5">
            <w:p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7C28E6" w:rsidRPr="00584C6E" w14:paraId="3F960C47"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36CF288A" w14:textId="77777777" w:rsidR="007C28E6" w:rsidRPr="00584C6E" w:rsidRDefault="007C28E6" w:rsidP="008B6FD5">
            <w:pPr>
              <w:spacing w:line="276" w:lineRule="auto"/>
              <w:rPr>
                <w:b w:val="0"/>
                <w:bCs w:val="0"/>
                <w:sz w:val="20"/>
                <w:szCs w:val="20"/>
              </w:rPr>
            </w:pPr>
            <w:r w:rsidRPr="00584C6E">
              <w:rPr>
                <w:rFonts w:eastAsia="Calibri"/>
                <w:sz w:val="20"/>
                <w:szCs w:val="20"/>
              </w:rPr>
              <w:t xml:space="preserve">Dimension </w:t>
            </w:r>
          </w:p>
        </w:tc>
        <w:tc>
          <w:tcPr>
            <w:tcW w:w="8647" w:type="dxa"/>
          </w:tcPr>
          <w:p w14:paraId="4453028F" w14:textId="77777777"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584C6E">
              <w:rPr>
                <w:rFonts w:eastAsia="Calibri"/>
                <w:b/>
                <w:bCs/>
                <w:sz w:val="20"/>
                <w:szCs w:val="20"/>
              </w:rPr>
              <w:t xml:space="preserve">Description </w:t>
            </w:r>
          </w:p>
        </w:tc>
      </w:tr>
      <w:tr w:rsidR="007C28E6" w:rsidRPr="00584C6E" w14:paraId="04BAF103" w14:textId="77777777" w:rsidTr="00153BF4">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7A61E1F2" w14:textId="77777777" w:rsidR="007C28E6" w:rsidRPr="00584C6E" w:rsidRDefault="007C28E6" w:rsidP="008B6FD5">
            <w:pPr>
              <w:spacing w:line="276" w:lineRule="auto"/>
              <w:rPr>
                <w:sz w:val="20"/>
                <w:szCs w:val="20"/>
              </w:rPr>
            </w:pPr>
            <w:r w:rsidRPr="00584C6E">
              <w:rPr>
                <w:sz w:val="20"/>
                <w:szCs w:val="20"/>
              </w:rPr>
              <w:t>Student count</w:t>
            </w:r>
            <w:r w:rsidRPr="00584C6E">
              <w:rPr>
                <w:rFonts w:eastAsia="Calibri"/>
                <w:sz w:val="20"/>
                <w:szCs w:val="20"/>
              </w:rPr>
              <w:t xml:space="preserve"> </w:t>
            </w:r>
          </w:p>
        </w:tc>
        <w:tc>
          <w:tcPr>
            <w:tcW w:w="8647" w:type="dxa"/>
          </w:tcPr>
          <w:p w14:paraId="1825FF2C" w14:textId="7F57CAAD" w:rsidR="007C28E6" w:rsidRPr="00584C6E" w:rsidRDefault="007C28E6" w:rsidP="008B6FD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Distinct count of all participating student IDs</w:t>
            </w:r>
            <w:r w:rsidR="00680D6E" w:rsidRPr="00584C6E">
              <w:rPr>
                <w:rFonts w:eastAsia="Calibri"/>
                <w:sz w:val="20"/>
                <w:szCs w:val="20"/>
              </w:rPr>
              <w:t>.</w:t>
            </w:r>
          </w:p>
        </w:tc>
      </w:tr>
      <w:tr w:rsidR="007C28E6" w:rsidRPr="00584C6E" w14:paraId="7B84BACC"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12BCB225" w14:textId="77777777" w:rsidR="007C28E6" w:rsidRPr="00584C6E" w:rsidRDefault="007C28E6" w:rsidP="008B6FD5">
            <w:pPr>
              <w:spacing w:line="276" w:lineRule="auto"/>
              <w:rPr>
                <w:sz w:val="20"/>
                <w:szCs w:val="20"/>
              </w:rPr>
            </w:pPr>
            <w:r w:rsidRPr="00584C6E">
              <w:rPr>
                <w:sz w:val="20"/>
                <w:szCs w:val="20"/>
              </w:rPr>
              <w:t>Equity student count</w:t>
            </w:r>
            <w:r w:rsidRPr="00584C6E">
              <w:rPr>
                <w:rFonts w:eastAsia="Calibri"/>
                <w:sz w:val="20"/>
                <w:szCs w:val="20"/>
              </w:rPr>
              <w:t xml:space="preserve"> </w:t>
            </w:r>
          </w:p>
        </w:tc>
        <w:tc>
          <w:tcPr>
            <w:tcW w:w="8647" w:type="dxa"/>
          </w:tcPr>
          <w:p w14:paraId="6C0AF5CD" w14:textId="0F02AAE8"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Distinct count of all participating student IDs who meet HEPPP eligibility</w:t>
            </w:r>
            <w:r w:rsidR="00680D6E" w:rsidRPr="00584C6E">
              <w:rPr>
                <w:rFonts w:eastAsia="Calibri"/>
                <w:sz w:val="20"/>
                <w:szCs w:val="20"/>
              </w:rPr>
              <w:t>.</w:t>
            </w:r>
          </w:p>
        </w:tc>
      </w:tr>
      <w:tr w:rsidR="007C28E6" w:rsidRPr="00584C6E" w14:paraId="24736AAD" w14:textId="77777777" w:rsidTr="00153BF4">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2DFF11BB" w14:textId="77777777" w:rsidR="007C28E6" w:rsidRPr="00584C6E" w:rsidRDefault="007C28E6" w:rsidP="008B6FD5">
            <w:pPr>
              <w:spacing w:line="276" w:lineRule="auto"/>
              <w:rPr>
                <w:sz w:val="20"/>
                <w:szCs w:val="20"/>
              </w:rPr>
            </w:pPr>
            <w:r w:rsidRPr="00584C6E">
              <w:rPr>
                <w:sz w:val="20"/>
                <w:szCs w:val="20"/>
              </w:rPr>
              <w:t>Equity student study load</w:t>
            </w:r>
            <w:r w:rsidRPr="00584C6E">
              <w:rPr>
                <w:rFonts w:eastAsia="Calibri"/>
                <w:sz w:val="20"/>
                <w:szCs w:val="20"/>
              </w:rPr>
              <w:t xml:space="preserve"> </w:t>
            </w:r>
          </w:p>
        </w:tc>
        <w:tc>
          <w:tcPr>
            <w:tcW w:w="8647" w:type="dxa"/>
          </w:tcPr>
          <w:p w14:paraId="2D5802E2" w14:textId="58DC9647" w:rsidR="007C28E6" w:rsidRPr="00584C6E" w:rsidRDefault="007C28E6" w:rsidP="008B6FD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 xml:space="preserve">Actual </w:t>
            </w:r>
            <w:r w:rsidR="00C42AB2">
              <w:rPr>
                <w:sz w:val="20"/>
                <w:szCs w:val="20"/>
              </w:rPr>
              <w:t>equivalent full-time student load (</w:t>
            </w:r>
            <w:r w:rsidRPr="00584C6E">
              <w:rPr>
                <w:sz w:val="20"/>
                <w:szCs w:val="20"/>
              </w:rPr>
              <w:t>EFTSL</w:t>
            </w:r>
            <w:r w:rsidR="00C42AB2">
              <w:rPr>
                <w:sz w:val="20"/>
                <w:szCs w:val="20"/>
              </w:rPr>
              <w:t>)</w:t>
            </w:r>
            <w:r w:rsidRPr="00584C6E">
              <w:rPr>
                <w:sz w:val="20"/>
                <w:szCs w:val="20"/>
              </w:rPr>
              <w:t xml:space="preserve"> of all participating student IDs who meet HEPPP eligibility</w:t>
            </w:r>
            <w:r w:rsidR="00680D6E" w:rsidRPr="00584C6E">
              <w:rPr>
                <w:rFonts w:eastAsia="Calibri"/>
                <w:sz w:val="20"/>
                <w:szCs w:val="20"/>
              </w:rPr>
              <w:t>.</w:t>
            </w:r>
          </w:p>
        </w:tc>
      </w:tr>
      <w:tr w:rsidR="007C28E6" w:rsidRPr="00584C6E" w14:paraId="332B59A4"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7AD028C4" w14:textId="77777777" w:rsidR="007C28E6" w:rsidRPr="00584C6E" w:rsidRDefault="007C28E6" w:rsidP="008B6FD5">
            <w:pPr>
              <w:spacing w:line="276" w:lineRule="auto"/>
              <w:rPr>
                <w:sz w:val="20"/>
                <w:szCs w:val="20"/>
              </w:rPr>
            </w:pPr>
            <w:r w:rsidRPr="00584C6E">
              <w:rPr>
                <w:sz w:val="20"/>
                <w:szCs w:val="20"/>
              </w:rPr>
              <w:t>Cost per student</w:t>
            </w:r>
            <w:r w:rsidRPr="00584C6E">
              <w:rPr>
                <w:rFonts w:eastAsia="Calibri"/>
                <w:sz w:val="20"/>
                <w:szCs w:val="20"/>
              </w:rPr>
              <w:t xml:space="preserve"> </w:t>
            </w:r>
          </w:p>
        </w:tc>
        <w:tc>
          <w:tcPr>
            <w:tcW w:w="8647" w:type="dxa"/>
          </w:tcPr>
          <w:p w14:paraId="1EB8D0B4" w14:textId="74D2C96B"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Project cost divided by student count</w:t>
            </w:r>
            <w:r w:rsidR="00680D6E" w:rsidRPr="00584C6E">
              <w:rPr>
                <w:rFonts w:eastAsia="Calibri"/>
                <w:sz w:val="20"/>
                <w:szCs w:val="20"/>
              </w:rPr>
              <w:t>.</w:t>
            </w:r>
          </w:p>
        </w:tc>
      </w:tr>
      <w:tr w:rsidR="007C28E6" w:rsidRPr="00584C6E" w14:paraId="230529CD" w14:textId="77777777" w:rsidTr="00153BF4">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211AB0A9" w14:textId="77777777" w:rsidR="007C28E6" w:rsidRPr="00584C6E" w:rsidRDefault="007C28E6" w:rsidP="008B6FD5">
            <w:pPr>
              <w:spacing w:line="276" w:lineRule="auto"/>
              <w:rPr>
                <w:sz w:val="20"/>
                <w:szCs w:val="20"/>
              </w:rPr>
            </w:pPr>
            <w:r w:rsidRPr="00584C6E">
              <w:rPr>
                <w:sz w:val="20"/>
                <w:szCs w:val="20"/>
              </w:rPr>
              <w:t>Cost per equity student</w:t>
            </w:r>
            <w:r w:rsidRPr="00584C6E">
              <w:rPr>
                <w:rFonts w:eastAsia="Calibri"/>
                <w:sz w:val="20"/>
                <w:szCs w:val="20"/>
              </w:rPr>
              <w:t xml:space="preserve"> </w:t>
            </w:r>
          </w:p>
        </w:tc>
        <w:tc>
          <w:tcPr>
            <w:tcW w:w="8647" w:type="dxa"/>
          </w:tcPr>
          <w:p w14:paraId="17F81332" w14:textId="7A7F5C0E" w:rsidR="007C28E6" w:rsidRPr="00584C6E" w:rsidRDefault="007C28E6" w:rsidP="008B6FD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Project cost divided by equity student count</w:t>
            </w:r>
            <w:r w:rsidR="00680D6E" w:rsidRPr="00584C6E">
              <w:rPr>
                <w:rFonts w:eastAsia="Calibri"/>
                <w:sz w:val="20"/>
                <w:szCs w:val="20"/>
              </w:rPr>
              <w:t>.</w:t>
            </w:r>
          </w:p>
        </w:tc>
      </w:tr>
      <w:tr w:rsidR="007C28E6" w:rsidRPr="00584C6E" w14:paraId="72F6953C" w14:textId="77777777" w:rsidTr="00153BF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18215FA3" w14:textId="77777777" w:rsidR="007C28E6" w:rsidRPr="00584C6E" w:rsidRDefault="007C28E6" w:rsidP="008B6FD5">
            <w:pPr>
              <w:spacing w:line="276" w:lineRule="auto"/>
              <w:rPr>
                <w:sz w:val="20"/>
                <w:szCs w:val="20"/>
              </w:rPr>
            </w:pPr>
            <w:r w:rsidRPr="00584C6E">
              <w:rPr>
                <w:sz w:val="20"/>
                <w:szCs w:val="20"/>
              </w:rPr>
              <w:t>Cost per equity student study load</w:t>
            </w:r>
            <w:r w:rsidRPr="00584C6E">
              <w:rPr>
                <w:rFonts w:eastAsia="Calibri"/>
                <w:sz w:val="20"/>
                <w:szCs w:val="20"/>
              </w:rPr>
              <w:t xml:space="preserve"> </w:t>
            </w:r>
          </w:p>
        </w:tc>
        <w:tc>
          <w:tcPr>
            <w:tcW w:w="8647" w:type="dxa"/>
          </w:tcPr>
          <w:p w14:paraId="535EB29A" w14:textId="79065586"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Project cost divided by equity student study load</w:t>
            </w:r>
            <w:r w:rsidR="00680D6E" w:rsidRPr="00584C6E">
              <w:rPr>
                <w:rFonts w:eastAsia="Calibri"/>
                <w:sz w:val="20"/>
                <w:szCs w:val="20"/>
              </w:rPr>
              <w:t>.</w:t>
            </w:r>
          </w:p>
        </w:tc>
      </w:tr>
    </w:tbl>
    <w:p w14:paraId="7F6A8464" w14:textId="77777777" w:rsidR="00FB4832" w:rsidRDefault="00FB4832">
      <w:pPr>
        <w:spacing w:line="259" w:lineRule="auto"/>
        <w:rPr>
          <w:rFonts w:ascii="Calibri" w:eastAsia="Calibri" w:hAnsi="Calibri" w:cs="Calibri"/>
          <w:i/>
        </w:rPr>
      </w:pPr>
      <w:r>
        <w:rPr>
          <w:rFonts w:ascii="Calibri" w:eastAsia="Calibri" w:hAnsi="Calibri" w:cs="Calibri"/>
          <w:i/>
        </w:rPr>
        <w:br w:type="page"/>
      </w:r>
    </w:p>
    <w:p w14:paraId="19B64E0E" w14:textId="7A7B4CC5" w:rsidR="0025338E" w:rsidRPr="0096736B" w:rsidRDefault="0025338E" w:rsidP="00FB4832">
      <w:pPr>
        <w:spacing w:line="259" w:lineRule="auto"/>
        <w:rPr>
          <w:rFonts w:ascii="Calibri" w:eastAsia="Calibri" w:hAnsi="Calibri" w:cs="Calibri"/>
          <w:i/>
          <w:sz w:val="20"/>
          <w:szCs w:val="20"/>
        </w:rPr>
      </w:pPr>
      <w:r w:rsidRPr="0096736B">
        <w:rPr>
          <w:i/>
          <w:iCs/>
          <w:sz w:val="20"/>
          <w:szCs w:val="20"/>
        </w:rPr>
        <w:lastRenderedPageBreak/>
        <w:t xml:space="preserve">Figure </w:t>
      </w:r>
      <w:r w:rsidR="00917E1B" w:rsidRPr="0096736B">
        <w:rPr>
          <w:i/>
          <w:iCs/>
          <w:sz w:val="20"/>
          <w:szCs w:val="20"/>
        </w:rPr>
        <w:t>5</w:t>
      </w:r>
      <w:r w:rsidRPr="0096736B">
        <w:rPr>
          <w:i/>
          <w:iCs/>
          <w:sz w:val="20"/>
          <w:szCs w:val="20"/>
        </w:rPr>
        <w:t xml:space="preserve"> and Table </w:t>
      </w:r>
      <w:r w:rsidR="00FC29ED" w:rsidRPr="0096736B">
        <w:rPr>
          <w:i/>
          <w:iCs/>
          <w:sz w:val="20"/>
          <w:szCs w:val="20"/>
        </w:rPr>
        <w:t>9</w:t>
      </w:r>
      <w:r w:rsidR="00D35FC6">
        <w:rPr>
          <w:i/>
          <w:iCs/>
          <w:sz w:val="20"/>
          <w:szCs w:val="20"/>
        </w:rPr>
        <w:t>:</w:t>
      </w:r>
      <w:r w:rsidRPr="0096736B">
        <w:rPr>
          <w:i/>
          <w:iCs/>
          <w:sz w:val="20"/>
          <w:szCs w:val="20"/>
        </w:rPr>
        <w:t xml:space="preserve"> Example wireframe for the dashboards, looking at a potential split of participation and success by campus.</w:t>
      </w:r>
    </w:p>
    <w:tbl>
      <w:tblPr>
        <w:tblStyle w:val="GridTable4-Accent2"/>
        <w:tblW w:w="13948" w:type="dxa"/>
        <w:tblLook w:val="04A0" w:firstRow="1" w:lastRow="0" w:firstColumn="1" w:lastColumn="0" w:noHBand="0" w:noVBand="1"/>
      </w:tblPr>
      <w:tblGrid>
        <w:gridCol w:w="2121"/>
        <w:gridCol w:w="2162"/>
        <w:gridCol w:w="2861"/>
        <w:gridCol w:w="2302"/>
        <w:gridCol w:w="2095"/>
        <w:gridCol w:w="2407"/>
      </w:tblGrid>
      <w:tr w:rsidR="00F01B62" w:rsidRPr="00F01B62" w14:paraId="272263BA" w14:textId="77777777" w:rsidTr="002A31D1">
        <w:trPr>
          <w:cnfStyle w:val="100000000000" w:firstRow="1" w:lastRow="0" w:firstColumn="0" w:lastColumn="0" w:oddVBand="0" w:evenVBand="0" w:oddHBand="0"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121" w:type="dxa"/>
            <w:vAlign w:val="center"/>
            <w:hideMark/>
          </w:tcPr>
          <w:p w14:paraId="766ECE8A" w14:textId="1FB5B1D8" w:rsidR="00F01B62" w:rsidRPr="00F01B62" w:rsidRDefault="00F01B62" w:rsidP="002A31D1">
            <w:pPr>
              <w:spacing w:after="160"/>
              <w:jc w:val="center"/>
              <w:rPr>
                <w:rFonts w:cs="Arial"/>
                <w:i/>
                <w:iCs/>
                <w:noProof/>
                <w:sz w:val="20"/>
                <w:szCs w:val="20"/>
                <w:lang w:val="en-US"/>
              </w:rPr>
            </w:pPr>
            <w:r w:rsidRPr="00F01B62">
              <w:rPr>
                <w:noProof/>
              </w:rPr>
              <w:t> </w:t>
            </w:r>
            <w:r w:rsidRPr="00F01B62">
              <w:rPr>
                <w:rFonts w:cs="Arial"/>
                <w:i/>
                <w:iCs/>
                <w:noProof/>
                <w:sz w:val="20"/>
                <w:szCs w:val="20"/>
              </w:rPr>
              <w:t>Campus​</w:t>
            </w:r>
            <w:r w:rsidRPr="00F01B62">
              <w:rPr>
                <w:rFonts w:cs="Arial"/>
                <w:i/>
                <w:iCs/>
                <w:noProof/>
                <w:sz w:val="20"/>
                <w:szCs w:val="20"/>
                <w:lang w:val="en-US"/>
              </w:rPr>
              <w:t>​</w:t>
            </w:r>
          </w:p>
        </w:tc>
        <w:tc>
          <w:tcPr>
            <w:tcW w:w="2162" w:type="dxa"/>
            <w:vAlign w:val="center"/>
            <w:hideMark/>
          </w:tcPr>
          <w:p w14:paraId="13F67128" w14:textId="1D990303" w:rsidR="00F01B62" w:rsidRPr="00F01B62" w:rsidRDefault="00F01B62" w:rsidP="002A31D1">
            <w:pPr>
              <w:spacing w:after="160"/>
              <w:jc w:val="center"/>
              <w:cnfStyle w:val="100000000000" w:firstRow="1" w:lastRow="0" w:firstColumn="0" w:lastColumn="0" w:oddVBand="0" w:evenVBand="0" w:oddHBand="0" w:evenHBand="0" w:firstRowFirstColumn="0" w:firstRowLastColumn="0" w:lastRowFirstColumn="0" w:lastRowLastColumn="0"/>
              <w:rPr>
                <w:rFonts w:cs="Arial"/>
                <w:i/>
                <w:iCs/>
                <w:noProof/>
                <w:sz w:val="20"/>
                <w:szCs w:val="20"/>
                <w:lang w:val="en-US"/>
              </w:rPr>
            </w:pPr>
            <w:r w:rsidRPr="00F01B62">
              <w:rPr>
                <w:rFonts w:cs="Arial"/>
                <w:i/>
                <w:iCs/>
                <w:noProof/>
                <w:sz w:val="20"/>
                <w:szCs w:val="20"/>
              </w:rPr>
              <w:t xml:space="preserve">Equity </w:t>
            </w:r>
            <w:r w:rsidR="00E16FFC">
              <w:rPr>
                <w:rFonts w:cs="Arial"/>
                <w:i/>
                <w:iCs/>
                <w:noProof/>
                <w:sz w:val="20"/>
                <w:szCs w:val="20"/>
              </w:rPr>
              <w:t>s</w:t>
            </w:r>
            <w:r w:rsidRPr="00F01B62">
              <w:rPr>
                <w:rFonts w:cs="Arial"/>
                <w:i/>
                <w:iCs/>
                <w:noProof/>
                <w:sz w:val="20"/>
                <w:szCs w:val="20"/>
              </w:rPr>
              <w:t>tudent </w:t>
            </w:r>
            <w:r w:rsidR="00E16FFC">
              <w:rPr>
                <w:rFonts w:cs="Arial"/>
                <w:i/>
                <w:iCs/>
                <w:noProof/>
                <w:sz w:val="20"/>
                <w:szCs w:val="20"/>
              </w:rPr>
              <w:t>c</w:t>
            </w:r>
            <w:r w:rsidRPr="00F01B62">
              <w:rPr>
                <w:rFonts w:cs="Arial"/>
                <w:i/>
                <w:iCs/>
                <w:noProof/>
                <w:sz w:val="20"/>
                <w:szCs w:val="20"/>
              </w:rPr>
              <w:t>ount​</w:t>
            </w:r>
            <w:r w:rsidRPr="00F01B62">
              <w:rPr>
                <w:rFonts w:cs="Arial"/>
                <w:i/>
                <w:iCs/>
                <w:noProof/>
                <w:sz w:val="20"/>
                <w:szCs w:val="20"/>
                <w:lang w:val="en-US"/>
              </w:rPr>
              <w:t>​</w:t>
            </w:r>
          </w:p>
        </w:tc>
        <w:tc>
          <w:tcPr>
            <w:tcW w:w="2861" w:type="dxa"/>
            <w:vAlign w:val="center"/>
            <w:hideMark/>
          </w:tcPr>
          <w:p w14:paraId="705FCA18" w14:textId="39E8B2A2" w:rsidR="00F01B62" w:rsidRPr="00F01B62" w:rsidRDefault="00F01B62" w:rsidP="002A31D1">
            <w:pPr>
              <w:spacing w:after="160"/>
              <w:jc w:val="center"/>
              <w:cnfStyle w:val="100000000000" w:firstRow="1" w:lastRow="0" w:firstColumn="0" w:lastColumn="0" w:oddVBand="0" w:evenVBand="0" w:oddHBand="0" w:evenHBand="0" w:firstRowFirstColumn="0" w:firstRowLastColumn="0" w:lastRowFirstColumn="0" w:lastRowLastColumn="0"/>
              <w:rPr>
                <w:rFonts w:cs="Arial"/>
                <w:i/>
                <w:iCs/>
                <w:noProof/>
                <w:sz w:val="20"/>
                <w:szCs w:val="20"/>
                <w:lang w:val="en-US"/>
              </w:rPr>
            </w:pPr>
            <w:r w:rsidRPr="00F01B62">
              <w:rPr>
                <w:rFonts w:cs="Arial"/>
                <w:i/>
                <w:iCs/>
                <w:noProof/>
                <w:sz w:val="20"/>
                <w:szCs w:val="20"/>
                <w:lang w:val="en-US"/>
              </w:rPr>
              <w:t xml:space="preserve">Equity </w:t>
            </w:r>
            <w:r w:rsidR="00E16FFC">
              <w:rPr>
                <w:rFonts w:cs="Arial"/>
                <w:i/>
                <w:iCs/>
                <w:noProof/>
                <w:sz w:val="20"/>
                <w:szCs w:val="20"/>
                <w:lang w:val="en-US"/>
              </w:rPr>
              <w:t>s</w:t>
            </w:r>
            <w:r w:rsidRPr="00F01B62">
              <w:rPr>
                <w:rFonts w:cs="Arial"/>
                <w:i/>
                <w:iCs/>
                <w:noProof/>
                <w:sz w:val="20"/>
                <w:szCs w:val="20"/>
                <w:lang w:val="en-US"/>
              </w:rPr>
              <w:t>tudent </w:t>
            </w:r>
            <w:r w:rsidR="00E16FFC">
              <w:rPr>
                <w:rFonts w:cs="Arial"/>
                <w:i/>
                <w:iCs/>
                <w:noProof/>
                <w:sz w:val="20"/>
                <w:szCs w:val="20"/>
                <w:lang w:val="en-US"/>
              </w:rPr>
              <w:t>p</w:t>
            </w:r>
            <w:r w:rsidRPr="00F01B62">
              <w:rPr>
                <w:rFonts w:cs="Arial"/>
                <w:i/>
                <w:iCs/>
                <w:noProof/>
                <w:sz w:val="20"/>
                <w:szCs w:val="20"/>
                <w:lang w:val="en-US"/>
              </w:rPr>
              <w:t>articipation </w:t>
            </w:r>
            <w:r w:rsidR="00E16FFC">
              <w:rPr>
                <w:rFonts w:cs="Arial"/>
                <w:i/>
                <w:iCs/>
                <w:noProof/>
                <w:sz w:val="20"/>
                <w:szCs w:val="20"/>
                <w:lang w:val="en-US"/>
              </w:rPr>
              <w:t>c</w:t>
            </w:r>
            <w:r w:rsidRPr="00F01B62">
              <w:rPr>
                <w:rFonts w:cs="Arial"/>
                <w:i/>
                <w:iCs/>
                <w:noProof/>
                <w:sz w:val="20"/>
                <w:szCs w:val="20"/>
                <w:lang w:val="en-US"/>
              </w:rPr>
              <w:t>ount​​</w:t>
            </w:r>
          </w:p>
        </w:tc>
        <w:tc>
          <w:tcPr>
            <w:tcW w:w="2302" w:type="dxa"/>
            <w:vAlign w:val="center"/>
            <w:hideMark/>
          </w:tcPr>
          <w:p w14:paraId="25D8EE43" w14:textId="568762E4" w:rsidR="00F01B62" w:rsidRPr="00F01B62" w:rsidRDefault="00F01B62" w:rsidP="002A31D1">
            <w:pPr>
              <w:spacing w:after="160"/>
              <w:jc w:val="center"/>
              <w:cnfStyle w:val="100000000000" w:firstRow="1" w:lastRow="0" w:firstColumn="0" w:lastColumn="0" w:oddVBand="0" w:evenVBand="0" w:oddHBand="0" w:evenHBand="0" w:firstRowFirstColumn="0" w:firstRowLastColumn="0" w:lastRowFirstColumn="0" w:lastRowLastColumn="0"/>
              <w:rPr>
                <w:rFonts w:cs="Arial"/>
                <w:i/>
                <w:iCs/>
                <w:noProof/>
                <w:sz w:val="20"/>
                <w:szCs w:val="20"/>
                <w:lang w:val="en-US"/>
              </w:rPr>
            </w:pPr>
            <w:r w:rsidRPr="00F01B62">
              <w:rPr>
                <w:rFonts w:cs="Arial"/>
                <w:i/>
                <w:iCs/>
                <w:noProof/>
                <w:sz w:val="20"/>
                <w:szCs w:val="20"/>
              </w:rPr>
              <w:t>Participation </w:t>
            </w:r>
            <w:r w:rsidR="00E16FFC">
              <w:rPr>
                <w:rFonts w:cs="Arial"/>
                <w:i/>
                <w:iCs/>
                <w:noProof/>
                <w:sz w:val="20"/>
                <w:szCs w:val="20"/>
              </w:rPr>
              <w:t>r</w:t>
            </w:r>
            <w:r w:rsidRPr="00F01B62">
              <w:rPr>
                <w:rFonts w:cs="Arial"/>
                <w:i/>
                <w:iCs/>
                <w:noProof/>
                <w:sz w:val="20"/>
                <w:szCs w:val="20"/>
              </w:rPr>
              <w:t>ate (%)​</w:t>
            </w:r>
            <w:r w:rsidRPr="00F01B62">
              <w:rPr>
                <w:rFonts w:cs="Arial"/>
                <w:i/>
                <w:iCs/>
                <w:noProof/>
                <w:sz w:val="20"/>
                <w:szCs w:val="20"/>
                <w:lang w:val="en-US"/>
              </w:rPr>
              <w:t>​</w:t>
            </w:r>
          </w:p>
        </w:tc>
        <w:tc>
          <w:tcPr>
            <w:tcW w:w="2095" w:type="dxa"/>
            <w:vAlign w:val="center"/>
            <w:hideMark/>
          </w:tcPr>
          <w:p w14:paraId="0E39376A" w14:textId="23C62BD8" w:rsidR="00F01B62" w:rsidRPr="00F01B62" w:rsidRDefault="00F01B62" w:rsidP="002A31D1">
            <w:pPr>
              <w:spacing w:after="160"/>
              <w:jc w:val="center"/>
              <w:cnfStyle w:val="100000000000" w:firstRow="1" w:lastRow="0" w:firstColumn="0" w:lastColumn="0" w:oddVBand="0" w:evenVBand="0" w:oddHBand="0" w:evenHBand="0" w:firstRowFirstColumn="0" w:firstRowLastColumn="0" w:lastRowFirstColumn="0" w:lastRowLastColumn="0"/>
              <w:rPr>
                <w:rFonts w:cs="Arial"/>
                <w:i/>
                <w:iCs/>
                <w:noProof/>
                <w:sz w:val="20"/>
                <w:szCs w:val="20"/>
              </w:rPr>
            </w:pPr>
            <w:r w:rsidRPr="00F01B62">
              <w:rPr>
                <w:rFonts w:cs="Arial"/>
                <w:i/>
                <w:iCs/>
                <w:noProof/>
                <w:sz w:val="20"/>
                <w:szCs w:val="20"/>
                <w:lang w:val="en-US"/>
              </w:rPr>
              <w:t xml:space="preserve">Success </w:t>
            </w:r>
            <w:r w:rsidR="00E16FFC">
              <w:rPr>
                <w:rFonts w:cs="Arial"/>
                <w:i/>
                <w:iCs/>
                <w:noProof/>
                <w:sz w:val="20"/>
                <w:szCs w:val="20"/>
                <w:lang w:val="en-US"/>
              </w:rPr>
              <w:t>r</w:t>
            </w:r>
            <w:r w:rsidRPr="00F01B62">
              <w:rPr>
                <w:rFonts w:cs="Arial"/>
                <w:i/>
                <w:iCs/>
                <w:noProof/>
                <w:sz w:val="20"/>
                <w:szCs w:val="20"/>
                <w:lang w:val="en-US"/>
              </w:rPr>
              <w:t>ate of </w:t>
            </w:r>
            <w:r w:rsidR="00E16FFC">
              <w:rPr>
                <w:rFonts w:cs="Arial"/>
                <w:i/>
                <w:iCs/>
                <w:noProof/>
                <w:sz w:val="20"/>
                <w:szCs w:val="20"/>
                <w:lang w:val="en-US"/>
              </w:rPr>
              <w:t>e</w:t>
            </w:r>
            <w:r w:rsidRPr="00F01B62">
              <w:rPr>
                <w:rFonts w:cs="Arial"/>
                <w:i/>
                <w:iCs/>
                <w:noProof/>
                <w:sz w:val="20"/>
                <w:szCs w:val="20"/>
                <w:lang w:val="en-US"/>
              </w:rPr>
              <w:t xml:space="preserve">quity </w:t>
            </w:r>
            <w:r w:rsidR="00E16FFC">
              <w:rPr>
                <w:rFonts w:cs="Arial"/>
                <w:i/>
                <w:iCs/>
                <w:noProof/>
                <w:sz w:val="20"/>
                <w:szCs w:val="20"/>
                <w:lang w:val="en-US"/>
              </w:rPr>
              <w:t>s</w:t>
            </w:r>
            <w:r w:rsidRPr="00F01B62">
              <w:rPr>
                <w:rFonts w:cs="Arial"/>
                <w:i/>
                <w:iCs/>
                <w:noProof/>
                <w:sz w:val="20"/>
                <w:szCs w:val="20"/>
                <w:lang w:val="en-US"/>
              </w:rPr>
              <w:t>tudents (%)</w:t>
            </w:r>
            <w:r w:rsidRPr="00F01B62">
              <w:rPr>
                <w:rFonts w:cs="Arial"/>
                <w:i/>
                <w:iCs/>
                <w:noProof/>
                <w:sz w:val="20"/>
                <w:szCs w:val="20"/>
              </w:rPr>
              <w:t>​</w:t>
            </w:r>
          </w:p>
        </w:tc>
        <w:tc>
          <w:tcPr>
            <w:tcW w:w="2407" w:type="dxa"/>
            <w:vAlign w:val="center"/>
            <w:hideMark/>
          </w:tcPr>
          <w:p w14:paraId="440FA464" w14:textId="6EE2ED1A" w:rsidR="00F01B62" w:rsidRPr="00F01B62" w:rsidRDefault="00F01B62" w:rsidP="002A31D1">
            <w:pPr>
              <w:spacing w:after="160"/>
              <w:jc w:val="center"/>
              <w:cnfStyle w:val="100000000000" w:firstRow="1" w:lastRow="0" w:firstColumn="0" w:lastColumn="0" w:oddVBand="0" w:evenVBand="0" w:oddHBand="0" w:evenHBand="0" w:firstRowFirstColumn="0" w:firstRowLastColumn="0" w:lastRowFirstColumn="0" w:lastRowLastColumn="0"/>
              <w:rPr>
                <w:rFonts w:cs="Arial"/>
                <w:i/>
                <w:iCs/>
                <w:noProof/>
                <w:sz w:val="20"/>
                <w:szCs w:val="20"/>
              </w:rPr>
            </w:pPr>
            <w:r w:rsidRPr="00F01B62">
              <w:rPr>
                <w:rFonts w:cs="Arial"/>
                <w:i/>
                <w:iCs/>
                <w:noProof/>
                <w:sz w:val="20"/>
                <w:szCs w:val="20"/>
                <w:lang w:val="en-US"/>
              </w:rPr>
              <w:t xml:space="preserve">Success </w:t>
            </w:r>
            <w:r w:rsidR="00E16FFC">
              <w:rPr>
                <w:rFonts w:cs="Arial"/>
                <w:i/>
                <w:iCs/>
                <w:noProof/>
                <w:sz w:val="20"/>
                <w:szCs w:val="20"/>
                <w:lang w:val="en-US"/>
              </w:rPr>
              <w:t>r</w:t>
            </w:r>
            <w:r w:rsidRPr="00F01B62">
              <w:rPr>
                <w:rFonts w:cs="Arial"/>
                <w:i/>
                <w:iCs/>
                <w:noProof/>
                <w:sz w:val="20"/>
                <w:szCs w:val="20"/>
                <w:lang w:val="en-US"/>
              </w:rPr>
              <w:t>ate </w:t>
            </w:r>
            <w:r w:rsidR="00847D13">
              <w:rPr>
                <w:rFonts w:cs="Arial"/>
                <w:i/>
                <w:iCs/>
                <w:noProof/>
                <w:sz w:val="20"/>
                <w:szCs w:val="20"/>
                <w:lang w:val="en-US"/>
              </w:rPr>
              <w:t xml:space="preserve">of </w:t>
            </w:r>
            <w:r w:rsidR="00E16FFC">
              <w:rPr>
                <w:rFonts w:cs="Arial"/>
                <w:i/>
                <w:iCs/>
                <w:noProof/>
                <w:sz w:val="20"/>
                <w:szCs w:val="20"/>
                <w:lang w:val="en-US"/>
              </w:rPr>
              <w:t>e</w:t>
            </w:r>
            <w:r w:rsidRPr="00F01B62">
              <w:rPr>
                <w:rFonts w:cs="Arial"/>
                <w:i/>
                <w:iCs/>
                <w:noProof/>
                <w:sz w:val="20"/>
                <w:szCs w:val="20"/>
                <w:lang w:val="en-US"/>
              </w:rPr>
              <w:t xml:space="preserve">quity </w:t>
            </w:r>
            <w:r w:rsidR="00E16FFC">
              <w:rPr>
                <w:rFonts w:cs="Arial"/>
                <w:i/>
                <w:iCs/>
                <w:noProof/>
                <w:sz w:val="20"/>
                <w:szCs w:val="20"/>
                <w:lang w:val="en-US"/>
              </w:rPr>
              <w:t>s</w:t>
            </w:r>
            <w:r w:rsidRPr="00F01B62">
              <w:rPr>
                <w:rFonts w:cs="Arial"/>
                <w:i/>
                <w:iCs/>
                <w:noProof/>
                <w:sz w:val="20"/>
                <w:szCs w:val="20"/>
                <w:lang w:val="en-US"/>
              </w:rPr>
              <w:t>tudent </w:t>
            </w:r>
            <w:r w:rsidR="00E16FFC">
              <w:rPr>
                <w:rFonts w:cs="Arial"/>
                <w:i/>
                <w:iCs/>
                <w:noProof/>
                <w:sz w:val="20"/>
                <w:szCs w:val="20"/>
                <w:lang w:val="en-US"/>
              </w:rPr>
              <w:t>p</w:t>
            </w:r>
            <w:r w:rsidRPr="00F01B62">
              <w:rPr>
                <w:rFonts w:cs="Arial"/>
                <w:i/>
                <w:iCs/>
                <w:noProof/>
                <w:sz w:val="20"/>
                <w:szCs w:val="20"/>
                <w:lang w:val="en-US"/>
              </w:rPr>
              <w:t>articipants (%)</w:t>
            </w:r>
            <w:r w:rsidRPr="00F01B62">
              <w:rPr>
                <w:rFonts w:cs="Arial"/>
                <w:i/>
                <w:iCs/>
                <w:noProof/>
                <w:sz w:val="20"/>
                <w:szCs w:val="20"/>
              </w:rPr>
              <w:t>​</w:t>
            </w:r>
          </w:p>
        </w:tc>
      </w:tr>
      <w:tr w:rsidR="00F01B62" w:rsidRPr="00F01B62" w14:paraId="79AF381D" w14:textId="77777777" w:rsidTr="002A31D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21" w:type="dxa"/>
            <w:hideMark/>
          </w:tcPr>
          <w:p w14:paraId="6D58906A" w14:textId="77777777" w:rsidR="00F01B62" w:rsidRPr="00F01B62" w:rsidRDefault="00F01B62" w:rsidP="00F01B62">
            <w:pPr>
              <w:spacing w:after="160"/>
              <w:rPr>
                <w:rFonts w:cs="Arial"/>
                <w:noProof/>
                <w:sz w:val="20"/>
                <w:szCs w:val="20"/>
              </w:rPr>
            </w:pPr>
            <w:r w:rsidRPr="00F01B62">
              <w:rPr>
                <w:rFonts w:cs="Arial"/>
                <w:noProof/>
                <w:sz w:val="20"/>
                <w:szCs w:val="20"/>
              </w:rPr>
              <w:t>Burwood​​</w:t>
            </w:r>
          </w:p>
        </w:tc>
        <w:tc>
          <w:tcPr>
            <w:tcW w:w="2162" w:type="dxa"/>
            <w:hideMark/>
          </w:tcPr>
          <w:p w14:paraId="79A91509"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861" w:type="dxa"/>
            <w:hideMark/>
          </w:tcPr>
          <w:p w14:paraId="6698F513"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302" w:type="dxa"/>
            <w:hideMark/>
          </w:tcPr>
          <w:p w14:paraId="14FECF05"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c>
          <w:tcPr>
            <w:tcW w:w="2095" w:type="dxa"/>
            <w:hideMark/>
          </w:tcPr>
          <w:p w14:paraId="0E58A2A0"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c>
          <w:tcPr>
            <w:tcW w:w="2407" w:type="dxa"/>
            <w:hideMark/>
          </w:tcPr>
          <w:p w14:paraId="79638340"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r>
      <w:tr w:rsidR="00F01B62" w:rsidRPr="00F01B62" w14:paraId="3C3798CD" w14:textId="77777777" w:rsidTr="002A31D1">
        <w:trPr>
          <w:trHeight w:val="65"/>
        </w:trPr>
        <w:tc>
          <w:tcPr>
            <w:cnfStyle w:val="001000000000" w:firstRow="0" w:lastRow="0" w:firstColumn="1" w:lastColumn="0" w:oddVBand="0" w:evenVBand="0" w:oddHBand="0" w:evenHBand="0" w:firstRowFirstColumn="0" w:firstRowLastColumn="0" w:lastRowFirstColumn="0" w:lastRowLastColumn="0"/>
            <w:tcW w:w="2121" w:type="dxa"/>
            <w:hideMark/>
          </w:tcPr>
          <w:p w14:paraId="5208B921" w14:textId="77777777" w:rsidR="00F01B62" w:rsidRPr="00F01B62" w:rsidRDefault="00F01B62" w:rsidP="00F01B62">
            <w:pPr>
              <w:spacing w:after="160"/>
              <w:rPr>
                <w:rFonts w:cs="Arial"/>
                <w:noProof/>
                <w:sz w:val="20"/>
                <w:szCs w:val="20"/>
              </w:rPr>
            </w:pPr>
            <w:r w:rsidRPr="00F01B62">
              <w:rPr>
                <w:rFonts w:cs="Arial"/>
                <w:noProof/>
                <w:sz w:val="20"/>
                <w:szCs w:val="20"/>
              </w:rPr>
              <w:t>Online​​</w:t>
            </w:r>
          </w:p>
        </w:tc>
        <w:tc>
          <w:tcPr>
            <w:tcW w:w="2162" w:type="dxa"/>
            <w:hideMark/>
          </w:tcPr>
          <w:p w14:paraId="33B305EC"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861" w:type="dxa"/>
            <w:hideMark/>
          </w:tcPr>
          <w:p w14:paraId="75F70DE4"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302" w:type="dxa"/>
            <w:hideMark/>
          </w:tcPr>
          <w:p w14:paraId="21DCD7E5"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rPr>
              <w:t>%​</w:t>
            </w:r>
          </w:p>
        </w:tc>
        <w:tc>
          <w:tcPr>
            <w:tcW w:w="2095" w:type="dxa"/>
            <w:hideMark/>
          </w:tcPr>
          <w:p w14:paraId="30532D9B"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rPr>
              <w:t>%​</w:t>
            </w:r>
          </w:p>
        </w:tc>
        <w:tc>
          <w:tcPr>
            <w:tcW w:w="2407" w:type="dxa"/>
            <w:hideMark/>
          </w:tcPr>
          <w:p w14:paraId="02095CBE"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rPr>
              <w:t>%​</w:t>
            </w:r>
          </w:p>
        </w:tc>
      </w:tr>
      <w:tr w:rsidR="00F01B62" w:rsidRPr="00F01B62" w14:paraId="31701FE0" w14:textId="77777777" w:rsidTr="002A31D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121" w:type="dxa"/>
            <w:hideMark/>
          </w:tcPr>
          <w:p w14:paraId="3BEDB7A8" w14:textId="77777777" w:rsidR="00F01B62" w:rsidRPr="00F01B62" w:rsidRDefault="00F01B62" w:rsidP="00F01B62">
            <w:pPr>
              <w:spacing w:after="160"/>
              <w:rPr>
                <w:rFonts w:cs="Arial"/>
                <w:noProof/>
                <w:sz w:val="20"/>
                <w:szCs w:val="20"/>
              </w:rPr>
            </w:pPr>
            <w:r w:rsidRPr="00F01B62">
              <w:rPr>
                <w:rFonts w:cs="Arial"/>
                <w:noProof/>
                <w:sz w:val="20"/>
                <w:szCs w:val="20"/>
              </w:rPr>
              <w:t>Warrnambool​​</w:t>
            </w:r>
          </w:p>
        </w:tc>
        <w:tc>
          <w:tcPr>
            <w:tcW w:w="2162" w:type="dxa"/>
            <w:hideMark/>
          </w:tcPr>
          <w:p w14:paraId="29AB87F1"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861" w:type="dxa"/>
            <w:hideMark/>
          </w:tcPr>
          <w:p w14:paraId="348AEF36"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302" w:type="dxa"/>
            <w:hideMark/>
          </w:tcPr>
          <w:p w14:paraId="5107A91B"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c>
          <w:tcPr>
            <w:tcW w:w="2095" w:type="dxa"/>
            <w:hideMark/>
          </w:tcPr>
          <w:p w14:paraId="2DEF5D62"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c>
          <w:tcPr>
            <w:tcW w:w="2407" w:type="dxa"/>
            <w:hideMark/>
          </w:tcPr>
          <w:p w14:paraId="52DE33A5"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r>
      <w:tr w:rsidR="00F01B62" w:rsidRPr="00F01B62" w14:paraId="5C900695" w14:textId="77777777" w:rsidTr="002A31D1">
        <w:trPr>
          <w:trHeight w:val="65"/>
        </w:trPr>
        <w:tc>
          <w:tcPr>
            <w:cnfStyle w:val="001000000000" w:firstRow="0" w:lastRow="0" w:firstColumn="1" w:lastColumn="0" w:oddVBand="0" w:evenVBand="0" w:oddHBand="0" w:evenHBand="0" w:firstRowFirstColumn="0" w:firstRowLastColumn="0" w:lastRowFirstColumn="0" w:lastRowLastColumn="0"/>
            <w:tcW w:w="2121" w:type="dxa"/>
            <w:hideMark/>
          </w:tcPr>
          <w:p w14:paraId="3583B389" w14:textId="77777777" w:rsidR="00F01B62" w:rsidRPr="00F01B62" w:rsidRDefault="00F01B62" w:rsidP="00F01B62">
            <w:pPr>
              <w:spacing w:after="160"/>
              <w:rPr>
                <w:rFonts w:cs="Arial"/>
                <w:noProof/>
                <w:sz w:val="20"/>
                <w:szCs w:val="20"/>
              </w:rPr>
            </w:pPr>
            <w:r w:rsidRPr="00F01B62">
              <w:rPr>
                <w:rFonts w:cs="Arial"/>
                <w:noProof/>
                <w:sz w:val="20"/>
                <w:szCs w:val="20"/>
              </w:rPr>
              <w:t>Waterfront​​</w:t>
            </w:r>
          </w:p>
        </w:tc>
        <w:tc>
          <w:tcPr>
            <w:tcW w:w="2162" w:type="dxa"/>
            <w:hideMark/>
          </w:tcPr>
          <w:p w14:paraId="188B5C79"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861" w:type="dxa"/>
            <w:hideMark/>
          </w:tcPr>
          <w:p w14:paraId="35674F4C"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302" w:type="dxa"/>
            <w:hideMark/>
          </w:tcPr>
          <w:p w14:paraId="5759D912"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rPr>
              <w:t>%​</w:t>
            </w:r>
          </w:p>
        </w:tc>
        <w:tc>
          <w:tcPr>
            <w:tcW w:w="2095" w:type="dxa"/>
            <w:hideMark/>
          </w:tcPr>
          <w:p w14:paraId="2CE965CD"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rPr>
              <w:t>%​</w:t>
            </w:r>
          </w:p>
        </w:tc>
        <w:tc>
          <w:tcPr>
            <w:tcW w:w="2407" w:type="dxa"/>
            <w:hideMark/>
          </w:tcPr>
          <w:p w14:paraId="10F33048" w14:textId="77777777" w:rsidR="00F01B62" w:rsidRPr="00F01B62" w:rsidRDefault="00F01B62" w:rsidP="00F01B62">
            <w:pPr>
              <w:spacing w:after="16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01B62">
              <w:rPr>
                <w:rFonts w:cs="Arial"/>
                <w:noProof/>
                <w:sz w:val="20"/>
                <w:szCs w:val="20"/>
              </w:rPr>
              <w:t>%​</w:t>
            </w:r>
          </w:p>
        </w:tc>
      </w:tr>
      <w:tr w:rsidR="00F01B62" w:rsidRPr="00F01B62" w14:paraId="427A78F6" w14:textId="77777777" w:rsidTr="002A31D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121" w:type="dxa"/>
            <w:hideMark/>
          </w:tcPr>
          <w:p w14:paraId="1C596676" w14:textId="77777777" w:rsidR="00F01B62" w:rsidRPr="00F01B62" w:rsidRDefault="00F01B62" w:rsidP="00F01B62">
            <w:pPr>
              <w:spacing w:after="160"/>
              <w:rPr>
                <w:rFonts w:cs="Arial"/>
                <w:noProof/>
                <w:sz w:val="20"/>
                <w:szCs w:val="20"/>
              </w:rPr>
            </w:pPr>
            <w:r w:rsidRPr="00F01B62">
              <w:rPr>
                <w:rFonts w:cs="Arial"/>
                <w:noProof/>
                <w:sz w:val="20"/>
                <w:szCs w:val="20"/>
              </w:rPr>
              <w:t>Waurn Ponds​​</w:t>
            </w:r>
          </w:p>
        </w:tc>
        <w:tc>
          <w:tcPr>
            <w:tcW w:w="2162" w:type="dxa"/>
            <w:hideMark/>
          </w:tcPr>
          <w:p w14:paraId="2CBC78A9"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861" w:type="dxa"/>
            <w:hideMark/>
          </w:tcPr>
          <w:p w14:paraId="556DC349"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lang w:val="en-US"/>
              </w:rPr>
              <w:t>#</w:t>
            </w:r>
            <w:r w:rsidRPr="00F01B62">
              <w:rPr>
                <w:rFonts w:cs="Arial"/>
                <w:noProof/>
                <w:sz w:val="20"/>
                <w:szCs w:val="20"/>
              </w:rPr>
              <w:t>​</w:t>
            </w:r>
          </w:p>
        </w:tc>
        <w:tc>
          <w:tcPr>
            <w:tcW w:w="2302" w:type="dxa"/>
            <w:hideMark/>
          </w:tcPr>
          <w:p w14:paraId="6EE9A3D4"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c>
          <w:tcPr>
            <w:tcW w:w="2095" w:type="dxa"/>
            <w:hideMark/>
          </w:tcPr>
          <w:p w14:paraId="143EF3D4"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c>
          <w:tcPr>
            <w:tcW w:w="2407" w:type="dxa"/>
            <w:hideMark/>
          </w:tcPr>
          <w:p w14:paraId="4E1CD093" w14:textId="77777777" w:rsidR="00F01B62" w:rsidRPr="00F01B62" w:rsidRDefault="00F01B62" w:rsidP="00F01B62">
            <w:pPr>
              <w:spacing w:after="160"/>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F01B62">
              <w:rPr>
                <w:rFonts w:cs="Arial"/>
                <w:noProof/>
                <w:sz w:val="20"/>
                <w:szCs w:val="20"/>
              </w:rPr>
              <w:t>%​</w:t>
            </w:r>
          </w:p>
        </w:tc>
      </w:tr>
    </w:tbl>
    <w:p w14:paraId="2E1E0E69" w14:textId="40BC48C6" w:rsidR="007C28E6" w:rsidRDefault="007C28E6" w:rsidP="007C28E6">
      <w:pPr>
        <w:spacing w:after="0" w:line="259" w:lineRule="auto"/>
        <w:ind w:right="120"/>
        <w:jc w:val="right"/>
      </w:pPr>
      <w:r>
        <w:rPr>
          <w:rFonts w:ascii="Calibri" w:eastAsia="Calibri" w:hAnsi="Calibri" w:cs="Calibri"/>
        </w:rPr>
        <w:t xml:space="preserve"> </w:t>
      </w:r>
    </w:p>
    <w:tbl>
      <w:tblPr>
        <w:tblStyle w:val="PlainTable1"/>
        <w:tblW w:w="13887" w:type="dxa"/>
        <w:tblLook w:val="04A0" w:firstRow="1" w:lastRow="0" w:firstColumn="1" w:lastColumn="0" w:noHBand="0" w:noVBand="1"/>
      </w:tblPr>
      <w:tblGrid>
        <w:gridCol w:w="5240"/>
        <w:gridCol w:w="8647"/>
      </w:tblGrid>
      <w:tr w:rsidR="007C28E6" w:rsidRPr="00584C6E" w14:paraId="06FE5E20" w14:textId="77777777" w:rsidTr="002A31D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887" w:type="dxa"/>
            <w:gridSpan w:val="2"/>
          </w:tcPr>
          <w:p w14:paraId="521B93B5" w14:textId="4CF4B160" w:rsidR="007C28E6" w:rsidRPr="00584C6E" w:rsidRDefault="007C28E6" w:rsidP="008B6FD5">
            <w:pPr>
              <w:spacing w:line="276" w:lineRule="auto"/>
              <w:rPr>
                <w:b w:val="0"/>
                <w:bCs w:val="0"/>
                <w:sz w:val="20"/>
                <w:szCs w:val="20"/>
              </w:rPr>
            </w:pPr>
            <w:r w:rsidRPr="00584C6E">
              <w:rPr>
                <w:rFonts w:eastAsia="Calibri"/>
                <w:sz w:val="20"/>
                <w:szCs w:val="20"/>
              </w:rPr>
              <w:t xml:space="preserve">Table </w:t>
            </w:r>
            <w:r w:rsidR="008B6FD5">
              <w:rPr>
                <w:rFonts w:eastAsia="Calibri"/>
                <w:sz w:val="20"/>
                <w:szCs w:val="20"/>
              </w:rPr>
              <w:t>9</w:t>
            </w:r>
            <w:r w:rsidR="00FC29ED">
              <w:rPr>
                <w:rFonts w:eastAsia="Calibri"/>
                <w:sz w:val="20"/>
                <w:szCs w:val="20"/>
              </w:rPr>
              <w:t>:</w:t>
            </w:r>
            <w:r w:rsidRPr="00584C6E">
              <w:rPr>
                <w:rFonts w:eastAsia="Calibri"/>
                <w:sz w:val="20"/>
                <w:szCs w:val="20"/>
              </w:rPr>
              <w:t xml:space="preserve"> Figure </w:t>
            </w:r>
            <w:r w:rsidR="00FC29ED">
              <w:rPr>
                <w:rFonts w:eastAsia="Calibri"/>
                <w:sz w:val="20"/>
                <w:szCs w:val="20"/>
              </w:rPr>
              <w:t>5</w:t>
            </w:r>
            <w:r w:rsidRPr="00584C6E">
              <w:rPr>
                <w:rFonts w:eastAsia="Calibri"/>
                <w:sz w:val="20"/>
                <w:szCs w:val="20"/>
              </w:rPr>
              <w:t xml:space="preserve"> </w:t>
            </w:r>
            <w:r w:rsidR="00680D6E" w:rsidRPr="00584C6E">
              <w:rPr>
                <w:rFonts w:eastAsia="Calibri"/>
                <w:sz w:val="20"/>
                <w:szCs w:val="20"/>
              </w:rPr>
              <w:t>d</w:t>
            </w:r>
            <w:r w:rsidRPr="00584C6E">
              <w:rPr>
                <w:rFonts w:eastAsia="Calibri"/>
                <w:sz w:val="20"/>
                <w:szCs w:val="20"/>
              </w:rPr>
              <w:t xml:space="preserve">escriptions </w:t>
            </w:r>
          </w:p>
        </w:tc>
      </w:tr>
      <w:tr w:rsidR="007C28E6" w:rsidRPr="00584C6E" w14:paraId="050D87E2" w14:textId="77777777" w:rsidTr="002A31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676D9D28" w14:textId="77777777" w:rsidR="007C28E6" w:rsidRPr="00584C6E" w:rsidRDefault="007C28E6" w:rsidP="008B6FD5">
            <w:pPr>
              <w:spacing w:line="276" w:lineRule="auto"/>
              <w:rPr>
                <w:b w:val="0"/>
                <w:bCs w:val="0"/>
                <w:sz w:val="20"/>
                <w:szCs w:val="20"/>
              </w:rPr>
            </w:pPr>
            <w:r w:rsidRPr="00584C6E">
              <w:rPr>
                <w:rFonts w:eastAsia="Calibri"/>
                <w:sz w:val="20"/>
                <w:szCs w:val="20"/>
              </w:rPr>
              <w:t xml:space="preserve">Dimension </w:t>
            </w:r>
          </w:p>
        </w:tc>
        <w:tc>
          <w:tcPr>
            <w:tcW w:w="8647" w:type="dxa"/>
          </w:tcPr>
          <w:p w14:paraId="7332F5D3" w14:textId="77777777"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584C6E">
              <w:rPr>
                <w:rFonts w:eastAsia="Calibri"/>
                <w:b/>
                <w:bCs/>
                <w:sz w:val="20"/>
                <w:szCs w:val="20"/>
              </w:rPr>
              <w:t xml:space="preserve">Description </w:t>
            </w:r>
          </w:p>
        </w:tc>
      </w:tr>
      <w:tr w:rsidR="007C28E6" w:rsidRPr="00584C6E" w14:paraId="68B79C08" w14:textId="77777777" w:rsidTr="002A31D1">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73228FB0" w14:textId="77777777" w:rsidR="007C28E6" w:rsidRPr="00584C6E" w:rsidRDefault="007C28E6" w:rsidP="008B6FD5">
            <w:pPr>
              <w:spacing w:line="276" w:lineRule="auto"/>
              <w:rPr>
                <w:sz w:val="20"/>
                <w:szCs w:val="20"/>
              </w:rPr>
            </w:pPr>
            <w:r w:rsidRPr="00584C6E">
              <w:rPr>
                <w:sz w:val="20"/>
                <w:szCs w:val="20"/>
              </w:rPr>
              <w:t>Campus</w:t>
            </w:r>
            <w:r w:rsidRPr="00584C6E">
              <w:rPr>
                <w:rFonts w:eastAsia="Calibri"/>
                <w:sz w:val="20"/>
                <w:szCs w:val="20"/>
              </w:rPr>
              <w:t xml:space="preserve"> </w:t>
            </w:r>
          </w:p>
        </w:tc>
        <w:tc>
          <w:tcPr>
            <w:tcW w:w="8647" w:type="dxa"/>
          </w:tcPr>
          <w:p w14:paraId="0FEF41AF" w14:textId="35120077" w:rsidR="007C28E6" w:rsidRPr="00584C6E" w:rsidRDefault="007C28E6" w:rsidP="008B6FD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Student</w:t>
            </w:r>
            <w:r w:rsidR="00847D13">
              <w:rPr>
                <w:sz w:val="20"/>
                <w:szCs w:val="20"/>
              </w:rPr>
              <w:t>’</w:t>
            </w:r>
            <w:r w:rsidRPr="00584C6E">
              <w:rPr>
                <w:sz w:val="20"/>
                <w:szCs w:val="20"/>
              </w:rPr>
              <w:t>s course attempt campus</w:t>
            </w:r>
            <w:r w:rsidR="00680D6E" w:rsidRPr="00584C6E">
              <w:rPr>
                <w:sz w:val="20"/>
                <w:szCs w:val="20"/>
              </w:rPr>
              <w:t>.</w:t>
            </w:r>
            <w:r w:rsidRPr="00584C6E">
              <w:rPr>
                <w:rFonts w:eastAsia="Calibri"/>
                <w:sz w:val="20"/>
                <w:szCs w:val="20"/>
              </w:rPr>
              <w:t xml:space="preserve"> </w:t>
            </w:r>
          </w:p>
        </w:tc>
      </w:tr>
      <w:tr w:rsidR="007C28E6" w:rsidRPr="00584C6E" w14:paraId="41DF4685" w14:textId="77777777" w:rsidTr="002A31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66E9C75B" w14:textId="77777777" w:rsidR="007C28E6" w:rsidRPr="00584C6E" w:rsidRDefault="007C28E6" w:rsidP="008B6FD5">
            <w:pPr>
              <w:spacing w:line="276" w:lineRule="auto"/>
              <w:rPr>
                <w:sz w:val="20"/>
                <w:szCs w:val="20"/>
              </w:rPr>
            </w:pPr>
            <w:r w:rsidRPr="00584C6E">
              <w:rPr>
                <w:sz w:val="20"/>
                <w:szCs w:val="20"/>
              </w:rPr>
              <w:t>Equity student count</w:t>
            </w:r>
            <w:r w:rsidRPr="00584C6E">
              <w:rPr>
                <w:rFonts w:eastAsia="Calibri"/>
                <w:sz w:val="20"/>
                <w:szCs w:val="20"/>
              </w:rPr>
              <w:t xml:space="preserve"> </w:t>
            </w:r>
          </w:p>
        </w:tc>
        <w:tc>
          <w:tcPr>
            <w:tcW w:w="8647" w:type="dxa"/>
          </w:tcPr>
          <w:p w14:paraId="3191CFD7" w14:textId="5EE2FE23"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Distinct count of all HEPPP</w:t>
            </w:r>
            <w:r w:rsidR="00847D13">
              <w:rPr>
                <w:sz w:val="20"/>
                <w:szCs w:val="20"/>
              </w:rPr>
              <w:t>-</w:t>
            </w:r>
            <w:r w:rsidRPr="00584C6E">
              <w:rPr>
                <w:sz w:val="20"/>
                <w:szCs w:val="20"/>
              </w:rPr>
              <w:t>eligible students at that campus</w:t>
            </w:r>
            <w:r w:rsidR="00680D6E" w:rsidRPr="00584C6E">
              <w:rPr>
                <w:rFonts w:eastAsia="Calibri"/>
                <w:sz w:val="20"/>
                <w:szCs w:val="20"/>
              </w:rPr>
              <w:t>.</w:t>
            </w:r>
          </w:p>
        </w:tc>
      </w:tr>
      <w:tr w:rsidR="007C28E6" w:rsidRPr="00584C6E" w14:paraId="7E1F3895" w14:textId="77777777" w:rsidTr="002A31D1">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2DA126DF" w14:textId="77777777" w:rsidR="007C28E6" w:rsidRPr="00584C6E" w:rsidRDefault="007C28E6" w:rsidP="008B6FD5">
            <w:pPr>
              <w:spacing w:line="276" w:lineRule="auto"/>
              <w:rPr>
                <w:sz w:val="20"/>
                <w:szCs w:val="20"/>
              </w:rPr>
            </w:pPr>
            <w:r w:rsidRPr="00584C6E">
              <w:rPr>
                <w:sz w:val="20"/>
                <w:szCs w:val="20"/>
              </w:rPr>
              <w:t>Equity student participation count</w:t>
            </w:r>
            <w:r w:rsidRPr="00584C6E">
              <w:rPr>
                <w:rFonts w:eastAsia="Calibri"/>
                <w:sz w:val="20"/>
                <w:szCs w:val="20"/>
              </w:rPr>
              <w:t xml:space="preserve"> </w:t>
            </w:r>
          </w:p>
        </w:tc>
        <w:tc>
          <w:tcPr>
            <w:tcW w:w="8647" w:type="dxa"/>
          </w:tcPr>
          <w:p w14:paraId="1A5D0897" w14:textId="0047EA8D" w:rsidR="007C28E6" w:rsidRPr="00584C6E" w:rsidRDefault="007C28E6" w:rsidP="008B6FD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Distinct count of all HEPPP</w:t>
            </w:r>
            <w:r w:rsidR="00847D13">
              <w:rPr>
                <w:sz w:val="20"/>
                <w:szCs w:val="20"/>
              </w:rPr>
              <w:t>-</w:t>
            </w:r>
            <w:r w:rsidRPr="00584C6E">
              <w:rPr>
                <w:sz w:val="20"/>
                <w:szCs w:val="20"/>
              </w:rPr>
              <w:t>eligible students at that campus who participated in</w:t>
            </w:r>
            <w:r w:rsidR="00FD4B75">
              <w:rPr>
                <w:sz w:val="20"/>
                <w:szCs w:val="20"/>
              </w:rPr>
              <w:t xml:space="preserve"> </w:t>
            </w:r>
            <w:r w:rsidR="007C7D2C">
              <w:rPr>
                <w:sz w:val="20"/>
                <w:szCs w:val="20"/>
              </w:rPr>
              <w:t>a HEPPP activity.</w:t>
            </w:r>
          </w:p>
        </w:tc>
      </w:tr>
      <w:tr w:rsidR="007C28E6" w:rsidRPr="00584C6E" w14:paraId="4513271F" w14:textId="77777777" w:rsidTr="002A31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0ECAA105" w14:textId="77777777" w:rsidR="007C28E6" w:rsidRPr="00584C6E" w:rsidRDefault="007C28E6" w:rsidP="008B6FD5">
            <w:pPr>
              <w:spacing w:line="276" w:lineRule="auto"/>
              <w:rPr>
                <w:sz w:val="20"/>
                <w:szCs w:val="20"/>
              </w:rPr>
            </w:pPr>
            <w:r w:rsidRPr="00584C6E">
              <w:rPr>
                <w:sz w:val="20"/>
                <w:szCs w:val="20"/>
              </w:rPr>
              <w:t>Participation rate</w:t>
            </w:r>
            <w:r w:rsidRPr="00584C6E">
              <w:rPr>
                <w:rFonts w:eastAsia="Calibri"/>
                <w:sz w:val="20"/>
                <w:szCs w:val="20"/>
              </w:rPr>
              <w:t xml:space="preserve"> </w:t>
            </w:r>
          </w:p>
        </w:tc>
        <w:tc>
          <w:tcPr>
            <w:tcW w:w="8647" w:type="dxa"/>
          </w:tcPr>
          <w:p w14:paraId="0E8FFE15" w14:textId="6C9B9420"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Percentage of HEPPP</w:t>
            </w:r>
            <w:r w:rsidR="00847D13">
              <w:rPr>
                <w:sz w:val="20"/>
                <w:szCs w:val="20"/>
              </w:rPr>
              <w:t>-</w:t>
            </w:r>
            <w:r w:rsidRPr="00584C6E">
              <w:rPr>
                <w:sz w:val="20"/>
                <w:szCs w:val="20"/>
              </w:rPr>
              <w:t xml:space="preserve">eligible students who participated in </w:t>
            </w:r>
            <w:r w:rsidR="005F526B">
              <w:rPr>
                <w:sz w:val="20"/>
                <w:szCs w:val="20"/>
              </w:rPr>
              <w:t>a HEPPP activity.</w:t>
            </w:r>
          </w:p>
        </w:tc>
      </w:tr>
      <w:tr w:rsidR="007C28E6" w:rsidRPr="00584C6E" w14:paraId="680074D2" w14:textId="77777777" w:rsidTr="002A31D1">
        <w:trPr>
          <w:trHeight w:val="340"/>
        </w:trPr>
        <w:tc>
          <w:tcPr>
            <w:cnfStyle w:val="001000000000" w:firstRow="0" w:lastRow="0" w:firstColumn="1" w:lastColumn="0" w:oddVBand="0" w:evenVBand="0" w:oddHBand="0" w:evenHBand="0" w:firstRowFirstColumn="0" w:firstRowLastColumn="0" w:lastRowFirstColumn="0" w:lastRowLastColumn="0"/>
            <w:tcW w:w="5240" w:type="dxa"/>
          </w:tcPr>
          <w:p w14:paraId="0AD0B2A5" w14:textId="77777777" w:rsidR="007C28E6" w:rsidRPr="00584C6E" w:rsidRDefault="007C28E6" w:rsidP="008B6FD5">
            <w:pPr>
              <w:spacing w:line="276" w:lineRule="auto"/>
              <w:rPr>
                <w:sz w:val="20"/>
                <w:szCs w:val="20"/>
              </w:rPr>
            </w:pPr>
            <w:r w:rsidRPr="00584C6E">
              <w:rPr>
                <w:sz w:val="20"/>
                <w:szCs w:val="20"/>
              </w:rPr>
              <w:t>Success rate of equity students</w:t>
            </w:r>
            <w:r w:rsidRPr="00584C6E">
              <w:rPr>
                <w:rFonts w:eastAsia="Calibri"/>
                <w:sz w:val="20"/>
                <w:szCs w:val="20"/>
              </w:rPr>
              <w:t xml:space="preserve"> </w:t>
            </w:r>
          </w:p>
        </w:tc>
        <w:tc>
          <w:tcPr>
            <w:tcW w:w="8647" w:type="dxa"/>
          </w:tcPr>
          <w:p w14:paraId="03622A61" w14:textId="6CE5DDB3" w:rsidR="007C28E6" w:rsidRPr="00584C6E" w:rsidRDefault="007C28E6" w:rsidP="008B6FD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4C6E">
              <w:rPr>
                <w:sz w:val="20"/>
                <w:szCs w:val="20"/>
              </w:rPr>
              <w:t>Average success rate of all HEPPP</w:t>
            </w:r>
            <w:r w:rsidR="00847D13">
              <w:rPr>
                <w:sz w:val="20"/>
                <w:szCs w:val="20"/>
              </w:rPr>
              <w:t>-</w:t>
            </w:r>
            <w:r w:rsidRPr="00584C6E">
              <w:rPr>
                <w:sz w:val="20"/>
                <w:szCs w:val="20"/>
              </w:rPr>
              <w:t>eligible students</w:t>
            </w:r>
            <w:r w:rsidR="00680D6E" w:rsidRPr="00584C6E">
              <w:rPr>
                <w:rFonts w:eastAsia="Calibri"/>
                <w:sz w:val="20"/>
                <w:szCs w:val="20"/>
              </w:rPr>
              <w:t>.</w:t>
            </w:r>
          </w:p>
        </w:tc>
      </w:tr>
      <w:tr w:rsidR="007C28E6" w:rsidRPr="00584C6E" w14:paraId="12AA527D" w14:textId="77777777" w:rsidTr="002A31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0" w:type="dxa"/>
          </w:tcPr>
          <w:p w14:paraId="748E9538" w14:textId="77777777" w:rsidR="007C28E6" w:rsidRPr="00584C6E" w:rsidRDefault="007C28E6" w:rsidP="008B6FD5">
            <w:pPr>
              <w:spacing w:line="276" w:lineRule="auto"/>
              <w:rPr>
                <w:sz w:val="20"/>
                <w:szCs w:val="20"/>
              </w:rPr>
            </w:pPr>
            <w:r w:rsidRPr="00584C6E">
              <w:rPr>
                <w:sz w:val="20"/>
                <w:szCs w:val="20"/>
              </w:rPr>
              <w:t>Success rate of equity student participants</w:t>
            </w:r>
            <w:r w:rsidRPr="00584C6E">
              <w:rPr>
                <w:rFonts w:eastAsia="Calibri"/>
                <w:sz w:val="20"/>
                <w:szCs w:val="20"/>
              </w:rPr>
              <w:t xml:space="preserve"> </w:t>
            </w:r>
          </w:p>
        </w:tc>
        <w:tc>
          <w:tcPr>
            <w:tcW w:w="8647" w:type="dxa"/>
          </w:tcPr>
          <w:p w14:paraId="1CFF8BFE" w14:textId="215FC5C1" w:rsidR="007C28E6" w:rsidRPr="00584C6E" w:rsidRDefault="007C28E6" w:rsidP="008B6FD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84C6E">
              <w:rPr>
                <w:sz w:val="20"/>
                <w:szCs w:val="20"/>
              </w:rPr>
              <w:t>Average success rate of all HEPPP</w:t>
            </w:r>
            <w:r w:rsidR="00847D13">
              <w:rPr>
                <w:sz w:val="20"/>
                <w:szCs w:val="20"/>
              </w:rPr>
              <w:t>-</w:t>
            </w:r>
            <w:r w:rsidRPr="00584C6E">
              <w:rPr>
                <w:sz w:val="20"/>
                <w:szCs w:val="20"/>
              </w:rPr>
              <w:t xml:space="preserve">eligible students who participated in </w:t>
            </w:r>
            <w:r w:rsidR="005F526B">
              <w:rPr>
                <w:sz w:val="20"/>
                <w:szCs w:val="20"/>
              </w:rPr>
              <w:t xml:space="preserve">a </w:t>
            </w:r>
            <w:r w:rsidRPr="00584C6E">
              <w:rPr>
                <w:sz w:val="20"/>
                <w:szCs w:val="20"/>
              </w:rPr>
              <w:t xml:space="preserve">HEPPP </w:t>
            </w:r>
            <w:r w:rsidR="005F526B">
              <w:rPr>
                <w:sz w:val="20"/>
                <w:szCs w:val="20"/>
              </w:rPr>
              <w:t>activity.</w:t>
            </w:r>
            <w:r w:rsidRPr="00584C6E">
              <w:rPr>
                <w:rFonts w:eastAsia="Calibri"/>
                <w:sz w:val="20"/>
                <w:szCs w:val="20"/>
              </w:rPr>
              <w:t xml:space="preserve"> </w:t>
            </w:r>
          </w:p>
        </w:tc>
      </w:tr>
    </w:tbl>
    <w:p w14:paraId="2B6F5B69" w14:textId="63A73EE3" w:rsidR="006C289D" w:rsidRPr="006C289D" w:rsidRDefault="006C289D" w:rsidP="006C289D">
      <w:pPr>
        <w:rPr>
          <w:lang w:eastAsia="en-AU"/>
        </w:rPr>
      </w:pPr>
    </w:p>
    <w:sectPr w:rsidR="006C289D" w:rsidRPr="006C289D" w:rsidSect="00E325E6">
      <w:headerReference w:type="default" r:id="rId33"/>
      <w:pgSz w:w="16838" w:h="11906" w:orient="landscape"/>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D587" w14:textId="77777777" w:rsidR="00BF40EA" w:rsidRDefault="00BF40EA" w:rsidP="008C7722">
      <w:pPr>
        <w:spacing w:after="0" w:line="240" w:lineRule="auto"/>
      </w:pPr>
      <w:r>
        <w:separator/>
      </w:r>
    </w:p>
  </w:endnote>
  <w:endnote w:type="continuationSeparator" w:id="0">
    <w:p w14:paraId="5814AC2C" w14:textId="77777777" w:rsidR="00BF40EA" w:rsidRDefault="00BF40EA" w:rsidP="008C7722">
      <w:pPr>
        <w:spacing w:after="0" w:line="240" w:lineRule="auto"/>
      </w:pPr>
      <w:r>
        <w:continuationSeparator/>
      </w:r>
    </w:p>
  </w:endnote>
  <w:endnote w:type="continuationNotice" w:id="1">
    <w:p w14:paraId="169AC266" w14:textId="77777777" w:rsidR="00BF40EA" w:rsidRDefault="00BF4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Light">
    <w:altName w:val="Cambria"/>
    <w:panose1 w:val="00000000000000000000"/>
    <w:charset w:val="00"/>
    <w:family w:val="roman"/>
    <w:notTrueType/>
    <w:pitch w:val="default"/>
  </w:font>
  <w:font w:name="Inter">
    <w:altName w:val="Calibri"/>
    <w:charset w:val="00"/>
    <w:family w:val="auto"/>
    <w:pitch w:val="variable"/>
    <w:sig w:usb0="E00002FF" w:usb1="1200A1FF" w:usb2="00000001" w:usb3="00000000" w:csb0="0000019F" w:csb1="00000000"/>
  </w:font>
  <w:font w:name="Inter 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145597"/>
      <w:docPartObj>
        <w:docPartGallery w:val="Page Numbers (Bottom of Page)"/>
        <w:docPartUnique/>
      </w:docPartObj>
    </w:sdtPr>
    <w:sdtEndPr>
      <w:rPr>
        <w:noProof/>
      </w:rPr>
    </w:sdtEndPr>
    <w:sdtContent>
      <w:p w14:paraId="303453F2" w14:textId="1D15924D" w:rsidR="00E325E6" w:rsidRDefault="00E3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F90D2" w14:textId="77777777" w:rsidR="00DB0BD5" w:rsidRDefault="00DB0B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C571" w14:textId="77777777" w:rsidR="00BF40EA" w:rsidRDefault="00BF40EA" w:rsidP="008C7722">
      <w:pPr>
        <w:spacing w:after="0" w:line="240" w:lineRule="auto"/>
      </w:pPr>
      <w:r>
        <w:separator/>
      </w:r>
    </w:p>
  </w:footnote>
  <w:footnote w:type="continuationSeparator" w:id="0">
    <w:p w14:paraId="080BEACC" w14:textId="77777777" w:rsidR="00BF40EA" w:rsidRDefault="00BF40EA" w:rsidP="008C7722">
      <w:pPr>
        <w:spacing w:after="0" w:line="240" w:lineRule="auto"/>
      </w:pPr>
      <w:r>
        <w:continuationSeparator/>
      </w:r>
    </w:p>
  </w:footnote>
  <w:footnote w:type="continuationNotice" w:id="1">
    <w:p w14:paraId="16C6533B" w14:textId="77777777" w:rsidR="00BF40EA" w:rsidRDefault="00BF4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6A21" w14:textId="77777777" w:rsidR="00FB4832" w:rsidRDefault="00FB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1BB"/>
    <w:multiLevelType w:val="hybridMultilevel"/>
    <w:tmpl w:val="100E3A50"/>
    <w:lvl w:ilvl="0" w:tplc="7DEEB7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21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E0FB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E262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479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430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4CC6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A1E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589E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D5E61"/>
    <w:multiLevelType w:val="hybridMultilevel"/>
    <w:tmpl w:val="46AE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C052D"/>
    <w:multiLevelType w:val="hybridMultilevel"/>
    <w:tmpl w:val="8630872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118C5473"/>
    <w:multiLevelType w:val="hybridMultilevel"/>
    <w:tmpl w:val="06CAE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181572"/>
    <w:multiLevelType w:val="hybridMultilevel"/>
    <w:tmpl w:val="D6ECDC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5A1FFA"/>
    <w:multiLevelType w:val="hybridMultilevel"/>
    <w:tmpl w:val="06CE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6467FF"/>
    <w:multiLevelType w:val="hybridMultilevel"/>
    <w:tmpl w:val="C11A7DBA"/>
    <w:lvl w:ilvl="0" w:tplc="C70EF40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18F0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FEA7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612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E73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D6E8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062B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3070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F665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BF6C4C"/>
    <w:multiLevelType w:val="hybridMultilevel"/>
    <w:tmpl w:val="64269F16"/>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C1298E"/>
    <w:multiLevelType w:val="hybridMultilevel"/>
    <w:tmpl w:val="E6722E32"/>
    <w:lvl w:ilvl="0" w:tplc="AD3C66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E85D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56A8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46F3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16E5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A219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E4FB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BE8D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22F4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305D67"/>
    <w:multiLevelType w:val="hybridMultilevel"/>
    <w:tmpl w:val="11847C0C"/>
    <w:lvl w:ilvl="0" w:tplc="16E25E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356DD9"/>
    <w:multiLevelType w:val="hybridMultilevel"/>
    <w:tmpl w:val="C2583F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8AD3E5F"/>
    <w:multiLevelType w:val="hybridMultilevel"/>
    <w:tmpl w:val="1AE2C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C93DDD"/>
    <w:multiLevelType w:val="hybridMultilevel"/>
    <w:tmpl w:val="2B526D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855EC4"/>
    <w:multiLevelType w:val="hybridMultilevel"/>
    <w:tmpl w:val="91A62E0A"/>
    <w:lvl w:ilvl="0" w:tplc="16E25E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62978CC"/>
    <w:multiLevelType w:val="hybridMultilevel"/>
    <w:tmpl w:val="148CB2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5C0B36"/>
    <w:multiLevelType w:val="hybridMultilevel"/>
    <w:tmpl w:val="99E4329C"/>
    <w:lvl w:ilvl="0" w:tplc="16E25E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AE2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7CF4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F80D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BE67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74BA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4CAD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21F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7C66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5C67D2"/>
    <w:multiLevelType w:val="hybridMultilevel"/>
    <w:tmpl w:val="50E0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03583"/>
    <w:multiLevelType w:val="hybridMultilevel"/>
    <w:tmpl w:val="6318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260BD1"/>
    <w:multiLevelType w:val="hybridMultilevel"/>
    <w:tmpl w:val="1DA4653C"/>
    <w:lvl w:ilvl="0" w:tplc="2D2E9A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891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8A0D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D0E3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ED5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4046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8457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ACBE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E8B1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293924"/>
    <w:multiLevelType w:val="hybridMultilevel"/>
    <w:tmpl w:val="A6A6D7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827C3F"/>
    <w:multiLevelType w:val="hybridMultilevel"/>
    <w:tmpl w:val="8BC6B894"/>
    <w:lvl w:ilvl="0" w:tplc="16E25E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D40AD1"/>
    <w:multiLevelType w:val="multilevel"/>
    <w:tmpl w:val="92462812"/>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5528" w:hanging="851"/>
      </w:p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843486C"/>
    <w:multiLevelType w:val="hybridMultilevel"/>
    <w:tmpl w:val="5792F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222E9D"/>
    <w:multiLevelType w:val="hybridMultilevel"/>
    <w:tmpl w:val="D820E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084D31"/>
    <w:multiLevelType w:val="hybridMultilevel"/>
    <w:tmpl w:val="FBC2CFC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9E65B73"/>
    <w:multiLevelType w:val="hybridMultilevel"/>
    <w:tmpl w:val="1CB24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35357"/>
    <w:multiLevelType w:val="hybridMultilevel"/>
    <w:tmpl w:val="FC8C2D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CA2409E"/>
    <w:multiLevelType w:val="hybridMultilevel"/>
    <w:tmpl w:val="DF0A3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8950B3"/>
    <w:multiLevelType w:val="hybridMultilevel"/>
    <w:tmpl w:val="72BCF882"/>
    <w:lvl w:ilvl="0" w:tplc="16E25E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9A53CB"/>
    <w:multiLevelType w:val="hybridMultilevel"/>
    <w:tmpl w:val="A2869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2D3879"/>
    <w:multiLevelType w:val="hybridMultilevel"/>
    <w:tmpl w:val="6EA0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B92FFE"/>
    <w:multiLevelType w:val="hybridMultilevel"/>
    <w:tmpl w:val="DEDAF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3A66FC"/>
    <w:multiLevelType w:val="hybridMultilevel"/>
    <w:tmpl w:val="543263B4"/>
    <w:lvl w:ilvl="0" w:tplc="0C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63103749">
    <w:abstractNumId w:val="21"/>
  </w:num>
  <w:num w:numId="2" w16cid:durableId="252669234">
    <w:abstractNumId w:val="0"/>
  </w:num>
  <w:num w:numId="3" w16cid:durableId="789739395">
    <w:abstractNumId w:val="6"/>
  </w:num>
  <w:num w:numId="4" w16cid:durableId="1350792865">
    <w:abstractNumId w:val="8"/>
  </w:num>
  <w:num w:numId="5" w16cid:durableId="20521351">
    <w:abstractNumId w:val="26"/>
  </w:num>
  <w:num w:numId="6" w16cid:durableId="2042002834">
    <w:abstractNumId w:val="2"/>
  </w:num>
  <w:num w:numId="7" w16cid:durableId="2136440242">
    <w:abstractNumId w:val="15"/>
  </w:num>
  <w:num w:numId="8" w16cid:durableId="1874876916">
    <w:abstractNumId w:val="18"/>
  </w:num>
  <w:num w:numId="9" w16cid:durableId="2088191535">
    <w:abstractNumId w:val="20"/>
  </w:num>
  <w:num w:numId="10" w16cid:durableId="532155435">
    <w:abstractNumId w:val="28"/>
  </w:num>
  <w:num w:numId="11" w16cid:durableId="309528210">
    <w:abstractNumId w:val="13"/>
  </w:num>
  <w:num w:numId="12" w16cid:durableId="515391445">
    <w:abstractNumId w:val="9"/>
  </w:num>
  <w:num w:numId="13" w16cid:durableId="1992781728">
    <w:abstractNumId w:val="3"/>
  </w:num>
  <w:num w:numId="14" w16cid:durableId="21828071">
    <w:abstractNumId w:val="30"/>
  </w:num>
  <w:num w:numId="15" w16cid:durableId="1838500423">
    <w:abstractNumId w:val="19"/>
  </w:num>
  <w:num w:numId="16" w16cid:durableId="913859077">
    <w:abstractNumId w:val="10"/>
  </w:num>
  <w:num w:numId="17" w16cid:durableId="258948710">
    <w:abstractNumId w:val="24"/>
  </w:num>
  <w:num w:numId="18" w16cid:durableId="308755961">
    <w:abstractNumId w:val="32"/>
  </w:num>
  <w:num w:numId="19" w16cid:durableId="324554601">
    <w:abstractNumId w:val="12"/>
  </w:num>
  <w:num w:numId="20" w16cid:durableId="1294095138">
    <w:abstractNumId w:val="4"/>
  </w:num>
  <w:num w:numId="21" w16cid:durableId="1769428974">
    <w:abstractNumId w:val="14"/>
  </w:num>
  <w:num w:numId="22" w16cid:durableId="128087679">
    <w:abstractNumId w:val="11"/>
  </w:num>
  <w:num w:numId="23" w16cid:durableId="724985957">
    <w:abstractNumId w:val="17"/>
  </w:num>
  <w:num w:numId="24" w16cid:durableId="1862425655">
    <w:abstractNumId w:val="25"/>
  </w:num>
  <w:num w:numId="25" w16cid:durableId="1383793155">
    <w:abstractNumId w:val="23"/>
  </w:num>
  <w:num w:numId="26" w16cid:durableId="1401828484">
    <w:abstractNumId w:val="29"/>
  </w:num>
  <w:num w:numId="27" w16cid:durableId="850148344">
    <w:abstractNumId w:val="22"/>
  </w:num>
  <w:num w:numId="28" w16cid:durableId="1396468476">
    <w:abstractNumId w:val="1"/>
  </w:num>
  <w:num w:numId="29" w16cid:durableId="730737358">
    <w:abstractNumId w:val="27"/>
  </w:num>
  <w:num w:numId="30" w16cid:durableId="1896043756">
    <w:abstractNumId w:val="7"/>
  </w:num>
  <w:num w:numId="31" w16cid:durableId="1217424757">
    <w:abstractNumId w:val="31"/>
  </w:num>
  <w:num w:numId="32" w16cid:durableId="200676983">
    <w:abstractNumId w:val="5"/>
  </w:num>
  <w:num w:numId="33" w16cid:durableId="81862117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033F"/>
    <w:rsid w:val="00000F3D"/>
    <w:rsid w:val="00003965"/>
    <w:rsid w:val="00003B06"/>
    <w:rsid w:val="0000449E"/>
    <w:rsid w:val="00004EFE"/>
    <w:rsid w:val="0000568B"/>
    <w:rsid w:val="00005C18"/>
    <w:rsid w:val="00005D18"/>
    <w:rsid w:val="00010EF7"/>
    <w:rsid w:val="00011011"/>
    <w:rsid w:val="0001369A"/>
    <w:rsid w:val="000159D7"/>
    <w:rsid w:val="000162FA"/>
    <w:rsid w:val="000165D1"/>
    <w:rsid w:val="00016F12"/>
    <w:rsid w:val="000217A5"/>
    <w:rsid w:val="000227B4"/>
    <w:rsid w:val="0002350E"/>
    <w:rsid w:val="00023719"/>
    <w:rsid w:val="000239D9"/>
    <w:rsid w:val="00023F89"/>
    <w:rsid w:val="00024627"/>
    <w:rsid w:val="000247C5"/>
    <w:rsid w:val="00024F5E"/>
    <w:rsid w:val="00025B1B"/>
    <w:rsid w:val="00027C72"/>
    <w:rsid w:val="000306AB"/>
    <w:rsid w:val="000311F5"/>
    <w:rsid w:val="0003241C"/>
    <w:rsid w:val="00034885"/>
    <w:rsid w:val="000375A2"/>
    <w:rsid w:val="00037695"/>
    <w:rsid w:val="000406A3"/>
    <w:rsid w:val="0004122F"/>
    <w:rsid w:val="00041BE9"/>
    <w:rsid w:val="00042235"/>
    <w:rsid w:val="00042882"/>
    <w:rsid w:val="000433AE"/>
    <w:rsid w:val="00043DC9"/>
    <w:rsid w:val="00046E24"/>
    <w:rsid w:val="000471A2"/>
    <w:rsid w:val="000506BC"/>
    <w:rsid w:val="00050914"/>
    <w:rsid w:val="00051E86"/>
    <w:rsid w:val="00053511"/>
    <w:rsid w:val="000538F2"/>
    <w:rsid w:val="000546DA"/>
    <w:rsid w:val="00054ECF"/>
    <w:rsid w:val="00055CCC"/>
    <w:rsid w:val="00057AD9"/>
    <w:rsid w:val="00060BAF"/>
    <w:rsid w:val="00061EDD"/>
    <w:rsid w:val="00062144"/>
    <w:rsid w:val="00062BC2"/>
    <w:rsid w:val="000648BB"/>
    <w:rsid w:val="0006553D"/>
    <w:rsid w:val="00066CFB"/>
    <w:rsid w:val="0006730B"/>
    <w:rsid w:val="00070257"/>
    <w:rsid w:val="00071D0A"/>
    <w:rsid w:val="00074F76"/>
    <w:rsid w:val="00075CAF"/>
    <w:rsid w:val="00082AE6"/>
    <w:rsid w:val="00082B38"/>
    <w:rsid w:val="00082CBB"/>
    <w:rsid w:val="00084840"/>
    <w:rsid w:val="00090A7F"/>
    <w:rsid w:val="000919F8"/>
    <w:rsid w:val="000921C2"/>
    <w:rsid w:val="00092DA4"/>
    <w:rsid w:val="00093300"/>
    <w:rsid w:val="00096AD3"/>
    <w:rsid w:val="000972AE"/>
    <w:rsid w:val="000A0740"/>
    <w:rsid w:val="000A074B"/>
    <w:rsid w:val="000A21B9"/>
    <w:rsid w:val="000A4201"/>
    <w:rsid w:val="000A4C6A"/>
    <w:rsid w:val="000A6076"/>
    <w:rsid w:val="000A7189"/>
    <w:rsid w:val="000B01DE"/>
    <w:rsid w:val="000B122E"/>
    <w:rsid w:val="000B191C"/>
    <w:rsid w:val="000B1B7B"/>
    <w:rsid w:val="000B2DA3"/>
    <w:rsid w:val="000B3EDB"/>
    <w:rsid w:val="000C01FE"/>
    <w:rsid w:val="000C13A1"/>
    <w:rsid w:val="000C14C5"/>
    <w:rsid w:val="000C2F1A"/>
    <w:rsid w:val="000C3C31"/>
    <w:rsid w:val="000C4932"/>
    <w:rsid w:val="000C5B4C"/>
    <w:rsid w:val="000C611D"/>
    <w:rsid w:val="000C6EF9"/>
    <w:rsid w:val="000D062E"/>
    <w:rsid w:val="000D10AA"/>
    <w:rsid w:val="000D1D41"/>
    <w:rsid w:val="000D2241"/>
    <w:rsid w:val="000D2D17"/>
    <w:rsid w:val="000D2E14"/>
    <w:rsid w:val="000D3124"/>
    <w:rsid w:val="000D39E3"/>
    <w:rsid w:val="000D51AF"/>
    <w:rsid w:val="000D5F41"/>
    <w:rsid w:val="000E0322"/>
    <w:rsid w:val="000E0A14"/>
    <w:rsid w:val="000E1D50"/>
    <w:rsid w:val="000E342D"/>
    <w:rsid w:val="000E44D5"/>
    <w:rsid w:val="000E5E0C"/>
    <w:rsid w:val="000E5F70"/>
    <w:rsid w:val="000E6675"/>
    <w:rsid w:val="000E7956"/>
    <w:rsid w:val="000F125C"/>
    <w:rsid w:val="000F2409"/>
    <w:rsid w:val="000F2A1C"/>
    <w:rsid w:val="000F4F0D"/>
    <w:rsid w:val="000F5FBF"/>
    <w:rsid w:val="000F62A1"/>
    <w:rsid w:val="000F6463"/>
    <w:rsid w:val="000F6FF9"/>
    <w:rsid w:val="00100349"/>
    <w:rsid w:val="00101301"/>
    <w:rsid w:val="00101B64"/>
    <w:rsid w:val="0010350E"/>
    <w:rsid w:val="001039FB"/>
    <w:rsid w:val="00105BBD"/>
    <w:rsid w:val="00107719"/>
    <w:rsid w:val="00107D8F"/>
    <w:rsid w:val="00107E0E"/>
    <w:rsid w:val="0011392C"/>
    <w:rsid w:val="001140F6"/>
    <w:rsid w:val="0011523C"/>
    <w:rsid w:val="00116D91"/>
    <w:rsid w:val="00120261"/>
    <w:rsid w:val="001205F8"/>
    <w:rsid w:val="0012209F"/>
    <w:rsid w:val="00123E25"/>
    <w:rsid w:val="0012529B"/>
    <w:rsid w:val="0012578D"/>
    <w:rsid w:val="00125FAF"/>
    <w:rsid w:val="001262F6"/>
    <w:rsid w:val="001272F6"/>
    <w:rsid w:val="0013016C"/>
    <w:rsid w:val="00131094"/>
    <w:rsid w:val="00131863"/>
    <w:rsid w:val="00134827"/>
    <w:rsid w:val="00140A1E"/>
    <w:rsid w:val="0014231F"/>
    <w:rsid w:val="0014272D"/>
    <w:rsid w:val="00143567"/>
    <w:rsid w:val="0015066A"/>
    <w:rsid w:val="00150A52"/>
    <w:rsid w:val="00153AC1"/>
    <w:rsid w:val="00153BF4"/>
    <w:rsid w:val="001540BC"/>
    <w:rsid w:val="00154474"/>
    <w:rsid w:val="00154A51"/>
    <w:rsid w:val="00154B6A"/>
    <w:rsid w:val="00164198"/>
    <w:rsid w:val="00164D86"/>
    <w:rsid w:val="00165389"/>
    <w:rsid w:val="00166DA0"/>
    <w:rsid w:val="001727A8"/>
    <w:rsid w:val="00175448"/>
    <w:rsid w:val="00176622"/>
    <w:rsid w:val="001802F4"/>
    <w:rsid w:val="001805F5"/>
    <w:rsid w:val="00181ED3"/>
    <w:rsid w:val="00182767"/>
    <w:rsid w:val="00183712"/>
    <w:rsid w:val="0018695A"/>
    <w:rsid w:val="00187FC0"/>
    <w:rsid w:val="0019002A"/>
    <w:rsid w:val="00191089"/>
    <w:rsid w:val="00191188"/>
    <w:rsid w:val="00191214"/>
    <w:rsid w:val="00192F8E"/>
    <w:rsid w:val="00193667"/>
    <w:rsid w:val="00195D4B"/>
    <w:rsid w:val="00196562"/>
    <w:rsid w:val="001973A7"/>
    <w:rsid w:val="001979EA"/>
    <w:rsid w:val="001A0252"/>
    <w:rsid w:val="001A02DA"/>
    <w:rsid w:val="001A047B"/>
    <w:rsid w:val="001A43EE"/>
    <w:rsid w:val="001A44FD"/>
    <w:rsid w:val="001A6F58"/>
    <w:rsid w:val="001A71C8"/>
    <w:rsid w:val="001A73B1"/>
    <w:rsid w:val="001A7C1D"/>
    <w:rsid w:val="001A7FEB"/>
    <w:rsid w:val="001B0996"/>
    <w:rsid w:val="001B1546"/>
    <w:rsid w:val="001B1ABC"/>
    <w:rsid w:val="001B2170"/>
    <w:rsid w:val="001B25ED"/>
    <w:rsid w:val="001B55A4"/>
    <w:rsid w:val="001B6401"/>
    <w:rsid w:val="001B671B"/>
    <w:rsid w:val="001B7E4D"/>
    <w:rsid w:val="001C101D"/>
    <w:rsid w:val="001C16DE"/>
    <w:rsid w:val="001C2EBE"/>
    <w:rsid w:val="001C3766"/>
    <w:rsid w:val="001C48C4"/>
    <w:rsid w:val="001C4995"/>
    <w:rsid w:val="001C63AE"/>
    <w:rsid w:val="001C798A"/>
    <w:rsid w:val="001D165D"/>
    <w:rsid w:val="001D209E"/>
    <w:rsid w:val="001D31EC"/>
    <w:rsid w:val="001D33E4"/>
    <w:rsid w:val="001D4041"/>
    <w:rsid w:val="001D5685"/>
    <w:rsid w:val="001E1052"/>
    <w:rsid w:val="001E258A"/>
    <w:rsid w:val="001E27F9"/>
    <w:rsid w:val="001E4776"/>
    <w:rsid w:val="001E513F"/>
    <w:rsid w:val="001E5146"/>
    <w:rsid w:val="001E6ED0"/>
    <w:rsid w:val="001F0690"/>
    <w:rsid w:val="001F072D"/>
    <w:rsid w:val="001F2FEB"/>
    <w:rsid w:val="001F3D1E"/>
    <w:rsid w:val="001F4E4D"/>
    <w:rsid w:val="001F70D7"/>
    <w:rsid w:val="0020061E"/>
    <w:rsid w:val="0020182C"/>
    <w:rsid w:val="00201B99"/>
    <w:rsid w:val="00202032"/>
    <w:rsid w:val="00204D57"/>
    <w:rsid w:val="0020522C"/>
    <w:rsid w:val="00205742"/>
    <w:rsid w:val="002057C9"/>
    <w:rsid w:val="00205879"/>
    <w:rsid w:val="00212AEF"/>
    <w:rsid w:val="00212C64"/>
    <w:rsid w:val="002151E5"/>
    <w:rsid w:val="00216A0C"/>
    <w:rsid w:val="0021703B"/>
    <w:rsid w:val="0021762B"/>
    <w:rsid w:val="00217E6A"/>
    <w:rsid w:val="00220BB7"/>
    <w:rsid w:val="00221656"/>
    <w:rsid w:val="0022195C"/>
    <w:rsid w:val="00222FC3"/>
    <w:rsid w:val="00224729"/>
    <w:rsid w:val="0022552D"/>
    <w:rsid w:val="00230194"/>
    <w:rsid w:val="00230479"/>
    <w:rsid w:val="002307C0"/>
    <w:rsid w:val="00231B54"/>
    <w:rsid w:val="00232A53"/>
    <w:rsid w:val="00232BD9"/>
    <w:rsid w:val="00237FF2"/>
    <w:rsid w:val="002415DD"/>
    <w:rsid w:val="002420A5"/>
    <w:rsid w:val="0024225E"/>
    <w:rsid w:val="0024230B"/>
    <w:rsid w:val="00243621"/>
    <w:rsid w:val="00244A73"/>
    <w:rsid w:val="0024528E"/>
    <w:rsid w:val="002501DA"/>
    <w:rsid w:val="00250806"/>
    <w:rsid w:val="00250CC0"/>
    <w:rsid w:val="0025338E"/>
    <w:rsid w:val="00254C8F"/>
    <w:rsid w:val="002554E2"/>
    <w:rsid w:val="00255BE0"/>
    <w:rsid w:val="0025716D"/>
    <w:rsid w:val="00257D54"/>
    <w:rsid w:val="00261B81"/>
    <w:rsid w:val="002633E4"/>
    <w:rsid w:val="002659EC"/>
    <w:rsid w:val="00265FD8"/>
    <w:rsid w:val="00267904"/>
    <w:rsid w:val="002705D6"/>
    <w:rsid w:val="002707CA"/>
    <w:rsid w:val="002717F0"/>
    <w:rsid w:val="00271D48"/>
    <w:rsid w:val="002729B5"/>
    <w:rsid w:val="00275021"/>
    <w:rsid w:val="00275026"/>
    <w:rsid w:val="002763CD"/>
    <w:rsid w:val="00276E19"/>
    <w:rsid w:val="00281AF3"/>
    <w:rsid w:val="00283A2C"/>
    <w:rsid w:val="00283DC9"/>
    <w:rsid w:val="0028615F"/>
    <w:rsid w:val="00286AD7"/>
    <w:rsid w:val="002914F8"/>
    <w:rsid w:val="00292733"/>
    <w:rsid w:val="00292FA8"/>
    <w:rsid w:val="002938BC"/>
    <w:rsid w:val="00293E6E"/>
    <w:rsid w:val="00293FAA"/>
    <w:rsid w:val="00297425"/>
    <w:rsid w:val="00297613"/>
    <w:rsid w:val="00297771"/>
    <w:rsid w:val="002A0AF3"/>
    <w:rsid w:val="002A0D84"/>
    <w:rsid w:val="002A0F41"/>
    <w:rsid w:val="002A1325"/>
    <w:rsid w:val="002A1946"/>
    <w:rsid w:val="002A1A39"/>
    <w:rsid w:val="002A1DB4"/>
    <w:rsid w:val="002A23A1"/>
    <w:rsid w:val="002A31D1"/>
    <w:rsid w:val="002A3482"/>
    <w:rsid w:val="002A7028"/>
    <w:rsid w:val="002B07AA"/>
    <w:rsid w:val="002B0C7F"/>
    <w:rsid w:val="002B22AE"/>
    <w:rsid w:val="002B2493"/>
    <w:rsid w:val="002B4A9D"/>
    <w:rsid w:val="002C2C45"/>
    <w:rsid w:val="002C428E"/>
    <w:rsid w:val="002C4E33"/>
    <w:rsid w:val="002D0BD4"/>
    <w:rsid w:val="002D1540"/>
    <w:rsid w:val="002D37C3"/>
    <w:rsid w:val="002D5962"/>
    <w:rsid w:val="002E0FB3"/>
    <w:rsid w:val="002E1CF4"/>
    <w:rsid w:val="002E211E"/>
    <w:rsid w:val="002E624B"/>
    <w:rsid w:val="002E707D"/>
    <w:rsid w:val="002F1FD3"/>
    <w:rsid w:val="002F42EB"/>
    <w:rsid w:val="002F521D"/>
    <w:rsid w:val="002F65B0"/>
    <w:rsid w:val="002F7FE9"/>
    <w:rsid w:val="00300F45"/>
    <w:rsid w:val="003011FB"/>
    <w:rsid w:val="00301706"/>
    <w:rsid w:val="00302283"/>
    <w:rsid w:val="00302CC4"/>
    <w:rsid w:val="003047BE"/>
    <w:rsid w:val="00310205"/>
    <w:rsid w:val="003107D4"/>
    <w:rsid w:val="00311073"/>
    <w:rsid w:val="00312529"/>
    <w:rsid w:val="00315479"/>
    <w:rsid w:val="00316A87"/>
    <w:rsid w:val="003202AF"/>
    <w:rsid w:val="00320E92"/>
    <w:rsid w:val="00323201"/>
    <w:rsid w:val="00323DDD"/>
    <w:rsid w:val="00324BE3"/>
    <w:rsid w:val="0032540A"/>
    <w:rsid w:val="00326469"/>
    <w:rsid w:val="0032744B"/>
    <w:rsid w:val="003278E6"/>
    <w:rsid w:val="00330927"/>
    <w:rsid w:val="00331736"/>
    <w:rsid w:val="00333745"/>
    <w:rsid w:val="00336301"/>
    <w:rsid w:val="003411AC"/>
    <w:rsid w:val="00341F4E"/>
    <w:rsid w:val="003436F4"/>
    <w:rsid w:val="0034488C"/>
    <w:rsid w:val="00345974"/>
    <w:rsid w:val="00352970"/>
    <w:rsid w:val="003529E4"/>
    <w:rsid w:val="00352B1E"/>
    <w:rsid w:val="003555D5"/>
    <w:rsid w:val="003571D7"/>
    <w:rsid w:val="00360BD5"/>
    <w:rsid w:val="00361636"/>
    <w:rsid w:val="003620A6"/>
    <w:rsid w:val="00362E7F"/>
    <w:rsid w:val="003642D9"/>
    <w:rsid w:val="003650E4"/>
    <w:rsid w:val="003659C1"/>
    <w:rsid w:val="00365A19"/>
    <w:rsid w:val="00366122"/>
    <w:rsid w:val="00373642"/>
    <w:rsid w:val="0037434E"/>
    <w:rsid w:val="003764CE"/>
    <w:rsid w:val="003764F2"/>
    <w:rsid w:val="0037694A"/>
    <w:rsid w:val="0038158F"/>
    <w:rsid w:val="003820CD"/>
    <w:rsid w:val="003825D7"/>
    <w:rsid w:val="003839DC"/>
    <w:rsid w:val="00383B65"/>
    <w:rsid w:val="00383E7E"/>
    <w:rsid w:val="00384870"/>
    <w:rsid w:val="00384A25"/>
    <w:rsid w:val="00384DB6"/>
    <w:rsid w:val="00385AF6"/>
    <w:rsid w:val="003879C7"/>
    <w:rsid w:val="003910C2"/>
    <w:rsid w:val="00391669"/>
    <w:rsid w:val="00393AA1"/>
    <w:rsid w:val="00393EBD"/>
    <w:rsid w:val="00394C7D"/>
    <w:rsid w:val="0039556C"/>
    <w:rsid w:val="0039593B"/>
    <w:rsid w:val="0039764B"/>
    <w:rsid w:val="003A0314"/>
    <w:rsid w:val="003A06EB"/>
    <w:rsid w:val="003A2046"/>
    <w:rsid w:val="003A357B"/>
    <w:rsid w:val="003A43F9"/>
    <w:rsid w:val="003A51FC"/>
    <w:rsid w:val="003A57CE"/>
    <w:rsid w:val="003A6DA1"/>
    <w:rsid w:val="003A7372"/>
    <w:rsid w:val="003B07DB"/>
    <w:rsid w:val="003B0DE3"/>
    <w:rsid w:val="003B18F3"/>
    <w:rsid w:val="003B3BEA"/>
    <w:rsid w:val="003B42C6"/>
    <w:rsid w:val="003B624F"/>
    <w:rsid w:val="003B6A3E"/>
    <w:rsid w:val="003C14F5"/>
    <w:rsid w:val="003C429C"/>
    <w:rsid w:val="003C52DB"/>
    <w:rsid w:val="003C5994"/>
    <w:rsid w:val="003C5C7C"/>
    <w:rsid w:val="003C6099"/>
    <w:rsid w:val="003C72F7"/>
    <w:rsid w:val="003D1D33"/>
    <w:rsid w:val="003D3F8D"/>
    <w:rsid w:val="003D4698"/>
    <w:rsid w:val="003D55B4"/>
    <w:rsid w:val="003E0E63"/>
    <w:rsid w:val="003E2144"/>
    <w:rsid w:val="003E3AAC"/>
    <w:rsid w:val="003E457B"/>
    <w:rsid w:val="003E583E"/>
    <w:rsid w:val="003E726B"/>
    <w:rsid w:val="003E7319"/>
    <w:rsid w:val="003E7836"/>
    <w:rsid w:val="003F1674"/>
    <w:rsid w:val="003F2EED"/>
    <w:rsid w:val="003F3DB1"/>
    <w:rsid w:val="003F47CB"/>
    <w:rsid w:val="003F539D"/>
    <w:rsid w:val="003F5CD0"/>
    <w:rsid w:val="003F677C"/>
    <w:rsid w:val="003F749C"/>
    <w:rsid w:val="00400598"/>
    <w:rsid w:val="0040205C"/>
    <w:rsid w:val="004040F1"/>
    <w:rsid w:val="00404123"/>
    <w:rsid w:val="0040414E"/>
    <w:rsid w:val="004120A0"/>
    <w:rsid w:val="00413196"/>
    <w:rsid w:val="0041483B"/>
    <w:rsid w:val="00415CEF"/>
    <w:rsid w:val="0041691A"/>
    <w:rsid w:val="00421ABA"/>
    <w:rsid w:val="00422FC2"/>
    <w:rsid w:val="00423A49"/>
    <w:rsid w:val="00423D94"/>
    <w:rsid w:val="00423FE4"/>
    <w:rsid w:val="004256CA"/>
    <w:rsid w:val="00425B34"/>
    <w:rsid w:val="00425BCD"/>
    <w:rsid w:val="004279C2"/>
    <w:rsid w:val="00427C04"/>
    <w:rsid w:val="00427C5C"/>
    <w:rsid w:val="00430CCB"/>
    <w:rsid w:val="00434071"/>
    <w:rsid w:val="00437A99"/>
    <w:rsid w:val="00437CD0"/>
    <w:rsid w:val="0044112C"/>
    <w:rsid w:val="004412CB"/>
    <w:rsid w:val="00442647"/>
    <w:rsid w:val="00442C65"/>
    <w:rsid w:val="00442D14"/>
    <w:rsid w:val="004434AC"/>
    <w:rsid w:val="00444649"/>
    <w:rsid w:val="00444DC6"/>
    <w:rsid w:val="004456A7"/>
    <w:rsid w:val="0045041F"/>
    <w:rsid w:val="004519A3"/>
    <w:rsid w:val="00453AE1"/>
    <w:rsid w:val="00454070"/>
    <w:rsid w:val="0045436D"/>
    <w:rsid w:val="0045594C"/>
    <w:rsid w:val="00456ED3"/>
    <w:rsid w:val="004576A6"/>
    <w:rsid w:val="00460127"/>
    <w:rsid w:val="0046280B"/>
    <w:rsid w:val="00462815"/>
    <w:rsid w:val="00462B7D"/>
    <w:rsid w:val="004630CE"/>
    <w:rsid w:val="004634CC"/>
    <w:rsid w:val="004634DD"/>
    <w:rsid w:val="00463E33"/>
    <w:rsid w:val="00463FB5"/>
    <w:rsid w:val="004653ED"/>
    <w:rsid w:val="00466017"/>
    <w:rsid w:val="00472A4B"/>
    <w:rsid w:val="00473761"/>
    <w:rsid w:val="00473793"/>
    <w:rsid w:val="00473D59"/>
    <w:rsid w:val="0047724D"/>
    <w:rsid w:val="00477426"/>
    <w:rsid w:val="00480CBF"/>
    <w:rsid w:val="00481AED"/>
    <w:rsid w:val="00481EB0"/>
    <w:rsid w:val="004840BE"/>
    <w:rsid w:val="00484F32"/>
    <w:rsid w:val="004857DA"/>
    <w:rsid w:val="00485A7A"/>
    <w:rsid w:val="00492AC3"/>
    <w:rsid w:val="00493058"/>
    <w:rsid w:val="00493D21"/>
    <w:rsid w:val="00493E73"/>
    <w:rsid w:val="00496F6C"/>
    <w:rsid w:val="00497016"/>
    <w:rsid w:val="004A15E9"/>
    <w:rsid w:val="004B23E0"/>
    <w:rsid w:val="004B32D4"/>
    <w:rsid w:val="004B3479"/>
    <w:rsid w:val="004B40E7"/>
    <w:rsid w:val="004B6A7E"/>
    <w:rsid w:val="004B72BF"/>
    <w:rsid w:val="004B7B18"/>
    <w:rsid w:val="004B7B84"/>
    <w:rsid w:val="004C7871"/>
    <w:rsid w:val="004D0F42"/>
    <w:rsid w:val="004D202E"/>
    <w:rsid w:val="004D3779"/>
    <w:rsid w:val="004D3FD7"/>
    <w:rsid w:val="004D5AA1"/>
    <w:rsid w:val="004D68D0"/>
    <w:rsid w:val="004D7858"/>
    <w:rsid w:val="004D7917"/>
    <w:rsid w:val="004D7A0D"/>
    <w:rsid w:val="004E0C8A"/>
    <w:rsid w:val="004E36CD"/>
    <w:rsid w:val="004E60CE"/>
    <w:rsid w:val="004E62C2"/>
    <w:rsid w:val="004E66DA"/>
    <w:rsid w:val="004E7028"/>
    <w:rsid w:val="004E7375"/>
    <w:rsid w:val="004E7E12"/>
    <w:rsid w:val="004E7EC7"/>
    <w:rsid w:val="004F0D91"/>
    <w:rsid w:val="004F3CC1"/>
    <w:rsid w:val="004F55AA"/>
    <w:rsid w:val="004F596D"/>
    <w:rsid w:val="004F7A38"/>
    <w:rsid w:val="004F7A51"/>
    <w:rsid w:val="004F7E83"/>
    <w:rsid w:val="004F7F59"/>
    <w:rsid w:val="005007A9"/>
    <w:rsid w:val="00500DE8"/>
    <w:rsid w:val="0050391A"/>
    <w:rsid w:val="005133C5"/>
    <w:rsid w:val="005134D2"/>
    <w:rsid w:val="00515FF2"/>
    <w:rsid w:val="005167A5"/>
    <w:rsid w:val="0052791C"/>
    <w:rsid w:val="005308A5"/>
    <w:rsid w:val="005312E8"/>
    <w:rsid w:val="00531FC8"/>
    <w:rsid w:val="00531FD9"/>
    <w:rsid w:val="00534127"/>
    <w:rsid w:val="00536CBB"/>
    <w:rsid w:val="00545737"/>
    <w:rsid w:val="00545994"/>
    <w:rsid w:val="00545E05"/>
    <w:rsid w:val="00546A88"/>
    <w:rsid w:val="00546DE8"/>
    <w:rsid w:val="00547C03"/>
    <w:rsid w:val="00547F35"/>
    <w:rsid w:val="00550189"/>
    <w:rsid w:val="00550DCF"/>
    <w:rsid w:val="005520E7"/>
    <w:rsid w:val="005522EB"/>
    <w:rsid w:val="005529E6"/>
    <w:rsid w:val="005532A6"/>
    <w:rsid w:val="00553459"/>
    <w:rsid w:val="00553A89"/>
    <w:rsid w:val="005578E4"/>
    <w:rsid w:val="00557C8C"/>
    <w:rsid w:val="00560048"/>
    <w:rsid w:val="0056028D"/>
    <w:rsid w:val="0056061D"/>
    <w:rsid w:val="00561211"/>
    <w:rsid w:val="005613B3"/>
    <w:rsid w:val="00561722"/>
    <w:rsid w:val="0056219C"/>
    <w:rsid w:val="0056279B"/>
    <w:rsid w:val="0056305E"/>
    <w:rsid w:val="00565097"/>
    <w:rsid w:val="005654D9"/>
    <w:rsid w:val="00565551"/>
    <w:rsid w:val="005659FA"/>
    <w:rsid w:val="005702CD"/>
    <w:rsid w:val="00570C0F"/>
    <w:rsid w:val="00570E9B"/>
    <w:rsid w:val="00571754"/>
    <w:rsid w:val="00573E2F"/>
    <w:rsid w:val="0057487C"/>
    <w:rsid w:val="00574BA2"/>
    <w:rsid w:val="0057585A"/>
    <w:rsid w:val="00575CE1"/>
    <w:rsid w:val="005765EF"/>
    <w:rsid w:val="00580A3A"/>
    <w:rsid w:val="005822F6"/>
    <w:rsid w:val="005829E9"/>
    <w:rsid w:val="005845D0"/>
    <w:rsid w:val="00584C6E"/>
    <w:rsid w:val="00584DA9"/>
    <w:rsid w:val="00594A86"/>
    <w:rsid w:val="00595B59"/>
    <w:rsid w:val="00595EA7"/>
    <w:rsid w:val="005A0C19"/>
    <w:rsid w:val="005A2A30"/>
    <w:rsid w:val="005A2E57"/>
    <w:rsid w:val="005A34FD"/>
    <w:rsid w:val="005A4D47"/>
    <w:rsid w:val="005A4F54"/>
    <w:rsid w:val="005A5AAE"/>
    <w:rsid w:val="005A6320"/>
    <w:rsid w:val="005A6C82"/>
    <w:rsid w:val="005B0E27"/>
    <w:rsid w:val="005B25C0"/>
    <w:rsid w:val="005B316E"/>
    <w:rsid w:val="005B45CB"/>
    <w:rsid w:val="005B4803"/>
    <w:rsid w:val="005B559A"/>
    <w:rsid w:val="005B647D"/>
    <w:rsid w:val="005C0ECC"/>
    <w:rsid w:val="005C2C0D"/>
    <w:rsid w:val="005C54C9"/>
    <w:rsid w:val="005C7F4D"/>
    <w:rsid w:val="005D039B"/>
    <w:rsid w:val="005D0F93"/>
    <w:rsid w:val="005D2649"/>
    <w:rsid w:val="005D3B56"/>
    <w:rsid w:val="005D5196"/>
    <w:rsid w:val="005D53D5"/>
    <w:rsid w:val="005D6E9E"/>
    <w:rsid w:val="005D7D09"/>
    <w:rsid w:val="005E137E"/>
    <w:rsid w:val="005E1DF2"/>
    <w:rsid w:val="005E3065"/>
    <w:rsid w:val="005E4280"/>
    <w:rsid w:val="005E497A"/>
    <w:rsid w:val="005E4CF2"/>
    <w:rsid w:val="005E500F"/>
    <w:rsid w:val="005E5070"/>
    <w:rsid w:val="005E5E4D"/>
    <w:rsid w:val="005E7247"/>
    <w:rsid w:val="005E7285"/>
    <w:rsid w:val="005E7E8B"/>
    <w:rsid w:val="005F0EEA"/>
    <w:rsid w:val="005F16CC"/>
    <w:rsid w:val="005F1CD0"/>
    <w:rsid w:val="005F4CE9"/>
    <w:rsid w:val="005F526B"/>
    <w:rsid w:val="005F61D5"/>
    <w:rsid w:val="005F61F4"/>
    <w:rsid w:val="005F7B63"/>
    <w:rsid w:val="00602109"/>
    <w:rsid w:val="006033F2"/>
    <w:rsid w:val="00603A90"/>
    <w:rsid w:val="00605C79"/>
    <w:rsid w:val="0061013B"/>
    <w:rsid w:val="00610DEF"/>
    <w:rsid w:val="00613118"/>
    <w:rsid w:val="00614F20"/>
    <w:rsid w:val="00615AF2"/>
    <w:rsid w:val="00616C3C"/>
    <w:rsid w:val="006173B2"/>
    <w:rsid w:val="00617EC8"/>
    <w:rsid w:val="006204C2"/>
    <w:rsid w:val="00621A3C"/>
    <w:rsid w:val="00621B72"/>
    <w:rsid w:val="00622359"/>
    <w:rsid w:val="00622B37"/>
    <w:rsid w:val="00622EE1"/>
    <w:rsid w:val="00622FAD"/>
    <w:rsid w:val="00624202"/>
    <w:rsid w:val="006278A2"/>
    <w:rsid w:val="0063027A"/>
    <w:rsid w:val="0063042D"/>
    <w:rsid w:val="00631F4E"/>
    <w:rsid w:val="00634581"/>
    <w:rsid w:val="00634780"/>
    <w:rsid w:val="00635027"/>
    <w:rsid w:val="00635D06"/>
    <w:rsid w:val="00635D21"/>
    <w:rsid w:val="00636868"/>
    <w:rsid w:val="00642DD0"/>
    <w:rsid w:val="006436A2"/>
    <w:rsid w:val="006457E1"/>
    <w:rsid w:val="00646134"/>
    <w:rsid w:val="006473EC"/>
    <w:rsid w:val="00647885"/>
    <w:rsid w:val="0065045C"/>
    <w:rsid w:val="00653B15"/>
    <w:rsid w:val="00654542"/>
    <w:rsid w:val="006546BA"/>
    <w:rsid w:val="006557AA"/>
    <w:rsid w:val="006559AA"/>
    <w:rsid w:val="00655C63"/>
    <w:rsid w:val="00657961"/>
    <w:rsid w:val="00660B2F"/>
    <w:rsid w:val="00660B4F"/>
    <w:rsid w:val="006614F5"/>
    <w:rsid w:val="00662981"/>
    <w:rsid w:val="00670D59"/>
    <w:rsid w:val="00670EFE"/>
    <w:rsid w:val="0067197A"/>
    <w:rsid w:val="00671EE7"/>
    <w:rsid w:val="006725CF"/>
    <w:rsid w:val="006737A5"/>
    <w:rsid w:val="006750E2"/>
    <w:rsid w:val="006764CE"/>
    <w:rsid w:val="0067730A"/>
    <w:rsid w:val="0067744F"/>
    <w:rsid w:val="00680D6E"/>
    <w:rsid w:val="00680D7A"/>
    <w:rsid w:val="00681C63"/>
    <w:rsid w:val="006829CF"/>
    <w:rsid w:val="00682F98"/>
    <w:rsid w:val="00684BE7"/>
    <w:rsid w:val="00684CDC"/>
    <w:rsid w:val="00687731"/>
    <w:rsid w:val="006906A9"/>
    <w:rsid w:val="006907D0"/>
    <w:rsid w:val="00691DBF"/>
    <w:rsid w:val="0069320E"/>
    <w:rsid w:val="0069395B"/>
    <w:rsid w:val="00697129"/>
    <w:rsid w:val="006979C0"/>
    <w:rsid w:val="006A426D"/>
    <w:rsid w:val="006A4F9D"/>
    <w:rsid w:val="006A5056"/>
    <w:rsid w:val="006A535F"/>
    <w:rsid w:val="006A5BA9"/>
    <w:rsid w:val="006A6E99"/>
    <w:rsid w:val="006B0106"/>
    <w:rsid w:val="006B0321"/>
    <w:rsid w:val="006B12FD"/>
    <w:rsid w:val="006B251C"/>
    <w:rsid w:val="006B2DE7"/>
    <w:rsid w:val="006B2FE2"/>
    <w:rsid w:val="006B3350"/>
    <w:rsid w:val="006B3F6C"/>
    <w:rsid w:val="006B5546"/>
    <w:rsid w:val="006B75E4"/>
    <w:rsid w:val="006C1860"/>
    <w:rsid w:val="006C1892"/>
    <w:rsid w:val="006C289D"/>
    <w:rsid w:val="006C3480"/>
    <w:rsid w:val="006C3702"/>
    <w:rsid w:val="006C3882"/>
    <w:rsid w:val="006C47F9"/>
    <w:rsid w:val="006C4976"/>
    <w:rsid w:val="006C4BF4"/>
    <w:rsid w:val="006D0705"/>
    <w:rsid w:val="006D0773"/>
    <w:rsid w:val="006D0D1A"/>
    <w:rsid w:val="006D13B2"/>
    <w:rsid w:val="006D1A93"/>
    <w:rsid w:val="006D3DFA"/>
    <w:rsid w:val="006D6FE3"/>
    <w:rsid w:val="006E1C9A"/>
    <w:rsid w:val="006E2CCA"/>
    <w:rsid w:val="006E57D4"/>
    <w:rsid w:val="006E5FA9"/>
    <w:rsid w:val="006E7498"/>
    <w:rsid w:val="006E7AA7"/>
    <w:rsid w:val="006E7B03"/>
    <w:rsid w:val="006F0412"/>
    <w:rsid w:val="006F19B8"/>
    <w:rsid w:val="006F40A9"/>
    <w:rsid w:val="006F4F3B"/>
    <w:rsid w:val="006F50BC"/>
    <w:rsid w:val="006F57BE"/>
    <w:rsid w:val="006F714B"/>
    <w:rsid w:val="006F7F31"/>
    <w:rsid w:val="00701D0B"/>
    <w:rsid w:val="0070211E"/>
    <w:rsid w:val="00704669"/>
    <w:rsid w:val="00706259"/>
    <w:rsid w:val="00706781"/>
    <w:rsid w:val="0070693F"/>
    <w:rsid w:val="00707F93"/>
    <w:rsid w:val="007108DC"/>
    <w:rsid w:val="00710BE3"/>
    <w:rsid w:val="0071123B"/>
    <w:rsid w:val="007115A6"/>
    <w:rsid w:val="00711E30"/>
    <w:rsid w:val="00712669"/>
    <w:rsid w:val="00712A7B"/>
    <w:rsid w:val="00713459"/>
    <w:rsid w:val="00714111"/>
    <w:rsid w:val="007149FB"/>
    <w:rsid w:val="00714C8A"/>
    <w:rsid w:val="00716081"/>
    <w:rsid w:val="007161C5"/>
    <w:rsid w:val="00717DE8"/>
    <w:rsid w:val="00720C95"/>
    <w:rsid w:val="00720CD5"/>
    <w:rsid w:val="00722281"/>
    <w:rsid w:val="00722BC1"/>
    <w:rsid w:val="00722C0B"/>
    <w:rsid w:val="007241F0"/>
    <w:rsid w:val="00724655"/>
    <w:rsid w:val="00724AE8"/>
    <w:rsid w:val="007250EF"/>
    <w:rsid w:val="00727DFE"/>
    <w:rsid w:val="0073135D"/>
    <w:rsid w:val="0073436D"/>
    <w:rsid w:val="00734F40"/>
    <w:rsid w:val="00735BC8"/>
    <w:rsid w:val="00740101"/>
    <w:rsid w:val="0074234C"/>
    <w:rsid w:val="0074348B"/>
    <w:rsid w:val="00743FD0"/>
    <w:rsid w:val="007447E4"/>
    <w:rsid w:val="007449F7"/>
    <w:rsid w:val="007501BB"/>
    <w:rsid w:val="007520A9"/>
    <w:rsid w:val="00755F01"/>
    <w:rsid w:val="00756550"/>
    <w:rsid w:val="00760123"/>
    <w:rsid w:val="00761D5E"/>
    <w:rsid w:val="0076212B"/>
    <w:rsid w:val="00764930"/>
    <w:rsid w:val="00764CD6"/>
    <w:rsid w:val="00764DA3"/>
    <w:rsid w:val="00767858"/>
    <w:rsid w:val="00770292"/>
    <w:rsid w:val="0077177A"/>
    <w:rsid w:val="0077223E"/>
    <w:rsid w:val="00774033"/>
    <w:rsid w:val="00774BB9"/>
    <w:rsid w:val="00775440"/>
    <w:rsid w:val="00776EE9"/>
    <w:rsid w:val="00777FFB"/>
    <w:rsid w:val="00783BBB"/>
    <w:rsid w:val="00783FE5"/>
    <w:rsid w:val="00784682"/>
    <w:rsid w:val="00784CBC"/>
    <w:rsid w:val="007863D6"/>
    <w:rsid w:val="00791364"/>
    <w:rsid w:val="00792771"/>
    <w:rsid w:val="00792F94"/>
    <w:rsid w:val="0079345B"/>
    <w:rsid w:val="007939B7"/>
    <w:rsid w:val="007944D5"/>
    <w:rsid w:val="007973DA"/>
    <w:rsid w:val="007A1115"/>
    <w:rsid w:val="007A1215"/>
    <w:rsid w:val="007A167C"/>
    <w:rsid w:val="007A1F1B"/>
    <w:rsid w:val="007A2143"/>
    <w:rsid w:val="007A24D2"/>
    <w:rsid w:val="007A4723"/>
    <w:rsid w:val="007A5C15"/>
    <w:rsid w:val="007A5C91"/>
    <w:rsid w:val="007A6FEA"/>
    <w:rsid w:val="007A7F64"/>
    <w:rsid w:val="007B213E"/>
    <w:rsid w:val="007B2985"/>
    <w:rsid w:val="007B363B"/>
    <w:rsid w:val="007B52C7"/>
    <w:rsid w:val="007B6968"/>
    <w:rsid w:val="007B6E27"/>
    <w:rsid w:val="007C0AED"/>
    <w:rsid w:val="007C1C45"/>
    <w:rsid w:val="007C219D"/>
    <w:rsid w:val="007C28E6"/>
    <w:rsid w:val="007C4B4F"/>
    <w:rsid w:val="007C54BC"/>
    <w:rsid w:val="007C651A"/>
    <w:rsid w:val="007C7BDF"/>
    <w:rsid w:val="007C7C91"/>
    <w:rsid w:val="007C7D2C"/>
    <w:rsid w:val="007D048B"/>
    <w:rsid w:val="007D1630"/>
    <w:rsid w:val="007D27AC"/>
    <w:rsid w:val="007D481D"/>
    <w:rsid w:val="007D4C52"/>
    <w:rsid w:val="007D4D27"/>
    <w:rsid w:val="007D5213"/>
    <w:rsid w:val="007D6552"/>
    <w:rsid w:val="007D7DC9"/>
    <w:rsid w:val="007E040A"/>
    <w:rsid w:val="007E2C5C"/>
    <w:rsid w:val="007E2F66"/>
    <w:rsid w:val="007E3767"/>
    <w:rsid w:val="007E5F75"/>
    <w:rsid w:val="007E66F5"/>
    <w:rsid w:val="007E6E52"/>
    <w:rsid w:val="007F02F1"/>
    <w:rsid w:val="007F0C7B"/>
    <w:rsid w:val="007F1022"/>
    <w:rsid w:val="007F158C"/>
    <w:rsid w:val="007F1E2C"/>
    <w:rsid w:val="007F21DD"/>
    <w:rsid w:val="007F4863"/>
    <w:rsid w:val="007F48CC"/>
    <w:rsid w:val="00802240"/>
    <w:rsid w:val="0080269C"/>
    <w:rsid w:val="00803AE9"/>
    <w:rsid w:val="00807B3A"/>
    <w:rsid w:val="008107B2"/>
    <w:rsid w:val="00810FBA"/>
    <w:rsid w:val="0081193F"/>
    <w:rsid w:val="00811F87"/>
    <w:rsid w:val="0081317F"/>
    <w:rsid w:val="00813AC0"/>
    <w:rsid w:val="00813D3D"/>
    <w:rsid w:val="00814EE8"/>
    <w:rsid w:val="00816B9A"/>
    <w:rsid w:val="00816C8F"/>
    <w:rsid w:val="0082035D"/>
    <w:rsid w:val="00821129"/>
    <w:rsid w:val="00821206"/>
    <w:rsid w:val="00825032"/>
    <w:rsid w:val="0082567F"/>
    <w:rsid w:val="008259B6"/>
    <w:rsid w:val="00825D24"/>
    <w:rsid w:val="00826414"/>
    <w:rsid w:val="00826579"/>
    <w:rsid w:val="00826BBD"/>
    <w:rsid w:val="008300C8"/>
    <w:rsid w:val="00831DD9"/>
    <w:rsid w:val="00832339"/>
    <w:rsid w:val="00833524"/>
    <w:rsid w:val="0083727B"/>
    <w:rsid w:val="00841EC7"/>
    <w:rsid w:val="00845B24"/>
    <w:rsid w:val="00845E45"/>
    <w:rsid w:val="00847654"/>
    <w:rsid w:val="00847BE9"/>
    <w:rsid w:val="00847D13"/>
    <w:rsid w:val="00850280"/>
    <w:rsid w:val="00850844"/>
    <w:rsid w:val="0085220A"/>
    <w:rsid w:val="008532AF"/>
    <w:rsid w:val="00854BB4"/>
    <w:rsid w:val="0085569D"/>
    <w:rsid w:val="0085596A"/>
    <w:rsid w:val="00856313"/>
    <w:rsid w:val="00857A1E"/>
    <w:rsid w:val="008610F4"/>
    <w:rsid w:val="00861909"/>
    <w:rsid w:val="00861918"/>
    <w:rsid w:val="00861CED"/>
    <w:rsid w:val="00862806"/>
    <w:rsid w:val="00862F48"/>
    <w:rsid w:val="008639C7"/>
    <w:rsid w:val="008664F9"/>
    <w:rsid w:val="00866E3E"/>
    <w:rsid w:val="00870CE3"/>
    <w:rsid w:val="00871D90"/>
    <w:rsid w:val="00872258"/>
    <w:rsid w:val="00873B9E"/>
    <w:rsid w:val="00874F26"/>
    <w:rsid w:val="00875BCB"/>
    <w:rsid w:val="00877D4B"/>
    <w:rsid w:val="008814AE"/>
    <w:rsid w:val="00882279"/>
    <w:rsid w:val="008822CB"/>
    <w:rsid w:val="0088318F"/>
    <w:rsid w:val="00885551"/>
    <w:rsid w:val="00885C19"/>
    <w:rsid w:val="00885CA3"/>
    <w:rsid w:val="008876F9"/>
    <w:rsid w:val="00887747"/>
    <w:rsid w:val="008879C9"/>
    <w:rsid w:val="00893DA2"/>
    <w:rsid w:val="0089437A"/>
    <w:rsid w:val="0089584E"/>
    <w:rsid w:val="00896E7B"/>
    <w:rsid w:val="00897141"/>
    <w:rsid w:val="00897229"/>
    <w:rsid w:val="008A206C"/>
    <w:rsid w:val="008A63EA"/>
    <w:rsid w:val="008A6991"/>
    <w:rsid w:val="008A7D9C"/>
    <w:rsid w:val="008B08A1"/>
    <w:rsid w:val="008B297C"/>
    <w:rsid w:val="008B2C0F"/>
    <w:rsid w:val="008B2EAA"/>
    <w:rsid w:val="008B37ED"/>
    <w:rsid w:val="008B381B"/>
    <w:rsid w:val="008B55DC"/>
    <w:rsid w:val="008B57E6"/>
    <w:rsid w:val="008B689A"/>
    <w:rsid w:val="008B6FD5"/>
    <w:rsid w:val="008B79C4"/>
    <w:rsid w:val="008B7EC4"/>
    <w:rsid w:val="008C011C"/>
    <w:rsid w:val="008C216E"/>
    <w:rsid w:val="008C2D93"/>
    <w:rsid w:val="008C32FC"/>
    <w:rsid w:val="008C4131"/>
    <w:rsid w:val="008C5BC9"/>
    <w:rsid w:val="008C7722"/>
    <w:rsid w:val="008D048D"/>
    <w:rsid w:val="008D0A91"/>
    <w:rsid w:val="008D41CA"/>
    <w:rsid w:val="008D5526"/>
    <w:rsid w:val="008D6537"/>
    <w:rsid w:val="008E0697"/>
    <w:rsid w:val="008E159A"/>
    <w:rsid w:val="008E174B"/>
    <w:rsid w:val="008E3121"/>
    <w:rsid w:val="008E3B1F"/>
    <w:rsid w:val="008E3F03"/>
    <w:rsid w:val="008E44F8"/>
    <w:rsid w:val="008E6274"/>
    <w:rsid w:val="008E77AB"/>
    <w:rsid w:val="008E7EA6"/>
    <w:rsid w:val="008F0A5E"/>
    <w:rsid w:val="008F0D28"/>
    <w:rsid w:val="008F1FB3"/>
    <w:rsid w:val="008F1FBD"/>
    <w:rsid w:val="008F258D"/>
    <w:rsid w:val="008F3D29"/>
    <w:rsid w:val="008F46A6"/>
    <w:rsid w:val="008F4A98"/>
    <w:rsid w:val="008F4C7C"/>
    <w:rsid w:val="008F6DB5"/>
    <w:rsid w:val="008F7D99"/>
    <w:rsid w:val="00901973"/>
    <w:rsid w:val="009021DD"/>
    <w:rsid w:val="00905848"/>
    <w:rsid w:val="00905A69"/>
    <w:rsid w:val="00910820"/>
    <w:rsid w:val="00910AE5"/>
    <w:rsid w:val="00911CD6"/>
    <w:rsid w:val="00912080"/>
    <w:rsid w:val="009137E6"/>
    <w:rsid w:val="00914578"/>
    <w:rsid w:val="0091473C"/>
    <w:rsid w:val="00914802"/>
    <w:rsid w:val="009159FE"/>
    <w:rsid w:val="00915C39"/>
    <w:rsid w:val="00916184"/>
    <w:rsid w:val="00917E1B"/>
    <w:rsid w:val="009205B4"/>
    <w:rsid w:val="00920AF8"/>
    <w:rsid w:val="009218DC"/>
    <w:rsid w:val="00922B7D"/>
    <w:rsid w:val="00922C6A"/>
    <w:rsid w:val="00923808"/>
    <w:rsid w:val="00924255"/>
    <w:rsid w:val="00924BF1"/>
    <w:rsid w:val="00927794"/>
    <w:rsid w:val="00930116"/>
    <w:rsid w:val="00930C97"/>
    <w:rsid w:val="0093251A"/>
    <w:rsid w:val="00932CFC"/>
    <w:rsid w:val="00933219"/>
    <w:rsid w:val="00935693"/>
    <w:rsid w:val="0093698F"/>
    <w:rsid w:val="009377B9"/>
    <w:rsid w:val="009378B4"/>
    <w:rsid w:val="009400A6"/>
    <w:rsid w:val="00942217"/>
    <w:rsid w:val="00942996"/>
    <w:rsid w:val="00943388"/>
    <w:rsid w:val="009435CD"/>
    <w:rsid w:val="00944A34"/>
    <w:rsid w:val="00945A22"/>
    <w:rsid w:val="00947C89"/>
    <w:rsid w:val="00950F44"/>
    <w:rsid w:val="00953C9B"/>
    <w:rsid w:val="009540C6"/>
    <w:rsid w:val="0095458C"/>
    <w:rsid w:val="0095461A"/>
    <w:rsid w:val="00956253"/>
    <w:rsid w:val="00956C48"/>
    <w:rsid w:val="00957812"/>
    <w:rsid w:val="00961C71"/>
    <w:rsid w:val="00961E78"/>
    <w:rsid w:val="0096334A"/>
    <w:rsid w:val="00963925"/>
    <w:rsid w:val="0096736B"/>
    <w:rsid w:val="00970D8F"/>
    <w:rsid w:val="00970EA7"/>
    <w:rsid w:val="00971B15"/>
    <w:rsid w:val="009755FE"/>
    <w:rsid w:val="00975834"/>
    <w:rsid w:val="00976138"/>
    <w:rsid w:val="00977703"/>
    <w:rsid w:val="009816E2"/>
    <w:rsid w:val="00981F09"/>
    <w:rsid w:val="00984876"/>
    <w:rsid w:val="00985476"/>
    <w:rsid w:val="00985F7E"/>
    <w:rsid w:val="009869EE"/>
    <w:rsid w:val="009906EE"/>
    <w:rsid w:val="00990FE7"/>
    <w:rsid w:val="00991B9A"/>
    <w:rsid w:val="00992C3A"/>
    <w:rsid w:val="009940C1"/>
    <w:rsid w:val="00996238"/>
    <w:rsid w:val="009970BC"/>
    <w:rsid w:val="009974DE"/>
    <w:rsid w:val="009979FF"/>
    <w:rsid w:val="00997B20"/>
    <w:rsid w:val="00997BB3"/>
    <w:rsid w:val="00997E77"/>
    <w:rsid w:val="009A0FC0"/>
    <w:rsid w:val="009A1B88"/>
    <w:rsid w:val="009A22FD"/>
    <w:rsid w:val="009A28A6"/>
    <w:rsid w:val="009A29A7"/>
    <w:rsid w:val="009A4AD5"/>
    <w:rsid w:val="009A76C0"/>
    <w:rsid w:val="009A78D0"/>
    <w:rsid w:val="009B091C"/>
    <w:rsid w:val="009B1B9C"/>
    <w:rsid w:val="009B1C03"/>
    <w:rsid w:val="009B2584"/>
    <w:rsid w:val="009B2EF8"/>
    <w:rsid w:val="009B431D"/>
    <w:rsid w:val="009B5420"/>
    <w:rsid w:val="009B56DC"/>
    <w:rsid w:val="009B6261"/>
    <w:rsid w:val="009B6C39"/>
    <w:rsid w:val="009B6CEC"/>
    <w:rsid w:val="009C0D27"/>
    <w:rsid w:val="009C1BC6"/>
    <w:rsid w:val="009C2B82"/>
    <w:rsid w:val="009C3D3E"/>
    <w:rsid w:val="009C3E10"/>
    <w:rsid w:val="009C409D"/>
    <w:rsid w:val="009C4D77"/>
    <w:rsid w:val="009C6F3C"/>
    <w:rsid w:val="009D1B10"/>
    <w:rsid w:val="009D7DAC"/>
    <w:rsid w:val="009E12EA"/>
    <w:rsid w:val="009E362F"/>
    <w:rsid w:val="009E3890"/>
    <w:rsid w:val="009E4B1A"/>
    <w:rsid w:val="009E4FFD"/>
    <w:rsid w:val="009E5AE2"/>
    <w:rsid w:val="009E6D88"/>
    <w:rsid w:val="009E74B5"/>
    <w:rsid w:val="009F1ABA"/>
    <w:rsid w:val="009F2C30"/>
    <w:rsid w:val="009F3697"/>
    <w:rsid w:val="009F4231"/>
    <w:rsid w:val="009F6642"/>
    <w:rsid w:val="009F6A5E"/>
    <w:rsid w:val="00A00270"/>
    <w:rsid w:val="00A0154F"/>
    <w:rsid w:val="00A01716"/>
    <w:rsid w:val="00A0265E"/>
    <w:rsid w:val="00A04A96"/>
    <w:rsid w:val="00A07573"/>
    <w:rsid w:val="00A07A7F"/>
    <w:rsid w:val="00A13815"/>
    <w:rsid w:val="00A13CEA"/>
    <w:rsid w:val="00A13D2E"/>
    <w:rsid w:val="00A14B68"/>
    <w:rsid w:val="00A15F24"/>
    <w:rsid w:val="00A165B1"/>
    <w:rsid w:val="00A1770C"/>
    <w:rsid w:val="00A22DB6"/>
    <w:rsid w:val="00A243ED"/>
    <w:rsid w:val="00A251DC"/>
    <w:rsid w:val="00A266CF"/>
    <w:rsid w:val="00A27FD0"/>
    <w:rsid w:val="00A30D65"/>
    <w:rsid w:val="00A32559"/>
    <w:rsid w:val="00A32F0A"/>
    <w:rsid w:val="00A33F3D"/>
    <w:rsid w:val="00A35317"/>
    <w:rsid w:val="00A375AB"/>
    <w:rsid w:val="00A409F1"/>
    <w:rsid w:val="00A42173"/>
    <w:rsid w:val="00A42B9B"/>
    <w:rsid w:val="00A438EB"/>
    <w:rsid w:val="00A45064"/>
    <w:rsid w:val="00A45131"/>
    <w:rsid w:val="00A45EC8"/>
    <w:rsid w:val="00A460FF"/>
    <w:rsid w:val="00A47D10"/>
    <w:rsid w:val="00A507D4"/>
    <w:rsid w:val="00A521E8"/>
    <w:rsid w:val="00A5236D"/>
    <w:rsid w:val="00A52DE0"/>
    <w:rsid w:val="00A52FA2"/>
    <w:rsid w:val="00A53CDA"/>
    <w:rsid w:val="00A53F4B"/>
    <w:rsid w:val="00A548C3"/>
    <w:rsid w:val="00A55231"/>
    <w:rsid w:val="00A56059"/>
    <w:rsid w:val="00A57066"/>
    <w:rsid w:val="00A603B4"/>
    <w:rsid w:val="00A62B26"/>
    <w:rsid w:val="00A62C78"/>
    <w:rsid w:val="00A6453F"/>
    <w:rsid w:val="00A654CE"/>
    <w:rsid w:val="00A66064"/>
    <w:rsid w:val="00A663F0"/>
    <w:rsid w:val="00A72919"/>
    <w:rsid w:val="00A73500"/>
    <w:rsid w:val="00A75E74"/>
    <w:rsid w:val="00A77B44"/>
    <w:rsid w:val="00A805DD"/>
    <w:rsid w:val="00A81625"/>
    <w:rsid w:val="00A81B7E"/>
    <w:rsid w:val="00A84BFE"/>
    <w:rsid w:val="00A85390"/>
    <w:rsid w:val="00A85DEF"/>
    <w:rsid w:val="00A87295"/>
    <w:rsid w:val="00A91BE7"/>
    <w:rsid w:val="00A92C82"/>
    <w:rsid w:val="00A94D2F"/>
    <w:rsid w:val="00A975A5"/>
    <w:rsid w:val="00A97FC6"/>
    <w:rsid w:val="00AA042D"/>
    <w:rsid w:val="00AA06DF"/>
    <w:rsid w:val="00AA1702"/>
    <w:rsid w:val="00AA1FC9"/>
    <w:rsid w:val="00AA2BA3"/>
    <w:rsid w:val="00AA2CA0"/>
    <w:rsid w:val="00AA3196"/>
    <w:rsid w:val="00AA4985"/>
    <w:rsid w:val="00AA5591"/>
    <w:rsid w:val="00AA70B7"/>
    <w:rsid w:val="00AA7894"/>
    <w:rsid w:val="00AA7B6F"/>
    <w:rsid w:val="00AB02F8"/>
    <w:rsid w:val="00AB112B"/>
    <w:rsid w:val="00AB18D6"/>
    <w:rsid w:val="00AB27EE"/>
    <w:rsid w:val="00AB5383"/>
    <w:rsid w:val="00AB5F63"/>
    <w:rsid w:val="00AB64B8"/>
    <w:rsid w:val="00AB6A4E"/>
    <w:rsid w:val="00AB7F9E"/>
    <w:rsid w:val="00AC0083"/>
    <w:rsid w:val="00AC1CC8"/>
    <w:rsid w:val="00AD01E0"/>
    <w:rsid w:val="00AD11B3"/>
    <w:rsid w:val="00AD2376"/>
    <w:rsid w:val="00AD483E"/>
    <w:rsid w:val="00AD528C"/>
    <w:rsid w:val="00AD5367"/>
    <w:rsid w:val="00AD631E"/>
    <w:rsid w:val="00AD63F7"/>
    <w:rsid w:val="00AD699C"/>
    <w:rsid w:val="00AD7B4E"/>
    <w:rsid w:val="00AE2924"/>
    <w:rsid w:val="00AE2A50"/>
    <w:rsid w:val="00AE32B3"/>
    <w:rsid w:val="00AE5545"/>
    <w:rsid w:val="00AE5ED7"/>
    <w:rsid w:val="00AE60E9"/>
    <w:rsid w:val="00AE7AC8"/>
    <w:rsid w:val="00AE7B21"/>
    <w:rsid w:val="00AF0FAE"/>
    <w:rsid w:val="00AF156F"/>
    <w:rsid w:val="00AF20A4"/>
    <w:rsid w:val="00AF2F85"/>
    <w:rsid w:val="00AF3BC1"/>
    <w:rsid w:val="00AF4A98"/>
    <w:rsid w:val="00AF5B2A"/>
    <w:rsid w:val="00AF7260"/>
    <w:rsid w:val="00AF7D9B"/>
    <w:rsid w:val="00B0074F"/>
    <w:rsid w:val="00B01C36"/>
    <w:rsid w:val="00B01E45"/>
    <w:rsid w:val="00B02750"/>
    <w:rsid w:val="00B03758"/>
    <w:rsid w:val="00B0501D"/>
    <w:rsid w:val="00B05062"/>
    <w:rsid w:val="00B06D61"/>
    <w:rsid w:val="00B11214"/>
    <w:rsid w:val="00B13FA4"/>
    <w:rsid w:val="00B14CFB"/>
    <w:rsid w:val="00B15652"/>
    <w:rsid w:val="00B1625F"/>
    <w:rsid w:val="00B166E6"/>
    <w:rsid w:val="00B17043"/>
    <w:rsid w:val="00B21145"/>
    <w:rsid w:val="00B22D12"/>
    <w:rsid w:val="00B25536"/>
    <w:rsid w:val="00B25FE0"/>
    <w:rsid w:val="00B26A3F"/>
    <w:rsid w:val="00B27820"/>
    <w:rsid w:val="00B27B6C"/>
    <w:rsid w:val="00B30D64"/>
    <w:rsid w:val="00B313CF"/>
    <w:rsid w:val="00B338E6"/>
    <w:rsid w:val="00B3490D"/>
    <w:rsid w:val="00B34C1C"/>
    <w:rsid w:val="00B35B8C"/>
    <w:rsid w:val="00B3662E"/>
    <w:rsid w:val="00B42D42"/>
    <w:rsid w:val="00B47442"/>
    <w:rsid w:val="00B53844"/>
    <w:rsid w:val="00B55731"/>
    <w:rsid w:val="00B600E4"/>
    <w:rsid w:val="00B6102D"/>
    <w:rsid w:val="00B640C9"/>
    <w:rsid w:val="00B666CE"/>
    <w:rsid w:val="00B72D9F"/>
    <w:rsid w:val="00B7473E"/>
    <w:rsid w:val="00B74E5C"/>
    <w:rsid w:val="00B75479"/>
    <w:rsid w:val="00B755B7"/>
    <w:rsid w:val="00B77A75"/>
    <w:rsid w:val="00B807C0"/>
    <w:rsid w:val="00B81B81"/>
    <w:rsid w:val="00B8468E"/>
    <w:rsid w:val="00B84C2D"/>
    <w:rsid w:val="00B90956"/>
    <w:rsid w:val="00B91054"/>
    <w:rsid w:val="00B91176"/>
    <w:rsid w:val="00B94DC4"/>
    <w:rsid w:val="00B96DE4"/>
    <w:rsid w:val="00B978AC"/>
    <w:rsid w:val="00BA1CDC"/>
    <w:rsid w:val="00BA24E2"/>
    <w:rsid w:val="00BA257E"/>
    <w:rsid w:val="00BA3142"/>
    <w:rsid w:val="00BA3B7A"/>
    <w:rsid w:val="00BA47B4"/>
    <w:rsid w:val="00BA52D6"/>
    <w:rsid w:val="00BB022D"/>
    <w:rsid w:val="00BB337A"/>
    <w:rsid w:val="00BB37A7"/>
    <w:rsid w:val="00BB3F85"/>
    <w:rsid w:val="00BB40A7"/>
    <w:rsid w:val="00BB4357"/>
    <w:rsid w:val="00BB5741"/>
    <w:rsid w:val="00BB6D07"/>
    <w:rsid w:val="00BC0222"/>
    <w:rsid w:val="00BC1755"/>
    <w:rsid w:val="00BC2E47"/>
    <w:rsid w:val="00BC2F24"/>
    <w:rsid w:val="00BC3E36"/>
    <w:rsid w:val="00BC55F0"/>
    <w:rsid w:val="00BC60FA"/>
    <w:rsid w:val="00BC6440"/>
    <w:rsid w:val="00BD087D"/>
    <w:rsid w:val="00BD18B0"/>
    <w:rsid w:val="00BD1AAD"/>
    <w:rsid w:val="00BD1B06"/>
    <w:rsid w:val="00BD2407"/>
    <w:rsid w:val="00BD2503"/>
    <w:rsid w:val="00BD4A8A"/>
    <w:rsid w:val="00BD56D5"/>
    <w:rsid w:val="00BD6336"/>
    <w:rsid w:val="00BD79FE"/>
    <w:rsid w:val="00BD7B77"/>
    <w:rsid w:val="00BE064B"/>
    <w:rsid w:val="00BE2305"/>
    <w:rsid w:val="00BE414C"/>
    <w:rsid w:val="00BE48BA"/>
    <w:rsid w:val="00BE5A9F"/>
    <w:rsid w:val="00BE6C00"/>
    <w:rsid w:val="00BE7716"/>
    <w:rsid w:val="00BE7E83"/>
    <w:rsid w:val="00BF0419"/>
    <w:rsid w:val="00BF0D2D"/>
    <w:rsid w:val="00BF0E43"/>
    <w:rsid w:val="00BF176C"/>
    <w:rsid w:val="00BF2ED8"/>
    <w:rsid w:val="00BF30BA"/>
    <w:rsid w:val="00BF40EA"/>
    <w:rsid w:val="00BF6652"/>
    <w:rsid w:val="00BF66F7"/>
    <w:rsid w:val="00BF692D"/>
    <w:rsid w:val="00C00A48"/>
    <w:rsid w:val="00C0553C"/>
    <w:rsid w:val="00C06BAF"/>
    <w:rsid w:val="00C07A40"/>
    <w:rsid w:val="00C10000"/>
    <w:rsid w:val="00C1163C"/>
    <w:rsid w:val="00C12834"/>
    <w:rsid w:val="00C12E62"/>
    <w:rsid w:val="00C12FFF"/>
    <w:rsid w:val="00C13B75"/>
    <w:rsid w:val="00C15031"/>
    <w:rsid w:val="00C15144"/>
    <w:rsid w:val="00C15A77"/>
    <w:rsid w:val="00C15CDB"/>
    <w:rsid w:val="00C16401"/>
    <w:rsid w:val="00C16643"/>
    <w:rsid w:val="00C16DF8"/>
    <w:rsid w:val="00C170C4"/>
    <w:rsid w:val="00C1753A"/>
    <w:rsid w:val="00C17FB2"/>
    <w:rsid w:val="00C21EA2"/>
    <w:rsid w:val="00C22C33"/>
    <w:rsid w:val="00C22C89"/>
    <w:rsid w:val="00C2314B"/>
    <w:rsid w:val="00C248E5"/>
    <w:rsid w:val="00C258C6"/>
    <w:rsid w:val="00C25AF8"/>
    <w:rsid w:val="00C27017"/>
    <w:rsid w:val="00C27A7A"/>
    <w:rsid w:val="00C30B58"/>
    <w:rsid w:val="00C32861"/>
    <w:rsid w:val="00C3415A"/>
    <w:rsid w:val="00C34E9E"/>
    <w:rsid w:val="00C34F74"/>
    <w:rsid w:val="00C367B3"/>
    <w:rsid w:val="00C36FFF"/>
    <w:rsid w:val="00C37179"/>
    <w:rsid w:val="00C37E04"/>
    <w:rsid w:val="00C4059D"/>
    <w:rsid w:val="00C40B77"/>
    <w:rsid w:val="00C41F2A"/>
    <w:rsid w:val="00C42AB2"/>
    <w:rsid w:val="00C439A7"/>
    <w:rsid w:val="00C44A99"/>
    <w:rsid w:val="00C463FB"/>
    <w:rsid w:val="00C469AE"/>
    <w:rsid w:val="00C502B1"/>
    <w:rsid w:val="00C5274B"/>
    <w:rsid w:val="00C52C6E"/>
    <w:rsid w:val="00C5453A"/>
    <w:rsid w:val="00C55B4F"/>
    <w:rsid w:val="00C56248"/>
    <w:rsid w:val="00C5696D"/>
    <w:rsid w:val="00C56A66"/>
    <w:rsid w:val="00C57031"/>
    <w:rsid w:val="00C57BF3"/>
    <w:rsid w:val="00C606BB"/>
    <w:rsid w:val="00C60B2A"/>
    <w:rsid w:val="00C6239D"/>
    <w:rsid w:val="00C6305E"/>
    <w:rsid w:val="00C6481B"/>
    <w:rsid w:val="00C64E97"/>
    <w:rsid w:val="00C66086"/>
    <w:rsid w:val="00C6663D"/>
    <w:rsid w:val="00C70662"/>
    <w:rsid w:val="00C70DC8"/>
    <w:rsid w:val="00C7239B"/>
    <w:rsid w:val="00C74435"/>
    <w:rsid w:val="00C750BB"/>
    <w:rsid w:val="00C75377"/>
    <w:rsid w:val="00C755C2"/>
    <w:rsid w:val="00C75ABA"/>
    <w:rsid w:val="00C75B76"/>
    <w:rsid w:val="00C7763F"/>
    <w:rsid w:val="00C81F23"/>
    <w:rsid w:val="00C83A88"/>
    <w:rsid w:val="00C857DA"/>
    <w:rsid w:val="00C85CE8"/>
    <w:rsid w:val="00C86A7E"/>
    <w:rsid w:val="00C875C2"/>
    <w:rsid w:val="00C8773D"/>
    <w:rsid w:val="00C907D5"/>
    <w:rsid w:val="00C90F08"/>
    <w:rsid w:val="00C9143A"/>
    <w:rsid w:val="00C919CB"/>
    <w:rsid w:val="00C93B9E"/>
    <w:rsid w:val="00C93D8B"/>
    <w:rsid w:val="00C93FD5"/>
    <w:rsid w:val="00C972C5"/>
    <w:rsid w:val="00C973A9"/>
    <w:rsid w:val="00C97954"/>
    <w:rsid w:val="00CA16BB"/>
    <w:rsid w:val="00CA2CC8"/>
    <w:rsid w:val="00CA3A45"/>
    <w:rsid w:val="00CA52E5"/>
    <w:rsid w:val="00CA664F"/>
    <w:rsid w:val="00CA6B9E"/>
    <w:rsid w:val="00CA7BC3"/>
    <w:rsid w:val="00CB0425"/>
    <w:rsid w:val="00CB0DB2"/>
    <w:rsid w:val="00CB20DC"/>
    <w:rsid w:val="00CB57C7"/>
    <w:rsid w:val="00CB59DF"/>
    <w:rsid w:val="00CB6A4C"/>
    <w:rsid w:val="00CB7BA9"/>
    <w:rsid w:val="00CC0A23"/>
    <w:rsid w:val="00CC197C"/>
    <w:rsid w:val="00CC27A9"/>
    <w:rsid w:val="00CC3F00"/>
    <w:rsid w:val="00CC42DA"/>
    <w:rsid w:val="00CC7E41"/>
    <w:rsid w:val="00CD2A5C"/>
    <w:rsid w:val="00CD556F"/>
    <w:rsid w:val="00CD5C7C"/>
    <w:rsid w:val="00CD6234"/>
    <w:rsid w:val="00CD6E25"/>
    <w:rsid w:val="00CE303E"/>
    <w:rsid w:val="00CE6ABC"/>
    <w:rsid w:val="00CE725A"/>
    <w:rsid w:val="00CE79C4"/>
    <w:rsid w:val="00CE7C4D"/>
    <w:rsid w:val="00CF1AB7"/>
    <w:rsid w:val="00CF1D0A"/>
    <w:rsid w:val="00CF2832"/>
    <w:rsid w:val="00CF3403"/>
    <w:rsid w:val="00CF5A09"/>
    <w:rsid w:val="00CF5CCF"/>
    <w:rsid w:val="00CF64C1"/>
    <w:rsid w:val="00CF7BBA"/>
    <w:rsid w:val="00D009EB"/>
    <w:rsid w:val="00D024AC"/>
    <w:rsid w:val="00D0376C"/>
    <w:rsid w:val="00D03F02"/>
    <w:rsid w:val="00D0541D"/>
    <w:rsid w:val="00D05483"/>
    <w:rsid w:val="00D05755"/>
    <w:rsid w:val="00D0711C"/>
    <w:rsid w:val="00D11FE7"/>
    <w:rsid w:val="00D12658"/>
    <w:rsid w:val="00D12ED7"/>
    <w:rsid w:val="00D14869"/>
    <w:rsid w:val="00D148FF"/>
    <w:rsid w:val="00D16305"/>
    <w:rsid w:val="00D16759"/>
    <w:rsid w:val="00D16B94"/>
    <w:rsid w:val="00D200D9"/>
    <w:rsid w:val="00D2161A"/>
    <w:rsid w:val="00D22F8D"/>
    <w:rsid w:val="00D2321E"/>
    <w:rsid w:val="00D24F06"/>
    <w:rsid w:val="00D26D33"/>
    <w:rsid w:val="00D27500"/>
    <w:rsid w:val="00D27FE3"/>
    <w:rsid w:val="00D3078A"/>
    <w:rsid w:val="00D3186B"/>
    <w:rsid w:val="00D318BE"/>
    <w:rsid w:val="00D31C2E"/>
    <w:rsid w:val="00D3287E"/>
    <w:rsid w:val="00D34977"/>
    <w:rsid w:val="00D34DB6"/>
    <w:rsid w:val="00D355E8"/>
    <w:rsid w:val="00D35FC6"/>
    <w:rsid w:val="00D361FB"/>
    <w:rsid w:val="00D37F3D"/>
    <w:rsid w:val="00D4059B"/>
    <w:rsid w:val="00D412A8"/>
    <w:rsid w:val="00D419D2"/>
    <w:rsid w:val="00D41D63"/>
    <w:rsid w:val="00D41E82"/>
    <w:rsid w:val="00D41FBC"/>
    <w:rsid w:val="00D41FE7"/>
    <w:rsid w:val="00D44E71"/>
    <w:rsid w:val="00D45FFE"/>
    <w:rsid w:val="00D46DE9"/>
    <w:rsid w:val="00D51C76"/>
    <w:rsid w:val="00D523F2"/>
    <w:rsid w:val="00D5458E"/>
    <w:rsid w:val="00D54907"/>
    <w:rsid w:val="00D56968"/>
    <w:rsid w:val="00D573F9"/>
    <w:rsid w:val="00D5797B"/>
    <w:rsid w:val="00D57E72"/>
    <w:rsid w:val="00D60C66"/>
    <w:rsid w:val="00D6155D"/>
    <w:rsid w:val="00D6499F"/>
    <w:rsid w:val="00D675BB"/>
    <w:rsid w:val="00D67ECA"/>
    <w:rsid w:val="00D71878"/>
    <w:rsid w:val="00D72065"/>
    <w:rsid w:val="00D7285D"/>
    <w:rsid w:val="00D7299D"/>
    <w:rsid w:val="00D72CCC"/>
    <w:rsid w:val="00D749A1"/>
    <w:rsid w:val="00D77703"/>
    <w:rsid w:val="00D77769"/>
    <w:rsid w:val="00D80393"/>
    <w:rsid w:val="00D81B47"/>
    <w:rsid w:val="00D8261D"/>
    <w:rsid w:val="00D8288F"/>
    <w:rsid w:val="00D83CD5"/>
    <w:rsid w:val="00D842CE"/>
    <w:rsid w:val="00D92362"/>
    <w:rsid w:val="00D94F42"/>
    <w:rsid w:val="00D954BE"/>
    <w:rsid w:val="00D95888"/>
    <w:rsid w:val="00DA07D8"/>
    <w:rsid w:val="00DA140C"/>
    <w:rsid w:val="00DA5E9D"/>
    <w:rsid w:val="00DA7509"/>
    <w:rsid w:val="00DA77CF"/>
    <w:rsid w:val="00DB0BD5"/>
    <w:rsid w:val="00DB1D1E"/>
    <w:rsid w:val="00DB296A"/>
    <w:rsid w:val="00DB371A"/>
    <w:rsid w:val="00DB39D0"/>
    <w:rsid w:val="00DB3D41"/>
    <w:rsid w:val="00DB434A"/>
    <w:rsid w:val="00DB4CD2"/>
    <w:rsid w:val="00DC0B05"/>
    <w:rsid w:val="00DC0B0E"/>
    <w:rsid w:val="00DC146E"/>
    <w:rsid w:val="00DC1622"/>
    <w:rsid w:val="00DC22BD"/>
    <w:rsid w:val="00DC51BE"/>
    <w:rsid w:val="00DC60E7"/>
    <w:rsid w:val="00DC6906"/>
    <w:rsid w:val="00DD0E8B"/>
    <w:rsid w:val="00DD1663"/>
    <w:rsid w:val="00DD3214"/>
    <w:rsid w:val="00DD4A0B"/>
    <w:rsid w:val="00DD72AA"/>
    <w:rsid w:val="00DD7CF1"/>
    <w:rsid w:val="00DE015E"/>
    <w:rsid w:val="00DE0FDB"/>
    <w:rsid w:val="00DE2808"/>
    <w:rsid w:val="00DE43E3"/>
    <w:rsid w:val="00DE44B7"/>
    <w:rsid w:val="00DE491D"/>
    <w:rsid w:val="00DF087C"/>
    <w:rsid w:val="00DF1E60"/>
    <w:rsid w:val="00DF21CD"/>
    <w:rsid w:val="00DF240C"/>
    <w:rsid w:val="00DF24C4"/>
    <w:rsid w:val="00DF42B1"/>
    <w:rsid w:val="00DF493E"/>
    <w:rsid w:val="00DF4F27"/>
    <w:rsid w:val="00DF5839"/>
    <w:rsid w:val="00E00A52"/>
    <w:rsid w:val="00E00CB8"/>
    <w:rsid w:val="00E02C8E"/>
    <w:rsid w:val="00E0694B"/>
    <w:rsid w:val="00E073E3"/>
    <w:rsid w:val="00E07AB2"/>
    <w:rsid w:val="00E1222A"/>
    <w:rsid w:val="00E131B7"/>
    <w:rsid w:val="00E149B5"/>
    <w:rsid w:val="00E159F4"/>
    <w:rsid w:val="00E16FFC"/>
    <w:rsid w:val="00E200B9"/>
    <w:rsid w:val="00E20287"/>
    <w:rsid w:val="00E202C1"/>
    <w:rsid w:val="00E21657"/>
    <w:rsid w:val="00E2401C"/>
    <w:rsid w:val="00E2437F"/>
    <w:rsid w:val="00E25145"/>
    <w:rsid w:val="00E257D3"/>
    <w:rsid w:val="00E25DFE"/>
    <w:rsid w:val="00E27174"/>
    <w:rsid w:val="00E277F8"/>
    <w:rsid w:val="00E30443"/>
    <w:rsid w:val="00E321BC"/>
    <w:rsid w:val="00E325E6"/>
    <w:rsid w:val="00E32BB2"/>
    <w:rsid w:val="00E33E02"/>
    <w:rsid w:val="00E34F51"/>
    <w:rsid w:val="00E369EF"/>
    <w:rsid w:val="00E36AB3"/>
    <w:rsid w:val="00E37B4C"/>
    <w:rsid w:val="00E411B3"/>
    <w:rsid w:val="00E4132F"/>
    <w:rsid w:val="00E42756"/>
    <w:rsid w:val="00E44743"/>
    <w:rsid w:val="00E4481D"/>
    <w:rsid w:val="00E460EC"/>
    <w:rsid w:val="00E47423"/>
    <w:rsid w:val="00E47BA1"/>
    <w:rsid w:val="00E507D2"/>
    <w:rsid w:val="00E50AAC"/>
    <w:rsid w:val="00E51D3A"/>
    <w:rsid w:val="00E54AD0"/>
    <w:rsid w:val="00E56F80"/>
    <w:rsid w:val="00E57068"/>
    <w:rsid w:val="00E60699"/>
    <w:rsid w:val="00E62A96"/>
    <w:rsid w:val="00E63768"/>
    <w:rsid w:val="00E6395B"/>
    <w:rsid w:val="00E647A0"/>
    <w:rsid w:val="00E66050"/>
    <w:rsid w:val="00E660AF"/>
    <w:rsid w:val="00E6649D"/>
    <w:rsid w:val="00E73230"/>
    <w:rsid w:val="00E751A8"/>
    <w:rsid w:val="00E769A0"/>
    <w:rsid w:val="00E76C3F"/>
    <w:rsid w:val="00E8039A"/>
    <w:rsid w:val="00E80769"/>
    <w:rsid w:val="00E82096"/>
    <w:rsid w:val="00E82EF4"/>
    <w:rsid w:val="00E83302"/>
    <w:rsid w:val="00E87FFA"/>
    <w:rsid w:val="00E904A4"/>
    <w:rsid w:val="00E913CB"/>
    <w:rsid w:val="00E91AC6"/>
    <w:rsid w:val="00E934F4"/>
    <w:rsid w:val="00E95BC1"/>
    <w:rsid w:val="00E9619D"/>
    <w:rsid w:val="00E97B49"/>
    <w:rsid w:val="00EA20D4"/>
    <w:rsid w:val="00EA364C"/>
    <w:rsid w:val="00EA3FED"/>
    <w:rsid w:val="00EA4132"/>
    <w:rsid w:val="00EA49B4"/>
    <w:rsid w:val="00EA502F"/>
    <w:rsid w:val="00EA7A11"/>
    <w:rsid w:val="00EB0D15"/>
    <w:rsid w:val="00EB16D8"/>
    <w:rsid w:val="00EB1D4F"/>
    <w:rsid w:val="00EB2C69"/>
    <w:rsid w:val="00EB4045"/>
    <w:rsid w:val="00EB507D"/>
    <w:rsid w:val="00EC0A31"/>
    <w:rsid w:val="00EC28C8"/>
    <w:rsid w:val="00EC5155"/>
    <w:rsid w:val="00EC575D"/>
    <w:rsid w:val="00EC661A"/>
    <w:rsid w:val="00EC6700"/>
    <w:rsid w:val="00EC6809"/>
    <w:rsid w:val="00ED0EC0"/>
    <w:rsid w:val="00ED245A"/>
    <w:rsid w:val="00ED2498"/>
    <w:rsid w:val="00ED3A6B"/>
    <w:rsid w:val="00ED3B1A"/>
    <w:rsid w:val="00ED49E6"/>
    <w:rsid w:val="00ED613B"/>
    <w:rsid w:val="00ED6DBD"/>
    <w:rsid w:val="00ED7BDE"/>
    <w:rsid w:val="00EE0E10"/>
    <w:rsid w:val="00EE1068"/>
    <w:rsid w:val="00EE31CF"/>
    <w:rsid w:val="00EE41AB"/>
    <w:rsid w:val="00EE4F82"/>
    <w:rsid w:val="00EE551A"/>
    <w:rsid w:val="00EE6905"/>
    <w:rsid w:val="00EE6A36"/>
    <w:rsid w:val="00EF21FF"/>
    <w:rsid w:val="00EF3CCF"/>
    <w:rsid w:val="00EF43A6"/>
    <w:rsid w:val="00EF5156"/>
    <w:rsid w:val="00EF5533"/>
    <w:rsid w:val="00EF5620"/>
    <w:rsid w:val="00EF7415"/>
    <w:rsid w:val="00EF7A80"/>
    <w:rsid w:val="00EF7CD7"/>
    <w:rsid w:val="00F01B62"/>
    <w:rsid w:val="00F023E4"/>
    <w:rsid w:val="00F0407E"/>
    <w:rsid w:val="00F0429B"/>
    <w:rsid w:val="00F042E1"/>
    <w:rsid w:val="00F04344"/>
    <w:rsid w:val="00F04B96"/>
    <w:rsid w:val="00F04DD4"/>
    <w:rsid w:val="00F04DF9"/>
    <w:rsid w:val="00F055EC"/>
    <w:rsid w:val="00F06856"/>
    <w:rsid w:val="00F07849"/>
    <w:rsid w:val="00F102A4"/>
    <w:rsid w:val="00F108D5"/>
    <w:rsid w:val="00F10D93"/>
    <w:rsid w:val="00F117A9"/>
    <w:rsid w:val="00F11DC1"/>
    <w:rsid w:val="00F12582"/>
    <w:rsid w:val="00F128CE"/>
    <w:rsid w:val="00F14CD2"/>
    <w:rsid w:val="00F14D7C"/>
    <w:rsid w:val="00F155F6"/>
    <w:rsid w:val="00F1670E"/>
    <w:rsid w:val="00F2230F"/>
    <w:rsid w:val="00F23878"/>
    <w:rsid w:val="00F23E07"/>
    <w:rsid w:val="00F241AC"/>
    <w:rsid w:val="00F243F2"/>
    <w:rsid w:val="00F25A6E"/>
    <w:rsid w:val="00F25DC3"/>
    <w:rsid w:val="00F25F19"/>
    <w:rsid w:val="00F26843"/>
    <w:rsid w:val="00F2703B"/>
    <w:rsid w:val="00F2721A"/>
    <w:rsid w:val="00F278CB"/>
    <w:rsid w:val="00F27A30"/>
    <w:rsid w:val="00F3124C"/>
    <w:rsid w:val="00F31979"/>
    <w:rsid w:val="00F32F0F"/>
    <w:rsid w:val="00F3346B"/>
    <w:rsid w:val="00F33BD9"/>
    <w:rsid w:val="00F34686"/>
    <w:rsid w:val="00F36210"/>
    <w:rsid w:val="00F36E9D"/>
    <w:rsid w:val="00F40434"/>
    <w:rsid w:val="00F40807"/>
    <w:rsid w:val="00F40FF9"/>
    <w:rsid w:val="00F412DF"/>
    <w:rsid w:val="00F43057"/>
    <w:rsid w:val="00F4384D"/>
    <w:rsid w:val="00F448C5"/>
    <w:rsid w:val="00F44F7C"/>
    <w:rsid w:val="00F45912"/>
    <w:rsid w:val="00F510A7"/>
    <w:rsid w:val="00F528DE"/>
    <w:rsid w:val="00F52EDC"/>
    <w:rsid w:val="00F55315"/>
    <w:rsid w:val="00F555E6"/>
    <w:rsid w:val="00F567B7"/>
    <w:rsid w:val="00F61705"/>
    <w:rsid w:val="00F62A18"/>
    <w:rsid w:val="00F62E4D"/>
    <w:rsid w:val="00F63D0A"/>
    <w:rsid w:val="00F670C3"/>
    <w:rsid w:val="00F72D3E"/>
    <w:rsid w:val="00F72F91"/>
    <w:rsid w:val="00F73015"/>
    <w:rsid w:val="00F75433"/>
    <w:rsid w:val="00F7549A"/>
    <w:rsid w:val="00F75ACC"/>
    <w:rsid w:val="00F75B93"/>
    <w:rsid w:val="00F7637F"/>
    <w:rsid w:val="00F77155"/>
    <w:rsid w:val="00F77AD0"/>
    <w:rsid w:val="00F80465"/>
    <w:rsid w:val="00F80A3F"/>
    <w:rsid w:val="00F82520"/>
    <w:rsid w:val="00F843CC"/>
    <w:rsid w:val="00F856F0"/>
    <w:rsid w:val="00F85B1A"/>
    <w:rsid w:val="00F85EDC"/>
    <w:rsid w:val="00F92D8C"/>
    <w:rsid w:val="00F92DEF"/>
    <w:rsid w:val="00F92EE3"/>
    <w:rsid w:val="00F95CA3"/>
    <w:rsid w:val="00F95E2A"/>
    <w:rsid w:val="00F9600C"/>
    <w:rsid w:val="00F96652"/>
    <w:rsid w:val="00F9690C"/>
    <w:rsid w:val="00F96FD1"/>
    <w:rsid w:val="00F97D1C"/>
    <w:rsid w:val="00FA0A44"/>
    <w:rsid w:val="00FA15C8"/>
    <w:rsid w:val="00FA289E"/>
    <w:rsid w:val="00FA4D9F"/>
    <w:rsid w:val="00FA50F3"/>
    <w:rsid w:val="00FA56E6"/>
    <w:rsid w:val="00FA59AD"/>
    <w:rsid w:val="00FA5F8C"/>
    <w:rsid w:val="00FA6253"/>
    <w:rsid w:val="00FA62A3"/>
    <w:rsid w:val="00FA62CD"/>
    <w:rsid w:val="00FA67DD"/>
    <w:rsid w:val="00FB0F5C"/>
    <w:rsid w:val="00FB4832"/>
    <w:rsid w:val="00FB56C1"/>
    <w:rsid w:val="00FB6272"/>
    <w:rsid w:val="00FB66E9"/>
    <w:rsid w:val="00FC11C9"/>
    <w:rsid w:val="00FC16C6"/>
    <w:rsid w:val="00FC1D5F"/>
    <w:rsid w:val="00FC2811"/>
    <w:rsid w:val="00FC2967"/>
    <w:rsid w:val="00FC29ED"/>
    <w:rsid w:val="00FC3158"/>
    <w:rsid w:val="00FC3670"/>
    <w:rsid w:val="00FC39E1"/>
    <w:rsid w:val="00FC3ABC"/>
    <w:rsid w:val="00FC43C4"/>
    <w:rsid w:val="00FC4B7B"/>
    <w:rsid w:val="00FC520C"/>
    <w:rsid w:val="00FC5416"/>
    <w:rsid w:val="00FC59EE"/>
    <w:rsid w:val="00FC6383"/>
    <w:rsid w:val="00FC7021"/>
    <w:rsid w:val="00FC7D5B"/>
    <w:rsid w:val="00FD0F48"/>
    <w:rsid w:val="00FD13A2"/>
    <w:rsid w:val="00FD21BA"/>
    <w:rsid w:val="00FD487C"/>
    <w:rsid w:val="00FD4B75"/>
    <w:rsid w:val="00FD64D8"/>
    <w:rsid w:val="00FD78F3"/>
    <w:rsid w:val="00FE00A8"/>
    <w:rsid w:val="00FE118B"/>
    <w:rsid w:val="00FE1662"/>
    <w:rsid w:val="00FE2BF7"/>
    <w:rsid w:val="00FE5328"/>
    <w:rsid w:val="00FF05CC"/>
    <w:rsid w:val="00FF11E3"/>
    <w:rsid w:val="00FF1798"/>
    <w:rsid w:val="00FF2DED"/>
    <w:rsid w:val="00FF39E2"/>
    <w:rsid w:val="00FF4267"/>
    <w:rsid w:val="00FF495A"/>
    <w:rsid w:val="00FF532D"/>
    <w:rsid w:val="00FF545C"/>
    <w:rsid w:val="00FF5A33"/>
    <w:rsid w:val="39B13DAD"/>
    <w:rsid w:val="3B8288D4"/>
    <w:rsid w:val="48D5552D"/>
    <w:rsid w:val="72F2B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F1A9EE4E-C3BF-4681-BA5E-EF2194DB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1D"/>
    <w:pPr>
      <w:spacing w:line="274" w:lineRule="auto"/>
    </w:pPr>
    <w:rPr>
      <w:rFonts w:ascii="Arial" w:hAnsi="Arial"/>
    </w:rPr>
  </w:style>
  <w:style w:type="paragraph" w:styleId="Heading1">
    <w:name w:val="heading 1"/>
    <w:basedOn w:val="Normal"/>
    <w:next w:val="Normal"/>
    <w:link w:val="Heading1Char"/>
    <w:uiPriority w:val="9"/>
    <w:qFormat/>
    <w:rsid w:val="000C611D"/>
    <w:pPr>
      <w:keepNext/>
      <w:keepLines/>
      <w:numPr>
        <w:numId w:val="1"/>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0C611D"/>
    <w:pPr>
      <w:keepNext/>
      <w:keepLines/>
      <w:numPr>
        <w:ilvl w:val="1"/>
        <w:numId w:val="1"/>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0C611D"/>
    <w:pPr>
      <w:keepNext/>
      <w:keepLines/>
      <w:numPr>
        <w:ilvl w:val="2"/>
        <w:numId w:val="1"/>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8C7722"/>
    <w:pPr>
      <w:keepNext/>
      <w:keepLines/>
      <w:numPr>
        <w:ilvl w:val="3"/>
        <w:numId w:val="1"/>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8C7722"/>
    <w:pPr>
      <w:keepNext/>
      <w:keepLines/>
      <w:numPr>
        <w:ilvl w:val="4"/>
        <w:numId w:val="1"/>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1"/>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1"/>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1D"/>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0C611D"/>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0C611D"/>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Emphasis">
    <w:name w:val="Emphasis"/>
    <w:basedOn w:val="DefaultParagraphFont"/>
    <w:uiPriority w:val="20"/>
    <w:qFormat/>
    <w:rsid w:val="00463E33"/>
    <w:rPr>
      <w:i/>
      <w:iCs/>
    </w:rPr>
  </w:style>
  <w:style w:type="table" w:styleId="ListTable3">
    <w:name w:val="List Table 3"/>
    <w:basedOn w:val="TableNormal"/>
    <w:uiPriority w:val="48"/>
    <w:rsid w:val="00C70662"/>
    <w:pPr>
      <w:spacing w:after="0" w:line="240" w:lineRule="auto"/>
    </w:pPr>
    <w:tblPr>
      <w:tblStyleRowBandSize w:val="1"/>
      <w:tblStyleColBandSize w:val="1"/>
      <w:tblBorders>
        <w:top w:val="single" w:sz="4" w:space="0" w:color="351C26" w:themeColor="text1"/>
        <w:left w:val="single" w:sz="4" w:space="0" w:color="351C26" w:themeColor="text1"/>
        <w:bottom w:val="single" w:sz="4" w:space="0" w:color="351C26" w:themeColor="text1"/>
        <w:right w:val="single" w:sz="4" w:space="0" w:color="351C26" w:themeColor="text1"/>
      </w:tblBorders>
    </w:tblPr>
    <w:tblStylePr w:type="firstRow">
      <w:rPr>
        <w:b/>
        <w:bCs/>
        <w:color w:val="EDE8E0" w:themeColor="background1"/>
      </w:rPr>
      <w:tblPr/>
      <w:tcPr>
        <w:shd w:val="clear" w:color="auto" w:fill="351C26" w:themeFill="text1"/>
      </w:tcPr>
    </w:tblStylePr>
    <w:tblStylePr w:type="lastRow">
      <w:rPr>
        <w:b/>
        <w:bCs/>
      </w:rPr>
      <w:tblPr/>
      <w:tcPr>
        <w:tcBorders>
          <w:top w:val="double" w:sz="4" w:space="0" w:color="351C26" w:themeColor="text1"/>
        </w:tcBorders>
        <w:shd w:val="clear" w:color="auto" w:fill="EDE8E0" w:themeFill="background1"/>
      </w:tcPr>
    </w:tblStylePr>
    <w:tblStylePr w:type="firstCol">
      <w:rPr>
        <w:b/>
        <w:bCs/>
      </w:rPr>
      <w:tblPr/>
      <w:tcPr>
        <w:tcBorders>
          <w:right w:val="nil"/>
        </w:tcBorders>
        <w:shd w:val="clear" w:color="auto" w:fill="EDE8E0" w:themeFill="background1"/>
      </w:tcPr>
    </w:tblStylePr>
    <w:tblStylePr w:type="lastCol">
      <w:rPr>
        <w:b/>
        <w:bCs/>
      </w:rPr>
      <w:tblPr/>
      <w:tcPr>
        <w:tcBorders>
          <w:left w:val="nil"/>
        </w:tcBorders>
        <w:shd w:val="clear" w:color="auto" w:fill="EDE8E0" w:themeFill="background1"/>
      </w:tcPr>
    </w:tblStylePr>
    <w:tblStylePr w:type="band1Vert">
      <w:tblPr/>
      <w:tcPr>
        <w:tcBorders>
          <w:left w:val="single" w:sz="4" w:space="0" w:color="351C26" w:themeColor="text1"/>
          <w:right w:val="single" w:sz="4" w:space="0" w:color="351C26" w:themeColor="text1"/>
        </w:tcBorders>
      </w:tcPr>
    </w:tblStylePr>
    <w:tblStylePr w:type="band1Horz">
      <w:tblPr/>
      <w:tcPr>
        <w:tcBorders>
          <w:top w:val="single" w:sz="4" w:space="0" w:color="351C26" w:themeColor="text1"/>
          <w:bottom w:val="single" w:sz="4" w:space="0" w:color="351C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1C26" w:themeColor="text1"/>
          <w:left w:val="nil"/>
        </w:tcBorders>
      </w:tcPr>
    </w:tblStylePr>
    <w:tblStylePr w:type="swCell">
      <w:tblPr/>
      <w:tcPr>
        <w:tcBorders>
          <w:top w:val="double" w:sz="4" w:space="0" w:color="351C26" w:themeColor="text1"/>
          <w:right w:val="nil"/>
        </w:tcBorders>
      </w:tcPr>
    </w:tblStylePr>
  </w:style>
  <w:style w:type="table" w:customStyle="1" w:styleId="TableGrid0">
    <w:name w:val="TableGrid"/>
    <w:rsid w:val="005D53D5"/>
    <w:pPr>
      <w:spacing w:after="0" w:line="240" w:lineRule="auto"/>
    </w:pPr>
    <w:rPr>
      <w:rFonts w:eastAsia="Times New Roman"/>
      <w:sz w:val="24"/>
      <w:szCs w:val="24"/>
      <w:lang w:val="en-NZ" w:eastAsia="en-NZ"/>
    </w:rPr>
    <w:tblPr>
      <w:tblCellMar>
        <w:top w:w="0" w:type="dxa"/>
        <w:left w:w="0" w:type="dxa"/>
        <w:bottom w:w="0" w:type="dxa"/>
        <w:right w:w="0" w:type="dxa"/>
      </w:tblCellMar>
    </w:tblPr>
  </w:style>
  <w:style w:type="table" w:styleId="PlainTable1">
    <w:name w:val="Plain Table 1"/>
    <w:basedOn w:val="TableNormal"/>
    <w:uiPriority w:val="41"/>
    <w:rsid w:val="009816E2"/>
    <w:pPr>
      <w:spacing w:after="0" w:line="240" w:lineRule="auto"/>
    </w:pPr>
    <w:tblPr>
      <w:tblStyleRowBandSize w:val="1"/>
      <w:tblStyleColBandSize w:val="1"/>
      <w:tblBorders>
        <w:top w:val="single" w:sz="4" w:space="0" w:color="C2B196" w:themeColor="background1" w:themeShade="BF"/>
        <w:left w:val="single" w:sz="4" w:space="0" w:color="C2B196" w:themeColor="background1" w:themeShade="BF"/>
        <w:bottom w:val="single" w:sz="4" w:space="0" w:color="C2B196" w:themeColor="background1" w:themeShade="BF"/>
        <w:right w:val="single" w:sz="4" w:space="0" w:color="C2B196" w:themeColor="background1" w:themeShade="BF"/>
        <w:insideH w:val="single" w:sz="4" w:space="0" w:color="C2B196" w:themeColor="background1" w:themeShade="BF"/>
        <w:insideV w:val="single" w:sz="4" w:space="0" w:color="C2B196" w:themeColor="background1" w:themeShade="BF"/>
      </w:tblBorders>
    </w:tblPr>
    <w:tblStylePr w:type="firstRow">
      <w:rPr>
        <w:b/>
        <w:bCs/>
      </w:rPr>
    </w:tblStylePr>
    <w:tblStylePr w:type="lastRow">
      <w:rPr>
        <w:b/>
        <w:bCs/>
      </w:rPr>
      <w:tblPr/>
      <w:tcPr>
        <w:tcBorders>
          <w:top w:val="double" w:sz="4" w:space="0" w:color="C2B196" w:themeColor="background1" w:themeShade="BF"/>
        </w:tcBorders>
      </w:tcPr>
    </w:tblStylePr>
    <w:tblStylePr w:type="firstCol">
      <w:rPr>
        <w:b/>
        <w:bCs/>
      </w:rPr>
    </w:tblStylePr>
    <w:tblStylePr w:type="lastCol">
      <w:rPr>
        <w:b/>
        <w:bCs/>
      </w:rPr>
    </w:tblStylePr>
    <w:tblStylePr w:type="band1Vert">
      <w:tblPr/>
      <w:tcPr>
        <w:shd w:val="clear" w:color="auto" w:fill="E4DCD1" w:themeFill="background1" w:themeFillShade="F2"/>
      </w:tcPr>
    </w:tblStylePr>
    <w:tblStylePr w:type="band1Horz">
      <w:tblPr/>
      <w:tcPr>
        <w:shd w:val="clear" w:color="auto" w:fill="E4DCD1" w:themeFill="background1" w:themeFillShade="F2"/>
      </w:tcPr>
    </w:tblStylePr>
  </w:style>
  <w:style w:type="table" w:styleId="ListTable2">
    <w:name w:val="List Table 2"/>
    <w:basedOn w:val="TableNormal"/>
    <w:uiPriority w:val="47"/>
    <w:rsid w:val="00360BD5"/>
    <w:pPr>
      <w:spacing w:after="0" w:line="240" w:lineRule="auto"/>
    </w:pPr>
    <w:tblPr>
      <w:tblStyleRowBandSize w:val="1"/>
      <w:tblStyleColBandSize w:val="1"/>
      <w:tblBorders>
        <w:top w:val="single" w:sz="4" w:space="0" w:color="A55776" w:themeColor="text1" w:themeTint="99"/>
        <w:bottom w:val="single" w:sz="4" w:space="0" w:color="A55776" w:themeColor="text1" w:themeTint="99"/>
        <w:insideH w:val="single" w:sz="4" w:space="0" w:color="A557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C6D1" w:themeFill="text1" w:themeFillTint="33"/>
      </w:tcPr>
    </w:tblStylePr>
    <w:tblStylePr w:type="band1Horz">
      <w:tblPr/>
      <w:tcPr>
        <w:shd w:val="clear" w:color="auto" w:fill="E1C6D1" w:themeFill="text1" w:themeFillTint="33"/>
      </w:tcPr>
    </w:tblStylePr>
  </w:style>
  <w:style w:type="table" w:styleId="GridTable4-Accent2">
    <w:name w:val="Grid Table 4 Accent 2"/>
    <w:basedOn w:val="TableNormal"/>
    <w:uiPriority w:val="49"/>
    <w:rsid w:val="00360BD5"/>
    <w:pPr>
      <w:spacing w:after="0" w:line="240" w:lineRule="auto"/>
    </w:pPr>
    <w:tblPr>
      <w:tblStyleRowBandSize w:val="1"/>
      <w:tblStyleColBandSize w:val="1"/>
      <w:tblBorders>
        <w:top w:val="single" w:sz="4" w:space="0" w:color="B5799C" w:themeColor="accent2" w:themeTint="99"/>
        <w:left w:val="single" w:sz="4" w:space="0" w:color="B5799C" w:themeColor="accent2" w:themeTint="99"/>
        <w:bottom w:val="single" w:sz="4" w:space="0" w:color="B5799C" w:themeColor="accent2" w:themeTint="99"/>
        <w:right w:val="single" w:sz="4" w:space="0" w:color="B5799C" w:themeColor="accent2" w:themeTint="99"/>
        <w:insideH w:val="single" w:sz="4" w:space="0" w:color="B5799C" w:themeColor="accent2" w:themeTint="99"/>
        <w:insideV w:val="single" w:sz="4" w:space="0" w:color="B5799C" w:themeColor="accent2" w:themeTint="99"/>
      </w:tblBorders>
    </w:tblPr>
    <w:tblStylePr w:type="firstRow">
      <w:rPr>
        <w:b/>
        <w:bCs/>
        <w:color w:val="EDE8E0" w:themeColor="background1"/>
      </w:rPr>
      <w:tblPr/>
      <w:tcPr>
        <w:tcBorders>
          <w:top w:val="single" w:sz="4" w:space="0" w:color="6B3B57" w:themeColor="accent2"/>
          <w:left w:val="single" w:sz="4" w:space="0" w:color="6B3B57" w:themeColor="accent2"/>
          <w:bottom w:val="single" w:sz="4" w:space="0" w:color="6B3B57" w:themeColor="accent2"/>
          <w:right w:val="single" w:sz="4" w:space="0" w:color="6B3B57" w:themeColor="accent2"/>
          <w:insideH w:val="nil"/>
          <w:insideV w:val="nil"/>
        </w:tcBorders>
        <w:shd w:val="clear" w:color="auto" w:fill="6B3B57" w:themeFill="accent2"/>
      </w:tcPr>
    </w:tblStylePr>
    <w:tblStylePr w:type="lastRow">
      <w:rPr>
        <w:b/>
        <w:bCs/>
      </w:rPr>
      <w:tblPr/>
      <w:tcPr>
        <w:tcBorders>
          <w:top w:val="double" w:sz="4" w:space="0" w:color="6B3B57" w:themeColor="accent2"/>
        </w:tcBorders>
      </w:tcPr>
    </w:tblStylePr>
    <w:tblStylePr w:type="firstCol">
      <w:rPr>
        <w:b/>
        <w:bCs/>
      </w:rPr>
    </w:tblStylePr>
    <w:tblStylePr w:type="lastCol">
      <w:rPr>
        <w:b/>
        <w:bCs/>
      </w:rPr>
    </w:tblStylePr>
    <w:tblStylePr w:type="band1Vert">
      <w:tblPr/>
      <w:tcPr>
        <w:shd w:val="clear" w:color="auto" w:fill="E6D2DE" w:themeFill="accent2" w:themeFillTint="33"/>
      </w:tcPr>
    </w:tblStylePr>
    <w:tblStylePr w:type="band1Horz">
      <w:tblPr/>
      <w:tcPr>
        <w:shd w:val="clear" w:color="auto" w:fill="E6D2DE" w:themeFill="accent2" w:themeFillTint="33"/>
      </w:tcPr>
    </w:tblStylePr>
  </w:style>
  <w:style w:type="table" w:styleId="GridTable4">
    <w:name w:val="Grid Table 4"/>
    <w:basedOn w:val="TableNormal"/>
    <w:uiPriority w:val="49"/>
    <w:rsid w:val="00F01B62"/>
    <w:pPr>
      <w:spacing w:after="0" w:line="240" w:lineRule="auto"/>
    </w:pPr>
    <w:tblPr>
      <w:tblStyleRowBandSize w:val="1"/>
      <w:tblStyleColBandSize w:val="1"/>
      <w:tblBorders>
        <w:top w:val="single" w:sz="4" w:space="0" w:color="A55776" w:themeColor="text1" w:themeTint="99"/>
        <w:left w:val="single" w:sz="4" w:space="0" w:color="A55776" w:themeColor="text1" w:themeTint="99"/>
        <w:bottom w:val="single" w:sz="4" w:space="0" w:color="A55776" w:themeColor="text1" w:themeTint="99"/>
        <w:right w:val="single" w:sz="4" w:space="0" w:color="A55776" w:themeColor="text1" w:themeTint="99"/>
        <w:insideH w:val="single" w:sz="4" w:space="0" w:color="A55776" w:themeColor="text1" w:themeTint="99"/>
        <w:insideV w:val="single" w:sz="4" w:space="0" w:color="A55776" w:themeColor="text1" w:themeTint="99"/>
      </w:tblBorders>
    </w:tblPr>
    <w:tblStylePr w:type="firstRow">
      <w:rPr>
        <w:b/>
        <w:bCs/>
        <w:color w:val="EDE8E0" w:themeColor="background1"/>
      </w:rPr>
      <w:tblPr/>
      <w:tcPr>
        <w:tcBorders>
          <w:top w:val="single" w:sz="4" w:space="0" w:color="351C26" w:themeColor="text1"/>
          <w:left w:val="single" w:sz="4" w:space="0" w:color="351C26" w:themeColor="text1"/>
          <w:bottom w:val="single" w:sz="4" w:space="0" w:color="351C26" w:themeColor="text1"/>
          <w:right w:val="single" w:sz="4" w:space="0" w:color="351C26" w:themeColor="text1"/>
          <w:insideH w:val="nil"/>
          <w:insideV w:val="nil"/>
        </w:tcBorders>
        <w:shd w:val="clear" w:color="auto" w:fill="351C26" w:themeFill="text1"/>
      </w:tcPr>
    </w:tblStylePr>
    <w:tblStylePr w:type="lastRow">
      <w:rPr>
        <w:b/>
        <w:bCs/>
      </w:rPr>
      <w:tblPr/>
      <w:tcPr>
        <w:tcBorders>
          <w:top w:val="double" w:sz="4" w:space="0" w:color="351C26" w:themeColor="text1"/>
        </w:tcBorders>
      </w:tcPr>
    </w:tblStylePr>
    <w:tblStylePr w:type="firstCol">
      <w:rPr>
        <w:b/>
        <w:bCs/>
      </w:rPr>
    </w:tblStylePr>
    <w:tblStylePr w:type="lastCol">
      <w:rPr>
        <w:b/>
        <w:bCs/>
      </w:rPr>
    </w:tblStylePr>
    <w:tblStylePr w:type="band1Vert">
      <w:tblPr/>
      <w:tcPr>
        <w:shd w:val="clear" w:color="auto" w:fill="E1C6D1" w:themeFill="text1" w:themeFillTint="33"/>
      </w:tcPr>
    </w:tblStylePr>
    <w:tblStylePr w:type="band1Horz">
      <w:tblPr/>
      <w:tcPr>
        <w:shd w:val="clear" w:color="auto" w:fill="E1C6D1"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025">
      <w:bodyDiv w:val="1"/>
      <w:marLeft w:val="0"/>
      <w:marRight w:val="0"/>
      <w:marTop w:val="0"/>
      <w:marBottom w:val="0"/>
      <w:divBdr>
        <w:top w:val="none" w:sz="0" w:space="0" w:color="auto"/>
        <w:left w:val="none" w:sz="0" w:space="0" w:color="auto"/>
        <w:bottom w:val="none" w:sz="0" w:space="0" w:color="auto"/>
        <w:right w:val="none" w:sz="0" w:space="0" w:color="auto"/>
      </w:divBdr>
    </w:div>
    <w:div w:id="505218875">
      <w:bodyDiv w:val="1"/>
      <w:marLeft w:val="0"/>
      <w:marRight w:val="0"/>
      <w:marTop w:val="0"/>
      <w:marBottom w:val="0"/>
      <w:divBdr>
        <w:top w:val="none" w:sz="0" w:space="0" w:color="auto"/>
        <w:left w:val="none" w:sz="0" w:space="0" w:color="auto"/>
        <w:bottom w:val="none" w:sz="0" w:space="0" w:color="auto"/>
        <w:right w:val="none" w:sz="0" w:space="0" w:color="auto"/>
      </w:divBdr>
    </w:div>
    <w:div w:id="513150005">
      <w:bodyDiv w:val="1"/>
      <w:marLeft w:val="0"/>
      <w:marRight w:val="0"/>
      <w:marTop w:val="0"/>
      <w:marBottom w:val="0"/>
      <w:divBdr>
        <w:top w:val="none" w:sz="0" w:space="0" w:color="auto"/>
        <w:left w:val="none" w:sz="0" w:space="0" w:color="auto"/>
        <w:bottom w:val="none" w:sz="0" w:space="0" w:color="auto"/>
        <w:right w:val="none" w:sz="0" w:space="0" w:color="auto"/>
      </w:divBdr>
    </w:div>
    <w:div w:id="1057777957">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109154670">
      <w:bodyDiv w:val="1"/>
      <w:marLeft w:val="0"/>
      <w:marRight w:val="0"/>
      <w:marTop w:val="0"/>
      <w:marBottom w:val="0"/>
      <w:divBdr>
        <w:top w:val="none" w:sz="0" w:space="0" w:color="auto"/>
        <w:left w:val="none" w:sz="0" w:space="0" w:color="auto"/>
        <w:bottom w:val="none" w:sz="0" w:space="0" w:color="auto"/>
        <w:right w:val="none" w:sz="0" w:space="0" w:color="auto"/>
      </w:divBdr>
    </w:div>
    <w:div w:id="17414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ses.edu.au" TargetMode="External"/><Relationship Id="rId18" Type="http://schemas.openxmlformats.org/officeDocument/2006/relationships/hyperlink" Target="https://www.education.gov.au/heppp/resources/student-equity-higher-education-evaluation-framework-seheef-guidance-manual" TargetMode="Externa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www.education.gov.au/heppp/resources/student-equity-higher-education-evaluation-framework-seheef-final-repo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ses@curtin.edu.au" TargetMode="External"/><Relationship Id="rId17" Type="http://schemas.openxmlformats.org/officeDocument/2006/relationships/hyperlink" Target="https://www.education.gov.au/heppp" TargetMode="External"/><Relationship Id="rId25" Type="http://schemas.openxmlformats.org/officeDocument/2006/relationships/hyperlink" Target="https://s3.ap-southeast-2.amazonaws.com/assets.acses.edu.au/app/uploads/2024/12/Socialising-the-SEHEEF-at-Deakin-Universit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gov.au/heppp" TargetMode="External"/><Relationship Id="rId20" Type="http://schemas.openxmlformats.org/officeDocument/2006/relationships/hyperlink" Target="https://www.education.gov.au/heppp/resources/student-equity-higher-education-evaluation-framework-seheef-final-repor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3.ap-southeast-2.amazonaws.com/assets.acses.edu.au/app/uploads/2024/12/Socialising-the-SEHEEF-at-Deakin-University.pdf"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education.gov.au/heppp" TargetMode="External"/><Relationship Id="rId23" Type="http://schemas.openxmlformats.org/officeDocument/2006/relationships/hyperlink" Target="https://www.education.gov.au/heppp/resources/student-equity-higher-education-evaluation-framework-seheef-final-report" TargetMode="External"/><Relationship Id="rId28"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https://www.education.gov.au/heppp/resources/student-equity-higher-education-evaluation-framework-seheef-guidance-manual"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heppp" TargetMode="External"/><Relationship Id="rId22" Type="http://schemas.openxmlformats.org/officeDocument/2006/relationships/hyperlink" Target="https://www.education.gov.au/heppp/resources/student-equity-higher-education-evaluation-framework-seheef-final-report" TargetMode="External"/><Relationship Id="rId27" Type="http://schemas.openxmlformats.org/officeDocument/2006/relationships/footer" Target="footer1.xml"/><Relationship Id="rId30" Type="http://schemas.openxmlformats.org/officeDocument/2006/relationships/diagramQuickStyle" Target="diagrams/quickStyle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AAA0E3-C097-403D-9507-A34282D0EA73}" type="doc">
      <dgm:prSet loTypeId="urn:microsoft.com/office/officeart/2005/8/layout/matrix2" loCatId="matrix" qsTypeId="urn:microsoft.com/office/officeart/2005/8/quickstyle/simple1" qsCatId="simple" csTypeId="urn:microsoft.com/office/officeart/2005/8/colors/accent0_3" csCatId="mainScheme" phldr="1"/>
      <dgm:spPr/>
      <dgm:t>
        <a:bodyPr/>
        <a:lstStyle/>
        <a:p>
          <a:endParaRPr lang="en-AU"/>
        </a:p>
      </dgm:t>
    </dgm:pt>
    <dgm:pt modelId="{A94226E7-42F4-4391-8EEF-A903DAE53F18}">
      <dgm:prSet phldrT="[Text]" custT="1"/>
      <dgm:spPr/>
      <dgm:t>
        <a:bodyPr/>
        <a:lstStyle/>
        <a:p>
          <a:r>
            <a:rPr lang="en-AU" sz="1400">
              <a:latin typeface="Arial" panose="020B0604020202020204" pitchFamily="34" charset="0"/>
              <a:cs typeface="Arial" panose="020B0604020202020204" pitchFamily="34" charset="0"/>
            </a:rPr>
            <a:t>Equity student who did participate in the program</a:t>
          </a:r>
        </a:p>
      </dgm:t>
      <dgm:extLst>
        <a:ext uri="{E40237B7-FDA0-4F09-8148-C483321AD2D9}">
          <dgm14:cNvPr xmlns:dgm14="http://schemas.microsoft.com/office/drawing/2010/diagram" id="0" name="" descr="Box one contains the text, equity student who did participate in the program&#10;"/>
        </a:ext>
      </dgm:extLst>
    </dgm:pt>
    <dgm:pt modelId="{D97EBDD4-22E3-4C4E-81E3-980DBDF91353}" type="parTrans" cxnId="{53CDBBC0-0719-420A-AB59-941240F838BE}">
      <dgm:prSet/>
      <dgm:spPr/>
      <dgm:t>
        <a:bodyPr/>
        <a:lstStyle/>
        <a:p>
          <a:endParaRPr lang="en-AU" sz="1400">
            <a:latin typeface="Arial" panose="020B0604020202020204" pitchFamily="34" charset="0"/>
            <a:cs typeface="Arial" panose="020B0604020202020204" pitchFamily="34" charset="0"/>
          </a:endParaRPr>
        </a:p>
      </dgm:t>
    </dgm:pt>
    <dgm:pt modelId="{3A918269-0BA8-4D13-A67D-8997DFE34A7E}" type="sibTrans" cxnId="{53CDBBC0-0719-420A-AB59-941240F838BE}">
      <dgm:prSet/>
      <dgm:spPr/>
      <dgm:t>
        <a:bodyPr/>
        <a:lstStyle/>
        <a:p>
          <a:endParaRPr lang="en-AU" sz="1400">
            <a:latin typeface="Arial" panose="020B0604020202020204" pitchFamily="34" charset="0"/>
            <a:cs typeface="Arial" panose="020B0604020202020204" pitchFamily="34" charset="0"/>
          </a:endParaRPr>
        </a:p>
      </dgm:t>
    </dgm:pt>
    <dgm:pt modelId="{FB51ADA4-4E92-4245-AC98-26EA08F39352}">
      <dgm:prSet phldrT="[Text]" custT="1"/>
      <dgm:spPr/>
      <dgm:t>
        <a:bodyPr/>
        <a:lstStyle/>
        <a:p>
          <a:r>
            <a:rPr lang="en-AU" sz="1400">
              <a:latin typeface="Arial" panose="020B0604020202020204" pitchFamily="34" charset="0"/>
              <a:cs typeface="Arial" panose="020B0604020202020204" pitchFamily="34" charset="0"/>
            </a:rPr>
            <a:t>Equity student who did not participate in the program</a:t>
          </a:r>
        </a:p>
      </dgm:t>
      <dgm:extLst>
        <a:ext uri="{E40237B7-FDA0-4F09-8148-C483321AD2D9}">
          <dgm14:cNvPr xmlns:dgm14="http://schemas.microsoft.com/office/drawing/2010/diagram" id="0" name="" descr="Box two contains the text, equity student who did not participate in the program&#10;"/>
        </a:ext>
      </dgm:extLst>
    </dgm:pt>
    <dgm:pt modelId="{22DF3CF6-C63D-4952-AABB-533E3BC787F9}" type="parTrans" cxnId="{C5F325FC-B56A-40A7-888F-6F3CE5F722B2}">
      <dgm:prSet/>
      <dgm:spPr/>
      <dgm:t>
        <a:bodyPr/>
        <a:lstStyle/>
        <a:p>
          <a:endParaRPr lang="en-AU" sz="1400">
            <a:latin typeface="Arial" panose="020B0604020202020204" pitchFamily="34" charset="0"/>
            <a:cs typeface="Arial" panose="020B0604020202020204" pitchFamily="34" charset="0"/>
          </a:endParaRPr>
        </a:p>
      </dgm:t>
    </dgm:pt>
    <dgm:pt modelId="{E5678723-6527-433D-84B9-604F955503E0}" type="sibTrans" cxnId="{C5F325FC-B56A-40A7-888F-6F3CE5F722B2}">
      <dgm:prSet/>
      <dgm:spPr/>
      <dgm:t>
        <a:bodyPr/>
        <a:lstStyle/>
        <a:p>
          <a:endParaRPr lang="en-AU" sz="1400">
            <a:latin typeface="Arial" panose="020B0604020202020204" pitchFamily="34" charset="0"/>
            <a:cs typeface="Arial" panose="020B0604020202020204" pitchFamily="34" charset="0"/>
          </a:endParaRPr>
        </a:p>
      </dgm:t>
    </dgm:pt>
    <dgm:pt modelId="{65B1232D-7C69-4D38-AC3A-CA1871C0A53B}">
      <dgm:prSet phldrT="[Text]" custT="1"/>
      <dgm:spPr/>
      <dgm:t>
        <a:bodyPr/>
        <a:lstStyle/>
        <a:p>
          <a:r>
            <a:rPr lang="en-AU" sz="1400">
              <a:latin typeface="Arial" panose="020B0604020202020204" pitchFamily="34" charset="0"/>
              <a:cs typeface="Arial" panose="020B0604020202020204" pitchFamily="34" charset="0"/>
            </a:rPr>
            <a:t>Non-equity student who did participate in the program</a:t>
          </a:r>
        </a:p>
      </dgm:t>
      <dgm:extLst>
        <a:ext uri="{E40237B7-FDA0-4F09-8148-C483321AD2D9}">
          <dgm14:cNvPr xmlns:dgm14="http://schemas.microsoft.com/office/drawing/2010/diagram" id="0" name="" descr="Box three contains the text, non-equity student who did participate in the program&#10;"/>
        </a:ext>
      </dgm:extLst>
    </dgm:pt>
    <dgm:pt modelId="{8FA88710-A0C7-43F3-AFED-ACA1ED468C6A}" type="parTrans" cxnId="{1569AE92-C0F7-445A-90E6-A9C87C920DF4}">
      <dgm:prSet/>
      <dgm:spPr/>
      <dgm:t>
        <a:bodyPr/>
        <a:lstStyle/>
        <a:p>
          <a:endParaRPr lang="en-AU" sz="1400">
            <a:latin typeface="Arial" panose="020B0604020202020204" pitchFamily="34" charset="0"/>
            <a:cs typeface="Arial" panose="020B0604020202020204" pitchFamily="34" charset="0"/>
          </a:endParaRPr>
        </a:p>
      </dgm:t>
    </dgm:pt>
    <dgm:pt modelId="{A3196A59-6EDB-43EB-BF58-FE7A764B3E55}" type="sibTrans" cxnId="{1569AE92-C0F7-445A-90E6-A9C87C920DF4}">
      <dgm:prSet/>
      <dgm:spPr/>
      <dgm:t>
        <a:bodyPr/>
        <a:lstStyle/>
        <a:p>
          <a:endParaRPr lang="en-AU" sz="1400">
            <a:latin typeface="Arial" panose="020B0604020202020204" pitchFamily="34" charset="0"/>
            <a:cs typeface="Arial" panose="020B0604020202020204" pitchFamily="34" charset="0"/>
          </a:endParaRPr>
        </a:p>
      </dgm:t>
    </dgm:pt>
    <dgm:pt modelId="{602EE829-9DBB-4544-B12A-A005179B32BA}">
      <dgm:prSet phldrT="[Text]" custT="1"/>
      <dgm:spPr/>
      <dgm:t>
        <a:bodyPr/>
        <a:lstStyle/>
        <a:p>
          <a:r>
            <a:rPr lang="en-AU" sz="1400">
              <a:latin typeface="Arial" panose="020B0604020202020204" pitchFamily="34" charset="0"/>
              <a:cs typeface="Arial" panose="020B0604020202020204" pitchFamily="34" charset="0"/>
            </a:rPr>
            <a:t>Non-equity student who did not participate in the program</a:t>
          </a:r>
        </a:p>
      </dgm:t>
      <dgm:extLst>
        <a:ext uri="{E40237B7-FDA0-4F09-8148-C483321AD2D9}">
          <dgm14:cNvPr xmlns:dgm14="http://schemas.microsoft.com/office/drawing/2010/diagram" id="0" name="" descr="Box four contains the text, non-equity student who did not participate in the program&#10;"/>
        </a:ext>
      </dgm:extLst>
    </dgm:pt>
    <dgm:pt modelId="{F8E455B1-319E-4E67-AE09-8C677DCB1F8E}" type="parTrans" cxnId="{59FE437C-BEDD-4318-A719-5A7527544E23}">
      <dgm:prSet/>
      <dgm:spPr/>
      <dgm:t>
        <a:bodyPr/>
        <a:lstStyle/>
        <a:p>
          <a:endParaRPr lang="en-AU" sz="1400">
            <a:latin typeface="Arial" panose="020B0604020202020204" pitchFamily="34" charset="0"/>
            <a:cs typeface="Arial" panose="020B0604020202020204" pitchFamily="34" charset="0"/>
          </a:endParaRPr>
        </a:p>
      </dgm:t>
    </dgm:pt>
    <dgm:pt modelId="{2EC2C88F-1436-48A4-87D3-37EF990EE1AE}" type="sibTrans" cxnId="{59FE437C-BEDD-4318-A719-5A7527544E23}">
      <dgm:prSet/>
      <dgm:spPr/>
      <dgm:t>
        <a:bodyPr/>
        <a:lstStyle/>
        <a:p>
          <a:endParaRPr lang="en-AU" sz="1400">
            <a:latin typeface="Arial" panose="020B0604020202020204" pitchFamily="34" charset="0"/>
            <a:cs typeface="Arial" panose="020B0604020202020204" pitchFamily="34" charset="0"/>
          </a:endParaRPr>
        </a:p>
      </dgm:t>
    </dgm:pt>
    <dgm:pt modelId="{77A0E57B-697D-4AEB-9B26-D4D23AEDCDF8}" type="pres">
      <dgm:prSet presAssocID="{05AAA0E3-C097-403D-9507-A34282D0EA73}" presName="matrix" presStyleCnt="0">
        <dgm:presLayoutVars>
          <dgm:chMax val="1"/>
          <dgm:dir/>
          <dgm:resizeHandles val="exact"/>
        </dgm:presLayoutVars>
      </dgm:prSet>
      <dgm:spPr/>
    </dgm:pt>
    <dgm:pt modelId="{FA00FA72-D047-4D68-A4D5-5FAE38D6C833}" type="pres">
      <dgm:prSet presAssocID="{05AAA0E3-C097-403D-9507-A34282D0EA73}" presName="axisShape" presStyleLbl="bgShp" presStyleIdx="0" presStyleCnt="1" custScaleX="142857"/>
      <dgm:spPr/>
    </dgm:pt>
    <dgm:pt modelId="{AF2C036A-1956-4B29-AF03-05B1A12F1CDB}" type="pres">
      <dgm:prSet presAssocID="{05AAA0E3-C097-403D-9507-A34282D0EA73}" presName="rect1" presStyleLbl="node1" presStyleIdx="0" presStyleCnt="4">
        <dgm:presLayoutVars>
          <dgm:chMax val="0"/>
          <dgm:chPref val="0"/>
          <dgm:bulletEnabled val="1"/>
        </dgm:presLayoutVars>
      </dgm:prSet>
      <dgm:spPr/>
    </dgm:pt>
    <dgm:pt modelId="{7E9D10EA-42CC-406C-9E17-ACEB230230B3}" type="pres">
      <dgm:prSet presAssocID="{05AAA0E3-C097-403D-9507-A34282D0EA73}" presName="rect2" presStyleLbl="node1" presStyleIdx="1" presStyleCnt="4">
        <dgm:presLayoutVars>
          <dgm:chMax val="0"/>
          <dgm:chPref val="0"/>
          <dgm:bulletEnabled val="1"/>
        </dgm:presLayoutVars>
      </dgm:prSet>
      <dgm:spPr/>
    </dgm:pt>
    <dgm:pt modelId="{E884300E-6490-4EC2-808D-FE597C0B7A05}" type="pres">
      <dgm:prSet presAssocID="{05AAA0E3-C097-403D-9507-A34282D0EA73}" presName="rect3" presStyleLbl="node1" presStyleIdx="2" presStyleCnt="4">
        <dgm:presLayoutVars>
          <dgm:chMax val="0"/>
          <dgm:chPref val="0"/>
          <dgm:bulletEnabled val="1"/>
        </dgm:presLayoutVars>
      </dgm:prSet>
      <dgm:spPr/>
    </dgm:pt>
    <dgm:pt modelId="{611F4EC5-F8B0-4F95-B80C-EE7C2A1E8284}" type="pres">
      <dgm:prSet presAssocID="{05AAA0E3-C097-403D-9507-A34282D0EA73}" presName="rect4" presStyleLbl="node1" presStyleIdx="3" presStyleCnt="4">
        <dgm:presLayoutVars>
          <dgm:chMax val="0"/>
          <dgm:chPref val="0"/>
          <dgm:bulletEnabled val="1"/>
        </dgm:presLayoutVars>
      </dgm:prSet>
      <dgm:spPr/>
    </dgm:pt>
  </dgm:ptLst>
  <dgm:cxnLst>
    <dgm:cxn modelId="{0CB2CA0D-E86D-4ECC-90B2-956B3C3EE935}" type="presOf" srcId="{602EE829-9DBB-4544-B12A-A005179B32BA}" destId="{611F4EC5-F8B0-4F95-B80C-EE7C2A1E8284}" srcOrd="0" destOrd="0" presId="urn:microsoft.com/office/officeart/2005/8/layout/matrix2"/>
    <dgm:cxn modelId="{B9641C22-2F87-4A31-8595-4380C7C890AB}" type="presOf" srcId="{A94226E7-42F4-4391-8EEF-A903DAE53F18}" destId="{AF2C036A-1956-4B29-AF03-05B1A12F1CDB}" srcOrd="0" destOrd="0" presId="urn:microsoft.com/office/officeart/2005/8/layout/matrix2"/>
    <dgm:cxn modelId="{59FE437C-BEDD-4318-A719-5A7527544E23}" srcId="{05AAA0E3-C097-403D-9507-A34282D0EA73}" destId="{602EE829-9DBB-4544-B12A-A005179B32BA}" srcOrd="3" destOrd="0" parTransId="{F8E455B1-319E-4E67-AE09-8C677DCB1F8E}" sibTransId="{2EC2C88F-1436-48A4-87D3-37EF990EE1AE}"/>
    <dgm:cxn modelId="{1569AE92-C0F7-445A-90E6-A9C87C920DF4}" srcId="{05AAA0E3-C097-403D-9507-A34282D0EA73}" destId="{65B1232D-7C69-4D38-AC3A-CA1871C0A53B}" srcOrd="2" destOrd="0" parTransId="{8FA88710-A0C7-43F3-AFED-ACA1ED468C6A}" sibTransId="{A3196A59-6EDB-43EB-BF58-FE7A764B3E55}"/>
    <dgm:cxn modelId="{B96AE398-970F-40C6-AB5F-BBAB8C083B6C}" type="presOf" srcId="{65B1232D-7C69-4D38-AC3A-CA1871C0A53B}" destId="{E884300E-6490-4EC2-808D-FE597C0B7A05}" srcOrd="0" destOrd="0" presId="urn:microsoft.com/office/officeart/2005/8/layout/matrix2"/>
    <dgm:cxn modelId="{170481AA-8B6E-4B84-B940-134E1D08B250}" type="presOf" srcId="{05AAA0E3-C097-403D-9507-A34282D0EA73}" destId="{77A0E57B-697D-4AEB-9B26-D4D23AEDCDF8}" srcOrd="0" destOrd="0" presId="urn:microsoft.com/office/officeart/2005/8/layout/matrix2"/>
    <dgm:cxn modelId="{BB28A7B8-9913-4DD1-B740-D887C9A2A740}" type="presOf" srcId="{FB51ADA4-4E92-4245-AC98-26EA08F39352}" destId="{7E9D10EA-42CC-406C-9E17-ACEB230230B3}" srcOrd="0" destOrd="0" presId="urn:microsoft.com/office/officeart/2005/8/layout/matrix2"/>
    <dgm:cxn modelId="{53CDBBC0-0719-420A-AB59-941240F838BE}" srcId="{05AAA0E3-C097-403D-9507-A34282D0EA73}" destId="{A94226E7-42F4-4391-8EEF-A903DAE53F18}" srcOrd="0" destOrd="0" parTransId="{D97EBDD4-22E3-4C4E-81E3-980DBDF91353}" sibTransId="{3A918269-0BA8-4D13-A67D-8997DFE34A7E}"/>
    <dgm:cxn modelId="{C5F325FC-B56A-40A7-888F-6F3CE5F722B2}" srcId="{05AAA0E3-C097-403D-9507-A34282D0EA73}" destId="{FB51ADA4-4E92-4245-AC98-26EA08F39352}" srcOrd="1" destOrd="0" parTransId="{22DF3CF6-C63D-4952-AABB-533E3BC787F9}" sibTransId="{E5678723-6527-433D-84B9-604F955503E0}"/>
    <dgm:cxn modelId="{24C866F3-340D-4B41-A30F-F4A815031773}" type="presParOf" srcId="{77A0E57B-697D-4AEB-9B26-D4D23AEDCDF8}" destId="{FA00FA72-D047-4D68-A4D5-5FAE38D6C833}" srcOrd="0" destOrd="0" presId="urn:microsoft.com/office/officeart/2005/8/layout/matrix2"/>
    <dgm:cxn modelId="{BE2A508F-3DDB-4FF3-86A3-63A506518534}" type="presParOf" srcId="{77A0E57B-697D-4AEB-9B26-D4D23AEDCDF8}" destId="{AF2C036A-1956-4B29-AF03-05B1A12F1CDB}" srcOrd="1" destOrd="0" presId="urn:microsoft.com/office/officeart/2005/8/layout/matrix2"/>
    <dgm:cxn modelId="{5134FBC6-25F0-4460-8E29-42CE59E73943}" type="presParOf" srcId="{77A0E57B-697D-4AEB-9B26-D4D23AEDCDF8}" destId="{7E9D10EA-42CC-406C-9E17-ACEB230230B3}" srcOrd="2" destOrd="0" presId="urn:microsoft.com/office/officeart/2005/8/layout/matrix2"/>
    <dgm:cxn modelId="{B1AD8A77-4A62-491F-952B-AC1B2C3E2ABB}" type="presParOf" srcId="{77A0E57B-697D-4AEB-9B26-D4D23AEDCDF8}" destId="{E884300E-6490-4EC2-808D-FE597C0B7A05}" srcOrd="3" destOrd="0" presId="urn:microsoft.com/office/officeart/2005/8/layout/matrix2"/>
    <dgm:cxn modelId="{FE62160C-2EE0-46DA-A2E2-DB06775BF4A7}" type="presParOf" srcId="{77A0E57B-697D-4AEB-9B26-D4D23AEDCDF8}" destId="{611F4EC5-F8B0-4F95-B80C-EE7C2A1E8284}" srcOrd="4" destOrd="0" presId="urn:microsoft.com/office/officeart/2005/8/layout/matrix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00FA72-D047-4D68-A4D5-5FAE38D6C833}">
      <dsp:nvSpPr>
        <dsp:cNvPr id="0" name=""/>
        <dsp:cNvSpPr/>
      </dsp:nvSpPr>
      <dsp:spPr>
        <a:xfrm>
          <a:off x="-239482" y="0"/>
          <a:ext cx="5965365" cy="4175760"/>
        </a:xfrm>
        <a:prstGeom prst="quadArrow">
          <a:avLst>
            <a:gd name="adj1" fmla="val 2000"/>
            <a:gd name="adj2" fmla="val 4000"/>
            <a:gd name="adj3" fmla="val 5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F2C036A-1956-4B29-AF03-05B1A12F1CDB}">
      <dsp:nvSpPr>
        <dsp:cNvPr id="0" name=""/>
        <dsp:cNvSpPr/>
      </dsp:nvSpPr>
      <dsp:spPr>
        <a:xfrm>
          <a:off x="926744" y="271424"/>
          <a:ext cx="1670304" cy="1670304"/>
        </a:xfrm>
        <a:prstGeom prst="round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Equity student who did participate in the program</a:t>
          </a:r>
        </a:p>
      </dsp:txBody>
      <dsp:txXfrm>
        <a:off x="1008282" y="352962"/>
        <a:ext cx="1507228" cy="1507228"/>
      </dsp:txXfrm>
    </dsp:sp>
    <dsp:sp modelId="{7E9D10EA-42CC-406C-9E17-ACEB230230B3}">
      <dsp:nvSpPr>
        <dsp:cNvPr id="0" name=""/>
        <dsp:cNvSpPr/>
      </dsp:nvSpPr>
      <dsp:spPr>
        <a:xfrm>
          <a:off x="2889351" y="271424"/>
          <a:ext cx="1670304" cy="1670304"/>
        </a:xfrm>
        <a:prstGeom prst="round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Equity student who did not participate in the program</a:t>
          </a:r>
        </a:p>
      </dsp:txBody>
      <dsp:txXfrm>
        <a:off x="2970889" y="352962"/>
        <a:ext cx="1507228" cy="1507228"/>
      </dsp:txXfrm>
    </dsp:sp>
    <dsp:sp modelId="{E884300E-6490-4EC2-808D-FE597C0B7A05}">
      <dsp:nvSpPr>
        <dsp:cNvPr id="0" name=""/>
        <dsp:cNvSpPr/>
      </dsp:nvSpPr>
      <dsp:spPr>
        <a:xfrm>
          <a:off x="926744" y="2234031"/>
          <a:ext cx="1670304" cy="1670304"/>
        </a:xfrm>
        <a:prstGeom prst="round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Non-equity student who did participate in the program</a:t>
          </a:r>
        </a:p>
      </dsp:txBody>
      <dsp:txXfrm>
        <a:off x="1008282" y="2315569"/>
        <a:ext cx="1507228" cy="1507228"/>
      </dsp:txXfrm>
    </dsp:sp>
    <dsp:sp modelId="{611F4EC5-F8B0-4F95-B80C-EE7C2A1E8284}">
      <dsp:nvSpPr>
        <dsp:cNvPr id="0" name=""/>
        <dsp:cNvSpPr/>
      </dsp:nvSpPr>
      <dsp:spPr>
        <a:xfrm>
          <a:off x="2889351" y="2234031"/>
          <a:ext cx="1670304" cy="1670304"/>
        </a:xfrm>
        <a:prstGeom prst="round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Non-equity student who did not participate in the program</a:t>
          </a:r>
        </a:p>
      </dsp:txBody>
      <dsp:txXfrm>
        <a:off x="2970889" y="2315569"/>
        <a:ext cx="1507228" cy="1507228"/>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46835F1E3894AB3C23042AADEF396" ma:contentTypeVersion="13" ma:contentTypeDescription="Create a new document." ma:contentTypeScope="" ma:versionID="f36afaae8b256b7d4a72d640a6dc5424">
  <xsd:schema xmlns:xsd="http://www.w3.org/2001/XMLSchema" xmlns:xs="http://www.w3.org/2001/XMLSchema" xmlns:p="http://schemas.microsoft.com/office/2006/metadata/properties" xmlns:ns2="f5fb87fe-9d57-44d7-a6bb-6b6ef1631194" xmlns:ns3="ef685d0c-ecd7-4d7c-bbeb-d692ac67b4f5" targetNamespace="http://schemas.microsoft.com/office/2006/metadata/properties" ma:root="true" ma:fieldsID="e776a4ac6d99fead8a42922f821d086c" ns2:_="" ns3:_="">
    <xsd:import namespace="f5fb87fe-9d57-44d7-a6bb-6b6ef1631194"/>
    <xsd:import namespace="ef685d0c-ecd7-4d7c-bbeb-d692ac67b4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87fe-9d57-44d7-a6bb-6b6ef1631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391430-282c-4efc-a0b4-564a13fcb9cf"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85d0c-ecd7-4d7c-bbeb-d692ac67b4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833c7c-1b0e-499e-b184-a93f5db0ed21}" ma:internalName="TaxCatchAll" ma:showField="CatchAllData" ma:web="ef685d0c-ecd7-4d7c-bbeb-d692ac67b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685d0c-ecd7-4d7c-bbeb-d692ac67b4f5" xsi:nil="true"/>
    <lcf76f155ced4ddcb4097134ff3c332f xmlns="f5fb87fe-9d57-44d7-a6bb-6b6ef1631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82365-3CDA-412B-BDCE-68A4CDC7D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b87fe-9d57-44d7-a6bb-6b6ef1631194"/>
    <ds:schemaRef ds:uri="ef685d0c-ecd7-4d7c-bbeb-d692ac67b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F758C-32EF-41E2-8381-DD9BA1CD449A}">
  <ds:schemaRefs>
    <ds:schemaRef ds:uri="http://schemas.microsoft.com/sharepoint/v3/contenttype/forms"/>
  </ds:schemaRefs>
</ds:datastoreItem>
</file>

<file path=customXml/itemProps3.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4.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ef685d0c-ecd7-4d7c-bbeb-d692ac67b4f5"/>
    <ds:schemaRef ds:uri="f5fb87fe-9d57-44d7-a6bb-6b6ef16311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6624</Words>
  <Characters>37760</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44296</CharactersWithSpaces>
  <SharedDoc>false</SharedDoc>
  <HLinks>
    <vt:vector size="84" baseType="variant">
      <vt:variant>
        <vt:i4>2752612</vt:i4>
      </vt:variant>
      <vt:variant>
        <vt:i4>39</vt:i4>
      </vt:variant>
      <vt:variant>
        <vt:i4>0</vt:i4>
      </vt:variant>
      <vt:variant>
        <vt:i4>5</vt:i4>
      </vt:variant>
      <vt:variant>
        <vt:lpwstr>https://s3.ap-southeast-2.amazonaws.com/assets.acses.edu.au/app/uploads/2024/12/Socialising-the-SEHEEF-at-Deakin-University.pdf</vt:lpwstr>
      </vt:variant>
      <vt:variant>
        <vt:lpwstr/>
      </vt:variant>
      <vt:variant>
        <vt:i4>2752612</vt:i4>
      </vt:variant>
      <vt:variant>
        <vt:i4>36</vt:i4>
      </vt:variant>
      <vt:variant>
        <vt:i4>0</vt:i4>
      </vt:variant>
      <vt:variant>
        <vt:i4>5</vt:i4>
      </vt:variant>
      <vt:variant>
        <vt:lpwstr>https://s3.ap-southeast-2.amazonaws.com/assets.acses.edu.au/app/uploads/2024/12/Socialising-the-SEHEEF-at-Deakin-University.pdf</vt:lpwstr>
      </vt:variant>
      <vt:variant>
        <vt:lpwstr/>
      </vt:variant>
      <vt:variant>
        <vt:i4>1769539</vt:i4>
      </vt:variant>
      <vt:variant>
        <vt:i4>33</vt:i4>
      </vt:variant>
      <vt:variant>
        <vt:i4>0</vt:i4>
      </vt:variant>
      <vt:variant>
        <vt:i4>5</vt:i4>
      </vt:variant>
      <vt:variant>
        <vt:lpwstr>https://www.education.gov.au/heppp/resources/student-equity-higher-education-evaluation-framework-seheef-final-report</vt:lpwstr>
      </vt:variant>
      <vt:variant>
        <vt:lpwstr/>
      </vt:variant>
      <vt:variant>
        <vt:i4>1769539</vt:i4>
      </vt:variant>
      <vt:variant>
        <vt:i4>30</vt:i4>
      </vt:variant>
      <vt:variant>
        <vt:i4>0</vt:i4>
      </vt:variant>
      <vt:variant>
        <vt:i4>5</vt:i4>
      </vt:variant>
      <vt:variant>
        <vt:lpwstr>https://www.education.gov.au/heppp/resources/student-equity-higher-education-evaluation-framework-seheef-final-report</vt:lpwstr>
      </vt:variant>
      <vt:variant>
        <vt:lpwstr/>
      </vt:variant>
      <vt:variant>
        <vt:i4>1769539</vt:i4>
      </vt:variant>
      <vt:variant>
        <vt:i4>27</vt:i4>
      </vt:variant>
      <vt:variant>
        <vt:i4>0</vt:i4>
      </vt:variant>
      <vt:variant>
        <vt:i4>5</vt:i4>
      </vt:variant>
      <vt:variant>
        <vt:lpwstr>https://www.education.gov.au/heppp/resources/student-equity-higher-education-evaluation-framework-seheef-final-report</vt:lpwstr>
      </vt:variant>
      <vt:variant>
        <vt:lpwstr/>
      </vt:variant>
      <vt:variant>
        <vt:i4>1769539</vt:i4>
      </vt:variant>
      <vt:variant>
        <vt:i4>24</vt:i4>
      </vt:variant>
      <vt:variant>
        <vt:i4>0</vt:i4>
      </vt:variant>
      <vt:variant>
        <vt:i4>5</vt:i4>
      </vt:variant>
      <vt:variant>
        <vt:lpwstr>https://www.education.gov.au/heppp/resources/student-equity-higher-education-evaluation-framework-seheef-final-report</vt:lpwstr>
      </vt:variant>
      <vt:variant>
        <vt:lpwstr/>
      </vt:variant>
      <vt:variant>
        <vt:i4>5636116</vt:i4>
      </vt:variant>
      <vt:variant>
        <vt:i4>21</vt:i4>
      </vt:variant>
      <vt:variant>
        <vt:i4>0</vt:i4>
      </vt:variant>
      <vt:variant>
        <vt:i4>5</vt:i4>
      </vt:variant>
      <vt:variant>
        <vt:lpwstr>https://www.education.gov.au/heppp/resources/student-equity-higher-education-evaluation-framework-seheef-guidance-manual</vt:lpwstr>
      </vt:variant>
      <vt:variant>
        <vt:lpwstr/>
      </vt:variant>
      <vt:variant>
        <vt:i4>5636116</vt:i4>
      </vt:variant>
      <vt:variant>
        <vt:i4>18</vt:i4>
      </vt:variant>
      <vt:variant>
        <vt:i4>0</vt:i4>
      </vt:variant>
      <vt:variant>
        <vt:i4>5</vt:i4>
      </vt:variant>
      <vt:variant>
        <vt:lpwstr>https://www.education.gov.au/heppp/resources/student-equity-higher-education-evaluation-framework-seheef-guidance-manual</vt:lpwstr>
      </vt:variant>
      <vt:variant>
        <vt:lpwstr/>
      </vt:variant>
      <vt:variant>
        <vt:i4>2490492</vt:i4>
      </vt:variant>
      <vt:variant>
        <vt:i4>15</vt:i4>
      </vt:variant>
      <vt:variant>
        <vt:i4>0</vt:i4>
      </vt:variant>
      <vt:variant>
        <vt:i4>5</vt:i4>
      </vt:variant>
      <vt:variant>
        <vt:lpwstr>https://www.education.gov.au/heppp</vt:lpwstr>
      </vt:variant>
      <vt:variant>
        <vt:lpwstr/>
      </vt:variant>
      <vt:variant>
        <vt:i4>2490492</vt:i4>
      </vt:variant>
      <vt:variant>
        <vt:i4>12</vt:i4>
      </vt:variant>
      <vt:variant>
        <vt:i4>0</vt:i4>
      </vt:variant>
      <vt:variant>
        <vt:i4>5</vt:i4>
      </vt:variant>
      <vt:variant>
        <vt:lpwstr>https://www.education.gov.au/heppp</vt:lpwstr>
      </vt:variant>
      <vt:variant>
        <vt:lpwstr/>
      </vt:variant>
      <vt:variant>
        <vt:i4>2490492</vt:i4>
      </vt:variant>
      <vt:variant>
        <vt:i4>9</vt:i4>
      </vt:variant>
      <vt:variant>
        <vt:i4>0</vt:i4>
      </vt:variant>
      <vt:variant>
        <vt:i4>5</vt:i4>
      </vt:variant>
      <vt:variant>
        <vt:lpwstr>https://www.education.gov.au/heppp</vt:lpwstr>
      </vt:variant>
      <vt:variant>
        <vt:lpwstr/>
      </vt:variant>
      <vt:variant>
        <vt:i4>2490492</vt:i4>
      </vt:variant>
      <vt:variant>
        <vt:i4>6</vt:i4>
      </vt:variant>
      <vt:variant>
        <vt:i4>0</vt:i4>
      </vt:variant>
      <vt:variant>
        <vt:i4>5</vt:i4>
      </vt:variant>
      <vt:variant>
        <vt:lpwstr>https://www.education.gov.au/heppp</vt:lpwstr>
      </vt:variant>
      <vt:variant>
        <vt:lpwstr/>
      </vt:variant>
      <vt:variant>
        <vt:i4>1310791</vt:i4>
      </vt:variant>
      <vt:variant>
        <vt:i4>3</vt:i4>
      </vt:variant>
      <vt:variant>
        <vt:i4>0</vt:i4>
      </vt:variant>
      <vt:variant>
        <vt:i4>5</vt:i4>
      </vt:variant>
      <vt:variant>
        <vt:lpwstr>http://www.acses.edu.au/</vt:lpwstr>
      </vt:variant>
      <vt:variant>
        <vt:lpwstr/>
      </vt:variant>
      <vt:variant>
        <vt:i4>6946834</vt:i4>
      </vt:variant>
      <vt:variant>
        <vt:i4>0</vt:i4>
      </vt:variant>
      <vt:variant>
        <vt:i4>0</vt:i4>
      </vt:variant>
      <vt:variant>
        <vt:i4>5</vt:i4>
      </vt:variant>
      <vt:variant>
        <vt:lpwstr>mailto:acses@curtin.edu.au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2</cp:revision>
  <dcterms:created xsi:type="dcterms:W3CDTF">2026-04-15T02:38:00Z</dcterms:created>
  <dcterms:modified xsi:type="dcterms:W3CDTF">2026-04-15T02:38:00Z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0x01010054546835F1E3894AB3C23042AADEF396</vt:lpwstr>
  </property>
  <property fmtid="{D5CDD505-2E9C-101B-9397-08002B2CF9AE}" pid="3" name="MediaServiceImageTags">
    <vt:lpwstr/>
  </property>
  <property fmtid="{D5CDD505-2E9C-101B-9397-08002B2CF9AE}" pid="4" name="docLang">
    <vt:lpwstr>en</vt:lpwstr>
  </property>
  <property fmtid="{D5CDD505-2E9C-101B-9397-08002B2CF9AE}" pid="5" name="MSIP_Label_25645803-7a80-4d54-bfa9-551a1ec8d4d5_Enabled">
    <vt:lpwstr>true</vt:lpwstr>
  </property>
  <property fmtid="{D5CDD505-2E9C-101B-9397-08002B2CF9AE}" pid="6" name="MSIP_Label_25645803-7a80-4d54-bfa9-551a1ec8d4d5_SetDate">
    <vt:lpwstr>2026-01-16T05:11:41Z</vt:lpwstr>
  </property>
  <property fmtid="{D5CDD505-2E9C-101B-9397-08002B2CF9AE}" pid="7" name="MSIP_Label_25645803-7a80-4d54-bfa9-551a1ec8d4d5_Method">
    <vt:lpwstr>Privileged</vt:lpwstr>
  </property>
  <property fmtid="{D5CDD505-2E9C-101B-9397-08002B2CF9AE}" pid="8" name="MSIP_Label_25645803-7a80-4d54-bfa9-551a1ec8d4d5_Name">
    <vt:lpwstr>PERSONAL</vt:lpwstr>
  </property>
  <property fmtid="{D5CDD505-2E9C-101B-9397-08002B2CF9AE}" pid="9" name="MSIP_Label_25645803-7a80-4d54-bfa9-551a1ec8d4d5_SiteId">
    <vt:lpwstr>e6d2d4cc-b762-486e-8894-4f5f440d5f31</vt:lpwstr>
  </property>
  <property fmtid="{D5CDD505-2E9C-101B-9397-08002B2CF9AE}" pid="10" name="MSIP_Label_25645803-7a80-4d54-bfa9-551a1ec8d4d5_ActionId">
    <vt:lpwstr>4914ded1-4ca9-4f59-bb10-a757c4b6f13c</vt:lpwstr>
  </property>
  <property fmtid="{D5CDD505-2E9C-101B-9397-08002B2CF9AE}" pid="11" name="MSIP_Label_25645803-7a80-4d54-bfa9-551a1ec8d4d5_ContentBits">
    <vt:lpwstr>0</vt:lpwstr>
  </property>
  <property fmtid="{D5CDD505-2E9C-101B-9397-08002B2CF9AE}" pid="12" name="MSIP_Label_25645803-7a80-4d54-bfa9-551a1ec8d4d5_Tag">
    <vt:lpwstr>10, 0, 1, 1</vt:lpwstr>
  </property>
</Properties>
</file>