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605F" w14:textId="0751D3BE" w:rsidR="005522EB" w:rsidRPr="00832446" w:rsidRDefault="009913C2" w:rsidP="00EE52AD">
      <w:pPr>
        <w:pStyle w:val="Title"/>
        <w:rPr>
          <w:sz w:val="78"/>
          <w:szCs w:val="78"/>
        </w:rPr>
      </w:pPr>
      <w:r w:rsidRPr="008D56D9">
        <w:rPr>
          <w:noProof/>
          <w:sz w:val="32"/>
          <w:szCs w:val="32"/>
        </w:rPr>
        <w:drawing>
          <wp:anchor distT="0" distB="0" distL="114300" distR="114300" simplePos="0" relativeHeight="251659264" behindDoc="1" locked="0" layoutInCell="1" allowOverlap="1" wp14:anchorId="10F6C61E" wp14:editId="17146169">
            <wp:simplePos x="0" y="0"/>
            <wp:positionH relativeFrom="page">
              <wp:align>right</wp:align>
            </wp:positionH>
            <wp:positionV relativeFrom="paragraph">
              <wp:posOffset>-895546</wp:posOffset>
            </wp:positionV>
            <wp:extent cx="7530943" cy="10652288"/>
            <wp:effectExtent l="0" t="0" r="0" b="0"/>
            <wp:wrapNone/>
            <wp:docPr id="1107722672" name="Picture 1" descr="A picture used as the background for the cover page. Mostly solid brown, but with two orange lines going across the page. At the bottom of the page are three additional coloured bars. The top bar includes the words &quot;Universities For All&quot; and &quot;acses.edu.au&quot;. Below that is a white bar that includes the ACSES and Curtin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22672" name="Picture 1" descr="A picture used as the background for the cover page. Mostly solid brown, but with two orange lines going across the page. At the bottom of the page are three additional coloured bars. The top bar includes the words &quot;Universities For All&quot; and &quot;acses.edu.au&quot;. Below that is a white bar that includes the ACSES and Curtin University logo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0943" cy="106522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6D9">
        <w:rPr>
          <w:sz w:val="32"/>
          <w:szCs w:val="32"/>
        </w:rPr>
        <w:t>ACSES CAPACITY BUILDING GRANTS PROGRAM</w:t>
      </w:r>
    </w:p>
    <w:p w14:paraId="2FB537D4" w14:textId="21CC47EC" w:rsidR="005522EB" w:rsidRPr="009913C2" w:rsidRDefault="004021E4" w:rsidP="00832446">
      <w:pPr>
        <w:pStyle w:val="Subtitle"/>
      </w:pPr>
      <w:r w:rsidRPr="008D56D9">
        <w:rPr>
          <w:sz w:val="78"/>
          <w:szCs w:val="78"/>
        </w:rPr>
        <w:t>A</w:t>
      </w:r>
      <w:r w:rsidR="00C52DE0" w:rsidRPr="008D56D9">
        <w:rPr>
          <w:sz w:val="78"/>
          <w:szCs w:val="78"/>
        </w:rPr>
        <w:t xml:space="preserve"> collaboration for impact evaluation of student equity programs across </w:t>
      </w:r>
      <w:r w:rsidRPr="008D56D9">
        <w:rPr>
          <w:sz w:val="78"/>
          <w:szCs w:val="78"/>
        </w:rPr>
        <w:t xml:space="preserve">the </w:t>
      </w:r>
      <w:r w:rsidR="002A603B" w:rsidRPr="008D56D9">
        <w:rPr>
          <w:sz w:val="78"/>
          <w:szCs w:val="78"/>
        </w:rPr>
        <w:t>Go</w:t>
      </w:r>
      <w:r w:rsidR="009836F9" w:rsidRPr="008D56D9">
        <w:rPr>
          <w:sz w:val="78"/>
          <w:szCs w:val="78"/>
        </w:rPr>
        <w:t>8</w:t>
      </w:r>
    </w:p>
    <w:p w14:paraId="0BDC0584" w14:textId="77777777" w:rsidR="005522EB" w:rsidRDefault="005522EB" w:rsidP="00EE52AD">
      <w:pPr>
        <w:pStyle w:val="Subtitle"/>
      </w:pPr>
    </w:p>
    <w:p w14:paraId="5D56F0A4" w14:textId="39BA8175" w:rsidR="005522EB" w:rsidRDefault="005522EB" w:rsidP="00EE52AD">
      <w:pPr>
        <w:pStyle w:val="Subtitle"/>
      </w:pPr>
    </w:p>
    <w:p w14:paraId="02189AA7" w14:textId="77777777" w:rsidR="005522EB" w:rsidRPr="005522EB" w:rsidRDefault="005522EB" w:rsidP="00EE52AD"/>
    <w:p w14:paraId="0662A430" w14:textId="77777777" w:rsidR="009913C2" w:rsidRDefault="009913C2" w:rsidP="009913C2"/>
    <w:p w14:paraId="3A77A88F" w14:textId="77777777" w:rsidR="009913C2" w:rsidRDefault="009913C2" w:rsidP="009913C2"/>
    <w:p w14:paraId="3BD1E11D" w14:textId="77777777" w:rsidR="009913C2" w:rsidRDefault="009913C2" w:rsidP="009913C2"/>
    <w:p w14:paraId="0CA7ED2F" w14:textId="77777777" w:rsidR="009913C2" w:rsidRDefault="009913C2" w:rsidP="009913C2"/>
    <w:p w14:paraId="5AC6245E" w14:textId="77777777" w:rsidR="009913C2" w:rsidRDefault="009913C2" w:rsidP="009913C2"/>
    <w:p w14:paraId="4350CDCF" w14:textId="77777777" w:rsidR="009913C2" w:rsidRDefault="009913C2" w:rsidP="009913C2"/>
    <w:p w14:paraId="451093D4" w14:textId="77777777" w:rsidR="009913C2" w:rsidRDefault="009913C2" w:rsidP="009913C2"/>
    <w:p w14:paraId="6DD1B9C1" w14:textId="77777777" w:rsidR="009913C2" w:rsidRDefault="009913C2" w:rsidP="009913C2"/>
    <w:p w14:paraId="5F6267CB" w14:textId="77777777" w:rsidR="009913C2" w:rsidRDefault="009913C2" w:rsidP="009913C2"/>
    <w:p w14:paraId="02C53008" w14:textId="77777777" w:rsidR="009913C2" w:rsidRDefault="009913C2" w:rsidP="009913C2"/>
    <w:p w14:paraId="6F3CBA09" w14:textId="77777777" w:rsidR="009913C2" w:rsidRDefault="009913C2" w:rsidP="009913C2">
      <w:pPr>
        <w:spacing w:after="0"/>
        <w:rPr>
          <w:color w:val="FFFFFF"/>
          <w:sz w:val="32"/>
          <w:szCs w:val="32"/>
        </w:rPr>
      </w:pPr>
      <w:r>
        <w:rPr>
          <w:color w:val="FFFFFF"/>
          <w:sz w:val="32"/>
          <w:szCs w:val="32"/>
        </w:rPr>
        <w:t>Gwilym Croucher</w:t>
      </w:r>
      <w:r w:rsidRPr="008D56D9">
        <w:rPr>
          <w:color w:val="FFFFFF"/>
          <w:sz w:val="32"/>
          <w:szCs w:val="32"/>
        </w:rPr>
        <w:t xml:space="preserve">, </w:t>
      </w:r>
      <w:r>
        <w:rPr>
          <w:color w:val="FFFFFF"/>
          <w:sz w:val="32"/>
          <w:szCs w:val="32"/>
        </w:rPr>
        <w:t>Kate Flynn</w:t>
      </w:r>
      <w:r w:rsidRPr="008D56D9">
        <w:rPr>
          <w:color w:val="FFFFFF"/>
          <w:sz w:val="32"/>
          <w:szCs w:val="32"/>
        </w:rPr>
        <w:t xml:space="preserve">, </w:t>
      </w:r>
      <w:r>
        <w:rPr>
          <w:color w:val="FFFFFF"/>
          <w:sz w:val="32"/>
          <w:szCs w:val="32"/>
        </w:rPr>
        <w:t xml:space="preserve">Mat Hardy, </w:t>
      </w:r>
    </w:p>
    <w:p w14:paraId="78AEBBA4" w14:textId="67382051" w:rsidR="009913C2" w:rsidRPr="008D56D9" w:rsidRDefault="009913C2" w:rsidP="009913C2">
      <w:pPr>
        <w:spacing w:after="0"/>
        <w:rPr>
          <w:color w:val="FFFFFF"/>
          <w:sz w:val="32"/>
          <w:szCs w:val="32"/>
        </w:rPr>
      </w:pPr>
      <w:r>
        <w:rPr>
          <w:color w:val="FFFFFF"/>
          <w:sz w:val="32"/>
          <w:szCs w:val="32"/>
        </w:rPr>
        <w:t>Nadine Zacharias</w:t>
      </w:r>
    </w:p>
    <w:p w14:paraId="62618B19" w14:textId="77777777" w:rsidR="009913C2" w:rsidRPr="008D56D9" w:rsidRDefault="009913C2" w:rsidP="009913C2">
      <w:pPr>
        <w:spacing w:after="0"/>
        <w:rPr>
          <w:color w:val="FFFFFF"/>
          <w:sz w:val="32"/>
          <w:szCs w:val="32"/>
        </w:rPr>
      </w:pPr>
    </w:p>
    <w:p w14:paraId="5322161F" w14:textId="77777777" w:rsidR="009913C2" w:rsidRPr="008D56D9" w:rsidRDefault="009913C2" w:rsidP="009913C2">
      <w:pPr>
        <w:spacing w:after="0"/>
        <w:rPr>
          <w:b/>
          <w:bCs w:val="0"/>
          <w:color w:val="FFFFFF"/>
          <w:sz w:val="28"/>
          <w:szCs w:val="28"/>
        </w:rPr>
      </w:pPr>
      <w:r w:rsidRPr="008D56D9">
        <w:rPr>
          <w:b/>
          <w:color w:val="FFFFFF"/>
          <w:sz w:val="28"/>
          <w:szCs w:val="28"/>
        </w:rPr>
        <w:t>2026</w:t>
      </w:r>
    </w:p>
    <w:p w14:paraId="34E84D97" w14:textId="77777777" w:rsidR="005522EB" w:rsidRPr="005522EB" w:rsidRDefault="005522EB" w:rsidP="00EE52AD"/>
    <w:p w14:paraId="568103CA" w14:textId="77777777" w:rsidR="009913C2" w:rsidRDefault="009913C2">
      <w:pPr>
        <w:spacing w:line="259" w:lineRule="auto"/>
        <w:rPr>
          <w:rFonts w:eastAsia="Times New Roman" w:cstheme="majorBidi"/>
          <w:color w:val="6B3B57"/>
          <w:sz w:val="52"/>
          <w:szCs w:val="40"/>
          <w:lang w:eastAsia="en-AU"/>
        </w:rPr>
      </w:pPr>
      <w:bookmarkStart w:id="0" w:name="_Toc172197565"/>
      <w:bookmarkStart w:id="1" w:name="_Toc172200145"/>
      <w:bookmarkStart w:id="2" w:name="_Toc174350567"/>
      <w:bookmarkStart w:id="3" w:name="_Toc192004673"/>
      <w:r>
        <w:br w:type="page"/>
      </w:r>
    </w:p>
    <w:p w14:paraId="59AB8D19" w14:textId="45205272" w:rsidR="009913C2" w:rsidRPr="00896D88" w:rsidRDefault="009913C2" w:rsidP="009913C2">
      <w:pPr>
        <w:jc w:val="center"/>
      </w:pPr>
      <w:bookmarkStart w:id="4" w:name="_Hlk219967175"/>
      <w:r>
        <w:rPr>
          <w:b/>
          <w:sz w:val="36"/>
          <w:szCs w:val="36"/>
        </w:rPr>
        <w:lastRenderedPageBreak/>
        <w:t>A collaboration for impact evaluation of student equity programs across the G08</w:t>
      </w:r>
    </w:p>
    <w:p w14:paraId="2550CD6D" w14:textId="77777777" w:rsidR="009913C2" w:rsidRPr="00945DE1" w:rsidRDefault="009913C2" w:rsidP="009913C2"/>
    <w:p w14:paraId="27E5A42B" w14:textId="77777777" w:rsidR="009913C2" w:rsidRPr="00F871A0" w:rsidRDefault="009913C2" w:rsidP="009913C2">
      <w:pPr>
        <w:jc w:val="center"/>
        <w:rPr>
          <w:b/>
          <w:color w:val="351C26" w:themeColor="text2"/>
        </w:rPr>
      </w:pPr>
      <w:r w:rsidRPr="00263828">
        <w:rPr>
          <w:b/>
          <w:color w:val="351C26" w:themeColor="text2"/>
        </w:rPr>
        <w:t>January 2026</w:t>
      </w:r>
    </w:p>
    <w:p w14:paraId="2FD7C9BB" w14:textId="77777777" w:rsidR="009913C2" w:rsidRPr="00EC2A97" w:rsidRDefault="009913C2" w:rsidP="009913C2">
      <w:pPr>
        <w:jc w:val="center"/>
        <w:rPr>
          <w:b/>
        </w:rPr>
      </w:pPr>
    </w:p>
    <w:p w14:paraId="0462E90C" w14:textId="5666549B" w:rsidR="009913C2" w:rsidRDefault="009913C2" w:rsidP="009913C2">
      <w:pPr>
        <w:jc w:val="center"/>
      </w:pPr>
      <w:r>
        <w:t>Gwilym Croucher, University of Melbourne</w:t>
      </w:r>
    </w:p>
    <w:p w14:paraId="61932A3A" w14:textId="4042B37F" w:rsidR="009913C2" w:rsidRDefault="009913C2" w:rsidP="009913C2">
      <w:pPr>
        <w:jc w:val="center"/>
      </w:pPr>
      <w:r>
        <w:t>Kate Flynn, University of Melbourne</w:t>
      </w:r>
    </w:p>
    <w:p w14:paraId="65C7EE1A" w14:textId="668418D1" w:rsidR="009913C2" w:rsidRDefault="009913C2" w:rsidP="009913C2">
      <w:pPr>
        <w:jc w:val="center"/>
      </w:pPr>
      <w:r>
        <w:t>Mat Hardy, University of Melbourne</w:t>
      </w:r>
    </w:p>
    <w:p w14:paraId="4A0B1DC4" w14:textId="0C9C83F0" w:rsidR="009913C2" w:rsidRDefault="009913C2" w:rsidP="009913C2">
      <w:pPr>
        <w:jc w:val="center"/>
      </w:pPr>
      <w:r>
        <w:t xml:space="preserve">Nadine Zacharias, </w:t>
      </w:r>
      <w:r w:rsidR="009C2222">
        <w:t>Equity by Design</w:t>
      </w:r>
    </w:p>
    <w:p w14:paraId="42063F06" w14:textId="77777777" w:rsidR="009913C2" w:rsidRPr="00896D88" w:rsidRDefault="009913C2" w:rsidP="009913C2">
      <w:pPr>
        <w:jc w:val="center"/>
      </w:pPr>
    </w:p>
    <w:p w14:paraId="7DD90862" w14:textId="77777777" w:rsidR="009913C2" w:rsidRDefault="009913C2" w:rsidP="009913C2">
      <w:pPr>
        <w:spacing w:after="0"/>
        <w:rPr>
          <w:bCs w:val="0"/>
          <w:sz w:val="18"/>
          <w:szCs w:val="18"/>
        </w:rPr>
      </w:pPr>
    </w:p>
    <w:p w14:paraId="0A238C6B" w14:textId="77777777" w:rsidR="009913C2" w:rsidRDefault="009913C2" w:rsidP="009913C2">
      <w:pPr>
        <w:spacing w:after="0"/>
        <w:rPr>
          <w:bCs w:val="0"/>
          <w:sz w:val="18"/>
          <w:szCs w:val="18"/>
        </w:rPr>
      </w:pPr>
    </w:p>
    <w:p w14:paraId="10CE9F3E" w14:textId="77777777" w:rsidR="009913C2" w:rsidRDefault="009913C2" w:rsidP="009913C2">
      <w:pPr>
        <w:spacing w:after="0"/>
        <w:rPr>
          <w:bCs w:val="0"/>
          <w:sz w:val="18"/>
          <w:szCs w:val="18"/>
        </w:rPr>
      </w:pPr>
    </w:p>
    <w:p w14:paraId="61BFD41B" w14:textId="5442AF18" w:rsidR="009913C2" w:rsidRPr="009913C2" w:rsidRDefault="009913C2" w:rsidP="009913C2">
      <w:pPr>
        <w:spacing w:after="0"/>
        <w:rPr>
          <w:bCs w:val="0"/>
          <w:sz w:val="18"/>
          <w:szCs w:val="18"/>
        </w:rPr>
      </w:pPr>
      <w:r w:rsidRPr="00263828">
        <w:rPr>
          <w:sz w:val="18"/>
          <w:szCs w:val="18"/>
        </w:rPr>
        <w:t xml:space="preserve">Suggested citation: </w:t>
      </w:r>
      <w:r w:rsidR="00263828" w:rsidRPr="00263828">
        <w:rPr>
          <w:sz w:val="18"/>
          <w:szCs w:val="18"/>
        </w:rPr>
        <w:t>Croucher, G., Flynn, K., Hardy, M., Zacharias, N.</w:t>
      </w:r>
      <w:r w:rsidR="00263828">
        <w:rPr>
          <w:sz w:val="18"/>
          <w:szCs w:val="18"/>
        </w:rPr>
        <w:t xml:space="preserve"> </w:t>
      </w:r>
      <w:r w:rsidR="00263828" w:rsidRPr="00263828">
        <w:rPr>
          <w:sz w:val="18"/>
          <w:szCs w:val="18"/>
        </w:rPr>
        <w:t xml:space="preserve">(2026) </w:t>
      </w:r>
      <w:r w:rsidR="00263828" w:rsidRPr="00263828">
        <w:rPr>
          <w:i/>
          <w:iCs/>
          <w:sz w:val="18"/>
          <w:szCs w:val="18"/>
        </w:rPr>
        <w:t>A collaboration for impact evaluation of student equity programs across the G08</w:t>
      </w:r>
      <w:r w:rsidR="00263828" w:rsidRPr="00263828">
        <w:rPr>
          <w:sz w:val="18"/>
          <w:szCs w:val="18"/>
        </w:rPr>
        <w:t xml:space="preserve"> </w:t>
      </w:r>
      <w:r w:rsidRPr="00263828">
        <w:rPr>
          <w:sz w:val="18"/>
          <w:szCs w:val="18"/>
        </w:rPr>
        <w:t>(Small Grants Research Program final report). Australian Centre for Student Equity and Success, Curtin University.</w:t>
      </w:r>
    </w:p>
    <w:p w14:paraId="1738EDB2" w14:textId="77777777" w:rsidR="009913C2" w:rsidRDefault="009913C2" w:rsidP="009913C2">
      <w:pPr>
        <w:spacing w:after="0"/>
        <w:rPr>
          <w:bCs w:val="0"/>
          <w:sz w:val="18"/>
          <w:szCs w:val="18"/>
        </w:rPr>
      </w:pPr>
    </w:p>
    <w:p w14:paraId="7E038FFD" w14:textId="77777777" w:rsidR="009913C2" w:rsidRPr="0063552A" w:rsidRDefault="009913C2" w:rsidP="009913C2">
      <w:pPr>
        <w:spacing w:after="0"/>
        <w:rPr>
          <w:bCs w:val="0"/>
          <w:sz w:val="18"/>
          <w:szCs w:val="18"/>
        </w:rPr>
      </w:pPr>
      <w:r>
        <w:rPr>
          <w:sz w:val="18"/>
          <w:szCs w:val="18"/>
        </w:rPr>
        <w:t>Australian</w:t>
      </w:r>
      <w:r w:rsidRPr="0063552A">
        <w:rPr>
          <w:sz w:val="18"/>
          <w:szCs w:val="18"/>
        </w:rPr>
        <w:t xml:space="preserve"> Centre for Student Equity </w:t>
      </w:r>
      <w:r>
        <w:rPr>
          <w:sz w:val="18"/>
          <w:szCs w:val="18"/>
        </w:rPr>
        <w:t>and Success</w:t>
      </w:r>
    </w:p>
    <w:p w14:paraId="69B7E44E" w14:textId="77777777" w:rsidR="009913C2" w:rsidRPr="0063552A" w:rsidRDefault="009913C2" w:rsidP="009913C2">
      <w:pPr>
        <w:spacing w:after="0"/>
        <w:rPr>
          <w:bCs w:val="0"/>
          <w:sz w:val="18"/>
          <w:szCs w:val="18"/>
        </w:rPr>
      </w:pPr>
      <w:r w:rsidRPr="0063552A">
        <w:rPr>
          <w:sz w:val="18"/>
          <w:szCs w:val="18"/>
        </w:rPr>
        <w:t>Tel: +61 8 9266 1573</w:t>
      </w:r>
    </w:p>
    <w:p w14:paraId="4EBE66DE" w14:textId="77777777" w:rsidR="009913C2" w:rsidRDefault="009913C2" w:rsidP="009913C2">
      <w:pPr>
        <w:spacing w:after="0"/>
        <w:rPr>
          <w:bCs w:val="0"/>
          <w:sz w:val="18"/>
          <w:szCs w:val="18"/>
        </w:rPr>
      </w:pPr>
      <w:r w:rsidRPr="0063552A">
        <w:rPr>
          <w:sz w:val="18"/>
          <w:szCs w:val="18"/>
        </w:rPr>
        <w:t xml:space="preserve">Email: </w:t>
      </w:r>
      <w:hyperlink r:id="rId12" w:history="1">
        <w:r w:rsidRPr="00E8285E">
          <w:rPr>
            <w:rStyle w:val="Hyperlink"/>
            <w:sz w:val="18"/>
            <w:szCs w:val="18"/>
          </w:rPr>
          <w:t>acses@curtin.edu.au</w:t>
        </w:r>
      </w:hyperlink>
    </w:p>
    <w:p w14:paraId="797D2704" w14:textId="77777777" w:rsidR="009913C2" w:rsidRPr="0063552A" w:rsidRDefault="009913C2" w:rsidP="009913C2">
      <w:pPr>
        <w:spacing w:after="0"/>
        <w:rPr>
          <w:bCs w:val="0"/>
          <w:sz w:val="18"/>
          <w:szCs w:val="18"/>
        </w:rPr>
      </w:pPr>
      <w:r>
        <w:rPr>
          <w:sz w:val="18"/>
          <w:szCs w:val="18"/>
        </w:rPr>
        <w:t xml:space="preserve">Web: </w:t>
      </w:r>
      <w:hyperlink r:id="rId13" w:history="1">
        <w:r w:rsidRPr="00E8285E">
          <w:rPr>
            <w:rStyle w:val="Hyperlink"/>
            <w:sz w:val="18"/>
            <w:szCs w:val="18"/>
          </w:rPr>
          <w:t>www.acses.edu.au</w:t>
        </w:r>
      </w:hyperlink>
      <w:r>
        <w:rPr>
          <w:sz w:val="18"/>
          <w:szCs w:val="18"/>
        </w:rPr>
        <w:t xml:space="preserve"> </w:t>
      </w:r>
    </w:p>
    <w:p w14:paraId="514EB286" w14:textId="77777777" w:rsidR="009913C2" w:rsidRPr="0063552A" w:rsidRDefault="009913C2" w:rsidP="009913C2">
      <w:pPr>
        <w:spacing w:after="0"/>
        <w:rPr>
          <w:bCs w:val="0"/>
          <w:sz w:val="18"/>
          <w:szCs w:val="18"/>
        </w:rPr>
      </w:pPr>
      <w:r w:rsidRPr="0063552A">
        <w:rPr>
          <w:sz w:val="18"/>
          <w:szCs w:val="18"/>
        </w:rPr>
        <w:t xml:space="preserve">Building </w:t>
      </w:r>
      <w:r>
        <w:rPr>
          <w:sz w:val="18"/>
          <w:szCs w:val="18"/>
        </w:rPr>
        <w:t>100</w:t>
      </w:r>
    </w:p>
    <w:p w14:paraId="53239213" w14:textId="77777777" w:rsidR="009913C2" w:rsidRPr="0063552A" w:rsidRDefault="009913C2" w:rsidP="009913C2">
      <w:pPr>
        <w:spacing w:after="0"/>
        <w:rPr>
          <w:bCs w:val="0"/>
          <w:sz w:val="18"/>
          <w:szCs w:val="18"/>
        </w:rPr>
      </w:pPr>
      <w:r w:rsidRPr="0063552A">
        <w:rPr>
          <w:sz w:val="18"/>
          <w:szCs w:val="18"/>
        </w:rPr>
        <w:t>Curtin University</w:t>
      </w:r>
    </w:p>
    <w:p w14:paraId="3CF4EBB4" w14:textId="52C6A74E" w:rsidR="009913C2" w:rsidRDefault="009913C2" w:rsidP="009913C2">
      <w:pPr>
        <w:spacing w:after="0"/>
        <w:rPr>
          <w:sz w:val="18"/>
          <w:szCs w:val="18"/>
        </w:rPr>
      </w:pPr>
      <w:r w:rsidRPr="0063552A">
        <w:rPr>
          <w:sz w:val="18"/>
          <w:szCs w:val="18"/>
        </w:rPr>
        <w:t>Kent St, Bentley WA 6102</w:t>
      </w:r>
      <w:r>
        <w:rPr>
          <w:sz w:val="18"/>
          <w:szCs w:val="18"/>
        </w:rPr>
        <w:t xml:space="preserve"> | </w:t>
      </w:r>
      <w:r w:rsidRPr="0063552A">
        <w:rPr>
          <w:sz w:val="18"/>
          <w:szCs w:val="18"/>
        </w:rPr>
        <w:t>GPO Box U1987, Perth WA 6845</w:t>
      </w:r>
      <w:bookmarkStart w:id="5" w:name="_Toc57894677"/>
    </w:p>
    <w:p w14:paraId="12D999D4" w14:textId="77777777" w:rsidR="009913C2" w:rsidRDefault="009913C2" w:rsidP="009913C2">
      <w:pPr>
        <w:spacing w:after="0"/>
        <w:rPr>
          <w:bCs w:val="0"/>
          <w:sz w:val="18"/>
          <w:szCs w:val="18"/>
        </w:rPr>
      </w:pPr>
    </w:p>
    <w:p w14:paraId="32EF8663" w14:textId="1B032CC3" w:rsidR="009913C2" w:rsidRDefault="009913C2" w:rsidP="009913C2">
      <w:pPr>
        <w:spacing w:line="259" w:lineRule="auto"/>
        <w:rPr>
          <w:rFonts w:eastAsia="Times New Roman" w:cstheme="majorBidi"/>
          <w:color w:val="6B3B57"/>
          <w:sz w:val="52"/>
          <w:szCs w:val="40"/>
          <w:lang w:eastAsia="en-AU"/>
        </w:rPr>
      </w:pPr>
      <w:r w:rsidRPr="00431628">
        <w:rPr>
          <w:noProof/>
          <w:lang w:eastAsia="en-AU"/>
        </w:rPr>
        <mc:AlternateContent>
          <mc:Choice Requires="wps">
            <w:drawing>
              <wp:inline distT="0" distB="0" distL="0" distR="0" wp14:anchorId="63D8FC8B" wp14:editId="165D5A2F">
                <wp:extent cx="5821680" cy="3220278"/>
                <wp:effectExtent l="0" t="0" r="26670" b="1841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220278"/>
                        </a:xfrm>
                        <a:prstGeom prst="rect">
                          <a:avLst/>
                        </a:prstGeom>
                        <a:solidFill>
                          <a:srgbClr val="FFFFFF"/>
                        </a:solidFill>
                        <a:ln w="9525">
                          <a:solidFill>
                            <a:schemeClr val="accent3"/>
                          </a:solidFill>
                          <a:miter lim="800000"/>
                          <a:headEnd/>
                          <a:tailEnd/>
                        </a:ln>
                      </wps:spPr>
                      <wps:txbx>
                        <w:txbxContent>
                          <w:p w14:paraId="4A8EB8A6" w14:textId="77777777" w:rsidR="009913C2" w:rsidRPr="008E31EC" w:rsidRDefault="009913C2" w:rsidP="009913C2">
                            <w:pPr>
                              <w:rPr>
                                <w:b/>
                                <w:sz w:val="16"/>
                                <w:szCs w:val="16"/>
                              </w:rPr>
                            </w:pPr>
                            <w:r w:rsidRPr="008E31EC">
                              <w:rPr>
                                <w:b/>
                                <w:sz w:val="16"/>
                                <w:szCs w:val="16"/>
                              </w:rPr>
                              <w:t>DISCLAIMER</w:t>
                            </w:r>
                          </w:p>
                          <w:p w14:paraId="604E86FA" w14:textId="77777777" w:rsidR="009913C2" w:rsidRPr="008E31EC" w:rsidRDefault="009913C2" w:rsidP="009913C2">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3F9D1A62" w14:textId="77777777" w:rsidR="009913C2" w:rsidRDefault="009913C2" w:rsidP="009913C2">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0909FB38" w14:textId="77777777" w:rsidR="009913C2" w:rsidRDefault="009913C2" w:rsidP="009913C2">
                            <w:pPr>
                              <w:rPr>
                                <w:sz w:val="16"/>
                                <w:szCs w:val="16"/>
                              </w:rPr>
                            </w:pPr>
                          </w:p>
                          <w:p w14:paraId="5EF7501C" w14:textId="77777777" w:rsidR="009913C2" w:rsidRPr="008619B3" w:rsidRDefault="009913C2" w:rsidP="009913C2">
                            <w:pPr>
                              <w:rPr>
                                <w:b/>
                                <w:sz w:val="16"/>
                                <w:szCs w:val="16"/>
                              </w:rPr>
                            </w:pPr>
                            <w:r w:rsidRPr="008619B3">
                              <w:rPr>
                                <w:b/>
                                <w:sz w:val="16"/>
                                <w:szCs w:val="16"/>
                              </w:rPr>
                              <w:t>COPYRIGHT</w:t>
                            </w:r>
                          </w:p>
                          <w:p w14:paraId="50C927EC" w14:textId="77777777" w:rsidR="009913C2" w:rsidRDefault="009913C2" w:rsidP="009913C2">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500D7C33" w14:textId="77777777" w:rsidR="009913C2" w:rsidRPr="008619B3" w:rsidRDefault="009913C2" w:rsidP="009913C2">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306286D9" w14:textId="77777777" w:rsidR="009913C2" w:rsidRDefault="009913C2" w:rsidP="009913C2">
                            <w:pPr>
                              <w:rPr>
                                <w:sz w:val="16"/>
                                <w:szCs w:val="16"/>
                              </w:rPr>
                            </w:pPr>
                            <w:r w:rsidRPr="008619B3">
                              <w:rPr>
                                <w:sz w:val="16"/>
                                <w:szCs w:val="16"/>
                              </w:rPr>
                              <w:t>CRICOS Provider Code 00301J</w:t>
                            </w:r>
                          </w:p>
                          <w:p w14:paraId="4EDBEFE6" w14:textId="56AAF7F8" w:rsidR="009913C2" w:rsidRPr="008E31EC" w:rsidRDefault="009913C2" w:rsidP="009913C2">
                            <w:pPr>
                              <w:rPr>
                                <w:sz w:val="16"/>
                                <w:szCs w:val="16"/>
                              </w:rPr>
                            </w:pPr>
                            <w:r w:rsidRPr="007262B9">
                              <w:rPr>
                                <w:sz w:val="16"/>
                                <w:szCs w:val="16"/>
                              </w:rPr>
                              <w:t xml:space="preserve">ISBN </w:t>
                            </w:r>
                            <w:r w:rsidR="007262B9" w:rsidRPr="007262B9">
                              <w:rPr>
                                <w:sz w:val="16"/>
                                <w:szCs w:val="16"/>
                              </w:rPr>
                              <w:t>978-1-7644511-7-8</w:t>
                            </w:r>
                          </w:p>
                          <w:p w14:paraId="668F25D1" w14:textId="77777777" w:rsidR="009913C2" w:rsidRDefault="009913C2" w:rsidP="009913C2"/>
                        </w:txbxContent>
                      </wps:txbx>
                      <wps:bodyPr rot="0" vert="horz" wrap="square" lIns="91440" tIns="72000" rIns="91440" bIns="72000" anchor="t" anchorCtr="0">
                        <a:noAutofit/>
                      </wps:bodyPr>
                    </wps:wsp>
                  </a:graphicData>
                </a:graphic>
              </wp:inline>
            </w:drawing>
          </mc:Choice>
          <mc:Fallback>
            <w:pict>
              <v:shapetype w14:anchorId="63D8FC8B"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" strokecolor="#fcab63 [3206]">
                <v:textbox inset=",2mm,,2mm">
                  <w:txbxContent>
                    <w:p w14:paraId="4A8EB8A6" w14:textId="77777777" w:rsidR="009913C2" w:rsidRPr="008E31EC" w:rsidRDefault="009913C2" w:rsidP="009913C2">
                      <w:pPr>
                        <w:rPr>
                          <w:b/>
                          <w:sz w:val="16"/>
                          <w:szCs w:val="16"/>
                        </w:rPr>
                      </w:pPr>
                      <w:r w:rsidRPr="008E31EC">
                        <w:rPr>
                          <w:b/>
                          <w:sz w:val="16"/>
                          <w:szCs w:val="16"/>
                        </w:rPr>
                        <w:t>DISCLAIMER</w:t>
                      </w:r>
                    </w:p>
                    <w:p w14:paraId="604E86FA" w14:textId="77777777" w:rsidR="009913C2" w:rsidRPr="008E31EC" w:rsidRDefault="009913C2" w:rsidP="009913C2">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3F9D1A62" w14:textId="77777777" w:rsidR="009913C2" w:rsidRDefault="009913C2" w:rsidP="009913C2">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0909FB38" w14:textId="77777777" w:rsidR="009913C2" w:rsidRDefault="009913C2" w:rsidP="009913C2">
                      <w:pPr>
                        <w:rPr>
                          <w:sz w:val="16"/>
                          <w:szCs w:val="16"/>
                        </w:rPr>
                      </w:pPr>
                    </w:p>
                    <w:p w14:paraId="5EF7501C" w14:textId="77777777" w:rsidR="009913C2" w:rsidRPr="008619B3" w:rsidRDefault="009913C2" w:rsidP="009913C2">
                      <w:pPr>
                        <w:rPr>
                          <w:b/>
                          <w:sz w:val="16"/>
                          <w:szCs w:val="16"/>
                        </w:rPr>
                      </w:pPr>
                      <w:r w:rsidRPr="008619B3">
                        <w:rPr>
                          <w:b/>
                          <w:sz w:val="16"/>
                          <w:szCs w:val="16"/>
                        </w:rPr>
                        <w:t>COPYRIGHT</w:t>
                      </w:r>
                    </w:p>
                    <w:p w14:paraId="50C927EC" w14:textId="77777777" w:rsidR="009913C2" w:rsidRDefault="009913C2" w:rsidP="009913C2">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500D7C33" w14:textId="77777777" w:rsidR="009913C2" w:rsidRPr="008619B3" w:rsidRDefault="009913C2" w:rsidP="009913C2">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306286D9" w14:textId="77777777" w:rsidR="009913C2" w:rsidRDefault="009913C2" w:rsidP="009913C2">
                      <w:pPr>
                        <w:rPr>
                          <w:sz w:val="16"/>
                          <w:szCs w:val="16"/>
                        </w:rPr>
                      </w:pPr>
                      <w:r w:rsidRPr="008619B3">
                        <w:rPr>
                          <w:sz w:val="16"/>
                          <w:szCs w:val="16"/>
                        </w:rPr>
                        <w:t>CRICOS Provider Code 00301J</w:t>
                      </w:r>
                    </w:p>
                    <w:p w14:paraId="4EDBEFE6" w14:textId="56AAF7F8" w:rsidR="009913C2" w:rsidRPr="008E31EC" w:rsidRDefault="009913C2" w:rsidP="009913C2">
                      <w:pPr>
                        <w:rPr>
                          <w:sz w:val="16"/>
                          <w:szCs w:val="16"/>
                        </w:rPr>
                      </w:pPr>
                      <w:r w:rsidRPr="007262B9">
                        <w:rPr>
                          <w:sz w:val="16"/>
                          <w:szCs w:val="16"/>
                        </w:rPr>
                        <w:t xml:space="preserve">ISBN </w:t>
                      </w:r>
                      <w:r w:rsidR="007262B9" w:rsidRPr="007262B9">
                        <w:rPr>
                          <w:sz w:val="16"/>
                          <w:szCs w:val="16"/>
                        </w:rPr>
                        <w:t>978-1-7644511-7-8</w:t>
                      </w:r>
                    </w:p>
                    <w:p w14:paraId="668F25D1" w14:textId="77777777" w:rsidR="009913C2" w:rsidRDefault="009913C2" w:rsidP="009913C2"/>
                  </w:txbxContent>
                </v:textbox>
                <w10:anchorlock/>
              </v:shape>
            </w:pict>
          </mc:Fallback>
        </mc:AlternateContent>
      </w:r>
      <w:bookmarkEnd w:id="4"/>
      <w:bookmarkEnd w:id="5"/>
      <w:r>
        <w:br w:type="page"/>
      </w:r>
    </w:p>
    <w:p w14:paraId="0D7993C2" w14:textId="4FB3772B" w:rsidR="008C7722" w:rsidRDefault="008C7722" w:rsidP="00832446">
      <w:pPr>
        <w:pStyle w:val="Heading1"/>
        <w:numPr>
          <w:ilvl w:val="0"/>
          <w:numId w:val="0"/>
        </w:numPr>
        <w:ind w:left="709" w:hanging="709"/>
      </w:pPr>
      <w:r w:rsidRPr="00481303">
        <w:lastRenderedPageBreak/>
        <w:t>Acknowledgement</w:t>
      </w:r>
      <w:r w:rsidRPr="00CB0B93">
        <w:t xml:space="preserve"> of Country</w:t>
      </w:r>
      <w:bookmarkEnd w:id="0"/>
      <w:bookmarkEnd w:id="1"/>
      <w:bookmarkEnd w:id="2"/>
      <w:bookmarkEnd w:id="3"/>
    </w:p>
    <w:p w14:paraId="453947A8" w14:textId="6FCB27F3" w:rsidR="000A7189" w:rsidRDefault="005E497A" w:rsidP="00EE52AD">
      <w:pPr>
        <w:pStyle w:val="AOCtext"/>
      </w:pPr>
      <w:r w:rsidRPr="00291946">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312E54D1" w14:textId="77777777" w:rsidR="00FB56C1" w:rsidRDefault="00FB56C1" w:rsidP="00EE52AD">
      <w:pPr>
        <w:pStyle w:val="Subtitle"/>
      </w:pPr>
    </w:p>
    <w:p w14:paraId="0638212A" w14:textId="77777777" w:rsidR="00FB56C1" w:rsidRDefault="00FB56C1" w:rsidP="00EE52AD">
      <w:pPr>
        <w:pStyle w:val="Subtitle"/>
      </w:pPr>
    </w:p>
    <w:p w14:paraId="32A85EB0" w14:textId="77777777" w:rsidR="00FB56C1" w:rsidRDefault="00FB56C1" w:rsidP="00EE52AD">
      <w:pPr>
        <w:pStyle w:val="Subtitle"/>
      </w:pPr>
    </w:p>
    <w:p w14:paraId="7A4AACB2" w14:textId="77777777" w:rsidR="00E149B5" w:rsidRPr="00E149B5" w:rsidRDefault="00E149B5" w:rsidP="00EE52AD">
      <w:bookmarkStart w:id="6" w:name="_Toc172197566"/>
      <w:bookmarkStart w:id="7" w:name="_Toc172200146"/>
      <w:bookmarkStart w:id="8" w:name="_Toc174350568"/>
    </w:p>
    <w:p w14:paraId="552D43F0" w14:textId="77777777" w:rsidR="003C2FE0" w:rsidRDefault="003C2FE0" w:rsidP="00EE52AD">
      <w:pPr>
        <w:rPr>
          <w:rFonts w:ascii="Inter Medium" w:hAnsi="Inter Medium" w:cstheme="majorBidi"/>
          <w:color w:val="6B3B57"/>
          <w:sz w:val="52"/>
          <w:szCs w:val="40"/>
          <w:lang w:eastAsia="en-AU"/>
        </w:rPr>
      </w:pPr>
      <w:bookmarkStart w:id="9" w:name="_Toc192004675"/>
      <w:bookmarkEnd w:id="6"/>
      <w:bookmarkEnd w:id="7"/>
      <w:bookmarkEnd w:id="8"/>
      <w:r>
        <w:rPr>
          <w:lang w:eastAsia="en-AU"/>
        </w:rPr>
        <w:br w:type="page"/>
      </w:r>
    </w:p>
    <w:p w14:paraId="26DC337C" w14:textId="63C9F0F1" w:rsidR="00AA7894" w:rsidRDefault="001540BC" w:rsidP="008D56D9">
      <w:pPr>
        <w:pStyle w:val="Heading1"/>
        <w:ind w:hanging="709"/>
      </w:pPr>
      <w:r>
        <w:lastRenderedPageBreak/>
        <w:t>Approach</w:t>
      </w:r>
      <w:bookmarkEnd w:id="9"/>
    </w:p>
    <w:p w14:paraId="39371383" w14:textId="55CD5C06" w:rsidR="00B03496" w:rsidRPr="00EE52AD" w:rsidRDefault="00B03496" w:rsidP="00EE52AD">
      <w:pPr>
        <w:pStyle w:val="Heading2"/>
      </w:pPr>
      <w:r w:rsidRPr="00EE52AD">
        <w:t>Summary</w:t>
      </w:r>
    </w:p>
    <w:p w14:paraId="010B7425" w14:textId="6E793C74" w:rsidR="00CA2ACD" w:rsidRDefault="00B03496" w:rsidP="00EE52AD">
      <w:r>
        <w:t>This project</w:t>
      </w:r>
      <w:r w:rsidR="00C703CA">
        <w:t xml:space="preserve"> was </w:t>
      </w:r>
      <w:r w:rsidR="0098474F">
        <w:t>aimed at</w:t>
      </w:r>
      <w:r>
        <w:t xml:space="preserve"> </w:t>
      </w:r>
      <w:r w:rsidR="00BC15BC">
        <w:t>bui</w:t>
      </w:r>
      <w:r w:rsidR="0098474F">
        <w:t>lding</w:t>
      </w:r>
      <w:r w:rsidR="00BC15BC">
        <w:t xml:space="preserve"> capacity for impact evaluation of student equity programs across the Group of Eight</w:t>
      </w:r>
      <w:r w:rsidR="6A303BE3">
        <w:t xml:space="preserve"> (Go8)</w:t>
      </w:r>
      <w:r w:rsidR="00BC15BC">
        <w:t xml:space="preserve"> institutions </w:t>
      </w:r>
      <w:r w:rsidR="00993590">
        <w:t xml:space="preserve">through </w:t>
      </w:r>
      <w:r w:rsidR="003F5672">
        <w:t>shar</w:t>
      </w:r>
      <w:r w:rsidR="00993590">
        <w:t>ing</w:t>
      </w:r>
      <w:r w:rsidR="003F5672">
        <w:t xml:space="preserve"> knowledge and best practices </w:t>
      </w:r>
      <w:r w:rsidR="00BC15BC">
        <w:t>among senior practi</w:t>
      </w:r>
      <w:r w:rsidR="000A3988">
        <w:t>ti</w:t>
      </w:r>
      <w:r w:rsidR="00BC15BC">
        <w:t>oners</w:t>
      </w:r>
      <w:r w:rsidR="45DDBCE5">
        <w:t xml:space="preserve"> and in-house evaluators</w:t>
      </w:r>
      <w:r w:rsidR="00BC15BC">
        <w:t xml:space="preserve"> </w:t>
      </w:r>
      <w:r w:rsidR="000A3988">
        <w:t>at each of the universities in the group</w:t>
      </w:r>
      <w:r w:rsidR="003F5672">
        <w:t xml:space="preserve">.  </w:t>
      </w:r>
    </w:p>
    <w:p w14:paraId="446A661C" w14:textId="067A0EC7" w:rsidR="00CA2ACD" w:rsidRPr="00A06412" w:rsidRDefault="000A3988" w:rsidP="4A0E1984">
      <w:pPr>
        <w:tabs>
          <w:tab w:val="left" w:pos="1985"/>
        </w:tabs>
      </w:pPr>
      <w:r>
        <w:t xml:space="preserve">The initiative </w:t>
      </w:r>
      <w:r w:rsidR="00CA2ACD">
        <w:t>enhance</w:t>
      </w:r>
      <w:r>
        <w:t>d</w:t>
      </w:r>
      <w:r w:rsidR="00CA2ACD">
        <w:t xml:space="preserve"> </w:t>
      </w:r>
      <w:r w:rsidR="749A7BA7">
        <w:t xml:space="preserve">evaluation </w:t>
      </w:r>
      <w:r w:rsidR="4B41A6E8">
        <w:t>capability</w:t>
      </w:r>
      <w:r w:rsidR="00CA2ACD">
        <w:t xml:space="preserve"> and practice</w:t>
      </w:r>
      <w:r w:rsidR="0098474F">
        <w:t>s</w:t>
      </w:r>
      <w:r w:rsidR="00A433FC">
        <w:t xml:space="preserve"> of equity programs</w:t>
      </w:r>
      <w:r w:rsidR="00CA2ACD">
        <w:t xml:space="preserve"> by </w:t>
      </w:r>
      <w:r w:rsidR="00A433FC">
        <w:t>developing a strong</w:t>
      </w:r>
      <w:r w:rsidR="00CA2ACD">
        <w:t xml:space="preserve"> partnership for knowledge sharing about current evaluation approaches, findings from existing evaluation</w:t>
      </w:r>
      <w:r w:rsidR="00AD774C">
        <w:t xml:space="preserve"> processes</w:t>
      </w:r>
      <w:r w:rsidR="00CA2ACD">
        <w:t>, and learnings from undertaking evaluations. The programs that this initiative focused on</w:t>
      </w:r>
      <w:r w:rsidR="00AD774C">
        <w:t xml:space="preserve"> were</w:t>
      </w:r>
      <w:r w:rsidR="00CA2ACD">
        <w:t>:</w:t>
      </w:r>
    </w:p>
    <w:p w14:paraId="56072076" w14:textId="049FA73E" w:rsidR="00CA2ACD" w:rsidRPr="000277A1" w:rsidRDefault="009C2222" w:rsidP="00EE52AD">
      <w:pPr>
        <w:pStyle w:val="ListParagraph"/>
        <w:numPr>
          <w:ilvl w:val="0"/>
          <w:numId w:val="20"/>
        </w:numPr>
      </w:pPr>
      <w:r>
        <w:t>a</w:t>
      </w:r>
      <w:r w:rsidR="00CA2ACD" w:rsidRPr="000277A1">
        <w:t>cademic preparation programs (both pre</w:t>
      </w:r>
      <w:r w:rsidR="0098474F">
        <w:t>-</w:t>
      </w:r>
      <w:r w:rsidR="00CA2ACD" w:rsidRPr="000277A1">
        <w:t xml:space="preserve"> and post</w:t>
      </w:r>
      <w:r w:rsidR="0098474F">
        <w:t>-</w:t>
      </w:r>
      <w:r w:rsidR="00CA2ACD" w:rsidRPr="000277A1">
        <w:t>enrolment)</w:t>
      </w:r>
    </w:p>
    <w:p w14:paraId="6A752A6D" w14:textId="7BDFA087" w:rsidR="00CA2ACD" w:rsidRPr="000277A1" w:rsidRDefault="009C2222" w:rsidP="00EE52AD">
      <w:pPr>
        <w:pStyle w:val="ListParagraph"/>
        <w:numPr>
          <w:ilvl w:val="0"/>
          <w:numId w:val="20"/>
        </w:numPr>
      </w:pPr>
      <w:r>
        <w:t>f</w:t>
      </w:r>
      <w:r w:rsidR="00CA2ACD" w:rsidRPr="000277A1">
        <w:t>irst-year transition programs for targeted student cohorts</w:t>
      </w:r>
      <w:r>
        <w:t>.</w:t>
      </w:r>
    </w:p>
    <w:p w14:paraId="016C7868" w14:textId="6033A0E4" w:rsidR="0098474F" w:rsidRDefault="00993590" w:rsidP="00EE52AD">
      <w:r>
        <w:t xml:space="preserve">The program was </w:t>
      </w:r>
      <w:r w:rsidR="0098474F">
        <w:t>developed</w:t>
      </w:r>
      <w:r>
        <w:t xml:space="preserve"> around a series of capacity-building workshops</w:t>
      </w:r>
      <w:r w:rsidR="009C2222">
        <w:t>.</w:t>
      </w:r>
      <w:r>
        <w:t xml:space="preserve"> </w:t>
      </w:r>
      <w:r w:rsidR="009C2222">
        <w:t xml:space="preserve">These provided </w:t>
      </w:r>
      <w:r w:rsidR="00CA2ACD">
        <w:t xml:space="preserve">a chance to share the design of the </w:t>
      </w:r>
      <w:r w:rsidR="4A8619FC">
        <w:t xml:space="preserve">focus </w:t>
      </w:r>
      <w:r w:rsidR="00CA2ACD">
        <w:t>initiative via a Program Logic Model</w:t>
      </w:r>
      <w:r w:rsidR="001C54BF">
        <w:t xml:space="preserve"> (PLM</w:t>
      </w:r>
      <w:r w:rsidR="00CA2ACD">
        <w:t xml:space="preserve">) and </w:t>
      </w:r>
      <w:r w:rsidR="00B31684">
        <w:t xml:space="preserve">discuss </w:t>
      </w:r>
      <w:r w:rsidR="00CA2ACD">
        <w:t xml:space="preserve">insights from existing </w:t>
      </w:r>
      <w:r w:rsidR="00022EEB">
        <w:t>continuous quality improvement (</w:t>
      </w:r>
      <w:r w:rsidR="00CA2ACD">
        <w:t>CQI</w:t>
      </w:r>
      <w:r w:rsidR="00022EEB">
        <w:t>)</w:t>
      </w:r>
      <w:r w:rsidR="00CA2ACD">
        <w:t xml:space="preserve"> data collection and evaluations.</w:t>
      </w:r>
      <w:r w:rsidR="00022EEB">
        <w:t xml:space="preserve"> </w:t>
      </w:r>
    </w:p>
    <w:p w14:paraId="31B78B0E" w14:textId="075F5E6E" w:rsidR="0098474F" w:rsidRDefault="542034BA" w:rsidP="009C2222">
      <w:r>
        <w:t>The</w:t>
      </w:r>
      <w:r w:rsidR="00022EEB">
        <w:t xml:space="preserve"> </w:t>
      </w:r>
      <w:r w:rsidR="00CA2ACD">
        <w:t xml:space="preserve">final workshop </w:t>
      </w:r>
      <w:r w:rsidR="009C2222">
        <w:t xml:space="preserve">provided </w:t>
      </w:r>
      <w:r w:rsidR="00CA2ACD">
        <w:t>an opportunity to produce an action plan to undertake an impact evaluation of the chosen equity initiative</w:t>
      </w:r>
      <w:r w:rsidR="009C2222">
        <w:t>—</w:t>
      </w:r>
      <w:r w:rsidR="2CB30381">
        <w:t>namely packed scholarships</w:t>
      </w:r>
      <w:r w:rsidR="009C2222">
        <w:t>—</w:t>
      </w:r>
      <w:r w:rsidR="00022EEB">
        <w:t xml:space="preserve">that will be going forward into </w:t>
      </w:r>
      <w:r w:rsidR="00CA2ACD">
        <w:t>2026</w:t>
      </w:r>
      <w:r w:rsidR="001C1796">
        <w:t xml:space="preserve">, alongside a public report of lessons learned from the discussions of impact evaluation for </w:t>
      </w:r>
      <w:r w:rsidR="009F36D9">
        <w:t>equity programs</w:t>
      </w:r>
      <w:r w:rsidR="00CA2ACD">
        <w:t>.</w:t>
      </w:r>
      <w:r w:rsidR="002760B6">
        <w:t xml:space="preserve"> </w:t>
      </w:r>
    </w:p>
    <w:p w14:paraId="60136C7B" w14:textId="10D88C78" w:rsidR="001C1796" w:rsidRPr="00CA2ACD" w:rsidRDefault="002760B6" w:rsidP="009C2222">
      <w:r>
        <w:t>The f</w:t>
      </w:r>
      <w:r w:rsidR="003F5672">
        <w:t xml:space="preserve">our workshops </w:t>
      </w:r>
      <w:r w:rsidR="00E806B6">
        <w:t>were</w:t>
      </w:r>
      <w:r w:rsidR="003F5672">
        <w:t xml:space="preserve"> facilitated by Nadine Zacharias (Equity by Design)</w:t>
      </w:r>
      <w:r>
        <w:t>,</w:t>
      </w:r>
      <w:r w:rsidR="003F5672">
        <w:t xml:space="preserve"> </w:t>
      </w:r>
      <w:r>
        <w:t>in conjunction with</w:t>
      </w:r>
      <w:r w:rsidR="003F5672">
        <w:t xml:space="preserve"> the Centre for the Study of Higher Education (CSHE</w:t>
      </w:r>
      <w:r w:rsidR="00FB7788">
        <w:t>,</w:t>
      </w:r>
      <w:r w:rsidR="00D53E07">
        <w:t xml:space="preserve"> Gwilym Croucher and Mat Hardy</w:t>
      </w:r>
      <w:r w:rsidR="00FB7788">
        <w:t>)</w:t>
      </w:r>
      <w:r w:rsidR="003F5672">
        <w:t xml:space="preserve">, </w:t>
      </w:r>
      <w:r w:rsidR="00C814A2">
        <w:t>t</w:t>
      </w:r>
      <w:r w:rsidR="003F5672">
        <w:t>he University of Melbourne</w:t>
      </w:r>
      <w:r w:rsidR="00FB7788">
        <w:t xml:space="preserve"> (Kate Flynn). </w:t>
      </w:r>
      <w:r w:rsidR="7D4827AA">
        <w:t>Jesse Parmar from</w:t>
      </w:r>
      <w:r w:rsidR="00D54399">
        <w:t xml:space="preserve"> the Australian Centre for Student Equity and Success</w:t>
      </w:r>
      <w:r w:rsidR="7D4827AA">
        <w:t xml:space="preserve"> </w:t>
      </w:r>
      <w:r w:rsidR="00D54399">
        <w:t>(</w:t>
      </w:r>
      <w:r w:rsidR="7D4827AA">
        <w:t>ACSES</w:t>
      </w:r>
      <w:r w:rsidR="00D54399">
        <w:t>)</w:t>
      </w:r>
      <w:r w:rsidR="7D4827AA">
        <w:t xml:space="preserve"> and Chris Ca</w:t>
      </w:r>
      <w:r w:rsidR="468A3D56">
        <w:t xml:space="preserve">rter from </w:t>
      </w:r>
      <w:r w:rsidR="00D54399">
        <w:t>University of Technology Sydney (</w:t>
      </w:r>
      <w:r w:rsidR="468A3D56">
        <w:t>UTS</w:t>
      </w:r>
      <w:r w:rsidR="00D54399">
        <w:t>)</w:t>
      </w:r>
      <w:r w:rsidR="468A3D56">
        <w:t xml:space="preserve"> delivered a session on impact evaluation as part of the final workshop.</w:t>
      </w:r>
      <w:r w:rsidR="7D4827AA">
        <w:t xml:space="preserve"> </w:t>
      </w:r>
      <w:r w:rsidR="00FB7788">
        <w:t xml:space="preserve">The </w:t>
      </w:r>
      <w:r w:rsidR="003F5672">
        <w:t>Go8</w:t>
      </w:r>
      <w:r w:rsidR="00FB7788">
        <w:t xml:space="preserve"> kindly hosted and supported the </w:t>
      </w:r>
      <w:r w:rsidR="00697F15">
        <w:t>initiative</w:t>
      </w:r>
      <w:r w:rsidR="003F5672">
        <w:t>.</w:t>
      </w:r>
    </w:p>
    <w:p w14:paraId="49F723A9" w14:textId="57802B0D" w:rsidR="00B03496" w:rsidRPr="00160BE0" w:rsidRDefault="00160BE0" w:rsidP="00EE52AD">
      <w:pPr>
        <w:pStyle w:val="Heading2"/>
      </w:pPr>
      <w:r w:rsidRPr="00160BE0">
        <w:t>Rationale</w:t>
      </w:r>
    </w:p>
    <w:p w14:paraId="6B006F75" w14:textId="2DD7E80D" w:rsidR="00160BE0" w:rsidRDefault="00160BE0" w:rsidP="4A0E1984">
      <w:r>
        <w:t xml:space="preserve">This initiative </w:t>
      </w:r>
      <w:r w:rsidR="002760B6">
        <w:t xml:space="preserve">was designed to </w:t>
      </w:r>
      <w:r>
        <w:t>build evaluative capacity through its collaborative design, peer</w:t>
      </w:r>
      <w:r w:rsidR="009C2222">
        <w:t>-</w:t>
      </w:r>
      <w:r w:rsidR="7C8E0307">
        <w:t>engagement</w:t>
      </w:r>
      <w:r w:rsidR="009C2222">
        <w:t>,</w:t>
      </w:r>
      <w:r w:rsidR="7C8E0307">
        <w:t xml:space="preserve"> </w:t>
      </w:r>
      <w:r>
        <w:t xml:space="preserve">and expert support. While </w:t>
      </w:r>
      <w:r w:rsidR="009F36D9">
        <w:t xml:space="preserve">it was necessary for the project to support </w:t>
      </w:r>
      <w:r>
        <w:t>an element of explicit teaching about evaluation</w:t>
      </w:r>
      <w:r w:rsidR="009C2222">
        <w:t>—</w:t>
      </w:r>
      <w:r>
        <w:t xml:space="preserve">including </w:t>
      </w:r>
      <w:r w:rsidR="00A85C01">
        <w:t xml:space="preserve">for </w:t>
      </w:r>
      <w:r>
        <w:t>impact evaluation</w:t>
      </w:r>
      <w:r w:rsidR="009C2222">
        <w:t>—</w:t>
      </w:r>
      <w:r w:rsidR="006E0A84">
        <w:t xml:space="preserve">one of the key </w:t>
      </w:r>
      <w:r>
        <w:t>benefit</w:t>
      </w:r>
      <w:r w:rsidR="006E0A84">
        <w:t>s</w:t>
      </w:r>
      <w:r>
        <w:t xml:space="preserve"> </w:t>
      </w:r>
      <w:r w:rsidR="00A85C01">
        <w:t>of</w:t>
      </w:r>
      <w:r w:rsidR="006E0A84">
        <w:t xml:space="preserve"> the project was </w:t>
      </w:r>
      <w:r>
        <w:t>the collaborative design and learning</w:t>
      </w:r>
      <w:r w:rsidR="006E0A84">
        <w:t>-</w:t>
      </w:r>
      <w:r>
        <w:t>by</w:t>
      </w:r>
      <w:r w:rsidR="006E0A84">
        <w:t>-</w:t>
      </w:r>
      <w:r>
        <w:t>doing from experts and peers</w:t>
      </w:r>
      <w:r w:rsidR="006E0A84">
        <w:t xml:space="preserve">, </w:t>
      </w:r>
      <w:r w:rsidR="00F75024">
        <w:t>which</w:t>
      </w:r>
      <w:r w:rsidR="006E0A84">
        <w:t xml:space="preserve"> </w:t>
      </w:r>
      <w:r w:rsidR="00A85C01">
        <w:t>served to</w:t>
      </w:r>
      <w:r w:rsidR="006E0A84">
        <w:t xml:space="preserve"> develop a network of practi</w:t>
      </w:r>
      <w:r w:rsidR="00F75024">
        <w:t>tion</w:t>
      </w:r>
      <w:r w:rsidR="006E0A84">
        <w:t xml:space="preserve">ers </w:t>
      </w:r>
      <w:r w:rsidR="00F75024">
        <w:t xml:space="preserve">undertaking </w:t>
      </w:r>
      <w:r w:rsidR="00D05721">
        <w:t xml:space="preserve">joint </w:t>
      </w:r>
      <w:r w:rsidR="30070006">
        <w:t xml:space="preserve">evaluation </w:t>
      </w:r>
      <w:r w:rsidR="00D05721">
        <w:t>in 2026</w:t>
      </w:r>
      <w:r>
        <w:t xml:space="preserve">. </w:t>
      </w:r>
    </w:p>
    <w:p w14:paraId="59A86970" w14:textId="1CFC9C7B" w:rsidR="00A85C01" w:rsidRDefault="00160BE0" w:rsidP="00EE52AD">
      <w:r w:rsidRPr="002E2059">
        <w:t xml:space="preserve">The workshop series </w:t>
      </w:r>
      <w:r w:rsidR="00A85C01">
        <w:t xml:space="preserve">was explicitly crafted to </w:t>
      </w:r>
      <w:r w:rsidRPr="002E2059">
        <w:t>allow participants to share</w:t>
      </w:r>
      <w:r w:rsidR="00BB6228">
        <w:t>—</w:t>
      </w:r>
      <w:r w:rsidR="00F75024">
        <w:t>over the course of several months and</w:t>
      </w:r>
      <w:r w:rsidRPr="002E2059">
        <w:t xml:space="preserve"> in </w:t>
      </w:r>
      <w:r w:rsidR="00125188">
        <w:t xml:space="preserve">a </w:t>
      </w:r>
      <w:r w:rsidRPr="002E2059">
        <w:t>systematic</w:t>
      </w:r>
      <w:r w:rsidR="00F75024">
        <w:t>, structured format</w:t>
      </w:r>
      <w:r w:rsidR="00BB6228">
        <w:t>—</w:t>
      </w:r>
      <w:r w:rsidRPr="002E2059">
        <w:t>how they are designing equity programs and services</w:t>
      </w:r>
      <w:r w:rsidR="00A85C01">
        <w:t>,</w:t>
      </w:r>
      <w:r w:rsidRPr="002E2059">
        <w:t xml:space="preserve"> </w:t>
      </w:r>
      <w:r w:rsidR="00A85C01">
        <w:t>as well as</w:t>
      </w:r>
      <w:r w:rsidRPr="002E2059">
        <w:t xml:space="preserve"> </w:t>
      </w:r>
      <w:r w:rsidR="00A85C01">
        <w:t xml:space="preserve">to </w:t>
      </w:r>
      <w:r w:rsidRPr="002E2059">
        <w:t xml:space="preserve">explore whether some designs work better than others in terms of student outcomes. </w:t>
      </w:r>
    </w:p>
    <w:p w14:paraId="0AC0BE43" w14:textId="49DBA48D" w:rsidR="00160BE0" w:rsidRPr="002E2059" w:rsidRDefault="00160BE0" w:rsidP="00EE52AD">
      <w:r w:rsidRPr="002E2059">
        <w:lastRenderedPageBreak/>
        <w:t xml:space="preserve">Because participants </w:t>
      </w:r>
      <w:r w:rsidR="00125188">
        <w:t>were</w:t>
      </w:r>
      <w:r w:rsidRPr="002E2059">
        <w:t xml:space="preserve"> sharing reasonably sensitive and complex information, it </w:t>
      </w:r>
      <w:r w:rsidR="00125188">
        <w:t xml:space="preserve">was </w:t>
      </w:r>
      <w:r w:rsidRPr="002E2059">
        <w:t>ideal to work at the Go8 group level</w:t>
      </w:r>
      <w:r w:rsidR="00A85C01">
        <w:t>,</w:t>
      </w:r>
      <w:r w:rsidR="00125188">
        <w:t xml:space="preserve"> where </w:t>
      </w:r>
      <w:r w:rsidR="001F3805">
        <w:t>a Chatham House rule environment could be promoted</w:t>
      </w:r>
      <w:r w:rsidRPr="002E2059">
        <w:t xml:space="preserve">. </w:t>
      </w:r>
      <w:r w:rsidR="00C30DA8">
        <w:t>As there</w:t>
      </w:r>
      <w:r w:rsidRPr="002E2059">
        <w:t xml:space="preserve"> are existing arrangements and familiarity between </w:t>
      </w:r>
      <w:r w:rsidR="00877E05">
        <w:t xml:space="preserve">the </w:t>
      </w:r>
      <w:r w:rsidRPr="002E2059">
        <w:t>Go8 member</w:t>
      </w:r>
      <w:r w:rsidR="00877E05">
        <w:t xml:space="preserve"> universities and equity practitioners</w:t>
      </w:r>
      <w:r w:rsidR="00C30DA8">
        <w:t xml:space="preserve">, this enabled a </w:t>
      </w:r>
      <w:r w:rsidR="007C5AF0">
        <w:t xml:space="preserve">highly </w:t>
      </w:r>
      <w:r w:rsidRPr="002E2059">
        <w:t>productive collaboration.</w:t>
      </w:r>
    </w:p>
    <w:p w14:paraId="1F4FD341" w14:textId="63ACF7EE" w:rsidR="00160BE0" w:rsidRDefault="00160BE0" w:rsidP="00EE52AD">
      <w:r w:rsidRPr="002E2059">
        <w:t xml:space="preserve">The workshop series </w:t>
      </w:r>
      <w:r w:rsidR="00877E05">
        <w:t>discussions were</w:t>
      </w:r>
      <w:r w:rsidR="007C5AF0">
        <w:t xml:space="preserve"> </w:t>
      </w:r>
      <w:r w:rsidRPr="002E2059">
        <w:t xml:space="preserve">grounded in the </w:t>
      </w:r>
      <w:r w:rsidR="007C5AF0">
        <w:t xml:space="preserve">Student Equity </w:t>
      </w:r>
      <w:r w:rsidR="00C56853">
        <w:t xml:space="preserve">in Higher Education Evaluation </w:t>
      </w:r>
      <w:r w:rsidR="001C54BF">
        <w:t>Framework (</w:t>
      </w:r>
      <w:r w:rsidRPr="002E2059">
        <w:t>SEHEEF</w:t>
      </w:r>
      <w:r w:rsidR="00EE4D56">
        <w:t>, see Figure 1</w:t>
      </w:r>
      <w:r w:rsidR="001C54BF">
        <w:t>)</w:t>
      </w:r>
      <w:r w:rsidRPr="002E2059">
        <w:t xml:space="preserve"> and use</w:t>
      </w:r>
      <w:r w:rsidR="001C54BF">
        <w:t>d</w:t>
      </w:r>
      <w:r w:rsidRPr="002E2059">
        <w:t xml:space="preserve"> the SEHEEF Guidance Manual to develop PLMs, identify measurement indicators, and make assessments about which programs or activities len</w:t>
      </w:r>
      <w:r w:rsidR="001C54BF">
        <w:t>t</w:t>
      </w:r>
      <w:r w:rsidRPr="002E2059">
        <w:t xml:space="preserve"> themselves to a cross-institutional comparison and impact evaluation.</w:t>
      </w:r>
    </w:p>
    <w:p w14:paraId="2444A38B" w14:textId="6A664931" w:rsidR="009C2222" w:rsidRPr="008D56D9" w:rsidRDefault="009C2222" w:rsidP="00EE52AD">
      <w:pPr>
        <w:rPr>
          <w:i/>
          <w:iCs/>
        </w:rPr>
      </w:pPr>
      <w:r w:rsidRPr="008D56D9">
        <w:rPr>
          <w:i/>
          <w:iCs/>
        </w:rPr>
        <w:t xml:space="preserve">Figure </w:t>
      </w:r>
      <w:r w:rsidRPr="008D56D9">
        <w:rPr>
          <w:i/>
          <w:iCs/>
        </w:rPr>
        <w:fldChar w:fldCharType="begin"/>
      </w:r>
      <w:r w:rsidRPr="008D56D9">
        <w:rPr>
          <w:i/>
          <w:iCs/>
        </w:rPr>
        <w:instrText xml:space="preserve"> SEQ Figure \* ARABIC </w:instrText>
      </w:r>
      <w:r w:rsidRPr="008D56D9">
        <w:rPr>
          <w:i/>
          <w:iCs/>
        </w:rPr>
        <w:fldChar w:fldCharType="separate"/>
      </w:r>
      <w:r w:rsidR="0091149F">
        <w:rPr>
          <w:i/>
          <w:iCs/>
          <w:noProof/>
        </w:rPr>
        <w:t>1</w:t>
      </w:r>
      <w:r w:rsidRPr="008D56D9">
        <w:rPr>
          <w:i/>
          <w:iCs/>
          <w:noProof/>
        </w:rPr>
        <w:fldChar w:fldCharType="end"/>
      </w:r>
      <w:r w:rsidRPr="008D56D9">
        <w:rPr>
          <w:i/>
          <w:iCs/>
        </w:rPr>
        <w:t>: SEHEEF</w:t>
      </w:r>
    </w:p>
    <w:p w14:paraId="20394FBF" w14:textId="0000B43A" w:rsidR="00EE4D56" w:rsidRPr="007B0F28" w:rsidRDefault="00EE4D56" w:rsidP="00EE52AD">
      <w:pPr>
        <w:pStyle w:val="Caption"/>
        <w:rPr>
          <w:lang w:val="en-US"/>
        </w:rPr>
      </w:pPr>
      <w:r>
        <w:rPr>
          <w:noProof/>
        </w:rPr>
        <w:drawing>
          <wp:inline distT="0" distB="0" distL="0" distR="0" wp14:anchorId="7B93E837" wp14:editId="13AB3C40">
            <wp:extent cx="5729956" cy="2879090"/>
            <wp:effectExtent l="0" t="0" r="0" b="3810"/>
            <wp:docPr id="526473192" name="Picture 2" descr="A diagram of the Student Equity in Higher Education Evaluation Framework or SEHEEF, which is a quality evaluation framework.&#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73192" name="Picture 2" descr="A diagram of the Student Equity in Higher Education Evaluation Framework or SEHEEF, which is a quality evaluation framework.&#10;&#10;"/>
                    <pic:cNvPicPr>
                      <a:picLocks noChangeAspect="1" noChangeArrowheads="1"/>
                    </pic:cNvPicPr>
                  </pic:nvPicPr>
                  <pic:blipFill rotWithShape="1">
                    <a:blip r:embed="rId14">
                      <a:extLst>
                        <a:ext uri="{28A0092B-C50C-407E-A947-70E740481C1C}">
                          <a14:useLocalDpi xmlns:a14="http://schemas.microsoft.com/office/drawing/2010/main" val="0"/>
                        </a:ext>
                      </a:extLst>
                    </a:blip>
                    <a:srcRect t="4046" b="4388"/>
                    <a:stretch>
                      <a:fillRect/>
                    </a:stretch>
                  </pic:blipFill>
                  <pic:spPr bwMode="auto">
                    <a:xfrm>
                      <a:off x="0" y="0"/>
                      <a:ext cx="5731861" cy="2880047"/>
                    </a:xfrm>
                    <a:prstGeom prst="rect">
                      <a:avLst/>
                    </a:prstGeom>
                    <a:noFill/>
                    <a:ln>
                      <a:noFill/>
                    </a:ln>
                    <a:extLst>
                      <a:ext uri="{53640926-AAD7-44D8-BBD7-CCE9431645EC}">
                        <a14:shadowObscured xmlns:a14="http://schemas.microsoft.com/office/drawing/2010/main"/>
                      </a:ext>
                    </a:extLst>
                  </pic:spPr>
                </pic:pic>
              </a:graphicData>
            </a:graphic>
          </wp:inline>
        </w:drawing>
      </w:r>
      <w:r w:rsidRPr="00EE4D56">
        <w:t xml:space="preserve"> </w:t>
      </w:r>
    </w:p>
    <w:p w14:paraId="54D3F1E6" w14:textId="360EC0AE" w:rsidR="00EE4D56" w:rsidRDefault="007B0F28" w:rsidP="00EE52AD">
      <w:r w:rsidRPr="4A0E1984">
        <w:rPr>
          <w:lang w:val="en-GB"/>
        </w:rPr>
        <w:t xml:space="preserve">The SEHEEF </w:t>
      </w:r>
      <w:r w:rsidR="007E46F6" w:rsidRPr="4A0E1984">
        <w:rPr>
          <w:lang w:val="en-GB"/>
        </w:rPr>
        <w:t xml:space="preserve">was used because it is </w:t>
      </w:r>
      <w:r w:rsidRPr="4A0E1984">
        <w:rPr>
          <w:lang w:val="en-GB"/>
        </w:rPr>
        <w:t xml:space="preserve">an effective tool to guide evaluation at the program level and to shift attention from </w:t>
      </w:r>
      <w:r w:rsidR="00757325" w:rsidRPr="4A0E1984">
        <w:rPr>
          <w:lang w:val="en-GB"/>
        </w:rPr>
        <w:t>a focus on r</w:t>
      </w:r>
      <w:r w:rsidRPr="4A0E1984">
        <w:rPr>
          <w:lang w:val="en-GB"/>
        </w:rPr>
        <w:t>esources</w:t>
      </w:r>
      <w:r w:rsidR="00757325" w:rsidRPr="4A0E1984">
        <w:rPr>
          <w:lang w:val="en-GB"/>
        </w:rPr>
        <w:t xml:space="preserve"> and a</w:t>
      </w:r>
      <w:r w:rsidRPr="4A0E1984">
        <w:rPr>
          <w:lang w:val="en-GB"/>
        </w:rPr>
        <w:t xml:space="preserve">ctivities to </w:t>
      </w:r>
      <w:r w:rsidR="00757325" w:rsidRPr="4A0E1984">
        <w:rPr>
          <w:lang w:val="en-GB"/>
        </w:rPr>
        <w:t>the o</w:t>
      </w:r>
      <w:r w:rsidRPr="4A0E1984">
        <w:rPr>
          <w:lang w:val="en-GB"/>
        </w:rPr>
        <w:t>utcomes</w:t>
      </w:r>
      <w:r w:rsidR="003205C7" w:rsidRPr="4A0E1984">
        <w:rPr>
          <w:lang w:val="en-GB"/>
        </w:rPr>
        <w:t xml:space="preserve">. It was a means to give the Go8 </w:t>
      </w:r>
      <w:r w:rsidRPr="4A0E1984">
        <w:rPr>
          <w:lang w:val="en-GB"/>
        </w:rPr>
        <w:t>practitioners a common language to think and talk about their programs in an evidence-informed way</w:t>
      </w:r>
      <w:r w:rsidRPr="4A0E1984">
        <w:rPr>
          <w:lang w:val="en-US"/>
        </w:rPr>
        <w:t>​</w:t>
      </w:r>
      <w:r w:rsidR="00E43340" w:rsidRPr="4A0E1984">
        <w:rPr>
          <w:lang w:val="en-US"/>
        </w:rPr>
        <w:t xml:space="preserve">, with the goal that it can enable </w:t>
      </w:r>
      <w:r w:rsidRPr="4A0E1984">
        <w:rPr>
          <w:lang w:val="en-GB"/>
        </w:rPr>
        <w:t xml:space="preserve">evidence-informed decision-making </w:t>
      </w:r>
      <w:r w:rsidR="00E43340" w:rsidRPr="4A0E1984">
        <w:rPr>
          <w:lang w:val="en-GB"/>
        </w:rPr>
        <w:t>about programs</w:t>
      </w:r>
      <w:r w:rsidR="00740F64" w:rsidRPr="4A0E1984">
        <w:rPr>
          <w:lang w:val="en-GB"/>
        </w:rPr>
        <w:t xml:space="preserve">, including on future </w:t>
      </w:r>
      <w:r w:rsidRPr="4A0E1984">
        <w:rPr>
          <w:lang w:val="en-GB"/>
        </w:rPr>
        <w:t>funding allocations</w:t>
      </w:r>
      <w:r w:rsidRPr="4A0E1984">
        <w:rPr>
          <w:lang w:val="en-US"/>
        </w:rPr>
        <w:t>​</w:t>
      </w:r>
      <w:r w:rsidR="00740F64" w:rsidRPr="4A0E1984">
        <w:rPr>
          <w:lang w:val="en-US"/>
        </w:rPr>
        <w:t>.</w:t>
      </w:r>
      <w:r w:rsidR="00AD601A" w:rsidRPr="4A0E1984">
        <w:rPr>
          <w:lang w:val="en-US"/>
        </w:rPr>
        <w:t xml:space="preserve"> I</w:t>
      </w:r>
      <w:proofErr w:type="spellStart"/>
      <w:r w:rsidR="00740F64" w:rsidRPr="4A0E1984">
        <w:rPr>
          <w:lang w:val="en-GB"/>
        </w:rPr>
        <w:t>mportantly</w:t>
      </w:r>
      <w:proofErr w:type="spellEnd"/>
      <w:r w:rsidR="00740F64" w:rsidRPr="4A0E1984">
        <w:rPr>
          <w:lang w:val="en-GB"/>
        </w:rPr>
        <w:t xml:space="preserve">, </w:t>
      </w:r>
      <w:r w:rsidR="009D5B51" w:rsidRPr="4A0E1984">
        <w:rPr>
          <w:lang w:val="en-GB"/>
        </w:rPr>
        <w:t xml:space="preserve">the </w:t>
      </w:r>
      <w:r w:rsidR="00AD601A" w:rsidRPr="4A0E1984">
        <w:rPr>
          <w:lang w:val="en-GB"/>
        </w:rPr>
        <w:t xml:space="preserve">project </w:t>
      </w:r>
      <w:r w:rsidR="00E27BDC" w:rsidRPr="4A0E1984">
        <w:rPr>
          <w:lang w:val="en-GB"/>
        </w:rPr>
        <w:t>supported</w:t>
      </w:r>
      <w:r w:rsidRPr="4A0E1984">
        <w:rPr>
          <w:lang w:val="en-GB"/>
        </w:rPr>
        <w:t xml:space="preserve"> </w:t>
      </w:r>
      <w:r w:rsidR="009D5B51" w:rsidRPr="4A0E1984">
        <w:rPr>
          <w:lang w:val="en-GB"/>
        </w:rPr>
        <w:t xml:space="preserve">a </w:t>
      </w:r>
      <w:r w:rsidRPr="4A0E1984">
        <w:rPr>
          <w:lang w:val="en-GB"/>
        </w:rPr>
        <w:t xml:space="preserve">broad </w:t>
      </w:r>
      <w:r w:rsidR="00FC6E90" w:rsidRPr="4A0E1984">
        <w:rPr>
          <w:lang w:val="en-GB"/>
        </w:rPr>
        <w:t xml:space="preserve">conversation about </w:t>
      </w:r>
      <w:r w:rsidR="00B24C34" w:rsidRPr="4A0E1984">
        <w:rPr>
          <w:lang w:val="en-GB"/>
        </w:rPr>
        <w:t>what works, what current capability exists</w:t>
      </w:r>
      <w:r w:rsidR="009D5B51" w:rsidRPr="4A0E1984">
        <w:rPr>
          <w:lang w:val="en-GB"/>
        </w:rPr>
        <w:t>,</w:t>
      </w:r>
      <w:r w:rsidR="00B24C34" w:rsidRPr="4A0E1984">
        <w:rPr>
          <w:lang w:val="en-GB"/>
        </w:rPr>
        <w:t xml:space="preserve"> an</w:t>
      </w:r>
      <w:r w:rsidR="009D5B51" w:rsidRPr="4A0E1984">
        <w:rPr>
          <w:lang w:val="en-GB"/>
        </w:rPr>
        <w:t>d</w:t>
      </w:r>
      <w:r w:rsidR="00B24C34" w:rsidRPr="4A0E1984">
        <w:rPr>
          <w:lang w:val="en-GB"/>
        </w:rPr>
        <w:t xml:space="preserve"> where there are</w:t>
      </w:r>
      <w:r w:rsidRPr="4A0E1984">
        <w:rPr>
          <w:lang w:val="en-GB"/>
        </w:rPr>
        <w:t xml:space="preserve"> blind spots in both </w:t>
      </w:r>
      <w:r w:rsidR="00B24C34" w:rsidRPr="4A0E1984">
        <w:rPr>
          <w:lang w:val="en-GB"/>
        </w:rPr>
        <w:t>s</w:t>
      </w:r>
      <w:r w:rsidRPr="4A0E1984">
        <w:rPr>
          <w:lang w:val="en-GB"/>
        </w:rPr>
        <w:t xml:space="preserve">upporting outcomes and </w:t>
      </w:r>
      <w:r w:rsidR="00B24C34" w:rsidRPr="4A0E1984">
        <w:rPr>
          <w:lang w:val="en-GB"/>
        </w:rPr>
        <w:t>p</w:t>
      </w:r>
      <w:r w:rsidRPr="4A0E1984">
        <w:rPr>
          <w:lang w:val="en-GB"/>
        </w:rPr>
        <w:t>rimary outcomes</w:t>
      </w:r>
      <w:r w:rsidR="00B24C34" w:rsidRPr="4A0E1984">
        <w:rPr>
          <w:lang w:val="en-GB"/>
        </w:rPr>
        <w:t xml:space="preserve"> </w:t>
      </w:r>
      <w:r w:rsidR="009D5B51" w:rsidRPr="4A0E1984">
        <w:rPr>
          <w:lang w:val="en-GB"/>
        </w:rPr>
        <w:t xml:space="preserve">in the way that the SEHEEF is applied. </w:t>
      </w:r>
      <w:r w:rsidRPr="4A0E1984">
        <w:rPr>
          <w:lang w:val="en-US"/>
        </w:rPr>
        <w:t>​</w:t>
      </w:r>
      <w:r w:rsidR="00251D2D" w:rsidRPr="4A0E1984">
        <w:rPr>
          <w:lang w:val="en-US"/>
        </w:rPr>
        <w:t xml:space="preserve">While acknowledging that </w:t>
      </w:r>
      <w:r w:rsidR="00251D2D" w:rsidRPr="4A0E1984">
        <w:rPr>
          <w:lang w:val="en-GB"/>
        </w:rPr>
        <w:t>e</w:t>
      </w:r>
      <w:r w:rsidRPr="4A0E1984">
        <w:rPr>
          <w:lang w:val="en-GB"/>
        </w:rPr>
        <w:t>xisting evaluation capability across the sector is relatively low</w:t>
      </w:r>
      <w:r w:rsidR="00251D2D" w:rsidRPr="4A0E1984">
        <w:rPr>
          <w:lang w:val="en-GB"/>
        </w:rPr>
        <w:t xml:space="preserve">, </w:t>
      </w:r>
      <w:r w:rsidR="0736EEB7" w:rsidRPr="4A0E1984">
        <w:rPr>
          <w:lang w:val="en-GB"/>
        </w:rPr>
        <w:t>we found pockets of advanced practice within the Go8 member institutions. P</w:t>
      </w:r>
      <w:r w:rsidR="00251D2D" w:rsidRPr="4A0E1984">
        <w:rPr>
          <w:lang w:val="en-GB"/>
        </w:rPr>
        <w:t xml:space="preserve">rojects such as this are a chance to </w:t>
      </w:r>
      <w:r w:rsidR="6665574C" w:rsidRPr="4A0E1984">
        <w:rPr>
          <w:lang w:val="en-GB"/>
        </w:rPr>
        <w:t xml:space="preserve">significantly </w:t>
      </w:r>
      <w:r w:rsidR="00251D2D" w:rsidRPr="4A0E1984">
        <w:rPr>
          <w:lang w:val="en-GB"/>
        </w:rPr>
        <w:t>build</w:t>
      </w:r>
      <w:r w:rsidR="20BBA650" w:rsidRPr="4A0E1984">
        <w:rPr>
          <w:lang w:val="en-GB"/>
        </w:rPr>
        <w:t xml:space="preserve"> on existing</w:t>
      </w:r>
      <w:r w:rsidR="00251D2D" w:rsidRPr="4A0E1984">
        <w:rPr>
          <w:lang w:val="en-GB"/>
        </w:rPr>
        <w:t xml:space="preserve"> </w:t>
      </w:r>
      <w:r w:rsidR="00B5342F" w:rsidRPr="4A0E1984">
        <w:rPr>
          <w:lang w:val="en-GB"/>
        </w:rPr>
        <w:t xml:space="preserve">capability, both through joint evaluation exercises and common approaches, as well as through </w:t>
      </w:r>
      <w:r w:rsidR="000853BC" w:rsidRPr="4A0E1984">
        <w:rPr>
          <w:lang w:val="en-GB"/>
        </w:rPr>
        <w:t xml:space="preserve">iterative information sharing. </w:t>
      </w:r>
      <w:r w:rsidR="00B5342F" w:rsidRPr="4A0E1984">
        <w:rPr>
          <w:lang w:val="en-GB"/>
        </w:rPr>
        <w:t xml:space="preserve"> </w:t>
      </w:r>
    </w:p>
    <w:p w14:paraId="011844E9" w14:textId="705075E8" w:rsidR="0031353D" w:rsidRPr="0031353D" w:rsidRDefault="007C6BA3" w:rsidP="00EE52AD">
      <w:pPr>
        <w:pStyle w:val="Heading2"/>
      </w:pPr>
      <w:r>
        <w:t xml:space="preserve">Workshops and </w:t>
      </w:r>
      <w:r w:rsidR="0031353D" w:rsidRPr="0031353D">
        <w:t>facilitators</w:t>
      </w:r>
    </w:p>
    <w:p w14:paraId="6C8D4C98" w14:textId="6F02A21C" w:rsidR="00C11194" w:rsidRDefault="0031353D" w:rsidP="00EE52AD">
      <w:r>
        <w:t xml:space="preserve">The workshops were co-designed and facilitated by Dr Nadine Zacharias from Equity by Design </w:t>
      </w:r>
      <w:r w:rsidR="001A2EA3">
        <w:t xml:space="preserve">and supported by </w:t>
      </w:r>
      <w:r w:rsidR="004F5D90">
        <w:t xml:space="preserve">the Centre for the Study of Higher Education </w:t>
      </w:r>
      <w:r w:rsidR="4C793F4F">
        <w:t xml:space="preserve">(CSHE) </w:t>
      </w:r>
      <w:r w:rsidR="004F5D90">
        <w:t xml:space="preserve">and </w:t>
      </w:r>
      <w:r w:rsidR="00E07F89">
        <w:t xml:space="preserve">drew on the </w:t>
      </w:r>
      <w:r w:rsidR="00631352">
        <w:t>team</w:t>
      </w:r>
      <w:r w:rsidR="001643A6">
        <w:t>’</w:t>
      </w:r>
      <w:r w:rsidR="00631352">
        <w:t xml:space="preserve">s </w:t>
      </w:r>
      <w:r>
        <w:t xml:space="preserve">deep expertise in student equity </w:t>
      </w:r>
      <w:r w:rsidR="005A45A4">
        <w:t xml:space="preserve">and </w:t>
      </w:r>
      <w:r>
        <w:t xml:space="preserve">evaluation in higher education. </w:t>
      </w:r>
      <w:r w:rsidR="00402E73">
        <w:t xml:space="preserve">In designing the workshops, Nadine and the team drew on her work with </w:t>
      </w:r>
      <w:r w:rsidR="00D54399">
        <w:t xml:space="preserve">the University of Western </w:t>
      </w:r>
      <w:r w:rsidR="00D54399">
        <w:lastRenderedPageBreak/>
        <w:t>Australia (</w:t>
      </w:r>
      <w:r w:rsidR="00402E73">
        <w:t>UWA</w:t>
      </w:r>
      <w:r w:rsidR="00D54399">
        <w:t>)</w:t>
      </w:r>
      <w:r w:rsidR="00402E73">
        <w:t xml:space="preserve"> during 2024 and 2025 on equity program evaluation</w:t>
      </w:r>
      <w:r w:rsidR="503F4DE0">
        <w:t>, including a current ACSES-funded trial of a packaged scholarship program</w:t>
      </w:r>
      <w:r w:rsidR="00402E73">
        <w:t xml:space="preserve">. </w:t>
      </w:r>
    </w:p>
    <w:p w14:paraId="4EA2B2DB" w14:textId="52B45E2A" w:rsidR="00C11194" w:rsidRDefault="00402E73" w:rsidP="00EE52AD">
      <w:r>
        <w:t xml:space="preserve">In supporting the program design, the </w:t>
      </w:r>
      <w:r w:rsidR="0031353D">
        <w:t>CSHE</w:t>
      </w:r>
      <w:r w:rsidR="00C73996">
        <w:t xml:space="preserve"> le</w:t>
      </w:r>
      <w:r>
        <w:t>a</w:t>
      </w:r>
      <w:r w:rsidR="00C73996">
        <w:t>n</w:t>
      </w:r>
      <w:r>
        <w:t>ed</w:t>
      </w:r>
      <w:r w:rsidR="00C73996">
        <w:t xml:space="preserve"> </w:t>
      </w:r>
      <w:r>
        <w:t>on</w:t>
      </w:r>
      <w:r w:rsidR="00C73996">
        <w:t xml:space="preserve"> their</w:t>
      </w:r>
      <w:r w:rsidR="0031353D">
        <w:t xml:space="preserve"> track record in successfully delivering research and evaluation projects covering a variety of elements of higher education, including student equity and well</w:t>
      </w:r>
      <w:r>
        <w:t>-</w:t>
      </w:r>
      <w:r w:rsidR="0031353D">
        <w:t>being</w:t>
      </w:r>
      <w:r>
        <w:t xml:space="preserve">. </w:t>
      </w:r>
    </w:p>
    <w:p w14:paraId="39D274D3" w14:textId="7C1996FB" w:rsidR="1CABA189" w:rsidRDefault="1CABA189">
      <w:r>
        <w:t>The final workshop included a skill-building session and practitioner panel on impact evaluation facilitated by Jesse Parmar from ACSES. Elisa McGowan (UWA), Xena Irv</w:t>
      </w:r>
      <w:r w:rsidR="3487A30A">
        <w:t>in (UQ)</w:t>
      </w:r>
      <w:r w:rsidR="00BB6228">
        <w:t>,</w:t>
      </w:r>
      <w:r w:rsidR="3487A30A">
        <w:t xml:space="preserve"> and Chris Carter (UTS) were the panel</w:t>
      </w:r>
      <w:r w:rsidR="00436EC6">
        <w:t>l</w:t>
      </w:r>
      <w:r w:rsidR="3487A30A">
        <w:t xml:space="preserve">ists for the session and shared their experiences and challenges with impact evaluations. </w:t>
      </w:r>
    </w:p>
    <w:p w14:paraId="1E2BFAE3" w14:textId="07389048" w:rsidR="007B0F28" w:rsidRDefault="00402E73" w:rsidP="00EE52AD">
      <w:r>
        <w:t>Together, the team</w:t>
      </w:r>
      <w:r w:rsidR="0031353D">
        <w:t xml:space="preserve"> </w:t>
      </w:r>
      <w:r>
        <w:t>was able to</w:t>
      </w:r>
      <w:r w:rsidR="0031353D">
        <w:t xml:space="preserve"> contribute relevant insights from existing research on the chosen equity initiative</w:t>
      </w:r>
      <w:r w:rsidR="32954006">
        <w:t>s</w:t>
      </w:r>
      <w:r w:rsidR="0031353D">
        <w:t>, especially impact evaluations undertaken in Australia and elsewhere, and provide or source other technical content knowledge required for the group to make informed decisions about evaluation design.</w:t>
      </w:r>
    </w:p>
    <w:p w14:paraId="677A7AC5" w14:textId="77777777" w:rsidR="00257A99" w:rsidRDefault="00257A99" w:rsidP="00EE52AD">
      <w:pPr>
        <w:pStyle w:val="Heading2"/>
      </w:pPr>
      <w:r w:rsidRPr="00681F5A">
        <w:t xml:space="preserve">Timeline </w:t>
      </w:r>
    </w:p>
    <w:p w14:paraId="5BCF308D" w14:textId="48FDC1A5" w:rsidR="004D3921" w:rsidRPr="004D3921" w:rsidRDefault="004D3921" w:rsidP="00EE52AD">
      <w:r w:rsidRPr="004D3921">
        <w:t xml:space="preserve">The project </w:t>
      </w:r>
      <w:r w:rsidR="0065060A">
        <w:t>followed the</w:t>
      </w:r>
      <w:r w:rsidRPr="004D3921">
        <w:t xml:space="preserve"> time</w:t>
      </w:r>
      <w:r>
        <w:t>line:</w:t>
      </w:r>
    </w:p>
    <w:tbl>
      <w:tblPr>
        <w:tblStyle w:val="TableGrid"/>
        <w:tblW w:w="9067" w:type="dxa"/>
        <w:tblLook w:val="04A0" w:firstRow="1" w:lastRow="0" w:firstColumn="1" w:lastColumn="0" w:noHBand="0" w:noVBand="1"/>
      </w:tblPr>
      <w:tblGrid>
        <w:gridCol w:w="1635"/>
        <w:gridCol w:w="1904"/>
        <w:gridCol w:w="1701"/>
        <w:gridCol w:w="1985"/>
        <w:gridCol w:w="1842"/>
      </w:tblGrid>
      <w:tr w:rsidR="00257A99" w14:paraId="0EF8AA1A" w14:textId="77777777" w:rsidTr="001643A6">
        <w:tc>
          <w:tcPr>
            <w:tcW w:w="1635" w:type="dxa"/>
            <w:shd w:val="clear" w:color="auto" w:fill="E3F8F7" w:themeFill="accent1" w:themeFillTint="33"/>
          </w:tcPr>
          <w:p w14:paraId="60C4C316" w14:textId="1268C65F" w:rsidR="00257A99" w:rsidRPr="008D56D9" w:rsidRDefault="00257A99" w:rsidP="00EE52AD">
            <w:pPr>
              <w:rPr>
                <w:b/>
                <w:bCs w:val="0"/>
              </w:rPr>
            </w:pPr>
            <w:r w:rsidRPr="008D56D9">
              <w:rPr>
                <w:b/>
                <w:bCs w:val="0"/>
              </w:rPr>
              <w:t>Apri</w:t>
            </w:r>
            <w:r w:rsidR="00697F15" w:rsidRPr="008D56D9">
              <w:rPr>
                <w:b/>
                <w:bCs w:val="0"/>
              </w:rPr>
              <w:t>l</w:t>
            </w:r>
            <w:r w:rsidR="008F59CD" w:rsidRPr="008D56D9">
              <w:rPr>
                <w:b/>
                <w:bCs w:val="0"/>
              </w:rPr>
              <w:t>-May</w:t>
            </w:r>
            <w:r w:rsidRPr="008D56D9">
              <w:rPr>
                <w:b/>
                <w:bCs w:val="0"/>
              </w:rPr>
              <w:t xml:space="preserve"> </w:t>
            </w:r>
          </w:p>
        </w:tc>
        <w:tc>
          <w:tcPr>
            <w:tcW w:w="1904" w:type="dxa"/>
            <w:shd w:val="clear" w:color="auto" w:fill="E3F8F7" w:themeFill="accent1" w:themeFillTint="33"/>
          </w:tcPr>
          <w:p w14:paraId="777D15EE" w14:textId="77777777" w:rsidR="00257A99" w:rsidRPr="008D56D9" w:rsidRDefault="00257A99" w:rsidP="00EE52AD">
            <w:pPr>
              <w:rPr>
                <w:b/>
                <w:bCs w:val="0"/>
              </w:rPr>
            </w:pPr>
            <w:r w:rsidRPr="008D56D9">
              <w:rPr>
                <w:b/>
                <w:bCs w:val="0"/>
              </w:rPr>
              <w:t xml:space="preserve">June </w:t>
            </w:r>
          </w:p>
        </w:tc>
        <w:tc>
          <w:tcPr>
            <w:tcW w:w="1701" w:type="dxa"/>
            <w:shd w:val="clear" w:color="auto" w:fill="E3F8F7" w:themeFill="accent1" w:themeFillTint="33"/>
          </w:tcPr>
          <w:p w14:paraId="14BF3DBB" w14:textId="2B2467AF" w:rsidR="00257A99" w:rsidRPr="008D56D9" w:rsidRDefault="004D3921" w:rsidP="00EE52AD">
            <w:pPr>
              <w:rPr>
                <w:b/>
                <w:bCs w:val="0"/>
              </w:rPr>
            </w:pPr>
            <w:r w:rsidRPr="008D56D9">
              <w:rPr>
                <w:b/>
                <w:bCs w:val="0"/>
              </w:rPr>
              <w:t>September</w:t>
            </w:r>
          </w:p>
        </w:tc>
        <w:tc>
          <w:tcPr>
            <w:tcW w:w="1985" w:type="dxa"/>
            <w:shd w:val="clear" w:color="auto" w:fill="E3F8F7" w:themeFill="accent1" w:themeFillTint="33"/>
          </w:tcPr>
          <w:p w14:paraId="07AFE290" w14:textId="57AC17E2" w:rsidR="00257A99" w:rsidRPr="008D56D9" w:rsidRDefault="001C54BF" w:rsidP="00EE52AD">
            <w:pPr>
              <w:rPr>
                <w:b/>
                <w:bCs w:val="0"/>
              </w:rPr>
            </w:pPr>
            <w:r w:rsidRPr="008D56D9">
              <w:rPr>
                <w:b/>
                <w:bCs w:val="0"/>
              </w:rPr>
              <w:t>October</w:t>
            </w:r>
          </w:p>
        </w:tc>
        <w:tc>
          <w:tcPr>
            <w:tcW w:w="1842" w:type="dxa"/>
            <w:shd w:val="clear" w:color="auto" w:fill="E3F8F7" w:themeFill="accent1" w:themeFillTint="33"/>
          </w:tcPr>
          <w:p w14:paraId="01936790" w14:textId="604F1660" w:rsidR="00257A99" w:rsidRPr="008D56D9" w:rsidRDefault="001C54BF" w:rsidP="00EE52AD">
            <w:pPr>
              <w:rPr>
                <w:b/>
                <w:bCs w:val="0"/>
              </w:rPr>
            </w:pPr>
            <w:r w:rsidRPr="008D56D9">
              <w:rPr>
                <w:b/>
                <w:bCs w:val="0"/>
              </w:rPr>
              <w:t>November</w:t>
            </w:r>
          </w:p>
        </w:tc>
      </w:tr>
      <w:tr w:rsidR="00257A99" w:rsidRPr="001A2B93" w14:paraId="00B68719" w14:textId="77777777" w:rsidTr="001643A6">
        <w:tc>
          <w:tcPr>
            <w:tcW w:w="1635" w:type="dxa"/>
          </w:tcPr>
          <w:p w14:paraId="74A2500E" w14:textId="77777777" w:rsidR="00257A99" w:rsidRPr="008D56D9" w:rsidRDefault="00257A99" w:rsidP="00EE52AD">
            <w:pPr>
              <w:rPr>
                <w:b/>
                <w:bCs w:val="0"/>
              </w:rPr>
            </w:pPr>
            <w:r w:rsidRPr="008D56D9">
              <w:rPr>
                <w:b/>
                <w:bCs w:val="0"/>
              </w:rPr>
              <w:t>Preparation</w:t>
            </w:r>
          </w:p>
        </w:tc>
        <w:tc>
          <w:tcPr>
            <w:tcW w:w="1904" w:type="dxa"/>
          </w:tcPr>
          <w:p w14:paraId="11E61FAA" w14:textId="0598EB4C" w:rsidR="00257A99" w:rsidRPr="008D56D9" w:rsidRDefault="00257A99" w:rsidP="00EE52AD">
            <w:pPr>
              <w:rPr>
                <w:b/>
                <w:bCs w:val="0"/>
              </w:rPr>
            </w:pPr>
            <w:r w:rsidRPr="008D56D9">
              <w:rPr>
                <w:b/>
                <w:bCs w:val="0"/>
              </w:rPr>
              <w:t>Kick-off workshop</w:t>
            </w:r>
            <w:r w:rsidR="001C54BF" w:rsidRPr="008D56D9">
              <w:rPr>
                <w:b/>
                <w:bCs w:val="0"/>
              </w:rPr>
              <w:t xml:space="preserve"> 1</w:t>
            </w:r>
          </w:p>
        </w:tc>
        <w:tc>
          <w:tcPr>
            <w:tcW w:w="1701" w:type="dxa"/>
          </w:tcPr>
          <w:p w14:paraId="44596E23" w14:textId="77777777" w:rsidR="00257A99" w:rsidRPr="008D56D9" w:rsidRDefault="00257A99" w:rsidP="00EE52AD">
            <w:pPr>
              <w:rPr>
                <w:b/>
                <w:bCs w:val="0"/>
              </w:rPr>
            </w:pPr>
            <w:r w:rsidRPr="008D56D9">
              <w:rPr>
                <w:b/>
                <w:bCs w:val="0"/>
              </w:rPr>
              <w:t>Workshops 2 &amp; 3</w:t>
            </w:r>
          </w:p>
        </w:tc>
        <w:tc>
          <w:tcPr>
            <w:tcW w:w="1985" w:type="dxa"/>
          </w:tcPr>
          <w:p w14:paraId="35E30317" w14:textId="5272307E" w:rsidR="00257A99" w:rsidRPr="008D56D9" w:rsidRDefault="00257A99" w:rsidP="00EE52AD">
            <w:pPr>
              <w:rPr>
                <w:b/>
                <w:bCs w:val="0"/>
              </w:rPr>
            </w:pPr>
            <w:r w:rsidRPr="008D56D9">
              <w:rPr>
                <w:b/>
                <w:bCs w:val="0"/>
              </w:rPr>
              <w:t xml:space="preserve">Synthesis workshop </w:t>
            </w:r>
            <w:r w:rsidR="001C54BF" w:rsidRPr="008D56D9">
              <w:rPr>
                <w:b/>
                <w:bCs w:val="0"/>
              </w:rPr>
              <w:t>4</w:t>
            </w:r>
          </w:p>
        </w:tc>
        <w:tc>
          <w:tcPr>
            <w:tcW w:w="1842" w:type="dxa"/>
          </w:tcPr>
          <w:p w14:paraId="60FA630B" w14:textId="77777777" w:rsidR="00257A99" w:rsidRPr="008D56D9" w:rsidRDefault="00257A99" w:rsidP="00EE52AD">
            <w:pPr>
              <w:rPr>
                <w:b/>
                <w:bCs w:val="0"/>
              </w:rPr>
            </w:pPr>
            <w:r w:rsidRPr="008D56D9">
              <w:rPr>
                <w:b/>
                <w:bCs w:val="0"/>
              </w:rPr>
              <w:t>Wrap up</w:t>
            </w:r>
          </w:p>
        </w:tc>
      </w:tr>
      <w:tr w:rsidR="00257A99" w14:paraId="02260DC8" w14:textId="77777777" w:rsidTr="001643A6">
        <w:tc>
          <w:tcPr>
            <w:tcW w:w="1635" w:type="dxa"/>
          </w:tcPr>
          <w:p w14:paraId="75698559" w14:textId="509B2F63" w:rsidR="00257A99" w:rsidRDefault="00257A99" w:rsidP="00EE52AD">
            <w:r>
              <w:t xml:space="preserve">Project </w:t>
            </w:r>
            <w:r w:rsidR="008F59CD">
              <w:t>established,</w:t>
            </w:r>
            <w:r>
              <w:t xml:space="preserve"> finalis</w:t>
            </w:r>
            <w:r w:rsidR="008F59CD">
              <w:t>ed</w:t>
            </w:r>
            <w:r>
              <w:t xml:space="preserve"> workshop series design</w:t>
            </w:r>
            <w:r w:rsidR="008F59CD">
              <w:t xml:space="preserve"> and</w:t>
            </w:r>
            <w:r>
              <w:t xml:space="preserve"> travel arrangements</w:t>
            </w:r>
          </w:p>
        </w:tc>
        <w:tc>
          <w:tcPr>
            <w:tcW w:w="1904" w:type="dxa"/>
          </w:tcPr>
          <w:p w14:paraId="6C2D9B2C" w14:textId="208B6FD3" w:rsidR="00257A99" w:rsidRDefault="008F59CD" w:rsidP="00EE52AD">
            <w:r>
              <w:t xml:space="preserve">Ran </w:t>
            </w:r>
            <w:proofErr w:type="gramStart"/>
            <w:r>
              <w:t>f</w:t>
            </w:r>
            <w:r w:rsidR="00257A99">
              <w:t>ull-day</w:t>
            </w:r>
            <w:proofErr w:type="gramEnd"/>
            <w:r w:rsidR="00257A99">
              <w:t>, in person in Canberra to compare evaluation approaches, findings</w:t>
            </w:r>
            <w:r w:rsidR="00BB6228">
              <w:t>,</w:t>
            </w:r>
            <w:r w:rsidR="00257A99">
              <w:t xml:space="preserve"> and learnings from existing evaluations</w:t>
            </w:r>
            <w:r>
              <w:t xml:space="preserve">. The </w:t>
            </w:r>
            <w:r w:rsidR="00257A99">
              <w:t>common student equity initiative</w:t>
            </w:r>
            <w:r>
              <w:t>s were selected for workshops 2 and 3.</w:t>
            </w:r>
            <w:r w:rsidR="00257A99">
              <w:t xml:space="preserve"> </w:t>
            </w:r>
          </w:p>
        </w:tc>
        <w:tc>
          <w:tcPr>
            <w:tcW w:w="1701" w:type="dxa"/>
          </w:tcPr>
          <w:p w14:paraId="2CA6C552" w14:textId="0558D733" w:rsidR="00257A99" w:rsidRDefault="00257A99" w:rsidP="00EE52AD">
            <w:r>
              <w:t xml:space="preserve">Virtual </w:t>
            </w:r>
            <w:r w:rsidR="00086BB7">
              <w:t xml:space="preserve">workshops </w:t>
            </w:r>
            <w:r>
              <w:t xml:space="preserve">(120 minutes each) </w:t>
            </w:r>
            <w:r w:rsidR="008F59CD">
              <w:t xml:space="preserve">where </w:t>
            </w:r>
            <w:r>
              <w:t>PLMs</w:t>
            </w:r>
            <w:r w:rsidR="008F59CD">
              <w:t xml:space="preserve"> were shared</w:t>
            </w:r>
            <w:r>
              <w:t xml:space="preserve"> and insights from existing evaluations</w:t>
            </w:r>
            <w:r w:rsidR="008F59CD">
              <w:t xml:space="preserve"> were discussed with the </w:t>
            </w:r>
            <w:r w:rsidR="004E2633">
              <w:t>participants.</w:t>
            </w:r>
          </w:p>
        </w:tc>
        <w:tc>
          <w:tcPr>
            <w:tcW w:w="1985" w:type="dxa"/>
          </w:tcPr>
          <w:p w14:paraId="14ECA8A4" w14:textId="5311FE10" w:rsidR="00257A99" w:rsidRDefault="004E2633" w:rsidP="00EE52AD">
            <w:r>
              <w:t>A full day in</w:t>
            </w:r>
            <w:r w:rsidR="00257A99">
              <w:t xml:space="preserve"> person </w:t>
            </w:r>
            <w:r>
              <w:t xml:space="preserve">workshop was held in Melbourne </w:t>
            </w:r>
            <w:r w:rsidR="00257A99">
              <w:t>to undertake comparison of case studies</w:t>
            </w:r>
            <w:r>
              <w:t xml:space="preserve"> and</w:t>
            </w:r>
            <w:r w:rsidR="00257A99">
              <w:t xml:space="preserve"> evaluation design and findings</w:t>
            </w:r>
            <w:r>
              <w:t>. The</w:t>
            </w:r>
            <w:r w:rsidR="00257A99">
              <w:t xml:space="preserve"> learnings from existing practice</w:t>
            </w:r>
            <w:r>
              <w:t xml:space="preserve"> were discussed and a </w:t>
            </w:r>
            <w:r w:rsidR="00257A99">
              <w:t>draft action plan</w:t>
            </w:r>
            <w:r>
              <w:t xml:space="preserve"> was developed</w:t>
            </w:r>
            <w:r w:rsidR="00257A99">
              <w:t xml:space="preserve"> </w:t>
            </w:r>
            <w:r>
              <w:t>for</w:t>
            </w:r>
            <w:r w:rsidR="00257A99">
              <w:t xml:space="preserve"> 2026</w:t>
            </w:r>
            <w:r w:rsidR="0065060A">
              <w:t>.</w:t>
            </w:r>
          </w:p>
        </w:tc>
        <w:tc>
          <w:tcPr>
            <w:tcW w:w="1842" w:type="dxa"/>
          </w:tcPr>
          <w:p w14:paraId="560E6ADA" w14:textId="561DF3A6" w:rsidR="00257A99" w:rsidRDefault="00257A99" w:rsidP="00EE52AD">
            <w:r>
              <w:t>Report writing, finalisation of action plan, project close-out</w:t>
            </w:r>
            <w:r w:rsidR="0065060A">
              <w:t>.</w:t>
            </w:r>
          </w:p>
        </w:tc>
      </w:tr>
    </w:tbl>
    <w:p w14:paraId="4E00F87B" w14:textId="35E879FE" w:rsidR="2C4FB209" w:rsidRPr="003C2FE0" w:rsidRDefault="001540BC" w:rsidP="008D56D9">
      <w:pPr>
        <w:pStyle w:val="Heading1"/>
        <w:ind w:hanging="709"/>
      </w:pPr>
      <w:bookmarkStart w:id="10" w:name="_Toc192004676"/>
      <w:r>
        <w:lastRenderedPageBreak/>
        <w:t>Outputs</w:t>
      </w:r>
      <w:bookmarkEnd w:id="10"/>
    </w:p>
    <w:p w14:paraId="41387AC5" w14:textId="27F62AC5" w:rsidR="00CD0F4D" w:rsidRPr="00CD0F4D" w:rsidRDefault="003C2FE0" w:rsidP="00EE52AD">
      <w:pPr>
        <w:pStyle w:val="Heading2"/>
      </w:pPr>
      <w:r>
        <w:t>Initial findings from the case studies</w:t>
      </w:r>
    </w:p>
    <w:p w14:paraId="105D6991" w14:textId="0BAC4596" w:rsidR="006D6252" w:rsidRDefault="00106B18" w:rsidP="006D6252">
      <w:r>
        <w:t xml:space="preserve">While the workshop series largely drew on existing information and data, it enabled the group to collate relevant insights from </w:t>
      </w:r>
      <w:r w:rsidR="202C901F">
        <w:t>two sets</w:t>
      </w:r>
      <w:r>
        <w:t xml:space="preserve"> of case studies of</w:t>
      </w:r>
      <w:r w:rsidR="55D433ED">
        <w:t xml:space="preserve"> comparable</w:t>
      </w:r>
      <w:r>
        <w:t xml:space="preserve"> programs running at </w:t>
      </w:r>
      <w:r w:rsidR="454B878E">
        <w:t xml:space="preserve">different </w:t>
      </w:r>
      <w:r>
        <w:t>universit</w:t>
      </w:r>
      <w:r w:rsidR="58428598">
        <w:t>ies</w:t>
      </w:r>
      <w:r>
        <w:t xml:space="preserve">. </w:t>
      </w:r>
      <w:r w:rsidR="006D6252">
        <w:t xml:space="preserve">There was a sense that all were on a journey, and that program logics were not </w:t>
      </w:r>
      <w:r w:rsidR="4E3D6FFD">
        <w:t xml:space="preserve">currently </w:t>
      </w:r>
      <w:r w:rsidR="006D6252">
        <w:t>fully utilised</w:t>
      </w:r>
      <w:r w:rsidR="14377E23">
        <w:t xml:space="preserve"> to guide CQI evaluation or program design</w:t>
      </w:r>
      <w:r w:rsidR="000827B4">
        <w:t>.  While this was in part because</w:t>
      </w:r>
      <w:r w:rsidR="72F0C4B7">
        <w:t xml:space="preserve"> the institutional</w:t>
      </w:r>
      <w:r w:rsidR="000827B4">
        <w:t xml:space="preserve"> context is different for each, and there are genuine differences in needs, </w:t>
      </w:r>
      <w:r w:rsidR="00830DDE">
        <w:t xml:space="preserve">there was </w:t>
      </w:r>
      <w:r w:rsidR="00EF3B23">
        <w:t xml:space="preserve">a </w:t>
      </w:r>
      <w:r w:rsidR="00830DDE">
        <w:t>clear benefit seen in using a more systematic approach to design and evaluation</w:t>
      </w:r>
      <w:r w:rsidR="00EF3B23">
        <w:t>, especially for upskilling the equity teams and in generating new and better data for different dimensions.</w:t>
      </w:r>
    </w:p>
    <w:p w14:paraId="37DC460F" w14:textId="6AA788CF" w:rsidR="00106B18" w:rsidRDefault="00106B18" w:rsidP="00EE52AD">
      <w:r>
        <w:t>These insights are summarised below.</w:t>
      </w:r>
    </w:p>
    <w:p w14:paraId="57E51129" w14:textId="4AF51966" w:rsidR="00800974" w:rsidRPr="00D921CB" w:rsidRDefault="00800974" w:rsidP="00106B18">
      <w:pPr>
        <w:pStyle w:val="Heading3"/>
        <w:rPr>
          <w:lang w:eastAsia="en-AU"/>
        </w:rPr>
      </w:pPr>
      <w:r w:rsidRPr="00D921CB">
        <w:rPr>
          <w:lang w:eastAsia="en-AU"/>
        </w:rPr>
        <w:t xml:space="preserve">Academic preparation and skill building in outreach (Monash, Adelaide, UWA, UNSW) </w:t>
      </w:r>
    </w:p>
    <w:p w14:paraId="461B9DFD" w14:textId="11129489" w:rsidR="003C2FE0" w:rsidRDefault="00CD0F4D" w:rsidP="00EE52AD">
      <w:pPr>
        <w:pStyle w:val="ListParagraph"/>
        <w:numPr>
          <w:ilvl w:val="0"/>
          <w:numId w:val="17"/>
        </w:numPr>
        <w:rPr>
          <w:lang w:eastAsia="en-AU"/>
        </w:rPr>
      </w:pPr>
      <w:r w:rsidRPr="00CD0F4D">
        <w:rPr>
          <w:lang w:eastAsia="en-AU"/>
        </w:rPr>
        <w:t>Low application and access rates of equity students in Go8 universities</w:t>
      </w:r>
      <w:r w:rsidR="007E245F">
        <w:rPr>
          <w:lang w:eastAsia="en-AU"/>
        </w:rPr>
        <w:t xml:space="preserve"> appear to be</w:t>
      </w:r>
      <w:r w:rsidRPr="00CD0F4D">
        <w:rPr>
          <w:lang w:eastAsia="en-AU"/>
        </w:rPr>
        <w:t xml:space="preserve"> driven by limited resources, role models</w:t>
      </w:r>
      <w:r w:rsidR="00086BB7">
        <w:rPr>
          <w:lang w:eastAsia="en-AU"/>
        </w:rPr>
        <w:t>,</w:t>
      </w:r>
      <w:r w:rsidRPr="00CD0F4D">
        <w:rPr>
          <w:lang w:eastAsia="en-AU"/>
        </w:rPr>
        <w:t xml:space="preserve"> </w:t>
      </w:r>
      <w:r w:rsidR="00086BB7">
        <w:rPr>
          <w:lang w:eastAsia="en-AU"/>
        </w:rPr>
        <w:t>and</w:t>
      </w:r>
      <w:r w:rsidRPr="00CD0F4D">
        <w:rPr>
          <w:lang w:eastAsia="en-AU"/>
        </w:rPr>
        <w:t xml:space="preserve"> insider knowledge about uni</w:t>
      </w:r>
      <w:r w:rsidR="007E245F">
        <w:rPr>
          <w:lang w:eastAsia="en-AU"/>
        </w:rPr>
        <w:t>versity for potential students</w:t>
      </w:r>
      <w:r w:rsidRPr="00CD0F4D">
        <w:rPr>
          <w:lang w:eastAsia="en-AU"/>
        </w:rPr>
        <w:t xml:space="preserve">, </w:t>
      </w:r>
      <w:r w:rsidR="007E245F">
        <w:rPr>
          <w:lang w:eastAsia="en-AU"/>
        </w:rPr>
        <w:t xml:space="preserve">as well as </w:t>
      </w:r>
      <w:r w:rsidRPr="00CD0F4D">
        <w:rPr>
          <w:lang w:eastAsia="en-AU"/>
        </w:rPr>
        <w:t>low expectations from school/community</w:t>
      </w:r>
      <w:r w:rsidR="00086BB7">
        <w:rPr>
          <w:lang w:eastAsia="en-AU"/>
        </w:rPr>
        <w:t xml:space="preserve"> and</w:t>
      </w:r>
      <w:r w:rsidRPr="00CD0F4D">
        <w:rPr>
          <w:lang w:eastAsia="en-AU"/>
        </w:rPr>
        <w:t xml:space="preserve"> low confidence in success at uni</w:t>
      </w:r>
      <w:r w:rsidR="007E245F">
        <w:rPr>
          <w:lang w:eastAsia="en-AU"/>
        </w:rPr>
        <w:t>versity.</w:t>
      </w:r>
      <w:r w:rsidRPr="00CD0F4D">
        <w:rPr>
          <w:lang w:eastAsia="en-AU"/>
        </w:rPr>
        <w:t xml:space="preserve"> </w:t>
      </w:r>
    </w:p>
    <w:p w14:paraId="0F62DD8D" w14:textId="10D918E0" w:rsidR="003C2FE0" w:rsidRDefault="00CD0F4D" w:rsidP="00EE52AD">
      <w:pPr>
        <w:pStyle w:val="ListParagraph"/>
        <w:numPr>
          <w:ilvl w:val="0"/>
          <w:numId w:val="17"/>
        </w:numPr>
        <w:rPr>
          <w:lang w:eastAsia="en-AU"/>
        </w:rPr>
      </w:pPr>
      <w:r w:rsidRPr="00CD0F4D">
        <w:rPr>
          <w:lang w:eastAsia="en-AU"/>
        </w:rPr>
        <w:t>Academic performance can be impacted by complex life circumstances, esp</w:t>
      </w:r>
      <w:r w:rsidR="00086BB7">
        <w:rPr>
          <w:lang w:eastAsia="en-AU"/>
        </w:rPr>
        <w:t>ecially</w:t>
      </w:r>
      <w:r w:rsidRPr="00CD0F4D">
        <w:rPr>
          <w:lang w:eastAsia="en-AU"/>
        </w:rPr>
        <w:t xml:space="preserve"> in the senior years </w:t>
      </w:r>
      <w:r w:rsidR="007E245F">
        <w:rPr>
          <w:lang w:eastAsia="en-AU"/>
        </w:rPr>
        <w:t>of high school.</w:t>
      </w:r>
    </w:p>
    <w:p w14:paraId="1696D9C3" w14:textId="7CABFE38" w:rsidR="003C2FE0" w:rsidRDefault="00CD0F4D" w:rsidP="00EE52AD">
      <w:pPr>
        <w:pStyle w:val="ListParagraph"/>
        <w:numPr>
          <w:ilvl w:val="0"/>
          <w:numId w:val="17"/>
        </w:numPr>
        <w:rPr>
          <w:lang w:eastAsia="en-AU"/>
        </w:rPr>
      </w:pPr>
      <w:r w:rsidRPr="00CD0F4D">
        <w:rPr>
          <w:lang w:eastAsia="en-AU"/>
        </w:rPr>
        <w:t xml:space="preserve">Challenges </w:t>
      </w:r>
      <w:r w:rsidR="007E245F">
        <w:rPr>
          <w:lang w:eastAsia="en-AU"/>
        </w:rPr>
        <w:t xml:space="preserve">are </w:t>
      </w:r>
      <w:r w:rsidRPr="00CD0F4D">
        <w:rPr>
          <w:lang w:eastAsia="en-AU"/>
        </w:rPr>
        <w:t>more acute for first-in-family</w:t>
      </w:r>
      <w:r w:rsidR="00086BB7">
        <w:rPr>
          <w:lang w:eastAsia="en-AU"/>
        </w:rPr>
        <w:t xml:space="preserve"> (FiF)</w:t>
      </w:r>
      <w:r w:rsidRPr="00CD0F4D">
        <w:rPr>
          <w:lang w:eastAsia="en-AU"/>
        </w:rPr>
        <w:t xml:space="preserve"> students</w:t>
      </w:r>
      <w:r w:rsidR="007E245F">
        <w:rPr>
          <w:lang w:eastAsia="en-AU"/>
        </w:rPr>
        <w:t>.</w:t>
      </w:r>
    </w:p>
    <w:p w14:paraId="1D4BB457" w14:textId="67BB62DD" w:rsidR="003C2FE0" w:rsidRDefault="00CD0F4D" w:rsidP="00EE52AD">
      <w:pPr>
        <w:pStyle w:val="ListParagraph"/>
        <w:numPr>
          <w:ilvl w:val="0"/>
          <w:numId w:val="17"/>
        </w:numPr>
        <w:rPr>
          <w:lang w:eastAsia="en-AU"/>
        </w:rPr>
      </w:pPr>
      <w:r w:rsidRPr="00CD0F4D">
        <w:rPr>
          <w:lang w:eastAsia="en-AU"/>
        </w:rPr>
        <w:t>The availability of role models and essential knowledge about university</w:t>
      </w:r>
      <w:r w:rsidR="007E245F">
        <w:rPr>
          <w:lang w:eastAsia="en-AU"/>
        </w:rPr>
        <w:t>,</w:t>
      </w:r>
      <w:r w:rsidRPr="00CD0F4D">
        <w:rPr>
          <w:lang w:eastAsia="en-AU"/>
        </w:rPr>
        <w:t xml:space="preserve"> as well as proactive support in the senior years of schooling</w:t>
      </w:r>
      <w:r w:rsidR="007E245F">
        <w:rPr>
          <w:lang w:eastAsia="en-AU"/>
        </w:rPr>
        <w:t>,</w:t>
      </w:r>
      <w:r w:rsidRPr="00CD0F4D">
        <w:rPr>
          <w:lang w:eastAsia="en-AU"/>
        </w:rPr>
        <w:t xml:space="preserve"> are critical to students’ ability to make informed decisions about their post-school options and submit a university application</w:t>
      </w:r>
      <w:r w:rsidR="007E245F">
        <w:rPr>
          <w:lang w:eastAsia="en-AU"/>
        </w:rPr>
        <w:t>.</w:t>
      </w:r>
      <w:r w:rsidRPr="00CD0F4D">
        <w:rPr>
          <w:lang w:eastAsia="en-AU"/>
        </w:rPr>
        <w:t xml:space="preserve"> </w:t>
      </w:r>
    </w:p>
    <w:p w14:paraId="3573E16A" w14:textId="739BF954" w:rsidR="003C2FE0" w:rsidRDefault="00CD0F4D" w:rsidP="00EE52AD">
      <w:pPr>
        <w:pStyle w:val="ListParagraph"/>
        <w:numPr>
          <w:ilvl w:val="0"/>
          <w:numId w:val="17"/>
        </w:numPr>
        <w:rPr>
          <w:lang w:eastAsia="en-AU"/>
        </w:rPr>
      </w:pPr>
      <w:r w:rsidRPr="00CD0F4D">
        <w:rPr>
          <w:lang w:eastAsia="en-AU"/>
        </w:rPr>
        <w:t>Pathways programs are an important access route to selective institutions</w:t>
      </w:r>
      <w:r w:rsidR="00086BB7">
        <w:rPr>
          <w:lang w:eastAsia="en-AU"/>
        </w:rPr>
        <w:t>.</w:t>
      </w:r>
    </w:p>
    <w:p w14:paraId="7A581FEC" w14:textId="2DF1CD7C" w:rsidR="003C2FE0" w:rsidRDefault="00CD0F4D" w:rsidP="00EE52AD">
      <w:pPr>
        <w:pStyle w:val="ListParagraph"/>
        <w:numPr>
          <w:ilvl w:val="0"/>
          <w:numId w:val="17"/>
        </w:numPr>
        <w:rPr>
          <w:lang w:eastAsia="en-AU"/>
        </w:rPr>
      </w:pPr>
      <w:r w:rsidRPr="00CD0F4D">
        <w:rPr>
          <w:lang w:eastAsia="en-AU"/>
        </w:rPr>
        <w:t>Programs var</w:t>
      </w:r>
      <w:r w:rsidR="00FC38D9">
        <w:rPr>
          <w:lang w:eastAsia="en-AU"/>
        </w:rPr>
        <w:t>ied</w:t>
      </w:r>
      <w:r w:rsidRPr="00CD0F4D">
        <w:rPr>
          <w:lang w:eastAsia="en-AU"/>
        </w:rPr>
        <w:t xml:space="preserve"> in terms of: </w:t>
      </w:r>
    </w:p>
    <w:p w14:paraId="65AD0B13" w14:textId="01E00348" w:rsidR="003C2FE0" w:rsidRDefault="00CD0F4D" w:rsidP="007E245F">
      <w:pPr>
        <w:pStyle w:val="ListParagraph"/>
        <w:numPr>
          <w:ilvl w:val="1"/>
          <w:numId w:val="17"/>
        </w:numPr>
        <w:rPr>
          <w:lang w:eastAsia="en-AU"/>
        </w:rPr>
      </w:pPr>
      <w:r w:rsidRPr="00CD0F4D">
        <w:rPr>
          <w:lang w:eastAsia="en-AU"/>
        </w:rPr>
        <w:t>Core activities: peer mentoring (Monash)</w:t>
      </w:r>
      <w:r w:rsidR="00086BB7">
        <w:rPr>
          <w:lang w:eastAsia="en-AU"/>
        </w:rPr>
        <w:t>;</w:t>
      </w:r>
      <w:r w:rsidRPr="00CD0F4D">
        <w:rPr>
          <w:lang w:eastAsia="en-AU"/>
        </w:rPr>
        <w:t xml:space="preserve"> skill development workshops </w:t>
      </w:r>
      <w:r w:rsidR="00086BB7">
        <w:rPr>
          <w:lang w:eastAsia="en-AU"/>
        </w:rPr>
        <w:t>and one-on-one</w:t>
      </w:r>
      <w:r w:rsidRPr="00CD0F4D">
        <w:rPr>
          <w:lang w:eastAsia="en-AU"/>
        </w:rPr>
        <w:t xml:space="preserve"> application support (Adelaide)</w:t>
      </w:r>
      <w:r w:rsidR="00086BB7">
        <w:rPr>
          <w:lang w:eastAsia="en-AU"/>
        </w:rPr>
        <w:t>;</w:t>
      </w:r>
      <w:r w:rsidRPr="00CD0F4D">
        <w:rPr>
          <w:lang w:eastAsia="en-AU"/>
        </w:rPr>
        <w:t xml:space="preserve"> skill development sessions </w:t>
      </w:r>
      <w:r w:rsidR="00086BB7">
        <w:rPr>
          <w:lang w:eastAsia="en-AU"/>
        </w:rPr>
        <w:t>and</w:t>
      </w:r>
      <w:r w:rsidRPr="00CD0F4D">
        <w:rPr>
          <w:lang w:eastAsia="en-AU"/>
        </w:rPr>
        <w:t xml:space="preserve"> campus familiarisation (UWA)</w:t>
      </w:r>
      <w:r w:rsidR="00086BB7">
        <w:rPr>
          <w:lang w:eastAsia="en-AU"/>
        </w:rPr>
        <w:t>;</w:t>
      </w:r>
      <w:r w:rsidRPr="00CD0F4D">
        <w:rPr>
          <w:lang w:eastAsia="en-AU"/>
        </w:rPr>
        <w:t xml:space="preserve"> skill development workshops</w:t>
      </w:r>
      <w:r w:rsidR="00086BB7">
        <w:rPr>
          <w:lang w:eastAsia="en-AU"/>
        </w:rPr>
        <w:t>,</w:t>
      </w:r>
      <w:r w:rsidRPr="00CD0F4D">
        <w:rPr>
          <w:lang w:eastAsia="en-AU"/>
        </w:rPr>
        <w:t xml:space="preserve"> online engagement</w:t>
      </w:r>
      <w:r w:rsidR="00086BB7">
        <w:rPr>
          <w:lang w:eastAsia="en-AU"/>
        </w:rPr>
        <w:t xml:space="preserve">, and </w:t>
      </w:r>
      <w:r w:rsidRPr="00CD0F4D">
        <w:rPr>
          <w:lang w:eastAsia="en-AU"/>
        </w:rPr>
        <w:t>campus familiarisation (UNSW)</w:t>
      </w:r>
      <w:r w:rsidR="00086BB7">
        <w:rPr>
          <w:lang w:eastAsia="en-AU"/>
        </w:rPr>
        <w:t>.</w:t>
      </w:r>
    </w:p>
    <w:p w14:paraId="125094A7" w14:textId="7071E373" w:rsidR="003C2FE0" w:rsidRDefault="00CD0F4D" w:rsidP="007E245F">
      <w:pPr>
        <w:pStyle w:val="ListParagraph"/>
        <w:numPr>
          <w:ilvl w:val="1"/>
          <w:numId w:val="17"/>
        </w:numPr>
        <w:rPr>
          <w:lang w:eastAsia="en-AU"/>
        </w:rPr>
      </w:pPr>
      <w:r w:rsidRPr="00CD0F4D">
        <w:rPr>
          <w:lang w:eastAsia="en-AU"/>
        </w:rPr>
        <w:t>Scale: 350-800 students (Monash), 189 participant</w:t>
      </w:r>
      <w:r w:rsidR="008D56D9">
        <w:rPr>
          <w:lang w:eastAsia="en-AU"/>
        </w:rPr>
        <w:t xml:space="preserve">s, </w:t>
      </w:r>
      <w:r w:rsidRPr="00CD0F4D">
        <w:rPr>
          <w:lang w:eastAsia="en-AU"/>
        </w:rPr>
        <w:t>(Adelaide), 80 students (UWA), 4,552 students (UNSW)</w:t>
      </w:r>
      <w:r w:rsidR="00086BB7">
        <w:rPr>
          <w:lang w:eastAsia="en-AU"/>
        </w:rPr>
        <w:t>.</w:t>
      </w:r>
      <w:r w:rsidRPr="00CD0F4D">
        <w:rPr>
          <w:lang w:eastAsia="en-AU"/>
        </w:rPr>
        <w:t xml:space="preserve"> </w:t>
      </w:r>
    </w:p>
    <w:p w14:paraId="5B360B42" w14:textId="43E3709B" w:rsidR="003C2FE0" w:rsidRDefault="00CD0F4D" w:rsidP="007E245F">
      <w:pPr>
        <w:pStyle w:val="ListParagraph"/>
        <w:numPr>
          <w:ilvl w:val="1"/>
          <w:numId w:val="17"/>
        </w:numPr>
        <w:rPr>
          <w:lang w:eastAsia="en-AU"/>
        </w:rPr>
      </w:pPr>
      <w:r w:rsidRPr="00CD0F4D">
        <w:rPr>
          <w:lang w:eastAsia="en-AU"/>
        </w:rPr>
        <w:t xml:space="preserve">Target cohorts: </w:t>
      </w:r>
      <w:r w:rsidR="00086BB7">
        <w:rPr>
          <w:lang w:eastAsia="en-AU"/>
        </w:rPr>
        <w:t>high school students in years</w:t>
      </w:r>
      <w:r w:rsidRPr="00CD0F4D">
        <w:rPr>
          <w:lang w:eastAsia="en-AU"/>
        </w:rPr>
        <w:t xml:space="preserve"> 11</w:t>
      </w:r>
      <w:r w:rsidR="00086BB7">
        <w:rPr>
          <w:lang w:eastAsia="en-AU"/>
        </w:rPr>
        <w:t xml:space="preserve"> and </w:t>
      </w:r>
      <w:r w:rsidRPr="00CD0F4D">
        <w:rPr>
          <w:lang w:eastAsia="en-AU"/>
        </w:rPr>
        <w:t>12</w:t>
      </w:r>
      <w:r w:rsidR="002875AD">
        <w:rPr>
          <w:lang w:eastAsia="en-AU"/>
        </w:rPr>
        <w:t>,</w:t>
      </w:r>
      <w:r w:rsidRPr="00CD0F4D">
        <w:rPr>
          <w:lang w:eastAsia="en-AU"/>
        </w:rPr>
        <w:t xml:space="preserve"> low </w:t>
      </w:r>
      <w:r w:rsidR="00086BB7">
        <w:rPr>
          <w:lang w:eastAsia="en-AU"/>
        </w:rPr>
        <w:t>socio-economic status (</w:t>
      </w:r>
      <w:r w:rsidRPr="00CD0F4D">
        <w:rPr>
          <w:lang w:eastAsia="en-AU"/>
        </w:rPr>
        <w:t>SES</w:t>
      </w:r>
      <w:r w:rsidR="00086BB7">
        <w:rPr>
          <w:lang w:eastAsia="en-AU"/>
        </w:rPr>
        <w:t>)</w:t>
      </w:r>
      <w:r w:rsidRPr="00CD0F4D">
        <w:rPr>
          <w:lang w:eastAsia="en-AU"/>
        </w:rPr>
        <w:t xml:space="preserve"> </w:t>
      </w:r>
      <w:r w:rsidR="00086BB7">
        <w:rPr>
          <w:lang w:eastAsia="en-AU"/>
        </w:rPr>
        <w:t>and</w:t>
      </w:r>
      <w:r w:rsidRPr="00CD0F4D">
        <w:rPr>
          <w:lang w:eastAsia="en-AU"/>
        </w:rPr>
        <w:t xml:space="preserve"> </w:t>
      </w:r>
      <w:r w:rsidR="00086BB7">
        <w:rPr>
          <w:lang w:eastAsia="en-AU"/>
        </w:rPr>
        <w:t>regional, rural, and remote (</w:t>
      </w:r>
      <w:r w:rsidRPr="00CD0F4D">
        <w:rPr>
          <w:lang w:eastAsia="en-AU"/>
        </w:rPr>
        <w:t>RRR</w:t>
      </w:r>
      <w:r w:rsidR="00086BB7">
        <w:rPr>
          <w:lang w:eastAsia="en-AU"/>
        </w:rPr>
        <w:t>) students</w:t>
      </w:r>
      <w:r w:rsidRPr="00CD0F4D">
        <w:rPr>
          <w:lang w:eastAsia="en-AU"/>
        </w:rPr>
        <w:t xml:space="preserve"> (Monash)</w:t>
      </w:r>
      <w:r w:rsidR="00A635CF">
        <w:rPr>
          <w:lang w:eastAsia="en-AU"/>
        </w:rPr>
        <w:t xml:space="preserve">; </w:t>
      </w:r>
      <w:r w:rsidRPr="00CD0F4D">
        <w:rPr>
          <w:lang w:eastAsia="en-AU"/>
        </w:rPr>
        <w:t>Fi</w:t>
      </w:r>
      <w:r w:rsidR="00A635CF">
        <w:rPr>
          <w:lang w:eastAsia="en-AU"/>
        </w:rPr>
        <w:t xml:space="preserve">rst in </w:t>
      </w:r>
      <w:r w:rsidRPr="00CD0F4D">
        <w:rPr>
          <w:lang w:eastAsia="en-AU"/>
        </w:rPr>
        <w:t>F</w:t>
      </w:r>
      <w:r w:rsidR="00A635CF">
        <w:rPr>
          <w:lang w:eastAsia="en-AU"/>
        </w:rPr>
        <w:t>amily</w:t>
      </w:r>
      <w:r w:rsidRPr="00CD0F4D">
        <w:rPr>
          <w:lang w:eastAsia="en-AU"/>
        </w:rPr>
        <w:t>, low SES (Adelaide)</w:t>
      </w:r>
      <w:r w:rsidR="00A635CF">
        <w:rPr>
          <w:lang w:eastAsia="en-AU"/>
        </w:rPr>
        <w:t>;</w:t>
      </w:r>
      <w:r w:rsidRPr="00CD0F4D">
        <w:rPr>
          <w:lang w:eastAsia="en-AU"/>
        </w:rPr>
        <w:t xml:space="preserve"> </w:t>
      </w:r>
      <w:r w:rsidR="002875AD">
        <w:rPr>
          <w:lang w:eastAsia="en-AU"/>
        </w:rPr>
        <w:t>high school students in yea</w:t>
      </w:r>
      <w:r w:rsidRPr="00CD0F4D">
        <w:rPr>
          <w:lang w:eastAsia="en-AU"/>
        </w:rPr>
        <w:t>rs 11</w:t>
      </w:r>
      <w:r w:rsidR="002875AD">
        <w:rPr>
          <w:lang w:eastAsia="en-AU"/>
        </w:rPr>
        <w:t xml:space="preserve"> and </w:t>
      </w:r>
      <w:r w:rsidRPr="00CD0F4D">
        <w:rPr>
          <w:lang w:eastAsia="en-AU"/>
        </w:rPr>
        <w:t>12, high predicted ATAR</w:t>
      </w:r>
      <w:r w:rsidR="00263828">
        <w:rPr>
          <w:lang w:eastAsia="en-AU"/>
        </w:rPr>
        <w:t xml:space="preserve"> students,</w:t>
      </w:r>
      <w:r w:rsidRPr="00CD0F4D">
        <w:rPr>
          <w:lang w:eastAsia="en-AU"/>
        </w:rPr>
        <w:t xml:space="preserve"> low SES </w:t>
      </w:r>
      <w:r w:rsidR="002875AD">
        <w:rPr>
          <w:lang w:eastAsia="en-AU"/>
        </w:rPr>
        <w:t>and</w:t>
      </w:r>
      <w:r w:rsidRPr="00CD0F4D">
        <w:rPr>
          <w:lang w:eastAsia="en-AU"/>
        </w:rPr>
        <w:t xml:space="preserve"> </w:t>
      </w:r>
      <w:r w:rsidR="00263828">
        <w:rPr>
          <w:lang w:eastAsia="en-AU"/>
        </w:rPr>
        <w:t>regional, rural and remote students</w:t>
      </w:r>
      <w:r w:rsidR="00263828" w:rsidRPr="00CD0F4D">
        <w:rPr>
          <w:lang w:eastAsia="en-AU"/>
        </w:rPr>
        <w:t xml:space="preserve"> </w:t>
      </w:r>
      <w:r w:rsidRPr="00CD0F4D">
        <w:rPr>
          <w:lang w:eastAsia="en-AU"/>
        </w:rPr>
        <w:t>(UWA)</w:t>
      </w:r>
      <w:r w:rsidR="00A635CF">
        <w:rPr>
          <w:lang w:eastAsia="en-AU"/>
        </w:rPr>
        <w:t xml:space="preserve">; </w:t>
      </w:r>
      <w:r w:rsidR="002875AD">
        <w:rPr>
          <w:lang w:eastAsia="en-AU"/>
        </w:rPr>
        <w:t>high school students in yea</w:t>
      </w:r>
      <w:r w:rsidRPr="00CD0F4D">
        <w:rPr>
          <w:lang w:eastAsia="en-AU"/>
        </w:rPr>
        <w:t>rs 9</w:t>
      </w:r>
      <w:r w:rsidR="002875AD">
        <w:rPr>
          <w:lang w:eastAsia="en-AU"/>
        </w:rPr>
        <w:t xml:space="preserve"> and </w:t>
      </w:r>
      <w:r w:rsidRPr="00CD0F4D">
        <w:rPr>
          <w:lang w:eastAsia="en-AU"/>
        </w:rPr>
        <w:t>12, low SES</w:t>
      </w:r>
      <w:r w:rsidR="00263828">
        <w:rPr>
          <w:lang w:eastAsia="en-AU"/>
        </w:rPr>
        <w:t xml:space="preserve"> and regional, rural and remote students</w:t>
      </w:r>
      <w:r w:rsidRPr="00CD0F4D">
        <w:rPr>
          <w:lang w:eastAsia="en-AU"/>
        </w:rPr>
        <w:t xml:space="preserve"> (UNSW)</w:t>
      </w:r>
      <w:r w:rsidR="002875AD">
        <w:rPr>
          <w:lang w:eastAsia="en-AU"/>
        </w:rPr>
        <w:t>.</w:t>
      </w:r>
    </w:p>
    <w:p w14:paraId="61DE8AD4" w14:textId="3A66C31D" w:rsidR="00CD0F4D" w:rsidRPr="00D921CB" w:rsidRDefault="00D921CB" w:rsidP="00FC38D9">
      <w:pPr>
        <w:pStyle w:val="Heading3"/>
      </w:pPr>
      <w:r w:rsidRPr="00D921CB">
        <w:lastRenderedPageBreak/>
        <w:t xml:space="preserve">Packaged </w:t>
      </w:r>
      <w:r w:rsidR="002875AD">
        <w:t>s</w:t>
      </w:r>
      <w:r w:rsidRPr="00D921CB">
        <w:t xml:space="preserve">cholarships / </w:t>
      </w:r>
      <w:r w:rsidR="002875AD">
        <w:t>m</w:t>
      </w:r>
      <w:r w:rsidRPr="00D921CB">
        <w:t xml:space="preserve">oney </w:t>
      </w:r>
      <w:r w:rsidR="002875AD">
        <w:t>and</w:t>
      </w:r>
      <w:r w:rsidRPr="00D921CB">
        <w:t xml:space="preserve"> </w:t>
      </w:r>
      <w:r w:rsidR="002875AD">
        <w:t>s</w:t>
      </w:r>
      <w:r w:rsidRPr="00D921CB">
        <w:t>upport (Sydney, Melbourne, Queensland, ANU)</w:t>
      </w:r>
    </w:p>
    <w:p w14:paraId="5C86537F" w14:textId="36E16745" w:rsidR="003C2FE0" w:rsidRDefault="00D921CB" w:rsidP="00EE52AD">
      <w:pPr>
        <w:pStyle w:val="ListParagraph"/>
        <w:numPr>
          <w:ilvl w:val="0"/>
          <w:numId w:val="17"/>
        </w:numPr>
        <w:rPr>
          <w:lang w:eastAsia="en-AU"/>
        </w:rPr>
      </w:pPr>
      <w:r w:rsidRPr="00D921CB">
        <w:rPr>
          <w:lang w:eastAsia="en-AU"/>
        </w:rPr>
        <w:t xml:space="preserve">Low access and participation rates of equity students in Go8 universities: entry requirements, </w:t>
      </w:r>
      <w:r w:rsidR="002875AD">
        <w:rPr>
          <w:lang w:eastAsia="en-AU"/>
        </w:rPr>
        <w:t>geography</w:t>
      </w:r>
      <w:r w:rsidRPr="00D921CB">
        <w:rPr>
          <w:lang w:eastAsia="en-AU"/>
        </w:rPr>
        <w:t xml:space="preserve"> and financial concerns act as barriers to access</w:t>
      </w:r>
      <w:r w:rsidR="006912CD">
        <w:rPr>
          <w:lang w:eastAsia="en-AU"/>
        </w:rPr>
        <w:t>.</w:t>
      </w:r>
      <w:r w:rsidRPr="00D921CB">
        <w:rPr>
          <w:lang w:eastAsia="en-AU"/>
        </w:rPr>
        <w:t xml:space="preserve"> </w:t>
      </w:r>
    </w:p>
    <w:p w14:paraId="6E27B949" w14:textId="532B3745" w:rsidR="003C2FE0" w:rsidRDefault="00D921CB" w:rsidP="00EE52AD">
      <w:pPr>
        <w:pStyle w:val="ListParagraph"/>
        <w:numPr>
          <w:ilvl w:val="0"/>
          <w:numId w:val="17"/>
        </w:numPr>
        <w:rPr>
          <w:lang w:eastAsia="en-AU"/>
        </w:rPr>
      </w:pPr>
      <w:r w:rsidRPr="00D921CB">
        <w:rPr>
          <w:lang w:eastAsia="en-AU"/>
        </w:rPr>
        <w:t xml:space="preserve">Financial barriers persist throughout a student’s time at </w:t>
      </w:r>
      <w:r w:rsidR="006912CD">
        <w:rPr>
          <w:lang w:eastAsia="en-AU"/>
        </w:rPr>
        <w:t>university.</w:t>
      </w:r>
      <w:r w:rsidRPr="00D921CB">
        <w:rPr>
          <w:lang w:eastAsia="en-AU"/>
        </w:rPr>
        <w:t xml:space="preserve"> </w:t>
      </w:r>
    </w:p>
    <w:p w14:paraId="2B208B5F" w14:textId="77777777" w:rsidR="008D56D9" w:rsidRDefault="008D56D9" w:rsidP="008D56D9">
      <w:pPr>
        <w:pStyle w:val="ListParagraph"/>
        <w:numPr>
          <w:ilvl w:val="1"/>
          <w:numId w:val="17"/>
        </w:numPr>
        <w:rPr>
          <w:lang w:eastAsia="en-AU"/>
        </w:rPr>
      </w:pPr>
      <w:r w:rsidRPr="00D921CB">
        <w:rPr>
          <w:lang w:eastAsia="en-AU"/>
        </w:rPr>
        <w:t>Packaged Scholarships Programs are associated with a higher offer-to-enrolment conversion rate (</w:t>
      </w:r>
      <w:proofErr w:type="spellStart"/>
      <w:r w:rsidRPr="00D921CB">
        <w:rPr>
          <w:lang w:eastAsia="en-AU"/>
        </w:rPr>
        <w:t>USyd</w:t>
      </w:r>
      <w:proofErr w:type="spellEnd"/>
      <w:r w:rsidRPr="00D921CB">
        <w:rPr>
          <w:lang w:eastAsia="en-AU"/>
        </w:rPr>
        <w:t>) and reenrolment rates &amp; improved students’ financial confidence and sense of belonging, but causal links are unclear</w:t>
      </w:r>
      <w:r>
        <w:rPr>
          <w:lang w:eastAsia="en-AU"/>
        </w:rPr>
        <w:t>.</w:t>
      </w:r>
    </w:p>
    <w:p w14:paraId="542F6AC5" w14:textId="1F6EA093" w:rsidR="003C2FE0" w:rsidRDefault="00D921CB" w:rsidP="00EE52AD">
      <w:pPr>
        <w:pStyle w:val="ListParagraph"/>
        <w:numPr>
          <w:ilvl w:val="0"/>
          <w:numId w:val="17"/>
        </w:numPr>
        <w:rPr>
          <w:lang w:eastAsia="en-AU"/>
        </w:rPr>
      </w:pPr>
      <w:r w:rsidRPr="00D921CB">
        <w:rPr>
          <w:lang w:eastAsia="en-AU"/>
        </w:rPr>
        <w:t xml:space="preserve">Students from equity groups </w:t>
      </w:r>
      <w:r w:rsidR="006912CD">
        <w:rPr>
          <w:lang w:eastAsia="en-AU"/>
        </w:rPr>
        <w:t>are shown to</w:t>
      </w:r>
      <w:r w:rsidRPr="00D921CB">
        <w:rPr>
          <w:lang w:eastAsia="en-AU"/>
        </w:rPr>
        <w:t xml:space="preserve"> experience cultural and social challenges at a selective institution</w:t>
      </w:r>
      <w:r w:rsidR="006912CD">
        <w:rPr>
          <w:lang w:eastAsia="en-AU"/>
        </w:rPr>
        <w:t>.</w:t>
      </w:r>
    </w:p>
    <w:p w14:paraId="787CA641" w14:textId="14DEC374" w:rsidR="003C2FE0" w:rsidRDefault="00D921CB" w:rsidP="00EE52AD">
      <w:pPr>
        <w:pStyle w:val="ListParagraph"/>
        <w:numPr>
          <w:ilvl w:val="0"/>
          <w:numId w:val="17"/>
        </w:numPr>
        <w:rPr>
          <w:lang w:eastAsia="en-AU"/>
        </w:rPr>
      </w:pPr>
      <w:r w:rsidRPr="00D921CB">
        <w:rPr>
          <w:lang w:eastAsia="en-AU"/>
        </w:rPr>
        <w:t>The ability of students to spend more time on study and have explicit opportunities to build a sense of community and belonging within the cohort</w:t>
      </w:r>
      <w:r w:rsidR="006912CD">
        <w:rPr>
          <w:lang w:eastAsia="en-AU"/>
        </w:rPr>
        <w:t>,</w:t>
      </w:r>
      <w:r w:rsidRPr="00D921CB">
        <w:rPr>
          <w:lang w:eastAsia="en-AU"/>
        </w:rPr>
        <w:t xml:space="preserve"> as well as tailored support to navigate university services and opportunities</w:t>
      </w:r>
      <w:r w:rsidR="002875AD">
        <w:rPr>
          <w:lang w:eastAsia="en-AU"/>
        </w:rPr>
        <w:t>—</w:t>
      </w:r>
      <w:r w:rsidRPr="00D921CB">
        <w:rPr>
          <w:lang w:eastAsia="en-AU"/>
        </w:rPr>
        <w:t>esp</w:t>
      </w:r>
      <w:r w:rsidR="006912CD">
        <w:rPr>
          <w:lang w:eastAsia="en-AU"/>
        </w:rPr>
        <w:t>ecially for</w:t>
      </w:r>
      <w:r w:rsidRPr="00D921CB">
        <w:rPr>
          <w:lang w:eastAsia="en-AU"/>
        </w:rPr>
        <w:t xml:space="preserve"> access to welfare support</w:t>
      </w:r>
      <w:r w:rsidR="002875AD">
        <w:rPr>
          <w:lang w:eastAsia="en-AU"/>
        </w:rPr>
        <w:t>—</w:t>
      </w:r>
      <w:r w:rsidR="006912CD">
        <w:rPr>
          <w:lang w:eastAsia="en-AU"/>
        </w:rPr>
        <w:t>is</w:t>
      </w:r>
      <w:r w:rsidRPr="00D921CB">
        <w:rPr>
          <w:lang w:eastAsia="en-AU"/>
        </w:rPr>
        <w:t xml:space="preserve"> understood to be a key success factor</w:t>
      </w:r>
      <w:r w:rsidR="006912CD">
        <w:rPr>
          <w:lang w:eastAsia="en-AU"/>
        </w:rPr>
        <w:t>.</w:t>
      </w:r>
    </w:p>
    <w:p w14:paraId="746A80B3" w14:textId="0B6EA2B4" w:rsidR="003C2FE0" w:rsidRDefault="00D921CB" w:rsidP="00EE52AD">
      <w:pPr>
        <w:pStyle w:val="ListParagraph"/>
        <w:numPr>
          <w:ilvl w:val="0"/>
          <w:numId w:val="17"/>
        </w:numPr>
        <w:rPr>
          <w:lang w:eastAsia="en-AU"/>
        </w:rPr>
      </w:pPr>
      <w:r w:rsidRPr="00D921CB">
        <w:rPr>
          <w:lang w:eastAsia="en-AU"/>
        </w:rPr>
        <w:t>Programs var</w:t>
      </w:r>
      <w:r w:rsidR="006912CD">
        <w:rPr>
          <w:lang w:eastAsia="en-AU"/>
        </w:rPr>
        <w:t>ied</w:t>
      </w:r>
      <w:r w:rsidRPr="00D921CB">
        <w:rPr>
          <w:lang w:eastAsia="en-AU"/>
        </w:rPr>
        <w:t xml:space="preserve"> in terms of: </w:t>
      </w:r>
    </w:p>
    <w:p w14:paraId="66AD9692" w14:textId="011D2F70" w:rsidR="003C2FE0" w:rsidRDefault="00D921CB" w:rsidP="00FC38D9">
      <w:pPr>
        <w:pStyle w:val="ListParagraph"/>
        <w:numPr>
          <w:ilvl w:val="1"/>
          <w:numId w:val="17"/>
        </w:numPr>
        <w:rPr>
          <w:lang w:eastAsia="en-AU"/>
        </w:rPr>
      </w:pPr>
      <w:r w:rsidRPr="00D921CB">
        <w:rPr>
          <w:lang w:eastAsia="en-AU"/>
        </w:rPr>
        <w:t xml:space="preserve">Target cohorts: low SES </w:t>
      </w:r>
      <w:r w:rsidR="008D56D9">
        <w:rPr>
          <w:lang w:eastAsia="en-AU"/>
        </w:rPr>
        <w:t xml:space="preserve">only for </w:t>
      </w:r>
      <w:proofErr w:type="spellStart"/>
      <w:r w:rsidRPr="00D921CB">
        <w:rPr>
          <w:lang w:eastAsia="en-AU"/>
        </w:rPr>
        <w:t>MySydney</w:t>
      </w:r>
      <w:proofErr w:type="spellEnd"/>
      <w:r w:rsidR="008D56D9">
        <w:rPr>
          <w:lang w:eastAsia="en-AU"/>
        </w:rPr>
        <w:t xml:space="preserve">, </w:t>
      </w:r>
      <w:r w:rsidRPr="00D921CB">
        <w:rPr>
          <w:lang w:eastAsia="en-AU"/>
        </w:rPr>
        <w:t xml:space="preserve">disadvantaged circumstances </w:t>
      </w:r>
      <w:r w:rsidR="008D56D9">
        <w:rPr>
          <w:lang w:eastAsia="en-AU"/>
        </w:rPr>
        <w:t xml:space="preserve">for </w:t>
      </w:r>
      <w:r w:rsidRPr="00D921CB">
        <w:rPr>
          <w:lang w:eastAsia="en-AU"/>
        </w:rPr>
        <w:t>Narrm</w:t>
      </w:r>
      <w:r w:rsidR="008D56D9">
        <w:rPr>
          <w:lang w:eastAsia="en-AU"/>
        </w:rPr>
        <w:t xml:space="preserve">, </w:t>
      </w:r>
      <w:r w:rsidRPr="00D921CB">
        <w:rPr>
          <w:lang w:eastAsia="en-AU"/>
        </w:rPr>
        <w:t xml:space="preserve">Young Achievers </w:t>
      </w:r>
      <w:r w:rsidR="002875AD">
        <w:rPr>
          <w:lang w:eastAsia="en-AU"/>
        </w:rPr>
        <w:t>and</w:t>
      </w:r>
      <w:r w:rsidRPr="00D921CB">
        <w:rPr>
          <w:lang w:eastAsia="en-AU"/>
        </w:rPr>
        <w:t xml:space="preserve"> other </w:t>
      </w:r>
      <w:proofErr w:type="gramStart"/>
      <w:r w:rsidRPr="00D921CB">
        <w:rPr>
          <w:lang w:eastAsia="en-AU"/>
        </w:rPr>
        <w:t xml:space="preserve">equity </w:t>
      </w:r>
      <w:r w:rsidR="008D56D9">
        <w:rPr>
          <w:lang w:eastAsia="en-AU"/>
        </w:rPr>
        <w:t xml:space="preserve"> for</w:t>
      </w:r>
      <w:proofErr w:type="gramEnd"/>
      <w:r w:rsidR="008D56D9">
        <w:rPr>
          <w:lang w:eastAsia="en-AU"/>
        </w:rPr>
        <w:t xml:space="preserve"> </w:t>
      </w:r>
      <w:r w:rsidRPr="00D921CB">
        <w:rPr>
          <w:lang w:eastAsia="en-AU"/>
        </w:rPr>
        <w:t>UQ</w:t>
      </w:r>
      <w:r w:rsidR="008D56D9">
        <w:rPr>
          <w:lang w:eastAsia="en-AU"/>
        </w:rPr>
        <w:t xml:space="preserve">, </w:t>
      </w:r>
      <w:r w:rsidRPr="00D921CB">
        <w:rPr>
          <w:lang w:eastAsia="en-AU"/>
        </w:rPr>
        <w:t xml:space="preserve">HEPPP target groups </w:t>
      </w:r>
      <w:r w:rsidR="008D56D9">
        <w:rPr>
          <w:lang w:eastAsia="en-AU"/>
        </w:rPr>
        <w:t xml:space="preserve">for </w:t>
      </w:r>
      <w:r w:rsidRPr="00D921CB">
        <w:rPr>
          <w:lang w:eastAsia="en-AU"/>
        </w:rPr>
        <w:t>ANU</w:t>
      </w:r>
      <w:r w:rsidR="006912CD">
        <w:rPr>
          <w:lang w:eastAsia="en-AU"/>
        </w:rPr>
        <w:t>.</w:t>
      </w:r>
      <w:r w:rsidRPr="00D921CB">
        <w:rPr>
          <w:lang w:eastAsia="en-AU"/>
        </w:rPr>
        <w:t xml:space="preserve"> </w:t>
      </w:r>
    </w:p>
    <w:p w14:paraId="51E359B5" w14:textId="35E94AC4" w:rsidR="003C2FE0" w:rsidRDefault="00D921CB" w:rsidP="00FC38D9">
      <w:pPr>
        <w:pStyle w:val="ListParagraph"/>
        <w:numPr>
          <w:ilvl w:val="1"/>
          <w:numId w:val="17"/>
        </w:numPr>
        <w:rPr>
          <w:lang w:eastAsia="en-AU"/>
        </w:rPr>
      </w:pPr>
      <w:r w:rsidRPr="00D921CB">
        <w:rPr>
          <w:lang w:eastAsia="en-AU"/>
        </w:rPr>
        <w:t>Program scale (no. of commencing students, 2024/25): 759 (</w:t>
      </w:r>
      <w:proofErr w:type="spellStart"/>
      <w:r w:rsidRPr="00D921CB">
        <w:rPr>
          <w:lang w:eastAsia="en-AU"/>
        </w:rPr>
        <w:t>MySydney</w:t>
      </w:r>
      <w:proofErr w:type="spellEnd"/>
      <w:r w:rsidRPr="00D921CB">
        <w:rPr>
          <w:lang w:eastAsia="en-AU"/>
        </w:rPr>
        <w:t>), 560 (Narrm), 84 (UQ), 147 (ANU)</w:t>
      </w:r>
      <w:r w:rsidR="006912CD">
        <w:rPr>
          <w:lang w:eastAsia="en-AU"/>
        </w:rPr>
        <w:t>.</w:t>
      </w:r>
      <w:r w:rsidRPr="00D921CB">
        <w:rPr>
          <w:lang w:eastAsia="en-AU"/>
        </w:rPr>
        <w:t xml:space="preserve"> </w:t>
      </w:r>
    </w:p>
    <w:p w14:paraId="72E34E3E" w14:textId="2A7A6E61" w:rsidR="003C2FE0" w:rsidRDefault="00D921CB" w:rsidP="00FC38D9">
      <w:pPr>
        <w:pStyle w:val="ListParagraph"/>
        <w:numPr>
          <w:ilvl w:val="1"/>
          <w:numId w:val="17"/>
        </w:numPr>
        <w:rPr>
          <w:lang w:eastAsia="en-AU"/>
        </w:rPr>
      </w:pPr>
      <w:r w:rsidRPr="00D921CB">
        <w:rPr>
          <w:lang w:eastAsia="en-AU"/>
        </w:rPr>
        <w:t>Scholarship amount: $8.5k for duration of course (</w:t>
      </w:r>
      <w:proofErr w:type="spellStart"/>
      <w:r w:rsidRPr="00D921CB">
        <w:rPr>
          <w:lang w:eastAsia="en-AU"/>
        </w:rPr>
        <w:t>MySydney</w:t>
      </w:r>
      <w:proofErr w:type="spellEnd"/>
      <w:r w:rsidRPr="00D921CB">
        <w:rPr>
          <w:lang w:eastAsia="en-AU"/>
        </w:rPr>
        <w:t>), $6.5k (base) for duration of course (Narrm), $7k for up to 4 years (UQ); 5 types of care items (cash &amp; in-kind) (ANU)</w:t>
      </w:r>
      <w:r w:rsidR="006912CD">
        <w:rPr>
          <w:lang w:eastAsia="en-AU"/>
        </w:rPr>
        <w:t>.</w:t>
      </w:r>
      <w:r w:rsidRPr="00D921CB">
        <w:rPr>
          <w:lang w:eastAsia="en-AU"/>
        </w:rPr>
        <w:t xml:space="preserve"> </w:t>
      </w:r>
    </w:p>
    <w:p w14:paraId="75241594" w14:textId="64F51D85" w:rsidR="003C2FE0" w:rsidRDefault="00D921CB" w:rsidP="00FC38D9">
      <w:pPr>
        <w:pStyle w:val="ListParagraph"/>
        <w:numPr>
          <w:ilvl w:val="1"/>
          <w:numId w:val="17"/>
        </w:numPr>
        <w:rPr>
          <w:lang w:eastAsia="en-AU"/>
        </w:rPr>
      </w:pPr>
      <w:r w:rsidRPr="00D921CB">
        <w:rPr>
          <w:lang w:eastAsia="en-AU"/>
        </w:rPr>
        <w:t>Engagement with onboarding events: from 44% (</w:t>
      </w:r>
      <w:proofErr w:type="spellStart"/>
      <w:r w:rsidRPr="00D921CB">
        <w:rPr>
          <w:lang w:eastAsia="en-AU"/>
        </w:rPr>
        <w:t>MySydney</w:t>
      </w:r>
      <w:proofErr w:type="spellEnd"/>
      <w:r w:rsidRPr="00D921CB">
        <w:rPr>
          <w:lang w:eastAsia="en-AU"/>
        </w:rPr>
        <w:t>) to 65% (UQ) to 69% (Narrm); 147 students (ANU)</w:t>
      </w:r>
      <w:r w:rsidR="006912CD">
        <w:rPr>
          <w:lang w:eastAsia="en-AU"/>
        </w:rPr>
        <w:t>.</w:t>
      </w:r>
      <w:r w:rsidRPr="00D921CB">
        <w:rPr>
          <w:lang w:eastAsia="en-AU"/>
        </w:rPr>
        <w:t xml:space="preserve"> </w:t>
      </w:r>
    </w:p>
    <w:p w14:paraId="317620FF" w14:textId="77777777" w:rsidR="003C1947" w:rsidRDefault="003C1947" w:rsidP="003C1947">
      <w:pPr>
        <w:pStyle w:val="Heading2"/>
      </w:pPr>
      <w:r>
        <w:t xml:space="preserve">Outcomes </w:t>
      </w:r>
    </w:p>
    <w:p w14:paraId="502D8F4C" w14:textId="320B153A" w:rsidR="00741ABD" w:rsidRDefault="00741ABD" w:rsidP="00832446">
      <w:pPr>
        <w:pStyle w:val="Heading3"/>
      </w:pPr>
      <w:r>
        <w:t>Collaborative evaluation initiativ</w:t>
      </w:r>
      <w:r w:rsidR="009F0797">
        <w:t>e</w:t>
      </w:r>
    </w:p>
    <w:p w14:paraId="736D90D8" w14:textId="2DF94DE1" w:rsidR="00FC38D9" w:rsidRDefault="00FC38D9" w:rsidP="00FC38D9">
      <w:r w:rsidRPr="002E2059">
        <w:t>In the final workshop, the group develop</w:t>
      </w:r>
      <w:r>
        <w:t>ed</w:t>
      </w:r>
      <w:r w:rsidRPr="002E2059">
        <w:t xml:space="preserve"> an action plan to undertake an impact evaluation in 2026. This include</w:t>
      </w:r>
      <w:r w:rsidR="003C1947">
        <w:t>d</w:t>
      </w:r>
      <w:r w:rsidRPr="002E2059">
        <w:t xml:space="preserve"> consideration of funding for such an evaluation</w:t>
      </w:r>
      <w:r>
        <w:t xml:space="preserve"> from member universities.</w:t>
      </w:r>
    </w:p>
    <w:p w14:paraId="7C886774" w14:textId="63F76356" w:rsidR="00B644AF" w:rsidRDefault="00973D59" w:rsidP="00FC38D9">
      <w:r>
        <w:t xml:space="preserve">The group is codesigning a </w:t>
      </w:r>
      <w:r w:rsidR="00B644AF" w:rsidRPr="00B644AF">
        <w:t>project</w:t>
      </w:r>
      <w:r>
        <w:t xml:space="preserve"> that</w:t>
      </w:r>
      <w:r w:rsidR="00B644AF" w:rsidRPr="00B644AF">
        <w:t xml:space="preserve"> intends to add to the emerging literature on “what works” to support greater equity participation and success in higher education, especially in selective universities that have some of the lowest participation rates in the sector by students from underserved backgrounds.</w:t>
      </w:r>
      <w:r>
        <w:t xml:space="preserve"> </w:t>
      </w:r>
    </w:p>
    <w:p w14:paraId="32B2786B" w14:textId="41DA7D66" w:rsidR="006A38FC" w:rsidRDefault="006A38FC" w:rsidP="00FC38D9">
      <w:r w:rsidRPr="006A38FC">
        <w:t xml:space="preserve">The project is designed as a </w:t>
      </w:r>
      <w:r w:rsidR="009D53D1">
        <w:t>two</w:t>
      </w:r>
      <w:r w:rsidRPr="006A38FC">
        <w:t xml:space="preserve">-year collaboration </w:t>
      </w:r>
      <w:r>
        <w:t xml:space="preserve">to </w:t>
      </w:r>
      <w:r w:rsidRPr="006A38FC">
        <w:t>implement a multi-institution impact evaluation, including a sufficiently skilled researcher to draft the ethics application, design the impact evaluation protocol</w:t>
      </w:r>
      <w:r w:rsidR="009D53D1">
        <w:t>,</w:t>
      </w:r>
      <w:r w:rsidRPr="006A38FC">
        <w:t xml:space="preserve"> and undertake the analysis</w:t>
      </w:r>
      <w:r w:rsidR="009D53D1">
        <w:t>,</w:t>
      </w:r>
      <w:r w:rsidRPr="006A38FC">
        <w:t xml:space="preserve"> as well as a data analyst to coordinate data extraction across the Go8 institutions.</w:t>
      </w:r>
    </w:p>
    <w:p w14:paraId="763A2FBC" w14:textId="758C3C9E" w:rsidR="00741ABD" w:rsidRDefault="009F0797" w:rsidP="00832446">
      <w:pPr>
        <w:pStyle w:val="Heading3"/>
      </w:pPr>
      <w:r>
        <w:lastRenderedPageBreak/>
        <w:t>Community of practice</w:t>
      </w:r>
    </w:p>
    <w:p w14:paraId="7F38B557" w14:textId="689910E8" w:rsidR="009F0797" w:rsidRDefault="00D63D96" w:rsidP="00FC38D9">
      <w:r>
        <w:t>To continue to develop</w:t>
      </w:r>
      <w:r w:rsidR="00887375">
        <w:t xml:space="preserve"> the collaboration and build capacity for equity evaluation as well as undertake joint projects</w:t>
      </w:r>
      <w:r w:rsidR="00FA556E">
        <w:t>,</w:t>
      </w:r>
      <w:r w:rsidR="00662B20">
        <w:t xml:space="preserve"> the group has formed a community of practi</w:t>
      </w:r>
      <w:r w:rsidR="00FA556E">
        <w:t>c</w:t>
      </w:r>
      <w:r w:rsidR="00662B20">
        <w:t xml:space="preserve">e. </w:t>
      </w:r>
      <w:r w:rsidR="00FA556E">
        <w:t>The o</w:t>
      </w:r>
      <w:r w:rsidR="00662B20">
        <w:t>rganisation</w:t>
      </w:r>
      <w:r w:rsidR="00FA556E">
        <w:t>al</w:t>
      </w:r>
      <w:r w:rsidR="00662B20">
        <w:t xml:space="preserve"> </w:t>
      </w:r>
      <w:r w:rsidR="00FA556E">
        <w:t xml:space="preserve">support </w:t>
      </w:r>
      <w:r w:rsidR="00662B20">
        <w:t xml:space="preserve">for the community will leverage existing administrative </w:t>
      </w:r>
      <w:r w:rsidR="00FA556E">
        <w:t>arrangements</w:t>
      </w:r>
      <w:r w:rsidR="008C3FA1">
        <w:t xml:space="preserve"> amongst </w:t>
      </w:r>
      <w:r w:rsidR="564FEBF3">
        <w:t>members</w:t>
      </w:r>
      <w:r w:rsidR="008C3FA1">
        <w:t>. The group is looking to secure some funds to support travel</w:t>
      </w:r>
      <w:r w:rsidR="00880FCB">
        <w:t xml:space="preserve"> for in</w:t>
      </w:r>
      <w:r w:rsidR="00FA556E">
        <w:t>-</w:t>
      </w:r>
      <w:r w:rsidR="00880FCB">
        <w:t>person meetings once a year.</w:t>
      </w:r>
    </w:p>
    <w:p w14:paraId="27269315" w14:textId="01B2A279" w:rsidR="001540BC" w:rsidRDefault="00F0407E" w:rsidP="008D56D9">
      <w:pPr>
        <w:pStyle w:val="Heading1"/>
        <w:ind w:hanging="709"/>
      </w:pPr>
      <w:bookmarkStart w:id="11" w:name="_Toc192004677"/>
      <w:r>
        <w:t>I</w:t>
      </w:r>
      <w:r w:rsidR="00E47423">
        <w:t>mpac</w:t>
      </w:r>
      <w:bookmarkEnd w:id="11"/>
      <w:r w:rsidR="003C2FE0">
        <w:t>t</w:t>
      </w:r>
    </w:p>
    <w:p w14:paraId="7DB57539" w14:textId="5C2366B1" w:rsidR="4A0E1984" w:rsidRDefault="170AFEB9" w:rsidP="008D56D9">
      <w:pPr>
        <w:pStyle w:val="Heading2"/>
      </w:pPr>
      <w:r>
        <w:t xml:space="preserve">Building </w:t>
      </w:r>
      <w:r w:rsidRPr="00832446">
        <w:t>practitioner</w:t>
      </w:r>
      <w:r>
        <w:t xml:space="preserve"> knowledge and capabilities</w:t>
      </w:r>
    </w:p>
    <w:p w14:paraId="54073B2D" w14:textId="6BB9659B" w:rsidR="001B4B49" w:rsidRDefault="001B4B49" w:rsidP="00EE52AD">
      <w:r>
        <w:t>The workshop series was deliberately designed to build practi</w:t>
      </w:r>
      <w:r w:rsidR="005419D2">
        <w:t>tioner knowledge and capabilities</w:t>
      </w:r>
      <w:r w:rsidR="00DE7B01" w:rsidRPr="00DE7B01">
        <w:t xml:space="preserve"> </w:t>
      </w:r>
      <w:r w:rsidR="00DE7B01">
        <w:t>in equity program evaluation</w:t>
      </w:r>
      <w:r w:rsidR="005419D2">
        <w:t>. Participants engaged in the following activities:</w:t>
      </w:r>
    </w:p>
    <w:p w14:paraId="76A9760D" w14:textId="760988E5" w:rsidR="00D64DEB" w:rsidRDefault="00D64DEB" w:rsidP="00EE52AD">
      <w:pPr>
        <w:pStyle w:val="ListParagraph"/>
        <w:numPr>
          <w:ilvl w:val="0"/>
          <w:numId w:val="13"/>
        </w:numPr>
      </w:pPr>
      <w:r>
        <w:t xml:space="preserve">Explored a range of equity initiatives </w:t>
      </w:r>
      <w:r w:rsidR="002E5302">
        <w:t>and</w:t>
      </w:r>
      <w:r>
        <w:t xml:space="preserve"> evaluation practices happening across the Go8</w:t>
      </w:r>
      <w:r w:rsidR="002E5302">
        <w:t>.</w:t>
      </w:r>
    </w:p>
    <w:p w14:paraId="5E22D8DE" w14:textId="66D5A709" w:rsidR="00D64DEB" w:rsidRDefault="00D64DEB" w:rsidP="00EE52AD">
      <w:pPr>
        <w:pStyle w:val="ListParagraph"/>
        <w:numPr>
          <w:ilvl w:val="0"/>
          <w:numId w:val="13"/>
        </w:numPr>
      </w:pPr>
      <w:r>
        <w:t>Learned about the SEHEEF, CQI</w:t>
      </w:r>
      <w:r w:rsidR="002E5302">
        <w:t>, and</w:t>
      </w:r>
      <w:r>
        <w:t xml:space="preserve"> Impact Evaluation, including the role of PLMs and Theory of Change</w:t>
      </w:r>
      <w:r w:rsidR="002E5302">
        <w:t>.</w:t>
      </w:r>
    </w:p>
    <w:p w14:paraId="274AAFCB" w14:textId="758F980D" w:rsidR="0099693A" w:rsidRDefault="0099693A" w:rsidP="00EE52AD">
      <w:pPr>
        <w:pStyle w:val="ListParagraph"/>
        <w:numPr>
          <w:ilvl w:val="0"/>
          <w:numId w:val="13"/>
        </w:numPr>
      </w:pPr>
      <w:r>
        <w:t>Participated in a panel</w:t>
      </w:r>
      <w:r w:rsidR="00603420">
        <w:t xml:space="preserve"> discussion</w:t>
      </w:r>
      <w:r>
        <w:t xml:space="preserve"> on impact evaluation, </w:t>
      </w:r>
      <w:r w:rsidR="00A96DF1">
        <w:t>exploring</w:t>
      </w:r>
      <w:r>
        <w:t xml:space="preserve"> three designs of impact evaluations </w:t>
      </w:r>
      <w:r w:rsidR="00603420">
        <w:t>at UWA, UQ</w:t>
      </w:r>
      <w:r w:rsidR="002E5302">
        <w:t>,</w:t>
      </w:r>
      <w:r w:rsidR="00603420">
        <w:t xml:space="preserve"> and UTS</w:t>
      </w:r>
      <w:r w:rsidR="002E5302">
        <w:t>.</w:t>
      </w:r>
    </w:p>
    <w:p w14:paraId="79E69822" w14:textId="2D75E90D" w:rsidR="00D64DEB" w:rsidRDefault="00C12CB1" w:rsidP="00EE52AD">
      <w:pPr>
        <w:pStyle w:val="ListParagraph"/>
        <w:numPr>
          <w:ilvl w:val="0"/>
          <w:numId w:val="13"/>
        </w:numPr>
      </w:pPr>
      <w:r>
        <w:t>Investigated one</w:t>
      </w:r>
      <w:r w:rsidR="00D64DEB">
        <w:t xml:space="preserve"> student equity initiative</w:t>
      </w:r>
      <w:r>
        <w:t xml:space="preserve"> each</w:t>
      </w:r>
      <w:r w:rsidR="00D64DEB">
        <w:t xml:space="preserve"> to identify program logic, reach</w:t>
      </w:r>
      <w:r w:rsidR="002E5302">
        <w:t>,</w:t>
      </w:r>
      <w:r w:rsidR="00D64DEB">
        <w:t xml:space="preserve"> </w:t>
      </w:r>
      <w:r w:rsidR="002E5302">
        <w:t>and</w:t>
      </w:r>
      <w:r w:rsidR="00D64DEB">
        <w:t xml:space="preserve"> outcomes to date</w:t>
      </w:r>
      <w:r w:rsidR="002E5302">
        <w:t>.</w:t>
      </w:r>
    </w:p>
    <w:p w14:paraId="1E67483D" w14:textId="2C1B05C2" w:rsidR="00D64DEB" w:rsidRDefault="00D64DEB" w:rsidP="00EE52AD">
      <w:pPr>
        <w:pStyle w:val="ListParagraph"/>
        <w:numPr>
          <w:ilvl w:val="0"/>
          <w:numId w:val="13"/>
        </w:numPr>
      </w:pPr>
      <w:r>
        <w:t xml:space="preserve">Showcased </w:t>
      </w:r>
      <w:r w:rsidR="002E5302">
        <w:t>four</w:t>
      </w:r>
      <w:r>
        <w:t xml:space="preserve"> </w:t>
      </w:r>
      <w:r w:rsidR="002E5302">
        <w:t>o</w:t>
      </w:r>
      <w:r>
        <w:t xml:space="preserve">utreach programs with significant skill-building activities </w:t>
      </w:r>
      <w:r w:rsidR="002E5302">
        <w:t>and</w:t>
      </w:r>
      <w:r>
        <w:t xml:space="preserve"> </w:t>
      </w:r>
      <w:r w:rsidR="002E5302">
        <w:t>four</w:t>
      </w:r>
      <w:r>
        <w:t xml:space="preserve"> </w:t>
      </w:r>
      <w:r w:rsidR="002E5302">
        <w:t>m</w:t>
      </w:r>
      <w:r>
        <w:t xml:space="preserve">oney </w:t>
      </w:r>
      <w:r w:rsidR="002E5302">
        <w:t>and</w:t>
      </w:r>
      <w:r>
        <w:t xml:space="preserve"> </w:t>
      </w:r>
      <w:r w:rsidR="002E5302">
        <w:t>s</w:t>
      </w:r>
      <w:r>
        <w:t>upport programs (incl</w:t>
      </w:r>
      <w:r w:rsidR="002E5302">
        <w:t>uding</w:t>
      </w:r>
      <w:r>
        <w:t xml:space="preserve"> </w:t>
      </w:r>
      <w:r w:rsidR="002E5302">
        <w:t>three</w:t>
      </w:r>
      <w:r>
        <w:t xml:space="preserve"> Packaged Scholarships)</w:t>
      </w:r>
      <w:r w:rsidR="002E5302">
        <w:t>.</w:t>
      </w:r>
    </w:p>
    <w:p w14:paraId="7B4B179C" w14:textId="757E0601" w:rsidR="00D64DEB" w:rsidRDefault="00D64DEB" w:rsidP="00EE52AD">
      <w:pPr>
        <w:pStyle w:val="ListParagraph"/>
        <w:numPr>
          <w:ilvl w:val="0"/>
          <w:numId w:val="13"/>
        </w:numPr>
      </w:pPr>
      <w:r>
        <w:t>Shared insights &amp; learnings from student equity program delivery &amp; evaluation efforts to date</w:t>
      </w:r>
      <w:r w:rsidR="002E5302">
        <w:t>.</w:t>
      </w:r>
    </w:p>
    <w:p w14:paraId="0AD5B882" w14:textId="00F321B9" w:rsidR="00D64DEB" w:rsidRDefault="00D64DEB" w:rsidP="00EE52AD">
      <w:pPr>
        <w:pStyle w:val="ListParagraph"/>
        <w:numPr>
          <w:ilvl w:val="0"/>
          <w:numId w:val="13"/>
        </w:numPr>
      </w:pPr>
      <w:r>
        <w:t xml:space="preserve">Discovered new insights </w:t>
      </w:r>
      <w:r w:rsidR="002E5302">
        <w:t>and</w:t>
      </w:r>
      <w:r>
        <w:t xml:space="preserve"> opportunities to strengthen </w:t>
      </w:r>
      <w:r w:rsidR="001338F5">
        <w:t>their</w:t>
      </w:r>
      <w:r>
        <w:t xml:space="preserve"> student equity programs </w:t>
      </w:r>
      <w:r w:rsidR="002E5302">
        <w:t>and</w:t>
      </w:r>
      <w:r>
        <w:t xml:space="preserve"> evaluation strategies</w:t>
      </w:r>
      <w:r w:rsidR="002E5302">
        <w:t>.</w:t>
      </w:r>
    </w:p>
    <w:p w14:paraId="7DF65654" w14:textId="561A7081" w:rsidR="005419D2" w:rsidRDefault="00D64DEB" w:rsidP="00EE52AD">
      <w:pPr>
        <w:pStyle w:val="ListParagraph"/>
        <w:numPr>
          <w:ilvl w:val="0"/>
          <w:numId w:val="13"/>
        </w:numPr>
      </w:pPr>
      <w:r>
        <w:t xml:space="preserve">Explored opportunities to work collaboratively to strengthen the impact of student equity programs across the Go8 </w:t>
      </w:r>
      <w:r w:rsidR="002E5302">
        <w:t>and</w:t>
      </w:r>
      <w:r>
        <w:t xml:space="preserve"> </w:t>
      </w:r>
      <w:r w:rsidR="002E5302">
        <w:t>higher education</w:t>
      </w:r>
      <w:r>
        <w:t xml:space="preserve"> sector</w:t>
      </w:r>
      <w:r w:rsidR="002E5302">
        <w:t>.</w:t>
      </w:r>
    </w:p>
    <w:p w14:paraId="28435BE0" w14:textId="52B93EFB" w:rsidR="00A645DE" w:rsidRDefault="00A645DE" w:rsidP="00EE52AD">
      <w:r>
        <w:t>Several participants reported that they did not have a PLM of their showcased program prior to the workshop</w:t>
      </w:r>
      <w:r w:rsidR="00A43C52">
        <w:t xml:space="preserve"> presentation</w:t>
      </w:r>
      <w:r>
        <w:t xml:space="preserve"> and/or had not </w:t>
      </w:r>
      <w:r w:rsidR="00845C68">
        <w:t xml:space="preserve">had access to the required data to evidence the </w:t>
      </w:r>
      <w:r w:rsidR="002E5302">
        <w:t>p</w:t>
      </w:r>
      <w:r w:rsidR="00845C68">
        <w:t xml:space="preserve">rimary or </w:t>
      </w:r>
      <w:r w:rsidR="002E5302">
        <w:t>s</w:t>
      </w:r>
      <w:r w:rsidR="00845C68">
        <w:t xml:space="preserve">upporting </w:t>
      </w:r>
      <w:r w:rsidR="002E5302">
        <w:t>o</w:t>
      </w:r>
      <w:r w:rsidR="00845C68">
        <w:t>utcomes of the initiative.</w:t>
      </w:r>
      <w:r w:rsidR="004D06F6">
        <w:t xml:space="preserve"> </w:t>
      </w:r>
      <w:r w:rsidR="00AC0372">
        <w:t>They</w:t>
      </w:r>
      <w:r w:rsidR="004D06F6">
        <w:t xml:space="preserve"> shared that they had gained a much deeper appreciation around the importance of good quality data </w:t>
      </w:r>
      <w:r w:rsidR="008F27EF">
        <w:t>for program evaluation</w:t>
      </w:r>
      <w:r w:rsidR="00845C68">
        <w:t xml:space="preserve"> </w:t>
      </w:r>
      <w:r w:rsidR="008F27EF">
        <w:t xml:space="preserve">and had worked </w:t>
      </w:r>
      <w:r w:rsidR="00931BA7">
        <w:t>with colleagues internally to obtain it.</w:t>
      </w:r>
    </w:p>
    <w:p w14:paraId="1C980842" w14:textId="3AB84462" w:rsidR="11C92258" w:rsidRDefault="11C92258" w:rsidP="008D56D9">
      <w:pPr>
        <w:pStyle w:val="Heading2"/>
      </w:pPr>
      <w:r>
        <w:t>Individual and collective goals</w:t>
      </w:r>
    </w:p>
    <w:p w14:paraId="034214FC" w14:textId="66D373A0" w:rsidR="00931BA7" w:rsidRDefault="00931BA7" w:rsidP="00EE52AD">
      <w:r>
        <w:t xml:space="preserve">As part of their case study presentation, participants were asked to reflect on the </w:t>
      </w:r>
      <w:r w:rsidR="002E5302">
        <w:t>i</w:t>
      </w:r>
      <w:r w:rsidR="00971641">
        <w:t xml:space="preserve">nsights and </w:t>
      </w:r>
      <w:r w:rsidR="002E5302">
        <w:t>l</w:t>
      </w:r>
      <w:r w:rsidR="00971641">
        <w:t xml:space="preserve">earnings from existing evaluation activities, and to identify </w:t>
      </w:r>
      <w:r w:rsidR="002E5302">
        <w:t>o</w:t>
      </w:r>
      <w:r w:rsidR="00971641">
        <w:t xml:space="preserve">pportunities for ongoing or different evaluation </w:t>
      </w:r>
      <w:r w:rsidR="0069398A">
        <w:t xml:space="preserve">approaches. </w:t>
      </w:r>
      <w:r w:rsidR="00BB7C59">
        <w:t xml:space="preserve">These yielded interesting insights not only about evaluation </w:t>
      </w:r>
      <w:r w:rsidR="00BB7C59">
        <w:lastRenderedPageBreak/>
        <w:t>but also about program design and</w:t>
      </w:r>
      <w:r w:rsidR="00DA0AC3">
        <w:t xml:space="preserve"> the need to</w:t>
      </w:r>
      <w:r w:rsidR="00BB7C59">
        <w:t xml:space="preserve"> </w:t>
      </w:r>
      <w:r w:rsidR="006E777F">
        <w:t>advocat</w:t>
      </w:r>
      <w:r w:rsidR="00DA0AC3">
        <w:t>e</w:t>
      </w:r>
      <w:r w:rsidR="006E777F">
        <w:t xml:space="preserve"> for systemic changes at the institutional level.</w:t>
      </w:r>
    </w:p>
    <w:p w14:paraId="05E7E3A6" w14:textId="6FC7B608" w:rsidR="00E260D7" w:rsidRDefault="00E260D7" w:rsidP="00EE52AD">
      <w:r>
        <w:t xml:space="preserve">In workshop 1 of the series, participants were asked about their </w:t>
      </w:r>
      <w:r w:rsidR="00A7039F">
        <w:t>goals for the capacity building project</w:t>
      </w:r>
      <w:r w:rsidR="00A2473C">
        <w:t xml:space="preserve"> at the individual, institutional, Group of 8, and sector levels.</w:t>
      </w:r>
      <w:r w:rsidR="00DF24AE">
        <w:t xml:space="preserve"> These were the core </w:t>
      </w:r>
      <w:r w:rsidR="007A2F95">
        <w:t>objectives</w:t>
      </w:r>
      <w:r w:rsidR="00B63CC1">
        <w:t xml:space="preserve"> that emerged</w:t>
      </w:r>
      <w:r w:rsidR="00DF24AE">
        <w:t>:</w:t>
      </w:r>
    </w:p>
    <w:p w14:paraId="6F2D2598" w14:textId="19908531" w:rsidR="007A2F95" w:rsidRDefault="002E5302" w:rsidP="00EE52AD">
      <w:pPr>
        <w:pStyle w:val="ListParagraph"/>
        <w:numPr>
          <w:ilvl w:val="0"/>
          <w:numId w:val="12"/>
        </w:numPr>
      </w:pPr>
      <w:r>
        <w:t>c</w:t>
      </w:r>
      <w:r w:rsidR="007A2F95">
        <w:t xml:space="preserve">onnect </w:t>
      </w:r>
      <w:r>
        <w:t>and</w:t>
      </w:r>
      <w:r w:rsidR="007A2F95">
        <w:t xml:space="preserve"> build professional relationships</w:t>
      </w:r>
    </w:p>
    <w:p w14:paraId="32083D38" w14:textId="58525BD3" w:rsidR="007A2F95" w:rsidRDefault="002E5302" w:rsidP="00EE52AD">
      <w:pPr>
        <w:pStyle w:val="ListParagraph"/>
        <w:numPr>
          <w:ilvl w:val="0"/>
          <w:numId w:val="12"/>
        </w:numPr>
      </w:pPr>
      <w:r>
        <w:t>s</w:t>
      </w:r>
      <w:r w:rsidR="007A2F95">
        <w:t xml:space="preserve">hare (good) practice, tools, data, insights, learnings, and engage in benchmarking </w:t>
      </w:r>
    </w:p>
    <w:p w14:paraId="012150B5" w14:textId="6A99A23D" w:rsidR="007A2F95" w:rsidRDefault="002E5302" w:rsidP="00EE52AD">
      <w:pPr>
        <w:pStyle w:val="ListParagraph"/>
        <w:numPr>
          <w:ilvl w:val="0"/>
          <w:numId w:val="12"/>
        </w:numPr>
      </w:pPr>
      <w:r>
        <w:t>d</w:t>
      </w:r>
      <w:r w:rsidR="007A2F95">
        <w:t>emonstrate that the Go8 have a responsibility to engage in student equity and make important contributions</w:t>
      </w:r>
    </w:p>
    <w:p w14:paraId="7621EE8A" w14:textId="22F1F047" w:rsidR="007A2F95" w:rsidRDefault="002E5302" w:rsidP="00EE52AD">
      <w:pPr>
        <w:pStyle w:val="ListParagraph"/>
        <w:numPr>
          <w:ilvl w:val="0"/>
          <w:numId w:val="12"/>
        </w:numPr>
      </w:pPr>
      <w:r>
        <w:t>i</w:t>
      </w:r>
      <w:r w:rsidR="007A2F95">
        <w:t>ncrease capacity to facilitate real impacts for student equity through evidence of what works</w:t>
      </w:r>
      <w:r w:rsidR="00F21687">
        <w:t>, for whom</w:t>
      </w:r>
      <w:r>
        <w:t>,</w:t>
      </w:r>
      <w:r w:rsidR="00F21687">
        <w:t xml:space="preserve"> and why</w:t>
      </w:r>
      <w:r>
        <w:t>.</w:t>
      </w:r>
    </w:p>
    <w:p w14:paraId="0EC92C95" w14:textId="0B4D2974" w:rsidR="007A2F95" w:rsidRDefault="002E5302" w:rsidP="00EE52AD">
      <w:pPr>
        <w:pStyle w:val="ListParagraph"/>
        <w:numPr>
          <w:ilvl w:val="0"/>
          <w:numId w:val="12"/>
        </w:numPr>
      </w:pPr>
      <w:r>
        <w:t>g</w:t>
      </w:r>
      <w:r w:rsidR="007A2F95">
        <w:t>row evaluation capability by understanding how to conduct evaluation</w:t>
      </w:r>
      <w:r w:rsidR="00F21687">
        <w:t>s</w:t>
      </w:r>
      <w:r w:rsidR="007A2F95">
        <w:t xml:space="preserve"> </w:t>
      </w:r>
      <w:r>
        <w:t>and</w:t>
      </w:r>
      <w:r w:rsidR="007A2F95">
        <w:t xml:space="preserve"> build capability to evaluate programs</w:t>
      </w:r>
    </w:p>
    <w:p w14:paraId="0A3DC572" w14:textId="2A3BF54C" w:rsidR="00DF24AE" w:rsidRDefault="002E5302" w:rsidP="00EE52AD">
      <w:pPr>
        <w:pStyle w:val="ListParagraph"/>
        <w:numPr>
          <w:ilvl w:val="0"/>
          <w:numId w:val="12"/>
        </w:numPr>
      </w:pPr>
      <w:r>
        <w:t>c</w:t>
      </w:r>
      <w:r w:rsidR="007A2F95">
        <w:t>ollaborate with institutions that have a similar context and challenges for collective impact</w:t>
      </w:r>
      <w:r>
        <w:t>.</w:t>
      </w:r>
    </w:p>
    <w:p w14:paraId="1D97131E" w14:textId="593E3A40" w:rsidR="00444444" w:rsidRDefault="00E260D7" w:rsidP="00EE52AD">
      <w:r>
        <w:t xml:space="preserve">At the </w:t>
      </w:r>
      <w:r w:rsidR="001B4B67">
        <w:t>end</w:t>
      </w:r>
      <w:r>
        <w:t xml:space="preserve"> of workshop </w:t>
      </w:r>
      <w:r w:rsidR="002E5302">
        <w:t>four</w:t>
      </w:r>
      <w:r>
        <w:t>, participants were invited to reflect on the impact of engaging in th</w:t>
      </w:r>
      <w:r w:rsidR="001B4B67">
        <w:t>e</w:t>
      </w:r>
      <w:r>
        <w:t xml:space="preserve"> evaluation capacity building program. The group unanimously agreed that the primary objectives of the project had been achieved,</w:t>
      </w:r>
      <w:r w:rsidR="001D1326">
        <w:t xml:space="preserve"> especially in relation to skill building</w:t>
      </w:r>
      <w:r w:rsidR="00AD32A9">
        <w:t xml:space="preserve"> and</w:t>
      </w:r>
      <w:r w:rsidR="001D1326">
        <w:t xml:space="preserve"> networking</w:t>
      </w:r>
      <w:r w:rsidR="000D68C4">
        <w:t>, including meeting people from their own institution</w:t>
      </w:r>
      <w:r w:rsidR="00AD32A9">
        <w:t xml:space="preserve">. Several participants shared that they </w:t>
      </w:r>
      <w:r w:rsidR="000D68C4">
        <w:t>felt</w:t>
      </w:r>
      <w:r w:rsidR="001D1326">
        <w:t xml:space="preserve"> </w:t>
      </w:r>
      <w:r w:rsidR="00F81097">
        <w:t>reassured</w:t>
      </w:r>
      <w:r w:rsidR="001D1326">
        <w:t xml:space="preserve"> that their institution</w:t>
      </w:r>
      <w:r w:rsidR="00F81097">
        <w:t xml:space="preserve">al program/s </w:t>
      </w:r>
      <w:r w:rsidR="00AD32A9">
        <w:t xml:space="preserve">and approach to evaluation </w:t>
      </w:r>
      <w:r w:rsidR="00F81097">
        <w:t>were on par with what others were doing.</w:t>
      </w:r>
      <w:r>
        <w:t xml:space="preserve"> </w:t>
      </w:r>
      <w:r w:rsidR="000D68C4">
        <w:t xml:space="preserve">Others highlighted the increase in confidence to undertake </w:t>
      </w:r>
      <w:r w:rsidR="00185139">
        <w:t>program evaluations and their interest in working collaboratively across the group next year.</w:t>
      </w:r>
    </w:p>
    <w:p w14:paraId="0D988625" w14:textId="2159CB26" w:rsidR="7FCB4B87" w:rsidRDefault="7FCB4B87" w:rsidP="008D56D9">
      <w:pPr>
        <w:pStyle w:val="Heading2"/>
      </w:pPr>
      <w:r>
        <w:t>Key achievements</w:t>
      </w:r>
    </w:p>
    <w:p w14:paraId="0EEB6966" w14:textId="434D9AB1" w:rsidR="00750AE0" w:rsidRPr="000D0A8A" w:rsidRDefault="00750AE0" w:rsidP="00EE52AD">
      <w:r>
        <w:t xml:space="preserve">The fact that all </w:t>
      </w:r>
      <w:r w:rsidR="002E5302">
        <w:t>eight</w:t>
      </w:r>
      <w:r>
        <w:t xml:space="preserve"> institutions participated in the capacity building project, remained engaged throughout, and signed up for continued collaboration into 2026, is a key achievement of this initiative. </w:t>
      </w:r>
      <w:r w:rsidR="00733A3E">
        <w:t xml:space="preserve">Participants spoke about how much they had enjoyed getting to know colleagues who were working on similar </w:t>
      </w:r>
      <w:r w:rsidR="00A629EF">
        <w:t>issues elsewhere</w:t>
      </w:r>
      <w:r w:rsidR="00C51F4B">
        <w:t xml:space="preserve">. They also </w:t>
      </w:r>
      <w:r w:rsidR="00D6128A">
        <w:t>identified</w:t>
      </w:r>
      <w:r w:rsidR="00A629EF">
        <w:t xml:space="preserve"> how important it was to not only bring the different institutions together but also to connect equity practitioners with </w:t>
      </w:r>
      <w:r w:rsidR="00941C38">
        <w:t xml:space="preserve">program </w:t>
      </w:r>
      <w:r w:rsidR="00A629EF">
        <w:t xml:space="preserve">evaluators in ways that valued both </w:t>
      </w:r>
      <w:r w:rsidR="00DC25E8">
        <w:t xml:space="preserve">sets of skills and </w:t>
      </w:r>
      <w:r w:rsidR="00F21450">
        <w:t xml:space="preserve">specialist </w:t>
      </w:r>
      <w:r w:rsidR="00DC25E8">
        <w:t>expertise</w:t>
      </w:r>
      <w:r w:rsidR="00D6128A">
        <w:t xml:space="preserve"> and </w:t>
      </w:r>
      <w:r w:rsidR="00F21450">
        <w:t>facilitated</w:t>
      </w:r>
      <w:r w:rsidR="00D6128A">
        <w:t xml:space="preserve"> sharing across traditional silos</w:t>
      </w:r>
      <w:r w:rsidR="00DC25E8">
        <w:t>.</w:t>
      </w:r>
    </w:p>
    <w:p w14:paraId="330259FD" w14:textId="4D09B52D" w:rsidR="0B110C34" w:rsidRDefault="0B110C34" w:rsidP="0B110C34">
      <w:pPr>
        <w:rPr>
          <w:lang w:eastAsia="en-AU"/>
        </w:rPr>
      </w:pPr>
    </w:p>
    <w:sectPr w:rsidR="0B110C34" w:rsidSect="008C7722">
      <w:footerReference w:type="default" r:id="rId15"/>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B5A8" w14:textId="77777777" w:rsidR="0053139C" w:rsidRDefault="0053139C" w:rsidP="00EE52AD">
      <w:r>
        <w:separator/>
      </w:r>
    </w:p>
  </w:endnote>
  <w:endnote w:type="continuationSeparator" w:id="0">
    <w:p w14:paraId="0A3A3F18" w14:textId="77777777" w:rsidR="0053139C" w:rsidRDefault="0053139C" w:rsidP="00EE52AD">
      <w:r>
        <w:continuationSeparator/>
      </w:r>
    </w:p>
  </w:endnote>
  <w:endnote w:type="continuationNotice" w:id="1">
    <w:p w14:paraId="6701A641" w14:textId="77777777" w:rsidR="0053139C" w:rsidRDefault="0053139C" w:rsidP="00EE5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variable"/>
    <w:sig w:usb0="E00002FF" w:usb1="1200A1FF" w:usb2="00000001" w:usb3="00000000" w:csb0="0000019F" w:csb1="00000000"/>
  </w:font>
  <w:font w:name="Inter Light">
    <w:altName w:val="Cambria"/>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Inter Medium">
    <w:altName w:val="Cambria"/>
    <w:charset w:val="00"/>
    <w:family w:val="auto"/>
    <w:pitch w:val="variable"/>
    <w:sig w:usb0="E00002FF" w:usb1="1200A1FF" w:usb2="00000001" w:usb3="00000000" w:csb0="0000019F" w:csb1="00000000"/>
  </w:font>
  <w:font w:name="Hiragino Kaku Gothic StdN W8">
    <w:charset w:val="80"/>
    <w:family w:val="swiss"/>
    <w:pitch w:val="variable"/>
    <w:sig w:usb0="800002CF" w:usb1="6AC7FCFC" w:usb2="00000012" w:usb3="00000000" w:csb0="0002000D"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rPr>
    </w:sdtEndPr>
    <w:sdtContent>
      <w:p w14:paraId="0A3E323C" w14:textId="77777777" w:rsidR="008C7722" w:rsidRPr="00AF0FAE" w:rsidRDefault="008C7722" w:rsidP="00EE52AD">
        <w:pPr>
          <w:pStyle w:val="Footer"/>
        </w:pPr>
        <w:r w:rsidRPr="00AF0FAE">
          <w:fldChar w:fldCharType="begin"/>
        </w:r>
        <w:r w:rsidRPr="00AF0FAE">
          <w:instrText xml:space="preserve"> PAGE   \* MERGEFORMAT </w:instrText>
        </w:r>
        <w:r w:rsidRPr="00AF0FAE">
          <w:fldChar w:fldCharType="separate"/>
        </w:r>
        <w:r w:rsidRPr="00AF0FAE">
          <w:rPr>
            <w:noProof/>
          </w:rPr>
          <w:t>2</w:t>
        </w:r>
        <w:r w:rsidRPr="00AF0FAE">
          <w:rPr>
            <w:noProof/>
          </w:rPr>
          <w:fldChar w:fldCharType="end"/>
        </w:r>
      </w:p>
    </w:sdtContent>
  </w:sdt>
  <w:p w14:paraId="0F19D595" w14:textId="77777777" w:rsidR="008C7722" w:rsidRDefault="008C7722" w:rsidP="00EE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B5D5" w14:textId="77777777" w:rsidR="0053139C" w:rsidRDefault="0053139C" w:rsidP="00EE52AD">
      <w:r>
        <w:separator/>
      </w:r>
    </w:p>
  </w:footnote>
  <w:footnote w:type="continuationSeparator" w:id="0">
    <w:p w14:paraId="1A4D4088" w14:textId="77777777" w:rsidR="0053139C" w:rsidRDefault="0053139C" w:rsidP="00EE52AD">
      <w:r>
        <w:continuationSeparator/>
      </w:r>
    </w:p>
  </w:footnote>
  <w:footnote w:type="continuationNotice" w:id="1">
    <w:p w14:paraId="4F0C4885" w14:textId="77777777" w:rsidR="0053139C" w:rsidRDefault="0053139C" w:rsidP="00EE52AD"/>
  </w:footnote>
</w:footnotes>
</file>

<file path=word/intelligence2.xml><?xml version="1.0" encoding="utf-8"?>
<int2:intelligence xmlns:int2="http://schemas.microsoft.com/office/intelligence/2020/intelligence" xmlns:oel="http://schemas.microsoft.com/office/2019/extlst">
  <int2:observations>
    <int2:textHash int2:hashCode="f4kEamLrk9qbJq" int2:id="L0Wvgn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AA2"/>
    <w:multiLevelType w:val="hybridMultilevel"/>
    <w:tmpl w:val="E5126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7D20B4"/>
    <w:multiLevelType w:val="hybridMultilevel"/>
    <w:tmpl w:val="9238D2CA"/>
    <w:lvl w:ilvl="0" w:tplc="91F6012C">
      <w:numFmt w:val="bullet"/>
      <w:lvlText w:val="•"/>
      <w:lvlJc w:val="left"/>
      <w:pPr>
        <w:ind w:left="720" w:hanging="360"/>
      </w:pPr>
      <w:rPr>
        <w:rFonts w:ascii="Inter" w:eastAsiaTheme="minorHAnsi" w:hAnsi="Int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62E9"/>
    <w:multiLevelType w:val="multilevel"/>
    <w:tmpl w:val="8C1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6704C"/>
    <w:multiLevelType w:val="hybridMultilevel"/>
    <w:tmpl w:val="9076A09A"/>
    <w:lvl w:ilvl="0" w:tplc="0C090001">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D13702"/>
    <w:multiLevelType w:val="hybridMultilevel"/>
    <w:tmpl w:val="0B32C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BE7FF0"/>
    <w:multiLevelType w:val="hybridMultilevel"/>
    <w:tmpl w:val="5D469898"/>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71245E"/>
    <w:multiLevelType w:val="hybridMultilevel"/>
    <w:tmpl w:val="A2400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80EEC"/>
    <w:multiLevelType w:val="hybridMultilevel"/>
    <w:tmpl w:val="A7143D8A"/>
    <w:lvl w:ilvl="0" w:tplc="CA28E73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E8E7089"/>
    <w:multiLevelType w:val="hybridMultilevel"/>
    <w:tmpl w:val="487AF92A"/>
    <w:lvl w:ilvl="0" w:tplc="C4BCDC20">
      <w:numFmt w:val="bullet"/>
      <w:lvlText w:val="•"/>
      <w:lvlJc w:val="left"/>
      <w:pPr>
        <w:ind w:left="1080" w:hanging="720"/>
      </w:pPr>
      <w:rPr>
        <w:rFonts w:ascii="Inter" w:eastAsiaTheme="minorHAnsi" w:hAnsi="Int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40AD1"/>
    <w:multiLevelType w:val="multilevel"/>
    <w:tmpl w:val="C3008F82"/>
    <w:lvl w:ilvl="0">
      <w:start w:val="1"/>
      <w:numFmt w:val="decimal"/>
      <w:pStyle w:val="Heading1"/>
      <w:lvlText w:val="%1."/>
      <w:lvlJc w:val="left"/>
      <w:pPr>
        <w:ind w:left="5529" w:hanging="851"/>
      </w:pPr>
    </w:lvl>
    <w:lvl w:ilvl="1">
      <w:start w:val="1"/>
      <w:numFmt w:val="decimal"/>
      <w:pStyle w:val="Heading2"/>
      <w:lvlText w:val="%1.%2"/>
      <w:lvlJc w:val="left"/>
      <w:pPr>
        <w:ind w:left="851" w:hanging="851"/>
      </w:p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3AC21AA"/>
    <w:multiLevelType w:val="hybridMultilevel"/>
    <w:tmpl w:val="5F222D36"/>
    <w:lvl w:ilvl="0" w:tplc="91F6012C">
      <w:numFmt w:val="bullet"/>
      <w:lvlText w:val="•"/>
      <w:lvlJc w:val="left"/>
      <w:pPr>
        <w:ind w:left="720" w:hanging="360"/>
      </w:pPr>
      <w:rPr>
        <w:rFonts w:ascii="Inter" w:eastAsiaTheme="minorHAnsi" w:hAnsi="Int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A2D4C"/>
    <w:multiLevelType w:val="hybridMultilevel"/>
    <w:tmpl w:val="69F8A810"/>
    <w:lvl w:ilvl="0" w:tplc="91F6012C">
      <w:numFmt w:val="bullet"/>
      <w:lvlText w:val="•"/>
      <w:lvlJc w:val="left"/>
      <w:pPr>
        <w:ind w:left="360" w:hanging="360"/>
      </w:pPr>
      <w:rPr>
        <w:rFonts w:ascii="Inter" w:eastAsiaTheme="minorHAnsi" w:hAnsi="Inter"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192CB6"/>
    <w:multiLevelType w:val="hybridMultilevel"/>
    <w:tmpl w:val="767AC3E0"/>
    <w:lvl w:ilvl="0" w:tplc="91F6012C">
      <w:numFmt w:val="bullet"/>
      <w:lvlText w:val="•"/>
      <w:lvlJc w:val="left"/>
      <w:pPr>
        <w:ind w:left="720" w:hanging="360"/>
      </w:pPr>
      <w:rPr>
        <w:rFonts w:ascii="Inter" w:eastAsiaTheme="minorHAnsi" w:hAnsi="Int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103749">
    <w:abstractNumId w:val="9"/>
  </w:num>
  <w:num w:numId="2" w16cid:durableId="1626346909">
    <w:abstractNumId w:val="3"/>
  </w:num>
  <w:num w:numId="3" w16cid:durableId="1633514828">
    <w:abstractNumId w:val="5"/>
  </w:num>
  <w:num w:numId="4" w16cid:durableId="10114217">
    <w:abstractNumId w:val="9"/>
  </w:num>
  <w:num w:numId="5" w16cid:durableId="1146160905">
    <w:abstractNumId w:val="9"/>
  </w:num>
  <w:num w:numId="6" w16cid:durableId="1308702084">
    <w:abstractNumId w:val="9"/>
  </w:num>
  <w:num w:numId="7" w16cid:durableId="1986544160">
    <w:abstractNumId w:val="9"/>
  </w:num>
  <w:num w:numId="8" w16cid:durableId="151413800">
    <w:abstractNumId w:val="9"/>
  </w:num>
  <w:num w:numId="9" w16cid:durableId="816148365">
    <w:abstractNumId w:val="9"/>
  </w:num>
  <w:num w:numId="10" w16cid:durableId="968098034">
    <w:abstractNumId w:val="9"/>
    <w:lvlOverride w:ilvl="0">
      <w:startOverride w:val="1"/>
    </w:lvlOverride>
    <w:lvlOverride w:ilvl="1">
      <w:startOverride w:val="2"/>
    </w:lvlOverride>
  </w:num>
  <w:num w:numId="11" w16cid:durableId="2119789340">
    <w:abstractNumId w:val="7"/>
  </w:num>
  <w:num w:numId="12" w16cid:durableId="1008365218">
    <w:abstractNumId w:val="0"/>
  </w:num>
  <w:num w:numId="13" w16cid:durableId="1088504929">
    <w:abstractNumId w:val="4"/>
  </w:num>
  <w:num w:numId="14" w16cid:durableId="997343638">
    <w:abstractNumId w:val="2"/>
  </w:num>
  <w:num w:numId="15" w16cid:durableId="1734935051">
    <w:abstractNumId w:val="6"/>
  </w:num>
  <w:num w:numId="16" w16cid:durableId="1120101931">
    <w:abstractNumId w:val="12"/>
  </w:num>
  <w:num w:numId="17" w16cid:durableId="1469973946">
    <w:abstractNumId w:val="11"/>
  </w:num>
  <w:num w:numId="18" w16cid:durableId="213201195">
    <w:abstractNumId w:val="1"/>
  </w:num>
  <w:num w:numId="19" w16cid:durableId="89548034">
    <w:abstractNumId w:val="10"/>
  </w:num>
  <w:num w:numId="20" w16cid:durableId="472143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A"/>
    <w:rsid w:val="00001EC7"/>
    <w:rsid w:val="0000449E"/>
    <w:rsid w:val="00004EFE"/>
    <w:rsid w:val="00011B4F"/>
    <w:rsid w:val="000162FA"/>
    <w:rsid w:val="000165D1"/>
    <w:rsid w:val="00016F12"/>
    <w:rsid w:val="00022EEB"/>
    <w:rsid w:val="000257CD"/>
    <w:rsid w:val="00025B1B"/>
    <w:rsid w:val="000406A3"/>
    <w:rsid w:val="0004122F"/>
    <w:rsid w:val="00042235"/>
    <w:rsid w:val="00044E41"/>
    <w:rsid w:val="00045594"/>
    <w:rsid w:val="00046E24"/>
    <w:rsid w:val="000506BC"/>
    <w:rsid w:val="00051E86"/>
    <w:rsid w:val="000538F2"/>
    <w:rsid w:val="00060354"/>
    <w:rsid w:val="00062BC2"/>
    <w:rsid w:val="000636C6"/>
    <w:rsid w:val="000660A3"/>
    <w:rsid w:val="00070257"/>
    <w:rsid w:val="00071D0A"/>
    <w:rsid w:val="000827B4"/>
    <w:rsid w:val="00082B38"/>
    <w:rsid w:val="00082CBB"/>
    <w:rsid w:val="00083C09"/>
    <w:rsid w:val="000853BC"/>
    <w:rsid w:val="00086BB7"/>
    <w:rsid w:val="00093300"/>
    <w:rsid w:val="000A3988"/>
    <w:rsid w:val="000A5711"/>
    <w:rsid w:val="000A7189"/>
    <w:rsid w:val="000B2DA3"/>
    <w:rsid w:val="000C4D6A"/>
    <w:rsid w:val="000D0A8A"/>
    <w:rsid w:val="000D2E14"/>
    <w:rsid w:val="000D39E3"/>
    <w:rsid w:val="000D68C4"/>
    <w:rsid w:val="000E0A14"/>
    <w:rsid w:val="000E1D50"/>
    <w:rsid w:val="000E342D"/>
    <w:rsid w:val="000E5F70"/>
    <w:rsid w:val="000E70CC"/>
    <w:rsid w:val="00101301"/>
    <w:rsid w:val="0010350E"/>
    <w:rsid w:val="00105449"/>
    <w:rsid w:val="00106B18"/>
    <w:rsid w:val="00107719"/>
    <w:rsid w:val="00107D8F"/>
    <w:rsid w:val="0011018B"/>
    <w:rsid w:val="00113A00"/>
    <w:rsid w:val="001205F8"/>
    <w:rsid w:val="00125188"/>
    <w:rsid w:val="0013016C"/>
    <w:rsid w:val="00131094"/>
    <w:rsid w:val="001338F5"/>
    <w:rsid w:val="00134827"/>
    <w:rsid w:val="0014272D"/>
    <w:rsid w:val="001526A6"/>
    <w:rsid w:val="001540BC"/>
    <w:rsid w:val="00154474"/>
    <w:rsid w:val="00160BE0"/>
    <w:rsid w:val="00164198"/>
    <w:rsid w:val="001643A6"/>
    <w:rsid w:val="00165A93"/>
    <w:rsid w:val="00171E16"/>
    <w:rsid w:val="001727CF"/>
    <w:rsid w:val="00175448"/>
    <w:rsid w:val="00182767"/>
    <w:rsid w:val="001831D6"/>
    <w:rsid w:val="00185139"/>
    <w:rsid w:val="00186A43"/>
    <w:rsid w:val="00192140"/>
    <w:rsid w:val="00193667"/>
    <w:rsid w:val="001937E3"/>
    <w:rsid w:val="00196562"/>
    <w:rsid w:val="00197B9D"/>
    <w:rsid w:val="001A2EA3"/>
    <w:rsid w:val="001A409A"/>
    <w:rsid w:val="001A44FD"/>
    <w:rsid w:val="001A73B1"/>
    <w:rsid w:val="001A7C1D"/>
    <w:rsid w:val="001B4B49"/>
    <w:rsid w:val="001B4B67"/>
    <w:rsid w:val="001B671B"/>
    <w:rsid w:val="001C1796"/>
    <w:rsid w:val="001C3766"/>
    <w:rsid w:val="001C4995"/>
    <w:rsid w:val="001C54BF"/>
    <w:rsid w:val="001D1326"/>
    <w:rsid w:val="001D209E"/>
    <w:rsid w:val="001E1052"/>
    <w:rsid w:val="001E27F9"/>
    <w:rsid w:val="001F3805"/>
    <w:rsid w:val="0020061E"/>
    <w:rsid w:val="0020182C"/>
    <w:rsid w:val="00202032"/>
    <w:rsid w:val="00202667"/>
    <w:rsid w:val="00211312"/>
    <w:rsid w:val="00220F7E"/>
    <w:rsid w:val="00221656"/>
    <w:rsid w:val="0022195C"/>
    <w:rsid w:val="00222FC3"/>
    <w:rsid w:val="0022552D"/>
    <w:rsid w:val="00231B54"/>
    <w:rsid w:val="002343CB"/>
    <w:rsid w:val="002420A5"/>
    <w:rsid w:val="0024225E"/>
    <w:rsid w:val="002501DA"/>
    <w:rsid w:val="00250495"/>
    <w:rsid w:val="00250806"/>
    <w:rsid w:val="00251D2D"/>
    <w:rsid w:val="002554E2"/>
    <w:rsid w:val="00255DBB"/>
    <w:rsid w:val="0025716D"/>
    <w:rsid w:val="00257A99"/>
    <w:rsid w:val="00261B81"/>
    <w:rsid w:val="00263828"/>
    <w:rsid w:val="00271D48"/>
    <w:rsid w:val="002729B5"/>
    <w:rsid w:val="002760B6"/>
    <w:rsid w:val="00277253"/>
    <w:rsid w:val="0028615F"/>
    <w:rsid w:val="00286AD7"/>
    <w:rsid w:val="002875AD"/>
    <w:rsid w:val="00291D2E"/>
    <w:rsid w:val="002935DA"/>
    <w:rsid w:val="002938BC"/>
    <w:rsid w:val="00293FAA"/>
    <w:rsid w:val="00297613"/>
    <w:rsid w:val="00297771"/>
    <w:rsid w:val="002A1325"/>
    <w:rsid w:val="002A23A1"/>
    <w:rsid w:val="002A603B"/>
    <w:rsid w:val="002B07AA"/>
    <w:rsid w:val="002C2C45"/>
    <w:rsid w:val="002E1603"/>
    <w:rsid w:val="002E5302"/>
    <w:rsid w:val="002E624B"/>
    <w:rsid w:val="0031353D"/>
    <w:rsid w:val="00315479"/>
    <w:rsid w:val="00316A87"/>
    <w:rsid w:val="003202AF"/>
    <w:rsid w:val="003205C7"/>
    <w:rsid w:val="00320D9F"/>
    <w:rsid w:val="0032540A"/>
    <w:rsid w:val="00326CAF"/>
    <w:rsid w:val="00343555"/>
    <w:rsid w:val="003436F4"/>
    <w:rsid w:val="00361636"/>
    <w:rsid w:val="00362E7F"/>
    <w:rsid w:val="00373642"/>
    <w:rsid w:val="003764CE"/>
    <w:rsid w:val="0038158F"/>
    <w:rsid w:val="003825D7"/>
    <w:rsid w:val="00387D65"/>
    <w:rsid w:val="00394C7D"/>
    <w:rsid w:val="003A0652"/>
    <w:rsid w:val="003A357B"/>
    <w:rsid w:val="003A43F9"/>
    <w:rsid w:val="003A5159"/>
    <w:rsid w:val="003B3348"/>
    <w:rsid w:val="003B42C6"/>
    <w:rsid w:val="003B75E6"/>
    <w:rsid w:val="003B77DE"/>
    <w:rsid w:val="003C14F5"/>
    <w:rsid w:val="003C174E"/>
    <w:rsid w:val="003C1947"/>
    <w:rsid w:val="003C2FE0"/>
    <w:rsid w:val="003C52DB"/>
    <w:rsid w:val="003C5C7C"/>
    <w:rsid w:val="003D1D33"/>
    <w:rsid w:val="003D3F8D"/>
    <w:rsid w:val="003E3AAC"/>
    <w:rsid w:val="003E473E"/>
    <w:rsid w:val="003F539D"/>
    <w:rsid w:val="003F5672"/>
    <w:rsid w:val="003F5CD0"/>
    <w:rsid w:val="003F677C"/>
    <w:rsid w:val="00400145"/>
    <w:rsid w:val="00400598"/>
    <w:rsid w:val="00400A1C"/>
    <w:rsid w:val="00400E4C"/>
    <w:rsid w:val="004021E4"/>
    <w:rsid w:val="00402E73"/>
    <w:rsid w:val="00423A49"/>
    <w:rsid w:val="00425BCD"/>
    <w:rsid w:val="00427C5C"/>
    <w:rsid w:val="004354F8"/>
    <w:rsid w:val="00436D41"/>
    <w:rsid w:val="00436EC6"/>
    <w:rsid w:val="00437A99"/>
    <w:rsid w:val="00444444"/>
    <w:rsid w:val="0044638C"/>
    <w:rsid w:val="00450A86"/>
    <w:rsid w:val="004519A3"/>
    <w:rsid w:val="004539E6"/>
    <w:rsid w:val="0046280B"/>
    <w:rsid w:val="00463FB5"/>
    <w:rsid w:val="00472A4B"/>
    <w:rsid w:val="0047308F"/>
    <w:rsid w:val="00473793"/>
    <w:rsid w:val="00473D59"/>
    <w:rsid w:val="00481EB0"/>
    <w:rsid w:val="00492AC3"/>
    <w:rsid w:val="00494A43"/>
    <w:rsid w:val="004A15E9"/>
    <w:rsid w:val="004A1B29"/>
    <w:rsid w:val="004B22E7"/>
    <w:rsid w:val="004B32D4"/>
    <w:rsid w:val="004B40E7"/>
    <w:rsid w:val="004B5FD4"/>
    <w:rsid w:val="004B7B18"/>
    <w:rsid w:val="004D06F6"/>
    <w:rsid w:val="004D3921"/>
    <w:rsid w:val="004D68D0"/>
    <w:rsid w:val="004E125F"/>
    <w:rsid w:val="004E2633"/>
    <w:rsid w:val="004E36CD"/>
    <w:rsid w:val="004E60CE"/>
    <w:rsid w:val="004E651C"/>
    <w:rsid w:val="004E66DA"/>
    <w:rsid w:val="004E7375"/>
    <w:rsid w:val="004F472E"/>
    <w:rsid w:val="004F5D90"/>
    <w:rsid w:val="004F7329"/>
    <w:rsid w:val="0050391A"/>
    <w:rsid w:val="005133C5"/>
    <w:rsid w:val="0053139C"/>
    <w:rsid w:val="00534127"/>
    <w:rsid w:val="005346AC"/>
    <w:rsid w:val="005419D2"/>
    <w:rsid w:val="005451FF"/>
    <w:rsid w:val="00547016"/>
    <w:rsid w:val="00550189"/>
    <w:rsid w:val="005520E7"/>
    <w:rsid w:val="005522EB"/>
    <w:rsid w:val="005613B3"/>
    <w:rsid w:val="00561722"/>
    <w:rsid w:val="0056189D"/>
    <w:rsid w:val="0056219C"/>
    <w:rsid w:val="005662CA"/>
    <w:rsid w:val="00574CF2"/>
    <w:rsid w:val="00575E73"/>
    <w:rsid w:val="005860F8"/>
    <w:rsid w:val="00590177"/>
    <w:rsid w:val="00595EA7"/>
    <w:rsid w:val="005A45A4"/>
    <w:rsid w:val="005A6C82"/>
    <w:rsid w:val="005B0E27"/>
    <w:rsid w:val="005B2CA9"/>
    <w:rsid w:val="005B647D"/>
    <w:rsid w:val="005D039B"/>
    <w:rsid w:val="005D5196"/>
    <w:rsid w:val="005E497A"/>
    <w:rsid w:val="005E7285"/>
    <w:rsid w:val="005F1CD0"/>
    <w:rsid w:val="006018E0"/>
    <w:rsid w:val="00603420"/>
    <w:rsid w:val="00605C79"/>
    <w:rsid w:val="00606C7C"/>
    <w:rsid w:val="00607D75"/>
    <w:rsid w:val="00613118"/>
    <w:rsid w:val="00616F65"/>
    <w:rsid w:val="006173B2"/>
    <w:rsid w:val="0063027A"/>
    <w:rsid w:val="0063042D"/>
    <w:rsid w:val="00631352"/>
    <w:rsid w:val="006436A2"/>
    <w:rsid w:val="0064521B"/>
    <w:rsid w:val="00646134"/>
    <w:rsid w:val="0065016E"/>
    <w:rsid w:val="0065060A"/>
    <w:rsid w:val="006546C1"/>
    <w:rsid w:val="006559AA"/>
    <w:rsid w:val="00655BD3"/>
    <w:rsid w:val="00660B2F"/>
    <w:rsid w:val="00660DE4"/>
    <w:rsid w:val="00662B20"/>
    <w:rsid w:val="00665408"/>
    <w:rsid w:val="006750E2"/>
    <w:rsid w:val="0067730A"/>
    <w:rsid w:val="00681C63"/>
    <w:rsid w:val="00686408"/>
    <w:rsid w:val="006912CD"/>
    <w:rsid w:val="00691DBF"/>
    <w:rsid w:val="0069395B"/>
    <w:rsid w:val="0069398A"/>
    <w:rsid w:val="006967B4"/>
    <w:rsid w:val="00697F15"/>
    <w:rsid w:val="006A38FC"/>
    <w:rsid w:val="006A5056"/>
    <w:rsid w:val="006B12FD"/>
    <w:rsid w:val="006B251C"/>
    <w:rsid w:val="006B3350"/>
    <w:rsid w:val="006C1860"/>
    <w:rsid w:val="006C3480"/>
    <w:rsid w:val="006D1A93"/>
    <w:rsid w:val="006D5779"/>
    <w:rsid w:val="006D6252"/>
    <w:rsid w:val="006E0A84"/>
    <w:rsid w:val="006E57D4"/>
    <w:rsid w:val="006E7498"/>
    <w:rsid w:val="006E777F"/>
    <w:rsid w:val="006F19B8"/>
    <w:rsid w:val="006F4A79"/>
    <w:rsid w:val="006F57BE"/>
    <w:rsid w:val="006F714B"/>
    <w:rsid w:val="00701993"/>
    <w:rsid w:val="00701D0B"/>
    <w:rsid w:val="0070211E"/>
    <w:rsid w:val="00704669"/>
    <w:rsid w:val="00706781"/>
    <w:rsid w:val="007115A6"/>
    <w:rsid w:val="00713459"/>
    <w:rsid w:val="007149FB"/>
    <w:rsid w:val="007161C5"/>
    <w:rsid w:val="00720C95"/>
    <w:rsid w:val="00724AE8"/>
    <w:rsid w:val="007262B9"/>
    <w:rsid w:val="0073135D"/>
    <w:rsid w:val="0073225D"/>
    <w:rsid w:val="00733A3E"/>
    <w:rsid w:val="0073436D"/>
    <w:rsid w:val="00735537"/>
    <w:rsid w:val="00740F64"/>
    <w:rsid w:val="00741ABD"/>
    <w:rsid w:val="00742832"/>
    <w:rsid w:val="007447E4"/>
    <w:rsid w:val="00750AE0"/>
    <w:rsid w:val="00752FB5"/>
    <w:rsid w:val="00753FC9"/>
    <w:rsid w:val="00754F2D"/>
    <w:rsid w:val="00757325"/>
    <w:rsid w:val="0076212B"/>
    <w:rsid w:val="00764CD6"/>
    <w:rsid w:val="00764DA3"/>
    <w:rsid w:val="00771262"/>
    <w:rsid w:val="0077177A"/>
    <w:rsid w:val="0077223E"/>
    <w:rsid w:val="00775440"/>
    <w:rsid w:val="00776EE9"/>
    <w:rsid w:val="007831F3"/>
    <w:rsid w:val="00783BBB"/>
    <w:rsid w:val="00783FE5"/>
    <w:rsid w:val="007863D6"/>
    <w:rsid w:val="00793314"/>
    <w:rsid w:val="007939B7"/>
    <w:rsid w:val="007A167C"/>
    <w:rsid w:val="007A24D2"/>
    <w:rsid w:val="007A2F95"/>
    <w:rsid w:val="007A4723"/>
    <w:rsid w:val="007A52BA"/>
    <w:rsid w:val="007A5C91"/>
    <w:rsid w:val="007A7F64"/>
    <w:rsid w:val="007B0F28"/>
    <w:rsid w:val="007C0AED"/>
    <w:rsid w:val="007C54BC"/>
    <w:rsid w:val="007C5AF0"/>
    <w:rsid w:val="007C6BA3"/>
    <w:rsid w:val="007D48A3"/>
    <w:rsid w:val="007D4D27"/>
    <w:rsid w:val="007D4F8F"/>
    <w:rsid w:val="007D6552"/>
    <w:rsid w:val="007E245F"/>
    <w:rsid w:val="007E3767"/>
    <w:rsid w:val="007E46F6"/>
    <w:rsid w:val="007F095B"/>
    <w:rsid w:val="007F1F13"/>
    <w:rsid w:val="007F2DCC"/>
    <w:rsid w:val="007F4863"/>
    <w:rsid w:val="007F48CC"/>
    <w:rsid w:val="007F5AD9"/>
    <w:rsid w:val="007F6419"/>
    <w:rsid w:val="00800974"/>
    <w:rsid w:val="0080269C"/>
    <w:rsid w:val="00803F4D"/>
    <w:rsid w:val="008107B2"/>
    <w:rsid w:val="00810FBA"/>
    <w:rsid w:val="0081317F"/>
    <w:rsid w:val="0082035D"/>
    <w:rsid w:val="008259B6"/>
    <w:rsid w:val="00825A6E"/>
    <w:rsid w:val="00830DDE"/>
    <w:rsid w:val="00831EB3"/>
    <w:rsid w:val="00832339"/>
    <w:rsid w:val="00832446"/>
    <w:rsid w:val="00845C68"/>
    <w:rsid w:val="00847BE9"/>
    <w:rsid w:val="00847E57"/>
    <w:rsid w:val="00850280"/>
    <w:rsid w:val="00854BB4"/>
    <w:rsid w:val="0085569D"/>
    <w:rsid w:val="0085596A"/>
    <w:rsid w:val="00861909"/>
    <w:rsid w:val="00861918"/>
    <w:rsid w:val="00861CED"/>
    <w:rsid w:val="00862806"/>
    <w:rsid w:val="00862F48"/>
    <w:rsid w:val="00866E3E"/>
    <w:rsid w:val="00867DB5"/>
    <w:rsid w:val="00873B9E"/>
    <w:rsid w:val="00877E05"/>
    <w:rsid w:val="00880FCB"/>
    <w:rsid w:val="008822CB"/>
    <w:rsid w:val="00883429"/>
    <w:rsid w:val="00885826"/>
    <w:rsid w:val="00887375"/>
    <w:rsid w:val="0089437A"/>
    <w:rsid w:val="00896D14"/>
    <w:rsid w:val="008A63EA"/>
    <w:rsid w:val="008B222F"/>
    <w:rsid w:val="008C2D93"/>
    <w:rsid w:val="008C3FA1"/>
    <w:rsid w:val="008C7722"/>
    <w:rsid w:val="008D5526"/>
    <w:rsid w:val="008D56D9"/>
    <w:rsid w:val="008E51BE"/>
    <w:rsid w:val="008E6274"/>
    <w:rsid w:val="008F0A5E"/>
    <w:rsid w:val="008F0D28"/>
    <w:rsid w:val="008F1FBD"/>
    <w:rsid w:val="008F258D"/>
    <w:rsid w:val="008F27EF"/>
    <w:rsid w:val="008F4A98"/>
    <w:rsid w:val="008F59CD"/>
    <w:rsid w:val="008F6DB5"/>
    <w:rsid w:val="008F7233"/>
    <w:rsid w:val="00910072"/>
    <w:rsid w:val="0091149F"/>
    <w:rsid w:val="00911CD6"/>
    <w:rsid w:val="00914802"/>
    <w:rsid w:val="009218DC"/>
    <w:rsid w:val="00922B7D"/>
    <w:rsid w:val="00925249"/>
    <w:rsid w:val="00930116"/>
    <w:rsid w:val="00931BA7"/>
    <w:rsid w:val="009338A1"/>
    <w:rsid w:val="009377B9"/>
    <w:rsid w:val="00941C38"/>
    <w:rsid w:val="00945850"/>
    <w:rsid w:val="00950F44"/>
    <w:rsid w:val="00956253"/>
    <w:rsid w:val="00961C71"/>
    <w:rsid w:val="00965F35"/>
    <w:rsid w:val="00970D8F"/>
    <w:rsid w:val="00971641"/>
    <w:rsid w:val="00971934"/>
    <w:rsid w:val="00973D59"/>
    <w:rsid w:val="009755FE"/>
    <w:rsid w:val="009836F9"/>
    <w:rsid w:val="0098474F"/>
    <w:rsid w:val="00985F7E"/>
    <w:rsid w:val="009913C2"/>
    <w:rsid w:val="00991B9A"/>
    <w:rsid w:val="00992C3A"/>
    <w:rsid w:val="00993590"/>
    <w:rsid w:val="009940C1"/>
    <w:rsid w:val="0099693A"/>
    <w:rsid w:val="00997B20"/>
    <w:rsid w:val="009A4AD5"/>
    <w:rsid w:val="009A76C0"/>
    <w:rsid w:val="009B1B9C"/>
    <w:rsid w:val="009B6261"/>
    <w:rsid w:val="009C1BC6"/>
    <w:rsid w:val="009C2222"/>
    <w:rsid w:val="009C7CB0"/>
    <w:rsid w:val="009D53D1"/>
    <w:rsid w:val="009D5B51"/>
    <w:rsid w:val="009E1701"/>
    <w:rsid w:val="009E74B5"/>
    <w:rsid w:val="009F0797"/>
    <w:rsid w:val="009F36D9"/>
    <w:rsid w:val="009F51A7"/>
    <w:rsid w:val="009F5E35"/>
    <w:rsid w:val="00A0154F"/>
    <w:rsid w:val="00A13CEA"/>
    <w:rsid w:val="00A15F24"/>
    <w:rsid w:val="00A2223C"/>
    <w:rsid w:val="00A2473C"/>
    <w:rsid w:val="00A34836"/>
    <w:rsid w:val="00A34BC6"/>
    <w:rsid w:val="00A410F9"/>
    <w:rsid w:val="00A433FC"/>
    <w:rsid w:val="00A43C52"/>
    <w:rsid w:val="00A45131"/>
    <w:rsid w:val="00A52DE0"/>
    <w:rsid w:val="00A5786C"/>
    <w:rsid w:val="00A629EF"/>
    <w:rsid w:val="00A635CF"/>
    <w:rsid w:val="00A6453F"/>
    <w:rsid w:val="00A645DE"/>
    <w:rsid w:val="00A654D6"/>
    <w:rsid w:val="00A659B6"/>
    <w:rsid w:val="00A7039F"/>
    <w:rsid w:val="00A72919"/>
    <w:rsid w:val="00A73500"/>
    <w:rsid w:val="00A85C01"/>
    <w:rsid w:val="00A86236"/>
    <w:rsid w:val="00A8746F"/>
    <w:rsid w:val="00A95339"/>
    <w:rsid w:val="00A96DF1"/>
    <w:rsid w:val="00AA2BA3"/>
    <w:rsid w:val="00AA2CA0"/>
    <w:rsid w:val="00AA3196"/>
    <w:rsid w:val="00AA7894"/>
    <w:rsid w:val="00AB02F8"/>
    <w:rsid w:val="00AC0372"/>
    <w:rsid w:val="00AC1CC8"/>
    <w:rsid w:val="00AC50EF"/>
    <w:rsid w:val="00AD01E0"/>
    <w:rsid w:val="00AD32A9"/>
    <w:rsid w:val="00AD483E"/>
    <w:rsid w:val="00AD5374"/>
    <w:rsid w:val="00AD601A"/>
    <w:rsid w:val="00AD774C"/>
    <w:rsid w:val="00AE2A50"/>
    <w:rsid w:val="00AE3F05"/>
    <w:rsid w:val="00AE7AC8"/>
    <w:rsid w:val="00AF0FAE"/>
    <w:rsid w:val="00AF3B23"/>
    <w:rsid w:val="00AF7D9B"/>
    <w:rsid w:val="00B013F8"/>
    <w:rsid w:val="00B01E0D"/>
    <w:rsid w:val="00B01E45"/>
    <w:rsid w:val="00B03496"/>
    <w:rsid w:val="00B055DB"/>
    <w:rsid w:val="00B07E40"/>
    <w:rsid w:val="00B11214"/>
    <w:rsid w:val="00B12E08"/>
    <w:rsid w:val="00B14CFB"/>
    <w:rsid w:val="00B21145"/>
    <w:rsid w:val="00B24C34"/>
    <w:rsid w:val="00B25292"/>
    <w:rsid w:val="00B25FE0"/>
    <w:rsid w:val="00B265E7"/>
    <w:rsid w:val="00B27B6C"/>
    <w:rsid w:val="00B31684"/>
    <w:rsid w:val="00B5342F"/>
    <w:rsid w:val="00B63CC1"/>
    <w:rsid w:val="00B64484"/>
    <w:rsid w:val="00B644AF"/>
    <w:rsid w:val="00B80F28"/>
    <w:rsid w:val="00B81B81"/>
    <w:rsid w:val="00B8468E"/>
    <w:rsid w:val="00B84C2D"/>
    <w:rsid w:val="00B90AA6"/>
    <w:rsid w:val="00BA1CDC"/>
    <w:rsid w:val="00BA3142"/>
    <w:rsid w:val="00BB022D"/>
    <w:rsid w:val="00BB5741"/>
    <w:rsid w:val="00BB6228"/>
    <w:rsid w:val="00BB7C59"/>
    <w:rsid w:val="00BC0222"/>
    <w:rsid w:val="00BC15BC"/>
    <w:rsid w:val="00BC508D"/>
    <w:rsid w:val="00BD1AAD"/>
    <w:rsid w:val="00BD2503"/>
    <w:rsid w:val="00BD4A8A"/>
    <w:rsid w:val="00BD56D5"/>
    <w:rsid w:val="00BD6336"/>
    <w:rsid w:val="00BE0184"/>
    <w:rsid w:val="00BE2305"/>
    <w:rsid w:val="00BE251A"/>
    <w:rsid w:val="00BE5A9F"/>
    <w:rsid w:val="00BE6C00"/>
    <w:rsid w:val="00BF0E43"/>
    <w:rsid w:val="00BF6577"/>
    <w:rsid w:val="00BF6652"/>
    <w:rsid w:val="00C04FC6"/>
    <w:rsid w:val="00C060EF"/>
    <w:rsid w:val="00C06BAF"/>
    <w:rsid w:val="00C11194"/>
    <w:rsid w:val="00C12834"/>
    <w:rsid w:val="00C12CB1"/>
    <w:rsid w:val="00C12E62"/>
    <w:rsid w:val="00C15031"/>
    <w:rsid w:val="00C15A77"/>
    <w:rsid w:val="00C16DF8"/>
    <w:rsid w:val="00C17FB2"/>
    <w:rsid w:val="00C207C7"/>
    <w:rsid w:val="00C21EA2"/>
    <w:rsid w:val="00C27017"/>
    <w:rsid w:val="00C30B58"/>
    <w:rsid w:val="00C30DA8"/>
    <w:rsid w:val="00C32861"/>
    <w:rsid w:val="00C34E9E"/>
    <w:rsid w:val="00C34F74"/>
    <w:rsid w:val="00C37179"/>
    <w:rsid w:val="00C37E04"/>
    <w:rsid w:val="00C457CC"/>
    <w:rsid w:val="00C466A5"/>
    <w:rsid w:val="00C51F4B"/>
    <w:rsid w:val="00C52DE0"/>
    <w:rsid w:val="00C55B4F"/>
    <w:rsid w:val="00C56853"/>
    <w:rsid w:val="00C5696D"/>
    <w:rsid w:val="00C56A66"/>
    <w:rsid w:val="00C606BB"/>
    <w:rsid w:val="00C6481B"/>
    <w:rsid w:val="00C703CA"/>
    <w:rsid w:val="00C73996"/>
    <w:rsid w:val="00C74435"/>
    <w:rsid w:val="00C750BB"/>
    <w:rsid w:val="00C75ABA"/>
    <w:rsid w:val="00C814A2"/>
    <w:rsid w:val="00C82BCE"/>
    <w:rsid w:val="00C85CE8"/>
    <w:rsid w:val="00C86A7E"/>
    <w:rsid w:val="00C87B51"/>
    <w:rsid w:val="00C90F08"/>
    <w:rsid w:val="00C9143A"/>
    <w:rsid w:val="00C973A9"/>
    <w:rsid w:val="00CA16BB"/>
    <w:rsid w:val="00CA2ACD"/>
    <w:rsid w:val="00CA6B9E"/>
    <w:rsid w:val="00CB3838"/>
    <w:rsid w:val="00CB59DF"/>
    <w:rsid w:val="00CD0F4D"/>
    <w:rsid w:val="00CD1DB5"/>
    <w:rsid w:val="00CD2A5C"/>
    <w:rsid w:val="00CD3079"/>
    <w:rsid w:val="00CD6234"/>
    <w:rsid w:val="00CE040A"/>
    <w:rsid w:val="00CE5C1E"/>
    <w:rsid w:val="00CE5F5A"/>
    <w:rsid w:val="00CE79C4"/>
    <w:rsid w:val="00CE7C4D"/>
    <w:rsid w:val="00CF1AB7"/>
    <w:rsid w:val="00CF3403"/>
    <w:rsid w:val="00CF5CCF"/>
    <w:rsid w:val="00CF5E93"/>
    <w:rsid w:val="00D009EB"/>
    <w:rsid w:val="00D0541D"/>
    <w:rsid w:val="00D05483"/>
    <w:rsid w:val="00D05721"/>
    <w:rsid w:val="00D11782"/>
    <w:rsid w:val="00D12ED7"/>
    <w:rsid w:val="00D148FF"/>
    <w:rsid w:val="00D16B94"/>
    <w:rsid w:val="00D200D9"/>
    <w:rsid w:val="00D206F9"/>
    <w:rsid w:val="00D3186B"/>
    <w:rsid w:val="00D318BE"/>
    <w:rsid w:val="00D34977"/>
    <w:rsid w:val="00D358AE"/>
    <w:rsid w:val="00D37F3D"/>
    <w:rsid w:val="00D4059B"/>
    <w:rsid w:val="00D45FFE"/>
    <w:rsid w:val="00D53E07"/>
    <w:rsid w:val="00D54399"/>
    <w:rsid w:val="00D54906"/>
    <w:rsid w:val="00D5797B"/>
    <w:rsid w:val="00D6010D"/>
    <w:rsid w:val="00D6128A"/>
    <w:rsid w:val="00D63D96"/>
    <w:rsid w:val="00D64DEB"/>
    <w:rsid w:val="00D65946"/>
    <w:rsid w:val="00D675BB"/>
    <w:rsid w:val="00D71878"/>
    <w:rsid w:val="00D72065"/>
    <w:rsid w:val="00D7285D"/>
    <w:rsid w:val="00D7299D"/>
    <w:rsid w:val="00D749A1"/>
    <w:rsid w:val="00D80393"/>
    <w:rsid w:val="00D8288F"/>
    <w:rsid w:val="00D83CD5"/>
    <w:rsid w:val="00D921CB"/>
    <w:rsid w:val="00D94F42"/>
    <w:rsid w:val="00D954BE"/>
    <w:rsid w:val="00D95888"/>
    <w:rsid w:val="00D95DDA"/>
    <w:rsid w:val="00DA0AC3"/>
    <w:rsid w:val="00DA5E9D"/>
    <w:rsid w:val="00DC25E8"/>
    <w:rsid w:val="00DD2FEA"/>
    <w:rsid w:val="00DD4A0B"/>
    <w:rsid w:val="00DE015E"/>
    <w:rsid w:val="00DE43E3"/>
    <w:rsid w:val="00DE44B7"/>
    <w:rsid w:val="00DE7B01"/>
    <w:rsid w:val="00DF087C"/>
    <w:rsid w:val="00DF24AE"/>
    <w:rsid w:val="00DF761E"/>
    <w:rsid w:val="00E02C8E"/>
    <w:rsid w:val="00E073E3"/>
    <w:rsid w:val="00E07F89"/>
    <w:rsid w:val="00E131B7"/>
    <w:rsid w:val="00E149B5"/>
    <w:rsid w:val="00E159F4"/>
    <w:rsid w:val="00E237ED"/>
    <w:rsid w:val="00E2401C"/>
    <w:rsid w:val="00E257D3"/>
    <w:rsid w:val="00E260D7"/>
    <w:rsid w:val="00E27174"/>
    <w:rsid w:val="00E277F8"/>
    <w:rsid w:val="00E27BDC"/>
    <w:rsid w:val="00E31AA7"/>
    <w:rsid w:val="00E32BB2"/>
    <w:rsid w:val="00E32EF5"/>
    <w:rsid w:val="00E43340"/>
    <w:rsid w:val="00E47423"/>
    <w:rsid w:val="00E507D2"/>
    <w:rsid w:val="00E54AD0"/>
    <w:rsid w:val="00E57068"/>
    <w:rsid w:val="00E627C1"/>
    <w:rsid w:val="00E806B6"/>
    <w:rsid w:val="00E82096"/>
    <w:rsid w:val="00E87FFA"/>
    <w:rsid w:val="00E934F4"/>
    <w:rsid w:val="00EA01A7"/>
    <w:rsid w:val="00EA3FED"/>
    <w:rsid w:val="00EA502F"/>
    <w:rsid w:val="00EB3964"/>
    <w:rsid w:val="00ED0EC0"/>
    <w:rsid w:val="00ED2498"/>
    <w:rsid w:val="00ED3A6B"/>
    <w:rsid w:val="00ED3B1A"/>
    <w:rsid w:val="00ED49E6"/>
    <w:rsid w:val="00ED613B"/>
    <w:rsid w:val="00ED6232"/>
    <w:rsid w:val="00ED7BDE"/>
    <w:rsid w:val="00EE1068"/>
    <w:rsid w:val="00EE31CF"/>
    <w:rsid w:val="00EE4D56"/>
    <w:rsid w:val="00EE52AD"/>
    <w:rsid w:val="00EF21FF"/>
    <w:rsid w:val="00EF3B23"/>
    <w:rsid w:val="00EF43A6"/>
    <w:rsid w:val="00EF7415"/>
    <w:rsid w:val="00EF7A80"/>
    <w:rsid w:val="00F00158"/>
    <w:rsid w:val="00F023E4"/>
    <w:rsid w:val="00F0407E"/>
    <w:rsid w:val="00F102A4"/>
    <w:rsid w:val="00F12582"/>
    <w:rsid w:val="00F14D7C"/>
    <w:rsid w:val="00F155F6"/>
    <w:rsid w:val="00F20ED5"/>
    <w:rsid w:val="00F21450"/>
    <w:rsid w:val="00F21687"/>
    <w:rsid w:val="00F23878"/>
    <w:rsid w:val="00F23E07"/>
    <w:rsid w:val="00F241AC"/>
    <w:rsid w:val="00F25F19"/>
    <w:rsid w:val="00F2703B"/>
    <w:rsid w:val="00F278CB"/>
    <w:rsid w:val="00F33BD9"/>
    <w:rsid w:val="00F40434"/>
    <w:rsid w:val="00F41304"/>
    <w:rsid w:val="00F42835"/>
    <w:rsid w:val="00F43057"/>
    <w:rsid w:val="00F4384D"/>
    <w:rsid w:val="00F510A7"/>
    <w:rsid w:val="00F56F6D"/>
    <w:rsid w:val="00F65572"/>
    <w:rsid w:val="00F73015"/>
    <w:rsid w:val="00F75024"/>
    <w:rsid w:val="00F7549A"/>
    <w:rsid w:val="00F77155"/>
    <w:rsid w:val="00F81097"/>
    <w:rsid w:val="00F82520"/>
    <w:rsid w:val="00F85A17"/>
    <w:rsid w:val="00F85B1A"/>
    <w:rsid w:val="00F91376"/>
    <w:rsid w:val="00F92C2E"/>
    <w:rsid w:val="00F93F25"/>
    <w:rsid w:val="00F95E2A"/>
    <w:rsid w:val="00FA556E"/>
    <w:rsid w:val="00FA6253"/>
    <w:rsid w:val="00FA62CD"/>
    <w:rsid w:val="00FA67DD"/>
    <w:rsid w:val="00FB2373"/>
    <w:rsid w:val="00FB5214"/>
    <w:rsid w:val="00FB56C1"/>
    <w:rsid w:val="00FB7788"/>
    <w:rsid w:val="00FC38D9"/>
    <w:rsid w:val="00FC4B7B"/>
    <w:rsid w:val="00FC520C"/>
    <w:rsid w:val="00FC6E90"/>
    <w:rsid w:val="00FC715E"/>
    <w:rsid w:val="00FD487C"/>
    <w:rsid w:val="00FD6D94"/>
    <w:rsid w:val="00FE6B47"/>
    <w:rsid w:val="00FF03A0"/>
    <w:rsid w:val="00FF05CC"/>
    <w:rsid w:val="00FF2DED"/>
    <w:rsid w:val="00FF39E2"/>
    <w:rsid w:val="014A7860"/>
    <w:rsid w:val="04427964"/>
    <w:rsid w:val="044D719A"/>
    <w:rsid w:val="0736EEB7"/>
    <w:rsid w:val="098D3CDB"/>
    <w:rsid w:val="09A2EDE0"/>
    <w:rsid w:val="0A4CBD6C"/>
    <w:rsid w:val="0B110C34"/>
    <w:rsid w:val="0B9A7535"/>
    <w:rsid w:val="0ED99550"/>
    <w:rsid w:val="11C92258"/>
    <w:rsid w:val="14377E23"/>
    <w:rsid w:val="149A7872"/>
    <w:rsid w:val="14B9EEC9"/>
    <w:rsid w:val="14E1E2F4"/>
    <w:rsid w:val="170AFEB9"/>
    <w:rsid w:val="18D64501"/>
    <w:rsid w:val="1AA6A5AA"/>
    <w:rsid w:val="1B0850FD"/>
    <w:rsid w:val="1B08F3B1"/>
    <w:rsid w:val="1CABA189"/>
    <w:rsid w:val="1D9AF0CF"/>
    <w:rsid w:val="1E4CD291"/>
    <w:rsid w:val="1F25BB95"/>
    <w:rsid w:val="1FFF9447"/>
    <w:rsid w:val="202C901F"/>
    <w:rsid w:val="2087651E"/>
    <w:rsid w:val="20BBA650"/>
    <w:rsid w:val="252A9FB3"/>
    <w:rsid w:val="25863878"/>
    <w:rsid w:val="296D1906"/>
    <w:rsid w:val="2977ECB2"/>
    <w:rsid w:val="2C4FB209"/>
    <w:rsid w:val="2CB30381"/>
    <w:rsid w:val="2DBDD766"/>
    <w:rsid w:val="2DEDA285"/>
    <w:rsid w:val="2EFB62A0"/>
    <w:rsid w:val="2F40A82C"/>
    <w:rsid w:val="30070006"/>
    <w:rsid w:val="30FEEE01"/>
    <w:rsid w:val="3180165F"/>
    <w:rsid w:val="32954006"/>
    <w:rsid w:val="32A731B2"/>
    <w:rsid w:val="3351FE8B"/>
    <w:rsid w:val="346A7A92"/>
    <w:rsid w:val="3487A30A"/>
    <w:rsid w:val="39B13DAD"/>
    <w:rsid w:val="3B8288D4"/>
    <w:rsid w:val="3D5B81A8"/>
    <w:rsid w:val="426A0903"/>
    <w:rsid w:val="4307BE46"/>
    <w:rsid w:val="439B5BB9"/>
    <w:rsid w:val="448DD400"/>
    <w:rsid w:val="454B878E"/>
    <w:rsid w:val="45DDBCE5"/>
    <w:rsid w:val="468A3D56"/>
    <w:rsid w:val="48D5552D"/>
    <w:rsid w:val="4A0E1984"/>
    <w:rsid w:val="4A8619FC"/>
    <w:rsid w:val="4B41A6E8"/>
    <w:rsid w:val="4B7303FB"/>
    <w:rsid w:val="4C793F4F"/>
    <w:rsid w:val="4D8AEB4E"/>
    <w:rsid w:val="4E3D6FFD"/>
    <w:rsid w:val="503F4DE0"/>
    <w:rsid w:val="53205A1E"/>
    <w:rsid w:val="5414AC93"/>
    <w:rsid w:val="542034BA"/>
    <w:rsid w:val="55D433ED"/>
    <w:rsid w:val="564FEBF3"/>
    <w:rsid w:val="58428598"/>
    <w:rsid w:val="5961D844"/>
    <w:rsid w:val="5A33F1D5"/>
    <w:rsid w:val="5A467981"/>
    <w:rsid w:val="5B109A97"/>
    <w:rsid w:val="5EBF49CE"/>
    <w:rsid w:val="60112C6E"/>
    <w:rsid w:val="6665574C"/>
    <w:rsid w:val="6A303BE3"/>
    <w:rsid w:val="6C2C53E8"/>
    <w:rsid w:val="6F3218F3"/>
    <w:rsid w:val="70713208"/>
    <w:rsid w:val="71179AFB"/>
    <w:rsid w:val="71708FFC"/>
    <w:rsid w:val="72F0C4B7"/>
    <w:rsid w:val="73E36174"/>
    <w:rsid w:val="749A7BA7"/>
    <w:rsid w:val="7C19EAF9"/>
    <w:rsid w:val="7C8E0307"/>
    <w:rsid w:val="7D4827AA"/>
    <w:rsid w:val="7DB6D096"/>
    <w:rsid w:val="7F24FEC8"/>
    <w:rsid w:val="7FCB4B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6CAC"/>
  <w15:chartTrackingRefBased/>
  <w15:docId w15:val="{4867D1E4-B2B8-7846-B9DB-E4794EC0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22"/>
    <w:pPr>
      <w:spacing w:line="274" w:lineRule="auto"/>
    </w:pPr>
    <w:rPr>
      <w:rFonts w:ascii="Arial" w:hAnsi="Arial"/>
      <w:bCs/>
      <w:szCs w:val="44"/>
    </w:rPr>
  </w:style>
  <w:style w:type="paragraph" w:styleId="Heading1">
    <w:name w:val="heading 1"/>
    <w:basedOn w:val="Normal"/>
    <w:next w:val="Normal"/>
    <w:link w:val="Heading1Char"/>
    <w:uiPriority w:val="9"/>
    <w:qFormat/>
    <w:rsid w:val="009913C2"/>
    <w:pPr>
      <w:keepNext/>
      <w:keepLines/>
      <w:numPr>
        <w:numId w:val="1"/>
      </w:numPr>
      <w:spacing w:before="360" w:after="360"/>
      <w:ind w:left="709"/>
      <w:outlineLvl w:val="0"/>
    </w:pPr>
    <w:rPr>
      <w:rFonts w:eastAsia="Times New Roman" w:cstheme="majorBidi"/>
      <w:color w:val="6B3B57"/>
      <w:sz w:val="52"/>
      <w:szCs w:val="40"/>
      <w:lang w:eastAsia="en-AU"/>
    </w:rPr>
  </w:style>
  <w:style w:type="paragraph" w:styleId="Heading2">
    <w:name w:val="heading 2"/>
    <w:basedOn w:val="Normal"/>
    <w:next w:val="Normal"/>
    <w:link w:val="Heading2Char"/>
    <w:uiPriority w:val="9"/>
    <w:unhideWhenUsed/>
    <w:qFormat/>
    <w:rsid w:val="009913C2"/>
    <w:pPr>
      <w:keepNext/>
      <w:keepLines/>
      <w:numPr>
        <w:ilvl w:val="1"/>
        <w:numId w:val="1"/>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9913C2"/>
    <w:pPr>
      <w:keepNext/>
      <w:keepLines/>
      <w:numPr>
        <w:ilvl w:val="2"/>
        <w:numId w:val="1"/>
      </w:numPr>
      <w:spacing w:before="240" w:after="240"/>
      <w:outlineLvl w:val="2"/>
    </w:pPr>
    <w:rPr>
      <w:rFonts w:eastAsiaTheme="majorEastAsia" w:cstheme="majorBidi"/>
      <w:bCs w:val="0"/>
      <w:sz w:val="28"/>
      <w:szCs w:val="28"/>
    </w:rPr>
  </w:style>
  <w:style w:type="paragraph" w:styleId="Heading4">
    <w:name w:val="heading 4"/>
    <w:basedOn w:val="Normal"/>
    <w:next w:val="Normal"/>
    <w:link w:val="Heading4Char"/>
    <w:uiPriority w:val="9"/>
    <w:unhideWhenUsed/>
    <w:qFormat/>
    <w:rsid w:val="008C7722"/>
    <w:pPr>
      <w:keepNext/>
      <w:keepLines/>
      <w:numPr>
        <w:ilvl w:val="3"/>
        <w:numId w:val="1"/>
      </w:numPr>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C7722"/>
    <w:pPr>
      <w:keepNext/>
      <w:keepLines/>
      <w:numPr>
        <w:ilvl w:val="4"/>
        <w:numId w:val="1"/>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1"/>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1"/>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1"/>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1"/>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3C2"/>
    <w:rPr>
      <w:rFonts w:ascii="Arial" w:eastAsia="Times New Roman" w:hAnsi="Arial" w:cstheme="majorBidi"/>
      <w:bCs/>
      <w:color w:val="6B3B57"/>
      <w:sz w:val="52"/>
      <w:szCs w:val="40"/>
      <w:lang w:eastAsia="en-AU"/>
    </w:rPr>
  </w:style>
  <w:style w:type="character" w:customStyle="1" w:styleId="Heading2Char">
    <w:name w:val="Heading 2 Char"/>
    <w:basedOn w:val="DefaultParagraphFont"/>
    <w:link w:val="Heading2"/>
    <w:uiPriority w:val="9"/>
    <w:rsid w:val="009913C2"/>
    <w:rPr>
      <w:rFonts w:ascii="Arial" w:eastAsiaTheme="majorEastAsia" w:hAnsi="Arial" w:cstheme="majorBidi"/>
      <w:bCs/>
      <w:color w:val="6B3B57"/>
      <w:sz w:val="40"/>
      <w:szCs w:val="40"/>
      <w:lang w:eastAsia="en-AU"/>
    </w:rPr>
  </w:style>
  <w:style w:type="character" w:customStyle="1" w:styleId="Heading3Char">
    <w:name w:val="Heading 3 Char"/>
    <w:basedOn w:val="DefaultParagraphFont"/>
    <w:link w:val="Heading3"/>
    <w:uiPriority w:val="9"/>
    <w:rsid w:val="009913C2"/>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semiHidden/>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numPr>
        <w:numId w:val="2"/>
      </w:num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7863D6"/>
    <w:rPr>
      <w:color w:val="236F6B"/>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3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iragino Kaku Gothic StdN W8" w:hAnsi="Hiragino Kaku Gothic StdN W8"/>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val="0"/>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table" w:styleId="PlainTable3">
    <w:name w:val="Plain Table 3"/>
    <w:basedOn w:val="TableNormal"/>
    <w:uiPriority w:val="43"/>
    <w:rsid w:val="002935DA"/>
    <w:pPr>
      <w:spacing w:after="0" w:line="240" w:lineRule="auto"/>
    </w:pPr>
    <w:tblPr>
      <w:tblStyleRowBandSize w:val="1"/>
      <w:tblStyleColBandSize w:val="1"/>
    </w:tblPr>
    <w:tblStylePr w:type="firstRow">
      <w:rPr>
        <w:b/>
        <w:bCs/>
        <w:caps/>
      </w:rPr>
      <w:tblPr/>
      <w:tcPr>
        <w:tcBorders>
          <w:bottom w:val="single" w:sz="4" w:space="0" w:color="B471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4718C" w:themeColor="text1" w:themeTint="80"/>
        </w:tcBorders>
      </w:tcPr>
    </w:tblStylePr>
    <w:tblStylePr w:type="lastCol">
      <w:rPr>
        <w:b/>
        <w:bCs/>
        <w:caps/>
      </w:rPr>
      <w:tblPr/>
      <w:tcPr>
        <w:tcBorders>
          <w:left w:val="nil"/>
        </w:tcBorders>
      </w:tcPr>
    </w:tblStylePr>
    <w:tblStylePr w:type="band1Vert">
      <w:tblPr/>
      <w:tcPr>
        <w:shd w:val="clear" w:color="auto" w:fill="E4DCD1" w:themeFill="background1" w:themeFillShade="F2"/>
      </w:tcPr>
    </w:tblStylePr>
    <w:tblStylePr w:type="band1Horz">
      <w:tblPr/>
      <w:tcPr>
        <w:shd w:val="clear" w:color="auto" w:fill="E4DCD1"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9883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ses.edu.a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ses@curtin.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a047ac1-4de8-497a-9697-534f1fef0fc2" xsi:nil="true"/>
    <lcf76f155ced4ddcb4097134ff3c332f xmlns="741caac1-5859-4da6-8ec3-74e77638c0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ED372FCEC81429C7B9E5B127B4A72" ma:contentTypeVersion="13" ma:contentTypeDescription="Create a new document." ma:contentTypeScope="" ma:versionID="ff4bffa8ae83d43e408198bc91565d5e">
  <xsd:schema xmlns:xsd="http://www.w3.org/2001/XMLSchema" xmlns:xs="http://www.w3.org/2001/XMLSchema" xmlns:p="http://schemas.microsoft.com/office/2006/metadata/properties" xmlns:ns2="741caac1-5859-4da6-8ec3-74e77638c05f" xmlns:ns3="8a047ac1-4de8-497a-9697-534f1fef0fc2" targetNamespace="http://schemas.microsoft.com/office/2006/metadata/properties" ma:root="true" ma:fieldsID="23db6baf5c1c7ced94bf751a8fa8925f" ns2:_="" ns3:_="">
    <xsd:import namespace="741caac1-5859-4da6-8ec3-74e77638c05f"/>
    <xsd:import namespace="8a047ac1-4de8-497a-9697-534f1fef0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caac1-5859-4da6-8ec3-74e77638c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8b0421-3d9b-4d43-8840-b275eef407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47ac1-4de8-497a-9697-534f1fef0f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39ed73-dc69-45d3-8d7e-2a9cabd8547f}" ma:internalName="TaxCatchAll" ma:showField="CatchAllData" ma:web="8a047ac1-4de8-497a-9697-534f1fef0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customXml/itemProps2.xml><?xml version="1.0" encoding="utf-8"?>
<ds:datastoreItem xmlns:ds="http://schemas.openxmlformats.org/officeDocument/2006/customXml" ds:itemID="{28533A02-717F-40EB-9B38-BD197F84555C}">
  <ds:schemaRefs>
    <ds:schemaRef ds:uri="http://schemas.microsoft.com/office/2006/metadata/properties"/>
    <ds:schemaRef ds:uri="http://schemas.microsoft.com/office/infopath/2007/PartnerControls"/>
    <ds:schemaRef ds:uri="8a047ac1-4de8-497a-9697-534f1fef0fc2"/>
    <ds:schemaRef ds:uri="741caac1-5859-4da6-8ec3-74e77638c05f"/>
  </ds:schemaRefs>
</ds:datastoreItem>
</file>

<file path=customXml/itemProps3.xml><?xml version="1.0" encoding="utf-8"?>
<ds:datastoreItem xmlns:ds="http://schemas.openxmlformats.org/officeDocument/2006/customXml" ds:itemID="{DA6CA055-B93F-41AA-BF5F-13823DCC7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caac1-5859-4da6-8ec3-74e77638c05f"/>
    <ds:schemaRef ds:uri="8a047ac1-4de8-497a-9697-534f1fef0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F758C-32EF-41E2-8381-DD9BA1CD449A}">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Patrick Broman</cp:lastModifiedBy>
  <cp:revision>3</cp:revision>
  <cp:lastPrinted>2026-06-05T00:46:00Z</cp:lastPrinted>
  <dcterms:created xsi:type="dcterms:W3CDTF">2026-06-05T00:46:00Z</dcterms:created>
  <dcterms:modified xsi:type="dcterms:W3CDTF">2026-06-05T00:46:00Z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0x010100FAFED372FCEC81429C7B9E5B127B4A72</vt:lpwstr>
  </property>
  <property fmtid="{D5CDD505-2E9C-101B-9397-08002B2CF9AE}" pid="3" name="MediaServiceImageTags">
    <vt:lpwstr/>
  </property>
  <property fmtid="{D5CDD505-2E9C-101B-9397-08002B2CF9AE}" pid="4" name="MSIP_Label_25645803-7a80-4d54-bfa9-551a1ec8d4d5_Enabled">
    <vt:lpwstr>true</vt:lpwstr>
  </property>
  <property fmtid="{D5CDD505-2E9C-101B-9397-08002B2CF9AE}" pid="5" name="MSIP_Label_25645803-7a80-4d54-bfa9-551a1ec8d4d5_SetDate">
    <vt:lpwstr>2026-01-13T00:47:38Z</vt:lpwstr>
  </property>
  <property fmtid="{D5CDD505-2E9C-101B-9397-08002B2CF9AE}" pid="6" name="MSIP_Label_25645803-7a80-4d54-bfa9-551a1ec8d4d5_Method">
    <vt:lpwstr>Privileged</vt:lpwstr>
  </property>
  <property fmtid="{D5CDD505-2E9C-101B-9397-08002B2CF9AE}" pid="7" name="MSIP_Label_25645803-7a80-4d54-bfa9-551a1ec8d4d5_Name">
    <vt:lpwstr>PERSONAL</vt:lpwstr>
  </property>
  <property fmtid="{D5CDD505-2E9C-101B-9397-08002B2CF9AE}" pid="8" name="MSIP_Label_25645803-7a80-4d54-bfa9-551a1ec8d4d5_SiteId">
    <vt:lpwstr>e6d2d4cc-b762-486e-8894-4f5f440d5f31</vt:lpwstr>
  </property>
  <property fmtid="{D5CDD505-2E9C-101B-9397-08002B2CF9AE}" pid="9" name="MSIP_Label_25645803-7a80-4d54-bfa9-551a1ec8d4d5_ActionId">
    <vt:lpwstr>0679a14b-ed51-4ddd-b706-6e727c8ed629</vt:lpwstr>
  </property>
  <property fmtid="{D5CDD505-2E9C-101B-9397-08002B2CF9AE}" pid="10" name="MSIP_Label_25645803-7a80-4d54-bfa9-551a1ec8d4d5_ContentBits">
    <vt:lpwstr>0</vt:lpwstr>
  </property>
  <property fmtid="{D5CDD505-2E9C-101B-9397-08002B2CF9AE}" pid="11" name="MSIP_Label_25645803-7a80-4d54-bfa9-551a1ec8d4d5_Tag">
    <vt:lpwstr>10, 0, 1, 1</vt:lpwstr>
  </property>
</Properties>
</file>