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6.xml" ContentType="application/vnd.openxmlformats-officedocument.wordprocessingml.footer+xml"/>
  <Override PartName="/word/footer7.xml" ContentType="application/vnd.openxmlformats-officedocument.wordprocessingml.footer+xml"/>
  <Override PartName="/word/charts/chart6.xml" ContentType="application/vnd.openxmlformats-officedocument.drawingml.chart+xml"/>
  <Override PartName="/word/theme/themeOverride1.xml" ContentType="application/vnd.openxmlformats-officedocument.themeOverride+xml"/>
  <Override PartName="/word/drawings/drawing3.xml" ContentType="application/vnd.openxmlformats-officedocument.drawingml.chartshapes+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4.xml" ContentType="application/vnd.openxmlformats-officedocument.drawingml.chartshapes+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2.xml" ContentType="application/vnd.openxmlformats-officedocument.themeOverrid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footer8.xml" ContentType="application/vnd.openxmlformats-officedocument.wordprocessingml.footer+xml"/>
  <Override PartName="/word/footer9.xml" ContentType="application/vnd.openxmlformats-officedocument.wordprocessingml.footer+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3.xml" ContentType="application/vnd.openxmlformats-officedocument.themeOverride+xml"/>
  <Override PartName="/word/footer10.xml" ContentType="application/vnd.openxmlformats-officedocument.wordprocessingml.footer+xml"/>
  <Override PartName="/word/footer11.xml" ContentType="application/vnd.openxmlformats-officedocument.wordprocessingml.footer+xml"/>
  <Override PartName="/word/charts/chart18.xml" ContentType="application/vnd.openxmlformats-officedocument.drawingml.chart+xml"/>
  <Override PartName="/word/drawings/drawing5.xml" ContentType="application/vnd.openxmlformats-officedocument.drawingml.chartshapes+xml"/>
  <Override PartName="/word/charts/chart19.xml" ContentType="application/vnd.openxmlformats-officedocument.drawingml.chart+xml"/>
  <Override PartName="/word/charts/style17.xml" ContentType="application/vnd.ms-office.chartstyle+xml"/>
  <Override PartName="/word/charts/colors17.xml" ContentType="application/vnd.ms-office.chartcolorstyle+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charts/chart20.xml" ContentType="application/vnd.openxmlformats-officedocument.drawingml.chart+xml"/>
  <Override PartName="/word/theme/themeOverride4.xml" ContentType="application/vnd.openxmlformats-officedocument.themeOverride+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E3F5" w14:textId="77777777" w:rsidR="00DC479B" w:rsidRPr="007B2462" w:rsidRDefault="00DC479B" w:rsidP="00DC479B">
      <w:pPr>
        <w:pBdr>
          <w:bottom w:val="single" w:sz="12" w:space="0" w:color="auto"/>
        </w:pBdr>
        <w:spacing w:before="1560"/>
        <w:jc w:val="center"/>
        <w:rPr>
          <w:rFonts w:ascii="Calibri" w:hAnsi="Calibri"/>
          <w:b/>
          <w:sz w:val="52"/>
          <w:szCs w:val="52"/>
        </w:rPr>
      </w:pPr>
      <w:r>
        <w:rPr>
          <w:rFonts w:ascii="Calibri" w:hAnsi="Calibri"/>
          <w:b/>
          <w:sz w:val="52"/>
          <w:szCs w:val="52"/>
        </w:rPr>
        <w:t>Strategy and Outlook</w:t>
      </w:r>
    </w:p>
    <w:p w14:paraId="2EBDF8C9" w14:textId="6007D4BD" w:rsidR="00DC479B" w:rsidRPr="00E34C95" w:rsidRDefault="00DC479B" w:rsidP="00DC479B">
      <w:pPr>
        <w:jc w:val="center"/>
        <w:rPr>
          <w:rFonts w:ascii="Calibri" w:hAnsi="Calibri"/>
          <w:b/>
          <w:sz w:val="50"/>
          <w:szCs w:val="52"/>
        </w:rPr>
      </w:pPr>
      <w:r w:rsidRPr="007B2462">
        <w:rPr>
          <w:rFonts w:ascii="Calibri" w:hAnsi="Calibri"/>
          <w:b/>
          <w:sz w:val="52"/>
          <w:szCs w:val="52"/>
        </w:rPr>
        <w:t>20</w:t>
      </w:r>
      <w:r>
        <w:rPr>
          <w:rFonts w:ascii="Calibri" w:hAnsi="Calibri"/>
          <w:b/>
          <w:sz w:val="52"/>
          <w:szCs w:val="52"/>
        </w:rPr>
        <w:t>2</w:t>
      </w:r>
      <w:r w:rsidR="0080018A">
        <w:rPr>
          <w:rFonts w:ascii="Calibri" w:hAnsi="Calibri"/>
          <w:b/>
          <w:sz w:val="52"/>
          <w:szCs w:val="52"/>
        </w:rPr>
        <w:t>3</w:t>
      </w:r>
      <w:r>
        <w:rPr>
          <w:rFonts w:ascii="Calibri" w:hAnsi="Calibri"/>
          <w:b/>
          <w:sz w:val="52"/>
          <w:szCs w:val="52"/>
        </w:rPr>
        <w:noBreakHyphen/>
        <w:t>2</w:t>
      </w:r>
      <w:r w:rsidR="0080018A">
        <w:rPr>
          <w:rFonts w:ascii="Calibri" w:hAnsi="Calibri"/>
          <w:b/>
          <w:sz w:val="52"/>
          <w:szCs w:val="52"/>
        </w:rPr>
        <w:t>4</w:t>
      </w:r>
    </w:p>
    <w:p w14:paraId="48FDF523" w14:textId="77777777" w:rsidR="00DC479B" w:rsidRDefault="00DC479B" w:rsidP="00DC479B">
      <w:pPr>
        <w:jc w:val="center"/>
        <w:rPr>
          <w:rFonts w:ascii="Calibri" w:hAnsi="Calibri"/>
          <w:sz w:val="30"/>
          <w:szCs w:val="30"/>
        </w:rPr>
      </w:pPr>
    </w:p>
    <w:p w14:paraId="51B20972" w14:textId="77777777" w:rsidR="00DC479B" w:rsidRPr="007B2462" w:rsidRDefault="00DC479B" w:rsidP="00DC479B">
      <w:pPr>
        <w:jc w:val="center"/>
        <w:rPr>
          <w:rFonts w:ascii="Calibri" w:hAnsi="Calibri"/>
          <w:sz w:val="30"/>
          <w:szCs w:val="30"/>
        </w:rPr>
      </w:pPr>
    </w:p>
    <w:p w14:paraId="36212A10" w14:textId="77777777" w:rsidR="00DC479B" w:rsidRDefault="00DC479B" w:rsidP="00DC479B">
      <w:pPr>
        <w:jc w:val="center"/>
        <w:rPr>
          <w:sz w:val="36"/>
          <w:szCs w:val="36"/>
        </w:rPr>
      </w:pPr>
      <w:r>
        <w:rPr>
          <w:noProof/>
          <w:sz w:val="36"/>
          <w:szCs w:val="36"/>
          <w:lang w:eastAsia="en-AU"/>
        </w:rPr>
        <w:drawing>
          <wp:inline distT="0" distB="0" distL="0" distR="0" wp14:anchorId="30BEDDC2" wp14:editId="254E182C">
            <wp:extent cx="930288" cy="115214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_full transparency_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0288" cy="1152144"/>
                    </a:xfrm>
                    <a:prstGeom prst="rect">
                      <a:avLst/>
                    </a:prstGeom>
                  </pic:spPr>
                </pic:pic>
              </a:graphicData>
            </a:graphic>
          </wp:inline>
        </w:drawing>
      </w:r>
    </w:p>
    <w:p w14:paraId="315784E0" w14:textId="77777777" w:rsidR="00DC479B" w:rsidRPr="007B2462" w:rsidRDefault="00DC479B" w:rsidP="00DC479B">
      <w:pPr>
        <w:jc w:val="center"/>
        <w:rPr>
          <w:sz w:val="36"/>
          <w:szCs w:val="36"/>
        </w:rPr>
      </w:pPr>
    </w:p>
    <w:p w14:paraId="05914FC8" w14:textId="77777777" w:rsidR="00DC479B" w:rsidRPr="007B2462" w:rsidRDefault="00DC479B" w:rsidP="00DC479B">
      <w:pPr>
        <w:jc w:val="center"/>
        <w:rPr>
          <w:sz w:val="36"/>
          <w:szCs w:val="36"/>
        </w:rPr>
      </w:pPr>
    </w:p>
    <w:p w14:paraId="32AE6D4B" w14:textId="77777777" w:rsidR="00DC479B" w:rsidRPr="007B2462" w:rsidRDefault="00DC479B" w:rsidP="00DC479B">
      <w:pPr>
        <w:jc w:val="center"/>
        <w:rPr>
          <w:sz w:val="36"/>
          <w:szCs w:val="36"/>
        </w:rPr>
      </w:pPr>
    </w:p>
    <w:p w14:paraId="68A3B494" w14:textId="77777777" w:rsidR="00DC479B" w:rsidRPr="007B2462" w:rsidRDefault="00DC479B" w:rsidP="00DC479B">
      <w:pPr>
        <w:jc w:val="center"/>
        <w:rPr>
          <w:rFonts w:ascii="Calibri" w:hAnsi="Calibri"/>
          <w:sz w:val="28"/>
          <w:szCs w:val="28"/>
        </w:rPr>
      </w:pPr>
      <w:r w:rsidRPr="007B2462">
        <w:rPr>
          <w:rFonts w:ascii="Calibri" w:hAnsi="Calibri"/>
          <w:sz w:val="28"/>
          <w:szCs w:val="28"/>
        </w:rPr>
        <w:t>Presented by</w:t>
      </w:r>
    </w:p>
    <w:p w14:paraId="6B5385E7" w14:textId="77777777" w:rsidR="00DC479B" w:rsidRPr="00D26163" w:rsidRDefault="00DC479B" w:rsidP="00DC479B">
      <w:pPr>
        <w:jc w:val="center"/>
        <w:rPr>
          <w:rFonts w:ascii="Calibri" w:hAnsi="Calibri" w:cs="Calibri"/>
          <w:b/>
          <w:sz w:val="36"/>
          <w:szCs w:val="36"/>
        </w:rPr>
      </w:pPr>
      <w:r w:rsidRPr="00D26163">
        <w:rPr>
          <w:rFonts w:ascii="Calibri" w:hAnsi="Calibri" w:cs="Calibri"/>
          <w:b/>
          <w:sz w:val="36"/>
          <w:szCs w:val="36"/>
        </w:rPr>
        <w:t>Tim Pallas MP</w:t>
      </w:r>
    </w:p>
    <w:p w14:paraId="7E44DD95" w14:textId="77777777" w:rsidR="00DC479B" w:rsidRPr="00D26163" w:rsidRDefault="00DC479B" w:rsidP="00DC479B">
      <w:pPr>
        <w:jc w:val="center"/>
        <w:rPr>
          <w:rFonts w:ascii="Calibri" w:hAnsi="Calibri" w:cs="Calibri"/>
          <w:sz w:val="28"/>
          <w:szCs w:val="28"/>
        </w:rPr>
      </w:pPr>
      <w:r w:rsidRPr="00D26163">
        <w:rPr>
          <w:rFonts w:ascii="Calibri" w:hAnsi="Calibri" w:cs="Calibri"/>
          <w:sz w:val="28"/>
          <w:szCs w:val="28"/>
        </w:rPr>
        <w:t>Treasurer of the State of Victoria</w:t>
      </w:r>
    </w:p>
    <w:p w14:paraId="32F5A846" w14:textId="77777777" w:rsidR="00DC479B" w:rsidRPr="007B2462" w:rsidRDefault="00DC479B" w:rsidP="00DC479B">
      <w:pPr>
        <w:jc w:val="center"/>
        <w:rPr>
          <w:rFonts w:ascii="Calibri" w:hAnsi="Calibri"/>
          <w:sz w:val="30"/>
          <w:szCs w:val="30"/>
        </w:rPr>
      </w:pPr>
      <w:r w:rsidRPr="007B2462">
        <w:rPr>
          <w:rFonts w:ascii="Calibri" w:hAnsi="Calibri"/>
          <w:sz w:val="30"/>
          <w:szCs w:val="30"/>
        </w:rPr>
        <w:t>for the information of Honourable Members</w:t>
      </w:r>
    </w:p>
    <w:p w14:paraId="154544BF" w14:textId="77777777" w:rsidR="00DC479B" w:rsidRPr="007B2462" w:rsidRDefault="00DC479B" w:rsidP="00DC479B">
      <w:pPr>
        <w:jc w:val="center"/>
        <w:rPr>
          <w:rFonts w:ascii="Calibri" w:hAnsi="Calibri"/>
          <w:sz w:val="36"/>
          <w:szCs w:val="36"/>
        </w:rPr>
      </w:pPr>
    </w:p>
    <w:p w14:paraId="1D6B1986" w14:textId="77777777" w:rsidR="00DC479B" w:rsidRDefault="00DC479B" w:rsidP="00DC479B">
      <w:pPr>
        <w:jc w:val="center"/>
        <w:rPr>
          <w:rFonts w:ascii="Calibri" w:hAnsi="Calibri"/>
          <w:b/>
          <w:sz w:val="36"/>
          <w:szCs w:val="36"/>
        </w:rPr>
      </w:pPr>
      <w:r w:rsidRPr="007B2462">
        <w:rPr>
          <w:rFonts w:ascii="Calibri" w:hAnsi="Calibri"/>
          <w:b/>
          <w:sz w:val="36"/>
          <w:szCs w:val="36"/>
        </w:rPr>
        <w:t>Budget Paper No. </w:t>
      </w:r>
      <w:r>
        <w:rPr>
          <w:rFonts w:ascii="Calibri" w:hAnsi="Calibri"/>
          <w:b/>
          <w:sz w:val="36"/>
          <w:szCs w:val="36"/>
        </w:rPr>
        <w:t>2</w:t>
      </w:r>
    </w:p>
    <w:p w14:paraId="3036651D" w14:textId="782BC681" w:rsidR="00113094" w:rsidRDefault="00113094" w:rsidP="00DC479B"/>
    <w:p w14:paraId="1E14CCDF" w14:textId="77777777" w:rsidR="00AF2E16" w:rsidRDefault="00AF2E16" w:rsidP="00AF2E16">
      <w:pPr>
        <w:sectPr w:rsidR="00AF2E16" w:rsidSect="00AF2E16">
          <w:pgSz w:w="9979" w:h="14175" w:code="9"/>
          <w:pgMar w:top="850" w:right="1138" w:bottom="850" w:left="1138" w:header="619" w:footer="562" w:gutter="0"/>
          <w:cols w:sep="1" w:space="567"/>
          <w:docGrid w:linePitch="360"/>
        </w:sectPr>
      </w:pPr>
    </w:p>
    <w:p w14:paraId="1F0438FE" w14:textId="77777777" w:rsidR="00AF2E16" w:rsidRDefault="00AF2E16" w:rsidP="00AF2E16">
      <w:pPr>
        <w:spacing w:before="0"/>
        <w:rPr>
          <w:rFonts w:ascii="Calibri Light" w:hAnsi="Calibri Light"/>
          <w:sz w:val="19"/>
          <w:szCs w:val="19"/>
        </w:rPr>
      </w:pPr>
      <w:r>
        <w:rPr>
          <w:rFonts w:ascii="Calibri Light" w:hAnsi="Calibri Light"/>
          <w:sz w:val="19"/>
          <w:szCs w:val="19"/>
        </w:rPr>
        <w:lastRenderedPageBreak/>
        <w:t>The Secretary</w:t>
      </w:r>
    </w:p>
    <w:p w14:paraId="000B21AC" w14:textId="77777777" w:rsidR="00AF2E16" w:rsidRDefault="00AF2E16" w:rsidP="00AF2E16">
      <w:pPr>
        <w:spacing w:before="0"/>
        <w:rPr>
          <w:rFonts w:ascii="Calibri Light" w:hAnsi="Calibri Light"/>
          <w:sz w:val="19"/>
          <w:szCs w:val="19"/>
        </w:rPr>
      </w:pPr>
      <w:r>
        <w:rPr>
          <w:rFonts w:ascii="Calibri Light" w:hAnsi="Calibri Light"/>
          <w:sz w:val="19"/>
          <w:szCs w:val="19"/>
        </w:rPr>
        <w:t>Department of Treasury and Finance</w:t>
      </w:r>
    </w:p>
    <w:p w14:paraId="46177C34" w14:textId="77777777" w:rsidR="00AF2E16" w:rsidRDefault="00AF2E16" w:rsidP="00AF2E16">
      <w:pPr>
        <w:spacing w:before="0"/>
        <w:rPr>
          <w:rFonts w:ascii="Calibri Light" w:hAnsi="Calibri Light"/>
          <w:sz w:val="19"/>
          <w:szCs w:val="19"/>
        </w:rPr>
      </w:pPr>
      <w:r>
        <w:rPr>
          <w:rFonts w:ascii="Calibri Light" w:hAnsi="Calibri Light"/>
          <w:sz w:val="19"/>
          <w:szCs w:val="19"/>
        </w:rPr>
        <w:t>1 Treasury Place</w:t>
      </w:r>
    </w:p>
    <w:p w14:paraId="0E04C3FE" w14:textId="77777777" w:rsidR="00AF2E16" w:rsidRDefault="00AF2E16" w:rsidP="00AF2E16">
      <w:pPr>
        <w:spacing w:before="0"/>
        <w:rPr>
          <w:rFonts w:ascii="Calibri Light" w:hAnsi="Calibri Light"/>
          <w:sz w:val="19"/>
          <w:szCs w:val="19"/>
        </w:rPr>
      </w:pPr>
      <w:r>
        <w:rPr>
          <w:rFonts w:ascii="Calibri Light" w:hAnsi="Calibri Light"/>
          <w:sz w:val="19"/>
          <w:szCs w:val="19"/>
        </w:rPr>
        <w:t>Melbourne, Victoria, 3002</w:t>
      </w:r>
    </w:p>
    <w:p w14:paraId="67DF9401" w14:textId="77777777" w:rsidR="00AF2E16" w:rsidRDefault="00AF2E16" w:rsidP="00AF2E16">
      <w:pPr>
        <w:spacing w:before="0"/>
        <w:rPr>
          <w:rFonts w:ascii="Calibri Light" w:hAnsi="Calibri Light"/>
          <w:sz w:val="19"/>
          <w:szCs w:val="19"/>
        </w:rPr>
      </w:pPr>
      <w:r>
        <w:rPr>
          <w:rFonts w:ascii="Calibri Light" w:hAnsi="Calibri Light"/>
          <w:sz w:val="19"/>
          <w:szCs w:val="19"/>
        </w:rPr>
        <w:t>Australia</w:t>
      </w:r>
    </w:p>
    <w:p w14:paraId="073DD511" w14:textId="77777777" w:rsidR="00AF2E16" w:rsidRDefault="00AF2E16" w:rsidP="00AF2E16">
      <w:pPr>
        <w:spacing w:before="0"/>
        <w:rPr>
          <w:rFonts w:ascii="Calibri Light" w:hAnsi="Calibri Light"/>
          <w:sz w:val="19"/>
          <w:szCs w:val="19"/>
        </w:rPr>
      </w:pPr>
      <w:r>
        <w:rPr>
          <w:rFonts w:ascii="Calibri Light" w:hAnsi="Calibri Light"/>
          <w:sz w:val="19"/>
          <w:szCs w:val="19"/>
        </w:rPr>
        <w:t>Tel: +61 3 9651 5111</w:t>
      </w:r>
    </w:p>
    <w:p w14:paraId="6A239376" w14:textId="77777777" w:rsidR="00AF2E16" w:rsidRDefault="00AF2E16" w:rsidP="00AF2E16">
      <w:pPr>
        <w:spacing w:before="0"/>
        <w:rPr>
          <w:rFonts w:ascii="Calibri Light" w:hAnsi="Calibri Light"/>
          <w:sz w:val="19"/>
          <w:szCs w:val="19"/>
        </w:rPr>
      </w:pPr>
      <w:r>
        <w:rPr>
          <w:rFonts w:ascii="Calibri Light" w:hAnsi="Calibri Light"/>
          <w:sz w:val="19"/>
          <w:szCs w:val="19"/>
        </w:rPr>
        <w:t>Fax: +61 3 9651 2062</w:t>
      </w:r>
    </w:p>
    <w:p w14:paraId="71DD0F19" w14:textId="77777777" w:rsidR="00AF2E16" w:rsidRDefault="00AF2E16" w:rsidP="00AF2E16">
      <w:pPr>
        <w:spacing w:before="0" w:after="120"/>
        <w:rPr>
          <w:rFonts w:ascii="Calibri Light" w:hAnsi="Calibri Light"/>
          <w:sz w:val="19"/>
          <w:szCs w:val="19"/>
        </w:rPr>
      </w:pPr>
      <w:r>
        <w:rPr>
          <w:rFonts w:ascii="Calibri Light" w:hAnsi="Calibri Light"/>
          <w:sz w:val="19"/>
          <w:szCs w:val="19"/>
        </w:rPr>
        <w:t>Website: budget.vic.gov.au</w:t>
      </w:r>
    </w:p>
    <w:p w14:paraId="48992E3D" w14:textId="77777777" w:rsidR="00AF2E16" w:rsidRDefault="00AF2E16" w:rsidP="00AF2E16">
      <w:pPr>
        <w:spacing w:before="0"/>
        <w:rPr>
          <w:rFonts w:ascii="Calibri Light" w:hAnsi="Calibri Light"/>
          <w:sz w:val="19"/>
          <w:szCs w:val="19"/>
        </w:rPr>
      </w:pPr>
      <w:r>
        <w:rPr>
          <w:rFonts w:ascii="Calibri Light" w:hAnsi="Calibri Light"/>
          <w:sz w:val="19"/>
          <w:szCs w:val="19"/>
        </w:rPr>
        <w:t>Authorised by the Victorian Government</w:t>
      </w:r>
    </w:p>
    <w:p w14:paraId="378FB340" w14:textId="77777777" w:rsidR="00AF2E16" w:rsidRDefault="00AF2E16" w:rsidP="00AF2E16">
      <w:pPr>
        <w:spacing w:before="0" w:after="120"/>
        <w:rPr>
          <w:rFonts w:ascii="Calibri Light" w:hAnsi="Calibri Light"/>
          <w:sz w:val="19"/>
          <w:szCs w:val="19"/>
        </w:rPr>
      </w:pPr>
      <w:r>
        <w:rPr>
          <w:rFonts w:ascii="Calibri Light" w:hAnsi="Calibri Light"/>
          <w:sz w:val="19"/>
          <w:szCs w:val="19"/>
        </w:rPr>
        <w:t>1 Treasury Place, Melbourne, 3002</w:t>
      </w:r>
    </w:p>
    <w:p w14:paraId="1EDC76F8" w14:textId="77777777" w:rsidR="00AF2E16" w:rsidRDefault="00AF2E16" w:rsidP="00AF2E16">
      <w:pPr>
        <w:spacing w:before="0" w:after="120"/>
        <w:rPr>
          <w:rFonts w:ascii="Calibri Light" w:hAnsi="Calibri Light"/>
          <w:sz w:val="19"/>
          <w:szCs w:val="19"/>
        </w:rPr>
      </w:pPr>
      <w:r>
        <w:rPr>
          <w:rFonts w:ascii="Calibri Light" w:hAnsi="Calibri Light"/>
          <w:sz w:val="19"/>
          <w:szCs w:val="19"/>
        </w:rPr>
        <w:t>Printed by Doculink, Port Melbourne</w:t>
      </w:r>
    </w:p>
    <w:p w14:paraId="0ACCBDF9" w14:textId="77777777" w:rsidR="00AF2E16" w:rsidRDefault="00AF2E16" w:rsidP="00AF2E16">
      <w:pPr>
        <w:spacing w:before="0"/>
        <w:rPr>
          <w:rFonts w:ascii="Calibri Light" w:hAnsi="Calibri Light"/>
          <w:sz w:val="19"/>
          <w:szCs w:val="19"/>
        </w:rPr>
      </w:pPr>
      <w:r>
        <w:rPr>
          <w:rFonts w:ascii="Calibri Light" w:hAnsi="Calibri Light"/>
          <w:sz w:val="19"/>
          <w:szCs w:val="19"/>
        </w:rPr>
        <w:t>This publication makes reference to the</w:t>
      </w:r>
    </w:p>
    <w:p w14:paraId="6BA09D92" w14:textId="6C4F97E2" w:rsidR="00AF2E16" w:rsidRDefault="00AF2E16" w:rsidP="00AF2E16">
      <w:pPr>
        <w:spacing w:before="0"/>
        <w:rPr>
          <w:rFonts w:ascii="Calibri Light" w:hAnsi="Calibri Light"/>
          <w:sz w:val="19"/>
          <w:szCs w:val="19"/>
        </w:rPr>
      </w:pPr>
      <w:r>
        <w:rPr>
          <w:rFonts w:ascii="Calibri Light" w:hAnsi="Calibri Light"/>
          <w:sz w:val="19"/>
          <w:szCs w:val="19"/>
        </w:rPr>
        <w:t>2023/24 Budget paper set which includes:</w:t>
      </w:r>
    </w:p>
    <w:p w14:paraId="0BC9D903" w14:textId="77777777" w:rsidR="00AF2E16" w:rsidRDefault="00AF2E16" w:rsidP="00AF2E16">
      <w:pPr>
        <w:spacing w:before="0"/>
        <w:rPr>
          <w:rFonts w:ascii="Calibri Light" w:hAnsi="Calibri Light"/>
          <w:sz w:val="19"/>
          <w:szCs w:val="19"/>
        </w:rPr>
      </w:pPr>
      <w:r>
        <w:rPr>
          <w:rFonts w:ascii="Calibri Light" w:hAnsi="Calibri Light"/>
          <w:sz w:val="19"/>
          <w:szCs w:val="19"/>
        </w:rPr>
        <w:t>Budget Paper No. 1 – Treasurer’s Speech</w:t>
      </w:r>
    </w:p>
    <w:p w14:paraId="5996FC04" w14:textId="77777777" w:rsidR="00AF2E16" w:rsidRDefault="00AF2E16" w:rsidP="00AF2E16">
      <w:pPr>
        <w:spacing w:before="0"/>
        <w:rPr>
          <w:rFonts w:ascii="Calibri Light" w:hAnsi="Calibri Light"/>
          <w:sz w:val="19"/>
          <w:szCs w:val="19"/>
        </w:rPr>
      </w:pPr>
      <w:r>
        <w:rPr>
          <w:rFonts w:ascii="Calibri Light" w:hAnsi="Calibri Light"/>
          <w:sz w:val="19"/>
          <w:szCs w:val="19"/>
        </w:rPr>
        <w:t>Budget Paper No. 2 – Strategy and Outlook</w:t>
      </w:r>
    </w:p>
    <w:p w14:paraId="104EFA93" w14:textId="77777777" w:rsidR="00AF2E16" w:rsidRDefault="00AF2E16" w:rsidP="00AF2E16">
      <w:pPr>
        <w:spacing w:before="0"/>
        <w:rPr>
          <w:rFonts w:ascii="Calibri Light" w:hAnsi="Calibri Light"/>
          <w:sz w:val="19"/>
          <w:szCs w:val="19"/>
        </w:rPr>
      </w:pPr>
      <w:r>
        <w:rPr>
          <w:rFonts w:ascii="Calibri Light" w:hAnsi="Calibri Light"/>
          <w:sz w:val="19"/>
          <w:szCs w:val="19"/>
        </w:rPr>
        <w:t>Budget Paper No. 3 – Service Delivery</w:t>
      </w:r>
    </w:p>
    <w:p w14:paraId="40EF9A11" w14:textId="77777777" w:rsidR="00AF2E16" w:rsidRDefault="00AF2E16" w:rsidP="00AF2E16">
      <w:pPr>
        <w:spacing w:before="0"/>
        <w:rPr>
          <w:rFonts w:ascii="Calibri Light" w:hAnsi="Calibri Light"/>
          <w:sz w:val="19"/>
          <w:szCs w:val="19"/>
        </w:rPr>
      </w:pPr>
      <w:r>
        <w:rPr>
          <w:rFonts w:ascii="Calibri Light" w:hAnsi="Calibri Light"/>
          <w:sz w:val="19"/>
          <w:szCs w:val="19"/>
        </w:rPr>
        <w:t>Budget Paper No. 4 – State Capital Program</w:t>
      </w:r>
    </w:p>
    <w:p w14:paraId="42F64EA6" w14:textId="77777777" w:rsidR="00AF2E16" w:rsidRDefault="00AF2E16" w:rsidP="00AF2E16">
      <w:pPr>
        <w:spacing w:before="0"/>
        <w:rPr>
          <w:rFonts w:ascii="Calibri Light" w:hAnsi="Calibri Light"/>
          <w:sz w:val="19"/>
          <w:szCs w:val="19"/>
        </w:rPr>
      </w:pPr>
      <w:r>
        <w:rPr>
          <w:rFonts w:ascii="Calibri Light" w:hAnsi="Calibri Light"/>
          <w:sz w:val="19"/>
          <w:szCs w:val="19"/>
        </w:rPr>
        <w:t>Budget Paper No. 5 – Statement of Finances</w:t>
      </w:r>
    </w:p>
    <w:p w14:paraId="7E34134A" w14:textId="77777777" w:rsidR="00AF2E16" w:rsidRDefault="00AF2E16" w:rsidP="00AF2E16">
      <w:pPr>
        <w:spacing w:before="0"/>
        <w:rPr>
          <w:rFonts w:ascii="Calibri Light" w:hAnsi="Calibri Light"/>
          <w:sz w:val="19"/>
          <w:szCs w:val="19"/>
        </w:rPr>
      </w:pPr>
      <w:r>
        <w:rPr>
          <w:rFonts w:ascii="Calibri Light" w:hAnsi="Calibri Light"/>
          <w:sz w:val="19"/>
          <w:szCs w:val="19"/>
        </w:rPr>
        <w:t>(incorporating Quarterly Financial Report No. 3)</w:t>
      </w:r>
    </w:p>
    <w:p w14:paraId="2ED4E7AF" w14:textId="548CE68D" w:rsidR="00AF2E16" w:rsidRDefault="00AF2E16" w:rsidP="00AF2E16">
      <w:pPr>
        <w:spacing w:before="0"/>
        <w:rPr>
          <w:rFonts w:ascii="Calibri Light" w:hAnsi="Calibri Light"/>
          <w:sz w:val="19"/>
          <w:szCs w:val="19"/>
        </w:rPr>
      </w:pPr>
      <w:r>
        <w:rPr>
          <w:rFonts w:ascii="Calibri Light" w:hAnsi="Calibri Light"/>
          <w:sz w:val="19"/>
          <w:szCs w:val="19"/>
        </w:rPr>
        <w:br w:type="column"/>
        <w:t>© State of Victoria 2023</w:t>
      </w:r>
    </w:p>
    <w:p w14:paraId="38C8EA55" w14:textId="77777777" w:rsidR="00AF2E16" w:rsidRDefault="00AF2E16" w:rsidP="00AF2E16">
      <w:pPr>
        <w:spacing w:before="0" w:after="120"/>
        <w:rPr>
          <w:rFonts w:ascii="Calibri Light" w:hAnsi="Calibri Light"/>
          <w:sz w:val="19"/>
          <w:szCs w:val="19"/>
        </w:rPr>
      </w:pPr>
      <w:r>
        <w:rPr>
          <w:rFonts w:ascii="Calibri Light" w:hAnsi="Calibri Light"/>
          <w:sz w:val="19"/>
          <w:szCs w:val="19"/>
        </w:rPr>
        <w:t>(Department of Treasury and Finance)</w:t>
      </w:r>
    </w:p>
    <w:p w14:paraId="0ED29CD8" w14:textId="77777777" w:rsidR="00AF2E16" w:rsidRDefault="00AF2E16" w:rsidP="00AF2E16">
      <w:pPr>
        <w:spacing w:before="0" w:after="120"/>
        <w:rPr>
          <w:rFonts w:ascii="Calibri Light" w:hAnsi="Calibri Light"/>
          <w:sz w:val="19"/>
          <w:szCs w:val="19"/>
        </w:rPr>
      </w:pPr>
      <w:r>
        <w:rPr>
          <w:rFonts w:ascii="Calibri Light" w:hAnsi="Calibri Light"/>
          <w:noProof/>
          <w:sz w:val="19"/>
          <w:szCs w:val="19"/>
        </w:rPr>
        <w:drawing>
          <wp:inline distT="0" distB="0" distL="0" distR="0" wp14:anchorId="0D456F07" wp14:editId="3BC114AC">
            <wp:extent cx="1040765" cy="362585"/>
            <wp:effectExtent l="0" t="0" r="6985"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0765" cy="362585"/>
                    </a:xfrm>
                    <a:prstGeom prst="rect">
                      <a:avLst/>
                    </a:prstGeom>
                    <a:noFill/>
                    <a:ln>
                      <a:noFill/>
                    </a:ln>
                  </pic:spPr>
                </pic:pic>
              </a:graphicData>
            </a:graphic>
          </wp:inline>
        </w:drawing>
      </w:r>
    </w:p>
    <w:p w14:paraId="40D7B567" w14:textId="77777777" w:rsidR="00AF2E16" w:rsidRDefault="00AF2E16" w:rsidP="00AF2E16">
      <w:pPr>
        <w:spacing w:before="0" w:after="120"/>
        <w:ind w:right="122"/>
        <w:rPr>
          <w:rFonts w:ascii="Calibri Light" w:hAnsi="Calibri Light"/>
          <w:sz w:val="19"/>
          <w:szCs w:val="19"/>
        </w:rPr>
      </w:pPr>
      <w:r>
        <w:rPr>
          <w:rFonts w:ascii="Calibri Light" w:hAnsi="Calibri Light"/>
          <w:sz w:val="19"/>
          <w:szCs w:val="19"/>
        </w:rPr>
        <w:t>You are free to re-use this work under a Creative Commons Attribution 4.0 licence, provided you credit the State of Victoria (Department of Treasury and Finance) as author, indicate if changes were made and comply with the other licence terms. The licence does not apply to any branding, including Government logos.</w:t>
      </w:r>
    </w:p>
    <w:p w14:paraId="2E570D55" w14:textId="77777777" w:rsidR="00AF2E16" w:rsidRDefault="00AF2E16" w:rsidP="00AF2E16">
      <w:pPr>
        <w:spacing w:before="0" w:after="120"/>
        <w:rPr>
          <w:rFonts w:ascii="Calibri Light" w:hAnsi="Calibri Light"/>
          <w:sz w:val="19"/>
          <w:szCs w:val="19"/>
        </w:rPr>
      </w:pPr>
      <w:r>
        <w:rPr>
          <w:rFonts w:ascii="Calibri Light" w:hAnsi="Calibri Light"/>
          <w:sz w:val="19"/>
          <w:szCs w:val="19"/>
        </w:rPr>
        <w:t>Copyright queries may be directed to IPpolicy@dtf.vic.gov.au.</w:t>
      </w:r>
    </w:p>
    <w:p w14:paraId="5CA73258" w14:textId="77777777" w:rsidR="00AF2E16" w:rsidRDefault="00AF2E16" w:rsidP="00AF2E16">
      <w:pPr>
        <w:spacing w:before="0"/>
        <w:rPr>
          <w:rFonts w:ascii="Calibri Light" w:hAnsi="Calibri Light"/>
          <w:sz w:val="19"/>
          <w:szCs w:val="19"/>
        </w:rPr>
      </w:pPr>
      <w:r>
        <w:rPr>
          <w:rFonts w:ascii="Calibri Light" w:hAnsi="Calibri Light"/>
          <w:sz w:val="19"/>
          <w:szCs w:val="19"/>
        </w:rPr>
        <w:t>ISSN 2204-9185 (print)</w:t>
      </w:r>
    </w:p>
    <w:p w14:paraId="15434A37" w14:textId="77777777" w:rsidR="00AF2E16" w:rsidRDefault="00AF2E16" w:rsidP="00AF2E16">
      <w:pPr>
        <w:spacing w:before="0"/>
        <w:rPr>
          <w:rFonts w:ascii="Calibri Light" w:hAnsi="Calibri Light"/>
          <w:sz w:val="19"/>
          <w:szCs w:val="19"/>
        </w:rPr>
      </w:pPr>
      <w:r>
        <w:rPr>
          <w:rFonts w:ascii="Calibri Light" w:hAnsi="Calibri Light"/>
          <w:sz w:val="19"/>
          <w:szCs w:val="19"/>
        </w:rPr>
        <w:t>ISSN 2204-9177 (online)</w:t>
      </w:r>
    </w:p>
    <w:p w14:paraId="5182D734" w14:textId="080BCEF7" w:rsidR="00AF2E16" w:rsidRDefault="00AF2E16" w:rsidP="00AF2E16">
      <w:pPr>
        <w:spacing w:before="0"/>
      </w:pPr>
      <w:r>
        <w:rPr>
          <w:rFonts w:ascii="Calibri Light" w:hAnsi="Calibri Light"/>
          <w:sz w:val="19"/>
          <w:szCs w:val="19"/>
        </w:rPr>
        <w:t>Published May 2023</w:t>
      </w:r>
    </w:p>
    <w:p w14:paraId="2386BAB6" w14:textId="77777777" w:rsidR="00AF2E16" w:rsidRDefault="00AF2E16" w:rsidP="00AF2E16"/>
    <w:p w14:paraId="02B5A346" w14:textId="77777777" w:rsidR="00AF2E16" w:rsidRPr="007B2462" w:rsidRDefault="00AF2E16" w:rsidP="00AF2E16"/>
    <w:p w14:paraId="5F7A216F" w14:textId="77777777" w:rsidR="00DC479B" w:rsidRDefault="00DC479B" w:rsidP="00DC479B"/>
    <w:p w14:paraId="5D8228BD" w14:textId="648BBA62" w:rsidR="00DC479B" w:rsidRDefault="00DC479B" w:rsidP="00DC479B">
      <w:pPr>
        <w:sectPr w:rsidR="00DC479B" w:rsidSect="00AF2E16">
          <w:headerReference w:type="even" r:id="rId14"/>
          <w:headerReference w:type="default" r:id="rId15"/>
          <w:footerReference w:type="even" r:id="rId16"/>
          <w:footerReference w:type="default" r:id="rId17"/>
          <w:headerReference w:type="first" r:id="rId18"/>
          <w:footerReference w:type="first" r:id="rId19"/>
          <w:pgSz w:w="9979" w:h="14175" w:code="34"/>
          <w:pgMar w:top="1138" w:right="1138" w:bottom="1138" w:left="1138" w:header="619" w:footer="562" w:gutter="0"/>
          <w:cols w:num="2" w:space="283"/>
          <w:vAlign w:val="bottom"/>
          <w:docGrid w:linePitch="360"/>
        </w:sectPr>
      </w:pPr>
    </w:p>
    <w:p w14:paraId="5397AB06" w14:textId="77777777" w:rsidR="00DC479B" w:rsidRDefault="00DC479B" w:rsidP="00DC479B">
      <w:pPr>
        <w:pBdr>
          <w:bottom w:val="single" w:sz="6" w:space="1" w:color="auto"/>
        </w:pBdr>
        <w:spacing w:before="960" w:after="360"/>
        <w:rPr>
          <w:rFonts w:ascii="Calibri" w:hAnsi="Calibri"/>
          <w:b/>
          <w:caps/>
          <w:sz w:val="36"/>
        </w:rPr>
      </w:pPr>
      <w:bookmarkStart w:id="0" w:name="_Toc481013395"/>
      <w:r w:rsidRPr="006F6363">
        <w:rPr>
          <w:rFonts w:ascii="Calibri" w:hAnsi="Calibri"/>
          <w:b/>
          <w:caps/>
          <w:sz w:val="36"/>
        </w:rPr>
        <w:t>TABLE OF CONTENTS</w:t>
      </w:r>
      <w:bookmarkEnd w:id="0"/>
    </w:p>
    <w:p w14:paraId="23E789BA" w14:textId="7023CC51" w:rsidR="00385CB8" w:rsidRDefault="00DC479B">
      <w:pPr>
        <w:pStyle w:val="TOC1"/>
        <w:rPr>
          <w:rFonts w:asciiTheme="minorHAnsi" w:eastAsiaTheme="minorEastAsia" w:hAnsiTheme="minorHAnsi"/>
          <w:b w:val="0"/>
          <w:noProof/>
          <w:lang w:eastAsia="en-AU"/>
        </w:rPr>
      </w:pPr>
      <w:r>
        <w:fldChar w:fldCharType="begin"/>
      </w:r>
      <w:r>
        <w:instrText xml:space="preserve"> TOC \h \z \t "Heading 1,2,Chapter Heading,1" </w:instrText>
      </w:r>
      <w:r>
        <w:fldChar w:fldCharType="separate"/>
      </w:r>
      <w:hyperlink w:anchor="_Toc135331239" w:history="1">
        <w:r w:rsidR="00385CB8" w:rsidRPr="009D326E">
          <w:rPr>
            <w:rStyle w:val="Hyperlink"/>
            <w:noProof/>
          </w:rPr>
          <w:t>Chapter 1 – Economic and fiscal overview</w:t>
        </w:r>
        <w:r w:rsidR="00385CB8">
          <w:rPr>
            <w:noProof/>
            <w:webHidden/>
          </w:rPr>
          <w:tab/>
        </w:r>
        <w:r w:rsidR="00385CB8">
          <w:rPr>
            <w:noProof/>
            <w:webHidden/>
          </w:rPr>
          <w:fldChar w:fldCharType="begin"/>
        </w:r>
        <w:r w:rsidR="00385CB8">
          <w:rPr>
            <w:noProof/>
            <w:webHidden/>
          </w:rPr>
          <w:instrText xml:space="preserve"> PAGEREF _Toc135331239 \h </w:instrText>
        </w:r>
        <w:r w:rsidR="00385CB8">
          <w:rPr>
            <w:noProof/>
            <w:webHidden/>
          </w:rPr>
        </w:r>
        <w:r w:rsidR="00385CB8">
          <w:rPr>
            <w:noProof/>
            <w:webHidden/>
          </w:rPr>
          <w:fldChar w:fldCharType="separate"/>
        </w:r>
        <w:r w:rsidR="00385CB8">
          <w:rPr>
            <w:noProof/>
            <w:webHidden/>
          </w:rPr>
          <w:t>1</w:t>
        </w:r>
        <w:r w:rsidR="00385CB8">
          <w:rPr>
            <w:noProof/>
            <w:webHidden/>
          </w:rPr>
          <w:fldChar w:fldCharType="end"/>
        </w:r>
      </w:hyperlink>
    </w:p>
    <w:p w14:paraId="049B6876" w14:textId="514C07AD" w:rsidR="00385CB8" w:rsidRDefault="006E29E0" w:rsidP="00385CB8">
      <w:pPr>
        <w:pStyle w:val="TOC2"/>
        <w:rPr>
          <w:rFonts w:asciiTheme="minorHAnsi" w:eastAsiaTheme="minorEastAsia" w:hAnsiTheme="minorHAnsi"/>
          <w:noProof/>
          <w:lang w:eastAsia="en-AU"/>
        </w:rPr>
      </w:pPr>
      <w:hyperlink w:anchor="_Toc135331240" w:history="1">
        <w:r w:rsidR="00385CB8" w:rsidRPr="009D326E">
          <w:rPr>
            <w:rStyle w:val="Hyperlink"/>
            <w:noProof/>
          </w:rPr>
          <w:t>Record-breaking jobs performance and a growing economy</w:t>
        </w:r>
        <w:r w:rsidR="00385CB8">
          <w:rPr>
            <w:noProof/>
            <w:webHidden/>
          </w:rPr>
          <w:tab/>
        </w:r>
        <w:r w:rsidR="00385CB8">
          <w:rPr>
            <w:noProof/>
            <w:webHidden/>
          </w:rPr>
          <w:fldChar w:fldCharType="begin"/>
        </w:r>
        <w:r w:rsidR="00385CB8">
          <w:rPr>
            <w:noProof/>
            <w:webHidden/>
          </w:rPr>
          <w:instrText xml:space="preserve"> PAGEREF _Toc135331240 \h </w:instrText>
        </w:r>
        <w:r w:rsidR="00385CB8">
          <w:rPr>
            <w:noProof/>
            <w:webHidden/>
          </w:rPr>
        </w:r>
        <w:r w:rsidR="00385CB8">
          <w:rPr>
            <w:noProof/>
            <w:webHidden/>
          </w:rPr>
          <w:fldChar w:fldCharType="separate"/>
        </w:r>
        <w:r w:rsidR="00385CB8">
          <w:rPr>
            <w:noProof/>
            <w:webHidden/>
          </w:rPr>
          <w:t>1</w:t>
        </w:r>
        <w:r w:rsidR="00385CB8">
          <w:rPr>
            <w:noProof/>
            <w:webHidden/>
          </w:rPr>
          <w:fldChar w:fldCharType="end"/>
        </w:r>
      </w:hyperlink>
    </w:p>
    <w:p w14:paraId="590319B5" w14:textId="68B43C26" w:rsidR="00385CB8" w:rsidRDefault="006E29E0" w:rsidP="00385CB8">
      <w:pPr>
        <w:pStyle w:val="TOC2"/>
        <w:rPr>
          <w:rFonts w:asciiTheme="minorHAnsi" w:eastAsiaTheme="minorEastAsia" w:hAnsiTheme="minorHAnsi"/>
          <w:noProof/>
          <w:lang w:eastAsia="en-AU"/>
        </w:rPr>
      </w:pPr>
      <w:hyperlink w:anchor="_Toc135331241" w:history="1">
        <w:r w:rsidR="00385CB8" w:rsidRPr="009D326E">
          <w:rPr>
            <w:rStyle w:val="Hyperlink"/>
            <w:noProof/>
          </w:rPr>
          <w:t>Strong financial management</w:t>
        </w:r>
        <w:r w:rsidR="00385CB8">
          <w:rPr>
            <w:noProof/>
            <w:webHidden/>
          </w:rPr>
          <w:tab/>
        </w:r>
        <w:r w:rsidR="00385CB8">
          <w:rPr>
            <w:noProof/>
            <w:webHidden/>
          </w:rPr>
          <w:fldChar w:fldCharType="begin"/>
        </w:r>
        <w:r w:rsidR="00385CB8">
          <w:rPr>
            <w:noProof/>
            <w:webHidden/>
          </w:rPr>
          <w:instrText xml:space="preserve"> PAGEREF _Toc135331241 \h </w:instrText>
        </w:r>
        <w:r w:rsidR="00385CB8">
          <w:rPr>
            <w:noProof/>
            <w:webHidden/>
          </w:rPr>
        </w:r>
        <w:r w:rsidR="00385CB8">
          <w:rPr>
            <w:noProof/>
            <w:webHidden/>
          </w:rPr>
          <w:fldChar w:fldCharType="separate"/>
        </w:r>
        <w:r w:rsidR="00385CB8">
          <w:rPr>
            <w:noProof/>
            <w:webHidden/>
          </w:rPr>
          <w:t>3</w:t>
        </w:r>
        <w:r w:rsidR="00385CB8">
          <w:rPr>
            <w:noProof/>
            <w:webHidden/>
          </w:rPr>
          <w:fldChar w:fldCharType="end"/>
        </w:r>
      </w:hyperlink>
    </w:p>
    <w:p w14:paraId="66FE2059" w14:textId="40C827C3" w:rsidR="00385CB8" w:rsidRDefault="006E29E0" w:rsidP="00385CB8">
      <w:pPr>
        <w:pStyle w:val="TOC2"/>
        <w:rPr>
          <w:rFonts w:asciiTheme="minorHAnsi" w:eastAsiaTheme="minorEastAsia" w:hAnsiTheme="minorHAnsi"/>
          <w:noProof/>
          <w:lang w:eastAsia="en-AU"/>
        </w:rPr>
      </w:pPr>
      <w:hyperlink w:anchor="_Toc135331242" w:history="1">
        <w:r w:rsidR="00385CB8" w:rsidRPr="009D326E">
          <w:rPr>
            <w:rStyle w:val="Hyperlink"/>
            <w:noProof/>
          </w:rPr>
          <w:t>Summary of initiatives</w:t>
        </w:r>
        <w:r w:rsidR="00385CB8">
          <w:rPr>
            <w:noProof/>
            <w:webHidden/>
          </w:rPr>
          <w:tab/>
        </w:r>
        <w:r w:rsidR="00385CB8">
          <w:rPr>
            <w:noProof/>
            <w:webHidden/>
          </w:rPr>
          <w:fldChar w:fldCharType="begin"/>
        </w:r>
        <w:r w:rsidR="00385CB8">
          <w:rPr>
            <w:noProof/>
            <w:webHidden/>
          </w:rPr>
          <w:instrText xml:space="preserve"> PAGEREF _Toc135331242 \h </w:instrText>
        </w:r>
        <w:r w:rsidR="00385CB8">
          <w:rPr>
            <w:noProof/>
            <w:webHidden/>
          </w:rPr>
        </w:r>
        <w:r w:rsidR="00385CB8">
          <w:rPr>
            <w:noProof/>
            <w:webHidden/>
          </w:rPr>
          <w:fldChar w:fldCharType="separate"/>
        </w:r>
        <w:r w:rsidR="00385CB8">
          <w:rPr>
            <w:noProof/>
            <w:webHidden/>
          </w:rPr>
          <w:t>11</w:t>
        </w:r>
        <w:r w:rsidR="00385CB8">
          <w:rPr>
            <w:noProof/>
            <w:webHidden/>
          </w:rPr>
          <w:fldChar w:fldCharType="end"/>
        </w:r>
      </w:hyperlink>
    </w:p>
    <w:p w14:paraId="3E2BF03E" w14:textId="71CB1C5D" w:rsidR="00385CB8" w:rsidRDefault="006E29E0">
      <w:pPr>
        <w:pStyle w:val="TOC1"/>
        <w:rPr>
          <w:rFonts w:asciiTheme="minorHAnsi" w:eastAsiaTheme="minorEastAsia" w:hAnsiTheme="minorHAnsi"/>
          <w:b w:val="0"/>
          <w:noProof/>
          <w:lang w:eastAsia="en-AU"/>
        </w:rPr>
      </w:pPr>
      <w:hyperlink w:anchor="_Toc135331243" w:history="1">
        <w:r w:rsidR="00385CB8" w:rsidRPr="009D326E">
          <w:rPr>
            <w:rStyle w:val="Hyperlink"/>
            <w:noProof/>
          </w:rPr>
          <w:t>Chapter 2 – Economic context</w:t>
        </w:r>
        <w:r w:rsidR="00385CB8">
          <w:rPr>
            <w:noProof/>
            <w:webHidden/>
          </w:rPr>
          <w:tab/>
        </w:r>
        <w:r w:rsidR="00385CB8">
          <w:rPr>
            <w:noProof/>
            <w:webHidden/>
          </w:rPr>
          <w:fldChar w:fldCharType="begin"/>
        </w:r>
        <w:r w:rsidR="00385CB8">
          <w:rPr>
            <w:noProof/>
            <w:webHidden/>
          </w:rPr>
          <w:instrText xml:space="preserve"> PAGEREF _Toc135331243 \h </w:instrText>
        </w:r>
        <w:r w:rsidR="00385CB8">
          <w:rPr>
            <w:noProof/>
            <w:webHidden/>
          </w:rPr>
        </w:r>
        <w:r w:rsidR="00385CB8">
          <w:rPr>
            <w:noProof/>
            <w:webHidden/>
          </w:rPr>
          <w:fldChar w:fldCharType="separate"/>
        </w:r>
        <w:r w:rsidR="00385CB8">
          <w:rPr>
            <w:noProof/>
            <w:webHidden/>
          </w:rPr>
          <w:t>21</w:t>
        </w:r>
        <w:r w:rsidR="00385CB8">
          <w:rPr>
            <w:noProof/>
            <w:webHidden/>
          </w:rPr>
          <w:fldChar w:fldCharType="end"/>
        </w:r>
      </w:hyperlink>
    </w:p>
    <w:p w14:paraId="36AC424E" w14:textId="23B7495E" w:rsidR="00385CB8" w:rsidRDefault="006E29E0" w:rsidP="00385CB8">
      <w:pPr>
        <w:pStyle w:val="TOC2"/>
        <w:rPr>
          <w:rFonts w:asciiTheme="minorHAnsi" w:eastAsiaTheme="minorEastAsia" w:hAnsiTheme="minorHAnsi"/>
          <w:noProof/>
          <w:lang w:eastAsia="en-AU"/>
        </w:rPr>
      </w:pPr>
      <w:hyperlink w:anchor="_Toc135331244" w:history="1">
        <w:r w:rsidR="00385CB8" w:rsidRPr="009D326E">
          <w:rPr>
            <w:rStyle w:val="Hyperlink"/>
            <w:noProof/>
          </w:rPr>
          <w:t>Victorian economic conditions and outlook</w:t>
        </w:r>
        <w:r w:rsidR="00385CB8">
          <w:rPr>
            <w:noProof/>
            <w:webHidden/>
          </w:rPr>
          <w:tab/>
        </w:r>
        <w:r w:rsidR="00385CB8">
          <w:rPr>
            <w:noProof/>
            <w:webHidden/>
          </w:rPr>
          <w:fldChar w:fldCharType="begin"/>
        </w:r>
        <w:r w:rsidR="00385CB8">
          <w:rPr>
            <w:noProof/>
            <w:webHidden/>
          </w:rPr>
          <w:instrText xml:space="preserve"> PAGEREF _Toc135331244 \h </w:instrText>
        </w:r>
        <w:r w:rsidR="00385CB8">
          <w:rPr>
            <w:noProof/>
            <w:webHidden/>
          </w:rPr>
        </w:r>
        <w:r w:rsidR="00385CB8">
          <w:rPr>
            <w:noProof/>
            <w:webHidden/>
          </w:rPr>
          <w:fldChar w:fldCharType="separate"/>
        </w:r>
        <w:r w:rsidR="00385CB8">
          <w:rPr>
            <w:noProof/>
            <w:webHidden/>
          </w:rPr>
          <w:t>21</w:t>
        </w:r>
        <w:r w:rsidR="00385CB8">
          <w:rPr>
            <w:noProof/>
            <w:webHidden/>
          </w:rPr>
          <w:fldChar w:fldCharType="end"/>
        </w:r>
      </w:hyperlink>
    </w:p>
    <w:p w14:paraId="097884A1" w14:textId="410FFB76" w:rsidR="00385CB8" w:rsidRDefault="006E29E0" w:rsidP="00385CB8">
      <w:pPr>
        <w:pStyle w:val="TOC2"/>
        <w:rPr>
          <w:rFonts w:asciiTheme="minorHAnsi" w:eastAsiaTheme="minorEastAsia" w:hAnsiTheme="minorHAnsi"/>
          <w:noProof/>
          <w:lang w:eastAsia="en-AU"/>
        </w:rPr>
      </w:pPr>
      <w:hyperlink w:anchor="_Toc135331245" w:history="1">
        <w:r w:rsidR="00385CB8" w:rsidRPr="009D326E">
          <w:rPr>
            <w:rStyle w:val="Hyperlink"/>
            <w:noProof/>
          </w:rPr>
          <w:t>Other economic indicators</w:t>
        </w:r>
        <w:r w:rsidR="00385CB8">
          <w:rPr>
            <w:noProof/>
            <w:webHidden/>
          </w:rPr>
          <w:tab/>
        </w:r>
        <w:r w:rsidR="00385CB8">
          <w:rPr>
            <w:noProof/>
            <w:webHidden/>
          </w:rPr>
          <w:fldChar w:fldCharType="begin"/>
        </w:r>
        <w:r w:rsidR="00385CB8">
          <w:rPr>
            <w:noProof/>
            <w:webHidden/>
          </w:rPr>
          <w:instrText xml:space="preserve"> PAGEREF _Toc135331245 \h </w:instrText>
        </w:r>
        <w:r w:rsidR="00385CB8">
          <w:rPr>
            <w:noProof/>
            <w:webHidden/>
          </w:rPr>
        </w:r>
        <w:r w:rsidR="00385CB8">
          <w:rPr>
            <w:noProof/>
            <w:webHidden/>
          </w:rPr>
          <w:fldChar w:fldCharType="separate"/>
        </w:r>
        <w:r w:rsidR="00385CB8">
          <w:rPr>
            <w:noProof/>
            <w:webHidden/>
          </w:rPr>
          <w:t>29</w:t>
        </w:r>
        <w:r w:rsidR="00385CB8">
          <w:rPr>
            <w:noProof/>
            <w:webHidden/>
          </w:rPr>
          <w:fldChar w:fldCharType="end"/>
        </w:r>
      </w:hyperlink>
    </w:p>
    <w:p w14:paraId="6F84C33E" w14:textId="22B51EAA" w:rsidR="00385CB8" w:rsidRDefault="006E29E0" w:rsidP="00385CB8">
      <w:pPr>
        <w:pStyle w:val="TOC2"/>
        <w:rPr>
          <w:rFonts w:asciiTheme="minorHAnsi" w:eastAsiaTheme="minorEastAsia" w:hAnsiTheme="minorHAnsi"/>
          <w:noProof/>
          <w:lang w:eastAsia="en-AU"/>
        </w:rPr>
      </w:pPr>
      <w:hyperlink w:anchor="_Toc135331246" w:history="1">
        <w:r w:rsidR="00385CB8" w:rsidRPr="009D326E">
          <w:rPr>
            <w:rStyle w:val="Hyperlink"/>
            <w:noProof/>
          </w:rPr>
          <w:t>Australian economic conditions and outlook</w:t>
        </w:r>
        <w:r w:rsidR="00385CB8">
          <w:rPr>
            <w:noProof/>
            <w:webHidden/>
          </w:rPr>
          <w:tab/>
        </w:r>
        <w:r w:rsidR="00385CB8">
          <w:rPr>
            <w:noProof/>
            <w:webHidden/>
          </w:rPr>
          <w:fldChar w:fldCharType="begin"/>
        </w:r>
        <w:r w:rsidR="00385CB8">
          <w:rPr>
            <w:noProof/>
            <w:webHidden/>
          </w:rPr>
          <w:instrText xml:space="preserve"> PAGEREF _Toc135331246 \h </w:instrText>
        </w:r>
        <w:r w:rsidR="00385CB8">
          <w:rPr>
            <w:noProof/>
            <w:webHidden/>
          </w:rPr>
        </w:r>
        <w:r w:rsidR="00385CB8">
          <w:rPr>
            <w:noProof/>
            <w:webHidden/>
          </w:rPr>
          <w:fldChar w:fldCharType="separate"/>
        </w:r>
        <w:r w:rsidR="00385CB8">
          <w:rPr>
            <w:noProof/>
            <w:webHidden/>
          </w:rPr>
          <w:t>37</w:t>
        </w:r>
        <w:r w:rsidR="00385CB8">
          <w:rPr>
            <w:noProof/>
            <w:webHidden/>
          </w:rPr>
          <w:fldChar w:fldCharType="end"/>
        </w:r>
      </w:hyperlink>
    </w:p>
    <w:p w14:paraId="5343088D" w14:textId="7CC30D8B" w:rsidR="00385CB8" w:rsidRDefault="006E29E0" w:rsidP="00385CB8">
      <w:pPr>
        <w:pStyle w:val="TOC2"/>
        <w:rPr>
          <w:rFonts w:asciiTheme="minorHAnsi" w:eastAsiaTheme="minorEastAsia" w:hAnsiTheme="minorHAnsi"/>
          <w:noProof/>
          <w:lang w:eastAsia="en-AU"/>
        </w:rPr>
      </w:pPr>
      <w:hyperlink w:anchor="_Toc135331247" w:history="1">
        <w:r w:rsidR="00385CB8" w:rsidRPr="009D326E">
          <w:rPr>
            <w:rStyle w:val="Hyperlink"/>
            <w:noProof/>
          </w:rPr>
          <w:t>International economic conditions and outlook</w:t>
        </w:r>
        <w:r w:rsidR="00385CB8">
          <w:rPr>
            <w:noProof/>
            <w:webHidden/>
          </w:rPr>
          <w:tab/>
        </w:r>
        <w:r w:rsidR="00385CB8">
          <w:rPr>
            <w:noProof/>
            <w:webHidden/>
          </w:rPr>
          <w:fldChar w:fldCharType="begin"/>
        </w:r>
        <w:r w:rsidR="00385CB8">
          <w:rPr>
            <w:noProof/>
            <w:webHidden/>
          </w:rPr>
          <w:instrText xml:space="preserve"> PAGEREF _Toc135331247 \h </w:instrText>
        </w:r>
        <w:r w:rsidR="00385CB8">
          <w:rPr>
            <w:noProof/>
            <w:webHidden/>
          </w:rPr>
        </w:r>
        <w:r w:rsidR="00385CB8">
          <w:rPr>
            <w:noProof/>
            <w:webHidden/>
          </w:rPr>
          <w:fldChar w:fldCharType="separate"/>
        </w:r>
        <w:r w:rsidR="00385CB8">
          <w:rPr>
            <w:noProof/>
            <w:webHidden/>
          </w:rPr>
          <w:t>38</w:t>
        </w:r>
        <w:r w:rsidR="00385CB8">
          <w:rPr>
            <w:noProof/>
            <w:webHidden/>
          </w:rPr>
          <w:fldChar w:fldCharType="end"/>
        </w:r>
      </w:hyperlink>
    </w:p>
    <w:p w14:paraId="4DABD9C5" w14:textId="223819EA" w:rsidR="00385CB8" w:rsidRDefault="006E29E0" w:rsidP="00385CB8">
      <w:pPr>
        <w:pStyle w:val="TOC2"/>
        <w:rPr>
          <w:rFonts w:asciiTheme="minorHAnsi" w:eastAsiaTheme="minorEastAsia" w:hAnsiTheme="minorHAnsi"/>
          <w:noProof/>
          <w:lang w:eastAsia="en-AU"/>
        </w:rPr>
      </w:pPr>
      <w:hyperlink w:anchor="_Toc135331248" w:history="1">
        <w:r w:rsidR="00385CB8" w:rsidRPr="009D326E">
          <w:rPr>
            <w:rStyle w:val="Hyperlink"/>
            <w:noProof/>
          </w:rPr>
          <w:t>Risks to the Victorian outlook</w:t>
        </w:r>
        <w:r w:rsidR="00385CB8">
          <w:rPr>
            <w:noProof/>
            <w:webHidden/>
          </w:rPr>
          <w:tab/>
        </w:r>
        <w:r w:rsidR="00385CB8">
          <w:rPr>
            <w:noProof/>
            <w:webHidden/>
          </w:rPr>
          <w:fldChar w:fldCharType="begin"/>
        </w:r>
        <w:r w:rsidR="00385CB8">
          <w:rPr>
            <w:noProof/>
            <w:webHidden/>
          </w:rPr>
          <w:instrText xml:space="preserve"> PAGEREF _Toc135331248 \h </w:instrText>
        </w:r>
        <w:r w:rsidR="00385CB8">
          <w:rPr>
            <w:noProof/>
            <w:webHidden/>
          </w:rPr>
        </w:r>
        <w:r w:rsidR="00385CB8">
          <w:rPr>
            <w:noProof/>
            <w:webHidden/>
          </w:rPr>
          <w:fldChar w:fldCharType="separate"/>
        </w:r>
        <w:r w:rsidR="00385CB8">
          <w:rPr>
            <w:noProof/>
            <w:webHidden/>
          </w:rPr>
          <w:t>39</w:t>
        </w:r>
        <w:r w:rsidR="00385CB8">
          <w:rPr>
            <w:noProof/>
            <w:webHidden/>
          </w:rPr>
          <w:fldChar w:fldCharType="end"/>
        </w:r>
      </w:hyperlink>
    </w:p>
    <w:p w14:paraId="54CE3E85" w14:textId="05E0AFE2" w:rsidR="00385CB8" w:rsidRDefault="006E29E0">
      <w:pPr>
        <w:pStyle w:val="TOC1"/>
        <w:rPr>
          <w:rFonts w:asciiTheme="minorHAnsi" w:eastAsiaTheme="minorEastAsia" w:hAnsiTheme="minorHAnsi"/>
          <w:b w:val="0"/>
          <w:noProof/>
          <w:lang w:eastAsia="en-AU"/>
        </w:rPr>
      </w:pPr>
      <w:hyperlink w:anchor="_Toc135331249" w:history="1">
        <w:r w:rsidR="00385CB8" w:rsidRPr="009D326E">
          <w:rPr>
            <w:rStyle w:val="Hyperlink"/>
            <w:noProof/>
          </w:rPr>
          <w:t>Chapter 3 – Sustaining economic growth</w:t>
        </w:r>
        <w:r w:rsidR="00385CB8">
          <w:rPr>
            <w:noProof/>
            <w:webHidden/>
          </w:rPr>
          <w:tab/>
        </w:r>
        <w:r w:rsidR="00385CB8">
          <w:rPr>
            <w:noProof/>
            <w:webHidden/>
          </w:rPr>
          <w:fldChar w:fldCharType="begin"/>
        </w:r>
        <w:r w:rsidR="00385CB8">
          <w:rPr>
            <w:noProof/>
            <w:webHidden/>
          </w:rPr>
          <w:instrText xml:space="preserve"> PAGEREF _Toc135331249 \h </w:instrText>
        </w:r>
        <w:r w:rsidR="00385CB8">
          <w:rPr>
            <w:noProof/>
            <w:webHidden/>
          </w:rPr>
        </w:r>
        <w:r w:rsidR="00385CB8">
          <w:rPr>
            <w:noProof/>
            <w:webHidden/>
          </w:rPr>
          <w:fldChar w:fldCharType="separate"/>
        </w:r>
        <w:r w:rsidR="00385CB8">
          <w:rPr>
            <w:noProof/>
            <w:webHidden/>
          </w:rPr>
          <w:t>41</w:t>
        </w:r>
        <w:r w:rsidR="00385CB8">
          <w:rPr>
            <w:noProof/>
            <w:webHidden/>
          </w:rPr>
          <w:fldChar w:fldCharType="end"/>
        </w:r>
      </w:hyperlink>
    </w:p>
    <w:p w14:paraId="074159FF" w14:textId="71BA8FC2" w:rsidR="00385CB8" w:rsidRDefault="006E29E0" w:rsidP="00385CB8">
      <w:pPr>
        <w:pStyle w:val="TOC2"/>
        <w:rPr>
          <w:rFonts w:asciiTheme="minorHAnsi" w:eastAsiaTheme="minorEastAsia" w:hAnsiTheme="minorHAnsi"/>
          <w:noProof/>
          <w:lang w:eastAsia="en-AU"/>
        </w:rPr>
      </w:pPr>
      <w:hyperlink w:anchor="_Toc135331250" w:history="1">
        <w:r w:rsidR="00385CB8" w:rsidRPr="009D326E">
          <w:rPr>
            <w:rStyle w:val="Hyperlink"/>
            <w:noProof/>
          </w:rPr>
          <w:t>Sustaining growth by building on Victoria’s strengths</w:t>
        </w:r>
        <w:r w:rsidR="00385CB8">
          <w:rPr>
            <w:noProof/>
            <w:webHidden/>
          </w:rPr>
          <w:tab/>
        </w:r>
        <w:r w:rsidR="00385CB8">
          <w:rPr>
            <w:noProof/>
            <w:webHidden/>
          </w:rPr>
          <w:fldChar w:fldCharType="begin"/>
        </w:r>
        <w:r w:rsidR="00385CB8">
          <w:rPr>
            <w:noProof/>
            <w:webHidden/>
          </w:rPr>
          <w:instrText xml:space="preserve"> PAGEREF _Toc135331250 \h </w:instrText>
        </w:r>
        <w:r w:rsidR="00385CB8">
          <w:rPr>
            <w:noProof/>
            <w:webHidden/>
          </w:rPr>
        </w:r>
        <w:r w:rsidR="00385CB8">
          <w:rPr>
            <w:noProof/>
            <w:webHidden/>
          </w:rPr>
          <w:fldChar w:fldCharType="separate"/>
        </w:r>
        <w:r w:rsidR="00385CB8">
          <w:rPr>
            <w:noProof/>
            <w:webHidden/>
          </w:rPr>
          <w:t>41</w:t>
        </w:r>
        <w:r w:rsidR="00385CB8">
          <w:rPr>
            <w:noProof/>
            <w:webHidden/>
          </w:rPr>
          <w:fldChar w:fldCharType="end"/>
        </w:r>
      </w:hyperlink>
    </w:p>
    <w:p w14:paraId="712651C4" w14:textId="6D5CF63B" w:rsidR="00385CB8" w:rsidRDefault="006E29E0" w:rsidP="00385CB8">
      <w:pPr>
        <w:pStyle w:val="TOC2"/>
        <w:rPr>
          <w:rFonts w:asciiTheme="minorHAnsi" w:eastAsiaTheme="minorEastAsia" w:hAnsiTheme="minorHAnsi"/>
          <w:noProof/>
          <w:lang w:eastAsia="en-AU"/>
        </w:rPr>
      </w:pPr>
      <w:hyperlink w:anchor="_Toc135331251" w:history="1">
        <w:r w:rsidR="00385CB8" w:rsidRPr="009D326E">
          <w:rPr>
            <w:rStyle w:val="Hyperlink"/>
            <w:noProof/>
          </w:rPr>
          <w:t>Investing in growth</w:t>
        </w:r>
        <w:r w:rsidR="00385CB8">
          <w:rPr>
            <w:noProof/>
            <w:webHidden/>
          </w:rPr>
          <w:tab/>
        </w:r>
        <w:r w:rsidR="00385CB8">
          <w:rPr>
            <w:noProof/>
            <w:webHidden/>
          </w:rPr>
          <w:fldChar w:fldCharType="begin"/>
        </w:r>
        <w:r w:rsidR="00385CB8">
          <w:rPr>
            <w:noProof/>
            <w:webHidden/>
          </w:rPr>
          <w:instrText xml:space="preserve"> PAGEREF _Toc135331251 \h </w:instrText>
        </w:r>
        <w:r w:rsidR="00385CB8">
          <w:rPr>
            <w:noProof/>
            <w:webHidden/>
          </w:rPr>
        </w:r>
        <w:r w:rsidR="00385CB8">
          <w:rPr>
            <w:noProof/>
            <w:webHidden/>
          </w:rPr>
          <w:fldChar w:fldCharType="separate"/>
        </w:r>
        <w:r w:rsidR="00385CB8">
          <w:rPr>
            <w:noProof/>
            <w:webHidden/>
          </w:rPr>
          <w:t>44</w:t>
        </w:r>
        <w:r w:rsidR="00385CB8">
          <w:rPr>
            <w:noProof/>
            <w:webHidden/>
          </w:rPr>
          <w:fldChar w:fldCharType="end"/>
        </w:r>
      </w:hyperlink>
    </w:p>
    <w:p w14:paraId="661BCD01" w14:textId="3A2C1971" w:rsidR="00385CB8" w:rsidRDefault="006E29E0">
      <w:pPr>
        <w:pStyle w:val="TOC1"/>
        <w:rPr>
          <w:rFonts w:asciiTheme="minorHAnsi" w:eastAsiaTheme="minorEastAsia" w:hAnsiTheme="minorHAnsi"/>
          <w:b w:val="0"/>
          <w:noProof/>
          <w:lang w:eastAsia="en-AU"/>
        </w:rPr>
      </w:pPr>
      <w:hyperlink w:anchor="_Toc135331252" w:history="1">
        <w:r w:rsidR="00385CB8" w:rsidRPr="009D326E">
          <w:rPr>
            <w:rStyle w:val="Hyperlink"/>
            <w:noProof/>
          </w:rPr>
          <w:t>Chapter 4 – Budget position and outlook</w:t>
        </w:r>
        <w:r w:rsidR="00385CB8">
          <w:rPr>
            <w:noProof/>
            <w:webHidden/>
          </w:rPr>
          <w:tab/>
        </w:r>
        <w:r w:rsidR="00385CB8">
          <w:rPr>
            <w:noProof/>
            <w:webHidden/>
          </w:rPr>
          <w:fldChar w:fldCharType="begin"/>
        </w:r>
        <w:r w:rsidR="00385CB8">
          <w:rPr>
            <w:noProof/>
            <w:webHidden/>
          </w:rPr>
          <w:instrText xml:space="preserve"> PAGEREF _Toc135331252 \h </w:instrText>
        </w:r>
        <w:r w:rsidR="00385CB8">
          <w:rPr>
            <w:noProof/>
            <w:webHidden/>
          </w:rPr>
        </w:r>
        <w:r w:rsidR="00385CB8">
          <w:rPr>
            <w:noProof/>
            <w:webHidden/>
          </w:rPr>
          <w:fldChar w:fldCharType="separate"/>
        </w:r>
        <w:r w:rsidR="00385CB8">
          <w:rPr>
            <w:noProof/>
            <w:webHidden/>
          </w:rPr>
          <w:t>51</w:t>
        </w:r>
        <w:r w:rsidR="00385CB8">
          <w:rPr>
            <w:noProof/>
            <w:webHidden/>
          </w:rPr>
          <w:fldChar w:fldCharType="end"/>
        </w:r>
      </w:hyperlink>
    </w:p>
    <w:p w14:paraId="5394827E" w14:textId="420A6DE8" w:rsidR="00385CB8" w:rsidRDefault="006E29E0" w:rsidP="00385CB8">
      <w:pPr>
        <w:pStyle w:val="TOC2"/>
        <w:rPr>
          <w:rFonts w:asciiTheme="minorHAnsi" w:eastAsiaTheme="minorEastAsia" w:hAnsiTheme="minorHAnsi"/>
          <w:noProof/>
          <w:lang w:eastAsia="en-AU"/>
        </w:rPr>
      </w:pPr>
      <w:hyperlink w:anchor="_Toc135331253" w:history="1">
        <w:r w:rsidR="00385CB8" w:rsidRPr="009D326E">
          <w:rPr>
            <w:rStyle w:val="Hyperlink"/>
            <w:noProof/>
          </w:rPr>
          <w:t>General government sector</w:t>
        </w:r>
        <w:r w:rsidR="00385CB8">
          <w:rPr>
            <w:noProof/>
            <w:webHidden/>
          </w:rPr>
          <w:tab/>
        </w:r>
        <w:r w:rsidR="00385CB8">
          <w:rPr>
            <w:noProof/>
            <w:webHidden/>
          </w:rPr>
          <w:fldChar w:fldCharType="begin"/>
        </w:r>
        <w:r w:rsidR="00385CB8">
          <w:rPr>
            <w:noProof/>
            <w:webHidden/>
          </w:rPr>
          <w:instrText xml:space="preserve"> PAGEREF _Toc135331253 \h </w:instrText>
        </w:r>
        <w:r w:rsidR="00385CB8">
          <w:rPr>
            <w:noProof/>
            <w:webHidden/>
          </w:rPr>
        </w:r>
        <w:r w:rsidR="00385CB8">
          <w:rPr>
            <w:noProof/>
            <w:webHidden/>
          </w:rPr>
          <w:fldChar w:fldCharType="separate"/>
        </w:r>
        <w:r w:rsidR="00385CB8">
          <w:rPr>
            <w:noProof/>
            <w:webHidden/>
          </w:rPr>
          <w:t>52</w:t>
        </w:r>
        <w:r w:rsidR="00385CB8">
          <w:rPr>
            <w:noProof/>
            <w:webHidden/>
          </w:rPr>
          <w:fldChar w:fldCharType="end"/>
        </w:r>
      </w:hyperlink>
    </w:p>
    <w:p w14:paraId="035F0188" w14:textId="6C4F53DF" w:rsidR="00385CB8" w:rsidRDefault="006E29E0" w:rsidP="00385CB8">
      <w:pPr>
        <w:pStyle w:val="TOC2"/>
        <w:rPr>
          <w:rFonts w:asciiTheme="minorHAnsi" w:eastAsiaTheme="minorEastAsia" w:hAnsiTheme="minorHAnsi"/>
          <w:noProof/>
          <w:lang w:eastAsia="en-AU"/>
        </w:rPr>
      </w:pPr>
      <w:hyperlink w:anchor="_Toc135331254" w:history="1">
        <w:r w:rsidR="00385CB8" w:rsidRPr="009D326E">
          <w:rPr>
            <w:rStyle w:val="Hyperlink"/>
            <w:noProof/>
          </w:rPr>
          <w:t>Budget and forward estimates outlook</w:t>
        </w:r>
        <w:r w:rsidR="00385CB8">
          <w:rPr>
            <w:noProof/>
            <w:webHidden/>
          </w:rPr>
          <w:tab/>
        </w:r>
        <w:r w:rsidR="00385CB8">
          <w:rPr>
            <w:noProof/>
            <w:webHidden/>
          </w:rPr>
          <w:fldChar w:fldCharType="begin"/>
        </w:r>
        <w:r w:rsidR="00385CB8">
          <w:rPr>
            <w:noProof/>
            <w:webHidden/>
          </w:rPr>
          <w:instrText xml:space="preserve"> PAGEREF _Toc135331254 \h </w:instrText>
        </w:r>
        <w:r w:rsidR="00385CB8">
          <w:rPr>
            <w:noProof/>
            <w:webHidden/>
          </w:rPr>
        </w:r>
        <w:r w:rsidR="00385CB8">
          <w:rPr>
            <w:noProof/>
            <w:webHidden/>
          </w:rPr>
          <w:fldChar w:fldCharType="separate"/>
        </w:r>
        <w:r w:rsidR="00385CB8">
          <w:rPr>
            <w:noProof/>
            <w:webHidden/>
          </w:rPr>
          <w:t>54</w:t>
        </w:r>
        <w:r w:rsidR="00385CB8">
          <w:rPr>
            <w:noProof/>
            <w:webHidden/>
          </w:rPr>
          <w:fldChar w:fldCharType="end"/>
        </w:r>
      </w:hyperlink>
    </w:p>
    <w:p w14:paraId="6ECA6524" w14:textId="6415D450" w:rsidR="00385CB8" w:rsidRDefault="006E29E0" w:rsidP="00385CB8">
      <w:pPr>
        <w:pStyle w:val="TOC2"/>
        <w:rPr>
          <w:rFonts w:asciiTheme="minorHAnsi" w:eastAsiaTheme="minorEastAsia" w:hAnsiTheme="minorHAnsi"/>
          <w:noProof/>
          <w:lang w:eastAsia="en-AU"/>
        </w:rPr>
      </w:pPr>
      <w:hyperlink w:anchor="_Toc135331255" w:history="1">
        <w:r w:rsidR="00385CB8" w:rsidRPr="009D326E">
          <w:rPr>
            <w:rStyle w:val="Hyperlink"/>
            <w:noProof/>
          </w:rPr>
          <w:t>Fiscal risks</w:t>
        </w:r>
        <w:r w:rsidR="00385CB8">
          <w:rPr>
            <w:noProof/>
            <w:webHidden/>
          </w:rPr>
          <w:tab/>
        </w:r>
        <w:r w:rsidR="00385CB8">
          <w:rPr>
            <w:noProof/>
            <w:webHidden/>
          </w:rPr>
          <w:fldChar w:fldCharType="begin"/>
        </w:r>
        <w:r w:rsidR="00385CB8">
          <w:rPr>
            <w:noProof/>
            <w:webHidden/>
          </w:rPr>
          <w:instrText xml:space="preserve"> PAGEREF _Toc135331255 \h </w:instrText>
        </w:r>
        <w:r w:rsidR="00385CB8">
          <w:rPr>
            <w:noProof/>
            <w:webHidden/>
          </w:rPr>
        </w:r>
        <w:r w:rsidR="00385CB8">
          <w:rPr>
            <w:noProof/>
            <w:webHidden/>
          </w:rPr>
          <w:fldChar w:fldCharType="separate"/>
        </w:r>
        <w:r w:rsidR="00385CB8">
          <w:rPr>
            <w:noProof/>
            <w:webHidden/>
          </w:rPr>
          <w:t>63</w:t>
        </w:r>
        <w:r w:rsidR="00385CB8">
          <w:rPr>
            <w:noProof/>
            <w:webHidden/>
          </w:rPr>
          <w:fldChar w:fldCharType="end"/>
        </w:r>
      </w:hyperlink>
    </w:p>
    <w:p w14:paraId="659712C2" w14:textId="03C5A8E4" w:rsidR="00385CB8" w:rsidRDefault="006E29E0">
      <w:pPr>
        <w:pStyle w:val="TOC1"/>
        <w:rPr>
          <w:rFonts w:asciiTheme="minorHAnsi" w:eastAsiaTheme="minorEastAsia" w:hAnsiTheme="minorHAnsi"/>
          <w:b w:val="0"/>
          <w:noProof/>
          <w:lang w:eastAsia="en-AU"/>
        </w:rPr>
      </w:pPr>
      <w:hyperlink w:anchor="_Toc135331256" w:history="1">
        <w:r w:rsidR="00385CB8" w:rsidRPr="009D326E">
          <w:rPr>
            <w:rStyle w:val="Hyperlink"/>
            <w:noProof/>
          </w:rPr>
          <w:t>Chapter 5 – Position and outlook of the broader public sector</w:t>
        </w:r>
        <w:r w:rsidR="00385CB8">
          <w:rPr>
            <w:noProof/>
            <w:webHidden/>
          </w:rPr>
          <w:tab/>
        </w:r>
        <w:r w:rsidR="00385CB8">
          <w:rPr>
            <w:noProof/>
            <w:webHidden/>
          </w:rPr>
          <w:fldChar w:fldCharType="begin"/>
        </w:r>
        <w:r w:rsidR="00385CB8">
          <w:rPr>
            <w:noProof/>
            <w:webHidden/>
          </w:rPr>
          <w:instrText xml:space="preserve"> PAGEREF _Toc135331256 \h </w:instrText>
        </w:r>
        <w:r w:rsidR="00385CB8">
          <w:rPr>
            <w:noProof/>
            <w:webHidden/>
          </w:rPr>
        </w:r>
        <w:r w:rsidR="00385CB8">
          <w:rPr>
            <w:noProof/>
            <w:webHidden/>
          </w:rPr>
          <w:fldChar w:fldCharType="separate"/>
        </w:r>
        <w:r w:rsidR="00385CB8">
          <w:rPr>
            <w:noProof/>
            <w:webHidden/>
          </w:rPr>
          <w:t>71</w:t>
        </w:r>
        <w:r w:rsidR="00385CB8">
          <w:rPr>
            <w:noProof/>
            <w:webHidden/>
          </w:rPr>
          <w:fldChar w:fldCharType="end"/>
        </w:r>
      </w:hyperlink>
    </w:p>
    <w:p w14:paraId="6FB77FE7" w14:textId="2E00D0D7" w:rsidR="00385CB8" w:rsidRDefault="006E29E0" w:rsidP="00385CB8">
      <w:pPr>
        <w:pStyle w:val="TOC2"/>
        <w:rPr>
          <w:rFonts w:asciiTheme="minorHAnsi" w:eastAsiaTheme="minorEastAsia" w:hAnsiTheme="minorHAnsi"/>
          <w:noProof/>
          <w:lang w:eastAsia="en-AU"/>
        </w:rPr>
      </w:pPr>
      <w:hyperlink w:anchor="_Toc135331257" w:history="1">
        <w:r w:rsidR="00385CB8" w:rsidRPr="009D326E">
          <w:rPr>
            <w:rStyle w:val="Hyperlink"/>
            <w:noProof/>
          </w:rPr>
          <w:t>Public non-financial corporations sector</w:t>
        </w:r>
        <w:r w:rsidR="00385CB8">
          <w:rPr>
            <w:noProof/>
            <w:webHidden/>
          </w:rPr>
          <w:tab/>
        </w:r>
        <w:r w:rsidR="00385CB8">
          <w:rPr>
            <w:noProof/>
            <w:webHidden/>
          </w:rPr>
          <w:fldChar w:fldCharType="begin"/>
        </w:r>
        <w:r w:rsidR="00385CB8">
          <w:rPr>
            <w:noProof/>
            <w:webHidden/>
          </w:rPr>
          <w:instrText xml:space="preserve"> PAGEREF _Toc135331257 \h </w:instrText>
        </w:r>
        <w:r w:rsidR="00385CB8">
          <w:rPr>
            <w:noProof/>
            <w:webHidden/>
          </w:rPr>
        </w:r>
        <w:r w:rsidR="00385CB8">
          <w:rPr>
            <w:noProof/>
            <w:webHidden/>
          </w:rPr>
          <w:fldChar w:fldCharType="separate"/>
        </w:r>
        <w:r w:rsidR="00385CB8">
          <w:rPr>
            <w:noProof/>
            <w:webHidden/>
          </w:rPr>
          <w:t>73</w:t>
        </w:r>
        <w:r w:rsidR="00385CB8">
          <w:rPr>
            <w:noProof/>
            <w:webHidden/>
          </w:rPr>
          <w:fldChar w:fldCharType="end"/>
        </w:r>
      </w:hyperlink>
    </w:p>
    <w:p w14:paraId="6DB2C28B" w14:textId="13DC2BFE" w:rsidR="00385CB8" w:rsidRDefault="006E29E0" w:rsidP="00385CB8">
      <w:pPr>
        <w:pStyle w:val="TOC2"/>
        <w:rPr>
          <w:rFonts w:asciiTheme="minorHAnsi" w:eastAsiaTheme="minorEastAsia" w:hAnsiTheme="minorHAnsi"/>
          <w:noProof/>
          <w:lang w:eastAsia="en-AU"/>
        </w:rPr>
      </w:pPr>
      <w:hyperlink w:anchor="_Toc135331258" w:history="1">
        <w:r w:rsidR="00385CB8" w:rsidRPr="009D326E">
          <w:rPr>
            <w:rStyle w:val="Hyperlink"/>
            <w:noProof/>
          </w:rPr>
          <w:t>Non-financial public sector</w:t>
        </w:r>
        <w:r w:rsidR="00385CB8">
          <w:rPr>
            <w:noProof/>
            <w:webHidden/>
          </w:rPr>
          <w:tab/>
        </w:r>
        <w:r w:rsidR="00385CB8">
          <w:rPr>
            <w:noProof/>
            <w:webHidden/>
          </w:rPr>
          <w:fldChar w:fldCharType="begin"/>
        </w:r>
        <w:r w:rsidR="00385CB8">
          <w:rPr>
            <w:noProof/>
            <w:webHidden/>
          </w:rPr>
          <w:instrText xml:space="preserve"> PAGEREF _Toc135331258 \h </w:instrText>
        </w:r>
        <w:r w:rsidR="00385CB8">
          <w:rPr>
            <w:noProof/>
            <w:webHidden/>
          </w:rPr>
        </w:r>
        <w:r w:rsidR="00385CB8">
          <w:rPr>
            <w:noProof/>
            <w:webHidden/>
          </w:rPr>
          <w:fldChar w:fldCharType="separate"/>
        </w:r>
        <w:r w:rsidR="00385CB8">
          <w:rPr>
            <w:noProof/>
            <w:webHidden/>
          </w:rPr>
          <w:t>75</w:t>
        </w:r>
        <w:r w:rsidR="00385CB8">
          <w:rPr>
            <w:noProof/>
            <w:webHidden/>
          </w:rPr>
          <w:fldChar w:fldCharType="end"/>
        </w:r>
      </w:hyperlink>
    </w:p>
    <w:p w14:paraId="7DDE319F" w14:textId="411A4F8A" w:rsidR="00385CB8" w:rsidRDefault="006E29E0" w:rsidP="00385CB8">
      <w:pPr>
        <w:pStyle w:val="TOC2"/>
        <w:rPr>
          <w:rFonts w:asciiTheme="minorHAnsi" w:eastAsiaTheme="minorEastAsia" w:hAnsiTheme="minorHAnsi"/>
          <w:noProof/>
          <w:lang w:eastAsia="en-AU"/>
        </w:rPr>
      </w:pPr>
      <w:hyperlink w:anchor="_Toc135331259" w:history="1">
        <w:r w:rsidR="00385CB8" w:rsidRPr="009D326E">
          <w:rPr>
            <w:rStyle w:val="Hyperlink"/>
            <w:noProof/>
          </w:rPr>
          <w:t>Public financial corporations sector</w:t>
        </w:r>
        <w:r w:rsidR="00385CB8">
          <w:rPr>
            <w:noProof/>
            <w:webHidden/>
          </w:rPr>
          <w:tab/>
        </w:r>
        <w:r w:rsidR="00385CB8">
          <w:rPr>
            <w:noProof/>
            <w:webHidden/>
          </w:rPr>
          <w:fldChar w:fldCharType="begin"/>
        </w:r>
        <w:r w:rsidR="00385CB8">
          <w:rPr>
            <w:noProof/>
            <w:webHidden/>
          </w:rPr>
          <w:instrText xml:space="preserve"> PAGEREF _Toc135331259 \h </w:instrText>
        </w:r>
        <w:r w:rsidR="00385CB8">
          <w:rPr>
            <w:noProof/>
            <w:webHidden/>
          </w:rPr>
        </w:r>
        <w:r w:rsidR="00385CB8">
          <w:rPr>
            <w:noProof/>
            <w:webHidden/>
          </w:rPr>
          <w:fldChar w:fldCharType="separate"/>
        </w:r>
        <w:r w:rsidR="00385CB8">
          <w:rPr>
            <w:noProof/>
            <w:webHidden/>
          </w:rPr>
          <w:t>80</w:t>
        </w:r>
        <w:r w:rsidR="00385CB8">
          <w:rPr>
            <w:noProof/>
            <w:webHidden/>
          </w:rPr>
          <w:fldChar w:fldCharType="end"/>
        </w:r>
      </w:hyperlink>
    </w:p>
    <w:p w14:paraId="5022ACF4" w14:textId="6A7F49F0" w:rsidR="00385CB8" w:rsidRDefault="006E29E0" w:rsidP="00385CB8">
      <w:pPr>
        <w:pStyle w:val="TOC2"/>
        <w:rPr>
          <w:rFonts w:asciiTheme="minorHAnsi" w:eastAsiaTheme="minorEastAsia" w:hAnsiTheme="minorHAnsi"/>
          <w:noProof/>
          <w:lang w:eastAsia="en-AU"/>
        </w:rPr>
      </w:pPr>
      <w:hyperlink w:anchor="_Toc135331260" w:history="1">
        <w:r w:rsidR="00385CB8" w:rsidRPr="009D326E">
          <w:rPr>
            <w:rStyle w:val="Hyperlink"/>
            <w:noProof/>
          </w:rPr>
          <w:t>State of Victoria</w:t>
        </w:r>
        <w:r w:rsidR="00385CB8">
          <w:rPr>
            <w:noProof/>
            <w:webHidden/>
          </w:rPr>
          <w:tab/>
        </w:r>
        <w:r w:rsidR="00385CB8">
          <w:rPr>
            <w:noProof/>
            <w:webHidden/>
          </w:rPr>
          <w:fldChar w:fldCharType="begin"/>
        </w:r>
        <w:r w:rsidR="00385CB8">
          <w:rPr>
            <w:noProof/>
            <w:webHidden/>
          </w:rPr>
          <w:instrText xml:space="preserve"> PAGEREF _Toc135331260 \h </w:instrText>
        </w:r>
        <w:r w:rsidR="00385CB8">
          <w:rPr>
            <w:noProof/>
            <w:webHidden/>
          </w:rPr>
        </w:r>
        <w:r w:rsidR="00385CB8">
          <w:rPr>
            <w:noProof/>
            <w:webHidden/>
          </w:rPr>
          <w:fldChar w:fldCharType="separate"/>
        </w:r>
        <w:r w:rsidR="00385CB8">
          <w:rPr>
            <w:noProof/>
            <w:webHidden/>
          </w:rPr>
          <w:t>83</w:t>
        </w:r>
        <w:r w:rsidR="00385CB8">
          <w:rPr>
            <w:noProof/>
            <w:webHidden/>
          </w:rPr>
          <w:fldChar w:fldCharType="end"/>
        </w:r>
      </w:hyperlink>
    </w:p>
    <w:p w14:paraId="5D51E0C9" w14:textId="4ACA2383" w:rsidR="00385CB8" w:rsidRDefault="006E29E0">
      <w:pPr>
        <w:pStyle w:val="TOC1"/>
        <w:rPr>
          <w:rFonts w:asciiTheme="minorHAnsi" w:eastAsiaTheme="minorEastAsia" w:hAnsiTheme="minorHAnsi"/>
          <w:b w:val="0"/>
          <w:noProof/>
          <w:lang w:eastAsia="en-AU"/>
        </w:rPr>
      </w:pPr>
      <w:hyperlink w:anchor="_Toc135331261" w:history="1">
        <w:r w:rsidR="00385CB8" w:rsidRPr="009D326E">
          <w:rPr>
            <w:rStyle w:val="Hyperlink"/>
            <w:noProof/>
          </w:rPr>
          <w:t>Appendix A – Sensitivity analysis</w:t>
        </w:r>
        <w:r w:rsidR="00385CB8">
          <w:rPr>
            <w:noProof/>
            <w:webHidden/>
          </w:rPr>
          <w:tab/>
        </w:r>
        <w:r w:rsidR="00385CB8">
          <w:rPr>
            <w:noProof/>
            <w:webHidden/>
          </w:rPr>
          <w:fldChar w:fldCharType="begin"/>
        </w:r>
        <w:r w:rsidR="00385CB8">
          <w:rPr>
            <w:noProof/>
            <w:webHidden/>
          </w:rPr>
          <w:instrText xml:space="preserve"> PAGEREF _Toc135331261 \h </w:instrText>
        </w:r>
        <w:r w:rsidR="00385CB8">
          <w:rPr>
            <w:noProof/>
            <w:webHidden/>
          </w:rPr>
        </w:r>
        <w:r w:rsidR="00385CB8">
          <w:rPr>
            <w:noProof/>
            <w:webHidden/>
          </w:rPr>
          <w:fldChar w:fldCharType="separate"/>
        </w:r>
        <w:r w:rsidR="00385CB8">
          <w:rPr>
            <w:noProof/>
            <w:webHidden/>
          </w:rPr>
          <w:t>85</w:t>
        </w:r>
        <w:r w:rsidR="00385CB8">
          <w:rPr>
            <w:noProof/>
            <w:webHidden/>
          </w:rPr>
          <w:fldChar w:fldCharType="end"/>
        </w:r>
      </w:hyperlink>
    </w:p>
    <w:p w14:paraId="29295830" w14:textId="5C6D3877" w:rsidR="00385CB8" w:rsidRDefault="006E29E0" w:rsidP="00385CB8">
      <w:pPr>
        <w:pStyle w:val="TOC2"/>
        <w:rPr>
          <w:rFonts w:asciiTheme="minorHAnsi" w:eastAsiaTheme="minorEastAsia" w:hAnsiTheme="minorHAnsi"/>
          <w:noProof/>
          <w:lang w:eastAsia="en-AU"/>
        </w:rPr>
      </w:pPr>
      <w:hyperlink w:anchor="_Toc135331262" w:history="1">
        <w:r w:rsidR="00385CB8" w:rsidRPr="009D326E">
          <w:rPr>
            <w:rStyle w:val="Hyperlink"/>
            <w:noProof/>
          </w:rPr>
          <w:t>Fiscal impacts of variations to the economic outlook</w:t>
        </w:r>
        <w:r w:rsidR="00385CB8">
          <w:rPr>
            <w:noProof/>
            <w:webHidden/>
          </w:rPr>
          <w:tab/>
        </w:r>
        <w:r w:rsidR="00385CB8">
          <w:rPr>
            <w:noProof/>
            <w:webHidden/>
          </w:rPr>
          <w:fldChar w:fldCharType="begin"/>
        </w:r>
        <w:r w:rsidR="00385CB8">
          <w:rPr>
            <w:noProof/>
            <w:webHidden/>
          </w:rPr>
          <w:instrText xml:space="preserve"> PAGEREF _Toc135331262 \h </w:instrText>
        </w:r>
        <w:r w:rsidR="00385CB8">
          <w:rPr>
            <w:noProof/>
            <w:webHidden/>
          </w:rPr>
        </w:r>
        <w:r w:rsidR="00385CB8">
          <w:rPr>
            <w:noProof/>
            <w:webHidden/>
          </w:rPr>
          <w:fldChar w:fldCharType="separate"/>
        </w:r>
        <w:r w:rsidR="00385CB8">
          <w:rPr>
            <w:noProof/>
            <w:webHidden/>
          </w:rPr>
          <w:t>86</w:t>
        </w:r>
        <w:r w:rsidR="00385CB8">
          <w:rPr>
            <w:noProof/>
            <w:webHidden/>
          </w:rPr>
          <w:fldChar w:fldCharType="end"/>
        </w:r>
      </w:hyperlink>
    </w:p>
    <w:p w14:paraId="3228E2C2" w14:textId="7FDAA89D" w:rsidR="00385CB8" w:rsidRDefault="006E29E0" w:rsidP="00385CB8">
      <w:pPr>
        <w:pStyle w:val="TOC2"/>
        <w:rPr>
          <w:rFonts w:asciiTheme="minorHAnsi" w:eastAsiaTheme="minorEastAsia" w:hAnsiTheme="minorHAnsi"/>
          <w:noProof/>
          <w:lang w:eastAsia="en-AU"/>
        </w:rPr>
      </w:pPr>
      <w:hyperlink w:anchor="_Toc135331263" w:history="1">
        <w:r w:rsidR="00385CB8" w:rsidRPr="009D326E">
          <w:rPr>
            <w:rStyle w:val="Hyperlink"/>
            <w:noProof/>
          </w:rPr>
          <w:t>Sensitivity to independent variations in major economic parameters</w:t>
        </w:r>
        <w:r w:rsidR="00385CB8">
          <w:rPr>
            <w:noProof/>
            <w:webHidden/>
          </w:rPr>
          <w:tab/>
        </w:r>
        <w:r w:rsidR="00385CB8">
          <w:rPr>
            <w:noProof/>
            <w:webHidden/>
          </w:rPr>
          <w:fldChar w:fldCharType="begin"/>
        </w:r>
        <w:r w:rsidR="00385CB8">
          <w:rPr>
            <w:noProof/>
            <w:webHidden/>
          </w:rPr>
          <w:instrText xml:space="preserve"> PAGEREF _Toc135331263 \h </w:instrText>
        </w:r>
        <w:r w:rsidR="00385CB8">
          <w:rPr>
            <w:noProof/>
            <w:webHidden/>
          </w:rPr>
        </w:r>
        <w:r w:rsidR="00385CB8">
          <w:rPr>
            <w:noProof/>
            <w:webHidden/>
          </w:rPr>
          <w:fldChar w:fldCharType="separate"/>
        </w:r>
        <w:r w:rsidR="00385CB8">
          <w:rPr>
            <w:noProof/>
            <w:webHidden/>
          </w:rPr>
          <w:t>89</w:t>
        </w:r>
        <w:r w:rsidR="00385CB8">
          <w:rPr>
            <w:noProof/>
            <w:webHidden/>
          </w:rPr>
          <w:fldChar w:fldCharType="end"/>
        </w:r>
      </w:hyperlink>
    </w:p>
    <w:p w14:paraId="65900497" w14:textId="0949694C" w:rsidR="00385CB8" w:rsidRDefault="006E29E0">
      <w:pPr>
        <w:pStyle w:val="TOC1"/>
        <w:rPr>
          <w:rFonts w:asciiTheme="minorHAnsi" w:eastAsiaTheme="minorEastAsia" w:hAnsiTheme="minorHAnsi"/>
          <w:b w:val="0"/>
          <w:noProof/>
          <w:lang w:eastAsia="en-AU"/>
        </w:rPr>
      </w:pPr>
      <w:hyperlink w:anchor="_Toc135331264" w:history="1">
        <w:r w:rsidR="00385CB8" w:rsidRPr="009D326E">
          <w:rPr>
            <w:rStyle w:val="Hyperlink"/>
            <w:noProof/>
          </w:rPr>
          <w:t>Style conventions</w:t>
        </w:r>
        <w:r w:rsidR="00385CB8">
          <w:rPr>
            <w:noProof/>
            <w:webHidden/>
          </w:rPr>
          <w:tab/>
        </w:r>
        <w:r w:rsidR="00385CB8">
          <w:rPr>
            <w:noProof/>
            <w:webHidden/>
          </w:rPr>
          <w:fldChar w:fldCharType="begin"/>
        </w:r>
        <w:r w:rsidR="00385CB8">
          <w:rPr>
            <w:noProof/>
            <w:webHidden/>
          </w:rPr>
          <w:instrText xml:space="preserve"> PAGEREF _Toc135331264 \h </w:instrText>
        </w:r>
        <w:r w:rsidR="00385CB8">
          <w:rPr>
            <w:noProof/>
            <w:webHidden/>
          </w:rPr>
        </w:r>
        <w:r w:rsidR="00385CB8">
          <w:rPr>
            <w:noProof/>
            <w:webHidden/>
          </w:rPr>
          <w:fldChar w:fldCharType="separate"/>
        </w:r>
        <w:r w:rsidR="00385CB8">
          <w:rPr>
            <w:noProof/>
            <w:webHidden/>
          </w:rPr>
          <w:t>93</w:t>
        </w:r>
        <w:r w:rsidR="00385CB8">
          <w:rPr>
            <w:noProof/>
            <w:webHidden/>
          </w:rPr>
          <w:fldChar w:fldCharType="end"/>
        </w:r>
      </w:hyperlink>
    </w:p>
    <w:p w14:paraId="7C88E2D6" w14:textId="610D0612" w:rsidR="00DC479B" w:rsidRDefault="00DC479B" w:rsidP="00DC479B">
      <w:r>
        <w:rPr>
          <w:noProof/>
        </w:rPr>
        <w:fldChar w:fldCharType="end"/>
      </w:r>
    </w:p>
    <w:p w14:paraId="7372D265" w14:textId="5D5D7BF4" w:rsidR="00DC479B" w:rsidRDefault="00DC479B" w:rsidP="00DC479B"/>
    <w:p w14:paraId="68B898B7" w14:textId="77777777" w:rsidR="00DC479B" w:rsidRDefault="00DC479B" w:rsidP="00DC479B"/>
    <w:p w14:paraId="0CC79C4B" w14:textId="77777777" w:rsidR="00DC479B" w:rsidRDefault="00DC479B" w:rsidP="00DC479B">
      <w:pPr>
        <w:sectPr w:rsidR="00DC479B" w:rsidSect="0080018A">
          <w:footerReference w:type="even" r:id="rId20"/>
          <w:footerReference w:type="default" r:id="rId21"/>
          <w:type w:val="oddPage"/>
          <w:pgSz w:w="9979" w:h="14175" w:code="34"/>
          <w:pgMar w:top="1134" w:right="1134" w:bottom="1134" w:left="1134" w:header="624" w:footer="567" w:gutter="0"/>
          <w:pgNumType w:fmt="lowerRoman" w:start="1"/>
          <w:cols w:space="708"/>
          <w:docGrid w:linePitch="360"/>
        </w:sectPr>
      </w:pPr>
    </w:p>
    <w:p w14:paraId="38A4DE31" w14:textId="77777777" w:rsidR="00E01C85" w:rsidRPr="00C74228" w:rsidRDefault="00E01C85" w:rsidP="00E01C85">
      <w:pPr>
        <w:pStyle w:val="ChapterHeading"/>
      </w:pPr>
      <w:bookmarkStart w:id="1" w:name="_Toc56718735"/>
      <w:bookmarkStart w:id="2" w:name="_Toc135331239"/>
      <w:r w:rsidRPr="00C74228">
        <w:t xml:space="preserve">Chapter 1 – Economic </w:t>
      </w:r>
      <w:bookmarkEnd w:id="1"/>
      <w:r w:rsidRPr="00C74228">
        <w:t>and fiscal overview</w:t>
      </w:r>
      <w:bookmarkEnd w:id="2"/>
    </w:p>
    <w:p w14:paraId="27ECD6BE" w14:textId="77777777" w:rsidR="00E01C85" w:rsidRPr="00C74228" w:rsidRDefault="00E01C85" w:rsidP="00E01C85">
      <w:pPr>
        <w:pStyle w:val="Heading10"/>
      </w:pPr>
      <w:bookmarkStart w:id="3" w:name="_Toc135331240"/>
      <w:r w:rsidRPr="00C74228">
        <w:t>Record-breaking jobs performance and a growing economy</w:t>
      </w:r>
      <w:bookmarkEnd w:id="3"/>
      <w:r w:rsidRPr="00C74228">
        <w:t xml:space="preserve"> </w:t>
      </w:r>
    </w:p>
    <w:p w14:paraId="43F701CD" w14:textId="0C0BF359" w:rsidR="00E01C85" w:rsidRPr="00C74228" w:rsidRDefault="00E01C85" w:rsidP="00E01C85">
      <w:r w:rsidRPr="00C74228">
        <w:t xml:space="preserve">The Victorian economy is delivering strong employment outcomes and economic growth. Real gross state product (GSP) per person is expected to be </w:t>
      </w:r>
      <w:r>
        <w:t>5.0 </w:t>
      </w:r>
      <w:r w:rsidRPr="00C74228">
        <w:t>per</w:t>
      </w:r>
      <w:r>
        <w:t> </w:t>
      </w:r>
      <w:r w:rsidRPr="00C74228">
        <w:t>cent higher in 2022-23 than it was in 2018-19, the last full year before the COVID</w:t>
      </w:r>
      <w:r>
        <w:noBreakHyphen/>
      </w:r>
      <w:r w:rsidRPr="00C74228">
        <w:t xml:space="preserve">19 pandemic. The rate of unemployment is </w:t>
      </w:r>
      <w:r w:rsidR="00167941">
        <w:t xml:space="preserve">below 4 per cent as it has been for most of the past year – </w:t>
      </w:r>
      <w:r w:rsidR="00EF68B5">
        <w:t xml:space="preserve">which hasn’t happened for nearly 50 years – </w:t>
      </w:r>
      <w:r w:rsidRPr="00C74228">
        <w:t>and underemployment is at multi-decade lows.</w:t>
      </w:r>
    </w:p>
    <w:p w14:paraId="760CF9F3" w14:textId="77777777" w:rsidR="00E01C85" w:rsidRPr="00C74228" w:rsidRDefault="00E01C85" w:rsidP="00E01C85">
      <w:r w:rsidRPr="00C74228">
        <w:t xml:space="preserve">The economy is expected to remain healthy in 2022-23, with real GSP forecast to grow by </w:t>
      </w:r>
      <w:r w:rsidRPr="00D21ABD">
        <w:t>2.75</w:t>
      </w:r>
      <w:r w:rsidRPr="00C74228">
        <w:t> per</w:t>
      </w:r>
      <w:r>
        <w:t> </w:t>
      </w:r>
      <w:r w:rsidRPr="00C74228">
        <w:t>cent. This follows growth of 5.6</w:t>
      </w:r>
      <w:r>
        <w:t> </w:t>
      </w:r>
      <w:r w:rsidRPr="00C74228">
        <w:t>per</w:t>
      </w:r>
      <w:r>
        <w:t> </w:t>
      </w:r>
      <w:r w:rsidRPr="00C74228">
        <w:t xml:space="preserve">cent in 2021-22 which was the highest of all the states and well above national real </w:t>
      </w:r>
      <w:r>
        <w:t>gross domestic product</w:t>
      </w:r>
      <w:r w:rsidRPr="00C74228">
        <w:t xml:space="preserve"> </w:t>
      </w:r>
      <w:r>
        <w:t xml:space="preserve">(GDP) </w:t>
      </w:r>
      <w:r w:rsidRPr="00C74228">
        <w:t xml:space="preserve">growth. </w:t>
      </w:r>
    </w:p>
    <w:p w14:paraId="6ADDCF5E" w14:textId="77777777" w:rsidR="00E01C85" w:rsidRDefault="00E01C85" w:rsidP="00E01C85">
      <w:pPr>
        <w:ind w:right="-119"/>
      </w:pPr>
      <w:r w:rsidRPr="00C74228">
        <w:t>While Victoria’s economy has</w:t>
      </w:r>
      <w:r w:rsidRPr="00C74228" w:rsidDel="00A914D7">
        <w:t xml:space="preserve"> </w:t>
      </w:r>
      <w:r w:rsidRPr="00C74228">
        <w:t xml:space="preserve">recovered following the pandemic, it is now navigating a challenging period with high inflation, rising interest rates, and weakening national and global growth. However, the Victorian economy’s strong foundations mean that most households and businesses are well positioned to meet these challenges. On average, Victorian households have accumulated significant savings over recent years, and business balance sheets are also strong in aggregate. Nonetheless, rising living costs are </w:t>
      </w:r>
      <w:r>
        <w:t>putting pressure on households, and r</w:t>
      </w:r>
      <w:r w:rsidRPr="00C74228">
        <w:t xml:space="preserve">eal GSP growth is expected to slow to </w:t>
      </w:r>
      <w:r w:rsidRPr="00D21ABD">
        <w:t>1.5 </w:t>
      </w:r>
      <w:r w:rsidRPr="00C74228">
        <w:t>per</w:t>
      </w:r>
      <w:r>
        <w:t> </w:t>
      </w:r>
      <w:r w:rsidRPr="00C74228">
        <w:t>cent in 2023</w:t>
      </w:r>
      <w:r>
        <w:noBreakHyphen/>
      </w:r>
      <w:r w:rsidRPr="00C74228">
        <w:t>24 as high inflation and interest rates weigh on the economy, although unemployment is expected to remain low. Later in the forward estimates, economic growth is expected to strengthen as inflation eases and interest rates</w:t>
      </w:r>
      <w:r>
        <w:t xml:space="preserve"> decline </w:t>
      </w:r>
      <w:r w:rsidRPr="00C74228">
        <w:t>(see</w:t>
      </w:r>
      <w:r>
        <w:t> </w:t>
      </w:r>
      <w:r w:rsidRPr="001B2C52">
        <w:t>Chart</w:t>
      </w:r>
      <w:r>
        <w:t> </w:t>
      </w:r>
      <w:r w:rsidRPr="001B2C52">
        <w:t>1.1</w:t>
      </w:r>
      <w:r w:rsidRPr="00C74228">
        <w:t>)</w:t>
      </w:r>
      <w:r>
        <w:t>.</w:t>
      </w:r>
      <w:r w:rsidRPr="00C74228">
        <w:t xml:space="preserve"> </w:t>
      </w:r>
    </w:p>
    <w:p w14:paraId="5A693F29" w14:textId="77777777" w:rsidR="00E01C85" w:rsidRPr="00CE3C7F" w:rsidRDefault="00E01C85" w:rsidP="00E01C85">
      <w:pPr>
        <w:pStyle w:val="TableHeading"/>
      </w:pPr>
      <w:r w:rsidRPr="00CE3C7F">
        <w:t>Chart 1.1:</w:t>
      </w:r>
      <w:r w:rsidRPr="00CE3C7F">
        <w:tab/>
        <w:t>Real economic growth, actual and forecast, Victoria and Australia</w:t>
      </w:r>
    </w:p>
    <w:p w14:paraId="12A8E509" w14:textId="77777777" w:rsidR="00E01C85" w:rsidRDefault="00E01C85" w:rsidP="00E01C85">
      <w:r>
        <w:rPr>
          <w:noProof/>
        </w:rPr>
        <w:drawing>
          <wp:inline distT="0" distB="0" distL="0" distR="0" wp14:anchorId="03FC97C8" wp14:editId="0DBC39BC">
            <wp:extent cx="4855552" cy="3009901"/>
            <wp:effectExtent l="0" t="0" r="2540" b="0"/>
            <wp:docPr id="3" name="Chart 3">
              <a:extLst xmlns:a="http://schemas.openxmlformats.org/drawingml/2006/main">
                <a:ext uri="{FF2B5EF4-FFF2-40B4-BE49-F238E27FC236}">
                  <a16:creationId xmlns:a16="http://schemas.microsoft.com/office/drawing/2014/main" id="{622723D9-B77C-9BAE-43C1-4FCAC68593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4673547" w14:textId="77777777" w:rsidR="00E01C85" w:rsidRPr="00C74228" w:rsidRDefault="00E01C85" w:rsidP="00E01C85">
      <w:pPr>
        <w:pStyle w:val="Source"/>
      </w:pPr>
      <w:r w:rsidRPr="00C74228">
        <w:t>Source</w:t>
      </w:r>
      <w:r>
        <w:t>s</w:t>
      </w:r>
      <w:r w:rsidRPr="00C74228">
        <w:t>: Australian Bureau of Statistics</w:t>
      </w:r>
      <w:r>
        <w:t xml:space="preserve">; Commonwealth Treasury; Department of Treasury and Finance </w:t>
      </w:r>
    </w:p>
    <w:p w14:paraId="3673C8AC" w14:textId="507AA54C" w:rsidR="00E01C85" w:rsidRDefault="00E01C85" w:rsidP="00E01C85">
      <w:r w:rsidRPr="00C74228">
        <w:t xml:space="preserve">The Government’s </w:t>
      </w:r>
      <w:r w:rsidRPr="002E17BE">
        <w:t>Jobs Plan</w:t>
      </w:r>
      <w:r w:rsidRPr="00C74228">
        <w:t xml:space="preserve">, announced as part of the </w:t>
      </w:r>
      <w:r w:rsidRPr="00EE744E">
        <w:rPr>
          <w:i/>
          <w:iCs/>
        </w:rPr>
        <w:t>2020-21 Budget</w:t>
      </w:r>
      <w:r w:rsidRPr="00C74228">
        <w:t xml:space="preserve">, included a target to create 400 000 new jobs by 2025. The strength of Victoria’s economy means that this </w:t>
      </w:r>
      <w:r>
        <w:t>Jobs T</w:t>
      </w:r>
      <w:r w:rsidRPr="00C74228">
        <w:t xml:space="preserve">arget has been met </w:t>
      </w:r>
      <w:r w:rsidRPr="00301EFF">
        <w:t>more than two years</w:t>
      </w:r>
      <w:r w:rsidRPr="00C74228">
        <w:t xml:space="preserve"> early. </w:t>
      </w:r>
      <w:r>
        <w:t>E</w:t>
      </w:r>
      <w:r w:rsidRPr="00C74228">
        <w:t xml:space="preserve">mployment growth has been built on </w:t>
      </w:r>
      <w:r w:rsidRPr="00301EFF">
        <w:t xml:space="preserve">strong </w:t>
      </w:r>
      <w:r w:rsidRPr="00C74228">
        <w:t xml:space="preserve">economic fundamentals and aided by a recovery in population growth </w:t>
      </w:r>
      <w:r w:rsidRPr="00301EFF">
        <w:t>as</w:t>
      </w:r>
      <w:r w:rsidRPr="00C74228">
        <w:t xml:space="preserve"> migration flows increased following the pandemic. Employment has grown by </w:t>
      </w:r>
      <w:r w:rsidR="006D6349">
        <w:t>almost 440 000</w:t>
      </w:r>
      <w:r w:rsidRPr="00C74228">
        <w:t xml:space="preserve"> since its trough in 2020, to </w:t>
      </w:r>
      <w:r w:rsidR="006D6349">
        <w:t>almost</w:t>
      </w:r>
      <w:r w:rsidR="006D6349" w:rsidRPr="00C74228">
        <w:t xml:space="preserve"> </w:t>
      </w:r>
      <w:r w:rsidRPr="00301EFF">
        <w:t>3.6</w:t>
      </w:r>
      <w:r w:rsidRPr="00C74228">
        <w:t xml:space="preserve"> million employed workers, and is forecast to continue to grow strongly in 2022-23 before </w:t>
      </w:r>
      <w:r>
        <w:t>easing</w:t>
      </w:r>
      <w:r w:rsidRPr="00C74228">
        <w:t xml:space="preserve"> in 2023-24. </w:t>
      </w:r>
    </w:p>
    <w:p w14:paraId="12E64D46" w14:textId="24C9909D" w:rsidR="00E01C85" w:rsidRPr="00C74228" w:rsidRDefault="00E01C85" w:rsidP="00E01C85">
      <w:r w:rsidRPr="00301EFF">
        <w:t>The unemployment rate is</w:t>
      </w:r>
      <w:r w:rsidR="00167941">
        <w:t xml:space="preserve"> below 4 per cent as it has been for most of the past year –</w:t>
      </w:r>
      <w:r w:rsidR="00EF68B5">
        <w:t xml:space="preserve"> which hasn’t happened for nearly 50 years</w:t>
      </w:r>
      <w:r w:rsidR="00167941">
        <w:t>.</w:t>
      </w:r>
      <w:r w:rsidRPr="00C74228">
        <w:t xml:space="preserve"> The unemployment rate is forecast to increase </w:t>
      </w:r>
      <w:r>
        <w:t xml:space="preserve">somewhat </w:t>
      </w:r>
      <w:r w:rsidRPr="00C74228">
        <w:t xml:space="preserve">in 2023-24 as higher interest rates and inflation weigh on economic growth. Nevertheless, over the forward estimates the unemployment rate is expected to remain </w:t>
      </w:r>
      <w:r>
        <w:t>historically low</w:t>
      </w:r>
      <w:r w:rsidRPr="00301EFF">
        <w:t xml:space="preserve">. </w:t>
      </w:r>
    </w:p>
    <w:p w14:paraId="282F214A" w14:textId="41B2916B" w:rsidR="00E01C85" w:rsidRPr="00C74228" w:rsidRDefault="00E01C85" w:rsidP="00E01C85">
      <w:r w:rsidRPr="00C74228">
        <w:t>Employment growth has been broad-based</w:t>
      </w:r>
      <w:r>
        <w:t>,</w:t>
      </w:r>
      <w:r w:rsidRPr="00C74228">
        <w:t xml:space="preserve"> with all groups of Victorian workers benefitting from the strong economy. The share of working-age women in employment is </w:t>
      </w:r>
      <w:r w:rsidR="006D6349">
        <w:t>near</w:t>
      </w:r>
      <w:r w:rsidRPr="00301EFF">
        <w:t xml:space="preserve"> a record high</w:t>
      </w:r>
      <w:r w:rsidRPr="00C74228">
        <w:t xml:space="preserve"> and youth unemployment</w:t>
      </w:r>
      <w:r w:rsidRPr="00301EFF">
        <w:t>, at 8.</w:t>
      </w:r>
      <w:r w:rsidR="006D6349">
        <w:t>3</w:t>
      </w:r>
      <w:r>
        <w:t> </w:t>
      </w:r>
      <w:r w:rsidRPr="00301EFF">
        <w:t>per</w:t>
      </w:r>
      <w:r>
        <w:t> </w:t>
      </w:r>
      <w:r w:rsidRPr="00301EFF">
        <w:t xml:space="preserve">cent in the year to </w:t>
      </w:r>
      <w:r w:rsidR="006D6349">
        <w:t>April </w:t>
      </w:r>
      <w:r w:rsidRPr="00301EFF">
        <w:t>2023, is the lowest on record.</w:t>
      </w:r>
      <w:r w:rsidRPr="00C74228">
        <w:t xml:space="preserve"> </w:t>
      </w:r>
      <w:bookmarkStart w:id="4" w:name="OLE_LINK1"/>
      <w:r w:rsidRPr="00C74228">
        <w:t xml:space="preserve">Victorians living in regional cities and rural communities have been among those who have benefitted, with the regional unemployment rate </w:t>
      </w:r>
      <w:r>
        <w:t>very low at</w:t>
      </w:r>
      <w:r w:rsidRPr="00C74228">
        <w:t xml:space="preserve"> </w:t>
      </w:r>
      <w:r w:rsidRPr="00841D98">
        <w:t>3.</w:t>
      </w:r>
      <w:r>
        <w:t>7 </w:t>
      </w:r>
      <w:r w:rsidRPr="00841D98">
        <w:t>per</w:t>
      </w:r>
      <w:r>
        <w:t xml:space="preserve"> </w:t>
      </w:r>
      <w:r w:rsidRPr="00841D98">
        <w:t>cent</w:t>
      </w:r>
      <w:bookmarkEnd w:id="4"/>
      <w:r w:rsidRPr="00C74228">
        <w:t>.</w:t>
      </w:r>
      <w:r>
        <w:t xml:space="preserve"> </w:t>
      </w:r>
      <w:r w:rsidRPr="00C74228">
        <w:t xml:space="preserve">The strength of the labour market has also meant that many Victorians who would like to work more hours are getting the opportunity to do so. The underemployment rate, which captures those who have a job but would like to work more hours, is around the </w:t>
      </w:r>
      <w:r w:rsidRPr="00301EFF">
        <w:t>lowest it has been in 20 years</w:t>
      </w:r>
      <w:r w:rsidRPr="00C74228">
        <w:t>.</w:t>
      </w:r>
    </w:p>
    <w:p w14:paraId="331CE9D4" w14:textId="77777777" w:rsidR="00E01C85" w:rsidRDefault="00E01C85" w:rsidP="00E01C85">
      <w:r w:rsidRPr="00C74228">
        <w:t xml:space="preserve">Inflation has risen over the past year and the Reserve Bank of Australia has sharply increased interest rates in response. These developments are adversely impacting </w:t>
      </w:r>
      <w:r>
        <w:t>many</w:t>
      </w:r>
      <w:r w:rsidRPr="00C74228">
        <w:t xml:space="preserve"> Victorian</w:t>
      </w:r>
      <w:r>
        <w:t>s</w:t>
      </w:r>
      <w:r w:rsidRPr="00C74228">
        <w:t xml:space="preserve">, with </w:t>
      </w:r>
      <w:r>
        <w:t>those</w:t>
      </w:r>
      <w:r w:rsidRPr="00C74228">
        <w:t xml:space="preserve"> on low incomes in particular facing rising cost-of-living pressures. By delivering a strong economy and jobs growth, the Government has ensured that Victorian households and businesses are as well placed as possible to meet this challenging environment. </w:t>
      </w:r>
    </w:p>
    <w:p w14:paraId="77432A9A" w14:textId="77777777" w:rsidR="00E01C85" w:rsidRPr="00C74228" w:rsidRDefault="00E01C85" w:rsidP="00E01C85">
      <w:pPr>
        <w:pStyle w:val="Heading10"/>
      </w:pPr>
      <w:bookmarkStart w:id="5" w:name="_Toc135331241"/>
      <w:r>
        <w:t>Strong financial management</w:t>
      </w:r>
      <w:bookmarkEnd w:id="5"/>
    </w:p>
    <w:p w14:paraId="66C645D0" w14:textId="77777777" w:rsidR="00E01C85" w:rsidRPr="00827DA2" w:rsidRDefault="00E01C85" w:rsidP="00E01C85">
      <w:r w:rsidRPr="00827DA2">
        <w:t xml:space="preserve">Prior to the COVID-19 pandemic, the Government demonstrated its strong financial management by adhering to a robust fiscal framework, including </w:t>
      </w:r>
      <w:r>
        <w:t xml:space="preserve">consistent </w:t>
      </w:r>
      <w:r w:rsidRPr="00827DA2">
        <w:t>operating surpluses and maintaining debt at a sustainable level</w:t>
      </w:r>
      <w:r>
        <w:t>,</w:t>
      </w:r>
      <w:r w:rsidRPr="00827DA2">
        <w:t xml:space="preserve"> while delivering improved services and infrastructure</w:t>
      </w:r>
      <w:r w:rsidRPr="008658D0">
        <w:t xml:space="preserve"> to meet the needs of a growing population</w:t>
      </w:r>
      <w:r w:rsidRPr="00827DA2">
        <w:t>.</w:t>
      </w:r>
    </w:p>
    <w:p w14:paraId="5F711DBE" w14:textId="77777777" w:rsidR="00E01C85" w:rsidRDefault="00E01C85" w:rsidP="00E01C85">
      <w:pPr>
        <w:keepNext/>
      </w:pPr>
      <w:r>
        <w:t xml:space="preserve">However, over the past three years, the </w:t>
      </w:r>
      <w:r w:rsidRPr="00827DA2">
        <w:t xml:space="preserve">pandemic severely impacted the </w:t>
      </w:r>
      <w:r>
        <w:t>s</w:t>
      </w:r>
      <w:r w:rsidRPr="00827DA2">
        <w:t>tate</w:t>
      </w:r>
      <w:r>
        <w:t>’</w:t>
      </w:r>
      <w:r w:rsidRPr="00827DA2">
        <w:t>s financial position and outlook.</w:t>
      </w:r>
      <w:r w:rsidRPr="0021006B">
        <w:t xml:space="preserve"> </w:t>
      </w:r>
      <w:r>
        <w:t>T</w:t>
      </w:r>
      <w:r w:rsidRPr="00827DA2">
        <w:t>he Government prioritised the use of its balance sheet to support the Victorian community</w:t>
      </w:r>
      <w:r>
        <w:t xml:space="preserve">, </w:t>
      </w:r>
      <w:r w:rsidRPr="00AA26E3">
        <w:t>Victorian households and the economy</w:t>
      </w:r>
      <w:r w:rsidRPr="00827DA2">
        <w:t xml:space="preserve">. This approach was consistent with stimulus approaches </w:t>
      </w:r>
      <w:r>
        <w:t xml:space="preserve">elsewhere </w:t>
      </w:r>
      <w:r w:rsidRPr="00827DA2">
        <w:t>in Australia and around the world.</w:t>
      </w:r>
    </w:p>
    <w:p w14:paraId="118EF26B" w14:textId="77777777" w:rsidR="00E01C85" w:rsidRDefault="00E01C85" w:rsidP="00E01C85">
      <w:r w:rsidRPr="00B610E7">
        <w:rPr>
          <w:color w:val="000000" w:themeColor="text1"/>
        </w:rPr>
        <w:t xml:space="preserve">As </w:t>
      </w:r>
      <w:r>
        <w:rPr>
          <w:color w:val="000000" w:themeColor="text1"/>
        </w:rPr>
        <w:t xml:space="preserve">first </w:t>
      </w:r>
      <w:r w:rsidRPr="00B610E7">
        <w:rPr>
          <w:color w:val="000000" w:themeColor="text1"/>
        </w:rPr>
        <w:t xml:space="preserve">outlined in the </w:t>
      </w:r>
      <w:r w:rsidRPr="00B610E7">
        <w:rPr>
          <w:i/>
          <w:iCs/>
          <w:color w:val="000000" w:themeColor="text1"/>
        </w:rPr>
        <w:t>202</w:t>
      </w:r>
      <w:r>
        <w:rPr>
          <w:i/>
          <w:iCs/>
          <w:color w:val="000000" w:themeColor="text1"/>
        </w:rPr>
        <w:t>0-21</w:t>
      </w:r>
      <w:r w:rsidRPr="00B610E7">
        <w:rPr>
          <w:i/>
          <w:iCs/>
          <w:color w:val="000000" w:themeColor="text1"/>
        </w:rPr>
        <w:t xml:space="preserve"> Budget</w:t>
      </w:r>
      <w:r>
        <w:t>, the Government developed a fiscal strategy to manage the extreme circumstances the state was facing and to provide the foundations for recovery. It involved a four-step plan to support Victorians through the pandemic and to restore the budget position over the medium term. The four-step plan provided a clear framework:</w:t>
      </w:r>
    </w:p>
    <w:p w14:paraId="33F6B808" w14:textId="77777777" w:rsidR="00E01C85" w:rsidRPr="00711A2B" w:rsidRDefault="00E01C85" w:rsidP="00711A2B">
      <w:pPr>
        <w:pStyle w:val="ListBullet"/>
      </w:pPr>
      <w:r w:rsidRPr="001E77B6">
        <w:rPr>
          <w:b/>
          <w:bCs/>
        </w:rPr>
        <w:t>Step 1</w:t>
      </w:r>
      <w:r>
        <w:t xml:space="preserve">: creating jobs, </w:t>
      </w:r>
      <w:r w:rsidRPr="00711A2B">
        <w:t>reducing unemployment and restoring economic growth</w:t>
      </w:r>
    </w:p>
    <w:p w14:paraId="1AFED77C" w14:textId="77777777" w:rsidR="00E01C85" w:rsidRPr="00711A2B" w:rsidRDefault="00E01C85" w:rsidP="00711A2B">
      <w:pPr>
        <w:pStyle w:val="ListBullet"/>
      </w:pPr>
      <w:r w:rsidRPr="00711A2B">
        <w:rPr>
          <w:b/>
          <w:bCs/>
        </w:rPr>
        <w:t>Step 2:</w:t>
      </w:r>
      <w:r w:rsidRPr="00711A2B">
        <w:t xml:space="preserve"> returning to an operating cash surplus</w:t>
      </w:r>
    </w:p>
    <w:p w14:paraId="3D9D7BF3" w14:textId="77777777" w:rsidR="00E01C85" w:rsidRPr="00711A2B" w:rsidRDefault="00E01C85" w:rsidP="00711A2B">
      <w:pPr>
        <w:pStyle w:val="ListBullet"/>
      </w:pPr>
      <w:r w:rsidRPr="00711A2B">
        <w:rPr>
          <w:b/>
          <w:bCs/>
        </w:rPr>
        <w:t>Step 3:</w:t>
      </w:r>
      <w:r w:rsidRPr="00711A2B">
        <w:t xml:space="preserve"> returning to operating surpluses</w:t>
      </w:r>
    </w:p>
    <w:p w14:paraId="5DA8F331" w14:textId="77777777" w:rsidR="00E01C85" w:rsidRDefault="00E01C85" w:rsidP="00711A2B">
      <w:pPr>
        <w:pStyle w:val="ListBullet"/>
      </w:pPr>
      <w:r w:rsidRPr="00711A2B">
        <w:rPr>
          <w:b/>
          <w:bCs/>
        </w:rPr>
        <w:t>Step 4</w:t>
      </w:r>
      <w:r w:rsidRPr="00711A2B">
        <w:t xml:space="preserve">: stabilising debt </w:t>
      </w:r>
      <w:r>
        <w:t>levels.</w:t>
      </w:r>
    </w:p>
    <w:p w14:paraId="35867771" w14:textId="77777777" w:rsidR="00E01C85" w:rsidRPr="005F0862" w:rsidRDefault="00E01C85" w:rsidP="00E01C85">
      <w:r>
        <w:t xml:space="preserve">Recent economic indicators have shown that this strategy is working, with the economy rebounding strongly. </w:t>
      </w:r>
      <w:r w:rsidRPr="005F0862">
        <w:t>Economic activity is above pre-pandemic levels, and the labour market is even stronger than before the pandemic. Given this improvement, the Government is now implementing strategies to improve the state’s financial position and manage the increase in debt in a sustain</w:t>
      </w:r>
      <w:r>
        <w:t>able</w:t>
      </w:r>
      <w:r w:rsidRPr="005F0862">
        <w:t xml:space="preserve"> manner. </w:t>
      </w:r>
    </w:p>
    <w:p w14:paraId="02A0FF53" w14:textId="77777777" w:rsidR="00E01C85" w:rsidRDefault="00E01C85" w:rsidP="00E01C85">
      <w:r w:rsidRPr="19F05D23">
        <w:t>Supporting the Government’s four</w:t>
      </w:r>
      <w:r>
        <w:noBreakHyphen/>
      </w:r>
      <w:r w:rsidRPr="19F05D23">
        <w:t xml:space="preserve">step fiscal </w:t>
      </w:r>
      <w:r>
        <w:t>strategy</w:t>
      </w:r>
      <w:r w:rsidRPr="19F05D23">
        <w:t xml:space="preserve">, </w:t>
      </w:r>
      <w:r w:rsidRPr="005F0862">
        <w:t xml:space="preserve">the </w:t>
      </w:r>
      <w:r w:rsidRPr="005F0862">
        <w:rPr>
          <w:i/>
        </w:rPr>
        <w:t>2023-24 Budget</w:t>
      </w:r>
      <w:r w:rsidRPr="005F0862">
        <w:t xml:space="preserve"> includes a new </w:t>
      </w:r>
      <w:r w:rsidRPr="0068382F">
        <w:t>COVID Debt Levy to</w:t>
      </w:r>
      <w:r w:rsidRPr="005F0862">
        <w:t xml:space="preserve"> offset the cost of measures introduced by the Government in response to the pandemic over the past three years. The</w:t>
      </w:r>
      <w:r w:rsidRPr="005F0862" w:rsidDel="00E53B78">
        <w:t xml:space="preserve"> </w:t>
      </w:r>
      <w:r w:rsidRPr="005F0862">
        <w:t>Levy is temporary and targeted.</w:t>
      </w:r>
      <w:r w:rsidRPr="00BF7409">
        <w:t xml:space="preserve"> </w:t>
      </w:r>
      <w:r>
        <w:t>It will have two components: the payroll component will</w:t>
      </w:r>
      <w:r>
        <w:rPr>
          <w:rFonts w:ascii="Garamond" w:hAnsi="Garamond" w:cs="Garamond"/>
        </w:rPr>
        <w:t xml:space="preserve"> levy additional payroll tax on large businesses with national payrolls above $10 million a year</w:t>
      </w:r>
      <w:r>
        <w:t>; and the landholdings component will</w:t>
      </w:r>
      <w:r w:rsidRPr="00026BE6">
        <w:t xml:space="preserve"> </w:t>
      </w:r>
      <w:r>
        <w:t xml:space="preserve">decrease </w:t>
      </w:r>
      <w:r w:rsidRPr="001A78A8">
        <w:t>the tax-free threshold</w:t>
      </w:r>
      <w:r>
        <w:t xml:space="preserve"> for general land tax rates, while </w:t>
      </w:r>
      <w:r w:rsidRPr="001A78A8">
        <w:t xml:space="preserve">fixed charges and </w:t>
      </w:r>
      <w:r>
        <w:t xml:space="preserve">land tax </w:t>
      </w:r>
      <w:r w:rsidRPr="001A78A8">
        <w:t>rates</w:t>
      </w:r>
      <w:r>
        <w:t xml:space="preserve"> will also be adjusted. The Levy will end on 30 June 2033. </w:t>
      </w:r>
    </w:p>
    <w:p w14:paraId="756FBB63" w14:textId="77777777" w:rsidR="00E01C85" w:rsidRDefault="00E01C85" w:rsidP="00E01C85">
      <w:r>
        <w:t>In addition, the Government is continuing to take steps to improve the efficiency and effectiveness of departmental spending and ensure expenditure is consistent with key service delivery priorities.</w:t>
      </w:r>
    </w:p>
    <w:p w14:paraId="5A74B38F" w14:textId="77777777" w:rsidR="00E01C85" w:rsidRPr="00B528CF" w:rsidRDefault="00E01C85" w:rsidP="00E01C85">
      <w:r>
        <w:t>As a result</w:t>
      </w:r>
      <w:r w:rsidRPr="00B0593C">
        <w:t xml:space="preserve"> </w:t>
      </w:r>
      <w:r>
        <w:t>of these necessary revenue and savings measures, t</w:t>
      </w:r>
      <w:r w:rsidRPr="00B528CF">
        <w:t xml:space="preserve">he </w:t>
      </w:r>
      <w:r w:rsidRPr="002C08DF">
        <w:rPr>
          <w:i/>
        </w:rPr>
        <w:t>2023-24 Budget</w:t>
      </w:r>
      <w:r w:rsidRPr="00B528CF">
        <w:t xml:space="preserve"> forecast</w:t>
      </w:r>
      <w:r>
        <w:t>s</w:t>
      </w:r>
      <w:r w:rsidRPr="00B528CF">
        <w:t xml:space="preserve"> </w:t>
      </w:r>
      <w:r>
        <w:t xml:space="preserve">an </w:t>
      </w:r>
      <w:r w:rsidRPr="00B528CF">
        <w:t xml:space="preserve">improvement in the </w:t>
      </w:r>
      <w:r>
        <w:t>s</w:t>
      </w:r>
      <w:r w:rsidRPr="00B528CF">
        <w:t>tate’s key fiscal aggregates</w:t>
      </w:r>
      <w:r w:rsidRPr="001D3E62">
        <w:t xml:space="preserve"> </w:t>
      </w:r>
      <w:r>
        <w:t>by the end of the forward estimates</w:t>
      </w:r>
      <w:r w:rsidRPr="00B528CF">
        <w:t>.</w:t>
      </w:r>
    </w:p>
    <w:p w14:paraId="4A1969C3" w14:textId="77777777" w:rsidR="00E01C85" w:rsidRPr="00627691" w:rsidRDefault="00E01C85" w:rsidP="00E01C85">
      <w:pPr>
        <w:pStyle w:val="Heading30"/>
      </w:pPr>
      <w:r>
        <w:t>Progress towards achieving the Government’s fiscal strategy</w:t>
      </w:r>
    </w:p>
    <w:p w14:paraId="4BFB3E7F" w14:textId="19834471" w:rsidR="00E01C85" w:rsidRDefault="00E01C85" w:rsidP="00E01C85">
      <w:pPr>
        <w:keepNext/>
      </w:pPr>
      <w:r>
        <w:t xml:space="preserve">The first step – creating jobs, reducing unemployment and restoring economic growth – is progressing well, with strong employment </w:t>
      </w:r>
      <w:r w:rsidRPr="00C74228">
        <w:t>outcomes and robust economic growth</w:t>
      </w:r>
      <w:r>
        <w:t>. The unemployment rate is</w:t>
      </w:r>
      <w:r w:rsidR="000315AA">
        <w:t xml:space="preserve"> below 4 per cent</w:t>
      </w:r>
      <w:r>
        <w:t xml:space="preserve"> and the Government’s Jobs T</w:t>
      </w:r>
      <w:r w:rsidRPr="00C74228">
        <w:t xml:space="preserve">arget has been met </w:t>
      </w:r>
      <w:r w:rsidRPr="00301EFF">
        <w:t>more than two years</w:t>
      </w:r>
      <w:r w:rsidRPr="00C74228">
        <w:t xml:space="preserve"> early</w:t>
      </w:r>
      <w:r>
        <w:t>.</w:t>
      </w:r>
    </w:p>
    <w:p w14:paraId="0099741E" w14:textId="77777777" w:rsidR="00E01C85" w:rsidRDefault="00E01C85" w:rsidP="00E01C85">
      <w:r>
        <w:t>The second step in the Government’s fiscal strategy, returning to an operating cash surplus, means the State is generating sufficient cash inflows to exceed its cash outflows on operating activities, a key pillar of fiscal sustainability. The Government continues to forecast an operating cash surplus from 2022-23 onwards,</w:t>
      </w:r>
      <w:r w:rsidRPr="00FE5711">
        <w:t xml:space="preserve"> </w:t>
      </w:r>
      <w:r>
        <w:t xml:space="preserve">an improvement on the cash surpluses when compared with the </w:t>
      </w:r>
      <w:r w:rsidRPr="00AA2446">
        <w:rPr>
          <w:i/>
          <w:iCs/>
        </w:rPr>
        <w:t>202</w:t>
      </w:r>
      <w:r>
        <w:rPr>
          <w:i/>
          <w:iCs/>
        </w:rPr>
        <w:t xml:space="preserve">2 Victorian Pre-Election </w:t>
      </w:r>
      <w:r w:rsidRPr="00AA2446">
        <w:rPr>
          <w:i/>
          <w:iCs/>
        </w:rPr>
        <w:t>Budget</w:t>
      </w:r>
      <w:r>
        <w:rPr>
          <w:i/>
          <w:iCs/>
        </w:rPr>
        <w:t xml:space="preserve"> Update </w:t>
      </w:r>
      <w:r w:rsidRPr="00145495">
        <w:t>(PEBU)</w:t>
      </w:r>
      <w:r>
        <w:t>.</w:t>
      </w:r>
    </w:p>
    <w:p w14:paraId="1A085E8B" w14:textId="77777777" w:rsidR="00E01C85" w:rsidRDefault="00E01C85" w:rsidP="00E01C85">
      <w:r>
        <w:t xml:space="preserve">The third step, returning to an operating surplus, is important as this is where the Government generates sufficient revenues to not just cover its cash expenditure, but also support the ongoing replacement of existing assets. The Government is forecasting an operating surplus of </w:t>
      </w:r>
      <w:r>
        <w:rPr>
          <w:color w:val="000000" w:themeColor="text1"/>
        </w:rPr>
        <w:t xml:space="preserve">$1.0 billion in </w:t>
      </w:r>
      <w:r w:rsidRPr="0084084C">
        <w:rPr>
          <w:color w:val="000000" w:themeColor="text1"/>
        </w:rPr>
        <w:t>202</w:t>
      </w:r>
      <w:r>
        <w:rPr>
          <w:color w:val="000000" w:themeColor="text1"/>
        </w:rPr>
        <w:t>5-26</w:t>
      </w:r>
      <w:r>
        <w:t>,</w:t>
      </w:r>
      <w:r w:rsidRPr="00FE5711">
        <w:t xml:space="preserve"> </w:t>
      </w:r>
      <w:r>
        <w:t>an improvement from PEBU. The operating surplus is then forecast to increase to $1.2 billion in 2026</w:t>
      </w:r>
      <w:r>
        <w:noBreakHyphen/>
        <w:t>27.</w:t>
      </w:r>
    </w:p>
    <w:p w14:paraId="4E1FC473" w14:textId="77777777" w:rsidR="00E01C85" w:rsidRDefault="00E01C85" w:rsidP="00E01C85">
      <w:r>
        <w:t>There has also been progress in the fourth step in the strategy, stabilising net debt. The improvements to the Government’s operating cash position have flowed through to net debt, which is expected to be $3.7 billion lower by June 2026</w:t>
      </w:r>
      <w:r w:rsidRPr="000C48BE">
        <w:t xml:space="preserve"> </w:t>
      </w:r>
      <w:r w:rsidRPr="00AA26E3">
        <w:t xml:space="preserve">compared with </w:t>
      </w:r>
      <w:r>
        <w:t xml:space="preserve">PEBU. The Government remains committed to stabilising net debt </w:t>
      </w:r>
      <w:r w:rsidRPr="000C7359">
        <w:t>as a percentage of GSP</w:t>
      </w:r>
      <w:r>
        <w:t xml:space="preserve"> over the medium term.</w:t>
      </w:r>
    </w:p>
    <w:p w14:paraId="33C05FD5" w14:textId="77777777" w:rsidR="00E01C85" w:rsidRPr="006217AA" w:rsidRDefault="00E01C85" w:rsidP="00E01C85">
      <w:pPr>
        <w:pStyle w:val="Heading20"/>
      </w:pPr>
      <w:r w:rsidRPr="006217AA">
        <w:t>Financial position</w:t>
      </w:r>
    </w:p>
    <w:p w14:paraId="76294DAF" w14:textId="77777777" w:rsidR="00E01C85" w:rsidRDefault="00E01C85" w:rsidP="00E01C85">
      <w:r w:rsidRPr="00AE2DC3">
        <w:t xml:space="preserve">The net cash flows from operating activities for the general government sector is forecast to be in surplus </w:t>
      </w:r>
      <w:r>
        <w:t>by</w:t>
      </w:r>
      <w:r w:rsidRPr="00AE2DC3">
        <w:t xml:space="preserve"> $</w:t>
      </w:r>
      <w:r>
        <w:t>0.8</w:t>
      </w:r>
      <w:r w:rsidRPr="00AE2DC3">
        <w:t xml:space="preserve"> billion in 202</w:t>
      </w:r>
      <w:r>
        <w:t xml:space="preserve">3-24 </w:t>
      </w:r>
      <w:r w:rsidRPr="00AE2700">
        <w:t>before increasing to $6.5 billion in 2025</w:t>
      </w:r>
      <w:r w:rsidRPr="00AE2700">
        <w:noBreakHyphen/>
        <w:t xml:space="preserve">26, </w:t>
      </w:r>
      <w:r>
        <w:t xml:space="preserve">an improvement from PEBU. </w:t>
      </w:r>
      <w:r w:rsidRPr="00AE2700">
        <w:t>The operating cash surplus is then forecast to remain at</w:t>
      </w:r>
      <w:r>
        <w:t xml:space="preserve"> $6.5 billion in 2026</w:t>
      </w:r>
      <w:r>
        <w:noBreakHyphen/>
        <w:t>27.</w:t>
      </w:r>
      <w:r w:rsidRPr="009F6B20">
        <w:t xml:space="preserve"> </w:t>
      </w:r>
      <w:r>
        <w:t xml:space="preserve">This </w:t>
      </w:r>
      <w:r w:rsidRPr="0022193A">
        <w:t>demonstr</w:t>
      </w:r>
      <w:r>
        <w:t>ates</w:t>
      </w:r>
      <w:r w:rsidRPr="0022193A">
        <w:t xml:space="preserve"> the Government</w:t>
      </w:r>
      <w:r>
        <w:t>’</w:t>
      </w:r>
      <w:r w:rsidRPr="0022193A">
        <w:t>s commitment to strong financial management despite</w:t>
      </w:r>
      <w:r>
        <w:t xml:space="preserve"> the challenges over the last three years.</w:t>
      </w:r>
    </w:p>
    <w:p w14:paraId="29963494" w14:textId="77777777" w:rsidR="00E01C85" w:rsidRDefault="00E01C85" w:rsidP="00E01C85">
      <w:pPr>
        <w:keepNext/>
      </w:pPr>
      <w:r>
        <w:t xml:space="preserve">The net result from transactions </w:t>
      </w:r>
      <w:r w:rsidRPr="00AE2700">
        <w:t>for the general government sector is forecast to be in deficit by $4.0 billion in 2023-24, before improving to an estimated surplus of $1.0 billion in 2025</w:t>
      </w:r>
      <w:r w:rsidRPr="00AE2700">
        <w:noBreakHyphen/>
        <w:t>26, an improvement of $0.2 billion from PEBU. The operating surplus is then forecast to increase to $1.2 billion in 2026-27.</w:t>
      </w:r>
    </w:p>
    <w:p w14:paraId="026BCAF1" w14:textId="77777777" w:rsidR="00E01C85" w:rsidRDefault="00E01C85" w:rsidP="00E01C85">
      <w:r>
        <w:t>Total revenue for the general government sector is expected to be $83.0 billion in 2022</w:t>
      </w:r>
      <w:r>
        <w:rPr>
          <w:rFonts w:ascii="Times New Roman" w:hAnsi="Times New Roman" w:cs="Times New Roman"/>
        </w:rPr>
        <w:t>‑</w:t>
      </w:r>
      <w:r>
        <w:t xml:space="preserve">23, an upgrade of $1.5 billion from PEBU, before increasing to $89.3 billion in 2023-24. </w:t>
      </w:r>
      <w:r w:rsidRPr="00AE2700">
        <w:t>Revenue growth is then expected to average 3.8 per cent a year over the forward estimates, reaching $99.9 billion in 2026</w:t>
      </w:r>
      <w:r w:rsidRPr="00AE2700">
        <w:noBreakHyphen/>
        <w:t>27.</w:t>
      </w:r>
    </w:p>
    <w:p w14:paraId="7C55235D" w14:textId="77777777" w:rsidR="00E01C85" w:rsidRDefault="00E01C85" w:rsidP="00E01C85">
      <w:pPr>
        <w:keepNext/>
        <w:rPr>
          <w:color w:val="000000" w:themeColor="text1"/>
        </w:rPr>
      </w:pPr>
      <w:r>
        <w:rPr>
          <w:color w:val="000000" w:themeColor="text1"/>
        </w:rPr>
        <w:t>Total g</w:t>
      </w:r>
      <w:r w:rsidRPr="00BE7C11">
        <w:rPr>
          <w:color w:val="000000" w:themeColor="text1"/>
        </w:rPr>
        <w:t xml:space="preserve">eneral government sector </w:t>
      </w:r>
      <w:r w:rsidRPr="00522088">
        <w:rPr>
          <w:color w:val="000000" w:themeColor="text1"/>
        </w:rPr>
        <w:t xml:space="preserve">expenditure is expected to </w:t>
      </w:r>
      <w:r>
        <w:rPr>
          <w:color w:val="000000" w:themeColor="text1"/>
        </w:rPr>
        <w:t>be</w:t>
      </w:r>
      <w:r w:rsidRPr="00522088">
        <w:rPr>
          <w:color w:val="000000" w:themeColor="text1"/>
        </w:rPr>
        <w:t xml:space="preserve"> </w:t>
      </w:r>
      <w:r w:rsidRPr="00BE77D8">
        <w:rPr>
          <w:color w:val="000000" w:themeColor="text1"/>
        </w:rPr>
        <w:t>$</w:t>
      </w:r>
      <w:r>
        <w:rPr>
          <w:color w:val="000000" w:themeColor="text1"/>
        </w:rPr>
        <w:t>93.3</w:t>
      </w:r>
      <w:r w:rsidRPr="00BE77D8">
        <w:rPr>
          <w:color w:val="000000" w:themeColor="text1"/>
        </w:rPr>
        <w:t> billion</w:t>
      </w:r>
      <w:r w:rsidRPr="00522088">
        <w:rPr>
          <w:color w:val="000000" w:themeColor="text1"/>
        </w:rPr>
        <w:t xml:space="preserve"> in 202</w:t>
      </w:r>
      <w:r>
        <w:rPr>
          <w:color w:val="000000" w:themeColor="text1"/>
        </w:rPr>
        <w:t>2</w:t>
      </w:r>
      <w:r>
        <w:rPr>
          <w:color w:val="000000" w:themeColor="text1"/>
        </w:rPr>
        <w:noBreakHyphen/>
      </w:r>
      <w:r w:rsidRPr="00522088">
        <w:rPr>
          <w:color w:val="000000" w:themeColor="text1"/>
        </w:rPr>
        <w:t>2</w:t>
      </w:r>
      <w:r>
        <w:rPr>
          <w:color w:val="000000" w:themeColor="text1"/>
        </w:rPr>
        <w:t xml:space="preserve">3, a reduction from $96.8 </w:t>
      </w:r>
      <w:r w:rsidRPr="00BE77D8">
        <w:rPr>
          <w:color w:val="000000" w:themeColor="text1"/>
        </w:rPr>
        <w:t>billion</w:t>
      </w:r>
      <w:r w:rsidRPr="00522088">
        <w:rPr>
          <w:color w:val="000000" w:themeColor="text1"/>
        </w:rPr>
        <w:t xml:space="preserve"> in </w:t>
      </w:r>
      <w:r>
        <w:rPr>
          <w:color w:val="000000" w:themeColor="text1"/>
        </w:rPr>
        <w:t xml:space="preserve">2021-22. This reduction </w:t>
      </w:r>
      <w:r w:rsidRPr="00522088">
        <w:rPr>
          <w:color w:val="000000" w:themeColor="text1"/>
        </w:rPr>
        <w:t>reflect</w:t>
      </w:r>
      <w:r>
        <w:rPr>
          <w:color w:val="000000" w:themeColor="text1"/>
        </w:rPr>
        <w:t>s</w:t>
      </w:r>
      <w:r w:rsidRPr="00522088">
        <w:rPr>
          <w:color w:val="000000" w:themeColor="text1"/>
        </w:rPr>
        <w:t xml:space="preserve"> the targeted and </w:t>
      </w:r>
      <w:r w:rsidRPr="00403964">
        <w:rPr>
          <w:color w:val="000000" w:themeColor="text1"/>
        </w:rPr>
        <w:t>short</w:t>
      </w:r>
      <w:r>
        <w:rPr>
          <w:color w:val="000000" w:themeColor="text1"/>
        </w:rPr>
        <w:noBreakHyphen/>
      </w:r>
      <w:r w:rsidRPr="00522088">
        <w:rPr>
          <w:color w:val="000000" w:themeColor="text1"/>
        </w:rPr>
        <w:t xml:space="preserve">term nature of initiatives to </w:t>
      </w:r>
      <w:r>
        <w:rPr>
          <w:color w:val="000000" w:themeColor="text1"/>
        </w:rPr>
        <w:t xml:space="preserve">fund the public health response and support the economic recovery. Expenditure </w:t>
      </w:r>
      <w:r w:rsidRPr="0084084C">
        <w:rPr>
          <w:color w:val="000000" w:themeColor="text1"/>
        </w:rPr>
        <w:t xml:space="preserve">is </w:t>
      </w:r>
      <w:r>
        <w:rPr>
          <w:color w:val="000000" w:themeColor="text1"/>
        </w:rPr>
        <w:t xml:space="preserve">then </w:t>
      </w:r>
      <w:r w:rsidRPr="0084084C">
        <w:rPr>
          <w:color w:val="000000" w:themeColor="text1"/>
        </w:rPr>
        <w:t xml:space="preserve">expected </w:t>
      </w:r>
      <w:r>
        <w:rPr>
          <w:color w:val="000000" w:themeColor="text1"/>
        </w:rPr>
        <w:t xml:space="preserve">to grow by an </w:t>
      </w:r>
      <w:r w:rsidRPr="0084084C">
        <w:rPr>
          <w:color w:val="000000" w:themeColor="text1"/>
        </w:rPr>
        <w:t xml:space="preserve">average </w:t>
      </w:r>
      <w:r>
        <w:rPr>
          <w:color w:val="000000" w:themeColor="text1"/>
        </w:rPr>
        <w:t>of 1.9 </w:t>
      </w:r>
      <w:r w:rsidRPr="0084084C">
        <w:rPr>
          <w:color w:val="000000" w:themeColor="text1"/>
        </w:rPr>
        <w:t>per</w:t>
      </w:r>
      <w:r>
        <w:rPr>
          <w:color w:val="000000" w:themeColor="text1"/>
        </w:rPr>
        <w:t> </w:t>
      </w:r>
      <w:r w:rsidRPr="0084084C">
        <w:rPr>
          <w:color w:val="000000" w:themeColor="text1"/>
        </w:rPr>
        <w:t>cent a year over the forward estimates, reaching</w:t>
      </w:r>
      <w:r>
        <w:rPr>
          <w:color w:val="000000" w:themeColor="text1"/>
        </w:rPr>
        <w:t xml:space="preserve"> $98.7 billion in 2026</w:t>
      </w:r>
      <w:r>
        <w:rPr>
          <w:color w:val="000000" w:themeColor="text1"/>
        </w:rPr>
        <w:noBreakHyphen/>
        <w:t>27.</w:t>
      </w:r>
    </w:p>
    <w:p w14:paraId="693AA03E" w14:textId="77777777" w:rsidR="00E01C85" w:rsidRDefault="00E01C85" w:rsidP="00E01C85">
      <w:pPr>
        <w:pStyle w:val="TableHeading"/>
      </w:pPr>
      <w:r w:rsidRPr="00F8150E">
        <w:t>Table 1</w:t>
      </w:r>
      <w:r>
        <w:t>.1</w:t>
      </w:r>
      <w:r w:rsidRPr="00F8150E">
        <w:t xml:space="preserve">: </w:t>
      </w:r>
      <w:r w:rsidRPr="00F8150E">
        <w:tab/>
        <w:t>General government fiscal aggregates</w:t>
      </w:r>
    </w:p>
    <w:tbl>
      <w:tblPr>
        <w:tblStyle w:val="DTFTableNumeric"/>
        <w:tblW w:w="7710" w:type="dxa"/>
        <w:tblLayout w:type="fixed"/>
        <w:tblLook w:val="06A0" w:firstRow="1" w:lastRow="0" w:firstColumn="1" w:lastColumn="0" w:noHBand="1" w:noVBand="1"/>
        <w:tblDescription w:val="Type:DtfTable|Workbook:https://vicgov.sharepoint.com/sites/msteams_12cfc2/BP2/Chapter%204/Link_BP2-Chapter4.xlsx|Table:GG_FiscalAggregates"/>
      </w:tblPr>
      <w:tblGrid>
        <w:gridCol w:w="2160"/>
        <w:gridCol w:w="786"/>
        <w:gridCol w:w="794"/>
        <w:gridCol w:w="794"/>
        <w:gridCol w:w="794"/>
        <w:gridCol w:w="794"/>
        <w:gridCol w:w="794"/>
        <w:gridCol w:w="794"/>
      </w:tblGrid>
      <w:tr w:rsidR="00E01C85" w14:paraId="3EA8C75C" w14:textId="77777777" w:rsidTr="009835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60" w:type="dxa"/>
          </w:tcPr>
          <w:p w14:paraId="09226C3A" w14:textId="77777777" w:rsidR="00E01C85" w:rsidRDefault="00E01C85" w:rsidP="0098354D">
            <w:pPr>
              <w:keepNext/>
            </w:pPr>
          </w:p>
        </w:tc>
        <w:tc>
          <w:tcPr>
            <w:tcW w:w="786" w:type="dxa"/>
          </w:tcPr>
          <w:p w14:paraId="089EB0A9" w14:textId="77777777" w:rsidR="00E01C85" w:rsidRDefault="00E01C85" w:rsidP="0098354D">
            <w:pPr>
              <w:keepNext/>
              <w:jc w:val="center"/>
              <w:cnfStyle w:val="100000000000" w:firstRow="1" w:lastRow="0" w:firstColumn="0" w:lastColumn="0" w:oddVBand="0" w:evenVBand="0" w:oddHBand="0" w:evenHBand="0" w:firstRowFirstColumn="0" w:firstRowLastColumn="0" w:lastRowFirstColumn="0" w:lastRowLastColumn="0"/>
            </w:pPr>
            <w:r>
              <w:t>Unit of</w:t>
            </w:r>
          </w:p>
        </w:tc>
        <w:tc>
          <w:tcPr>
            <w:tcW w:w="794" w:type="dxa"/>
          </w:tcPr>
          <w:p w14:paraId="4AEBF0BA" w14:textId="77777777" w:rsidR="00E01C85" w:rsidRDefault="00E01C85" w:rsidP="0098354D">
            <w:pPr>
              <w:keepNext/>
              <w:cnfStyle w:val="100000000000" w:firstRow="1" w:lastRow="0" w:firstColumn="0" w:lastColumn="0" w:oddVBand="0" w:evenVBand="0" w:oddHBand="0" w:evenHBand="0" w:firstRowFirstColumn="0" w:firstRowLastColumn="0" w:lastRowFirstColumn="0" w:lastRowLastColumn="0"/>
            </w:pPr>
            <w:r>
              <w:t>2021</w:t>
            </w:r>
            <w:r>
              <w:noBreakHyphen/>
              <w:t>22</w:t>
            </w:r>
          </w:p>
        </w:tc>
        <w:tc>
          <w:tcPr>
            <w:tcW w:w="794" w:type="dxa"/>
          </w:tcPr>
          <w:p w14:paraId="587EE54A" w14:textId="77777777" w:rsidR="00E01C85" w:rsidRDefault="00E01C85" w:rsidP="0098354D">
            <w:pPr>
              <w:keepNext/>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172F19EF" w14:textId="77777777" w:rsidR="00E01C85" w:rsidRDefault="00E01C85" w:rsidP="0098354D">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05029555" w14:textId="77777777" w:rsidR="00E01C85" w:rsidRDefault="00E01C85" w:rsidP="0098354D">
            <w:pPr>
              <w:keepNext/>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4F279780" w14:textId="77777777" w:rsidR="00E01C85" w:rsidRDefault="00E01C85" w:rsidP="0098354D">
            <w:pPr>
              <w:keepNext/>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Pr>
          <w:p w14:paraId="3CEBD720" w14:textId="77777777" w:rsidR="00E01C85" w:rsidRDefault="00E01C85" w:rsidP="0098354D">
            <w:pPr>
              <w:keepNext/>
              <w:cnfStyle w:val="100000000000" w:firstRow="1" w:lastRow="0" w:firstColumn="0" w:lastColumn="0" w:oddVBand="0" w:evenVBand="0" w:oddHBand="0" w:evenHBand="0" w:firstRowFirstColumn="0" w:firstRowLastColumn="0" w:lastRowFirstColumn="0" w:lastRowLastColumn="0"/>
            </w:pPr>
            <w:r>
              <w:t>2026</w:t>
            </w:r>
            <w:r>
              <w:noBreakHyphen/>
              <w:t>27</w:t>
            </w:r>
          </w:p>
        </w:tc>
      </w:tr>
      <w:tr w:rsidR="00E01C85" w14:paraId="32AB2F1C" w14:textId="77777777" w:rsidTr="009835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60" w:type="dxa"/>
          </w:tcPr>
          <w:p w14:paraId="6BF4DB01" w14:textId="77777777" w:rsidR="00E01C85" w:rsidRDefault="00E01C85" w:rsidP="0098354D">
            <w:pPr>
              <w:keepNext/>
            </w:pPr>
          </w:p>
        </w:tc>
        <w:tc>
          <w:tcPr>
            <w:tcW w:w="786" w:type="dxa"/>
          </w:tcPr>
          <w:p w14:paraId="2B829340" w14:textId="77777777" w:rsidR="00E01C85" w:rsidRDefault="00E01C85" w:rsidP="0098354D">
            <w:pPr>
              <w:keepNext/>
              <w:jc w:val="center"/>
              <w:cnfStyle w:val="100000000000" w:firstRow="1" w:lastRow="0" w:firstColumn="0" w:lastColumn="0" w:oddVBand="0" w:evenVBand="0" w:oddHBand="0" w:evenHBand="0" w:firstRowFirstColumn="0" w:firstRowLastColumn="0" w:lastRowFirstColumn="0" w:lastRowLastColumn="0"/>
            </w:pPr>
            <w:r>
              <w:t>measure</w:t>
            </w:r>
          </w:p>
        </w:tc>
        <w:tc>
          <w:tcPr>
            <w:tcW w:w="794" w:type="dxa"/>
          </w:tcPr>
          <w:p w14:paraId="4B57C8A7" w14:textId="77777777" w:rsidR="00E01C85" w:rsidRDefault="00E01C85" w:rsidP="0098354D">
            <w:pPr>
              <w:keepNext/>
              <w:cnfStyle w:val="100000000000" w:firstRow="1" w:lastRow="0" w:firstColumn="0" w:lastColumn="0" w:oddVBand="0" w:evenVBand="0" w:oddHBand="0" w:evenHBand="0" w:firstRowFirstColumn="0" w:firstRowLastColumn="0" w:lastRowFirstColumn="0" w:lastRowLastColumn="0"/>
            </w:pPr>
            <w:r>
              <w:t>actual</w:t>
            </w:r>
          </w:p>
        </w:tc>
        <w:tc>
          <w:tcPr>
            <w:tcW w:w="794" w:type="dxa"/>
          </w:tcPr>
          <w:p w14:paraId="01B996AC" w14:textId="77777777" w:rsidR="00E01C85" w:rsidRDefault="00E01C85" w:rsidP="0098354D">
            <w:pPr>
              <w:keepNext/>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47D5FC75" w14:textId="77777777" w:rsidR="00E01C85" w:rsidRDefault="00E01C85" w:rsidP="0098354D">
            <w:pPr>
              <w:keepNext/>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7742E247" w14:textId="77777777" w:rsidR="00E01C85" w:rsidRDefault="00E01C85" w:rsidP="0098354D">
            <w:pPr>
              <w:keepNext/>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5BEFC377" w14:textId="77777777" w:rsidR="00E01C85" w:rsidRDefault="00E01C85" w:rsidP="0098354D">
            <w:pPr>
              <w:keepNext/>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182A87DF" w14:textId="77777777" w:rsidR="00E01C85" w:rsidRDefault="00E01C85" w:rsidP="0098354D">
            <w:pPr>
              <w:keepNext/>
              <w:cnfStyle w:val="100000000000" w:firstRow="1" w:lastRow="0" w:firstColumn="0" w:lastColumn="0" w:oddVBand="0" w:evenVBand="0" w:oddHBand="0" w:evenHBand="0" w:firstRowFirstColumn="0" w:firstRowLastColumn="0" w:lastRowFirstColumn="0" w:lastRowLastColumn="0"/>
            </w:pPr>
            <w:r>
              <w:t>estimate</w:t>
            </w:r>
          </w:p>
        </w:tc>
      </w:tr>
      <w:tr w:rsidR="00E01C85" w14:paraId="4C240692" w14:textId="77777777" w:rsidTr="0098354D">
        <w:tc>
          <w:tcPr>
            <w:cnfStyle w:val="001000000000" w:firstRow="0" w:lastRow="0" w:firstColumn="1" w:lastColumn="0" w:oddVBand="0" w:evenVBand="0" w:oddHBand="0" w:evenHBand="0" w:firstRowFirstColumn="0" w:firstRowLastColumn="0" w:lastRowFirstColumn="0" w:lastRowLastColumn="0"/>
            <w:tcW w:w="2160" w:type="dxa"/>
          </w:tcPr>
          <w:p w14:paraId="6C3B0861" w14:textId="77777777" w:rsidR="00E01C85" w:rsidRDefault="00E01C85" w:rsidP="0098354D">
            <w:r>
              <w:t>Net result from transactions</w:t>
            </w:r>
          </w:p>
        </w:tc>
        <w:tc>
          <w:tcPr>
            <w:tcW w:w="786" w:type="dxa"/>
          </w:tcPr>
          <w:p w14:paraId="2FBD6ED2" w14:textId="77777777" w:rsidR="00E01C85" w:rsidRDefault="00E01C85" w:rsidP="0098354D">
            <w:pPr>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11513241"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(13.8)</w:t>
            </w:r>
          </w:p>
        </w:tc>
        <w:tc>
          <w:tcPr>
            <w:tcW w:w="794" w:type="dxa"/>
          </w:tcPr>
          <w:p w14:paraId="7301916C"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(10.3)</w:t>
            </w:r>
          </w:p>
        </w:tc>
        <w:tc>
          <w:tcPr>
            <w:tcW w:w="794" w:type="dxa"/>
          </w:tcPr>
          <w:p w14:paraId="1E34C3B6"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(4.0)</w:t>
            </w:r>
          </w:p>
        </w:tc>
        <w:tc>
          <w:tcPr>
            <w:tcW w:w="794" w:type="dxa"/>
          </w:tcPr>
          <w:p w14:paraId="6944F11C"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(1.1)</w:t>
            </w:r>
          </w:p>
        </w:tc>
        <w:tc>
          <w:tcPr>
            <w:tcW w:w="794" w:type="dxa"/>
          </w:tcPr>
          <w:p w14:paraId="14E2B0C4"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1.0</w:t>
            </w:r>
          </w:p>
        </w:tc>
        <w:tc>
          <w:tcPr>
            <w:tcW w:w="794" w:type="dxa"/>
          </w:tcPr>
          <w:p w14:paraId="57A410C4"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1.2</w:t>
            </w:r>
          </w:p>
        </w:tc>
      </w:tr>
      <w:tr w:rsidR="00E01C85" w14:paraId="77259827" w14:textId="77777777" w:rsidTr="0098354D">
        <w:tc>
          <w:tcPr>
            <w:cnfStyle w:val="001000000000" w:firstRow="0" w:lastRow="0" w:firstColumn="1" w:lastColumn="0" w:oddVBand="0" w:evenVBand="0" w:oddHBand="0" w:evenHBand="0" w:firstRowFirstColumn="0" w:firstRowLastColumn="0" w:lastRowFirstColumn="0" w:lastRowLastColumn="0"/>
            <w:tcW w:w="2160" w:type="dxa"/>
          </w:tcPr>
          <w:p w14:paraId="1D1CE0F0" w14:textId="77777777" w:rsidR="00E01C85" w:rsidRDefault="00E01C85" w:rsidP="0098354D">
            <w:r>
              <w:t>Net cash flows from operating activities</w:t>
            </w:r>
          </w:p>
        </w:tc>
        <w:tc>
          <w:tcPr>
            <w:tcW w:w="786" w:type="dxa"/>
          </w:tcPr>
          <w:p w14:paraId="77EE1F1E" w14:textId="77777777" w:rsidR="00E01C85" w:rsidRDefault="00E01C85" w:rsidP="0098354D">
            <w:pPr>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052CAA21"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(8.9)</w:t>
            </w:r>
          </w:p>
        </w:tc>
        <w:tc>
          <w:tcPr>
            <w:tcW w:w="794" w:type="dxa"/>
          </w:tcPr>
          <w:p w14:paraId="1D875A94"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2.9</w:t>
            </w:r>
          </w:p>
        </w:tc>
        <w:tc>
          <w:tcPr>
            <w:tcW w:w="794" w:type="dxa"/>
          </w:tcPr>
          <w:p w14:paraId="6CAAA825"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0.8</w:t>
            </w:r>
          </w:p>
        </w:tc>
        <w:tc>
          <w:tcPr>
            <w:tcW w:w="794" w:type="dxa"/>
          </w:tcPr>
          <w:p w14:paraId="6A017F1C"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4.3</w:t>
            </w:r>
          </w:p>
        </w:tc>
        <w:tc>
          <w:tcPr>
            <w:tcW w:w="794" w:type="dxa"/>
          </w:tcPr>
          <w:p w14:paraId="5676561F"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6.5</w:t>
            </w:r>
          </w:p>
        </w:tc>
        <w:tc>
          <w:tcPr>
            <w:tcW w:w="794" w:type="dxa"/>
          </w:tcPr>
          <w:p w14:paraId="14D2D442"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6.5</w:t>
            </w:r>
          </w:p>
        </w:tc>
      </w:tr>
      <w:tr w:rsidR="00E01C85" w14:paraId="7897544D" w14:textId="77777777" w:rsidTr="0098354D">
        <w:tc>
          <w:tcPr>
            <w:cnfStyle w:val="001000000000" w:firstRow="0" w:lastRow="0" w:firstColumn="1" w:lastColumn="0" w:oddVBand="0" w:evenVBand="0" w:oddHBand="0" w:evenHBand="0" w:firstRowFirstColumn="0" w:firstRowLastColumn="0" w:lastRowFirstColumn="0" w:lastRowLastColumn="0"/>
            <w:tcW w:w="2160" w:type="dxa"/>
          </w:tcPr>
          <w:p w14:paraId="784B0880" w14:textId="77777777" w:rsidR="00E01C85" w:rsidRDefault="00E01C85" w:rsidP="0098354D">
            <w:r>
              <w:t xml:space="preserve">Government infrastructure investment </w:t>
            </w:r>
            <w:r>
              <w:rPr>
                <w:vertAlign w:val="superscript"/>
              </w:rPr>
              <w:t>(a)(b)</w:t>
            </w:r>
          </w:p>
        </w:tc>
        <w:tc>
          <w:tcPr>
            <w:tcW w:w="786" w:type="dxa"/>
          </w:tcPr>
          <w:p w14:paraId="71920BE9" w14:textId="77777777" w:rsidR="00E01C85" w:rsidRDefault="00E01C85" w:rsidP="0098354D">
            <w:pPr>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0ADFDBC4"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18.7</w:t>
            </w:r>
          </w:p>
        </w:tc>
        <w:tc>
          <w:tcPr>
            <w:tcW w:w="794" w:type="dxa"/>
          </w:tcPr>
          <w:p w14:paraId="48FE93E4"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22.5</w:t>
            </w:r>
          </w:p>
        </w:tc>
        <w:tc>
          <w:tcPr>
            <w:tcW w:w="794" w:type="dxa"/>
          </w:tcPr>
          <w:p w14:paraId="697C79AD"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22.4</w:t>
            </w:r>
          </w:p>
        </w:tc>
        <w:tc>
          <w:tcPr>
            <w:tcW w:w="794" w:type="dxa"/>
          </w:tcPr>
          <w:p w14:paraId="6754D89B"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20.6</w:t>
            </w:r>
          </w:p>
        </w:tc>
        <w:tc>
          <w:tcPr>
            <w:tcW w:w="794" w:type="dxa"/>
          </w:tcPr>
          <w:p w14:paraId="3D06AEB1"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18.6</w:t>
            </w:r>
          </w:p>
        </w:tc>
        <w:tc>
          <w:tcPr>
            <w:tcW w:w="794" w:type="dxa"/>
          </w:tcPr>
          <w:p w14:paraId="446883DB"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16.9</w:t>
            </w:r>
          </w:p>
        </w:tc>
      </w:tr>
      <w:tr w:rsidR="00E01C85" w14:paraId="082CBA66" w14:textId="77777777" w:rsidTr="0098354D">
        <w:tc>
          <w:tcPr>
            <w:cnfStyle w:val="001000000000" w:firstRow="0" w:lastRow="0" w:firstColumn="1" w:lastColumn="0" w:oddVBand="0" w:evenVBand="0" w:oddHBand="0" w:evenHBand="0" w:firstRowFirstColumn="0" w:firstRowLastColumn="0" w:lastRowFirstColumn="0" w:lastRowLastColumn="0"/>
            <w:tcW w:w="2160" w:type="dxa"/>
          </w:tcPr>
          <w:p w14:paraId="608A15D1" w14:textId="77777777" w:rsidR="00E01C85" w:rsidRDefault="00E01C85" w:rsidP="0098354D">
            <w:r>
              <w:t>Net debt</w:t>
            </w:r>
          </w:p>
        </w:tc>
        <w:tc>
          <w:tcPr>
            <w:tcW w:w="786" w:type="dxa"/>
          </w:tcPr>
          <w:p w14:paraId="2C73D8E8" w14:textId="77777777" w:rsidR="00E01C85" w:rsidRDefault="00E01C85" w:rsidP="0098354D">
            <w:pPr>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7354F7EC"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100.0</w:t>
            </w:r>
          </w:p>
        </w:tc>
        <w:tc>
          <w:tcPr>
            <w:tcW w:w="794" w:type="dxa"/>
          </w:tcPr>
          <w:p w14:paraId="1DB8090E"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116.7</w:t>
            </w:r>
          </w:p>
        </w:tc>
        <w:tc>
          <w:tcPr>
            <w:tcW w:w="794" w:type="dxa"/>
          </w:tcPr>
          <w:p w14:paraId="38401C5A"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135.4</w:t>
            </w:r>
          </w:p>
        </w:tc>
        <w:tc>
          <w:tcPr>
            <w:tcW w:w="794" w:type="dxa"/>
          </w:tcPr>
          <w:p w14:paraId="0E8C805D"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151.2</w:t>
            </w:r>
          </w:p>
        </w:tc>
        <w:tc>
          <w:tcPr>
            <w:tcW w:w="794" w:type="dxa"/>
          </w:tcPr>
          <w:p w14:paraId="3F253731"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162.2</w:t>
            </w:r>
          </w:p>
        </w:tc>
        <w:tc>
          <w:tcPr>
            <w:tcW w:w="794" w:type="dxa"/>
          </w:tcPr>
          <w:p w14:paraId="11C3309D"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171.4</w:t>
            </w:r>
          </w:p>
        </w:tc>
      </w:tr>
      <w:tr w:rsidR="00E01C85" w14:paraId="4411B36E" w14:textId="77777777" w:rsidTr="0098354D">
        <w:tc>
          <w:tcPr>
            <w:cnfStyle w:val="001000000000" w:firstRow="0" w:lastRow="0" w:firstColumn="1" w:lastColumn="0" w:oddVBand="0" w:evenVBand="0" w:oddHBand="0" w:evenHBand="0" w:firstRowFirstColumn="0" w:firstRowLastColumn="0" w:lastRowFirstColumn="0" w:lastRowLastColumn="0"/>
            <w:tcW w:w="2160" w:type="dxa"/>
            <w:tcBorders>
              <w:bottom w:val="single" w:sz="12" w:space="0" w:color="auto"/>
            </w:tcBorders>
          </w:tcPr>
          <w:p w14:paraId="36F799D8" w14:textId="77777777" w:rsidR="00E01C85" w:rsidRDefault="00E01C85" w:rsidP="0098354D">
            <w:r>
              <w:t xml:space="preserve">Net debt to GSP </w:t>
            </w:r>
            <w:r>
              <w:rPr>
                <w:vertAlign w:val="superscript"/>
              </w:rPr>
              <w:t>(c)</w:t>
            </w:r>
          </w:p>
        </w:tc>
        <w:tc>
          <w:tcPr>
            <w:tcW w:w="786" w:type="dxa"/>
            <w:tcBorders>
              <w:bottom w:val="single" w:sz="12" w:space="0" w:color="auto"/>
            </w:tcBorders>
          </w:tcPr>
          <w:p w14:paraId="53D5D58D" w14:textId="77777777" w:rsidR="00E01C85" w:rsidRDefault="00E01C85" w:rsidP="0098354D">
            <w:pPr>
              <w:jc w:val="center"/>
              <w:cnfStyle w:val="000000000000" w:firstRow="0" w:lastRow="0" w:firstColumn="0" w:lastColumn="0" w:oddVBand="0" w:evenVBand="0" w:oddHBand="0" w:evenHBand="0" w:firstRowFirstColumn="0" w:firstRowLastColumn="0" w:lastRowFirstColumn="0" w:lastRowLastColumn="0"/>
            </w:pPr>
            <w:r>
              <w:t>per cent</w:t>
            </w:r>
          </w:p>
        </w:tc>
        <w:tc>
          <w:tcPr>
            <w:tcW w:w="794" w:type="dxa"/>
            <w:tcBorders>
              <w:bottom w:val="single" w:sz="12" w:space="0" w:color="auto"/>
            </w:tcBorders>
          </w:tcPr>
          <w:p w14:paraId="4D6E5325"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19.4</w:t>
            </w:r>
          </w:p>
        </w:tc>
        <w:tc>
          <w:tcPr>
            <w:tcW w:w="794" w:type="dxa"/>
            <w:tcBorders>
              <w:bottom w:val="single" w:sz="12" w:space="0" w:color="auto"/>
            </w:tcBorders>
          </w:tcPr>
          <w:p w14:paraId="1C7892E0"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20.6</w:t>
            </w:r>
          </w:p>
        </w:tc>
        <w:tc>
          <w:tcPr>
            <w:tcW w:w="794" w:type="dxa"/>
            <w:tcBorders>
              <w:bottom w:val="single" w:sz="12" w:space="0" w:color="auto"/>
            </w:tcBorders>
          </w:tcPr>
          <w:p w14:paraId="58A76C72"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22.6</w:t>
            </w:r>
          </w:p>
        </w:tc>
        <w:tc>
          <w:tcPr>
            <w:tcW w:w="794" w:type="dxa"/>
            <w:tcBorders>
              <w:bottom w:val="single" w:sz="12" w:space="0" w:color="auto"/>
            </w:tcBorders>
          </w:tcPr>
          <w:p w14:paraId="29F83FC9"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23.9</w:t>
            </w:r>
          </w:p>
        </w:tc>
        <w:tc>
          <w:tcPr>
            <w:tcW w:w="794" w:type="dxa"/>
            <w:tcBorders>
              <w:bottom w:val="single" w:sz="12" w:space="0" w:color="auto"/>
            </w:tcBorders>
          </w:tcPr>
          <w:p w14:paraId="33B3CADA"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24.4</w:t>
            </w:r>
          </w:p>
        </w:tc>
        <w:tc>
          <w:tcPr>
            <w:tcW w:w="794" w:type="dxa"/>
            <w:tcBorders>
              <w:bottom w:val="single" w:sz="12" w:space="0" w:color="auto"/>
            </w:tcBorders>
          </w:tcPr>
          <w:p w14:paraId="1379D5F4"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pPr>
            <w:r>
              <w:t>24.5</w:t>
            </w:r>
          </w:p>
        </w:tc>
      </w:tr>
    </w:tbl>
    <w:p w14:paraId="761D48DE" w14:textId="77777777" w:rsidR="00E01C85" w:rsidRPr="00F8150E" w:rsidRDefault="00E01C85" w:rsidP="00E01C85">
      <w:pPr>
        <w:pStyle w:val="Note"/>
      </w:pPr>
      <w:r w:rsidRPr="00F8150E">
        <w:t>Notes:</w:t>
      </w:r>
    </w:p>
    <w:p w14:paraId="5C81588B" w14:textId="77777777" w:rsidR="00E01C85" w:rsidRPr="00F8150E" w:rsidRDefault="00E01C85" w:rsidP="00E01C85">
      <w:pPr>
        <w:pStyle w:val="Note"/>
      </w:pPr>
      <w:r w:rsidRPr="00F8150E">
        <w:t>(a)</w:t>
      </w:r>
      <w:r w:rsidRPr="00F8150E">
        <w:tab/>
        <w:t>Includes general government net infrastructure investment and the estimated construction costs of public private partnership projects.</w:t>
      </w:r>
    </w:p>
    <w:p w14:paraId="692EBBEA" w14:textId="77777777" w:rsidR="00E01C85" w:rsidRPr="00F8150E" w:rsidRDefault="00E01C85" w:rsidP="00E01C85">
      <w:pPr>
        <w:pStyle w:val="Note"/>
      </w:pPr>
      <w:r w:rsidRPr="00F8150E">
        <w:t>(b)</w:t>
      </w:r>
      <w:r w:rsidRPr="00F8150E">
        <w:tab/>
        <w:t>Includes the estimated private sector construction</w:t>
      </w:r>
      <w:r>
        <w:t>-</w:t>
      </w:r>
      <w:r w:rsidRPr="00F8150E">
        <w:t>related expenditure associated with the North East Link held in the public non</w:t>
      </w:r>
      <w:r w:rsidRPr="00F8150E">
        <w:noBreakHyphen/>
        <w:t>financial corporations (PNFC) sector.</w:t>
      </w:r>
    </w:p>
    <w:p w14:paraId="40EBDDAB" w14:textId="77777777" w:rsidR="00E01C85" w:rsidRPr="00F8150E" w:rsidRDefault="00E01C85" w:rsidP="00E01C85">
      <w:pPr>
        <w:pStyle w:val="Note"/>
      </w:pPr>
      <w:r w:rsidRPr="00F8150E">
        <w:t>(c)</w:t>
      </w:r>
      <w:r w:rsidRPr="00F8150E">
        <w:tab/>
        <w:t>The ratios to gross state product (GSP) may vary from publications year to year due to revisions to the Australian Bureau of Statistics GSP data.</w:t>
      </w:r>
    </w:p>
    <w:p w14:paraId="33A3C4E9" w14:textId="77777777" w:rsidR="00E01C85" w:rsidRDefault="00E01C85" w:rsidP="00E01C85">
      <w:r w:rsidRPr="00B425D8">
        <w:rPr>
          <w:color w:val="000000" w:themeColor="text1"/>
        </w:rPr>
        <w:t xml:space="preserve">Government infrastructure investment (GII) is expected </w:t>
      </w:r>
      <w:r w:rsidRPr="00D2686C">
        <w:rPr>
          <w:color w:val="000000" w:themeColor="text1"/>
        </w:rPr>
        <w:t xml:space="preserve">to </w:t>
      </w:r>
      <w:r w:rsidRPr="00605E44">
        <w:rPr>
          <w:color w:val="000000" w:themeColor="text1"/>
        </w:rPr>
        <w:t>average $</w:t>
      </w:r>
      <w:r>
        <w:rPr>
          <w:color w:val="000000" w:themeColor="text1"/>
        </w:rPr>
        <w:t>19.6 </w:t>
      </w:r>
      <w:r w:rsidRPr="00605E44">
        <w:rPr>
          <w:color w:val="000000" w:themeColor="text1"/>
        </w:rPr>
        <w:t>billion a yea</w:t>
      </w:r>
      <w:r w:rsidRPr="00D2686C">
        <w:rPr>
          <w:color w:val="000000" w:themeColor="text1"/>
        </w:rPr>
        <w:t>r</w:t>
      </w:r>
      <w:r w:rsidRPr="00B425D8">
        <w:rPr>
          <w:color w:val="000000" w:themeColor="text1"/>
        </w:rPr>
        <w:t xml:space="preserve"> over the budget and forward estimates</w:t>
      </w:r>
      <w:r>
        <w:rPr>
          <w:color w:val="000000" w:themeColor="text1"/>
        </w:rPr>
        <w:t>,</w:t>
      </w:r>
      <w:r w:rsidRPr="00B425D8">
        <w:rPr>
          <w:color w:val="000000" w:themeColor="text1"/>
        </w:rPr>
        <w:t xml:space="preserve"> </w:t>
      </w:r>
      <w:r>
        <w:rPr>
          <w:color w:val="000000" w:themeColor="text1"/>
        </w:rPr>
        <w:t xml:space="preserve">reflecting the continuation of Victoria’s Big Build. </w:t>
      </w:r>
      <w:r w:rsidRPr="00C205F6">
        <w:t xml:space="preserve">The Government continues to deliver capital investments aimed at supporting jobs and improving productivity and the quality of public service delivery. </w:t>
      </w:r>
      <w:r>
        <w:t>The n</w:t>
      </w:r>
      <w:r w:rsidRPr="00C205F6">
        <w:t xml:space="preserve">ew investment focuses on delivering the Government’s election commitments alongside existing projects. </w:t>
      </w:r>
      <w:r w:rsidRPr="004D7DAA">
        <w:t>Over the forward estimates, GII will begin to return towards pre</w:t>
      </w:r>
      <w:r>
        <w:noBreakHyphen/>
      </w:r>
      <w:r w:rsidRPr="004D7DAA">
        <w:t>COVID levels</w:t>
      </w:r>
      <w:r>
        <w:t>.</w:t>
      </w:r>
    </w:p>
    <w:p w14:paraId="2CC5E5AE" w14:textId="77777777" w:rsidR="00E01C85" w:rsidRDefault="00E01C85" w:rsidP="00E01C85">
      <w:pPr>
        <w:rPr>
          <w:color w:val="000000" w:themeColor="text1"/>
        </w:rPr>
      </w:pPr>
      <w:r>
        <w:t>Net debt is expected to be $116.7 billion at June 2023 and $171.4 billion by June 2027. As a proportion of GSP, net debt is projected to be 20.6 per cent at June 2023 and 24.5 per cent by June 2027. This compares with a forecast 24.6 per cent net debt to GSP ratio by June 2026 as outlined in PEBU.</w:t>
      </w:r>
    </w:p>
    <w:p w14:paraId="3F08FF2E" w14:textId="77777777" w:rsidR="00E01C85" w:rsidRDefault="00E01C85" w:rsidP="00E01C85">
      <w:pPr>
        <w:ind w:right="151"/>
        <w:rPr>
          <w:color w:val="000000" w:themeColor="text1"/>
        </w:rPr>
      </w:pPr>
      <w:r w:rsidRPr="0018080F">
        <w:rPr>
          <w:color w:val="000000" w:themeColor="text1"/>
        </w:rPr>
        <w:t>Interest expense as a share of total revenue is expected to averag</w:t>
      </w:r>
      <w:r>
        <w:rPr>
          <w:color w:val="000000" w:themeColor="text1"/>
        </w:rPr>
        <w:t>e</w:t>
      </w:r>
      <w:r w:rsidRPr="0018080F">
        <w:rPr>
          <w:color w:val="000000" w:themeColor="text1"/>
        </w:rPr>
        <w:t xml:space="preserve"> </w:t>
      </w:r>
      <w:r>
        <w:rPr>
          <w:color w:val="000000" w:themeColor="text1"/>
        </w:rPr>
        <w:t>7.1</w:t>
      </w:r>
      <w:r w:rsidRPr="0018080F">
        <w:rPr>
          <w:color w:val="000000" w:themeColor="text1"/>
        </w:rPr>
        <w:t xml:space="preserve"> per cent a year over the budget and forward </w:t>
      </w:r>
      <w:r>
        <w:rPr>
          <w:color w:val="000000" w:themeColor="text1"/>
        </w:rPr>
        <w:t xml:space="preserve">estimates. </w:t>
      </w:r>
      <w:r w:rsidRPr="00EB6497">
        <w:t>The Government</w:t>
      </w:r>
      <w:r>
        <w:t>’</w:t>
      </w:r>
      <w:r w:rsidRPr="00EB6497">
        <w:t>s debt management strategy aims to reduce the</w:t>
      </w:r>
      <w:r w:rsidRPr="003D70B0">
        <w:t xml:space="preserve"> </w:t>
      </w:r>
      <w:r w:rsidRPr="00EB6497">
        <w:t>State’s exposure to interest rate movements by ensuring that a large proportion of existing debt is raised in long</w:t>
      </w:r>
      <w:r>
        <w:t>-</w:t>
      </w:r>
      <w:r w:rsidRPr="00EB6497">
        <w:t>term fixed rate bonds</w:t>
      </w:r>
      <w:r>
        <w:t>.</w:t>
      </w:r>
    </w:p>
    <w:p w14:paraId="57325FAD" w14:textId="77777777" w:rsidR="00E01C85" w:rsidRPr="007B7128" w:rsidRDefault="00E01C85" w:rsidP="00E01C85">
      <w:pPr>
        <w:pStyle w:val="Heading20"/>
        <w:pageBreakBefore/>
      </w:pPr>
      <w:r w:rsidRPr="007B7128">
        <w:t xml:space="preserve">Debt </w:t>
      </w:r>
      <w:r>
        <w:t>s</w:t>
      </w:r>
      <w:r w:rsidRPr="007B7128">
        <w:t>t</w:t>
      </w:r>
      <w:r>
        <w:t>a</w:t>
      </w:r>
      <w:r w:rsidRPr="007B7128">
        <w:t xml:space="preserve">bilisation </w:t>
      </w:r>
      <w:r>
        <w:t>s</w:t>
      </w:r>
      <w:r w:rsidRPr="007B7128">
        <w:t>trategy</w:t>
      </w:r>
    </w:p>
    <w:p w14:paraId="428D5321" w14:textId="77777777" w:rsidR="00E01C85" w:rsidRDefault="00E01C85" w:rsidP="00E01C85">
      <w:r>
        <w:t>Step 4 of the fiscal strategy is to stabilise the growth in net debt. This step involves progressively improving the operating cash flow surpluses</w:t>
      </w:r>
      <w:r w:rsidRPr="00DE520C">
        <w:t xml:space="preserve"> </w:t>
      </w:r>
      <w:r>
        <w:t xml:space="preserve">while growing the economy. These surpluses will fund a higher proportion of capital expenditure, reducing the reliance on borrowings. </w:t>
      </w:r>
    </w:p>
    <w:p w14:paraId="42BAE650" w14:textId="77777777" w:rsidR="00E01C85" w:rsidRDefault="00E01C85" w:rsidP="00E01C85">
      <w:r>
        <w:t xml:space="preserve">The net debt to GSP ratio is a measure of the size of the state’s debt compared to the size of the economy. By comparing what the state owes with what it produces, the net debt to GSP ratio provides an indication of the state’s ability to service its debt. </w:t>
      </w:r>
    </w:p>
    <w:p w14:paraId="1722764A" w14:textId="77777777" w:rsidR="00E01C85" w:rsidRDefault="00E01C85" w:rsidP="00E01C85">
      <w:pPr>
        <w:rPr>
          <w:color w:val="000000" w:themeColor="text1"/>
        </w:rPr>
      </w:pPr>
      <w:r>
        <w:t>Chart 1.2 shows that the annual growth rate of net debt to GSP increased across the three years from 2019</w:t>
      </w:r>
      <w:r>
        <w:noBreakHyphen/>
        <w:t>20 due to the impact of the pandemic. While both net debt and net debt to GSP are still projected to rise over the forward estimates, the rate of growth slows from 2022</w:t>
      </w:r>
      <w:r>
        <w:noBreakHyphen/>
        <w:t>23 and will continue to reduce further over the medium term.</w:t>
      </w:r>
    </w:p>
    <w:p w14:paraId="2020A597" w14:textId="77777777" w:rsidR="00E01C85" w:rsidRDefault="00E01C85" w:rsidP="00E01C85">
      <w:pPr>
        <w:pStyle w:val="TableHeading"/>
      </w:pPr>
      <w:r w:rsidRPr="00063B76">
        <w:t>Chart 1.2</w:t>
      </w:r>
      <w:r w:rsidRPr="00737059">
        <w:t>:</w:t>
      </w:r>
      <w:r w:rsidRPr="00737059">
        <w:tab/>
      </w:r>
      <w:r>
        <w:t xml:space="preserve">Annual net debt to GSP growth </w:t>
      </w:r>
      <w:r w:rsidRPr="00131C55">
        <w:rPr>
          <w:vertAlign w:val="superscript"/>
        </w:rPr>
        <w:t>(a)</w:t>
      </w:r>
      <w:r>
        <w:rPr>
          <w:vertAlign w:val="superscript"/>
        </w:rPr>
        <w:t>(b)</w:t>
      </w:r>
    </w:p>
    <w:p w14:paraId="1F7D47E2" w14:textId="77777777" w:rsidR="00E01C85" w:rsidRDefault="00E01C85" w:rsidP="00E01C85">
      <w:r>
        <w:rPr>
          <w:noProof/>
        </w:rPr>
        <w:drawing>
          <wp:inline distT="0" distB="0" distL="0" distR="0" wp14:anchorId="14CB3652" wp14:editId="08FF9B98">
            <wp:extent cx="4896485" cy="2774315"/>
            <wp:effectExtent l="0" t="0" r="0" b="6985"/>
            <wp:docPr id="4" name="Chart 4">
              <a:extLst xmlns:a="http://schemas.openxmlformats.org/drawingml/2006/main">
                <a:ext uri="{FF2B5EF4-FFF2-40B4-BE49-F238E27FC236}">
                  <a16:creationId xmlns:a16="http://schemas.microsoft.com/office/drawing/2014/main" id="{AE85938B-6B6B-48C9-A8C4-8D1F3DDC4B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3B5B28" w14:textId="77777777" w:rsidR="00E01C85" w:rsidRPr="00AB3600" w:rsidRDefault="00E01C85" w:rsidP="00E01C85">
      <w:pPr>
        <w:pStyle w:val="Note"/>
      </w:pPr>
      <w:r w:rsidRPr="00ED09E9">
        <w:t>Notes:</w:t>
      </w:r>
    </w:p>
    <w:p w14:paraId="1424CDE6" w14:textId="77777777" w:rsidR="00E01C85" w:rsidRDefault="00E01C85" w:rsidP="00E01C85">
      <w:pPr>
        <w:pStyle w:val="Note"/>
      </w:pPr>
      <w:r w:rsidRPr="00C203E5">
        <w:t>(</w:t>
      </w:r>
      <w:r>
        <w:t>a</w:t>
      </w:r>
      <w:r w:rsidRPr="00C203E5">
        <w:t>)</w:t>
      </w:r>
      <w:r w:rsidRPr="00C203E5">
        <w:tab/>
      </w:r>
      <w:r>
        <w:t>The decrease in 2016</w:t>
      </w:r>
      <w:r>
        <w:noBreakHyphen/>
        <w:t>17 largely reflects the receipt of proceeds from entering into a medium-term lease over the operations of the Port of Melbourne.</w:t>
      </w:r>
    </w:p>
    <w:p w14:paraId="62FBA527" w14:textId="77777777" w:rsidR="00E01C85" w:rsidRDefault="00E01C85" w:rsidP="00E01C85">
      <w:pPr>
        <w:pStyle w:val="Note"/>
      </w:pPr>
      <w:r w:rsidRPr="00C203E5">
        <w:t>(</w:t>
      </w:r>
      <w:r>
        <w:t>b</w:t>
      </w:r>
      <w:r w:rsidRPr="00C203E5">
        <w:t>)</w:t>
      </w:r>
      <w:r w:rsidRPr="00C203E5">
        <w:tab/>
      </w:r>
      <w:r w:rsidRPr="004951CC">
        <w:t>The increase in 2019-20 reflects the impact of accounting standards changes. The step change increase in net debt includes the requirement to classify operating leases as debt and the treatment for service concession arrangements, including certain public private partnerships.</w:t>
      </w:r>
    </w:p>
    <w:p w14:paraId="6AFBB6A3" w14:textId="77777777" w:rsidR="00E01C85" w:rsidRDefault="00E01C85" w:rsidP="00E01C85"/>
    <w:p w14:paraId="559A7384" w14:textId="77777777" w:rsidR="00E01C85" w:rsidRPr="00B6486F" w:rsidRDefault="00E01C85" w:rsidP="00E01C85">
      <w:pPr>
        <w:pStyle w:val="ShadedBoxHeading"/>
        <w:pageBreakBefore/>
        <w:tabs>
          <w:tab w:val="left" w:pos="1080"/>
        </w:tabs>
      </w:pPr>
      <w:r w:rsidRPr="00B6486F" w:rsidDel="00477CD3">
        <w:t xml:space="preserve">Box </w:t>
      </w:r>
      <w:r>
        <w:t>1</w:t>
      </w:r>
      <w:r w:rsidRPr="00B6486F">
        <w:t>.</w:t>
      </w:r>
      <w:r>
        <w:t>1</w:t>
      </w:r>
      <w:r w:rsidRPr="00B6486F">
        <w:t xml:space="preserve">: </w:t>
      </w:r>
      <w:r>
        <w:tab/>
      </w:r>
      <w:r w:rsidRPr="00B6486F">
        <w:t>Plan to offset the impact of COVID deb</w:t>
      </w:r>
      <w:r w:rsidRPr="00E23008">
        <w:t>t </w:t>
      </w:r>
      <w:r w:rsidRPr="00B6486F">
        <w:t> </w:t>
      </w:r>
    </w:p>
    <w:p w14:paraId="214E62CD" w14:textId="77777777" w:rsidR="00E01C85" w:rsidRPr="00B6486F" w:rsidRDefault="00E01C85" w:rsidP="00E01C85">
      <w:pPr>
        <w:pStyle w:val="ShadedBoxText"/>
      </w:pPr>
      <w:r w:rsidRPr="00B6486F">
        <w:t>Government</w:t>
      </w:r>
      <w:r>
        <w:t>s around the world</w:t>
      </w:r>
      <w:r w:rsidRPr="00B6486F">
        <w:t xml:space="preserve"> increased public spending to respond to the impact of COVID-19 </w:t>
      </w:r>
      <w:r>
        <w:t>and protect lives, livelihoods and national economies.</w:t>
      </w:r>
      <w:r w:rsidRPr="00B6486F">
        <w:t xml:space="preserve"> </w:t>
      </w:r>
      <w:r>
        <w:t>In Victoria, t</w:t>
      </w:r>
      <w:r w:rsidRPr="00B6486F">
        <w:t>his included using the Government’s balance sheet to support the Victorian community, which led to a necessary increase in debt.</w:t>
      </w:r>
    </w:p>
    <w:p w14:paraId="57310FC3" w14:textId="77777777" w:rsidR="00E01C85" w:rsidRPr="00B6486F" w:rsidRDefault="00E01C85" w:rsidP="00E01C85">
      <w:pPr>
        <w:pStyle w:val="ShadedBoxText"/>
      </w:pPr>
      <w:r w:rsidRPr="00B6486F">
        <w:t xml:space="preserve">Victoria’s pandemic emergency response measures generated direct benefits by protecting public health and </w:t>
      </w:r>
      <w:r>
        <w:t>helping to keep Victorians in work</w:t>
      </w:r>
      <w:r w:rsidRPr="00B6486F">
        <w:t>. The outcome resulted in the State being in a better position to reap the benefits through its economic recovery and ensure Victorians were not left behind.</w:t>
      </w:r>
    </w:p>
    <w:p w14:paraId="10369C03" w14:textId="77777777" w:rsidR="00E01C85" w:rsidRPr="00B6486F" w:rsidRDefault="00E01C85" w:rsidP="00E01C85">
      <w:pPr>
        <w:pStyle w:val="ShadedBoxText"/>
      </w:pPr>
      <w:r w:rsidRPr="00B6486F">
        <w:t xml:space="preserve">In the </w:t>
      </w:r>
      <w:r w:rsidRPr="00B6486F">
        <w:rPr>
          <w:i/>
          <w:iCs/>
        </w:rPr>
        <w:t>2020-21 Budget</w:t>
      </w:r>
      <w:r w:rsidRPr="00B6486F">
        <w:t xml:space="preserve">, the Government announced a four-step fiscal strategy to restore the State’s finances over the medium term. This included creating jobs, reducing unemployment, and restoring economic growth in the first step, followed by returning to an operating cash surplus and operating statement surplus in Steps 2 and 3, and then by stabilising debt levels in Step 4. The Government is well progressed in implementing these steps, with Steps 2 and 3 maintained in this budget and Step 4 remaining </w:t>
      </w:r>
      <w:r>
        <w:t>on track to be achieved over the</w:t>
      </w:r>
      <w:r w:rsidRPr="00B6486F">
        <w:t xml:space="preserve"> medium-term. </w:t>
      </w:r>
    </w:p>
    <w:p w14:paraId="1A0BCF59" w14:textId="77777777" w:rsidR="00E01C85" w:rsidRDefault="00E01C85" w:rsidP="00E01C85">
      <w:pPr>
        <w:pStyle w:val="ShadedBoxText"/>
      </w:pPr>
      <w:r w:rsidRPr="00B6486F">
        <w:t xml:space="preserve">A subset of the State’s debt was accumulated by incurring one-off expenditure and offering tax relief to directly respond to the pandemic, which can be designated as </w:t>
      </w:r>
      <w:r>
        <w:t>‘</w:t>
      </w:r>
      <w:r w:rsidRPr="00B6486F">
        <w:t>COVID debt</w:t>
      </w:r>
      <w:r>
        <w:t>’</w:t>
      </w:r>
      <w:r w:rsidRPr="00B6486F">
        <w:t>. The value of this debt is estimated to total $3</w:t>
      </w:r>
      <w:r>
        <w:t>1.</w:t>
      </w:r>
      <w:r w:rsidRPr="002E4932">
        <w:t>5</w:t>
      </w:r>
      <w:r w:rsidRPr="002E4932">
        <w:rPr>
          <w:rFonts w:ascii="Times New Roman" w:hAnsi="Times New Roman" w:cs="Times New Roman"/>
        </w:rPr>
        <w:t> </w:t>
      </w:r>
      <w:r w:rsidRPr="002E4932">
        <w:t>billion</w:t>
      </w:r>
      <w:r w:rsidRPr="00B6486F">
        <w:t xml:space="preserve"> in expenditure incurred by the State for activities primarily delivered between 2019-20 and </w:t>
      </w:r>
      <w:r>
        <w:t>2022-</w:t>
      </w:r>
      <w:r w:rsidRPr="00B6486F">
        <w:t>2</w:t>
      </w:r>
      <w:r>
        <w:t>3</w:t>
      </w:r>
      <w:r w:rsidRPr="00B6486F">
        <w:t>. This COVID debt covered a range of response activities with major expenditures incurred in:</w:t>
      </w:r>
    </w:p>
    <w:p w14:paraId="521E3BE8" w14:textId="77777777" w:rsidR="00E01C85" w:rsidRDefault="00E01C85" w:rsidP="007B1F83">
      <w:pPr>
        <w:pStyle w:val="ShadedBoxBullet"/>
      </w:pPr>
      <w:r>
        <w:t>supporting the health system to restrain and respond to the spread of COVID-19 rapidly and effectively, by delivering $10.7 billion on health-related services and programs</w:t>
      </w:r>
    </w:p>
    <w:p w14:paraId="6CED246C" w14:textId="77777777" w:rsidR="00E01C85" w:rsidRPr="00B6486F" w:rsidRDefault="00E01C85" w:rsidP="007B1F83">
      <w:pPr>
        <w:pStyle w:val="ShadedBoxBullet"/>
      </w:pPr>
      <w:r>
        <w:t>helping businesses survive and recover, by delivering more than $11 billion in  business and economic support.</w:t>
      </w:r>
    </w:p>
    <w:p w14:paraId="609B27B6" w14:textId="77777777" w:rsidR="00E01C85" w:rsidRPr="00B6486F" w:rsidRDefault="00E01C85" w:rsidP="00E01C85">
      <w:pPr>
        <w:pStyle w:val="ShadedBoxText"/>
      </w:pPr>
      <w:r w:rsidRPr="00B6486F">
        <w:t xml:space="preserve">The Government’s strategy of reinforcing the State’s health system and protecting the economy created strong foundations to manage the impact of the pandemic and ensured the economy could rebound quickly when restrictions eased. Since then, growth in Victoria’s </w:t>
      </w:r>
      <w:r>
        <w:t>GSP</w:t>
      </w:r>
      <w:r w:rsidRPr="00B6486F">
        <w:t xml:space="preserve"> has been strong, unemployment is low and the share of Victorians with a job is around a record high. </w:t>
      </w:r>
    </w:p>
    <w:p w14:paraId="3B4F6149" w14:textId="77777777" w:rsidR="00E01C85" w:rsidRPr="00B6486F" w:rsidRDefault="00E01C85" w:rsidP="00E01C85">
      <w:pPr>
        <w:pStyle w:val="ShadedBoxText"/>
      </w:pPr>
      <w:r>
        <w:rPr>
          <w:rFonts w:ascii="Garamond" w:hAnsi="Garamond"/>
        </w:rPr>
        <w:t xml:space="preserve">With the economy in a strong position, </w:t>
      </w:r>
      <w:r w:rsidRPr="00B6486F">
        <w:t xml:space="preserve">the </w:t>
      </w:r>
      <w:r w:rsidRPr="00E23008">
        <w:rPr>
          <w:i/>
        </w:rPr>
        <w:t>2023-24 Budget</w:t>
      </w:r>
      <w:r w:rsidRPr="00B6486F">
        <w:t xml:space="preserve"> announces the implementation of a new COVID Debt Repayment Plan to take the next step in </w:t>
      </w:r>
      <w:r>
        <w:t>improving</w:t>
      </w:r>
      <w:r w:rsidRPr="00B6486F">
        <w:t xml:space="preserve"> the State’s financial position.</w:t>
      </w:r>
      <w:r>
        <w:t xml:space="preserve"> </w:t>
      </w:r>
    </w:p>
    <w:p w14:paraId="6F540422" w14:textId="77777777" w:rsidR="00E01C85" w:rsidRDefault="00E01C85" w:rsidP="00E01C85">
      <w:pPr>
        <w:pStyle w:val="ShadedBoxText"/>
      </w:pPr>
      <w:r w:rsidRPr="00B6486F">
        <w:t>The COVID Debt Repayment Plan will raise an equivalent amount of funds, including</w:t>
      </w:r>
      <w:r w:rsidRPr="00B6486F" w:rsidDel="00477975">
        <w:t xml:space="preserve"> </w:t>
      </w:r>
      <w:r w:rsidRPr="00B6486F">
        <w:t xml:space="preserve">interest on this debt, to offset </w:t>
      </w:r>
      <w:r>
        <w:t xml:space="preserve">the impact of the </w:t>
      </w:r>
      <w:r w:rsidRPr="00B6486F">
        <w:t xml:space="preserve">COVID debt over the next 10 years. This will be achieved by introducing </w:t>
      </w:r>
      <w:r>
        <w:t>new savings and a time-limited</w:t>
      </w:r>
      <w:r w:rsidRPr="00B6486F">
        <w:t xml:space="preserve"> and </w:t>
      </w:r>
      <w:r>
        <w:t>targeted COVID Debt Levy</w:t>
      </w:r>
      <w:r w:rsidRPr="00B6486F">
        <w:t>, and by using the growing Victorian Future Fund (VFF)</w:t>
      </w:r>
      <w:r w:rsidRPr="00B6486F" w:rsidDel="00477975">
        <w:t xml:space="preserve"> </w:t>
      </w:r>
      <w:r w:rsidRPr="00B6486F">
        <w:t>established last year</w:t>
      </w:r>
      <w:r>
        <w:t>.</w:t>
      </w:r>
    </w:p>
    <w:p w14:paraId="052F8BA9" w14:textId="77777777" w:rsidR="00E01C85" w:rsidRPr="00B6486F" w:rsidRDefault="00E01C85" w:rsidP="00E01C85"/>
    <w:p w14:paraId="0C0D76E3" w14:textId="77777777" w:rsidR="00E01C85" w:rsidRPr="00B6486F" w:rsidRDefault="00E01C85" w:rsidP="00E01C85">
      <w:pPr>
        <w:pStyle w:val="ShadedBoxHeading"/>
        <w:pageBreakBefore/>
        <w:ind w:left="1080" w:hanging="1080"/>
      </w:pPr>
      <w:r w:rsidRPr="00D64536">
        <w:t>Chart 1.3:</w:t>
      </w:r>
      <w:r w:rsidRPr="00B6486F">
        <w:tab/>
        <w:t>COVID debt profile over 10 years following</w:t>
      </w:r>
      <w:r>
        <w:t xml:space="preserve"> the</w:t>
      </w:r>
      <w:r w:rsidRPr="00B6486F">
        <w:t xml:space="preserve"> COVID Debt Repayment Plan</w:t>
      </w:r>
      <w:r w:rsidRPr="00B6486F">
        <w:rPr>
          <w:vertAlign w:val="superscript"/>
        </w:rPr>
        <w:t>(a)</w:t>
      </w:r>
    </w:p>
    <w:p w14:paraId="1C4A2391" w14:textId="503AD846" w:rsidR="00E5437D" w:rsidRDefault="00E5437D" w:rsidP="00E01C85">
      <w:pPr>
        <w:pStyle w:val="ShadedBoxText"/>
        <w:spacing w:before="0"/>
        <w:rPr>
          <w:rFonts w:ascii="Calibri" w:hAnsi="Calibri"/>
          <w:i/>
          <w:iCs/>
          <w:sz w:val="14"/>
        </w:rPr>
      </w:pPr>
      <w:r>
        <w:rPr>
          <w:noProof/>
        </w:rPr>
        <w:drawing>
          <wp:inline distT="0" distB="0" distL="0" distR="0" wp14:anchorId="7C87DC01" wp14:editId="5100D5D5">
            <wp:extent cx="4896485" cy="2654300"/>
            <wp:effectExtent l="0" t="0" r="0" b="0"/>
            <wp:docPr id="34" name="Chart 34">
              <a:extLst xmlns:a="http://schemas.openxmlformats.org/drawingml/2006/main">
                <a:ext uri="{FF2B5EF4-FFF2-40B4-BE49-F238E27FC236}">
                  <a16:creationId xmlns:a16="http://schemas.microsoft.com/office/drawing/2014/main" id="{7FA1B84A-2D97-4318-AFB1-C0CC4B88E1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DA691D4" w14:textId="77777777" w:rsidR="00E01C85" w:rsidRDefault="00E01C85" w:rsidP="00E01C85">
      <w:pPr>
        <w:pStyle w:val="ShadedBoxText"/>
        <w:spacing w:before="0"/>
        <w:rPr>
          <w:rFonts w:ascii="Calibri" w:hAnsi="Calibri"/>
          <w:i/>
          <w:sz w:val="14"/>
        </w:rPr>
      </w:pPr>
      <w:r w:rsidRPr="00266CA9">
        <w:rPr>
          <w:rFonts w:ascii="Calibri" w:hAnsi="Calibri"/>
          <w:i/>
          <w:iCs/>
          <w:sz w:val="14"/>
        </w:rPr>
        <w:t>Note:</w:t>
      </w:r>
    </w:p>
    <w:p w14:paraId="4DF5F0D4" w14:textId="3A062184" w:rsidR="00E01C85" w:rsidRDefault="00E01C85" w:rsidP="004F28B2">
      <w:pPr>
        <w:pStyle w:val="ShadedBoxText"/>
        <w:spacing w:before="0"/>
        <w:ind w:left="288" w:hanging="288"/>
        <w:rPr>
          <w:rFonts w:ascii="Calibri" w:hAnsi="Calibri"/>
          <w:i/>
          <w:sz w:val="14"/>
        </w:rPr>
      </w:pPr>
      <w:r w:rsidRPr="00383946">
        <w:rPr>
          <w:rFonts w:ascii="Calibri" w:hAnsi="Calibri"/>
          <w:i/>
          <w:sz w:val="14"/>
        </w:rPr>
        <w:t xml:space="preserve">(a) </w:t>
      </w:r>
      <w:r w:rsidRPr="002E4932">
        <w:rPr>
          <w:rFonts w:ascii="Calibri" w:hAnsi="Calibri"/>
          <w:i/>
          <w:sz w:val="14"/>
        </w:rPr>
        <w:tab/>
        <w:t xml:space="preserve">COVID debt represents the closing balance including the impact of revenue raising measures, savings initiatives and interest expenditure associated with the debt in that financial year. Revenue and savings initiatives are those announced in Budget Paper </w:t>
      </w:r>
      <w:r w:rsidR="00E5437D">
        <w:rPr>
          <w:rFonts w:ascii="Calibri" w:hAnsi="Calibri"/>
          <w:i/>
          <w:sz w:val="14"/>
        </w:rPr>
        <w:t xml:space="preserve">No. </w:t>
      </w:r>
      <w:r w:rsidRPr="002E4932">
        <w:rPr>
          <w:rFonts w:ascii="Calibri" w:hAnsi="Calibri"/>
          <w:i/>
          <w:sz w:val="14"/>
        </w:rPr>
        <w:t>3, 2023-24 Budget, Chapter 1. The Victorian Future Fund refers to its balance, after accounting for additional contributions, income, capital gains and interest costs associated with contributions to the Fund.</w:t>
      </w:r>
      <w:r w:rsidR="004F28B2">
        <w:rPr>
          <w:rFonts w:ascii="Calibri" w:hAnsi="Calibri"/>
          <w:i/>
          <w:sz w:val="14"/>
        </w:rPr>
        <w:t xml:space="preserve"> </w:t>
      </w:r>
      <w:r w:rsidRPr="00B25767">
        <w:rPr>
          <w:rFonts w:ascii="Calibri" w:hAnsi="Calibri"/>
          <w:i/>
          <w:sz w:val="14"/>
        </w:rPr>
        <w:t>Financial years denote the position as of the end of June of that financial year.</w:t>
      </w:r>
    </w:p>
    <w:p w14:paraId="6F24CD0E" w14:textId="301375A7" w:rsidR="00E01C85" w:rsidRDefault="00E01C85" w:rsidP="00E01C85">
      <w:pPr>
        <w:pStyle w:val="ShadedBoxText"/>
      </w:pPr>
      <w:r w:rsidRPr="00766966">
        <w:t>The COVID debt was issued when interest rates were at record lows. The Treasury Corporation of Victoria locked in these low rates by primarily issuing</w:t>
      </w:r>
      <w:r>
        <w:t xml:space="preserve"> long-term bonds (at varying maturities)</w:t>
      </w:r>
      <w:r w:rsidRPr="00766966">
        <w:t xml:space="preserve">. </w:t>
      </w:r>
      <w:r>
        <w:t>It would not make sense to directly repay these bonds now, because they were issued at low rates and because the debt won’t mature for many years. Rather, t</w:t>
      </w:r>
      <w:r w:rsidRPr="005C085D">
        <w:t>hese measures mean that the Government will borrow less</w:t>
      </w:r>
      <w:r w:rsidR="0060738E">
        <w:t xml:space="preserve"> than planned</w:t>
      </w:r>
      <w:r w:rsidRPr="005C085D">
        <w:t xml:space="preserve"> </w:t>
      </w:r>
      <w:r>
        <w:t>at the current, higher interest rates</w:t>
      </w:r>
      <w:r w:rsidRPr="005C085D">
        <w:t xml:space="preserve"> to fund the Big Build</w:t>
      </w:r>
      <w:r>
        <w:t>.</w:t>
      </w:r>
      <w:r w:rsidRPr="005C085D">
        <w:t xml:space="preserve"> </w:t>
      </w:r>
      <w:r>
        <w:t>A</w:t>
      </w:r>
      <w:r w:rsidRPr="005C085D">
        <w:t xml:space="preserve">fter 10 years net debt </w:t>
      </w:r>
      <w:r>
        <w:t xml:space="preserve">is estimated to </w:t>
      </w:r>
      <w:r w:rsidRPr="005C085D">
        <w:t>be where it would have been</w:t>
      </w:r>
      <w:r>
        <w:t>, from these measures and the VFF,</w:t>
      </w:r>
      <w:r w:rsidRPr="005C085D">
        <w:t xml:space="preserve"> had </w:t>
      </w:r>
      <w:r>
        <w:t>the COVID debt</w:t>
      </w:r>
      <w:r w:rsidRPr="005C085D">
        <w:t xml:space="preserve"> not </w:t>
      </w:r>
      <w:r>
        <w:t>been incurred</w:t>
      </w:r>
      <w:r w:rsidRPr="005C085D">
        <w:t>.</w:t>
      </w:r>
    </w:p>
    <w:p w14:paraId="71DB7C55" w14:textId="77777777" w:rsidR="00E01C85" w:rsidRPr="00B6486F" w:rsidRDefault="00E01C85" w:rsidP="00E01C85">
      <w:pPr>
        <w:pStyle w:val="ShadedBoxText"/>
      </w:pPr>
      <w:r w:rsidRPr="00B6486F">
        <w:t>The COVID Debt Repayment Plan recognises that the nature of the COVID debt was incurred for essential short</w:t>
      </w:r>
      <w:r>
        <w:t>-</w:t>
      </w:r>
      <w:r w:rsidRPr="00B6486F">
        <w:t xml:space="preserve">term emergency response measures that involved one-off expenditure being financed through low borrowing rates. By offsetting the </w:t>
      </w:r>
      <w:r>
        <w:t xml:space="preserve">impact of the </w:t>
      </w:r>
      <w:r w:rsidRPr="00B6486F">
        <w:t xml:space="preserve">COVID debt, the plan ensures the budgetary impact of such one-off expenditures will be balanced over the longer-term budgetary and economic cycle. Once completed, the plan will mean that the state’s balance sheet </w:t>
      </w:r>
      <w:r>
        <w:t xml:space="preserve">is returned </w:t>
      </w:r>
      <w:r w:rsidRPr="00B6486F">
        <w:t>to investments that generate productive capacity enhancing infrastructure and programs, which produce long-term economic and financial benefits to the state. </w:t>
      </w:r>
    </w:p>
    <w:p w14:paraId="0C3DB89A" w14:textId="77777777" w:rsidR="00E01C85" w:rsidRDefault="00E01C85" w:rsidP="00E01C85">
      <w:pPr>
        <w:pStyle w:val="ShadedBoxText"/>
      </w:pPr>
      <w:r w:rsidRPr="00B6486F">
        <w:t xml:space="preserve">The necessary </w:t>
      </w:r>
      <w:r>
        <w:t>levy</w:t>
      </w:r>
      <w:r w:rsidRPr="00B6486F">
        <w:t xml:space="preserve"> and savings measures in th</w:t>
      </w:r>
      <w:r>
        <w:t>is</w:t>
      </w:r>
      <w:r w:rsidRPr="00B6486F">
        <w:t xml:space="preserve"> budget are being implemented in a balanced and fair way, targeted at those with the greatest capacity </w:t>
      </w:r>
      <w:r>
        <w:t xml:space="preserve">following the pandemic </w:t>
      </w:r>
      <w:r w:rsidRPr="00B6486F">
        <w:t xml:space="preserve">to contribute to offsetting the impact of </w:t>
      </w:r>
      <w:r>
        <w:t>the COVID</w:t>
      </w:r>
      <w:r w:rsidRPr="00B6486F">
        <w:t xml:space="preserve"> debt. </w:t>
      </w:r>
      <w:r>
        <w:t xml:space="preserve">For example, the payroll component of the Levy is targeted at larger businesses. Nationally, total business profits over 2020 to 2022, excluding the mining sector, were $995.5 billion, which is 24 per cent higher than in the preceding three years (see Chart 1.4). Business profit margins were also higher than usual across this period. </w:t>
      </w:r>
    </w:p>
    <w:p w14:paraId="3AF6CF4A" w14:textId="184096C7" w:rsidR="00E01C85" w:rsidRPr="00B6486F" w:rsidRDefault="00E01C85" w:rsidP="00E01C85">
      <w:pPr>
        <w:pStyle w:val="ShadedBoxText"/>
        <w:pageBreakBefore/>
      </w:pPr>
      <w:r w:rsidRPr="00E81479">
        <w:t xml:space="preserve">The </w:t>
      </w:r>
      <w:r>
        <w:t>Levy</w:t>
      </w:r>
      <w:r w:rsidRPr="00E81479">
        <w:t xml:space="preserve"> will sunset in 2033 once the </w:t>
      </w:r>
      <w:r>
        <w:t xml:space="preserve">impact of the </w:t>
      </w:r>
      <w:r w:rsidRPr="00E81479">
        <w:t xml:space="preserve">COVID debt is </w:t>
      </w:r>
      <w:r>
        <w:t xml:space="preserve">scheduled to be </w:t>
      </w:r>
      <w:r w:rsidRPr="00E81479">
        <w:t xml:space="preserve">fully offset. </w:t>
      </w:r>
      <w:r w:rsidRPr="00B6486F">
        <w:t xml:space="preserve">In addition, expenditure efficiencies </w:t>
      </w:r>
      <w:r>
        <w:t xml:space="preserve">will </w:t>
      </w:r>
      <w:r w:rsidRPr="00B6486F">
        <w:t>re</w:t>
      </w:r>
      <w:r>
        <w:t>balance</w:t>
      </w:r>
      <w:r w:rsidRPr="00B6486F">
        <w:t xml:space="preserve"> the size of the Victorian Public Service (VPS) back towards pre-pandemic levels without directly affecting frontline service delivery.</w:t>
      </w:r>
    </w:p>
    <w:p w14:paraId="297B0E4B" w14:textId="77777777" w:rsidR="00E01C85" w:rsidRDefault="00E01C85" w:rsidP="00E01C85">
      <w:pPr>
        <w:pStyle w:val="ShadedBoxHeading"/>
        <w:ind w:left="1080" w:hanging="1080"/>
      </w:pPr>
      <w:r w:rsidRPr="00392016">
        <w:t>Chart 1.4</w:t>
      </w:r>
      <w:r>
        <w:t>:</w:t>
      </w:r>
      <w:r>
        <w:tab/>
        <w:t>Business gross operating profits, excluding mining, Australia</w:t>
      </w:r>
    </w:p>
    <w:p w14:paraId="70E026DD" w14:textId="77777777" w:rsidR="00E01C85" w:rsidRPr="00B6486F" w:rsidRDefault="00E01C85" w:rsidP="00E01C85">
      <w:pPr>
        <w:pStyle w:val="ShadedBoxText"/>
      </w:pPr>
      <w:r>
        <w:rPr>
          <w:noProof/>
        </w:rPr>
        <w:drawing>
          <wp:inline distT="0" distB="0" distL="0" distR="0" wp14:anchorId="38BE6A6B" wp14:editId="28182E63">
            <wp:extent cx="4896485" cy="2761615"/>
            <wp:effectExtent l="0" t="0" r="0" b="635"/>
            <wp:docPr id="6" name="Chart 6">
              <a:extLst xmlns:a="http://schemas.openxmlformats.org/drawingml/2006/main">
                <a:ext uri="{FF2B5EF4-FFF2-40B4-BE49-F238E27FC236}">
                  <a16:creationId xmlns:a16="http://schemas.microsoft.com/office/drawing/2014/main" id="{C32F998D-91AA-A735-DEE6-CAC938128A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23FE165" w14:textId="77777777" w:rsidR="00E01C85" w:rsidRPr="00F13396" w:rsidRDefault="00E01C85" w:rsidP="00E01C85">
      <w:pPr>
        <w:pStyle w:val="ShadedBoxText"/>
        <w:rPr>
          <w:rFonts w:asciiTheme="majorHAnsi" w:hAnsiTheme="majorHAnsi" w:cstheme="majorHAnsi"/>
          <w:i/>
          <w:iCs/>
          <w:sz w:val="14"/>
          <w:szCs w:val="14"/>
        </w:rPr>
      </w:pPr>
      <w:r w:rsidRPr="00F13396">
        <w:rPr>
          <w:rFonts w:asciiTheme="majorHAnsi" w:hAnsiTheme="majorHAnsi" w:cstheme="majorHAnsi"/>
          <w:i/>
          <w:iCs/>
          <w:sz w:val="14"/>
          <w:szCs w:val="14"/>
        </w:rPr>
        <w:t>Source: Australian Bureau of Statistics</w:t>
      </w:r>
    </w:p>
    <w:p w14:paraId="47B6DC4C" w14:textId="77777777" w:rsidR="00E01C85" w:rsidRPr="00064DEE" w:rsidRDefault="00E01C85" w:rsidP="00E01C85">
      <w:pPr>
        <w:pStyle w:val="ShadedBoxText"/>
      </w:pPr>
      <w:r w:rsidRPr="00B6486F">
        <w:t xml:space="preserve">This </w:t>
      </w:r>
      <w:r>
        <w:t xml:space="preserve">plan continues </w:t>
      </w:r>
      <w:r w:rsidRPr="00B6486F">
        <w:t>the process of repairing the State’s financial position</w:t>
      </w:r>
      <w:r>
        <w:t xml:space="preserve"> </w:t>
      </w:r>
      <w:r>
        <w:rPr>
          <w:rFonts w:ascii="Garamond" w:hAnsi="Garamond"/>
        </w:rPr>
        <w:t>after the impacts of COVID</w:t>
      </w:r>
      <w:r w:rsidRPr="00B6486F">
        <w:t>.</w:t>
      </w:r>
    </w:p>
    <w:p w14:paraId="4D2E2C12" w14:textId="77777777" w:rsidR="00E01C85" w:rsidRDefault="00E01C85" w:rsidP="00E01C85">
      <w:pPr>
        <w:pStyle w:val="Heading20"/>
        <w:pageBreakBefore/>
      </w:pPr>
      <w:r>
        <w:t>Longer-term objectives and targets</w:t>
      </w:r>
    </w:p>
    <w:p w14:paraId="7F5D8DEB" w14:textId="77777777" w:rsidR="00E01C85" w:rsidRDefault="00E01C85" w:rsidP="00E01C85">
      <w:r>
        <w:t xml:space="preserve">The </w:t>
      </w:r>
      <w:r w:rsidRPr="002E2152">
        <w:rPr>
          <w:i/>
        </w:rPr>
        <w:t>20</w:t>
      </w:r>
      <w:r>
        <w:rPr>
          <w:i/>
        </w:rPr>
        <w:t>23</w:t>
      </w:r>
      <w:r>
        <w:rPr>
          <w:i/>
        </w:rPr>
        <w:noBreakHyphen/>
      </w:r>
      <w:r w:rsidRPr="002E2152">
        <w:rPr>
          <w:i/>
        </w:rPr>
        <w:t>2</w:t>
      </w:r>
      <w:r>
        <w:rPr>
          <w:i/>
        </w:rPr>
        <w:t>4</w:t>
      </w:r>
      <w:r w:rsidRPr="002E2152">
        <w:rPr>
          <w:i/>
        </w:rPr>
        <w:t xml:space="preserve"> Budget</w:t>
      </w:r>
      <w:r w:rsidRPr="00ED09E9">
        <w:t xml:space="preserve"> reflects the Government</w:t>
      </w:r>
      <w:r>
        <w:t>’</w:t>
      </w:r>
      <w:r w:rsidRPr="00ED09E9">
        <w:t xml:space="preserve">s </w:t>
      </w:r>
      <w:r>
        <w:t>long</w:t>
      </w:r>
      <w:r>
        <w:noBreakHyphen/>
        <w:t xml:space="preserve">term financial management objectives </w:t>
      </w:r>
      <w:r w:rsidRPr="00ED09E9">
        <w:t xml:space="preserve">as set out in </w:t>
      </w:r>
      <w:r w:rsidRPr="005B4326">
        <w:t>Table 1.2.</w:t>
      </w:r>
      <w:bookmarkStart w:id="6" w:name="_Hlk54193501"/>
      <w:r w:rsidRPr="00DA233E">
        <w:t xml:space="preserve"> </w:t>
      </w:r>
      <w:r w:rsidRPr="005B4326">
        <w:t xml:space="preserve">These have been updated </w:t>
      </w:r>
      <w:r>
        <w:t>in response to</w:t>
      </w:r>
      <w:r w:rsidRPr="005B4326">
        <w:t xml:space="preserve"> the current economic environment </w:t>
      </w:r>
      <w:bookmarkEnd w:id="6"/>
      <w:r w:rsidRPr="005B4326">
        <w:t xml:space="preserve">and the Government’s focus on jobs </w:t>
      </w:r>
      <w:r>
        <w:t xml:space="preserve">to </w:t>
      </w:r>
      <w:r w:rsidRPr="005B4326">
        <w:t>support sound longer</w:t>
      </w:r>
      <w:r w:rsidRPr="005B4326">
        <w:rPr>
          <w:rFonts w:ascii="Times New Roman" w:hAnsi="Times New Roman" w:cs="Times New Roman"/>
        </w:rPr>
        <w:t>‑</w:t>
      </w:r>
      <w:r w:rsidRPr="005B4326">
        <w:t>term fiscal management</w:t>
      </w:r>
      <w:r>
        <w:t>.</w:t>
      </w:r>
    </w:p>
    <w:p w14:paraId="431A7957" w14:textId="77777777" w:rsidR="00E01C85" w:rsidRPr="00033297" w:rsidRDefault="00E01C85" w:rsidP="00E01C85">
      <w:pPr>
        <w:pStyle w:val="TableHeading"/>
        <w:ind w:left="1022" w:hanging="1022"/>
      </w:pPr>
      <w:r w:rsidRPr="00033297">
        <w:t>Table 1.</w:t>
      </w:r>
      <w:r>
        <w:t>2</w:t>
      </w:r>
      <w:r w:rsidRPr="00033297">
        <w:t xml:space="preserve">: </w:t>
      </w:r>
      <w:r w:rsidRPr="00033297">
        <w:tab/>
        <w:t>Long-term financial management objectives</w:t>
      </w:r>
    </w:p>
    <w:tbl>
      <w:tblPr>
        <w:tblStyle w:val="DTFTableText"/>
        <w:tblW w:w="7711" w:type="dxa"/>
        <w:tblLook w:val="06A0" w:firstRow="1" w:lastRow="0" w:firstColumn="1" w:lastColumn="0" w:noHBand="1" w:noVBand="1"/>
      </w:tblPr>
      <w:tblGrid>
        <w:gridCol w:w="2070"/>
        <w:gridCol w:w="5641"/>
      </w:tblGrid>
      <w:tr w:rsidR="00E01C85" w14:paraId="7CADEE31" w14:textId="77777777" w:rsidTr="009835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69ADD9F1" w14:textId="77777777" w:rsidR="00E01C85" w:rsidRPr="00383946" w:rsidRDefault="00E01C85" w:rsidP="0098354D">
            <w:pPr>
              <w:rPr>
                <w:rFonts w:cstheme="majorHAnsi"/>
                <w:b w:val="0"/>
                <w:sz w:val="18"/>
                <w:szCs w:val="18"/>
              </w:rPr>
            </w:pPr>
            <w:r w:rsidRPr="00383946">
              <w:rPr>
                <w:rFonts w:cstheme="majorHAnsi"/>
                <w:b w:val="0"/>
                <w:sz w:val="18"/>
                <w:szCs w:val="18"/>
              </w:rPr>
              <w:t>Priority</w:t>
            </w:r>
          </w:p>
        </w:tc>
        <w:tc>
          <w:tcPr>
            <w:tcW w:w="5641" w:type="dxa"/>
          </w:tcPr>
          <w:p w14:paraId="4D8EDC80" w14:textId="77777777" w:rsidR="00E01C85" w:rsidRPr="00383946" w:rsidRDefault="00E01C85" w:rsidP="0098354D">
            <w:pPr>
              <w:cnfStyle w:val="100000000000" w:firstRow="1" w:lastRow="0" w:firstColumn="0" w:lastColumn="0" w:oddVBand="0" w:evenVBand="0" w:oddHBand="0" w:evenHBand="0" w:firstRowFirstColumn="0" w:firstRowLastColumn="0" w:lastRowFirstColumn="0" w:lastRowLastColumn="0"/>
              <w:rPr>
                <w:rFonts w:cstheme="majorHAnsi"/>
                <w:sz w:val="18"/>
                <w:szCs w:val="18"/>
              </w:rPr>
            </w:pPr>
            <w:r w:rsidRPr="00383946">
              <w:rPr>
                <w:rFonts w:cstheme="majorHAnsi"/>
                <w:sz w:val="18"/>
                <w:szCs w:val="18"/>
              </w:rPr>
              <w:t>Objective</w:t>
            </w:r>
          </w:p>
        </w:tc>
      </w:tr>
      <w:tr w:rsidR="00E01C85" w14:paraId="15BA48AD" w14:textId="77777777" w:rsidTr="0098354D">
        <w:tc>
          <w:tcPr>
            <w:cnfStyle w:val="001000000000" w:firstRow="0" w:lastRow="0" w:firstColumn="1" w:lastColumn="0" w:oddVBand="0" w:evenVBand="0" w:oddHBand="0" w:evenHBand="0" w:firstRowFirstColumn="0" w:firstRowLastColumn="0" w:lastRowFirstColumn="0" w:lastRowLastColumn="0"/>
            <w:tcW w:w="2070" w:type="dxa"/>
          </w:tcPr>
          <w:p w14:paraId="3797C9E2" w14:textId="77777777" w:rsidR="00E01C85" w:rsidRPr="00383946" w:rsidRDefault="00E01C85" w:rsidP="0098354D">
            <w:pPr>
              <w:rPr>
                <w:rFonts w:cstheme="majorHAnsi"/>
                <w:sz w:val="18"/>
                <w:szCs w:val="18"/>
              </w:rPr>
            </w:pPr>
            <w:r w:rsidRPr="00383946">
              <w:rPr>
                <w:rFonts w:cstheme="majorHAnsi"/>
                <w:sz w:val="18"/>
                <w:szCs w:val="18"/>
              </w:rPr>
              <w:t>Sound financial management</w:t>
            </w:r>
          </w:p>
        </w:tc>
        <w:tc>
          <w:tcPr>
            <w:tcW w:w="5641" w:type="dxa"/>
          </w:tcPr>
          <w:p w14:paraId="5528B526" w14:textId="77777777" w:rsidR="00E01C85" w:rsidRPr="00383946" w:rsidRDefault="00E01C85" w:rsidP="0098354D">
            <w:pPr>
              <w:cnfStyle w:val="000000000000" w:firstRow="0" w:lastRow="0" w:firstColumn="0" w:lastColumn="0" w:oddVBand="0" w:evenVBand="0" w:oddHBand="0" w:evenHBand="0" w:firstRowFirstColumn="0" w:firstRowLastColumn="0" w:lastRowFirstColumn="0" w:lastRowLastColumn="0"/>
              <w:rPr>
                <w:rFonts w:cstheme="majorHAnsi"/>
                <w:sz w:val="18"/>
                <w:szCs w:val="18"/>
              </w:rPr>
            </w:pPr>
            <w:r w:rsidRPr="00383946">
              <w:rPr>
                <w:rFonts w:cstheme="majorHAnsi"/>
                <w:sz w:val="18"/>
                <w:szCs w:val="18"/>
              </w:rPr>
              <w:t>Victoria’s finances will be managed in a responsible manner to provide capacity to fund services and infrastructure and support households and businesses at levels consistent with sound financial management.</w:t>
            </w:r>
          </w:p>
        </w:tc>
      </w:tr>
      <w:tr w:rsidR="00E01C85" w14:paraId="07E40814" w14:textId="77777777" w:rsidTr="0098354D">
        <w:tc>
          <w:tcPr>
            <w:cnfStyle w:val="001000000000" w:firstRow="0" w:lastRow="0" w:firstColumn="1" w:lastColumn="0" w:oddVBand="0" w:evenVBand="0" w:oddHBand="0" w:evenHBand="0" w:firstRowFirstColumn="0" w:firstRowLastColumn="0" w:lastRowFirstColumn="0" w:lastRowLastColumn="0"/>
            <w:tcW w:w="2070" w:type="dxa"/>
          </w:tcPr>
          <w:p w14:paraId="2682CE78" w14:textId="77777777" w:rsidR="00E01C85" w:rsidRPr="00383946" w:rsidRDefault="00E01C85" w:rsidP="0098354D">
            <w:pPr>
              <w:rPr>
                <w:rFonts w:cstheme="majorHAnsi"/>
                <w:sz w:val="18"/>
                <w:szCs w:val="18"/>
              </w:rPr>
            </w:pPr>
            <w:r w:rsidRPr="00383946">
              <w:rPr>
                <w:rFonts w:cstheme="majorHAnsi"/>
                <w:sz w:val="18"/>
                <w:szCs w:val="18"/>
              </w:rPr>
              <w:t>Improved services</w:t>
            </w:r>
          </w:p>
        </w:tc>
        <w:tc>
          <w:tcPr>
            <w:tcW w:w="5641" w:type="dxa"/>
          </w:tcPr>
          <w:p w14:paraId="03379F39" w14:textId="77777777" w:rsidR="00E01C85" w:rsidRPr="00383946" w:rsidRDefault="00E01C85" w:rsidP="0098354D">
            <w:pPr>
              <w:cnfStyle w:val="000000000000" w:firstRow="0" w:lastRow="0" w:firstColumn="0" w:lastColumn="0" w:oddVBand="0" w:evenVBand="0" w:oddHBand="0" w:evenHBand="0" w:firstRowFirstColumn="0" w:firstRowLastColumn="0" w:lastRowFirstColumn="0" w:lastRowLastColumn="0"/>
              <w:rPr>
                <w:rFonts w:cstheme="majorHAnsi"/>
                <w:sz w:val="18"/>
                <w:szCs w:val="18"/>
              </w:rPr>
            </w:pPr>
            <w:r w:rsidRPr="00383946">
              <w:rPr>
                <w:rFonts w:cstheme="majorHAnsi"/>
                <w:sz w:val="18"/>
                <w:szCs w:val="18"/>
              </w:rPr>
              <w:t>Public services will improve over time.</w:t>
            </w:r>
          </w:p>
        </w:tc>
      </w:tr>
      <w:tr w:rsidR="00E01C85" w14:paraId="7F29E874" w14:textId="77777777" w:rsidTr="0098354D">
        <w:tc>
          <w:tcPr>
            <w:cnfStyle w:val="001000000000" w:firstRow="0" w:lastRow="0" w:firstColumn="1" w:lastColumn="0" w:oddVBand="0" w:evenVBand="0" w:oddHBand="0" w:evenHBand="0" w:firstRowFirstColumn="0" w:firstRowLastColumn="0" w:lastRowFirstColumn="0" w:lastRowLastColumn="0"/>
            <w:tcW w:w="2070" w:type="dxa"/>
          </w:tcPr>
          <w:p w14:paraId="5216ADDA" w14:textId="77777777" w:rsidR="00E01C85" w:rsidRPr="00383946" w:rsidRDefault="00E01C85" w:rsidP="0098354D">
            <w:pPr>
              <w:rPr>
                <w:rFonts w:cstheme="majorHAnsi"/>
                <w:sz w:val="18"/>
                <w:szCs w:val="18"/>
              </w:rPr>
            </w:pPr>
            <w:r w:rsidRPr="00383946">
              <w:rPr>
                <w:rFonts w:cstheme="majorHAnsi"/>
                <w:sz w:val="18"/>
                <w:szCs w:val="18"/>
              </w:rPr>
              <w:t>Building infrastructure</w:t>
            </w:r>
          </w:p>
        </w:tc>
        <w:tc>
          <w:tcPr>
            <w:tcW w:w="5641" w:type="dxa"/>
          </w:tcPr>
          <w:p w14:paraId="4B1852B6" w14:textId="77777777" w:rsidR="00E01C85" w:rsidRPr="00383946" w:rsidRDefault="00E01C85" w:rsidP="0098354D">
            <w:pPr>
              <w:cnfStyle w:val="000000000000" w:firstRow="0" w:lastRow="0" w:firstColumn="0" w:lastColumn="0" w:oddVBand="0" w:evenVBand="0" w:oddHBand="0" w:evenHBand="0" w:firstRowFirstColumn="0" w:firstRowLastColumn="0" w:lastRowFirstColumn="0" w:lastRowLastColumn="0"/>
              <w:rPr>
                <w:rFonts w:cstheme="majorHAnsi"/>
                <w:sz w:val="18"/>
                <w:szCs w:val="18"/>
              </w:rPr>
            </w:pPr>
            <w:r w:rsidRPr="00383946">
              <w:rPr>
                <w:rFonts w:cstheme="majorHAnsi"/>
                <w:sz w:val="18"/>
                <w:szCs w:val="18"/>
              </w:rPr>
              <w:t>Public infrastructure will grow steadily over time to meet the needs of a growing population.</w:t>
            </w:r>
          </w:p>
        </w:tc>
      </w:tr>
      <w:tr w:rsidR="00E01C85" w14:paraId="1FC4B113" w14:textId="77777777" w:rsidTr="0098354D">
        <w:tc>
          <w:tcPr>
            <w:cnfStyle w:val="001000000000" w:firstRow="0" w:lastRow="0" w:firstColumn="1" w:lastColumn="0" w:oddVBand="0" w:evenVBand="0" w:oddHBand="0" w:evenHBand="0" w:firstRowFirstColumn="0" w:firstRowLastColumn="0" w:lastRowFirstColumn="0" w:lastRowLastColumn="0"/>
            <w:tcW w:w="2070" w:type="dxa"/>
            <w:tcBorders>
              <w:bottom w:val="nil"/>
            </w:tcBorders>
          </w:tcPr>
          <w:p w14:paraId="05C7B044" w14:textId="77777777" w:rsidR="00E01C85" w:rsidRPr="00383946" w:rsidRDefault="00E01C85" w:rsidP="0098354D">
            <w:pPr>
              <w:rPr>
                <w:rFonts w:cstheme="majorHAnsi"/>
                <w:sz w:val="18"/>
                <w:szCs w:val="18"/>
              </w:rPr>
            </w:pPr>
            <w:r w:rsidRPr="00383946">
              <w:rPr>
                <w:rFonts w:cstheme="majorHAnsi"/>
                <w:sz w:val="18"/>
                <w:szCs w:val="18"/>
              </w:rPr>
              <w:t>Efficient use of public resources</w:t>
            </w:r>
          </w:p>
        </w:tc>
        <w:tc>
          <w:tcPr>
            <w:tcW w:w="5641" w:type="dxa"/>
            <w:tcBorders>
              <w:bottom w:val="nil"/>
            </w:tcBorders>
          </w:tcPr>
          <w:p w14:paraId="58C1D993" w14:textId="77777777" w:rsidR="00E01C85" w:rsidRPr="00383946" w:rsidRDefault="00E01C85" w:rsidP="0098354D">
            <w:pPr>
              <w:cnfStyle w:val="000000000000" w:firstRow="0" w:lastRow="0" w:firstColumn="0" w:lastColumn="0" w:oddVBand="0" w:evenVBand="0" w:oddHBand="0" w:evenHBand="0" w:firstRowFirstColumn="0" w:firstRowLastColumn="0" w:lastRowFirstColumn="0" w:lastRowLastColumn="0"/>
              <w:rPr>
                <w:rFonts w:cstheme="majorHAnsi"/>
                <w:sz w:val="18"/>
                <w:szCs w:val="18"/>
              </w:rPr>
            </w:pPr>
            <w:r w:rsidRPr="00383946">
              <w:rPr>
                <w:rFonts w:cstheme="majorHAnsi"/>
                <w:sz w:val="18"/>
                <w:szCs w:val="18"/>
              </w:rPr>
              <w:t>Public sector resources will be invested in services and infrastructure to maximise the economic, social and environmental benefits.</w:t>
            </w:r>
          </w:p>
        </w:tc>
      </w:tr>
      <w:tr w:rsidR="00E01C85" w14:paraId="5CED9CD2" w14:textId="77777777" w:rsidTr="0098354D">
        <w:tc>
          <w:tcPr>
            <w:cnfStyle w:val="001000000000" w:firstRow="0" w:lastRow="0" w:firstColumn="1" w:lastColumn="0" w:oddVBand="0" w:evenVBand="0" w:oddHBand="0" w:evenHBand="0" w:firstRowFirstColumn="0" w:firstRowLastColumn="0" w:lastRowFirstColumn="0" w:lastRowLastColumn="0"/>
            <w:tcW w:w="2070" w:type="dxa"/>
            <w:tcBorders>
              <w:bottom w:val="single" w:sz="12" w:space="0" w:color="auto"/>
            </w:tcBorders>
          </w:tcPr>
          <w:p w14:paraId="57C9E31E" w14:textId="77777777" w:rsidR="00E01C85" w:rsidRPr="00383946" w:rsidRDefault="00E01C85" w:rsidP="0098354D">
            <w:pPr>
              <w:rPr>
                <w:rFonts w:cstheme="majorHAnsi"/>
                <w:sz w:val="18"/>
                <w:szCs w:val="18"/>
              </w:rPr>
            </w:pPr>
            <w:r w:rsidRPr="00383946">
              <w:rPr>
                <w:rFonts w:cstheme="majorHAnsi"/>
                <w:sz w:val="18"/>
                <w:szCs w:val="18"/>
              </w:rPr>
              <w:t>A resilient economy</w:t>
            </w:r>
          </w:p>
        </w:tc>
        <w:tc>
          <w:tcPr>
            <w:tcW w:w="5641" w:type="dxa"/>
            <w:tcBorders>
              <w:bottom w:val="single" w:sz="12" w:space="0" w:color="auto"/>
            </w:tcBorders>
          </w:tcPr>
          <w:p w14:paraId="771ADF18" w14:textId="77777777" w:rsidR="00E01C85" w:rsidRPr="00383946" w:rsidRDefault="00E01C85" w:rsidP="0098354D">
            <w:pPr>
              <w:cnfStyle w:val="000000000000" w:firstRow="0" w:lastRow="0" w:firstColumn="0" w:lastColumn="0" w:oddVBand="0" w:evenVBand="0" w:oddHBand="0" w:evenHBand="0" w:firstRowFirstColumn="0" w:firstRowLastColumn="0" w:lastRowFirstColumn="0" w:lastRowLastColumn="0"/>
              <w:rPr>
                <w:rFonts w:cstheme="majorHAnsi"/>
                <w:sz w:val="18"/>
                <w:szCs w:val="18"/>
              </w:rPr>
            </w:pPr>
            <w:r w:rsidRPr="00383946">
              <w:rPr>
                <w:rFonts w:cstheme="majorHAnsi"/>
                <w:sz w:val="18"/>
                <w:szCs w:val="18"/>
              </w:rPr>
              <w:t>Increase economic resilience by supporting an innovative and diversified economy that will unlock employment growth, long-term economic growth and productivity in Victoria.</w:t>
            </w:r>
          </w:p>
        </w:tc>
      </w:tr>
    </w:tbl>
    <w:p w14:paraId="22A5FCEE" w14:textId="77777777" w:rsidR="00E01C85" w:rsidRDefault="00E01C85" w:rsidP="00711A2B">
      <w:pPr>
        <w:keepNext/>
        <w:spacing w:before="240"/>
        <w:ind w:right="58"/>
      </w:pPr>
      <w:r>
        <w:t xml:space="preserve">Progress towards these long-term financial management objectives is supported by the measures and targets in Table 1.3. </w:t>
      </w:r>
      <w:r w:rsidRPr="005B4326">
        <w:t>These measures and targets have been updated to better reflect the current economic and fiscal conditions.</w:t>
      </w:r>
    </w:p>
    <w:p w14:paraId="54E50BBA" w14:textId="77777777" w:rsidR="00E01C85" w:rsidRPr="00E5437D" w:rsidRDefault="00E01C85" w:rsidP="00711A2B">
      <w:pPr>
        <w:pStyle w:val="TableHeading"/>
        <w:spacing w:before="240"/>
        <w:ind w:left="1022" w:hanging="1022"/>
      </w:pPr>
      <w:r w:rsidRPr="00033297">
        <w:t>Table 1.</w:t>
      </w:r>
      <w:r>
        <w:t>3</w:t>
      </w:r>
      <w:r w:rsidRPr="00033297">
        <w:t xml:space="preserve">: </w:t>
      </w:r>
      <w:r w:rsidRPr="00033297">
        <w:tab/>
        <w:t>Financial measures and targets</w:t>
      </w:r>
    </w:p>
    <w:tbl>
      <w:tblPr>
        <w:tblStyle w:val="DTFTableText"/>
        <w:tblW w:w="0" w:type="auto"/>
        <w:tblLook w:val="06A0" w:firstRow="1" w:lastRow="0" w:firstColumn="1" w:lastColumn="0" w:noHBand="1" w:noVBand="1"/>
      </w:tblPr>
      <w:tblGrid>
        <w:gridCol w:w="2070"/>
        <w:gridCol w:w="5613"/>
      </w:tblGrid>
      <w:tr w:rsidR="00E01C85" w14:paraId="35AA98BC" w14:textId="77777777" w:rsidTr="009835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1FFD388" w14:textId="77777777" w:rsidR="00E01C85" w:rsidRPr="00383946" w:rsidRDefault="00E01C85" w:rsidP="0098354D">
            <w:pPr>
              <w:rPr>
                <w:rFonts w:cstheme="majorHAnsi"/>
                <w:b w:val="0"/>
                <w:sz w:val="18"/>
                <w:szCs w:val="18"/>
              </w:rPr>
            </w:pPr>
            <w:r w:rsidRPr="00383946">
              <w:rPr>
                <w:rFonts w:cstheme="majorHAnsi"/>
                <w:b w:val="0"/>
                <w:sz w:val="18"/>
                <w:szCs w:val="18"/>
              </w:rPr>
              <w:t>Financial measures</w:t>
            </w:r>
          </w:p>
        </w:tc>
        <w:tc>
          <w:tcPr>
            <w:tcW w:w="5613" w:type="dxa"/>
          </w:tcPr>
          <w:p w14:paraId="7E62F6FF" w14:textId="77777777" w:rsidR="00E01C85" w:rsidRPr="00383946" w:rsidRDefault="00E01C85" w:rsidP="0098354D">
            <w:pPr>
              <w:cnfStyle w:val="100000000000" w:firstRow="1" w:lastRow="0" w:firstColumn="0" w:lastColumn="0" w:oddVBand="0" w:evenVBand="0" w:oddHBand="0" w:evenHBand="0" w:firstRowFirstColumn="0" w:firstRowLastColumn="0" w:lastRowFirstColumn="0" w:lastRowLastColumn="0"/>
              <w:rPr>
                <w:rFonts w:cstheme="majorHAnsi"/>
                <w:sz w:val="18"/>
                <w:szCs w:val="18"/>
              </w:rPr>
            </w:pPr>
            <w:r w:rsidRPr="00383946">
              <w:rPr>
                <w:rFonts w:cstheme="majorHAnsi"/>
                <w:sz w:val="18"/>
                <w:szCs w:val="18"/>
              </w:rPr>
              <w:t>Target</w:t>
            </w:r>
          </w:p>
        </w:tc>
      </w:tr>
      <w:tr w:rsidR="00E01C85" w14:paraId="01C5D063" w14:textId="77777777" w:rsidTr="0098354D">
        <w:tc>
          <w:tcPr>
            <w:cnfStyle w:val="001000000000" w:firstRow="0" w:lastRow="0" w:firstColumn="1" w:lastColumn="0" w:oddVBand="0" w:evenVBand="0" w:oddHBand="0" w:evenHBand="0" w:firstRowFirstColumn="0" w:firstRowLastColumn="0" w:lastRowFirstColumn="0" w:lastRowLastColumn="0"/>
            <w:tcW w:w="2070" w:type="dxa"/>
          </w:tcPr>
          <w:p w14:paraId="6CB24720" w14:textId="77777777" w:rsidR="00E01C85" w:rsidRPr="00383946" w:rsidRDefault="00E01C85" w:rsidP="0098354D">
            <w:pPr>
              <w:rPr>
                <w:sz w:val="18"/>
                <w:szCs w:val="18"/>
              </w:rPr>
            </w:pPr>
            <w:r w:rsidRPr="00383946">
              <w:rPr>
                <w:sz w:val="18"/>
                <w:szCs w:val="18"/>
              </w:rPr>
              <w:t>Net debt to GSP</w:t>
            </w:r>
          </w:p>
        </w:tc>
        <w:tc>
          <w:tcPr>
            <w:tcW w:w="5613" w:type="dxa"/>
          </w:tcPr>
          <w:p w14:paraId="0E5F86DF" w14:textId="77777777" w:rsidR="00E01C85" w:rsidRPr="00383946" w:rsidRDefault="00E01C85" w:rsidP="0098354D">
            <w:pPr>
              <w:cnfStyle w:val="000000000000" w:firstRow="0" w:lastRow="0" w:firstColumn="0" w:lastColumn="0" w:oddVBand="0" w:evenVBand="0" w:oddHBand="0" w:evenHBand="0" w:firstRowFirstColumn="0" w:firstRowLastColumn="0" w:lastRowFirstColumn="0" w:lastRowLastColumn="0"/>
              <w:rPr>
                <w:sz w:val="18"/>
                <w:szCs w:val="18"/>
              </w:rPr>
            </w:pPr>
            <w:r w:rsidRPr="00383946">
              <w:rPr>
                <w:sz w:val="18"/>
                <w:szCs w:val="18"/>
              </w:rPr>
              <w:t>General government net debt as a percentage of GSP to stabilise in the medium term.</w:t>
            </w:r>
          </w:p>
        </w:tc>
      </w:tr>
      <w:tr w:rsidR="00E01C85" w14:paraId="79534396" w14:textId="77777777" w:rsidTr="0098354D">
        <w:tc>
          <w:tcPr>
            <w:cnfStyle w:val="001000000000" w:firstRow="0" w:lastRow="0" w:firstColumn="1" w:lastColumn="0" w:oddVBand="0" w:evenVBand="0" w:oddHBand="0" w:evenHBand="0" w:firstRowFirstColumn="0" w:firstRowLastColumn="0" w:lastRowFirstColumn="0" w:lastRowLastColumn="0"/>
            <w:tcW w:w="2070" w:type="dxa"/>
          </w:tcPr>
          <w:p w14:paraId="1CD8225C" w14:textId="77777777" w:rsidR="00E01C85" w:rsidRPr="00383946" w:rsidRDefault="00E01C85" w:rsidP="0098354D">
            <w:pPr>
              <w:rPr>
                <w:rFonts w:cstheme="majorHAnsi"/>
                <w:sz w:val="18"/>
                <w:szCs w:val="18"/>
              </w:rPr>
            </w:pPr>
            <w:r w:rsidRPr="00383946">
              <w:rPr>
                <w:rFonts w:cstheme="majorHAnsi"/>
                <w:sz w:val="18"/>
                <w:szCs w:val="18"/>
              </w:rPr>
              <w:t>Interest expense to revenue</w:t>
            </w:r>
          </w:p>
        </w:tc>
        <w:tc>
          <w:tcPr>
            <w:tcW w:w="5613" w:type="dxa"/>
          </w:tcPr>
          <w:p w14:paraId="2AAAE656" w14:textId="77777777" w:rsidR="00E01C85" w:rsidRPr="00383946" w:rsidRDefault="00E01C85" w:rsidP="0098354D">
            <w:pPr>
              <w:cnfStyle w:val="000000000000" w:firstRow="0" w:lastRow="0" w:firstColumn="0" w:lastColumn="0" w:oddVBand="0" w:evenVBand="0" w:oddHBand="0" w:evenHBand="0" w:firstRowFirstColumn="0" w:firstRowLastColumn="0" w:lastRowFirstColumn="0" w:lastRowLastColumn="0"/>
              <w:rPr>
                <w:rFonts w:cstheme="majorHAnsi"/>
                <w:sz w:val="18"/>
                <w:szCs w:val="18"/>
              </w:rPr>
            </w:pPr>
            <w:r w:rsidRPr="00383946">
              <w:rPr>
                <w:rFonts w:cstheme="majorHAnsi"/>
                <w:sz w:val="18"/>
                <w:szCs w:val="18"/>
              </w:rPr>
              <w:t>General government interest expense as a percentage of revenue to stabilise in the medium term.</w:t>
            </w:r>
          </w:p>
        </w:tc>
      </w:tr>
      <w:tr w:rsidR="00E01C85" w14:paraId="5BFB8679" w14:textId="77777777" w:rsidTr="0098354D">
        <w:tc>
          <w:tcPr>
            <w:cnfStyle w:val="001000000000" w:firstRow="0" w:lastRow="0" w:firstColumn="1" w:lastColumn="0" w:oddVBand="0" w:evenVBand="0" w:oddHBand="0" w:evenHBand="0" w:firstRowFirstColumn="0" w:firstRowLastColumn="0" w:lastRowFirstColumn="0" w:lastRowLastColumn="0"/>
            <w:tcW w:w="2070" w:type="dxa"/>
            <w:tcBorders>
              <w:bottom w:val="nil"/>
            </w:tcBorders>
          </w:tcPr>
          <w:p w14:paraId="0A54C33D" w14:textId="77777777" w:rsidR="00E01C85" w:rsidRPr="00383946" w:rsidRDefault="00E01C85" w:rsidP="0098354D">
            <w:pPr>
              <w:rPr>
                <w:rFonts w:cstheme="majorHAnsi"/>
                <w:sz w:val="18"/>
                <w:szCs w:val="18"/>
              </w:rPr>
            </w:pPr>
            <w:r w:rsidRPr="00383946">
              <w:rPr>
                <w:rFonts w:cstheme="majorHAnsi"/>
                <w:sz w:val="18"/>
                <w:szCs w:val="18"/>
              </w:rPr>
              <w:t>Superannuation liabilities</w:t>
            </w:r>
          </w:p>
        </w:tc>
        <w:tc>
          <w:tcPr>
            <w:tcW w:w="5613" w:type="dxa"/>
            <w:tcBorders>
              <w:bottom w:val="nil"/>
            </w:tcBorders>
          </w:tcPr>
          <w:p w14:paraId="70D2A471" w14:textId="77777777" w:rsidR="00E01C85" w:rsidRPr="00383946" w:rsidRDefault="00E01C85" w:rsidP="0098354D">
            <w:pPr>
              <w:cnfStyle w:val="000000000000" w:firstRow="0" w:lastRow="0" w:firstColumn="0" w:lastColumn="0" w:oddVBand="0" w:evenVBand="0" w:oddHBand="0" w:evenHBand="0" w:firstRowFirstColumn="0" w:firstRowLastColumn="0" w:lastRowFirstColumn="0" w:lastRowLastColumn="0"/>
              <w:rPr>
                <w:rFonts w:cstheme="majorHAnsi"/>
                <w:sz w:val="18"/>
                <w:szCs w:val="18"/>
              </w:rPr>
            </w:pPr>
            <w:r w:rsidRPr="00383946">
              <w:rPr>
                <w:rFonts w:cstheme="majorHAnsi"/>
                <w:sz w:val="18"/>
                <w:szCs w:val="18"/>
              </w:rPr>
              <w:t>Fully fund the unfunded superannuation liability by 2035.</w:t>
            </w:r>
          </w:p>
        </w:tc>
      </w:tr>
      <w:tr w:rsidR="00E01C85" w14:paraId="4592E05F" w14:textId="77777777" w:rsidTr="0098354D">
        <w:tc>
          <w:tcPr>
            <w:cnfStyle w:val="001000000000" w:firstRow="0" w:lastRow="0" w:firstColumn="1" w:lastColumn="0" w:oddVBand="0" w:evenVBand="0" w:oddHBand="0" w:evenHBand="0" w:firstRowFirstColumn="0" w:firstRowLastColumn="0" w:lastRowFirstColumn="0" w:lastRowLastColumn="0"/>
            <w:tcW w:w="2070" w:type="dxa"/>
            <w:tcBorders>
              <w:bottom w:val="single" w:sz="12" w:space="0" w:color="auto"/>
            </w:tcBorders>
          </w:tcPr>
          <w:p w14:paraId="5B62C0DF" w14:textId="77777777" w:rsidR="00E01C85" w:rsidRPr="00383946" w:rsidRDefault="00E01C85" w:rsidP="0098354D">
            <w:pPr>
              <w:rPr>
                <w:rFonts w:cstheme="majorHAnsi"/>
                <w:sz w:val="18"/>
                <w:szCs w:val="18"/>
              </w:rPr>
            </w:pPr>
            <w:r w:rsidRPr="00383946">
              <w:rPr>
                <w:rFonts w:cstheme="majorHAnsi"/>
                <w:sz w:val="18"/>
                <w:szCs w:val="18"/>
              </w:rPr>
              <w:t>Operating cash surplus</w:t>
            </w:r>
          </w:p>
        </w:tc>
        <w:tc>
          <w:tcPr>
            <w:tcW w:w="5613" w:type="dxa"/>
            <w:tcBorders>
              <w:bottom w:val="single" w:sz="12" w:space="0" w:color="auto"/>
            </w:tcBorders>
          </w:tcPr>
          <w:p w14:paraId="768E20F2" w14:textId="77777777" w:rsidR="00E01C85" w:rsidRPr="00383946" w:rsidRDefault="00E01C85" w:rsidP="0098354D">
            <w:pPr>
              <w:cnfStyle w:val="000000000000" w:firstRow="0" w:lastRow="0" w:firstColumn="0" w:lastColumn="0" w:oddVBand="0" w:evenVBand="0" w:oddHBand="0" w:evenHBand="0" w:firstRowFirstColumn="0" w:firstRowLastColumn="0" w:lastRowFirstColumn="0" w:lastRowLastColumn="0"/>
              <w:rPr>
                <w:rFonts w:cstheme="majorHAnsi"/>
                <w:sz w:val="18"/>
                <w:szCs w:val="18"/>
              </w:rPr>
            </w:pPr>
            <w:r w:rsidRPr="00383946">
              <w:rPr>
                <w:rFonts w:cstheme="majorHAnsi"/>
                <w:sz w:val="18"/>
                <w:szCs w:val="18"/>
              </w:rPr>
              <w:t>A net operating cash surplus consistent with maintaining general government net debt at a sustainable level.</w:t>
            </w:r>
          </w:p>
        </w:tc>
      </w:tr>
    </w:tbl>
    <w:p w14:paraId="2EB66B1D" w14:textId="77777777" w:rsidR="00E01C85" w:rsidRPr="00F52546" w:rsidRDefault="00E01C85" w:rsidP="00E01C85">
      <w:pPr>
        <w:pStyle w:val="Heading10"/>
        <w:pageBreakBefore/>
        <w:spacing w:before="240"/>
      </w:pPr>
      <w:bookmarkStart w:id="7" w:name="_Toc135331242"/>
      <w:r w:rsidRPr="00F52546">
        <w:t>Summary of initiatives</w:t>
      </w:r>
      <w:bookmarkEnd w:id="7"/>
    </w:p>
    <w:p w14:paraId="2737FFC5" w14:textId="77777777" w:rsidR="00E01C85" w:rsidRPr="00667A85" w:rsidRDefault="00E01C85" w:rsidP="00E01C85">
      <w:pPr>
        <w:rPr>
          <w:b/>
        </w:rPr>
      </w:pPr>
      <w:r w:rsidRPr="19F05D23">
        <w:t xml:space="preserve">The Government remains focused on meeting the needs of the Victorian community, with this budget building on its demonstrated commitments and record of delivery over the </w:t>
      </w:r>
      <w:r>
        <w:t>past</w:t>
      </w:r>
      <w:r w:rsidRPr="19F05D23">
        <w:t xml:space="preserve"> eight years. Since the </w:t>
      </w:r>
      <w:r w:rsidRPr="19F05D23">
        <w:rPr>
          <w:i/>
        </w:rPr>
        <w:t>2020</w:t>
      </w:r>
      <w:r>
        <w:rPr>
          <w:i/>
        </w:rPr>
        <w:noBreakHyphen/>
      </w:r>
      <w:r w:rsidRPr="19F05D23">
        <w:rPr>
          <w:i/>
        </w:rPr>
        <w:t>21 Budget</w:t>
      </w:r>
      <w:r w:rsidRPr="19F05D23">
        <w:t xml:space="preserve">, the Government has responded to the COVID-19 pandemic through a comprehensive health response and </w:t>
      </w:r>
      <w:r w:rsidRPr="00FC597D">
        <w:rPr>
          <w:i/>
        </w:rPr>
        <w:t>Jobs Plan</w:t>
      </w:r>
      <w:r w:rsidRPr="19F05D23">
        <w:t xml:space="preserve">, supported health system recovery through the </w:t>
      </w:r>
      <w:r w:rsidRPr="00FC597D">
        <w:rPr>
          <w:i/>
        </w:rPr>
        <w:t>Pandemic Repair Plan</w:t>
      </w:r>
      <w:r w:rsidRPr="19F05D23">
        <w:t xml:space="preserve"> and responded to other emergencies such as the 2022 f</w:t>
      </w:r>
      <w:r w:rsidRPr="00C822DF">
        <w:t>loods.</w:t>
      </w:r>
      <w:r w:rsidRPr="00667A85">
        <w:rPr>
          <w:b/>
        </w:rPr>
        <w:t xml:space="preserve"> </w:t>
      </w:r>
    </w:p>
    <w:p w14:paraId="2A5BDFF1" w14:textId="77777777" w:rsidR="00E01C85" w:rsidRPr="00667A85" w:rsidRDefault="00E01C85" w:rsidP="00711A2B">
      <w:pPr>
        <w:ind w:right="151"/>
        <w:rPr>
          <w:b/>
        </w:rPr>
      </w:pPr>
      <w:r w:rsidRPr="00667A85">
        <w:t xml:space="preserve">The </w:t>
      </w:r>
      <w:r w:rsidRPr="00B739D8">
        <w:rPr>
          <w:i/>
        </w:rPr>
        <w:t xml:space="preserve">2023-24 Budget </w:t>
      </w:r>
      <w:r>
        <w:t>continues this record of delivery</w:t>
      </w:r>
      <w:r w:rsidRPr="00667A85">
        <w:t xml:space="preserve"> by providing </w:t>
      </w:r>
      <w:r w:rsidRPr="00D01096">
        <w:t>$15.4</w:t>
      </w:r>
      <w:r>
        <w:t> </w:t>
      </w:r>
      <w:r w:rsidRPr="00667A85">
        <w:t xml:space="preserve">billion in output spending </w:t>
      </w:r>
      <w:r>
        <w:t xml:space="preserve">over five years </w:t>
      </w:r>
      <w:r w:rsidRPr="00667A85">
        <w:t xml:space="preserve">and investing </w:t>
      </w:r>
      <w:r w:rsidRPr="001E119E">
        <w:t>$9.3 billion TEI</w:t>
      </w:r>
      <w:r w:rsidRPr="00667A85">
        <w:t xml:space="preserve"> in new and improved assets, which includes progressing the implementation of the Government’s election commitments </w:t>
      </w:r>
      <w:r>
        <w:t>outlined in</w:t>
      </w:r>
      <w:r w:rsidRPr="00667A85">
        <w:t xml:space="preserve"> </w:t>
      </w:r>
      <w:r w:rsidRPr="00B739D8">
        <w:rPr>
          <w:i/>
        </w:rPr>
        <w:t>Labor’s Financial Statement 2022</w:t>
      </w:r>
      <w:r w:rsidRPr="00667A85">
        <w:t>.</w:t>
      </w:r>
      <w:r>
        <w:t xml:space="preserve"> Initiatives in this year’s budget</w:t>
      </w:r>
      <w:r w:rsidRPr="00667A85">
        <w:t xml:space="preserve"> support the next stage in rebuilding the health system, prioritis</w:t>
      </w:r>
      <w:r>
        <w:t>e</w:t>
      </w:r>
      <w:r w:rsidRPr="00667A85">
        <w:t xml:space="preserve"> the creation of local jobs by reviving the State Electricity Commission</w:t>
      </w:r>
      <w:r>
        <w:t xml:space="preserve"> (SEC)</w:t>
      </w:r>
      <w:r w:rsidRPr="00667A85">
        <w:t>,</w:t>
      </w:r>
      <w:r w:rsidRPr="009969EB">
        <w:t xml:space="preserve"> </w:t>
      </w:r>
      <w:r w:rsidRPr="00667A85">
        <w:t xml:space="preserve">build a </w:t>
      </w:r>
      <w:r w:rsidRPr="00667A85" w:rsidDel="00EF2A66">
        <w:t>world</w:t>
      </w:r>
      <w:r>
        <w:noBreakHyphen/>
      </w:r>
      <w:r w:rsidRPr="00667A85" w:rsidDel="00EF2A66">
        <w:t>class</w:t>
      </w:r>
      <w:r w:rsidRPr="00667A85">
        <w:t xml:space="preserve"> education system</w:t>
      </w:r>
      <w:r>
        <w:t>,</w:t>
      </w:r>
      <w:r w:rsidRPr="00667A85">
        <w:t xml:space="preserve"> grow and improv</w:t>
      </w:r>
      <w:r>
        <w:t>e</w:t>
      </w:r>
      <w:r w:rsidRPr="00667A85">
        <w:t xml:space="preserve"> the </w:t>
      </w:r>
      <w:r>
        <w:t>s</w:t>
      </w:r>
      <w:r w:rsidRPr="00667A85">
        <w:t>tate’s transport networks, and support communities</w:t>
      </w:r>
      <w:r>
        <w:t xml:space="preserve"> across the state</w:t>
      </w:r>
      <w:r w:rsidRPr="00667A85">
        <w:t>.</w:t>
      </w:r>
    </w:p>
    <w:p w14:paraId="21AADCF2" w14:textId="77777777" w:rsidR="00E01C85" w:rsidRPr="00627691" w:rsidRDefault="00E01C85" w:rsidP="00E01C85">
      <w:pPr>
        <w:pStyle w:val="Heading20"/>
      </w:pPr>
      <w:r w:rsidRPr="00627691">
        <w:t>Healthcare</w:t>
      </w:r>
    </w:p>
    <w:p w14:paraId="32EAF2D3" w14:textId="77777777" w:rsidR="00E01C85" w:rsidRDefault="00E01C85" w:rsidP="00E01C85">
      <w:r>
        <w:t xml:space="preserve">Since 2014, the Government has invested more than </w:t>
      </w:r>
      <w:r w:rsidRPr="009D45A5">
        <w:t>$54</w:t>
      </w:r>
      <w:r w:rsidRPr="009D45A5" w:rsidDel="001E1665">
        <w:rPr>
          <w:rFonts w:hint="cs"/>
        </w:rPr>
        <w:t> </w:t>
      </w:r>
      <w:r w:rsidRPr="009D45A5">
        <w:t>billion</w:t>
      </w:r>
      <w:r>
        <w:t xml:space="preserve"> in Victoria’s healthcare system, and the </w:t>
      </w:r>
      <w:r w:rsidRPr="19F05D23">
        <w:rPr>
          <w:i/>
          <w:iCs/>
        </w:rPr>
        <w:t>2023-24 Budget</w:t>
      </w:r>
      <w:r>
        <w:t xml:space="preserve"> continues to invest in the health system to meet</w:t>
      </w:r>
      <w:r w:rsidDel="00415E31">
        <w:t xml:space="preserve"> </w:t>
      </w:r>
      <w:r>
        <w:t xml:space="preserve">increasing demand and the future health needs of Victorians. </w:t>
      </w:r>
    </w:p>
    <w:p w14:paraId="7A726A5B" w14:textId="5BE56F40" w:rsidR="00E01C85" w:rsidRPr="0082280B" w:rsidRDefault="00E01C85" w:rsidP="00E01C85">
      <w:pPr>
        <w:pStyle w:val="TableHeading"/>
        <w:rPr>
          <w:rFonts w:cstheme="majorHAnsi"/>
          <w:b w:val="0"/>
        </w:rPr>
      </w:pPr>
      <w:r w:rsidRPr="001E119E">
        <w:t>Chart</w:t>
      </w:r>
      <w:r w:rsidRPr="001E119E">
        <w:rPr>
          <w:rFonts w:cstheme="majorHAnsi"/>
          <w:b w:val="0"/>
        </w:rPr>
        <w:t xml:space="preserve"> </w:t>
      </w:r>
      <w:r w:rsidRPr="001E119E">
        <w:rPr>
          <w:rFonts w:cstheme="majorHAnsi"/>
        </w:rPr>
        <w:t>1.5</w:t>
      </w:r>
      <w:r w:rsidRPr="001311E2">
        <w:rPr>
          <w:rFonts w:cstheme="majorHAnsi"/>
        </w:rPr>
        <w:t>:</w:t>
      </w:r>
      <w:r w:rsidRPr="009866DC">
        <w:rPr>
          <w:rFonts w:cstheme="majorHAnsi"/>
        </w:rPr>
        <w:t xml:space="preserve"> </w:t>
      </w:r>
      <w:r w:rsidRPr="009866DC">
        <w:rPr>
          <w:rFonts w:cstheme="majorHAnsi"/>
        </w:rPr>
        <w:tab/>
      </w:r>
      <w:r w:rsidRPr="00AE6ECD">
        <w:rPr>
          <w:rFonts w:cstheme="majorHAnsi"/>
        </w:rPr>
        <w:t>2017</w:t>
      </w:r>
      <w:r w:rsidRPr="00AE6ECD">
        <w:rPr>
          <w:rFonts w:cstheme="majorHAnsi"/>
        </w:rPr>
        <w:noBreakHyphen/>
        <w:t>18 to 2023</w:t>
      </w:r>
      <w:r w:rsidRPr="00AE6ECD">
        <w:rPr>
          <w:rFonts w:cstheme="majorHAnsi"/>
        </w:rPr>
        <w:noBreakHyphen/>
        <w:t xml:space="preserve">24 </w:t>
      </w:r>
      <w:r w:rsidR="00385CB8" w:rsidRPr="009866DC">
        <w:rPr>
          <w:rFonts w:cstheme="majorHAnsi"/>
        </w:rPr>
        <w:t>h</w:t>
      </w:r>
      <w:r w:rsidR="00385CB8" w:rsidRPr="00AE6ECD">
        <w:rPr>
          <w:rFonts w:cstheme="majorHAnsi"/>
        </w:rPr>
        <w:t xml:space="preserve">ealth </w:t>
      </w:r>
      <w:r w:rsidRPr="00AE6ECD">
        <w:rPr>
          <w:rFonts w:cstheme="majorHAnsi"/>
        </w:rPr>
        <w:t>expenditure</w:t>
      </w:r>
      <w:r>
        <w:rPr>
          <w:rFonts w:cstheme="majorHAnsi"/>
          <w:vertAlign w:val="superscript"/>
        </w:rPr>
        <w:t>(a)(b)</w:t>
      </w:r>
      <w:r w:rsidRPr="0082280B">
        <w:rPr>
          <w:rFonts w:cstheme="majorHAnsi"/>
          <w:b w:val="0"/>
        </w:rPr>
        <w:t xml:space="preserve"> </w:t>
      </w:r>
    </w:p>
    <w:p w14:paraId="12671FDF" w14:textId="77777777" w:rsidR="00E01C85" w:rsidRPr="0082280B" w:rsidRDefault="00E01C85" w:rsidP="00E01C85">
      <w:pPr>
        <w:rPr>
          <w:rFonts w:asciiTheme="majorHAnsi" w:hAnsiTheme="majorHAnsi" w:cstheme="majorBidi"/>
        </w:rPr>
      </w:pPr>
      <w:r>
        <w:rPr>
          <w:noProof/>
        </w:rPr>
        <w:drawing>
          <wp:inline distT="0" distB="0" distL="0" distR="0" wp14:anchorId="7434FFF6" wp14:editId="42B855EB">
            <wp:extent cx="4877481" cy="2581275"/>
            <wp:effectExtent l="0" t="0" r="0" b="0"/>
            <wp:docPr id="1" name="Chart 1">
              <a:extLst xmlns:a="http://schemas.openxmlformats.org/drawingml/2006/main">
                <a:ext uri="{FF2B5EF4-FFF2-40B4-BE49-F238E27FC236}">
                  <a16:creationId xmlns:a16="http://schemas.microsoft.com/office/drawing/2014/main" id="{9BAF1CEF-D3EB-4984-A627-7FA601A3AA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93E5667" w14:textId="0D8E6ABE" w:rsidR="00E01C85" w:rsidRDefault="00E01C85" w:rsidP="00E01C85">
      <w:pPr>
        <w:pStyle w:val="Note"/>
      </w:pPr>
      <w:r>
        <w:t>Note</w:t>
      </w:r>
      <w:r w:rsidR="00711A2B">
        <w:t>s</w:t>
      </w:r>
      <w:r>
        <w:t>:</w:t>
      </w:r>
    </w:p>
    <w:p w14:paraId="07855D3A" w14:textId="77777777" w:rsidR="00E01C85" w:rsidRDefault="00E01C85" w:rsidP="00E01C85">
      <w:pPr>
        <w:pStyle w:val="Note"/>
      </w:pPr>
      <w:r>
        <w:t xml:space="preserve">(a) </w:t>
      </w:r>
      <w:r>
        <w:tab/>
        <w:t>This includes expenditure within the Department of Health and its predecessor departments pre-machinery of government changes.</w:t>
      </w:r>
    </w:p>
    <w:p w14:paraId="22562934" w14:textId="77777777" w:rsidR="00E01C85" w:rsidRDefault="00E01C85" w:rsidP="00E01C85">
      <w:pPr>
        <w:pStyle w:val="Note"/>
      </w:pPr>
      <w:r>
        <w:t xml:space="preserve">(b) </w:t>
      </w:r>
      <w:r>
        <w:tab/>
        <w:t xml:space="preserve">Presentation is based on Classification of the Functions of Government (COFOG) data. </w:t>
      </w:r>
    </w:p>
    <w:p w14:paraId="5E776D08" w14:textId="77777777" w:rsidR="00E01C85" w:rsidRDefault="00E01C85" w:rsidP="00E01C85">
      <w:pPr>
        <w:keepNext/>
      </w:pPr>
      <w:r>
        <w:t xml:space="preserve">An extra </w:t>
      </w:r>
      <w:r w:rsidRPr="008325C0">
        <w:t>$4.9 billion</w:t>
      </w:r>
      <w:r>
        <w:t xml:space="preserve"> is provided in this budget to maintain and improve critical health infrastructure, boost healthcare services and support the state’s healthcare workforce. </w:t>
      </w:r>
    </w:p>
    <w:p w14:paraId="269EAE24" w14:textId="77777777" w:rsidR="00E01C85" w:rsidRDefault="00E01C85" w:rsidP="00E01C85">
      <w:r>
        <w:t>Recognising that hospitals are vital to</w:t>
      </w:r>
      <w:r w:rsidDel="00A92992">
        <w:t xml:space="preserve"> the </w:t>
      </w:r>
      <w:r>
        <w:t xml:space="preserve">healthcare system’s ability to meet the needs of patients, this budget invests </w:t>
      </w:r>
      <w:r w:rsidRPr="008325C0">
        <w:t>$320 million</w:t>
      </w:r>
      <w:r>
        <w:t xml:space="preserve"> in the Hospital Infrastructure Delivery Fund</w:t>
      </w:r>
      <w:r w:rsidDel="00CC1428">
        <w:t xml:space="preserve"> </w:t>
      </w:r>
      <w:r>
        <w:t>to undertake detailed design and planning for seven new and upgraded hospitals. A further $</w:t>
      </w:r>
      <w:r w:rsidRPr="008325C0">
        <w:t>969</w:t>
      </w:r>
      <w:r w:rsidRPr="008325C0">
        <w:rPr>
          <w:rFonts w:hint="eastAsia"/>
        </w:rPr>
        <w:t> </w:t>
      </w:r>
      <w:r w:rsidRPr="008325C0">
        <w:t>million</w:t>
      </w:r>
      <w:r>
        <w:t xml:space="preserve"> will treat more than </w:t>
      </w:r>
      <w:r w:rsidRPr="008E7C5E">
        <w:t>300</w:t>
      </w:r>
      <w:r>
        <w:t> additional patients at any point in time, including at the Royal Children’s Hospital, Albury Hospital and Wonthaggi Hospital, ensuring facilities are patient</w:t>
      </w:r>
      <w:r>
        <w:noBreakHyphen/>
        <w:t xml:space="preserve">ready with physical capacity. </w:t>
      </w:r>
    </w:p>
    <w:p w14:paraId="308B5393" w14:textId="77777777" w:rsidR="00E01C85" w:rsidRDefault="00E01C85" w:rsidP="00E01C85">
      <w:r>
        <w:t>The b</w:t>
      </w:r>
      <w:r w:rsidRPr="0048290B">
        <w:t>udget</w:t>
      </w:r>
      <w:r>
        <w:t xml:space="preserve"> includes </w:t>
      </w:r>
      <w:r w:rsidRPr="008325C0">
        <w:t>$201 million</w:t>
      </w:r>
      <w:r>
        <w:t xml:space="preserve"> to grow Victoria’s health workforce, by improving nurse-to-patient ratios in emergency departments and introducing incentives for medical graduates to work as general practitioners, or in the public health system as nurses or midwives. To support emergency care, </w:t>
      </w:r>
      <w:r w:rsidRPr="008325C0">
        <w:t>$201 million</w:t>
      </w:r>
      <w:r>
        <w:t xml:space="preserve"> in funding will be provided to boost ambulance services, </w:t>
      </w:r>
      <w:r w:rsidRPr="001311E2">
        <w:t>$46</w:t>
      </w:r>
      <w:r w:rsidRPr="001311E2">
        <w:rPr>
          <w:rFonts w:hint="cs"/>
        </w:rPr>
        <w:t> </w:t>
      </w:r>
      <w:r w:rsidRPr="001311E2">
        <w:t>million</w:t>
      </w:r>
      <w:r>
        <w:t xml:space="preserve"> to train the next generation of paramedics, and </w:t>
      </w:r>
      <w:r w:rsidRPr="001311E2">
        <w:t>$30</w:t>
      </w:r>
      <w:r w:rsidRPr="001311E2">
        <w:rPr>
          <w:rFonts w:hint="cs"/>
        </w:rPr>
        <w:t> </w:t>
      </w:r>
      <w:r w:rsidRPr="001311E2">
        <w:t>million</w:t>
      </w:r>
      <w:r>
        <w:t xml:space="preserve"> to build a new ambulance station in Armstrong Creek. </w:t>
      </w:r>
    </w:p>
    <w:p w14:paraId="6C120697" w14:textId="77777777" w:rsidR="00E01C85" w:rsidRDefault="00E01C85" w:rsidP="00E01C85">
      <w:r w:rsidDel="003D1329">
        <w:t xml:space="preserve">This year’s budget supports </w:t>
      </w:r>
      <w:r>
        <w:t>women’s health.</w:t>
      </w:r>
      <w:r w:rsidDel="003D1329">
        <w:t xml:space="preserve"> This includes</w:t>
      </w:r>
      <w:r>
        <w:t xml:space="preserve"> </w:t>
      </w:r>
      <w:r w:rsidRPr="00D25BB8">
        <w:t>$65 million</w:t>
      </w:r>
      <w:r>
        <w:t xml:space="preserve"> for</w:t>
      </w:r>
      <w:r w:rsidDel="003D1329">
        <w:t xml:space="preserve"> additional </w:t>
      </w:r>
      <w:r>
        <w:t xml:space="preserve">laparoscopies, </w:t>
      </w:r>
      <w:r w:rsidRPr="00D25BB8">
        <w:t>$58 million</w:t>
      </w:r>
      <w:r>
        <w:t xml:space="preserve"> for 20 new women’s health clinics and a dedicated clinic for Aboriginal women, and </w:t>
      </w:r>
      <w:r w:rsidRPr="001311E2">
        <w:t>$50 million</w:t>
      </w:r>
      <w:r>
        <w:t xml:space="preserve"> to increase access to public fertility care. The budget also invests </w:t>
      </w:r>
      <w:r w:rsidRPr="00226E1F">
        <w:t>$86 million</w:t>
      </w:r>
      <w:r>
        <w:t xml:space="preserve"> to help parents with their newborn babies, including access to Maternal and Child Health services, establishing two new parenting centres and continuing to support the Baby Bundle program.</w:t>
      </w:r>
      <w:r w:rsidDel="003D1329">
        <w:t xml:space="preserve"> </w:t>
      </w:r>
    </w:p>
    <w:p w14:paraId="0A93C70B" w14:textId="77777777" w:rsidR="00E01C85" w:rsidRDefault="00E01C85" w:rsidP="00E01C85">
      <w:r>
        <w:t xml:space="preserve">Improving access to primary care will help more Victorians get the right care at the right time. This budget invests </w:t>
      </w:r>
      <w:r w:rsidRPr="001311E2">
        <w:t>$81</w:t>
      </w:r>
      <w:r w:rsidRPr="001311E2">
        <w:rPr>
          <w:rFonts w:hint="cs"/>
        </w:rPr>
        <w:t> </w:t>
      </w:r>
      <w:r w:rsidRPr="001311E2">
        <w:t>million</w:t>
      </w:r>
      <w:r>
        <w:t xml:space="preserve"> to expand specialist forensic mental health services for Victorians.</w:t>
      </w:r>
    </w:p>
    <w:p w14:paraId="6247B1F5" w14:textId="77777777" w:rsidR="00E01C85" w:rsidRDefault="00E01C85" w:rsidP="00E01C85">
      <w:r>
        <w:t xml:space="preserve">Older Victorians are being cared for in this year’s budget. </w:t>
      </w:r>
      <w:r w:rsidRPr="001311E2">
        <w:t>$162</w:t>
      </w:r>
      <w:r w:rsidRPr="001311E2">
        <w:rPr>
          <w:rFonts w:hint="cs"/>
        </w:rPr>
        <w:t> </w:t>
      </w:r>
      <w:r w:rsidRPr="001311E2">
        <w:t>million</w:t>
      </w:r>
      <w:r>
        <w:t xml:space="preserve"> is invested for better aged care services for regional Victorians, building three new public facilities in regional Victoria to support residents with complex needs. </w:t>
      </w:r>
      <w:r w:rsidRPr="001311E2">
        <w:t>$42</w:t>
      </w:r>
      <w:r w:rsidRPr="001311E2">
        <w:rPr>
          <w:rFonts w:hint="cs"/>
        </w:rPr>
        <w:t> </w:t>
      </w:r>
      <w:r w:rsidRPr="001311E2">
        <w:t>million</w:t>
      </w:r>
      <w:r>
        <w:t xml:space="preserve"> is also invested to ensure public sector residential aged care services maintain nurse</w:t>
      </w:r>
      <w:r>
        <w:noBreakHyphen/>
        <w:t>to</w:t>
      </w:r>
      <w:r>
        <w:noBreakHyphen/>
        <w:t>patient ratios, and continues the Residential in Reach program, providing high</w:t>
      </w:r>
      <w:r>
        <w:noBreakHyphen/>
        <w:t xml:space="preserve">quality care to vulnerable older Victorians. </w:t>
      </w:r>
    </w:p>
    <w:p w14:paraId="7382F059" w14:textId="77777777" w:rsidR="00E01C85" w:rsidRDefault="00E01C85" w:rsidP="00E01C85">
      <w:r>
        <w:t xml:space="preserve">The Government continues to act on the recommendations of the Royal Commission into Victoria’s Mental Health System. Building on the Government’s previous investment of </w:t>
      </w:r>
      <w:r w:rsidRPr="001311E2">
        <w:t>$5.7 billion</w:t>
      </w:r>
      <w:r>
        <w:t xml:space="preserve"> over the past</w:t>
      </w:r>
      <w:r w:rsidDel="00A47FA3">
        <w:t xml:space="preserve"> </w:t>
      </w:r>
      <w:r>
        <w:t xml:space="preserve">three budgets, this budget includes </w:t>
      </w:r>
      <w:r w:rsidRPr="001311E2">
        <w:t>$157</w:t>
      </w:r>
      <w:r w:rsidRPr="001311E2">
        <w:rPr>
          <w:rFonts w:hint="cs"/>
        </w:rPr>
        <w:t> </w:t>
      </w:r>
      <w:r w:rsidRPr="001311E2">
        <w:t>million</w:t>
      </w:r>
      <w:r>
        <w:t xml:space="preserve"> for critical bed-based services, </w:t>
      </w:r>
      <w:r w:rsidRPr="00226E1F">
        <w:t>$</w:t>
      </w:r>
      <w:r w:rsidRPr="00D25BB8">
        <w:t>77</w:t>
      </w:r>
      <w:r w:rsidRPr="00226E1F">
        <w:t> million</w:t>
      </w:r>
      <w:r>
        <w:t xml:space="preserve"> to begin work on three new Local Services and kickstart planning on another 20 Local Services, </w:t>
      </w:r>
      <w:r w:rsidRPr="001311E2">
        <w:t>$53</w:t>
      </w:r>
      <w:r w:rsidRPr="001311E2">
        <w:rPr>
          <w:rFonts w:hint="cs"/>
        </w:rPr>
        <w:t> </w:t>
      </w:r>
      <w:r w:rsidRPr="001311E2">
        <w:t>million</w:t>
      </w:r>
      <w:r>
        <w:t xml:space="preserve"> for Stage 3 of the redevelopment of the Thomas Embling Hospital, and the rollout of the new </w:t>
      </w:r>
      <w:r w:rsidRPr="001311E2">
        <w:rPr>
          <w:i/>
        </w:rPr>
        <w:t>Mental Health and Wellbeing Act</w:t>
      </w:r>
      <w:r>
        <w:t xml:space="preserve">. </w:t>
      </w:r>
    </w:p>
    <w:p w14:paraId="014B7934" w14:textId="77777777" w:rsidR="00E01C85" w:rsidRDefault="00E01C85" w:rsidP="00E01C85">
      <w:r>
        <w:t>The Government is prioritising early intervention programs to</w:t>
      </w:r>
      <w:r w:rsidDel="00EF453B">
        <w:t xml:space="preserve"> </w:t>
      </w:r>
      <w:r>
        <w:t xml:space="preserve">help steer at-risk populations away from serious health and other crises, reducing future fiscal pressures and significantly improving wellbeing outcomes. Reflecting this, the </w:t>
      </w:r>
      <w:r w:rsidRPr="003418D5">
        <w:rPr>
          <w:i/>
        </w:rPr>
        <w:t xml:space="preserve">2023-24 </w:t>
      </w:r>
      <w:r w:rsidRPr="003418D5">
        <w:rPr>
          <w:i/>
          <w:iCs/>
        </w:rPr>
        <w:t>Budget</w:t>
      </w:r>
      <w:r>
        <w:t xml:space="preserve"> includes </w:t>
      </w:r>
      <w:r w:rsidRPr="001311E2">
        <w:t>$</w:t>
      </w:r>
      <w:r>
        <w:t>421</w:t>
      </w:r>
      <w:r w:rsidRPr="001311E2">
        <w:t xml:space="preserve"> million</w:t>
      </w:r>
      <w:r>
        <w:t xml:space="preserve"> for nine health initiatives focused on early intervention that are expected to generate more than </w:t>
      </w:r>
      <w:r w:rsidRPr="001311E2">
        <w:t>$4</w:t>
      </w:r>
      <w:r>
        <w:t>60</w:t>
      </w:r>
      <w:r w:rsidRPr="001311E2">
        <w:t xml:space="preserve"> </w:t>
      </w:r>
      <w:r>
        <w:t>million in</w:t>
      </w:r>
      <w:r w:rsidRPr="000E1935">
        <w:t xml:space="preserve"> </w:t>
      </w:r>
      <w:r>
        <w:t>economic and fiscal benefits over the next decade.</w:t>
      </w:r>
    </w:p>
    <w:p w14:paraId="47755E89" w14:textId="77777777" w:rsidR="00E01C85" w:rsidRDefault="00E01C85" w:rsidP="00E01C85">
      <w:pPr>
        <w:pStyle w:val="ShadedBoxHeading"/>
        <w:pageBreakBefore/>
        <w:tabs>
          <w:tab w:val="left" w:pos="1080"/>
        </w:tabs>
        <w:rPr>
          <w:b w:val="0"/>
        </w:rPr>
      </w:pPr>
      <w:r w:rsidRPr="008C143C">
        <w:t>Box</w:t>
      </w:r>
      <w:r>
        <w:t xml:space="preserve"> 1.2</w:t>
      </w:r>
      <w:r w:rsidRPr="008C143C">
        <w:t xml:space="preserve">: </w:t>
      </w:r>
      <w:r>
        <w:tab/>
      </w:r>
      <w:r w:rsidRPr="008C143C">
        <w:t xml:space="preserve">Early Intervention Investment Framework </w:t>
      </w:r>
    </w:p>
    <w:p w14:paraId="7CB892C5" w14:textId="77777777" w:rsidR="00E01C85" w:rsidRPr="00DF7A45" w:rsidRDefault="00E01C85" w:rsidP="00E01C85">
      <w:pPr>
        <w:pStyle w:val="ShadedBoxText"/>
      </w:pPr>
      <w:r>
        <w:t xml:space="preserve">The </w:t>
      </w:r>
      <w:r w:rsidRPr="00DF7A45">
        <w:t xml:space="preserve">Government implemented the Early Intervention Investment Framework (EIIF) </w:t>
      </w:r>
      <w:r>
        <w:t xml:space="preserve">in the </w:t>
      </w:r>
      <w:r w:rsidRPr="00341C2B">
        <w:rPr>
          <w:i/>
        </w:rPr>
        <w:t>2021-22 Budget</w:t>
      </w:r>
      <w:r w:rsidRPr="00EA400A">
        <w:t xml:space="preserve"> </w:t>
      </w:r>
      <w:r w:rsidRPr="00DF7A45">
        <w:t xml:space="preserve">to improve outcomes for Victorians while reducing pressure on acute services – </w:t>
      </w:r>
      <w:r>
        <w:t>and</w:t>
      </w:r>
      <w:r w:rsidRPr="00DF7A45">
        <w:t xml:space="preserve"> reinvest</w:t>
      </w:r>
      <w:r>
        <w:t xml:space="preserve">ing </w:t>
      </w:r>
      <w:r w:rsidRPr="00DF7A45">
        <w:t>avoided costs back into future EIIF initiatives.</w:t>
      </w:r>
    </w:p>
    <w:p w14:paraId="4FE3958A" w14:textId="77777777" w:rsidR="00E01C85" w:rsidRDefault="00E01C85" w:rsidP="00E01C85">
      <w:pPr>
        <w:pStyle w:val="ShadedBoxText"/>
      </w:pPr>
      <w:r>
        <w:t xml:space="preserve">The </w:t>
      </w:r>
      <w:r w:rsidRPr="00DF7A45">
        <w:t>Government has invested over $</w:t>
      </w:r>
      <w:r>
        <w:t>1.5 b</w:t>
      </w:r>
      <w:r w:rsidRPr="00DF7A45">
        <w:t>illion through the EIIF over the past t</w:t>
      </w:r>
      <w:r>
        <w:t>hree</w:t>
      </w:r>
      <w:r w:rsidRPr="00DF7A45">
        <w:t xml:space="preserve"> budgets</w:t>
      </w:r>
      <w:r>
        <w:t xml:space="preserve">, including $677 million as part of the </w:t>
      </w:r>
      <w:r w:rsidRPr="00DF7A45">
        <w:rPr>
          <w:i/>
        </w:rPr>
        <w:t>2023-24 Budget</w:t>
      </w:r>
      <w:r>
        <w:t>, which represents the largest investment to date.</w:t>
      </w:r>
    </w:p>
    <w:p w14:paraId="68ECA047" w14:textId="77777777" w:rsidR="00E01C85" w:rsidRPr="00DF7A45" w:rsidRDefault="00E01C85" w:rsidP="00E01C85">
      <w:pPr>
        <w:pStyle w:val="ShadedBoxText"/>
      </w:pPr>
      <w:r>
        <w:t xml:space="preserve">The funding provided under the EIIF as part of the </w:t>
      </w:r>
      <w:r w:rsidRPr="004743B4">
        <w:rPr>
          <w:i/>
          <w:iCs/>
        </w:rPr>
        <w:t>2023-24 Budget</w:t>
      </w:r>
      <w:r>
        <w:t xml:space="preserve"> will</w:t>
      </w:r>
      <w:r w:rsidRPr="00DF7A45">
        <w:t xml:space="preserve"> provide early assistance to Victorians across the health, education, community services and criminal justice systems. </w:t>
      </w:r>
      <w:r>
        <w:t xml:space="preserve">These initiatives will change people’s lives for the better and are anticipated to provide around $1 billion in fiscal and economic benefits over the next decade, including avoided costs of state service usage and higher workforce participation, lower welfare payments, and lower out-of-pocket healthcare costs. </w:t>
      </w:r>
    </w:p>
    <w:p w14:paraId="58CDB921" w14:textId="77777777" w:rsidR="00E01C85" w:rsidRDefault="00E01C85" w:rsidP="00E01C85">
      <w:pPr>
        <w:pStyle w:val="ShadedBoxText"/>
      </w:pPr>
      <w:r>
        <w:t xml:space="preserve">There are </w:t>
      </w:r>
      <w:r w:rsidRPr="004C227A">
        <w:t>22</w:t>
      </w:r>
      <w:r>
        <w:t xml:space="preserve"> EIIF initiatives in this budget, which include: </w:t>
      </w:r>
    </w:p>
    <w:p w14:paraId="6744120F" w14:textId="77777777" w:rsidR="00E01C85" w:rsidRDefault="00E01C85" w:rsidP="007B1F83">
      <w:pPr>
        <w:pStyle w:val="ShadedBoxBullet"/>
      </w:pPr>
      <w:r>
        <w:t>expanding the forensic community mental health workforce to support adults with serious mental health needs who are in contact, or at risk of coming into contact, with the justice system</w:t>
      </w:r>
    </w:p>
    <w:p w14:paraId="3975B8F1" w14:textId="77777777" w:rsidR="00E01C85" w:rsidRDefault="00E01C85" w:rsidP="007B1F83">
      <w:pPr>
        <w:pStyle w:val="ShadedBoxBullet"/>
      </w:pPr>
      <w:r>
        <w:t>delivering a Housing First response, along with multidisciplinary support, for young people leaving residential care</w:t>
      </w:r>
    </w:p>
    <w:p w14:paraId="7444DA2D" w14:textId="77777777" w:rsidR="00E01C85" w:rsidRDefault="00E01C85" w:rsidP="007B1F83">
      <w:pPr>
        <w:pStyle w:val="ShadedBoxBullet"/>
      </w:pPr>
      <w:r>
        <w:t>addressing the causes of offending, reducing future justice demand</w:t>
      </w:r>
    </w:p>
    <w:p w14:paraId="1072EE61" w14:textId="77777777" w:rsidR="00E01C85" w:rsidRDefault="00E01C85" w:rsidP="007B1F83">
      <w:pPr>
        <w:pStyle w:val="ShadedBoxBullet"/>
      </w:pPr>
      <w:r>
        <w:t>identifying and supporting early school leavers who are lost or disengaged from the education and training system, through enhancing pathways to complete year 12 and supporting data infrastructure.</w:t>
      </w:r>
    </w:p>
    <w:p w14:paraId="242FC6CC" w14:textId="77777777" w:rsidR="00E01C85" w:rsidRDefault="00E01C85" w:rsidP="00E01C85">
      <w:pPr>
        <w:pStyle w:val="ShadedBoxBullet"/>
        <w:numPr>
          <w:ilvl w:val="0"/>
          <w:numId w:val="0"/>
        </w:numPr>
      </w:pPr>
      <w:r>
        <w:t xml:space="preserve">See Budget Paper No. 3 Appendix C </w:t>
      </w:r>
      <w:r w:rsidRPr="00ED01B2">
        <w:rPr>
          <w:i/>
          <w:iCs/>
        </w:rPr>
        <w:t>Early Intervention Investment Framework</w:t>
      </w:r>
      <w:r>
        <w:t xml:space="preserve"> for more information on EIIF initiatives.</w:t>
      </w:r>
    </w:p>
    <w:p w14:paraId="57EA457E" w14:textId="77777777" w:rsidR="00E01C85" w:rsidRDefault="00E01C85" w:rsidP="00385CB8">
      <w:pPr>
        <w:pStyle w:val="Heading20"/>
        <w:pageBreakBefore/>
      </w:pPr>
      <w:r>
        <w:t>Reviving the SEC</w:t>
      </w:r>
    </w:p>
    <w:p w14:paraId="5178D441" w14:textId="77777777" w:rsidR="00E01C85" w:rsidRDefault="00E01C85" w:rsidP="00E01C85">
      <w:r>
        <w:t xml:space="preserve">The Government is investing an initial </w:t>
      </w:r>
      <w:r w:rsidRPr="00ED5099">
        <w:t>$1</w:t>
      </w:r>
      <w:r w:rsidRPr="00ED5099">
        <w:rPr>
          <w:rFonts w:hint="cs"/>
        </w:rPr>
        <w:t> </w:t>
      </w:r>
      <w:r w:rsidRPr="00ED5099">
        <w:t>billion</w:t>
      </w:r>
      <w:r>
        <w:t xml:space="preserve"> to re-establish government</w:t>
      </w:r>
      <w:r>
        <w:noBreakHyphen/>
        <w:t xml:space="preserve">owned energy, which will assist Victorians with lower power prices, support jobs in the renewable energy sector, and help Victoria achieve net zero emissions by 2045. An additional </w:t>
      </w:r>
      <w:r w:rsidRPr="00ED5099">
        <w:t>$44</w:t>
      </w:r>
      <w:r w:rsidRPr="00ED5099">
        <w:rPr>
          <w:rFonts w:hint="cs"/>
        </w:rPr>
        <w:t> </w:t>
      </w:r>
      <w:r w:rsidRPr="00ED5099">
        <w:t>million</w:t>
      </w:r>
      <w:r>
        <w:t xml:space="preserve"> will help prepare the SEC for its new role with a presence in Morwell and Melbourne. </w:t>
      </w:r>
    </w:p>
    <w:p w14:paraId="2373A785" w14:textId="77777777" w:rsidR="00E01C85" w:rsidRDefault="00E01C85" w:rsidP="00E01C85">
      <w:r>
        <w:t xml:space="preserve">This budget provides </w:t>
      </w:r>
      <w:r w:rsidRPr="00BB1BCD">
        <w:t>$19</w:t>
      </w:r>
      <w:r w:rsidRPr="00BB1BCD">
        <w:rPr>
          <w:rFonts w:hint="cs"/>
        </w:rPr>
        <w:t> </w:t>
      </w:r>
      <w:r w:rsidRPr="00BB1BCD">
        <w:t>million</w:t>
      </w:r>
      <w:r>
        <w:t xml:space="preserve"> for 10 000 students to undertake work experience placements in the clean energy sector and other priority areas</w:t>
      </w:r>
      <w:r w:rsidRPr="00EB508C">
        <w:t>.</w:t>
      </w:r>
      <w:r>
        <w:t xml:space="preserve"> A further </w:t>
      </w:r>
      <w:r w:rsidRPr="00BB1BCD">
        <w:t>$116</w:t>
      </w:r>
      <w:r w:rsidRPr="00BB1BCD">
        <w:rPr>
          <w:rFonts w:hint="cs"/>
        </w:rPr>
        <w:t> </w:t>
      </w:r>
      <w:r w:rsidRPr="00BB1BCD">
        <w:t>million</w:t>
      </w:r>
      <w:r>
        <w:t xml:space="preserve"> will be invested to build and operate six new Tech Schools across the state and establish a Clean Energy Equipment Fund. Through the Building Better TAFE Fund, </w:t>
      </w:r>
      <w:r w:rsidRPr="004508CD">
        <w:t xml:space="preserve">$50 million </w:t>
      </w:r>
      <w:r>
        <w:t xml:space="preserve">will also fund a TAFE Clean Energy Fund, supporting new and upgraded facilities to improve workforce skills and capacity in the clean energy sector. </w:t>
      </w:r>
    </w:p>
    <w:p w14:paraId="26EE4DFE" w14:textId="77777777" w:rsidR="00E01C85" w:rsidRPr="000F6F78" w:rsidRDefault="00E01C85" w:rsidP="00E01C85">
      <w:pPr>
        <w:pStyle w:val="Heading20"/>
      </w:pPr>
      <w:r>
        <w:t>Growing the economy</w:t>
      </w:r>
    </w:p>
    <w:p w14:paraId="1F32D75A" w14:textId="77777777" w:rsidR="00E01C85" w:rsidRPr="00363654" w:rsidRDefault="00E01C85" w:rsidP="00E01C85">
      <w:pPr>
        <w:kinsoku w:val="0"/>
        <w:overflowPunct w:val="0"/>
        <w:autoSpaceDE w:val="0"/>
        <w:autoSpaceDN w:val="0"/>
        <w:adjustRightInd w:val="0"/>
        <w:spacing w:before="121"/>
        <w:ind w:left="39"/>
        <w:rPr>
          <w:rFonts w:ascii="Garamond" w:hAnsi="Garamond" w:cs="Garamond"/>
        </w:rPr>
      </w:pPr>
      <w:r>
        <w:rPr>
          <w:rFonts w:ascii="Garamond" w:hAnsi="Garamond" w:cs="Garamond"/>
        </w:rPr>
        <w:t xml:space="preserve">The Government will reform land transfer duty for commercial and industrial properties, encouraging Victorian businesses to invest, expand and create more jobs. </w:t>
      </w:r>
      <w:r w:rsidRPr="000C6939">
        <w:rPr>
          <w:rFonts w:cstheme="minorHAnsi"/>
          <w:color w:val="1D1C1D"/>
          <w:lang w:eastAsia="en-AU"/>
        </w:rPr>
        <w:t>The transition away from stamp duty for commercial and industrial properties will occur after the next sale,</w:t>
      </w:r>
      <w:r w:rsidRPr="002E72F8">
        <w:t xml:space="preserve"> </w:t>
      </w:r>
      <w:r>
        <w:t xml:space="preserve">with an annual property tax applying after a transition period of 10 years.  </w:t>
      </w:r>
      <w:r>
        <w:rPr>
          <w:szCs w:val="24"/>
        </w:rPr>
        <w:t>T</w:t>
      </w:r>
      <w:r w:rsidRPr="008F6DD7">
        <w:rPr>
          <w:szCs w:val="24"/>
        </w:rPr>
        <w:t>his reform will not affect current owners of commercial and industrial properties, as the property will only be subject to the new arrangements once it transacts</w:t>
      </w:r>
      <w:r>
        <w:rPr>
          <w:szCs w:val="24"/>
        </w:rPr>
        <w:t xml:space="preserve">. The estimated cumulative increase in the size of the Victorian economy resulting from this reform is up to $50 billion in net present value terms. </w:t>
      </w:r>
    </w:p>
    <w:p w14:paraId="7C7C5582" w14:textId="77777777" w:rsidR="00E01C85" w:rsidRDefault="00E01C85" w:rsidP="00E01C85">
      <w:r>
        <w:t xml:space="preserve">The </w:t>
      </w:r>
      <w:r w:rsidRPr="003418D5">
        <w:rPr>
          <w:i/>
        </w:rPr>
        <w:t>2023-</w:t>
      </w:r>
      <w:r w:rsidRPr="003418D5">
        <w:rPr>
          <w:i/>
          <w:iCs/>
        </w:rPr>
        <w:t>24</w:t>
      </w:r>
      <w:r w:rsidRPr="003418D5">
        <w:rPr>
          <w:i/>
        </w:rPr>
        <w:t xml:space="preserve"> Budget</w:t>
      </w:r>
      <w:r>
        <w:t xml:space="preserve"> will promote economic growth through supporting local industries, with </w:t>
      </w:r>
      <w:r w:rsidRPr="00BB1BCD">
        <w:t>$21 million</w:t>
      </w:r>
      <w:r>
        <w:t xml:space="preserve"> for a Manufacturing and Industry Sovereignty Fund and support for Victorian businesses to access the Commonwealth’s $15 billion National Reconstruction Fund. Victoria’s mRNA industry continues to grow, and this budget invests an additional </w:t>
      </w:r>
      <w:r w:rsidRPr="00BB1BCD">
        <w:t>$12 million</w:t>
      </w:r>
      <w:r>
        <w:t xml:space="preserve"> to assist sovereign mRNA manufacturing in the state. </w:t>
      </w:r>
    </w:p>
    <w:p w14:paraId="48E956CF" w14:textId="77777777" w:rsidR="00E01C85" w:rsidRPr="00EB508C" w:rsidRDefault="00E01C85" w:rsidP="00E01C85">
      <w:r>
        <w:t xml:space="preserve">Victoria’s creative and cultural events attract many visitors to the state and boost local economies. This budget will invest </w:t>
      </w:r>
      <w:r w:rsidRPr="00BB1BCD">
        <w:t>$35 million</w:t>
      </w:r>
      <w:r>
        <w:t xml:space="preserve"> to support live music and community broadcasting, including around 10 000 gigs through grants for musicians and </w:t>
      </w:r>
      <w:r w:rsidRPr="00BB1BCD">
        <w:t>$23 million</w:t>
      </w:r>
      <w:r>
        <w:t xml:space="preserve"> to expand the Major Events Fund.</w:t>
      </w:r>
      <w:r w:rsidDel="00701F7F">
        <w:t xml:space="preserve"> </w:t>
      </w:r>
    </w:p>
    <w:p w14:paraId="3AB42355" w14:textId="77777777" w:rsidR="00E01C85" w:rsidRDefault="00E01C85" w:rsidP="00E01C85">
      <w:r>
        <w:t>Building on the successes of the Free TAFE initiative, this year’s b</w:t>
      </w:r>
      <w:r w:rsidRPr="00EB508C">
        <w:t>udget</w:t>
      </w:r>
      <w:r>
        <w:t xml:space="preserve"> includes a number of initiatives to </w:t>
      </w:r>
      <w:r w:rsidRPr="00BC7C9E">
        <w:t xml:space="preserve">invest in training and </w:t>
      </w:r>
      <w:r>
        <w:t>up</w:t>
      </w:r>
      <w:r w:rsidRPr="00BC7C9E">
        <w:t>skilling Victorian</w:t>
      </w:r>
      <w:r>
        <w:t xml:space="preserve"> workers. This includes</w:t>
      </w:r>
      <w:r w:rsidDel="00A31D68">
        <w:t xml:space="preserve"> </w:t>
      </w:r>
      <w:r w:rsidRPr="00BB1BCD">
        <w:t>$186 million</w:t>
      </w:r>
      <w:r w:rsidRPr="002D7EB7">
        <w:t xml:space="preserve"> to expand the eligibility criteria for Free TAFE and other subsidised training courses</w:t>
      </w:r>
      <w:r>
        <w:t xml:space="preserve"> and </w:t>
      </w:r>
      <w:r w:rsidRPr="00BB1BCD">
        <w:t>$90 million</w:t>
      </w:r>
      <w:r w:rsidRPr="002D7EB7">
        <w:t xml:space="preserve"> </w:t>
      </w:r>
      <w:r w:rsidRPr="00956848" w:rsidDel="00702470">
        <w:t xml:space="preserve">to meet </w:t>
      </w:r>
      <w:r>
        <w:t>the expected demand for training. In addition, up to</w:t>
      </w:r>
      <w:r w:rsidRPr="002D7EB7">
        <w:t xml:space="preserve"> </w:t>
      </w:r>
      <w:r w:rsidRPr="00BB1BCD">
        <w:t>$90 million</w:t>
      </w:r>
      <w:r w:rsidRPr="002D7EB7">
        <w:t xml:space="preserve"> </w:t>
      </w:r>
      <w:r>
        <w:t xml:space="preserve">will be provided </w:t>
      </w:r>
      <w:r w:rsidRPr="002D7EB7">
        <w:t xml:space="preserve">for </w:t>
      </w:r>
      <w:r w:rsidRPr="00927181">
        <w:t xml:space="preserve">TAFEs </w:t>
      </w:r>
      <w:r w:rsidRPr="002D7EB7">
        <w:t xml:space="preserve">to continue </w:t>
      </w:r>
      <w:r>
        <w:t>delivering</w:t>
      </w:r>
      <w:r w:rsidRPr="00927181">
        <w:t xml:space="preserve"> high</w:t>
      </w:r>
      <w:r>
        <w:noBreakHyphen/>
      </w:r>
      <w:r w:rsidRPr="00927181">
        <w:t xml:space="preserve">quality </w:t>
      </w:r>
      <w:r>
        <w:t xml:space="preserve">teaching and </w:t>
      </w:r>
      <w:r w:rsidRPr="00927181">
        <w:t xml:space="preserve">learning outcomes, provide access to training across Victoria, and deliver student support </w:t>
      </w:r>
      <w:r w:rsidRPr="002D7EB7">
        <w:t>services</w:t>
      </w:r>
      <w:r>
        <w:t xml:space="preserve">. </w:t>
      </w:r>
      <w:r w:rsidRPr="00BB1BCD">
        <w:t>$170 million</w:t>
      </w:r>
      <w:r>
        <w:t xml:space="preserve"> is also provided for five TAFE projects through the Building Better TAFE Fund to ensure Victorians have access to state</w:t>
      </w:r>
      <w:r>
        <w:noBreakHyphen/>
        <w:t>of</w:t>
      </w:r>
      <w:r>
        <w:noBreakHyphen/>
        <w:t>the</w:t>
      </w:r>
      <w:r>
        <w:noBreakHyphen/>
        <w:t xml:space="preserve">art training facilities. </w:t>
      </w:r>
    </w:p>
    <w:p w14:paraId="2BBC4F71" w14:textId="77777777" w:rsidR="00E01C85" w:rsidRDefault="00E01C85" w:rsidP="00E01C85">
      <w:pPr>
        <w:kinsoku w:val="0"/>
        <w:overflowPunct w:val="0"/>
        <w:autoSpaceDE w:val="0"/>
        <w:autoSpaceDN w:val="0"/>
        <w:adjustRightInd w:val="0"/>
        <w:spacing w:before="121"/>
        <w:ind w:left="39"/>
        <w:rPr>
          <w:rFonts w:ascii="Garamond" w:hAnsi="Garamond" w:cs="Garamond"/>
        </w:rPr>
      </w:pPr>
      <w:r w:rsidRPr="004D1FFA" w:rsidDel="00AA55B7">
        <w:rPr>
          <w:rFonts w:ascii="Garamond" w:hAnsi="Garamond" w:cs="Garamond"/>
        </w:rPr>
        <w:t xml:space="preserve">To </w:t>
      </w:r>
      <w:r w:rsidRPr="004D1FFA">
        <w:rPr>
          <w:rFonts w:ascii="Garamond" w:hAnsi="Garamond" w:cs="Garamond"/>
        </w:rPr>
        <w:t>support</w:t>
      </w:r>
      <w:r w:rsidRPr="004D1FFA" w:rsidDel="002564A8">
        <w:rPr>
          <w:rFonts w:ascii="Garamond" w:hAnsi="Garamond" w:cs="Garamond"/>
        </w:rPr>
        <w:t xml:space="preserve"> </w:t>
      </w:r>
      <w:r>
        <w:rPr>
          <w:rFonts w:ascii="Garamond" w:hAnsi="Garamond" w:cs="Garamond"/>
        </w:rPr>
        <w:t>economic growth</w:t>
      </w:r>
      <w:r w:rsidRPr="004D1FFA">
        <w:rPr>
          <w:rFonts w:ascii="Garamond" w:hAnsi="Garamond" w:cs="Garamond"/>
        </w:rPr>
        <w:t>, business insurance duty will be abolished over a 10-year period, with a business likely to save around $3 200 on p</w:t>
      </w:r>
      <w:r>
        <w:rPr>
          <w:rFonts w:ascii="Garamond" w:hAnsi="Garamond" w:cs="Garamond"/>
        </w:rPr>
        <w:t>rofessional indemnity</w:t>
      </w:r>
      <w:r w:rsidRPr="004D1FFA">
        <w:rPr>
          <w:rFonts w:ascii="Garamond" w:hAnsi="Garamond" w:cs="Garamond"/>
        </w:rPr>
        <w:t xml:space="preserve"> insurance or $</w:t>
      </w:r>
      <w:r>
        <w:rPr>
          <w:rFonts w:ascii="Garamond" w:hAnsi="Garamond" w:cs="Garamond"/>
        </w:rPr>
        <w:t>2</w:t>
      </w:r>
      <w:r w:rsidRPr="004D1FFA">
        <w:rPr>
          <w:rFonts w:ascii="Garamond" w:hAnsi="Garamond" w:cs="Garamond"/>
        </w:rPr>
        <w:t xml:space="preserve"> </w:t>
      </w:r>
      <w:r>
        <w:rPr>
          <w:rFonts w:ascii="Garamond" w:hAnsi="Garamond" w:cs="Garamond"/>
        </w:rPr>
        <w:t>4</w:t>
      </w:r>
      <w:r w:rsidRPr="004D1FFA">
        <w:rPr>
          <w:rFonts w:ascii="Garamond" w:hAnsi="Garamond" w:cs="Garamond"/>
        </w:rPr>
        <w:t>00 on fire and other special risk insurance cumulatively over that time.</w:t>
      </w:r>
    </w:p>
    <w:p w14:paraId="72407A8A" w14:textId="77777777" w:rsidR="00E01C85" w:rsidRDefault="00E01C85" w:rsidP="00E01C85">
      <w:pPr>
        <w:pStyle w:val="Heading20"/>
        <w:pageBreakBefore/>
      </w:pPr>
      <w:r w:rsidRPr="00F52546">
        <w:t>Education</w:t>
      </w:r>
    </w:p>
    <w:p w14:paraId="2EA9EDD4" w14:textId="77777777" w:rsidR="00E01C85" w:rsidRDefault="00E01C85" w:rsidP="00E01C85">
      <w:r>
        <w:t xml:space="preserve">The </w:t>
      </w:r>
      <w:r w:rsidRPr="00EB7891">
        <w:rPr>
          <w:i/>
          <w:iCs/>
        </w:rPr>
        <w:t>2023</w:t>
      </w:r>
      <w:r w:rsidRPr="00EB7891">
        <w:rPr>
          <w:i/>
          <w:iCs/>
        </w:rPr>
        <w:noBreakHyphen/>
        <w:t>24 B</w:t>
      </w:r>
      <w:r w:rsidRPr="00EB7891">
        <w:rPr>
          <w:i/>
        </w:rPr>
        <w:t>udget</w:t>
      </w:r>
      <w:r>
        <w:t xml:space="preserve"> provides </w:t>
      </w:r>
      <w:r w:rsidRPr="00D25BB8">
        <w:t>$2.1 billion</w:t>
      </w:r>
      <w:r>
        <w:t xml:space="preserve"> for upgrading, maintaining and building</w:t>
      </w:r>
      <w:r w:rsidDel="00E10F0E">
        <w:t xml:space="preserve"> </w:t>
      </w:r>
      <w:r>
        <w:t xml:space="preserve">schools, bringing total investment to more than </w:t>
      </w:r>
      <w:r w:rsidRPr="00BB1BCD">
        <w:t>$14.9 billion</w:t>
      </w:r>
      <w:r>
        <w:t xml:space="preserve"> over the past nine years</w:t>
      </w:r>
      <w:r w:rsidDel="00AB262A">
        <w:t>.</w:t>
      </w:r>
      <w:r w:rsidRPr="00C3630D">
        <w:t xml:space="preserve"> </w:t>
      </w:r>
    </w:p>
    <w:p w14:paraId="4815B4DB" w14:textId="77777777" w:rsidR="00E01C85" w:rsidRDefault="00E01C85" w:rsidP="00E01C85">
      <w:r w:rsidDel="002C2857">
        <w:t>Th</w:t>
      </w:r>
      <w:r w:rsidDel="00F243AD">
        <w:t>is</w:t>
      </w:r>
      <w:r w:rsidDel="002C2857">
        <w:t xml:space="preserve"> </w:t>
      </w:r>
      <w:r>
        <w:t>b</w:t>
      </w:r>
      <w:r w:rsidDel="002C2857">
        <w:t>udget</w:t>
      </w:r>
      <w:r>
        <w:t xml:space="preserve"> invests a further </w:t>
      </w:r>
      <w:r w:rsidRPr="00226E1F">
        <w:t>$1.</w:t>
      </w:r>
      <w:r w:rsidRPr="00D25BB8">
        <w:t>7</w:t>
      </w:r>
      <w:r w:rsidRPr="00226E1F">
        <w:t> billion</w:t>
      </w:r>
      <w:r>
        <w:t xml:space="preserve"> for the Best Start, Best Life and Three</w:t>
      </w:r>
      <w:r>
        <w:noBreakHyphen/>
        <w:t>Year</w:t>
      </w:r>
      <w:r>
        <w:noBreakHyphen/>
        <w:t xml:space="preserve">Old Kinder reforms, bringing the total investment to date to </w:t>
      </w:r>
      <w:r w:rsidRPr="003C6B04">
        <w:t>$6</w:t>
      </w:r>
      <w:r w:rsidRPr="0024119B">
        <w:t>.2</w:t>
      </w:r>
      <w:r w:rsidRPr="003C6B04">
        <w:t> billion</w:t>
      </w:r>
      <w:r>
        <w:t>. This includes funding to provide Free Kinder, build up to 100 new kindergartens,</w:t>
      </w:r>
      <w:r w:rsidDel="00754AF7">
        <w:t xml:space="preserve"> </w:t>
      </w:r>
      <w:r>
        <w:t>deliver 35 new government</w:t>
      </w:r>
      <w:r>
        <w:noBreakHyphen/>
        <w:t>owned and operated Early Learning Centres and progressively transitioning four</w:t>
      </w:r>
      <w:r>
        <w:noBreakHyphen/>
        <w:t>year-old kindergarten to Pre</w:t>
      </w:r>
      <w:r>
        <w:noBreakHyphen/>
        <w:t>Prep. This investment continues the rollout of Three</w:t>
      </w:r>
      <w:r>
        <w:noBreakHyphen/>
        <w:t>Year</w:t>
      </w:r>
      <w:r>
        <w:noBreakHyphen/>
        <w:t xml:space="preserve">Old kinder, with new kindergarten facilities and providing Victorian children access to between 5 and 15 hours of play-based learning a week. </w:t>
      </w:r>
    </w:p>
    <w:p w14:paraId="03C82368" w14:textId="77777777" w:rsidR="00E01C85" w:rsidRDefault="00E01C85" w:rsidP="00E01C85">
      <w:r>
        <w:t xml:space="preserve">The Government is investing </w:t>
      </w:r>
      <w:r w:rsidRPr="00206F22">
        <w:t>$618 million</w:t>
      </w:r>
      <w:r>
        <w:t xml:space="preserve"> to build nine new local schools, an additional stage at two recently</w:t>
      </w:r>
      <w:r>
        <w:noBreakHyphen/>
        <w:t xml:space="preserve">opened schools, and planning and early works for three more new schools. The budget also provides </w:t>
      </w:r>
      <w:r w:rsidRPr="00206F22">
        <w:t>$235 million</w:t>
      </w:r>
      <w:r>
        <w:t xml:space="preserve"> to support the educational and social needs of children and young people with disabilities and additional </w:t>
      </w:r>
      <w:r w:rsidDel="004D24A0">
        <w:t>needs</w:t>
      </w:r>
      <w:r>
        <w:t xml:space="preserve"> and expands on the Outside School Hours Care program for families of children with disability. </w:t>
      </w:r>
    </w:p>
    <w:p w14:paraId="30030B33" w14:textId="77777777" w:rsidR="00E01C85" w:rsidRDefault="00E01C85" w:rsidP="00E01C85">
      <w:r>
        <w:t xml:space="preserve">The budget seeks to improve learning outcomes by reducing barriers to engagement for students and their families. This includes </w:t>
      </w:r>
      <w:r w:rsidRPr="00206F22" w:rsidDel="009764D5">
        <w:t>$</w:t>
      </w:r>
      <w:r w:rsidRPr="00206F22">
        <w:t>169 million</w:t>
      </w:r>
      <w:r>
        <w:t xml:space="preserve"> to help cover the costs of school camps, excursions and sporting trips, and </w:t>
      </w:r>
      <w:r w:rsidRPr="00206F22" w:rsidDel="00C15DD6">
        <w:t>$</w:t>
      </w:r>
      <w:r w:rsidRPr="00206F22">
        <w:t>105</w:t>
      </w:r>
      <w:r w:rsidRPr="00206F22">
        <w:rPr>
          <w:rFonts w:hint="cs"/>
        </w:rPr>
        <w:t> </w:t>
      </w:r>
      <w:r w:rsidRPr="00206F22">
        <w:t>million</w:t>
      </w:r>
      <w:r>
        <w:t xml:space="preserve"> to continue programs that deliver school breakfast, affordable school uniforms and glasses for kids. Furthermore, </w:t>
      </w:r>
      <w:r w:rsidRPr="00206F22">
        <w:t>$205</w:t>
      </w:r>
      <w:r w:rsidRPr="00206F22">
        <w:rPr>
          <w:rFonts w:hint="cs"/>
        </w:rPr>
        <w:t> </w:t>
      </w:r>
      <w:r w:rsidRPr="00206F22">
        <w:t>million</w:t>
      </w:r>
      <w:r>
        <w:t xml:space="preserve"> is invested to support and develop more world</w:t>
      </w:r>
      <w:r>
        <w:noBreakHyphen/>
        <w:t xml:space="preserve">class teachers together with </w:t>
      </w:r>
      <w:r w:rsidRPr="00206F22">
        <w:t xml:space="preserve">$40 </w:t>
      </w:r>
      <w:r w:rsidRPr="00206F22" w:rsidDel="00993D05">
        <w:t>million</w:t>
      </w:r>
      <w:r w:rsidDel="00993D05">
        <w:t xml:space="preserve"> to </w:t>
      </w:r>
      <w:r>
        <w:t xml:space="preserve">develop lesson planning and curriculum material </w:t>
      </w:r>
      <w:r w:rsidRPr="00363654">
        <w:t>to give more</w:t>
      </w:r>
      <w:r w:rsidRPr="002E5744" w:rsidDel="00993D05">
        <w:t xml:space="preserve"> students </w:t>
      </w:r>
      <w:r w:rsidRPr="00363654">
        <w:t>access to the best teaching and reduce workload for teachers</w:t>
      </w:r>
      <w:r>
        <w:t>.</w:t>
      </w:r>
    </w:p>
    <w:p w14:paraId="7FD162C3" w14:textId="77777777" w:rsidR="00E01C85" w:rsidRDefault="00E01C85" w:rsidP="00E01C85">
      <w:pPr>
        <w:pStyle w:val="Heading20"/>
      </w:pPr>
      <w:r>
        <w:t>Transport</w:t>
      </w:r>
    </w:p>
    <w:p w14:paraId="1EC6DEBC" w14:textId="77777777" w:rsidR="00E01C85" w:rsidRDefault="00E01C85" w:rsidP="00E01C85">
      <w:r>
        <w:t xml:space="preserve">The </w:t>
      </w:r>
      <w:r>
        <w:rPr>
          <w:i/>
        </w:rPr>
        <w:t>2023</w:t>
      </w:r>
      <w:r>
        <w:rPr>
          <w:i/>
        </w:rPr>
        <w:noBreakHyphen/>
        <w:t>24 Budget</w:t>
      </w:r>
      <w:r w:rsidDel="00682305">
        <w:t xml:space="preserve"> </w:t>
      </w:r>
      <w:r>
        <w:t xml:space="preserve">continues the Government’s commitment to maintaining Victoria’s road network by locking in an investment of at least $6.6 billion over 10 years for road asset management, including on flood recovery and road maintenance and renewal works across the state. A further </w:t>
      </w:r>
      <w:r w:rsidRPr="00767296">
        <w:t>$694 million</w:t>
      </w:r>
      <w:r>
        <w:t xml:space="preserve"> will deliver upgrades to key roads and intersections – reducing travel times in major growth areas such as Altona Meadows, Wyndham Vale, and Bacchus Marsh. There is further investment to improve safety for drivers, pedestrians, and cyclists. </w:t>
      </w:r>
    </w:p>
    <w:p w14:paraId="4E5B8A91" w14:textId="77777777" w:rsidR="00E01C85" w:rsidRDefault="00E01C85" w:rsidP="00E01C85">
      <w:r>
        <w:t>The Government is also investing more in public transport across Victoria</w:t>
      </w:r>
      <w:r w:rsidRPr="00DF6455">
        <w:t xml:space="preserve"> </w:t>
      </w:r>
      <w:r>
        <w:t xml:space="preserve">to improve reliability, performance and accessibility. This includes </w:t>
      </w:r>
      <w:r w:rsidRPr="00767296">
        <w:t>$650 million</w:t>
      </w:r>
      <w:r>
        <w:t xml:space="preserve"> to upgrade the Melton line and </w:t>
      </w:r>
      <w:r w:rsidRPr="00767296">
        <w:t>$339</w:t>
      </w:r>
      <w:r w:rsidRPr="00767296">
        <w:rPr>
          <w:rFonts w:hint="cs"/>
        </w:rPr>
        <w:t> </w:t>
      </w:r>
      <w:r w:rsidRPr="00767296">
        <w:t>million</w:t>
      </w:r>
      <w:r>
        <w:t xml:space="preserve"> to prepare the Metro Tunnel for opening, </w:t>
      </w:r>
      <w:r w:rsidRPr="00767296">
        <w:t>$60 million</w:t>
      </w:r>
      <w:r>
        <w:t xml:space="preserve"> to enable the deployment of Next Generation Trams on routes 57, 59 and 82 by 2025, and a </w:t>
      </w:r>
      <w:r w:rsidRPr="00767296">
        <w:t>$36 million</w:t>
      </w:r>
      <w:r>
        <w:t xml:space="preserve"> investment to deliver Victoria’s Bus Plan – including the commencement of the transition to zero</w:t>
      </w:r>
      <w:r>
        <w:noBreakHyphen/>
        <w:t xml:space="preserve">emissions buses in new Metropolitan Bus Service Contracts from 2025. </w:t>
      </w:r>
    </w:p>
    <w:p w14:paraId="28DFC654" w14:textId="77777777" w:rsidR="00E01C85" w:rsidRPr="004339D2" w:rsidRDefault="00E01C85" w:rsidP="00E01C85">
      <w:pPr>
        <w:pStyle w:val="ShadedBoxHeading"/>
        <w:pageBreakBefore/>
        <w:tabs>
          <w:tab w:val="left" w:pos="1080"/>
        </w:tabs>
        <w:spacing w:before="240"/>
        <w:outlineLvl w:val="1"/>
      </w:pPr>
      <w:r w:rsidRPr="004339D2">
        <w:t xml:space="preserve">Box </w:t>
      </w:r>
      <w:r w:rsidRPr="00767296">
        <w:t>1.3</w:t>
      </w:r>
      <w:r w:rsidRPr="004339D2">
        <w:t xml:space="preserve">: </w:t>
      </w:r>
      <w:r>
        <w:tab/>
      </w:r>
      <w:r w:rsidRPr="004339D2">
        <w:t xml:space="preserve">Road </w:t>
      </w:r>
      <w:r>
        <w:t>m</w:t>
      </w:r>
      <w:r w:rsidRPr="004339D2">
        <w:t xml:space="preserve">aintenance and </w:t>
      </w:r>
      <w:r>
        <w:t>r</w:t>
      </w:r>
      <w:r w:rsidRPr="004339D2">
        <w:t>enewal</w:t>
      </w:r>
    </w:p>
    <w:p w14:paraId="2BC83C57" w14:textId="77777777" w:rsidR="00E01C85" w:rsidRDefault="00E01C85" w:rsidP="00E01C85">
      <w:pPr>
        <w:pStyle w:val="ShadedBoxText"/>
      </w:pPr>
      <w:r>
        <w:t xml:space="preserve">The </w:t>
      </w:r>
      <w:r>
        <w:rPr>
          <w:i/>
          <w:iCs/>
        </w:rPr>
        <w:t>2023-24 Budget</w:t>
      </w:r>
      <w:r>
        <w:t xml:space="preserve"> continues the Government’s record road maintenance investment with a 10</w:t>
      </w:r>
      <w:r>
        <w:noBreakHyphen/>
        <w:t>year and additional $2.8 billion commitment, responding to the October 2022 floods and providing long</w:t>
      </w:r>
      <w:r>
        <w:noBreakHyphen/>
        <w:t>term funding certainty, to make the State’s roads safer for longer.</w:t>
      </w:r>
    </w:p>
    <w:p w14:paraId="3BBF9572" w14:textId="77777777" w:rsidR="00E01C85" w:rsidRDefault="00E01C85" w:rsidP="00E01C85">
      <w:pPr>
        <w:pStyle w:val="ShadedBoxText"/>
      </w:pPr>
      <w:r>
        <w:t>All-in-all, this will see at least $6.6 billion invested in road asset management on Victoria’s road network over the next 10 years.</w:t>
      </w:r>
    </w:p>
    <w:p w14:paraId="3FD506F6" w14:textId="77777777" w:rsidR="00E01C85" w:rsidRDefault="00E01C85" w:rsidP="00E01C85">
      <w:pPr>
        <w:pStyle w:val="ShadedBoxText"/>
      </w:pPr>
      <w:bookmarkStart w:id="8" w:name="_Hlk134700311"/>
      <w:r>
        <w:t>Combining output and asset funding in 2023</w:t>
      </w:r>
      <w:r>
        <w:noBreakHyphen/>
        <w:t>24, the Government will spend $770 million in road asset management – more than 35 per cent higher than the annual average of the previous decade from 2010</w:t>
      </w:r>
      <w:r>
        <w:noBreakHyphen/>
        <w:t>11 to 2019</w:t>
      </w:r>
      <w:r>
        <w:noBreakHyphen/>
        <w:t>20 ($567 million).</w:t>
      </w:r>
    </w:p>
    <w:bookmarkEnd w:id="8"/>
    <w:p w14:paraId="6A78EF52" w14:textId="77777777" w:rsidR="00E01C85" w:rsidRDefault="00E01C85" w:rsidP="00E01C85">
      <w:pPr>
        <w:pStyle w:val="ShadedBoxText"/>
      </w:pPr>
      <w:r>
        <w:t>The scale and quality of this investment</w:t>
      </w:r>
      <w:r w:rsidDel="003969F0">
        <w:t xml:space="preserve"> </w:t>
      </w:r>
      <w:r>
        <w:t>is yielding returns in the regions again in 2022</w:t>
      </w:r>
      <w:r>
        <w:noBreakHyphen/>
        <w:t>23, with expected performance meeting or exceeding performance measure targets for road quality measures on roughness, cracking and rutting.</w:t>
      </w:r>
    </w:p>
    <w:p w14:paraId="3C820278" w14:textId="749C1713" w:rsidR="00E01C85" w:rsidRDefault="00E01C85" w:rsidP="00E01C85">
      <w:pPr>
        <w:pStyle w:val="ShadedBoxText"/>
      </w:pPr>
      <w:r>
        <w:t>The Government is prioritising efforts to rebuild the State’s road network following the 2022 floods in the immediate-term. In the long-term, this funding commitment provides a</w:t>
      </w:r>
      <w:r w:rsidR="00711A2B">
        <w:t> </w:t>
      </w:r>
      <w:r>
        <w:t>strong foundation, to continue to support a safer and more efficient Victorian road network.</w:t>
      </w:r>
    </w:p>
    <w:p w14:paraId="62A57BBA" w14:textId="77777777" w:rsidR="00E01C85" w:rsidRPr="0007572D" w:rsidRDefault="00E01C85" w:rsidP="00E01C85">
      <w:pPr>
        <w:pStyle w:val="Heading20"/>
      </w:pPr>
      <w:r w:rsidRPr="0007572D">
        <w:t xml:space="preserve">Fair and </w:t>
      </w:r>
      <w:r>
        <w:t>r</w:t>
      </w:r>
      <w:r w:rsidRPr="0007572D">
        <w:t xml:space="preserve">esilient </w:t>
      </w:r>
      <w:r>
        <w:t>c</w:t>
      </w:r>
      <w:r w:rsidRPr="0007572D">
        <w:t>ommunities</w:t>
      </w:r>
    </w:p>
    <w:p w14:paraId="01886903" w14:textId="77777777" w:rsidR="00E01C85" w:rsidRDefault="00E01C85" w:rsidP="00E01C85">
      <w:r>
        <w:t xml:space="preserve">The </w:t>
      </w:r>
      <w:r w:rsidRPr="00701F7F">
        <w:rPr>
          <w:i/>
        </w:rPr>
        <w:t>2023-24 Budget</w:t>
      </w:r>
      <w:r>
        <w:t xml:space="preserve"> is delivering initiatives to help relieve some of the pressure on Victorian households from the rising cost of living. This includes </w:t>
      </w:r>
      <w:r w:rsidRPr="00C7642D">
        <w:t>$400 million</w:t>
      </w:r>
      <w:r>
        <w:t xml:space="preserve"> for another round of the Power Saving Bonus and</w:t>
      </w:r>
      <w:r w:rsidRPr="00E070A9">
        <w:t xml:space="preserve"> $</w:t>
      </w:r>
      <w:r w:rsidRPr="00C7642D">
        <w:t>190 million</w:t>
      </w:r>
      <w:r w:rsidRPr="00E070A9">
        <w:t xml:space="preserve"> to cap</w:t>
      </w:r>
      <w:r w:rsidRPr="00E070A9" w:rsidDel="00E070A9">
        <w:t xml:space="preserve"> </w:t>
      </w:r>
      <w:r>
        <w:t xml:space="preserve">regional </w:t>
      </w:r>
      <w:r w:rsidRPr="00E070A9">
        <w:t>public transport fares at the same price as metropolitan fare</w:t>
      </w:r>
      <w:r>
        <w:t xml:space="preserve">s. </w:t>
      </w:r>
    </w:p>
    <w:p w14:paraId="693154C8" w14:textId="77777777" w:rsidR="00E01C85" w:rsidRPr="0078732B" w:rsidRDefault="00E01C85" w:rsidP="00E01C85">
      <w:r>
        <w:t xml:space="preserve">In addition, </w:t>
      </w:r>
      <w:r w:rsidRPr="00205405">
        <w:t>$141</w:t>
      </w:r>
      <w:r w:rsidRPr="00205405">
        <w:rPr>
          <w:rFonts w:hint="cs"/>
        </w:rPr>
        <w:t> </w:t>
      </w:r>
      <w:r w:rsidRPr="00205405">
        <w:t>million</w:t>
      </w:r>
      <w:r>
        <w:t xml:space="preserve"> is being invested to install air conditioners across more than 40 high</w:t>
      </w:r>
      <w:r>
        <w:noBreakHyphen/>
        <w:t xml:space="preserve">rise public housing towers, as well as </w:t>
      </w:r>
      <w:r w:rsidRPr="00205405">
        <w:t>$23 million</w:t>
      </w:r>
      <w:r>
        <w:t xml:space="preserve"> for free period products in public places across the </w:t>
      </w:r>
      <w:r w:rsidRPr="00E070A9">
        <w:t>state.</w:t>
      </w:r>
      <w:r w:rsidRPr="00E070A9" w:rsidDel="004D4212">
        <w:t xml:space="preserve"> </w:t>
      </w:r>
      <w:r w:rsidRPr="00205405">
        <w:t xml:space="preserve">$42 </w:t>
      </w:r>
      <w:r w:rsidRPr="00205405" w:rsidDel="004D4212">
        <w:t>million</w:t>
      </w:r>
      <w:r w:rsidDel="004D4212">
        <w:t xml:space="preserve"> is </w:t>
      </w:r>
      <w:r>
        <w:t xml:space="preserve">being invested to recognise Victorian veterans and their families for their service, including funding to introduce the Victorian Veterans Card. The Government is also providing </w:t>
      </w:r>
      <w:r w:rsidRPr="00205405">
        <w:t>$10 million</w:t>
      </w:r>
      <w:r>
        <w:t xml:space="preserve"> to offer free vehicle registration for</w:t>
      </w:r>
      <w:r w:rsidRPr="00AE3671">
        <w:t xml:space="preserve"> </w:t>
      </w:r>
      <w:r>
        <w:t>e</w:t>
      </w:r>
      <w:r w:rsidRPr="00E070A9">
        <w:t>ligible</w:t>
      </w:r>
      <w:r>
        <w:t xml:space="preserve"> apprentices and tradespeople.</w:t>
      </w:r>
    </w:p>
    <w:p w14:paraId="248E5B72" w14:textId="77777777" w:rsidR="00E01C85" w:rsidRDefault="00E01C85" w:rsidP="00E01C85">
      <w:r>
        <w:t xml:space="preserve">The Government is investing </w:t>
      </w:r>
      <w:r w:rsidRPr="00205405">
        <w:t>$201 million</w:t>
      </w:r>
      <w:r>
        <w:t xml:space="preserve"> to deliver new and upgraded community sport and active recreation infrastructure, including continuation of the Local Sports Infrastructure Fund and the Country Football and Netball Program. This budget also invests </w:t>
      </w:r>
      <w:r w:rsidRPr="00205405">
        <w:t>$13 million</w:t>
      </w:r>
      <w:r>
        <w:t xml:space="preserve"> to build new and upgrade existing dog parks and </w:t>
      </w:r>
      <w:r w:rsidRPr="005F28E2">
        <w:t>$7.4 million</w:t>
      </w:r>
      <w:r>
        <w:t xml:space="preserve"> to upgrade parks and facilities in locations across Victoria. Funding is also provided to keep entry free for children under 16 years of age at Melbourne Zoo, Healesville Sanctuary, Werribee Open Range Zoo, and Kyabram Fauna Park on weekends, public holidays and during school holidays. </w:t>
      </w:r>
    </w:p>
    <w:p w14:paraId="0456DABE" w14:textId="77777777" w:rsidR="00E01C85" w:rsidRPr="00C511D2" w:rsidRDefault="00E01C85" w:rsidP="00E01C85">
      <w:r>
        <w:t xml:space="preserve">This budget also provides funding to support Victoria’s multicultural communities, including </w:t>
      </w:r>
      <w:r w:rsidRPr="00FB5676">
        <w:t>$40 million</w:t>
      </w:r>
      <w:r>
        <w:t xml:space="preserve"> to continue the Multicultural Community Infrastructure Fund, and </w:t>
      </w:r>
      <w:r w:rsidRPr="005F28E2">
        <w:t>$17 million</w:t>
      </w:r>
      <w:r>
        <w:t xml:space="preserve"> to upgrade and revitalise business and cultural hubs in Victoria’s multicultural precincts, provide grants to multicultural trader associations, and for scholarships to help train staff to fill jobs in these precincts. </w:t>
      </w:r>
      <w:r w:rsidRPr="00FB5676">
        <w:t>$12 million</w:t>
      </w:r>
      <w:r>
        <w:t xml:space="preserve"> is also provided to help communities celebrate festivals and events, and </w:t>
      </w:r>
      <w:r w:rsidRPr="00FB5676">
        <w:t>$6 million</w:t>
      </w:r>
      <w:r>
        <w:t xml:space="preserve"> to fund anti-vilification campaigns to counter discrimination and prejudice against Victoria’s Jewish and Islamic communities.</w:t>
      </w:r>
    </w:p>
    <w:p w14:paraId="13125297" w14:textId="77777777" w:rsidR="00E01C85" w:rsidRPr="00196060" w:rsidRDefault="00E01C85" w:rsidP="00E01C85">
      <w:pPr>
        <w:rPr>
          <w:i/>
        </w:rPr>
      </w:pPr>
      <w:r>
        <w:t xml:space="preserve">Since the </w:t>
      </w:r>
      <w:r>
        <w:rPr>
          <w:i/>
          <w:iCs/>
        </w:rPr>
        <w:t>2019</w:t>
      </w:r>
      <w:r>
        <w:rPr>
          <w:i/>
          <w:iCs/>
        </w:rPr>
        <w:noBreakHyphen/>
        <w:t>20 Budget</w:t>
      </w:r>
      <w:r>
        <w:t xml:space="preserve">, the Government has invested </w:t>
      </w:r>
      <w:r w:rsidRPr="0008140D">
        <w:t>$3.1</w:t>
      </w:r>
      <w:r w:rsidRPr="0008140D">
        <w:rPr>
          <w:rFonts w:hint="cs"/>
        </w:rPr>
        <w:t> </w:t>
      </w:r>
      <w:r w:rsidRPr="0008140D">
        <w:t>billion</w:t>
      </w:r>
      <w:r>
        <w:t xml:space="preserve"> in the child protection and family services system and is continuing to build on this in the budget with an additional $895 million investment. This includes $548 million to meet demand for residential care placements, provide more access to therapeutic support and continue providing targeted packages to prevent entry into residential care, as well as $140 million to reduce Aboriginal overrepresentation in child protection and family services through culturally appropriate care. </w:t>
      </w:r>
    </w:p>
    <w:p w14:paraId="40F71ABC" w14:textId="77777777" w:rsidR="00E01C85" w:rsidRDefault="00E01C85" w:rsidP="00E01C85">
      <w:r w:rsidRPr="0008140D" w:rsidDel="00BF424A">
        <w:t>$</w:t>
      </w:r>
      <w:r w:rsidRPr="0008140D">
        <w:t>68 million</w:t>
      </w:r>
      <w:r>
        <w:t xml:space="preserve"> will deliver a Housing First response – including housing and multidisciplinary support services for those rough sleeping and experiencing homelessness. $33 million will also support young people with complex needs leaving residential care and other settings with three years of multidisciplinary support and access to housing. </w:t>
      </w:r>
    </w:p>
    <w:p w14:paraId="62C97AC2" w14:textId="77777777" w:rsidR="00E01C85" w:rsidRPr="007A2F35" w:rsidRDefault="00E01C85" w:rsidP="00E01C85"/>
    <w:p w14:paraId="667743DC" w14:textId="77777777" w:rsidR="00E01C85" w:rsidRPr="00C14686" w:rsidRDefault="00E01C85" w:rsidP="00E01C85">
      <w:pPr>
        <w:pStyle w:val="ShadedBoxHeading"/>
      </w:pPr>
      <w:r w:rsidRPr="00C14686">
        <w:t xml:space="preserve">Box </w:t>
      </w:r>
      <w:r>
        <w:t>1.4</w:t>
      </w:r>
      <w:r w:rsidRPr="00C14686">
        <w:t>: Housing assistance</w:t>
      </w:r>
    </w:p>
    <w:p w14:paraId="08733188" w14:textId="12E0F22F" w:rsidR="00E01C85" w:rsidRDefault="00E01C85" w:rsidP="00E01C85">
      <w:pPr>
        <w:pStyle w:val="ShadedBoxText"/>
      </w:pPr>
      <w:r w:rsidRPr="00C14686">
        <w:t>Following unprecedented investments in recent years that supported access to housing during the pandemic and kick-started Victoria’s social housing growth, the Government is</w:t>
      </w:r>
      <w:r w:rsidR="00711A2B">
        <w:t> </w:t>
      </w:r>
      <w:r w:rsidRPr="00C14686">
        <w:t xml:space="preserve">continuing to provide a range of supports for Victorians across the housing spectrum from homelessness and social and affordable housing to renting and home ownership. </w:t>
      </w:r>
    </w:p>
    <w:p w14:paraId="463FE361" w14:textId="7AF180F0" w:rsidR="00E01C85" w:rsidRDefault="00E01C85" w:rsidP="00E01C85">
      <w:pPr>
        <w:pStyle w:val="ShadedBoxText"/>
      </w:pPr>
      <w:r w:rsidRPr="00C14686">
        <w:t>The historic $1</w:t>
      </w:r>
      <w:r>
        <w:t>68</w:t>
      </w:r>
      <w:r w:rsidRPr="00C14686">
        <w:t xml:space="preserve"> million From Homelessness to a Home package in 2020 used a </w:t>
      </w:r>
      <w:r>
        <w:t>H</w:t>
      </w:r>
      <w:r w:rsidRPr="00C14686">
        <w:t>ousing</w:t>
      </w:r>
      <w:r w:rsidR="00711A2B">
        <w:t> </w:t>
      </w:r>
      <w:r>
        <w:t>F</w:t>
      </w:r>
      <w:r w:rsidRPr="00C14686">
        <w:t xml:space="preserve">irst approach to support Victorians experiencing homelessness into secure housing. </w:t>
      </w:r>
      <w:r>
        <w:rPr>
          <w:rStyle w:val="ui-provider"/>
        </w:rPr>
        <w:t xml:space="preserve">The </w:t>
      </w:r>
      <w:r w:rsidRPr="00B147F0">
        <w:rPr>
          <w:rStyle w:val="ui-provider"/>
          <w:i/>
          <w:iCs/>
        </w:rPr>
        <w:t>202</w:t>
      </w:r>
      <w:r>
        <w:rPr>
          <w:rStyle w:val="ui-provider"/>
          <w:i/>
          <w:iCs/>
        </w:rPr>
        <w:t>3</w:t>
      </w:r>
      <w:r w:rsidRPr="00B147F0">
        <w:rPr>
          <w:rStyle w:val="ui-provider"/>
          <w:i/>
          <w:iCs/>
        </w:rPr>
        <w:noBreakHyphen/>
        <w:t>2</w:t>
      </w:r>
      <w:r>
        <w:rPr>
          <w:rStyle w:val="ui-provider"/>
          <w:i/>
          <w:iCs/>
        </w:rPr>
        <w:t>4</w:t>
      </w:r>
      <w:r w:rsidRPr="00B147F0">
        <w:rPr>
          <w:rStyle w:val="ui-provider"/>
          <w:i/>
          <w:iCs/>
        </w:rPr>
        <w:t> Budget</w:t>
      </w:r>
      <w:r>
        <w:rPr>
          <w:rStyle w:val="ui-provider"/>
        </w:rPr>
        <w:t xml:space="preserve"> includes $100 million for two early intervention initiatives focused on avoiding homelessness, with early intervention expected to </w:t>
      </w:r>
      <w:r w:rsidRPr="003C534C">
        <w:t>change people’s lives for the better and</w:t>
      </w:r>
      <w:r>
        <w:t xml:space="preserve"> </w:t>
      </w:r>
      <w:r>
        <w:rPr>
          <w:rStyle w:val="ui-provider"/>
        </w:rPr>
        <w:t>generate more than $180 million in economic and fiscal benefits over the next decade.</w:t>
      </w:r>
    </w:p>
    <w:p w14:paraId="1C02EA30" w14:textId="77777777" w:rsidR="00E01C85" w:rsidRDefault="00E01C85" w:rsidP="00E01C85">
      <w:pPr>
        <w:pStyle w:val="ShadedBoxText"/>
      </w:pPr>
      <w:r w:rsidRPr="00C14686">
        <w:t xml:space="preserve">Funded in the </w:t>
      </w:r>
      <w:r w:rsidRPr="00E23008">
        <w:rPr>
          <w:i/>
        </w:rPr>
        <w:t>2020-21 Budget</w:t>
      </w:r>
      <w:r w:rsidRPr="00C14686">
        <w:t>, the $5.3 billion Big Housing Build is delivering more than 12</w:t>
      </w:r>
      <w:r>
        <w:t> </w:t>
      </w:r>
      <w:r w:rsidRPr="00C14686">
        <w:t xml:space="preserve">000 social and affordable dwellings, the largest single increase in Victoria’s history, to provide much needed housing and stimulate the economy. Beyond the Big Housing Build, an ongoing pipeline of social housing </w:t>
      </w:r>
      <w:r>
        <w:t>is</w:t>
      </w:r>
      <w:r w:rsidRPr="00C14686">
        <w:t xml:space="preserve"> supported through the $1 billion Social Housing Growth Fund. Finally</w:t>
      </w:r>
      <w:r>
        <w:t>,</w:t>
      </w:r>
      <w:r w:rsidRPr="00C14686">
        <w:t xml:space="preserve"> the </w:t>
      </w:r>
      <w:r w:rsidRPr="00B147F0">
        <w:rPr>
          <w:i/>
          <w:iCs/>
        </w:rPr>
        <w:t>2022-23 Budget</w:t>
      </w:r>
      <w:r w:rsidRPr="00C14686">
        <w:t xml:space="preserve"> expanded the low interest loans and government guarantee program to $2.1 billion, with a plan to support another 6</w:t>
      </w:r>
      <w:r>
        <w:t> </w:t>
      </w:r>
      <w:r w:rsidRPr="00C14686">
        <w:t>000 new social and affordable dwellings in coming years.</w:t>
      </w:r>
    </w:p>
    <w:p w14:paraId="36DF0722" w14:textId="3D1372D5" w:rsidR="00E01C85" w:rsidRDefault="00E01C85" w:rsidP="00E01C85">
      <w:pPr>
        <w:pStyle w:val="ShadedBoxText"/>
      </w:pPr>
      <w:r w:rsidRPr="00C14686">
        <w:t xml:space="preserve">Victoria is leading the nation in the emerging build-to-rent (BTR) sector, where large-scale residential developments are held and managed by a single entity and rented out long-term, providing greater security of tenure. </w:t>
      </w:r>
      <w:r>
        <w:t>T</w:t>
      </w:r>
      <w:r w:rsidRPr="00C14686">
        <w:t>he Government offers eligible BTR developments a 50 per cent reduction on the taxable land value for land tax for up to 30</w:t>
      </w:r>
      <w:r w:rsidR="00711A2B">
        <w:t> </w:t>
      </w:r>
      <w:r w:rsidRPr="00C14686">
        <w:t>years and a full exemption from Absentee Owner Surcharge over the same period.</w:t>
      </w:r>
    </w:p>
    <w:p w14:paraId="25217912" w14:textId="77777777" w:rsidR="00E01C85" w:rsidRDefault="00E01C85" w:rsidP="00E01C85">
      <w:pPr>
        <w:pStyle w:val="ShadedBoxText"/>
        <w:pageBreakBefore/>
      </w:pPr>
      <w:r w:rsidRPr="00C14686">
        <w:t>The Government is also supporting Victorians to purchase their own home. In October</w:t>
      </w:r>
      <w:r>
        <w:t> </w:t>
      </w:r>
      <w:r w:rsidRPr="00C14686">
        <w:t>2022, the Government invested an additional $1.1 billion in the Victorian Homebuyer Fund</w:t>
      </w:r>
      <w:r>
        <w:t xml:space="preserve"> (VHF)</w:t>
      </w:r>
      <w:r w:rsidRPr="00C14686">
        <w:t>, building on its initial $500 million investment. Almost 3</w:t>
      </w:r>
      <w:r>
        <w:t> </w:t>
      </w:r>
      <w:r w:rsidRPr="00C14686">
        <w:t xml:space="preserve">500 households have now settled into their new home purchased through the VHF. </w:t>
      </w:r>
    </w:p>
    <w:p w14:paraId="102E7997" w14:textId="77777777" w:rsidR="00E01C85" w:rsidRDefault="00E01C85" w:rsidP="00E01C85">
      <w:pPr>
        <w:pStyle w:val="ShadedBoxText"/>
      </w:pPr>
      <w:r w:rsidRPr="00C14686">
        <w:t>First home buyers are exempt from paying stamp duty if they buy a property for $600</w:t>
      </w:r>
      <w:r>
        <w:t> </w:t>
      </w:r>
      <w:r w:rsidRPr="00C14686">
        <w:t>000 or less, with concessions available for properties valued up to $750 000. In 2022, almost 40</w:t>
      </w:r>
      <w:r>
        <w:t> </w:t>
      </w:r>
      <w:r w:rsidRPr="00C14686">
        <w:t>000 stamp duty concessions and exemptions totalling over $700 million were provided to Victorians. The First Home Owner Grant also provides eligible first home buyers $10</w:t>
      </w:r>
      <w:r>
        <w:t> </w:t>
      </w:r>
      <w:r w:rsidRPr="00C14686">
        <w:t>000 to help them purchase a newly constructed home. Over 13 000 grants valuing over $150 million were provided in 2022.</w:t>
      </w:r>
    </w:p>
    <w:p w14:paraId="61FB455C" w14:textId="77777777" w:rsidR="00E01C85" w:rsidRPr="007A2F35" w:rsidRDefault="00E01C85" w:rsidP="00E01C85"/>
    <w:p w14:paraId="7FA0BA67" w14:textId="77777777" w:rsidR="00E01C85" w:rsidRPr="00196060" w:rsidRDefault="00E01C85" w:rsidP="00E01C85">
      <w:pPr>
        <w:rPr>
          <w:shd w:val="clear" w:color="auto" w:fill="FFFFFF"/>
        </w:rPr>
      </w:pPr>
      <w:r>
        <w:t xml:space="preserve">The budget continues the Government’s commitment towards ending family violence, with a further </w:t>
      </w:r>
      <w:r w:rsidRPr="004165CB">
        <w:t>$117 million</w:t>
      </w:r>
      <w:r>
        <w:t xml:space="preserve"> to support family violence victim survivors and deliver perpetrator intervention programs. Funding </w:t>
      </w:r>
      <w:r>
        <w:rPr>
          <w:rStyle w:val="ui-provider"/>
        </w:rPr>
        <w:t>includes</w:t>
      </w:r>
      <w:r w:rsidDel="00AE03F2">
        <w:rPr>
          <w:rStyle w:val="ui-provider"/>
        </w:rPr>
        <w:t xml:space="preserve"> </w:t>
      </w:r>
      <w:r>
        <w:rPr>
          <w:rStyle w:val="ui-provider"/>
        </w:rPr>
        <w:t xml:space="preserve">Aboriginal-led sexual assault services, men’s behaviour change programs, and financial support and case management for victim survivors of family </w:t>
      </w:r>
      <w:r w:rsidDel="00AB75F1">
        <w:rPr>
          <w:rStyle w:val="ui-provider"/>
        </w:rPr>
        <w:t>violence</w:t>
      </w:r>
      <w:r>
        <w:rPr>
          <w:rStyle w:val="ui-provider"/>
        </w:rPr>
        <w:t xml:space="preserve">. </w:t>
      </w:r>
    </w:p>
    <w:p w14:paraId="541BF568" w14:textId="56537228" w:rsidR="00E01C85" w:rsidRPr="00C511D2" w:rsidRDefault="00E01C85" w:rsidP="00E01C85">
      <w:r>
        <w:t xml:space="preserve">To support Victoria’s emergency services, this budget provides </w:t>
      </w:r>
      <w:r w:rsidRPr="0008140D">
        <w:t>$34 million</w:t>
      </w:r>
      <w:r>
        <w:t xml:space="preserve"> to upgrade emergency services facilities, including CFA stations, VICSES facilities, Life Saving Victoria facilities and marine rescue resources. It further invests </w:t>
      </w:r>
      <w:r w:rsidRPr="0008140D">
        <w:t>$</w:t>
      </w:r>
      <w:r>
        <w:t>40</w:t>
      </w:r>
      <w:r w:rsidRPr="0008140D">
        <w:t xml:space="preserve"> million</w:t>
      </w:r>
      <w:r>
        <w:t xml:space="preserve"> for Forest Fire Management Victoria firefighters and funding to maintain strategic fuel breaks. </w:t>
      </w:r>
      <w:r w:rsidRPr="0008140D" w:rsidDel="0009028F">
        <w:t>$2</w:t>
      </w:r>
      <w:r w:rsidR="00711A2B">
        <w:t> </w:t>
      </w:r>
      <w:r w:rsidRPr="0008140D" w:rsidDel="0009028F">
        <w:t>million</w:t>
      </w:r>
      <w:r>
        <w:t xml:space="preserve"> is provided to further support reform of the Emergency Services Telecommunications Authority, and additional investment to deliver a new computer system to support emergency services Triple Zero call</w:t>
      </w:r>
      <w:r>
        <w:noBreakHyphen/>
        <w:t xml:space="preserve">taking and dispatch functions. </w:t>
      </w:r>
    </w:p>
    <w:p w14:paraId="4FA27783" w14:textId="77777777" w:rsidR="00E01C85" w:rsidRPr="007712E7" w:rsidRDefault="00E01C85" w:rsidP="00E01C85">
      <w:r>
        <w:t xml:space="preserve">Initiatives that continue to strengthen the health, wellbeing, social and economic outcomes of LGBTIQ+ Victorians are also funded in this budget. This includes </w:t>
      </w:r>
      <w:r w:rsidRPr="0008140D">
        <w:t>$9.7 million</w:t>
      </w:r>
      <w:r>
        <w:t xml:space="preserve"> to expand the Rainbow Tick program</w:t>
      </w:r>
      <w:r w:rsidRPr="0047356A">
        <w:t xml:space="preserve">, </w:t>
      </w:r>
      <w:r w:rsidRPr="0008140D">
        <w:t>$8 million</w:t>
      </w:r>
      <w:r>
        <w:t xml:space="preserve"> for a LGBTIQ+ Community Grants Program, and </w:t>
      </w:r>
      <w:r w:rsidRPr="0008140D">
        <w:t>$4.5 million</w:t>
      </w:r>
      <w:r>
        <w:t xml:space="preserve"> to pilot the Pride in Ageing program. </w:t>
      </w:r>
    </w:p>
    <w:p w14:paraId="26CFC98A" w14:textId="77777777" w:rsidR="00E01C85" w:rsidRDefault="00E01C85" w:rsidP="00E01C85">
      <w:r>
        <w:t xml:space="preserve">The </w:t>
      </w:r>
      <w:r>
        <w:rPr>
          <w:iCs/>
        </w:rPr>
        <w:t>budget</w:t>
      </w:r>
      <w:r>
        <w:t xml:space="preserve"> is also investing around </w:t>
      </w:r>
      <w:r w:rsidRPr="003E19F0" w:rsidDel="00B1726C">
        <w:t>$</w:t>
      </w:r>
      <w:r w:rsidRPr="003E19F0">
        <w:t>2.</w:t>
      </w:r>
      <w:r w:rsidRPr="0008140D">
        <w:t>7</w:t>
      </w:r>
      <w:r w:rsidRPr="003E19F0">
        <w:t xml:space="preserve"> billion</w:t>
      </w:r>
      <w:r>
        <w:t xml:space="preserve"> in initiatives that directly address women’s needs and work towards improved outcomes for women. </w:t>
      </w:r>
      <w:r>
        <w:rPr>
          <w:shd w:val="clear" w:color="auto" w:fill="FFFFFF"/>
        </w:rPr>
        <w:t>This includes initiatives that support women’s health and wellbeing, and strengthen women’s workforce participation and representation.</w:t>
      </w:r>
    </w:p>
    <w:p w14:paraId="0C736AA8" w14:textId="77777777" w:rsidR="00E01C85" w:rsidRPr="007712E7" w:rsidRDefault="00E01C85" w:rsidP="00E01C85">
      <w:r w:rsidRPr="007712E7">
        <w:t xml:space="preserve">The Government is continuing to deliver on commitments to Victoria’s ongoing </w:t>
      </w:r>
      <w:r>
        <w:t>T</w:t>
      </w:r>
      <w:r w:rsidRPr="007712E7">
        <w:t xml:space="preserve">reaty process with First Nations’ Peoples, as required under the </w:t>
      </w:r>
      <w:r w:rsidRPr="007712E7">
        <w:rPr>
          <w:i/>
          <w:iCs/>
        </w:rPr>
        <w:t>Advancing the Treaty Process with Aboriginal Victorians Act 2018</w:t>
      </w:r>
      <w:r w:rsidRPr="007712E7">
        <w:t>.</w:t>
      </w:r>
      <w:r>
        <w:t xml:space="preserve"> As part of the </w:t>
      </w:r>
      <w:r w:rsidRPr="0008140D">
        <w:t>$4</w:t>
      </w:r>
      <w:r>
        <w:t>75 </w:t>
      </w:r>
      <w:r w:rsidRPr="0008140D">
        <w:t>million</w:t>
      </w:r>
      <w:r>
        <w:t xml:space="preserve"> in this budget for programs and services that seek better outcomes for and with the Aboriginal community, </w:t>
      </w:r>
      <w:r w:rsidRPr="0008140D">
        <w:t>$138 million</w:t>
      </w:r>
      <w:r>
        <w:t xml:space="preserve"> is provided to support the State and the First People’s Assembly of Victoria to prepare for and enter Treaty negotiations. This b</w:t>
      </w:r>
      <w:r w:rsidRPr="00DF1C37">
        <w:t xml:space="preserve">udget is the largest whole of government Aboriginal Affairs budget investment since </w:t>
      </w:r>
      <w:r>
        <w:t xml:space="preserve">the </w:t>
      </w:r>
      <w:r>
        <w:rPr>
          <w:i/>
          <w:iCs/>
        </w:rPr>
        <w:t>2015</w:t>
      </w:r>
      <w:r>
        <w:rPr>
          <w:i/>
          <w:iCs/>
        </w:rPr>
        <w:noBreakHyphen/>
        <w:t>16 Budget</w:t>
      </w:r>
      <w:r w:rsidRPr="00DF1C37">
        <w:t>.</w:t>
      </w:r>
    </w:p>
    <w:p w14:paraId="42CF795C" w14:textId="77777777" w:rsidR="00E01C85" w:rsidRDefault="00E01C85" w:rsidP="00E01C85">
      <w:r>
        <w:t xml:space="preserve">Over the past nine years, the Government has invested </w:t>
      </w:r>
      <w:r w:rsidRPr="009E3A4D">
        <w:t>$2.4 billion</w:t>
      </w:r>
      <w:r>
        <w:t xml:space="preserve"> to protect Victoria’s environment. The budget</w:t>
      </w:r>
      <w:r>
        <w:rPr>
          <w:i/>
          <w:iCs/>
        </w:rPr>
        <w:t xml:space="preserve"> </w:t>
      </w:r>
      <w:r>
        <w:t xml:space="preserve">is providing </w:t>
      </w:r>
      <w:r w:rsidRPr="0008140D">
        <w:t>$84 million</w:t>
      </w:r>
      <w:r>
        <w:t xml:space="preserve"> to keep backing land conservation programs and to support the Environment Protection Authority, </w:t>
      </w:r>
      <w:r w:rsidRPr="0008140D">
        <w:t>$11</w:t>
      </w:r>
      <w:r w:rsidRPr="0008140D">
        <w:rPr>
          <w:rFonts w:hint="cs"/>
        </w:rPr>
        <w:t> </w:t>
      </w:r>
      <w:r w:rsidRPr="0008140D">
        <w:t>million</w:t>
      </w:r>
      <w:r>
        <w:t xml:space="preserve"> to upgrade visitor facilities and infrastructure in the You Yangs (Wurdi Youang) and Serendip Sanctuary, </w:t>
      </w:r>
      <w:r w:rsidRPr="0008140D">
        <w:t>$10 million</w:t>
      </w:r>
      <w:r>
        <w:t xml:space="preserve"> to establish a Green Links fund for the revegetation and regeneration of waterways, </w:t>
      </w:r>
      <w:r w:rsidRPr="0008140D">
        <w:t>$9.3 million</w:t>
      </w:r>
      <w:r>
        <w:t xml:space="preserve"> for not-for-profit and community veterinary clinics, pet shelters, and animal rescue and rehoming organisations</w:t>
      </w:r>
      <w:r w:rsidRPr="0008140D">
        <w:t xml:space="preserve"> and $9.2 million</w:t>
      </w:r>
      <w:r>
        <w:t xml:space="preserve"> for wildlife protection programs.</w:t>
      </w:r>
    </w:p>
    <w:p w14:paraId="2C6F9F75" w14:textId="77777777" w:rsidR="00E01C85" w:rsidRPr="003F3FF5" w:rsidRDefault="00E01C85" w:rsidP="00E01C85">
      <w:pPr>
        <w:pStyle w:val="Heading20"/>
      </w:pPr>
      <w:r w:rsidRPr="003F3FF5">
        <w:t>Rural and regional Victoria</w:t>
      </w:r>
    </w:p>
    <w:p w14:paraId="51450798" w14:textId="75954987" w:rsidR="00E01C85" w:rsidRPr="00027162" w:rsidRDefault="00E01C85" w:rsidP="00E01C85">
      <w:pPr>
        <w:keepNext/>
        <w:ind w:right="151"/>
      </w:pPr>
      <w:r w:rsidRPr="00027162">
        <w:t xml:space="preserve">The </w:t>
      </w:r>
      <w:r>
        <w:rPr>
          <w:i/>
          <w:iCs/>
        </w:rPr>
        <w:t>2023</w:t>
      </w:r>
      <w:r>
        <w:rPr>
          <w:i/>
          <w:iCs/>
        </w:rPr>
        <w:noBreakHyphen/>
        <w:t>24 B</w:t>
      </w:r>
      <w:r w:rsidRPr="00701F7F">
        <w:rPr>
          <w:i/>
        </w:rPr>
        <w:t>udget</w:t>
      </w:r>
      <w:r w:rsidRPr="00027162">
        <w:t xml:space="preserve"> invests </w:t>
      </w:r>
      <w:r>
        <w:t xml:space="preserve">more than </w:t>
      </w:r>
      <w:r w:rsidRPr="00A97038">
        <w:t>$5 billion</w:t>
      </w:r>
      <w:r w:rsidRPr="00027162">
        <w:t xml:space="preserve"> in regional Victoria. This builds on the</w:t>
      </w:r>
      <w:r>
        <w:t xml:space="preserve"> </w:t>
      </w:r>
      <w:r w:rsidRPr="00A97038">
        <w:t>$36 billion</w:t>
      </w:r>
      <w:r w:rsidRPr="00027162">
        <w:t xml:space="preserve"> in funding previously announced by the Government since </w:t>
      </w:r>
      <w:r w:rsidRPr="00701F7F">
        <w:rPr>
          <w:iCs/>
        </w:rPr>
        <w:t>December</w:t>
      </w:r>
      <w:r w:rsidRPr="00701F7F">
        <w:t xml:space="preserve"> </w:t>
      </w:r>
      <w:r w:rsidRPr="0008140D">
        <w:t>2014</w:t>
      </w:r>
      <w:r w:rsidRPr="00027162">
        <w:t>.</w:t>
      </w:r>
    </w:p>
    <w:p w14:paraId="604145FB" w14:textId="77777777" w:rsidR="00E01C85" w:rsidRDefault="00E01C85" w:rsidP="00E01C85">
      <w:r>
        <w:t xml:space="preserve">Regional Victorians will benefit from boosts to Victoria’s health and aged care system. This includes </w:t>
      </w:r>
      <w:r w:rsidRPr="0008140D">
        <w:t>$50</w:t>
      </w:r>
      <w:r w:rsidRPr="0008140D">
        <w:rPr>
          <w:rFonts w:hint="cs"/>
        </w:rPr>
        <w:t> </w:t>
      </w:r>
      <w:r w:rsidRPr="0008140D">
        <w:t>million</w:t>
      </w:r>
      <w:r>
        <w:t xml:space="preserve"> to continue operating local public health units across regional Victoria, and </w:t>
      </w:r>
      <w:r w:rsidRPr="003E19F0">
        <w:t>$162 million</w:t>
      </w:r>
      <w:r>
        <w:t xml:space="preserve"> to build three new public sector residential aged care facilities in Cohuna, Maffra and Numurkah, delivering better aged care service for regional Victorians.</w:t>
      </w:r>
    </w:p>
    <w:p w14:paraId="4326A060" w14:textId="77777777" w:rsidR="00E01C85" w:rsidRDefault="00E01C85" w:rsidP="00E01C85">
      <w:r>
        <w:t xml:space="preserve">The Government is providing </w:t>
      </w:r>
      <w:r w:rsidRPr="009E3A4D">
        <w:t>$32</w:t>
      </w:r>
      <w:r w:rsidRPr="009E3A4D">
        <w:rPr>
          <w:rFonts w:hint="cs"/>
        </w:rPr>
        <w:t> </w:t>
      </w:r>
      <w:r w:rsidRPr="009E3A4D">
        <w:t>million</w:t>
      </w:r>
      <w:r>
        <w:t xml:space="preserve"> to retain and attract teachers across regional Victoria, including an allowance for pre</w:t>
      </w:r>
      <w:r>
        <w:noBreakHyphen/>
        <w:t xml:space="preserve">service teachers to undertake placements in regional and remote schools. </w:t>
      </w:r>
      <w:r w:rsidRPr="009E3A4D">
        <w:t>$11 million</w:t>
      </w:r>
      <w:r>
        <w:t xml:space="preserve"> will provide scholarships to encourage final year speech pathology and occupational therapy degree students, and students undertaking a Certificate IV in Disability, to work in regional Victoria. </w:t>
      </w:r>
    </w:p>
    <w:p w14:paraId="3BE355D2" w14:textId="6A43A498" w:rsidR="00E01C85" w:rsidRDefault="00E01C85" w:rsidP="00E01C85">
      <w:r>
        <w:t xml:space="preserve">The budget is investing </w:t>
      </w:r>
      <w:r w:rsidRPr="0008140D">
        <w:t>$601 million</w:t>
      </w:r>
      <w:r>
        <w:t xml:space="preserve"> to build another 23 new Victorian</w:t>
      </w:r>
      <w:r>
        <w:noBreakHyphen/>
        <w:t xml:space="preserve">made VLocity trains, boosting the reliability and capacity of our regional network. In addition, </w:t>
      </w:r>
      <w:r w:rsidRPr="003E19F0">
        <w:t>$219 million</w:t>
      </w:r>
      <w:r>
        <w:t xml:space="preserve"> is provided to deliver additional train services across Victoria, including extra</w:t>
      </w:r>
      <w:r w:rsidR="00711A2B">
        <w:t> </w:t>
      </w:r>
      <w:r>
        <w:t xml:space="preserve">weekend services on major regional train lines. </w:t>
      </w:r>
    </w:p>
    <w:p w14:paraId="1B60360E" w14:textId="77777777" w:rsidR="00E01C85" w:rsidRPr="00C74BD4" w:rsidRDefault="00E01C85" w:rsidP="00E01C85">
      <w:r w:rsidRPr="0008140D">
        <w:t>$32 million</w:t>
      </w:r>
      <w:r>
        <w:t xml:space="preserve"> for the Go Fishing Victoria program including expansion of the Arcadia and Snobs Creek fish hatcheries, </w:t>
      </w:r>
      <w:r w:rsidRPr="0008140D">
        <w:t>$27 million</w:t>
      </w:r>
      <w:r>
        <w:t xml:space="preserve"> for recreational boating infrastructure improvements and to develop a new boating facility at Tarago Reservoir, and </w:t>
      </w:r>
      <w:r w:rsidRPr="00F31E21">
        <w:t>$3.9 million</w:t>
      </w:r>
      <w:r>
        <w:t xml:space="preserve"> to halve camping fees at national and state parks to encourage</w:t>
      </w:r>
      <w:r w:rsidDel="004F4430">
        <w:t xml:space="preserve"> more </w:t>
      </w:r>
      <w:r>
        <w:t xml:space="preserve">Victorians to visit regional areas. </w:t>
      </w:r>
    </w:p>
    <w:p w14:paraId="5506659E" w14:textId="77777777" w:rsidR="00E01C85" w:rsidRDefault="00E01C85" w:rsidP="00E01C85">
      <w:r>
        <w:t xml:space="preserve">This budget will support economic growth in regional centres through a range of initiatives. </w:t>
      </w:r>
      <w:r w:rsidRPr="00E23008">
        <w:t>$7.2 million</w:t>
      </w:r>
      <w:r>
        <w:t xml:space="preserve"> is provided for the Latrobe Valley Authority’s operations, supporting the management of economic transition in the region. Additional initiatives funded through this allocation include continuing the Ladder Step</w:t>
      </w:r>
      <w:r>
        <w:noBreakHyphen/>
        <w:t>Up and Inclusive Employment programs to promote</w:t>
      </w:r>
      <w:r w:rsidRPr="002F3C71">
        <w:t xml:space="preserve"> economic and community development in Gippsland</w:t>
      </w:r>
      <w:r>
        <w:t xml:space="preserve">, and </w:t>
      </w:r>
      <w:r w:rsidRPr="00E23008">
        <w:t>$6 million</w:t>
      </w:r>
      <w:r>
        <w:t xml:space="preserve"> to </w:t>
      </w:r>
      <w:r w:rsidRPr="00D76370">
        <w:t xml:space="preserve">support the delivery of </w:t>
      </w:r>
      <w:r>
        <w:t xml:space="preserve">planning works and </w:t>
      </w:r>
      <w:r w:rsidRPr="00D76370">
        <w:t xml:space="preserve">infrastructure </w:t>
      </w:r>
      <w:r>
        <w:t>in</w:t>
      </w:r>
      <w:r w:rsidRPr="00D76370">
        <w:t xml:space="preserve"> the </w:t>
      </w:r>
      <w:r>
        <w:t>Bendigo Regional Employment Precinct.</w:t>
      </w:r>
      <w:r>
        <w:rPr>
          <w:shd w:val="clear" w:color="auto" w:fill="FFFFFF"/>
        </w:rPr>
        <w:t xml:space="preserve"> The Tiny Towns Fund will also provide </w:t>
      </w:r>
      <w:r w:rsidRPr="00E23008">
        <w:t>$10 million</w:t>
      </w:r>
      <w:r>
        <w:t xml:space="preserve"> in</w:t>
      </w:r>
      <w:r w:rsidRPr="00DE48C2">
        <w:t xml:space="preserve"> grants to eligible local organisations and councils in towns with </w:t>
      </w:r>
      <w:r>
        <w:t>fewer than</w:t>
      </w:r>
      <w:r w:rsidRPr="00DE48C2">
        <w:t xml:space="preserve"> 5</w:t>
      </w:r>
      <w:r>
        <w:t> </w:t>
      </w:r>
      <w:r w:rsidRPr="00DE48C2">
        <w:t>000</w:t>
      </w:r>
      <w:r>
        <w:t xml:space="preserve"> people.</w:t>
      </w:r>
    </w:p>
    <w:p w14:paraId="71753084" w14:textId="77777777" w:rsidR="00E01C85" w:rsidRPr="00ED728D" w:rsidRDefault="00E01C85" w:rsidP="00E01C85">
      <w:pPr>
        <w:keepNext/>
      </w:pPr>
      <w:r w:rsidRPr="00437797">
        <w:t>Building</w:t>
      </w:r>
      <w:r>
        <w:t xml:space="preserve"> on the </w:t>
      </w:r>
      <w:r w:rsidRPr="00E23008">
        <w:t>$1.2 billion</w:t>
      </w:r>
      <w:r>
        <w:t xml:space="preserve"> funded since 2015-16, the Government is providing </w:t>
      </w:r>
      <w:r w:rsidRPr="00E23008">
        <w:t>$31 million</w:t>
      </w:r>
      <w:r>
        <w:t xml:space="preserve"> to back producers in the food and beverage industry, through the continuation of grant programs. An additional </w:t>
      </w:r>
      <w:r w:rsidRPr="00E23008">
        <w:t>$17 million</w:t>
      </w:r>
      <w:r>
        <w:t xml:space="preserve"> is invested </w:t>
      </w:r>
      <w:r w:rsidDel="00C009BD">
        <w:t xml:space="preserve">for </w:t>
      </w:r>
      <w:r>
        <w:t>enhanced biosecurity protections.</w:t>
      </w:r>
    </w:p>
    <w:p w14:paraId="37D33B27" w14:textId="77777777" w:rsidR="00E01C85" w:rsidRPr="003F3FF5" w:rsidRDefault="00E01C85" w:rsidP="00E01C85">
      <w:pPr>
        <w:rPr>
          <w:highlight w:val="yellow"/>
        </w:rPr>
      </w:pPr>
      <w:r>
        <w:t xml:space="preserve">Recovery continues following the devastating floods of 2022. The Government is investing more than </w:t>
      </w:r>
      <w:r w:rsidRPr="00E23008">
        <w:t>$</w:t>
      </w:r>
      <w:r>
        <w:t>677</w:t>
      </w:r>
      <w:r w:rsidRPr="00E23008">
        <w:t> </w:t>
      </w:r>
      <w:r>
        <w:t>m</w:t>
      </w:r>
      <w:r w:rsidRPr="00E23008">
        <w:t>illion</w:t>
      </w:r>
      <w:r>
        <w:t xml:space="preserve"> to meet the emergency response and recovery needs of flood</w:t>
      </w:r>
      <w:r>
        <w:noBreakHyphen/>
        <w:t xml:space="preserve">affected communities. This includes early intervention and psychological services to support the mental health of communities affected by floods and disasters, support to councils for flood recovery programs, continuing the communications program on flood recovery, and covering emergency services response costs. Additionally, there will be repairs to the Victorian State Emergency Services Emergency Hubs at Rochester and Heathcote, replacement of the flood impacted Rochester Police Station and support to councils to undertake secondary impact statements. Funding was also provided for additional flood recovery support programs that are yet to be agreed with the Commonwealth on eligibility for cost sharing. </w:t>
      </w:r>
    </w:p>
    <w:p w14:paraId="3D91231B" w14:textId="77777777" w:rsidR="00E01C85" w:rsidRPr="00EE744E" w:rsidRDefault="00E01C85" w:rsidP="00E01C85"/>
    <w:p w14:paraId="41730244" w14:textId="77777777" w:rsidR="00E01C85" w:rsidRDefault="00E01C85" w:rsidP="00DC479B">
      <w:pPr>
        <w:sectPr w:rsidR="00E01C85" w:rsidSect="0080018A">
          <w:footerReference w:type="even" r:id="rId27"/>
          <w:footerReference w:type="default" r:id="rId28"/>
          <w:type w:val="oddPage"/>
          <w:pgSz w:w="9979" w:h="14175" w:code="34"/>
          <w:pgMar w:top="1134" w:right="1134" w:bottom="1134" w:left="1134" w:header="624" w:footer="567" w:gutter="0"/>
          <w:pgNumType w:start="1"/>
          <w:cols w:space="708"/>
          <w:docGrid w:linePitch="360"/>
        </w:sectPr>
      </w:pPr>
    </w:p>
    <w:p w14:paraId="7D0FC3C7" w14:textId="77777777" w:rsidR="00E01C85" w:rsidRDefault="00E01C85" w:rsidP="00E01C85">
      <w:pPr>
        <w:pStyle w:val="ChapterHeading"/>
      </w:pPr>
      <w:bookmarkStart w:id="9" w:name="_Toc135331243"/>
      <w:r>
        <w:t>Chapter 2 – Economic context</w:t>
      </w:r>
      <w:bookmarkEnd w:id="9"/>
    </w:p>
    <w:p w14:paraId="60D6A453" w14:textId="77777777" w:rsidR="00E01C85" w:rsidRDefault="00E01C85" w:rsidP="007B1F83">
      <w:pPr>
        <w:pStyle w:val="ShadedBoxBullet"/>
      </w:pPr>
      <w:bookmarkStart w:id="10" w:name="_Hlk67656980"/>
      <w:bookmarkStart w:id="11" w:name="_Hlk67652146"/>
      <w:bookmarkStart w:id="12" w:name="_Toc56718736"/>
      <w:r>
        <w:t>Victoria’s economy is experiencing strong growth, with gross state product well above pre</w:t>
      </w:r>
      <w:r>
        <w:noBreakHyphen/>
        <w:t xml:space="preserve">pandemic levels. </w:t>
      </w:r>
    </w:p>
    <w:p w14:paraId="256AE7E2" w14:textId="77777777" w:rsidR="00E01C85" w:rsidRPr="00F675B3" w:rsidRDefault="00E01C85" w:rsidP="007B1F83">
      <w:pPr>
        <w:pStyle w:val="ShadedBoxBullet"/>
      </w:pPr>
      <w:r>
        <w:t>Around a record share of working</w:t>
      </w:r>
      <w:r>
        <w:noBreakHyphen/>
        <w:t>age Victorians are employed</w:t>
      </w:r>
      <w:r w:rsidRPr="004B143E">
        <w:t xml:space="preserve"> </w:t>
      </w:r>
      <w:r>
        <w:t>and</w:t>
      </w:r>
      <w:r w:rsidRPr="004B143E">
        <w:t xml:space="preserve"> </w:t>
      </w:r>
      <w:r>
        <w:t xml:space="preserve">demand for labour is very strong. The unemployment rate, which is forecast to average 3.75 per cent in </w:t>
      </w:r>
      <w:r w:rsidRPr="2D6AD4B9">
        <w:t>2022</w:t>
      </w:r>
      <w:r>
        <w:t>-</w:t>
      </w:r>
      <w:r w:rsidRPr="2D6AD4B9">
        <w:t>23</w:t>
      </w:r>
      <w:r>
        <w:t xml:space="preserve">, is at historically low levels. </w:t>
      </w:r>
    </w:p>
    <w:p w14:paraId="114E99E1" w14:textId="77777777" w:rsidR="00E01C85" w:rsidRPr="008F1B67" w:rsidRDefault="00E01C85" w:rsidP="007B1F83">
      <w:pPr>
        <w:pStyle w:val="ShadedBoxBullet"/>
      </w:pPr>
      <w:r w:rsidRPr="008F1B67">
        <w:t xml:space="preserve">The economic outlook remains positive, </w:t>
      </w:r>
      <w:r>
        <w:t>al</w:t>
      </w:r>
      <w:r w:rsidRPr="008F1B67">
        <w:t xml:space="preserve">though growth over the coming year will be tempered by higher interest rates and </w:t>
      </w:r>
      <w:r>
        <w:t xml:space="preserve">high </w:t>
      </w:r>
      <w:r w:rsidRPr="008F1B67">
        <w:t>inflation. Real economic growth is forecast to slow to 1.50</w:t>
      </w:r>
      <w:r>
        <w:t> </w:t>
      </w:r>
      <w:r w:rsidRPr="008F1B67">
        <w:t>per</w:t>
      </w:r>
      <w:r>
        <w:t> </w:t>
      </w:r>
      <w:r w:rsidRPr="008F1B67">
        <w:t>cent in 2023-24</w:t>
      </w:r>
      <w:r>
        <w:t>, following estimated solid growth of 2.75 per cent in 2022</w:t>
      </w:r>
      <w:r>
        <w:noBreakHyphen/>
        <w:t>23</w:t>
      </w:r>
      <w:r w:rsidRPr="008F1B67">
        <w:t xml:space="preserve">. </w:t>
      </w:r>
      <w:r>
        <w:t>The</w:t>
      </w:r>
      <w:r w:rsidRPr="008F1B67">
        <w:t xml:space="preserve"> unemployment rate is forecast to rise </w:t>
      </w:r>
      <w:r>
        <w:t>moderately but remain low</w:t>
      </w:r>
      <w:r w:rsidRPr="008F1B67">
        <w:t xml:space="preserve">. </w:t>
      </w:r>
    </w:p>
    <w:p w14:paraId="0F71F8E0" w14:textId="77777777" w:rsidR="00E01C85" w:rsidRPr="00C110C8" w:rsidRDefault="00E01C85" w:rsidP="007B1F83">
      <w:pPr>
        <w:pStyle w:val="ShadedBoxBullet"/>
      </w:pPr>
      <w:r>
        <w:t>High inflation is a challenge to the Victorian economy, as it is nationally and globally. Initially, the pick</w:t>
      </w:r>
      <w:r>
        <w:noBreakHyphen/>
        <w:t>up in inflation was driven by pandemic</w:t>
      </w:r>
      <w:r>
        <w:noBreakHyphen/>
        <w:t>related supply chain disruptions and compounded by Russia’s invasion of Ukraine, though high price growth is now evident across a broad range of goods and services. The Reserve Bank of Australia, along with many other countries’ central banks, has sought to contain this sharp rise in inflation by lifting interest rates sharply. Inflation, which</w:t>
      </w:r>
      <w:r w:rsidDel="005D6A04">
        <w:t xml:space="preserve"> </w:t>
      </w:r>
      <w:r>
        <w:t xml:space="preserve">has likely peaked, is forecast to decline gradually over coming years. </w:t>
      </w:r>
    </w:p>
    <w:p w14:paraId="22655C54" w14:textId="77777777" w:rsidR="00E01C85" w:rsidRPr="00256977" w:rsidRDefault="00E01C85" w:rsidP="007B1F83">
      <w:pPr>
        <w:pStyle w:val="ShadedBoxBullet"/>
      </w:pPr>
      <w:r>
        <w:t>The risks to Victoria’s economy include uncertainty around the outlook for household consumption, which is anticipated to be supported by a strong labour market and high aggregate savings but tempered by high inflation and interest rates, as well as geopolitical conditions.</w:t>
      </w:r>
    </w:p>
    <w:p w14:paraId="2593C9C6" w14:textId="77777777" w:rsidR="00E01C85" w:rsidRDefault="00E01C85" w:rsidP="00E01C85">
      <w:pPr>
        <w:pStyle w:val="Heading10"/>
      </w:pPr>
      <w:bookmarkStart w:id="13" w:name="_Toc135331244"/>
      <w:bookmarkEnd w:id="10"/>
      <w:bookmarkEnd w:id="11"/>
      <w:r>
        <w:t>Victorian</w:t>
      </w:r>
      <w:r>
        <w:rPr>
          <w:caps w:val="0"/>
        </w:rPr>
        <w:t xml:space="preserve"> </w:t>
      </w:r>
      <w:r>
        <w:t>economic conditions and outlook</w:t>
      </w:r>
      <w:bookmarkEnd w:id="12"/>
      <w:bookmarkEnd w:id="13"/>
    </w:p>
    <w:p w14:paraId="31B080CE" w14:textId="2C68DE67" w:rsidR="00E01C85" w:rsidRDefault="00E01C85" w:rsidP="00E01C85">
      <w:r>
        <w:t>The Victorian economy is delivering strong economic growth. Gross state product (GSP) is estimated to be more than 8 per cent larger in 2022-23 than it was in 2018</w:t>
      </w:r>
      <w:r>
        <w:noBreakHyphen/>
        <w:t>19, before the COVID-19 pandemic. The rebound in activity has led to a very strong labour market. Since September 2020, the Victorian labour market has added</w:t>
      </w:r>
      <w:r w:rsidR="00EF68B5">
        <w:t xml:space="preserve"> almost 440 000</w:t>
      </w:r>
      <w:r>
        <w:t xml:space="preserve"> jobs, with </w:t>
      </w:r>
      <w:r w:rsidR="00EF68B5">
        <w:t>three out of four</w:t>
      </w:r>
      <w:r>
        <w:t xml:space="preserve"> of these being full</w:t>
      </w:r>
      <w:r>
        <w:noBreakHyphen/>
        <w:t>time positions. In 2022</w:t>
      </w:r>
      <w:r>
        <w:noBreakHyphen/>
        <w:t>23, the unemployment rate is expected to average a historically low 3.75 per cent, with the underemployment rate also around a 20-year low</w:t>
      </w:r>
      <w:r w:rsidDel="00390575">
        <w:t>.</w:t>
      </w:r>
    </w:p>
    <w:p w14:paraId="5B4A2A70" w14:textId="77777777" w:rsidR="00E01C85" w:rsidRDefault="00E01C85" w:rsidP="00E01C85">
      <w:r>
        <w:t>However,</w:t>
      </w:r>
      <w:r w:rsidDel="006B01CA">
        <w:t xml:space="preserve"> </w:t>
      </w:r>
      <w:r>
        <w:t>inflation has risen sharply over the past year, both domestically and globally, which has led to cost</w:t>
      </w:r>
      <w:r>
        <w:noBreakHyphen/>
        <w:t>of</w:t>
      </w:r>
      <w:r>
        <w:noBreakHyphen/>
        <w:t>living pressures for Victorian households. This inflation was initially driven by</w:t>
      </w:r>
      <w:r w:rsidDel="008D456B">
        <w:t xml:space="preserve"> </w:t>
      </w:r>
      <w:r>
        <w:t>pandemic</w:t>
      </w:r>
      <w:r>
        <w:noBreakHyphen/>
        <w:t>related supply chain disruptions, due partly to strong consumer demand, and later compounded by Russia’s invasion of Ukraine. However, inflation pressures are now evident across a broader range of goods and services.</w:t>
      </w:r>
      <w:r w:rsidDel="00FB27D8">
        <w:t xml:space="preserve"> </w:t>
      </w:r>
      <w:r>
        <w:t>These trends are also apparent across many major developed economies, and have prompted central banks, including the Reserve Bank of Australia (RBA), to raise interest rates sharply to seek to contain inflation.</w:t>
      </w:r>
    </w:p>
    <w:p w14:paraId="474AEF17" w14:textId="77777777" w:rsidR="00E01C85" w:rsidRDefault="00E01C85" w:rsidP="00E01C85">
      <w:r>
        <w:t xml:space="preserve">The RBA began raising interest rates in May 2022, taking official interest rates from 0.10 per cent to </w:t>
      </w:r>
      <w:r w:rsidRPr="00391B9B">
        <w:t>3.</w:t>
      </w:r>
      <w:r>
        <w:t xml:space="preserve">85 per cent in 12 months. As a result of high inflation and higher interest rates, economic activity is expected to moderate over the coming year, led by weaker household consumption, with Victoria’s GSP growth forecast to moderate to </w:t>
      </w:r>
      <w:r w:rsidRPr="00042103">
        <w:t>1.50</w:t>
      </w:r>
      <w:r>
        <w:t> per cent in 2023</w:t>
      </w:r>
      <w:r>
        <w:noBreakHyphen/>
        <w:t xml:space="preserve">24, before gradually rising in later years. </w:t>
      </w:r>
    </w:p>
    <w:p w14:paraId="20C32E7B" w14:textId="7D89216F" w:rsidR="00E01C85" w:rsidRDefault="00E01C85" w:rsidP="00E01C85">
      <w:r>
        <w:t>Nonetheless, the Victorian economy is forecast to keep growing and creating jobs. Growth in 2023</w:t>
      </w:r>
      <w:r>
        <w:noBreakHyphen/>
        <w:t>24 will be supported by a strong labour market and the large pool of savings that many households accumulated during the COVID-19 pandemic. These will continue to underpin consumer spending, although real consumption growth will be tempered by higher living costs. Business investment intentions are elevated, and there is a</w:t>
      </w:r>
      <w:r w:rsidR="00711A2B">
        <w:t> </w:t>
      </w:r>
      <w:r>
        <w:t xml:space="preserve">substantial pipeline of both private and public construction projects that will continue to support economic activity over the coming year. In addition, the ongoing recovery of international migration, including the return of international students, will underpin solid population growth that will support overall spending and activity. </w:t>
      </w:r>
    </w:p>
    <w:p w14:paraId="7ADAF873" w14:textId="77777777" w:rsidR="00E01C85" w:rsidRDefault="00E01C85" w:rsidP="00E01C85">
      <w:r>
        <w:t xml:space="preserve">Table 2.1 sets out the economic forecasts for the </w:t>
      </w:r>
      <w:r w:rsidRPr="005932B7">
        <w:rPr>
          <w:i/>
          <w:iCs/>
        </w:rPr>
        <w:t>2023</w:t>
      </w:r>
      <w:r w:rsidRPr="005932B7">
        <w:rPr>
          <w:i/>
          <w:iCs/>
        </w:rPr>
        <w:noBreakHyphen/>
        <w:t>24 Budget</w:t>
      </w:r>
      <w:r>
        <w:t>. Although risks associated with the COVID</w:t>
      </w:r>
      <w:r>
        <w:noBreakHyphen/>
        <w:t xml:space="preserve">19 pandemic have eased, the economic forecasts remain subject to a high degree of uncertainty. Risks to the outlook are discussed later in this chapter. </w:t>
      </w:r>
    </w:p>
    <w:p w14:paraId="3D7A56D4" w14:textId="77777777" w:rsidR="00E01C85" w:rsidRPr="001E56F8" w:rsidRDefault="00E01C85" w:rsidP="00E01C85">
      <w:pPr>
        <w:pStyle w:val="TableHeading"/>
      </w:pPr>
      <w:bookmarkStart w:id="14" w:name="_Hlk102039831"/>
      <w:r>
        <w:t>Table 2.1:</w:t>
      </w:r>
      <w:r>
        <w:tab/>
        <w:t>Victorian economic forecasts</w:t>
      </w:r>
      <w:r>
        <w:rPr>
          <w:vertAlign w:val="superscript"/>
        </w:rPr>
        <w:t xml:space="preserve"> (a)</w:t>
      </w:r>
    </w:p>
    <w:tbl>
      <w:tblPr>
        <w:tblStyle w:val="DTFTableNumeric"/>
        <w:tblW w:w="7658" w:type="dxa"/>
        <w:tblLayout w:type="fixed"/>
        <w:tblLook w:val="04A0" w:firstRow="1" w:lastRow="0" w:firstColumn="1" w:lastColumn="0" w:noHBand="0" w:noVBand="1"/>
      </w:tblPr>
      <w:tblGrid>
        <w:gridCol w:w="2625"/>
        <w:gridCol w:w="838"/>
        <w:gridCol w:w="839"/>
        <w:gridCol w:w="839"/>
        <w:gridCol w:w="839"/>
        <w:gridCol w:w="839"/>
        <w:gridCol w:w="839"/>
      </w:tblGrid>
      <w:tr w:rsidR="00E01C85" w14:paraId="42FB4055" w14:textId="77777777" w:rsidTr="009835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hideMark/>
          </w:tcPr>
          <w:p w14:paraId="1961D105" w14:textId="77777777" w:rsidR="00E01C85" w:rsidRDefault="00E01C85" w:rsidP="0098354D">
            <w:pPr>
              <w:rPr>
                <w:lang w:eastAsia="en-AU"/>
              </w:rPr>
            </w:pPr>
            <w:r>
              <w:rPr>
                <w:lang w:val="en-US" w:eastAsia="en-AU"/>
              </w:rPr>
              <w:t xml:space="preserve"> </w:t>
            </w:r>
          </w:p>
        </w:tc>
        <w:tc>
          <w:tcPr>
            <w:tcW w:w="838" w:type="dxa"/>
            <w:hideMark/>
          </w:tcPr>
          <w:p w14:paraId="589C63AA" w14:textId="77777777" w:rsidR="00E01C85" w:rsidRDefault="00E01C85" w:rsidP="0098354D">
            <w:pPr>
              <w:cnfStyle w:val="100000000000" w:firstRow="1" w:lastRow="0" w:firstColumn="0" w:lastColumn="0" w:oddVBand="0" w:evenVBand="0" w:oddHBand="0" w:evenHBand="0" w:firstRowFirstColumn="0" w:firstRowLastColumn="0" w:lastRowFirstColumn="0" w:lastRowLastColumn="0"/>
              <w:rPr>
                <w:color w:val="FFFFFF"/>
                <w:lang w:eastAsia="en-AU"/>
              </w:rPr>
            </w:pPr>
            <w:r>
              <w:rPr>
                <w:color w:val="FFFFFF"/>
                <w:lang w:eastAsia="en-AU"/>
              </w:rPr>
              <w:t>2021</w:t>
            </w:r>
            <w:r>
              <w:rPr>
                <w:color w:val="FFFFFF"/>
                <w:lang w:eastAsia="en-AU"/>
              </w:rPr>
              <w:noBreakHyphen/>
              <w:t>22</w:t>
            </w:r>
          </w:p>
          <w:p w14:paraId="02A8491A" w14:textId="77777777" w:rsidR="00E01C85" w:rsidRDefault="00E01C85" w:rsidP="0098354D">
            <w:pPr>
              <w:cnfStyle w:val="100000000000" w:firstRow="1" w:lastRow="0" w:firstColumn="0" w:lastColumn="0" w:oddVBand="0" w:evenVBand="0" w:oddHBand="0" w:evenHBand="0" w:firstRowFirstColumn="0" w:firstRowLastColumn="0" w:lastRowFirstColumn="0" w:lastRowLastColumn="0"/>
              <w:rPr>
                <w:color w:val="FFFFFF"/>
                <w:lang w:eastAsia="en-AU"/>
              </w:rPr>
            </w:pPr>
            <w:r>
              <w:rPr>
                <w:color w:val="FFFFFF"/>
                <w:lang w:eastAsia="en-AU"/>
              </w:rPr>
              <w:t>actual</w:t>
            </w:r>
          </w:p>
        </w:tc>
        <w:tc>
          <w:tcPr>
            <w:tcW w:w="839" w:type="dxa"/>
            <w:hideMark/>
          </w:tcPr>
          <w:p w14:paraId="0D0923D8" w14:textId="77777777" w:rsidR="00E01C85" w:rsidRDefault="00E01C85" w:rsidP="0098354D">
            <w:pPr>
              <w:cnfStyle w:val="100000000000" w:firstRow="1" w:lastRow="0" w:firstColumn="0" w:lastColumn="0" w:oddVBand="0" w:evenVBand="0" w:oddHBand="0" w:evenHBand="0" w:firstRowFirstColumn="0" w:firstRowLastColumn="0" w:lastRowFirstColumn="0" w:lastRowLastColumn="0"/>
              <w:rPr>
                <w:color w:val="FFFFFF"/>
                <w:lang w:eastAsia="en-AU"/>
              </w:rPr>
            </w:pPr>
            <w:r>
              <w:rPr>
                <w:color w:val="FFFFFF"/>
                <w:lang w:eastAsia="en-AU"/>
              </w:rPr>
              <w:t>2022</w:t>
            </w:r>
            <w:r>
              <w:rPr>
                <w:color w:val="FFFFFF"/>
                <w:lang w:eastAsia="en-AU"/>
              </w:rPr>
              <w:noBreakHyphen/>
              <w:t>23</w:t>
            </w:r>
          </w:p>
          <w:p w14:paraId="32B0CE31" w14:textId="77777777" w:rsidR="00E01C85" w:rsidRDefault="00E01C85" w:rsidP="0098354D">
            <w:pPr>
              <w:cnfStyle w:val="100000000000" w:firstRow="1" w:lastRow="0" w:firstColumn="0" w:lastColumn="0" w:oddVBand="0" w:evenVBand="0" w:oddHBand="0" w:evenHBand="0" w:firstRowFirstColumn="0" w:firstRowLastColumn="0" w:lastRowFirstColumn="0" w:lastRowLastColumn="0"/>
              <w:rPr>
                <w:color w:val="FFFFFF"/>
                <w:lang w:eastAsia="en-AU"/>
              </w:rPr>
            </w:pPr>
            <w:r>
              <w:rPr>
                <w:color w:val="FFFFFF"/>
                <w:lang w:eastAsia="en-AU"/>
              </w:rPr>
              <w:t>forecast</w:t>
            </w:r>
          </w:p>
        </w:tc>
        <w:tc>
          <w:tcPr>
            <w:tcW w:w="839" w:type="dxa"/>
            <w:hideMark/>
          </w:tcPr>
          <w:p w14:paraId="43E30B87" w14:textId="77777777" w:rsidR="00E01C85" w:rsidRDefault="00E01C85" w:rsidP="0098354D">
            <w:pPr>
              <w:cnfStyle w:val="100000000000" w:firstRow="1" w:lastRow="0" w:firstColumn="0" w:lastColumn="0" w:oddVBand="0" w:evenVBand="0" w:oddHBand="0" w:evenHBand="0" w:firstRowFirstColumn="0" w:firstRowLastColumn="0" w:lastRowFirstColumn="0" w:lastRowLastColumn="0"/>
              <w:rPr>
                <w:color w:val="FFFFFF" w:themeColor="background1"/>
                <w:lang w:eastAsia="en-AU"/>
              </w:rPr>
            </w:pPr>
            <w:r>
              <w:rPr>
                <w:color w:val="FFFFFF" w:themeColor="background1"/>
                <w:lang w:eastAsia="en-AU"/>
              </w:rPr>
              <w:t>2023</w:t>
            </w:r>
            <w:r>
              <w:rPr>
                <w:color w:val="FFFFFF" w:themeColor="background1"/>
                <w:lang w:eastAsia="en-AU"/>
              </w:rPr>
              <w:noBreakHyphen/>
              <w:t>24</w:t>
            </w:r>
          </w:p>
          <w:p w14:paraId="783E0D8C" w14:textId="77777777" w:rsidR="00E01C85" w:rsidRDefault="00E01C85" w:rsidP="0098354D">
            <w:pPr>
              <w:cnfStyle w:val="100000000000" w:firstRow="1" w:lastRow="0" w:firstColumn="0" w:lastColumn="0" w:oddVBand="0" w:evenVBand="0" w:oddHBand="0" w:evenHBand="0" w:firstRowFirstColumn="0" w:firstRowLastColumn="0" w:lastRowFirstColumn="0" w:lastRowLastColumn="0"/>
              <w:rPr>
                <w:color w:val="FFFFFF"/>
                <w:lang w:eastAsia="en-AU"/>
              </w:rPr>
            </w:pPr>
            <w:r>
              <w:rPr>
                <w:color w:val="FFFFFF"/>
                <w:lang w:eastAsia="en-AU"/>
              </w:rPr>
              <w:t>forecast</w:t>
            </w:r>
          </w:p>
        </w:tc>
        <w:tc>
          <w:tcPr>
            <w:tcW w:w="839" w:type="dxa"/>
            <w:hideMark/>
          </w:tcPr>
          <w:p w14:paraId="7F9AB1BC" w14:textId="77777777" w:rsidR="00E01C85" w:rsidRDefault="00E01C85" w:rsidP="0098354D">
            <w:pPr>
              <w:cnfStyle w:val="100000000000" w:firstRow="1" w:lastRow="0" w:firstColumn="0" w:lastColumn="0" w:oddVBand="0" w:evenVBand="0" w:oddHBand="0" w:evenHBand="0" w:firstRowFirstColumn="0" w:firstRowLastColumn="0" w:lastRowFirstColumn="0" w:lastRowLastColumn="0"/>
              <w:rPr>
                <w:color w:val="FFFFFF" w:themeColor="background1"/>
                <w:lang w:eastAsia="en-AU"/>
              </w:rPr>
            </w:pPr>
            <w:r>
              <w:rPr>
                <w:color w:val="FFFFFF" w:themeColor="background1"/>
                <w:lang w:eastAsia="en-AU"/>
              </w:rPr>
              <w:t>2024</w:t>
            </w:r>
            <w:r>
              <w:rPr>
                <w:color w:val="FFFFFF" w:themeColor="background1"/>
                <w:lang w:eastAsia="en-AU"/>
              </w:rPr>
              <w:noBreakHyphen/>
              <w:t>25</w:t>
            </w:r>
          </w:p>
          <w:p w14:paraId="6CA17F7E" w14:textId="77777777" w:rsidR="00E01C85" w:rsidRDefault="00E01C85" w:rsidP="0098354D">
            <w:pPr>
              <w:cnfStyle w:val="100000000000" w:firstRow="1" w:lastRow="0" w:firstColumn="0" w:lastColumn="0" w:oddVBand="0" w:evenVBand="0" w:oddHBand="0" w:evenHBand="0" w:firstRowFirstColumn="0" w:firstRowLastColumn="0" w:lastRowFirstColumn="0" w:lastRowLastColumn="0"/>
              <w:rPr>
                <w:color w:val="FFFFFF" w:themeColor="background1"/>
                <w:lang w:eastAsia="en-AU"/>
              </w:rPr>
            </w:pPr>
            <w:r>
              <w:rPr>
                <w:color w:val="FFFFFF" w:themeColor="background1"/>
                <w:lang w:eastAsia="en-AU"/>
              </w:rPr>
              <w:t>forecast</w:t>
            </w:r>
          </w:p>
        </w:tc>
        <w:tc>
          <w:tcPr>
            <w:tcW w:w="839" w:type="dxa"/>
            <w:hideMark/>
          </w:tcPr>
          <w:p w14:paraId="0AA4EAE7" w14:textId="77777777" w:rsidR="00E01C85" w:rsidRDefault="00E01C85" w:rsidP="0098354D">
            <w:pPr>
              <w:cnfStyle w:val="100000000000" w:firstRow="1" w:lastRow="0" w:firstColumn="0" w:lastColumn="0" w:oddVBand="0" w:evenVBand="0" w:oddHBand="0" w:evenHBand="0" w:firstRowFirstColumn="0" w:firstRowLastColumn="0" w:lastRowFirstColumn="0" w:lastRowLastColumn="0"/>
              <w:rPr>
                <w:color w:val="FFFFFF" w:themeColor="background1"/>
                <w:lang w:eastAsia="en-AU"/>
              </w:rPr>
            </w:pPr>
            <w:r>
              <w:rPr>
                <w:color w:val="FFFFFF" w:themeColor="background1"/>
                <w:lang w:eastAsia="en-AU"/>
              </w:rPr>
              <w:t>2025</w:t>
            </w:r>
            <w:r>
              <w:rPr>
                <w:color w:val="FFFFFF" w:themeColor="background1"/>
                <w:lang w:eastAsia="en-AU"/>
              </w:rPr>
              <w:noBreakHyphen/>
              <w:t>26</w:t>
            </w:r>
          </w:p>
          <w:p w14:paraId="73D46992" w14:textId="77777777" w:rsidR="00E01C85" w:rsidRDefault="00E01C85" w:rsidP="0098354D">
            <w:pPr>
              <w:cnfStyle w:val="100000000000" w:firstRow="1" w:lastRow="0" w:firstColumn="0" w:lastColumn="0" w:oddVBand="0" w:evenVBand="0" w:oddHBand="0" w:evenHBand="0" w:firstRowFirstColumn="0" w:firstRowLastColumn="0" w:lastRowFirstColumn="0" w:lastRowLastColumn="0"/>
              <w:rPr>
                <w:color w:val="FFFFFF" w:themeColor="background1"/>
                <w:lang w:eastAsia="en-AU"/>
              </w:rPr>
            </w:pPr>
            <w:r>
              <w:rPr>
                <w:color w:val="FFFFFF" w:themeColor="background1"/>
                <w:lang w:eastAsia="en-AU"/>
              </w:rPr>
              <w:t>projection</w:t>
            </w:r>
          </w:p>
        </w:tc>
        <w:tc>
          <w:tcPr>
            <w:tcW w:w="839" w:type="dxa"/>
          </w:tcPr>
          <w:p w14:paraId="36E2F515" w14:textId="77777777" w:rsidR="00E01C85" w:rsidRDefault="00E01C85" w:rsidP="0098354D">
            <w:pPr>
              <w:cnfStyle w:val="100000000000" w:firstRow="1" w:lastRow="0" w:firstColumn="0" w:lastColumn="0" w:oddVBand="0" w:evenVBand="0" w:oddHBand="0" w:evenHBand="0" w:firstRowFirstColumn="0" w:firstRowLastColumn="0" w:lastRowFirstColumn="0" w:lastRowLastColumn="0"/>
              <w:rPr>
                <w:color w:val="FFFFFF" w:themeColor="background1"/>
                <w:lang w:eastAsia="en-AU"/>
              </w:rPr>
            </w:pPr>
            <w:r>
              <w:rPr>
                <w:color w:val="FFFFFF" w:themeColor="background1"/>
                <w:lang w:eastAsia="en-AU"/>
              </w:rPr>
              <w:t>2026</w:t>
            </w:r>
            <w:r>
              <w:rPr>
                <w:color w:val="FFFFFF" w:themeColor="background1"/>
                <w:lang w:eastAsia="en-AU"/>
              </w:rPr>
              <w:noBreakHyphen/>
              <w:t>27</w:t>
            </w:r>
          </w:p>
          <w:p w14:paraId="3BE107F6" w14:textId="77777777" w:rsidR="00E01C85" w:rsidRDefault="00E01C85" w:rsidP="0098354D">
            <w:pPr>
              <w:cnfStyle w:val="100000000000" w:firstRow="1" w:lastRow="0" w:firstColumn="0" w:lastColumn="0" w:oddVBand="0" w:evenVBand="0" w:oddHBand="0" w:evenHBand="0" w:firstRowFirstColumn="0" w:firstRowLastColumn="0" w:lastRowFirstColumn="0" w:lastRowLastColumn="0"/>
              <w:rPr>
                <w:color w:val="FFFFFF" w:themeColor="background1"/>
                <w:lang w:eastAsia="en-AU"/>
              </w:rPr>
            </w:pPr>
            <w:r>
              <w:rPr>
                <w:color w:val="FFFFFF" w:themeColor="background1"/>
                <w:lang w:eastAsia="en-AU"/>
              </w:rPr>
              <w:t>projection</w:t>
            </w:r>
          </w:p>
        </w:tc>
      </w:tr>
      <w:tr w:rsidR="00E01C85" w14:paraId="1C46AEE3" w14:textId="77777777" w:rsidTr="0098354D">
        <w:tc>
          <w:tcPr>
            <w:cnfStyle w:val="001000000000" w:firstRow="0" w:lastRow="0" w:firstColumn="1" w:lastColumn="0" w:oddVBand="0" w:evenVBand="0" w:oddHBand="0" w:evenHBand="0" w:firstRowFirstColumn="0" w:firstRowLastColumn="0" w:lastRowFirstColumn="0" w:lastRowLastColumn="0"/>
            <w:tcW w:w="2625" w:type="dxa"/>
            <w:hideMark/>
          </w:tcPr>
          <w:p w14:paraId="3BDFE029" w14:textId="77777777" w:rsidR="00E01C85" w:rsidRDefault="00E01C85" w:rsidP="0098354D">
            <w:pPr>
              <w:rPr>
                <w:lang w:eastAsia="en-AU"/>
              </w:rPr>
            </w:pPr>
            <w:r>
              <w:rPr>
                <w:lang w:eastAsia="en-AU"/>
              </w:rPr>
              <w:t>Real gross state product</w:t>
            </w:r>
          </w:p>
        </w:tc>
        <w:tc>
          <w:tcPr>
            <w:tcW w:w="838" w:type="dxa"/>
            <w:hideMark/>
          </w:tcPr>
          <w:p w14:paraId="16A75239"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5.6</w:t>
            </w:r>
          </w:p>
        </w:tc>
        <w:tc>
          <w:tcPr>
            <w:tcW w:w="839" w:type="dxa"/>
            <w:hideMark/>
          </w:tcPr>
          <w:p w14:paraId="2C0A1991" w14:textId="77777777" w:rsidR="00E01C85" w:rsidRPr="000421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042103">
              <w:rPr>
                <w:lang w:eastAsia="en-AU"/>
              </w:rPr>
              <w:t>2.75</w:t>
            </w:r>
          </w:p>
        </w:tc>
        <w:tc>
          <w:tcPr>
            <w:tcW w:w="839" w:type="dxa"/>
            <w:hideMark/>
          </w:tcPr>
          <w:p w14:paraId="1A83A6BF" w14:textId="77777777" w:rsidR="00E01C85" w:rsidRPr="000421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042103">
              <w:rPr>
                <w:lang w:eastAsia="en-AU"/>
              </w:rPr>
              <w:t>1.50</w:t>
            </w:r>
          </w:p>
        </w:tc>
        <w:tc>
          <w:tcPr>
            <w:tcW w:w="839" w:type="dxa"/>
            <w:hideMark/>
          </w:tcPr>
          <w:p w14:paraId="47A0A369" w14:textId="77777777" w:rsidR="00E01C85" w:rsidRPr="000421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042103">
              <w:rPr>
                <w:lang w:eastAsia="en-AU"/>
              </w:rPr>
              <w:t>2.50</w:t>
            </w:r>
          </w:p>
        </w:tc>
        <w:tc>
          <w:tcPr>
            <w:tcW w:w="839" w:type="dxa"/>
            <w:hideMark/>
          </w:tcPr>
          <w:p w14:paraId="78A9CB8F" w14:textId="77777777" w:rsidR="00E01C85" w:rsidRPr="000421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042103">
              <w:rPr>
                <w:lang w:eastAsia="en-AU"/>
              </w:rPr>
              <w:t>2.75</w:t>
            </w:r>
          </w:p>
        </w:tc>
        <w:tc>
          <w:tcPr>
            <w:tcW w:w="839" w:type="dxa"/>
          </w:tcPr>
          <w:p w14:paraId="24F313AE" w14:textId="77777777" w:rsidR="00E01C85" w:rsidRPr="000421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042103">
              <w:rPr>
                <w:lang w:eastAsia="en-AU"/>
              </w:rPr>
              <w:t>2.75</w:t>
            </w:r>
          </w:p>
        </w:tc>
      </w:tr>
      <w:tr w:rsidR="00E01C85" w14:paraId="1C0E6B39" w14:textId="77777777" w:rsidTr="0098354D">
        <w:tc>
          <w:tcPr>
            <w:cnfStyle w:val="001000000000" w:firstRow="0" w:lastRow="0" w:firstColumn="1" w:lastColumn="0" w:oddVBand="0" w:evenVBand="0" w:oddHBand="0" w:evenHBand="0" w:firstRowFirstColumn="0" w:firstRowLastColumn="0" w:lastRowFirstColumn="0" w:lastRowLastColumn="0"/>
            <w:tcW w:w="2625" w:type="dxa"/>
            <w:hideMark/>
          </w:tcPr>
          <w:p w14:paraId="5EB0088A" w14:textId="77777777" w:rsidR="00E01C85" w:rsidRPr="00173003" w:rsidRDefault="00E01C85" w:rsidP="0098354D">
            <w:pPr>
              <w:rPr>
                <w:lang w:eastAsia="en-AU"/>
              </w:rPr>
            </w:pPr>
            <w:r w:rsidRPr="00173003">
              <w:rPr>
                <w:lang w:eastAsia="en-AU"/>
              </w:rPr>
              <w:t>Employment</w:t>
            </w:r>
          </w:p>
        </w:tc>
        <w:tc>
          <w:tcPr>
            <w:tcW w:w="838" w:type="dxa"/>
            <w:hideMark/>
          </w:tcPr>
          <w:p w14:paraId="22447A50" w14:textId="77777777" w:rsidR="00E01C85" w:rsidRPr="001730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173003">
              <w:rPr>
                <w:lang w:eastAsia="en-AU"/>
              </w:rPr>
              <w:t>3.9</w:t>
            </w:r>
          </w:p>
        </w:tc>
        <w:tc>
          <w:tcPr>
            <w:tcW w:w="839" w:type="dxa"/>
            <w:hideMark/>
          </w:tcPr>
          <w:p w14:paraId="38152348" w14:textId="77777777" w:rsidR="00E01C85" w:rsidRPr="001730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173003">
              <w:rPr>
                <w:lang w:eastAsia="en-AU"/>
              </w:rPr>
              <w:t>3.50</w:t>
            </w:r>
          </w:p>
        </w:tc>
        <w:tc>
          <w:tcPr>
            <w:tcW w:w="839" w:type="dxa"/>
            <w:hideMark/>
          </w:tcPr>
          <w:p w14:paraId="1DF7614B" w14:textId="77777777" w:rsidR="00E01C85" w:rsidRPr="001730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173003">
              <w:rPr>
                <w:lang w:eastAsia="en-AU"/>
              </w:rPr>
              <w:t>0.75</w:t>
            </w:r>
          </w:p>
        </w:tc>
        <w:tc>
          <w:tcPr>
            <w:tcW w:w="839" w:type="dxa"/>
            <w:hideMark/>
          </w:tcPr>
          <w:p w14:paraId="365C2F72" w14:textId="77777777" w:rsidR="00E01C85" w:rsidRPr="001730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173003">
              <w:rPr>
                <w:lang w:eastAsia="en-AU"/>
              </w:rPr>
              <w:t>1.00</w:t>
            </w:r>
          </w:p>
        </w:tc>
        <w:tc>
          <w:tcPr>
            <w:tcW w:w="839" w:type="dxa"/>
            <w:hideMark/>
          </w:tcPr>
          <w:p w14:paraId="34508B9D" w14:textId="7F4DA35E" w:rsidR="00E01C85" w:rsidRPr="00173003" w:rsidRDefault="00E01C85" w:rsidP="003A7383">
            <w:pPr>
              <w:cnfStyle w:val="000000000000" w:firstRow="0" w:lastRow="0" w:firstColumn="0" w:lastColumn="0" w:oddVBand="0" w:evenVBand="0" w:oddHBand="0" w:evenHBand="0" w:firstRowFirstColumn="0" w:firstRowLastColumn="0" w:lastRowFirstColumn="0" w:lastRowLastColumn="0"/>
              <w:rPr>
                <w:lang w:eastAsia="en-AU"/>
              </w:rPr>
            </w:pPr>
            <w:r w:rsidRPr="00173003">
              <w:rPr>
                <w:lang w:eastAsia="en-AU"/>
              </w:rPr>
              <w:t>1.75</w:t>
            </w:r>
          </w:p>
        </w:tc>
        <w:tc>
          <w:tcPr>
            <w:tcW w:w="839" w:type="dxa"/>
          </w:tcPr>
          <w:p w14:paraId="1108DCE1" w14:textId="77777777" w:rsidR="00E01C85" w:rsidRPr="001730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173003">
              <w:rPr>
                <w:lang w:eastAsia="en-AU"/>
              </w:rPr>
              <w:t>1.75</w:t>
            </w:r>
          </w:p>
        </w:tc>
      </w:tr>
      <w:tr w:rsidR="00E01C85" w14:paraId="17415271" w14:textId="77777777" w:rsidTr="0098354D">
        <w:tc>
          <w:tcPr>
            <w:cnfStyle w:val="001000000000" w:firstRow="0" w:lastRow="0" w:firstColumn="1" w:lastColumn="0" w:oddVBand="0" w:evenVBand="0" w:oddHBand="0" w:evenHBand="0" w:firstRowFirstColumn="0" w:firstRowLastColumn="0" w:lastRowFirstColumn="0" w:lastRowLastColumn="0"/>
            <w:tcW w:w="2625" w:type="dxa"/>
            <w:hideMark/>
          </w:tcPr>
          <w:p w14:paraId="7034281F" w14:textId="77777777" w:rsidR="00E01C85" w:rsidRPr="00173003" w:rsidRDefault="00E01C85" w:rsidP="0098354D">
            <w:pPr>
              <w:rPr>
                <w:lang w:eastAsia="en-AU"/>
              </w:rPr>
            </w:pPr>
            <w:r w:rsidRPr="00173003">
              <w:rPr>
                <w:lang w:eastAsia="en-AU"/>
              </w:rPr>
              <w:t xml:space="preserve">Unemployment rate </w:t>
            </w:r>
            <w:r w:rsidRPr="00173003">
              <w:rPr>
                <w:vertAlign w:val="superscript"/>
                <w:lang w:eastAsia="en-AU"/>
              </w:rPr>
              <w:t>(b)</w:t>
            </w:r>
          </w:p>
        </w:tc>
        <w:tc>
          <w:tcPr>
            <w:tcW w:w="838" w:type="dxa"/>
            <w:hideMark/>
          </w:tcPr>
          <w:p w14:paraId="1BF412DE" w14:textId="77777777" w:rsidR="00E01C85" w:rsidRPr="001730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173003">
              <w:rPr>
                <w:lang w:eastAsia="en-AU"/>
              </w:rPr>
              <w:t>4.3</w:t>
            </w:r>
          </w:p>
        </w:tc>
        <w:tc>
          <w:tcPr>
            <w:tcW w:w="839" w:type="dxa"/>
            <w:hideMark/>
          </w:tcPr>
          <w:p w14:paraId="7D848DCF" w14:textId="77777777" w:rsidR="00E01C85" w:rsidRPr="001730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173003">
              <w:rPr>
                <w:lang w:eastAsia="en-AU"/>
              </w:rPr>
              <w:t>3.75</w:t>
            </w:r>
          </w:p>
        </w:tc>
        <w:tc>
          <w:tcPr>
            <w:tcW w:w="839" w:type="dxa"/>
            <w:hideMark/>
          </w:tcPr>
          <w:p w14:paraId="6141431F" w14:textId="77777777" w:rsidR="00E01C85" w:rsidRPr="001730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173003">
              <w:rPr>
                <w:lang w:eastAsia="en-AU"/>
              </w:rPr>
              <w:t>4.25</w:t>
            </w:r>
          </w:p>
        </w:tc>
        <w:tc>
          <w:tcPr>
            <w:tcW w:w="839" w:type="dxa"/>
            <w:hideMark/>
          </w:tcPr>
          <w:p w14:paraId="1FB8DF18" w14:textId="77777777" w:rsidR="00E01C85" w:rsidRPr="001730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173003">
              <w:rPr>
                <w:lang w:eastAsia="en-AU"/>
              </w:rPr>
              <w:t>4.50</w:t>
            </w:r>
          </w:p>
        </w:tc>
        <w:tc>
          <w:tcPr>
            <w:tcW w:w="839" w:type="dxa"/>
            <w:hideMark/>
          </w:tcPr>
          <w:p w14:paraId="1253659A" w14:textId="77777777" w:rsidR="00E01C85" w:rsidRPr="001730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173003">
              <w:rPr>
                <w:lang w:eastAsia="en-AU"/>
              </w:rPr>
              <w:t>4.75</w:t>
            </w:r>
          </w:p>
        </w:tc>
        <w:tc>
          <w:tcPr>
            <w:tcW w:w="839" w:type="dxa"/>
          </w:tcPr>
          <w:p w14:paraId="246D7C2B" w14:textId="77777777" w:rsidR="00E01C85" w:rsidRPr="001730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173003">
              <w:rPr>
                <w:lang w:eastAsia="en-AU"/>
              </w:rPr>
              <w:t>4.75</w:t>
            </w:r>
          </w:p>
        </w:tc>
      </w:tr>
      <w:tr w:rsidR="00E01C85" w14:paraId="01A4312F" w14:textId="77777777" w:rsidTr="0098354D">
        <w:tc>
          <w:tcPr>
            <w:cnfStyle w:val="001000000000" w:firstRow="0" w:lastRow="0" w:firstColumn="1" w:lastColumn="0" w:oddVBand="0" w:evenVBand="0" w:oddHBand="0" w:evenHBand="0" w:firstRowFirstColumn="0" w:firstRowLastColumn="0" w:lastRowFirstColumn="0" w:lastRowLastColumn="0"/>
            <w:tcW w:w="2625" w:type="dxa"/>
            <w:hideMark/>
          </w:tcPr>
          <w:p w14:paraId="40048434" w14:textId="77777777" w:rsidR="00E01C85" w:rsidRDefault="00E01C85" w:rsidP="0098354D">
            <w:pPr>
              <w:rPr>
                <w:lang w:eastAsia="en-AU"/>
              </w:rPr>
            </w:pPr>
            <w:r>
              <w:rPr>
                <w:lang w:eastAsia="en-AU"/>
              </w:rPr>
              <w:t xml:space="preserve">Consumer price index </w:t>
            </w:r>
            <w:r>
              <w:rPr>
                <w:vertAlign w:val="superscript"/>
                <w:lang w:eastAsia="en-AU"/>
              </w:rPr>
              <w:t>(c)</w:t>
            </w:r>
          </w:p>
        </w:tc>
        <w:tc>
          <w:tcPr>
            <w:tcW w:w="838" w:type="dxa"/>
            <w:hideMark/>
          </w:tcPr>
          <w:p w14:paraId="08509FDA" w14:textId="77777777" w:rsidR="00E01C85" w:rsidRPr="001730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173003">
              <w:rPr>
                <w:lang w:eastAsia="en-AU"/>
              </w:rPr>
              <w:t>4.0</w:t>
            </w:r>
          </w:p>
        </w:tc>
        <w:tc>
          <w:tcPr>
            <w:tcW w:w="839" w:type="dxa"/>
            <w:hideMark/>
          </w:tcPr>
          <w:p w14:paraId="18112352" w14:textId="77777777" w:rsidR="00E01C85" w:rsidRPr="001730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173003">
              <w:rPr>
                <w:lang w:eastAsia="en-AU"/>
              </w:rPr>
              <w:t>7.00</w:t>
            </w:r>
          </w:p>
        </w:tc>
        <w:tc>
          <w:tcPr>
            <w:tcW w:w="839" w:type="dxa"/>
            <w:hideMark/>
          </w:tcPr>
          <w:p w14:paraId="6484D24F" w14:textId="77777777" w:rsidR="00E01C85" w:rsidRPr="001730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173003">
              <w:rPr>
                <w:lang w:eastAsia="en-AU"/>
              </w:rPr>
              <w:t>4.25</w:t>
            </w:r>
          </w:p>
        </w:tc>
        <w:tc>
          <w:tcPr>
            <w:tcW w:w="839" w:type="dxa"/>
            <w:hideMark/>
          </w:tcPr>
          <w:p w14:paraId="56851284" w14:textId="77777777" w:rsidR="00E01C85" w:rsidRPr="001730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173003">
              <w:rPr>
                <w:lang w:eastAsia="en-AU"/>
              </w:rPr>
              <w:t>2.75</w:t>
            </w:r>
          </w:p>
        </w:tc>
        <w:tc>
          <w:tcPr>
            <w:tcW w:w="839" w:type="dxa"/>
            <w:hideMark/>
          </w:tcPr>
          <w:p w14:paraId="4A24286C" w14:textId="77777777" w:rsidR="00E01C85" w:rsidRPr="001730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173003">
              <w:rPr>
                <w:lang w:eastAsia="en-AU"/>
              </w:rPr>
              <w:t>2.50</w:t>
            </w:r>
          </w:p>
        </w:tc>
        <w:tc>
          <w:tcPr>
            <w:tcW w:w="839" w:type="dxa"/>
          </w:tcPr>
          <w:p w14:paraId="682F823C" w14:textId="77777777" w:rsidR="00E01C85" w:rsidRPr="001730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173003">
              <w:rPr>
                <w:lang w:eastAsia="en-AU"/>
              </w:rPr>
              <w:t>2.50</w:t>
            </w:r>
          </w:p>
        </w:tc>
      </w:tr>
      <w:tr w:rsidR="00E01C85" w14:paraId="47D18DF6" w14:textId="77777777" w:rsidTr="0098354D">
        <w:tc>
          <w:tcPr>
            <w:cnfStyle w:val="001000000000" w:firstRow="0" w:lastRow="0" w:firstColumn="1" w:lastColumn="0" w:oddVBand="0" w:evenVBand="0" w:oddHBand="0" w:evenHBand="0" w:firstRowFirstColumn="0" w:firstRowLastColumn="0" w:lastRowFirstColumn="0" w:lastRowLastColumn="0"/>
            <w:tcW w:w="2625" w:type="dxa"/>
            <w:hideMark/>
          </w:tcPr>
          <w:p w14:paraId="12FF9572" w14:textId="77777777" w:rsidR="00E01C85" w:rsidRDefault="00E01C85" w:rsidP="0098354D">
            <w:pPr>
              <w:rPr>
                <w:lang w:eastAsia="en-AU"/>
              </w:rPr>
            </w:pPr>
            <w:r>
              <w:rPr>
                <w:lang w:eastAsia="en-AU"/>
              </w:rPr>
              <w:t xml:space="preserve">Wage price index </w:t>
            </w:r>
            <w:r>
              <w:rPr>
                <w:vertAlign w:val="superscript"/>
                <w:lang w:eastAsia="en-AU"/>
              </w:rPr>
              <w:t>(d)</w:t>
            </w:r>
          </w:p>
        </w:tc>
        <w:tc>
          <w:tcPr>
            <w:tcW w:w="838" w:type="dxa"/>
            <w:hideMark/>
          </w:tcPr>
          <w:p w14:paraId="7214E0D2"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2.4</w:t>
            </w:r>
          </w:p>
        </w:tc>
        <w:tc>
          <w:tcPr>
            <w:tcW w:w="839" w:type="dxa"/>
            <w:hideMark/>
          </w:tcPr>
          <w:p w14:paraId="2601DCA7" w14:textId="77777777" w:rsidR="00E01C85" w:rsidRPr="000421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042103">
              <w:rPr>
                <w:lang w:eastAsia="en-AU"/>
              </w:rPr>
              <w:t>3.50</w:t>
            </w:r>
          </w:p>
        </w:tc>
        <w:tc>
          <w:tcPr>
            <w:tcW w:w="839" w:type="dxa"/>
            <w:hideMark/>
          </w:tcPr>
          <w:p w14:paraId="307AB462" w14:textId="77777777" w:rsidR="00E01C85" w:rsidRPr="000421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042103">
              <w:rPr>
                <w:lang w:eastAsia="en-AU"/>
              </w:rPr>
              <w:t>3.50</w:t>
            </w:r>
          </w:p>
        </w:tc>
        <w:tc>
          <w:tcPr>
            <w:tcW w:w="839" w:type="dxa"/>
            <w:hideMark/>
          </w:tcPr>
          <w:p w14:paraId="6E66D28A" w14:textId="77777777" w:rsidR="00E01C85" w:rsidRPr="000421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042103">
              <w:rPr>
                <w:lang w:eastAsia="en-AU"/>
              </w:rPr>
              <w:t>3.50</w:t>
            </w:r>
          </w:p>
        </w:tc>
        <w:tc>
          <w:tcPr>
            <w:tcW w:w="839" w:type="dxa"/>
            <w:hideMark/>
          </w:tcPr>
          <w:p w14:paraId="79A7E826" w14:textId="77777777" w:rsidR="00E01C85" w:rsidRPr="000421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042103">
              <w:rPr>
                <w:lang w:eastAsia="en-AU"/>
              </w:rPr>
              <w:t>3.25</w:t>
            </w:r>
          </w:p>
        </w:tc>
        <w:tc>
          <w:tcPr>
            <w:tcW w:w="839" w:type="dxa"/>
          </w:tcPr>
          <w:p w14:paraId="3981E8ED" w14:textId="77777777" w:rsidR="00E01C85" w:rsidRPr="000421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042103">
              <w:rPr>
                <w:lang w:eastAsia="en-AU"/>
              </w:rPr>
              <w:t>3.25</w:t>
            </w:r>
          </w:p>
        </w:tc>
      </w:tr>
      <w:tr w:rsidR="00E01C85" w14:paraId="4C83B142" w14:textId="77777777" w:rsidTr="0098354D">
        <w:tc>
          <w:tcPr>
            <w:cnfStyle w:val="001000000000" w:firstRow="0" w:lastRow="0" w:firstColumn="1" w:lastColumn="0" w:oddVBand="0" w:evenVBand="0" w:oddHBand="0" w:evenHBand="0" w:firstRowFirstColumn="0" w:firstRowLastColumn="0" w:lastRowFirstColumn="0" w:lastRowLastColumn="0"/>
            <w:tcW w:w="2625" w:type="dxa"/>
            <w:hideMark/>
          </w:tcPr>
          <w:p w14:paraId="4D3FE33E" w14:textId="77777777" w:rsidR="00E01C85" w:rsidRDefault="00E01C85" w:rsidP="0098354D">
            <w:pPr>
              <w:rPr>
                <w:lang w:eastAsia="en-AU"/>
              </w:rPr>
            </w:pPr>
            <w:r>
              <w:rPr>
                <w:lang w:eastAsia="en-AU"/>
              </w:rPr>
              <w:t xml:space="preserve">Population </w:t>
            </w:r>
            <w:r>
              <w:rPr>
                <w:vertAlign w:val="superscript"/>
                <w:lang w:eastAsia="en-AU"/>
              </w:rPr>
              <w:t>(e)</w:t>
            </w:r>
          </w:p>
        </w:tc>
        <w:tc>
          <w:tcPr>
            <w:tcW w:w="838" w:type="dxa"/>
            <w:hideMark/>
          </w:tcPr>
          <w:p w14:paraId="26FDA94D" w14:textId="77777777" w:rsidR="00E01C85"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1.1</w:t>
            </w:r>
          </w:p>
        </w:tc>
        <w:tc>
          <w:tcPr>
            <w:tcW w:w="839" w:type="dxa"/>
            <w:hideMark/>
          </w:tcPr>
          <w:p w14:paraId="6C54B866" w14:textId="77777777" w:rsidR="00E01C85" w:rsidRPr="000421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042103">
              <w:rPr>
                <w:lang w:eastAsia="en-AU"/>
              </w:rPr>
              <w:t>1.90</w:t>
            </w:r>
          </w:p>
        </w:tc>
        <w:tc>
          <w:tcPr>
            <w:tcW w:w="839" w:type="dxa"/>
            <w:hideMark/>
          </w:tcPr>
          <w:p w14:paraId="0933218F" w14:textId="77777777" w:rsidR="00E01C85" w:rsidRPr="000421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042103">
              <w:rPr>
                <w:lang w:eastAsia="en-AU"/>
              </w:rPr>
              <w:t>1.90</w:t>
            </w:r>
          </w:p>
        </w:tc>
        <w:tc>
          <w:tcPr>
            <w:tcW w:w="839" w:type="dxa"/>
            <w:hideMark/>
          </w:tcPr>
          <w:p w14:paraId="099B3236" w14:textId="77777777" w:rsidR="00E01C85" w:rsidRPr="000421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042103">
              <w:rPr>
                <w:lang w:eastAsia="en-AU"/>
              </w:rPr>
              <w:t>1.80</w:t>
            </w:r>
          </w:p>
        </w:tc>
        <w:tc>
          <w:tcPr>
            <w:tcW w:w="839" w:type="dxa"/>
            <w:hideMark/>
          </w:tcPr>
          <w:p w14:paraId="21E1EB21" w14:textId="77777777" w:rsidR="00E01C85" w:rsidRPr="000421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042103">
              <w:rPr>
                <w:lang w:eastAsia="en-AU"/>
              </w:rPr>
              <w:t>1.70</w:t>
            </w:r>
          </w:p>
        </w:tc>
        <w:tc>
          <w:tcPr>
            <w:tcW w:w="839" w:type="dxa"/>
          </w:tcPr>
          <w:p w14:paraId="73061C97" w14:textId="77777777" w:rsidR="00E01C85" w:rsidRPr="00042103" w:rsidRDefault="00E01C85" w:rsidP="0098354D">
            <w:pPr>
              <w:cnfStyle w:val="000000000000" w:firstRow="0" w:lastRow="0" w:firstColumn="0" w:lastColumn="0" w:oddVBand="0" w:evenVBand="0" w:oddHBand="0" w:evenHBand="0" w:firstRowFirstColumn="0" w:firstRowLastColumn="0" w:lastRowFirstColumn="0" w:lastRowLastColumn="0"/>
              <w:rPr>
                <w:lang w:eastAsia="en-AU"/>
              </w:rPr>
            </w:pPr>
            <w:r w:rsidRPr="00042103">
              <w:rPr>
                <w:lang w:eastAsia="en-AU"/>
              </w:rPr>
              <w:t>1.70</w:t>
            </w:r>
          </w:p>
        </w:tc>
      </w:tr>
    </w:tbl>
    <w:p w14:paraId="73341A19" w14:textId="77777777" w:rsidR="00E01C85" w:rsidRDefault="00E01C85" w:rsidP="00E01C85">
      <w:pPr>
        <w:pStyle w:val="Source"/>
        <w:keepNext/>
      </w:pPr>
      <w:bookmarkStart w:id="15" w:name="_Hlk134692936"/>
      <w:r>
        <w:t>Sources: Australian Bureau of Statistics; Department of Treasury and Finance</w:t>
      </w:r>
    </w:p>
    <w:p w14:paraId="30DA2B37" w14:textId="77777777" w:rsidR="00E01C85" w:rsidRDefault="00E01C85" w:rsidP="00E01C85">
      <w:pPr>
        <w:pStyle w:val="Note"/>
        <w:keepNext/>
      </w:pPr>
      <w:r>
        <w:t xml:space="preserve">Notes: </w:t>
      </w:r>
    </w:p>
    <w:p w14:paraId="3CB8B9D1" w14:textId="77777777" w:rsidR="00E01C85" w:rsidRDefault="00E01C85" w:rsidP="00E01C85">
      <w:pPr>
        <w:pStyle w:val="Note"/>
      </w:pPr>
      <w:r>
        <w:t>(a)</w:t>
      </w:r>
      <w:r>
        <w:tab/>
        <w:t>Percentage change in year</w:t>
      </w:r>
      <w:r>
        <w:noBreakHyphen/>
        <w:t>average terms compared with the previous year, except for the unemployment rate (see note (b)) and population (see note (e)). Forecasts are rounded to the nearest 0.25 percentage points, except for population (see note (e)).</w:t>
      </w:r>
    </w:p>
    <w:p w14:paraId="15BD62CA" w14:textId="77777777" w:rsidR="00E01C85" w:rsidRDefault="00E01C85" w:rsidP="00E01C85">
      <w:pPr>
        <w:pStyle w:val="Note"/>
      </w:pPr>
      <w:r>
        <w:tab/>
        <w:t>The key assumptions underlying the economic forecasts include interest rates that broadly follow market economists’ expectations; an Australian dollar trade</w:t>
      </w:r>
      <w:r>
        <w:noBreakHyphen/>
        <w:t xml:space="preserve">weighted index of </w:t>
      </w:r>
      <w:r w:rsidRPr="005B593A">
        <w:t>61.6</w:t>
      </w:r>
      <w:r>
        <w:t>; and oil prices that follow the path suggested by oil futures.</w:t>
      </w:r>
    </w:p>
    <w:p w14:paraId="1D83AD63" w14:textId="77777777" w:rsidR="00E01C85" w:rsidRDefault="00E01C85" w:rsidP="00E01C85">
      <w:pPr>
        <w:pStyle w:val="Note"/>
      </w:pPr>
      <w:bookmarkStart w:id="16" w:name="_Hlk54694635"/>
      <w:r>
        <w:t>(b)</w:t>
      </w:r>
      <w:r>
        <w:tab/>
        <w:t xml:space="preserve">Year average. </w:t>
      </w:r>
    </w:p>
    <w:bookmarkEnd w:id="16"/>
    <w:p w14:paraId="5F9F65D0" w14:textId="77777777" w:rsidR="00E01C85" w:rsidRDefault="00E01C85" w:rsidP="00E01C85">
      <w:pPr>
        <w:pStyle w:val="Note"/>
      </w:pPr>
      <w:r>
        <w:t>(c)</w:t>
      </w:r>
      <w:r>
        <w:tab/>
        <w:t xml:space="preserve">Melbourne consumer price index. </w:t>
      </w:r>
      <w:r w:rsidRPr="0081645A">
        <w:t>The</w:t>
      </w:r>
      <w:r w:rsidRPr="00C916E6">
        <w:t xml:space="preserve"> Commonwealth’s </w:t>
      </w:r>
      <w:r w:rsidRPr="0081645A">
        <w:t xml:space="preserve">CPI </w:t>
      </w:r>
      <w:r w:rsidRPr="00C916E6">
        <w:t xml:space="preserve">forecasts </w:t>
      </w:r>
      <w:r>
        <w:t>included</w:t>
      </w:r>
      <w:r w:rsidRPr="0081645A">
        <w:t xml:space="preserve"> </w:t>
      </w:r>
      <w:r w:rsidRPr="00C916E6">
        <w:t>in its 2023</w:t>
      </w:r>
      <w:r>
        <w:noBreakHyphen/>
      </w:r>
      <w:r w:rsidRPr="00C916E6">
        <w:t>24</w:t>
      </w:r>
      <w:r>
        <w:t> </w:t>
      </w:r>
      <w:r w:rsidRPr="00C916E6">
        <w:t xml:space="preserve">Budget </w:t>
      </w:r>
      <w:r w:rsidRPr="0081645A">
        <w:t>are</w:t>
      </w:r>
      <w:r w:rsidRPr="00C916E6">
        <w:t xml:space="preserve"> 6</w:t>
      </w:r>
      <w:r>
        <w:t> </w:t>
      </w:r>
      <w:r w:rsidRPr="00C916E6">
        <w:t>per</w:t>
      </w:r>
      <w:r>
        <w:t> </w:t>
      </w:r>
      <w:r w:rsidRPr="00C916E6">
        <w:t>cent over the year to June</w:t>
      </w:r>
      <w:r>
        <w:t> </w:t>
      </w:r>
      <w:r w:rsidRPr="00C916E6">
        <w:t>2023 and 3.25</w:t>
      </w:r>
      <w:r>
        <w:t> </w:t>
      </w:r>
      <w:r w:rsidRPr="0081645A">
        <w:t>per</w:t>
      </w:r>
      <w:r>
        <w:t> </w:t>
      </w:r>
      <w:r w:rsidRPr="0081645A">
        <w:t>cent over the year to June</w:t>
      </w:r>
      <w:r>
        <w:t> </w:t>
      </w:r>
      <w:r w:rsidRPr="0081645A">
        <w:t>2024. Differences in magnitude between</w:t>
      </w:r>
      <w:r w:rsidRPr="00C916E6">
        <w:t xml:space="preserve"> the </w:t>
      </w:r>
      <w:r w:rsidRPr="0081645A">
        <w:t>Victorian and Commonwealth forecasts are largely presentational,</w:t>
      </w:r>
      <w:r w:rsidRPr="00C916E6">
        <w:t xml:space="preserve"> mainly reflecting that growth rates in year-average terms and in over-the-year terms are not comparable.</w:t>
      </w:r>
    </w:p>
    <w:p w14:paraId="0111B4E8" w14:textId="77777777" w:rsidR="00E01C85" w:rsidRDefault="00E01C85" w:rsidP="00E01C85">
      <w:pPr>
        <w:pStyle w:val="Note"/>
      </w:pPr>
      <w:r>
        <w:t>(d)</w:t>
      </w:r>
      <w:r>
        <w:tab/>
        <w:t>Wage price index, Victoria (based on total hourly rates of pay, excluding bonuses).</w:t>
      </w:r>
    </w:p>
    <w:p w14:paraId="1F55E1AE" w14:textId="77777777" w:rsidR="00E01C85" w:rsidRDefault="00E01C85" w:rsidP="00E01C85">
      <w:pPr>
        <w:pStyle w:val="Note"/>
      </w:pPr>
      <w:r>
        <w:t>(e)</w:t>
      </w:r>
      <w:r>
        <w:tab/>
        <w:t>Percentage change over the year to 30 June. Forecasts are rounded to the nearest 0.1 percentage point</w:t>
      </w:r>
      <w:bookmarkEnd w:id="14"/>
      <w:r>
        <w:t>.</w:t>
      </w:r>
    </w:p>
    <w:bookmarkEnd w:id="15"/>
    <w:p w14:paraId="3CBF88EF" w14:textId="77777777" w:rsidR="00E01C85" w:rsidRDefault="00E01C85" w:rsidP="00E01C85">
      <w:pPr>
        <w:keepLines w:val="0"/>
        <w:widowControl w:val="0"/>
      </w:pPr>
    </w:p>
    <w:p w14:paraId="1AF50B10" w14:textId="77777777" w:rsidR="00E01C85" w:rsidRDefault="00E01C85" w:rsidP="00E01C85">
      <w:pPr>
        <w:pStyle w:val="Heading20"/>
      </w:pPr>
      <w:r>
        <w:t>Gross state product</w:t>
      </w:r>
    </w:p>
    <w:p w14:paraId="45B61285" w14:textId="48B96733" w:rsidR="00E01C85" w:rsidRDefault="00E01C85" w:rsidP="00E01C85">
      <w:pPr>
        <w:spacing w:after="120"/>
      </w:pPr>
      <w:r>
        <w:t>Victoria’s GSP is forecast to grow by 1.50 per cent in 2023</w:t>
      </w:r>
      <w:r>
        <w:noBreakHyphen/>
        <w:t xml:space="preserve">24. This follows an expected increase of </w:t>
      </w:r>
      <w:r w:rsidRPr="00AD06FB">
        <w:t>2.75</w:t>
      </w:r>
      <w:r>
        <w:t> per cent in 2022</w:t>
      </w:r>
      <w:r>
        <w:noBreakHyphen/>
        <w:t>23 and very strong growth of 5.6 per cent in 2021</w:t>
      </w:r>
      <w:r>
        <w:noBreakHyphen/>
        <w:t>22, as</w:t>
      </w:r>
      <w:r w:rsidR="00711A2B">
        <w:t> </w:t>
      </w:r>
      <w:r>
        <w:t>the economy</w:t>
      </w:r>
      <w:r w:rsidDel="00203897">
        <w:t xml:space="preserve"> </w:t>
      </w:r>
      <w:r>
        <w:t xml:space="preserve">recovered from the COVID-19 pandemic </w:t>
      </w:r>
      <w:r w:rsidRPr="00E03869">
        <w:t>(see Chart 2.1).</w:t>
      </w:r>
      <w:r>
        <w:t xml:space="preserve"> </w:t>
      </w:r>
    </w:p>
    <w:p w14:paraId="74F14A83" w14:textId="77777777" w:rsidR="00E01C85" w:rsidRPr="00A958EE" w:rsidRDefault="00E01C85" w:rsidP="00E01C85">
      <w:pPr>
        <w:pStyle w:val="TableHeading"/>
      </w:pPr>
      <w:r w:rsidRPr="00A958EE">
        <w:t>Chart 2.</w:t>
      </w:r>
      <w:r>
        <w:t>1</w:t>
      </w:r>
      <w:r w:rsidRPr="00A958EE">
        <w:t xml:space="preserve">: </w:t>
      </w:r>
      <w:r>
        <w:tab/>
      </w:r>
      <w:r w:rsidRPr="00A958EE">
        <w:t xml:space="preserve">Real Victorian GSP levels and annual growth rates, estimated actuals and forecast </w:t>
      </w:r>
      <w:r w:rsidRPr="006F3001">
        <w:rPr>
          <w:vertAlign w:val="superscript"/>
        </w:rPr>
        <w:t>(a)(b)</w:t>
      </w:r>
    </w:p>
    <w:p w14:paraId="67C46764" w14:textId="77777777" w:rsidR="00E01C85" w:rsidRPr="00300CA8" w:rsidRDefault="00E01C85" w:rsidP="00E01C85">
      <w:r>
        <w:rPr>
          <w:noProof/>
        </w:rPr>
        <w:drawing>
          <wp:inline distT="0" distB="0" distL="0" distR="0" wp14:anchorId="3BDD2642" wp14:editId="34C4FCED">
            <wp:extent cx="4896485" cy="3067685"/>
            <wp:effectExtent l="0" t="0" r="0" b="0"/>
            <wp:docPr id="12" name="Chart 12">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4BF656E" w14:textId="77777777" w:rsidR="00E01C85" w:rsidRPr="00256977" w:rsidRDefault="00E01C85" w:rsidP="00E01C85">
      <w:pPr>
        <w:pStyle w:val="Source"/>
      </w:pPr>
      <w:r w:rsidRPr="00256977">
        <w:t>Source</w:t>
      </w:r>
      <w:r>
        <w:t>s</w:t>
      </w:r>
      <w:r w:rsidRPr="00256977">
        <w:t xml:space="preserve">: </w:t>
      </w:r>
      <w:r>
        <w:t xml:space="preserve">Australian Bureau of Statistics; </w:t>
      </w:r>
      <w:r w:rsidRPr="00256977">
        <w:t>Department of Treasury and Finance</w:t>
      </w:r>
    </w:p>
    <w:p w14:paraId="6DA321B2" w14:textId="77777777" w:rsidR="00E01C85" w:rsidRPr="00562EDF" w:rsidRDefault="00E01C85" w:rsidP="00E01C85">
      <w:pPr>
        <w:pStyle w:val="Note"/>
        <w:rPr>
          <w:rStyle w:val="NoteChar"/>
          <w:i/>
        </w:rPr>
      </w:pPr>
      <w:r w:rsidRPr="00562EDF">
        <w:rPr>
          <w:rStyle w:val="NoteChar"/>
          <w:i/>
        </w:rPr>
        <w:t xml:space="preserve">Notes: </w:t>
      </w:r>
    </w:p>
    <w:p w14:paraId="2650A9DE" w14:textId="77777777" w:rsidR="00E01C85" w:rsidRPr="00562EDF" w:rsidRDefault="00E01C85" w:rsidP="00E01C85">
      <w:pPr>
        <w:pStyle w:val="Note"/>
      </w:pPr>
      <w:r>
        <w:t>(a)</w:t>
      </w:r>
      <w:r>
        <w:tab/>
      </w:r>
      <w:r w:rsidRPr="00562EDF">
        <w:t xml:space="preserve">The quarterly GSP estimates are </w:t>
      </w:r>
      <w:r w:rsidRPr="00562EDF">
        <w:rPr>
          <w:rStyle w:val="NoteChar"/>
          <w:i/>
        </w:rPr>
        <w:t>derived by the Department of Treasury and Finance. The Australian Bureau of Statistics only publishes annual GSP estimates.</w:t>
      </w:r>
      <w:r w:rsidRPr="00562EDF">
        <w:t xml:space="preserve"> </w:t>
      </w:r>
    </w:p>
    <w:p w14:paraId="7F917B64" w14:textId="77777777" w:rsidR="00E01C85" w:rsidRDefault="00E01C85" w:rsidP="00E01C85">
      <w:pPr>
        <w:pStyle w:val="Note"/>
      </w:pPr>
      <w:r>
        <w:t>(b)</w:t>
      </w:r>
      <w:r>
        <w:tab/>
      </w:r>
      <w:r w:rsidRPr="00562EDF">
        <w:t>The figures above annual average lines refer to the annual average growth rate, in per cent.</w:t>
      </w:r>
    </w:p>
    <w:p w14:paraId="0B37B20E" w14:textId="77777777" w:rsidR="00E01C85" w:rsidRDefault="00E01C85" w:rsidP="00E01C85">
      <w:pPr>
        <w:pStyle w:val="Note"/>
      </w:pPr>
    </w:p>
    <w:p w14:paraId="72B666F9" w14:textId="77777777" w:rsidR="00E01C85" w:rsidRDefault="00E01C85" w:rsidP="00E01C85">
      <w:r>
        <w:t xml:space="preserve">High-intensity rainfall and flooding in October–November 2022 significantly affected communities in some regions of Victoria, and weighed on overall economic growth in the first half of the year (see Box 2.1).  </w:t>
      </w:r>
    </w:p>
    <w:p w14:paraId="5A995EE2" w14:textId="77777777" w:rsidR="00E01C85" w:rsidRPr="00562EDF" w:rsidRDefault="00E01C85" w:rsidP="00E01C85">
      <w:pPr>
        <w:pStyle w:val="Note"/>
      </w:pPr>
    </w:p>
    <w:p w14:paraId="48D9EAD4" w14:textId="77777777" w:rsidR="00E01C85" w:rsidRPr="007667F5" w:rsidRDefault="00E01C85" w:rsidP="00E01C85">
      <w:pPr>
        <w:pStyle w:val="ShadedBoxHeading"/>
        <w:pageBreakBefore/>
      </w:pPr>
      <w:r w:rsidRPr="00183DA6">
        <w:t xml:space="preserve">Box 2.1: </w:t>
      </w:r>
      <w:r>
        <w:tab/>
      </w:r>
      <w:r w:rsidRPr="00183DA6">
        <w:t xml:space="preserve">The economic </w:t>
      </w:r>
      <w:r w:rsidRPr="007667F5">
        <w:t>impact of flooding in Victoria</w:t>
      </w:r>
      <w:r w:rsidRPr="007667F5" w:rsidDel="00815988">
        <w:t xml:space="preserve"> </w:t>
      </w:r>
    </w:p>
    <w:p w14:paraId="6B12A1FA" w14:textId="77777777" w:rsidR="00E01C85" w:rsidRPr="00293135" w:rsidRDefault="00E01C85" w:rsidP="00E01C85">
      <w:pPr>
        <w:pStyle w:val="ShadedBoxText"/>
      </w:pPr>
      <w:r w:rsidRPr="003403AE">
        <w:t>Sustain</w:t>
      </w:r>
      <w:r>
        <w:t>ed</w:t>
      </w:r>
      <w:r w:rsidRPr="003403AE">
        <w:t xml:space="preserve"> heavy rain </w:t>
      </w:r>
      <w:r>
        <w:t>over</w:t>
      </w:r>
      <w:r w:rsidRPr="003403AE">
        <w:t xml:space="preserve"> the east coast of Australia from mid</w:t>
      </w:r>
      <w:r>
        <w:noBreakHyphen/>
      </w:r>
      <w:r w:rsidRPr="003403AE">
        <w:t>October</w:t>
      </w:r>
      <w:r>
        <w:t xml:space="preserve"> 2022 </w:t>
      </w:r>
      <w:r w:rsidRPr="003403AE">
        <w:t xml:space="preserve">caused significant flooding </w:t>
      </w:r>
      <w:r>
        <w:t>in river systems in northern Victoria, affecting many regional communities. Rainfall from the same weather event also led to flooding of the Maribyrnong River, affecting suburbs in Melbourne’s inner west. The i</w:t>
      </w:r>
      <w:r w:rsidRPr="003403AE">
        <w:rPr>
          <w:iCs/>
        </w:rPr>
        <w:t xml:space="preserve">mpact </w:t>
      </w:r>
      <w:r>
        <w:rPr>
          <w:iCs/>
        </w:rPr>
        <w:t xml:space="preserve">of these flooding events </w:t>
      </w:r>
      <w:r w:rsidRPr="003403AE">
        <w:rPr>
          <w:iCs/>
        </w:rPr>
        <w:t xml:space="preserve">on local communities </w:t>
      </w:r>
      <w:r>
        <w:rPr>
          <w:iCs/>
        </w:rPr>
        <w:t xml:space="preserve">has </w:t>
      </w:r>
      <w:r w:rsidRPr="003403AE">
        <w:rPr>
          <w:iCs/>
        </w:rPr>
        <w:t>be</w:t>
      </w:r>
      <w:r>
        <w:rPr>
          <w:iCs/>
        </w:rPr>
        <w:t>en</w:t>
      </w:r>
      <w:r w:rsidRPr="003403AE">
        <w:rPr>
          <w:iCs/>
        </w:rPr>
        <w:t xml:space="preserve"> significant</w:t>
      </w:r>
      <w:r>
        <w:rPr>
          <w:iCs/>
        </w:rPr>
        <w:t>.</w:t>
      </w:r>
    </w:p>
    <w:p w14:paraId="44DCE14A" w14:textId="77777777" w:rsidR="00E01C85" w:rsidRPr="00A1228B" w:rsidRDefault="00E01C85" w:rsidP="00E01C85">
      <w:pPr>
        <w:pStyle w:val="ShadedBoxText"/>
      </w:pPr>
      <w:r>
        <w:t>The gross economic cost of these floods in affected regions is estimated at about $900 million in 2022</w:t>
      </w:r>
      <w:r>
        <w:noBreakHyphen/>
        <w:t xml:space="preserve">23, or about 0.2 per cent of GSP, with losses concentrated in Victoria’s agriculture industry (noting this estimate does not incorporate the significant social or environmental costs of the floods, including the negative effects on wellbeing and mental health). </w:t>
      </w:r>
      <w:r>
        <w:rPr>
          <w:iCs/>
        </w:rPr>
        <w:t>About</w:t>
      </w:r>
      <w:r w:rsidRPr="000931B4">
        <w:rPr>
          <w:iCs/>
        </w:rPr>
        <w:t xml:space="preserve"> 5</w:t>
      </w:r>
      <w:r>
        <w:rPr>
          <w:iCs/>
        </w:rPr>
        <w:t> per cent</w:t>
      </w:r>
      <w:r w:rsidRPr="000931B4">
        <w:rPr>
          <w:iCs/>
        </w:rPr>
        <w:t xml:space="preserve"> of all Victorian farmland </w:t>
      </w:r>
      <w:r>
        <w:rPr>
          <w:iCs/>
        </w:rPr>
        <w:t>was</w:t>
      </w:r>
      <w:r w:rsidRPr="000931B4">
        <w:rPr>
          <w:iCs/>
        </w:rPr>
        <w:t xml:space="preserve"> </w:t>
      </w:r>
      <w:r>
        <w:rPr>
          <w:iCs/>
        </w:rPr>
        <w:t>affected</w:t>
      </w:r>
      <w:r w:rsidRPr="000931B4">
        <w:rPr>
          <w:iCs/>
        </w:rPr>
        <w:t xml:space="preserve"> by the flooding</w:t>
      </w:r>
      <w:r>
        <w:rPr>
          <w:iCs/>
        </w:rPr>
        <w:t>, mainly curtailing production of fruit, milk and broadacre crops. Businesses in affected regions were also impacted by the loss of trading days and local tourist arrivals. Construction activity was also affected by poor weather.</w:t>
      </w:r>
    </w:p>
    <w:p w14:paraId="68BBBC41" w14:textId="77777777" w:rsidR="00E01C85" w:rsidRDefault="00E01C85" w:rsidP="00E01C85">
      <w:pPr>
        <w:pStyle w:val="ShadedBoxText"/>
      </w:pPr>
      <w:r>
        <w:rPr>
          <w:iCs/>
        </w:rPr>
        <w:t xml:space="preserve">While floods led to economic losses in some parts of the state, </w:t>
      </w:r>
      <w:r w:rsidRPr="002E151B">
        <w:rPr>
          <w:iCs/>
        </w:rPr>
        <w:t>heavy rain</w:t>
      </w:r>
      <w:r>
        <w:rPr>
          <w:iCs/>
        </w:rPr>
        <w:t xml:space="preserve"> </w:t>
      </w:r>
      <w:r w:rsidRPr="002E151B">
        <w:rPr>
          <w:iCs/>
        </w:rPr>
        <w:t xml:space="preserve">benefited </w:t>
      </w:r>
      <w:r>
        <w:rPr>
          <w:iCs/>
        </w:rPr>
        <w:t>some</w:t>
      </w:r>
      <w:r w:rsidRPr="002E151B">
        <w:rPr>
          <w:iCs/>
        </w:rPr>
        <w:t xml:space="preserve"> </w:t>
      </w:r>
      <w:r>
        <w:rPr>
          <w:iCs/>
        </w:rPr>
        <w:t xml:space="preserve">other </w:t>
      </w:r>
      <w:r w:rsidRPr="002E151B">
        <w:rPr>
          <w:iCs/>
        </w:rPr>
        <w:t>agricultural regions of Victoria, notably the Mallee and Wimmera</w:t>
      </w:r>
      <w:r>
        <w:rPr>
          <w:iCs/>
        </w:rPr>
        <w:t xml:space="preserve">. These regions account </w:t>
      </w:r>
      <w:r w:rsidRPr="002E151B">
        <w:rPr>
          <w:iCs/>
        </w:rPr>
        <w:t xml:space="preserve">for more than </w:t>
      </w:r>
      <w:r>
        <w:rPr>
          <w:iCs/>
        </w:rPr>
        <w:t>6</w:t>
      </w:r>
      <w:r w:rsidRPr="002E151B">
        <w:rPr>
          <w:iCs/>
        </w:rPr>
        <w:t>0</w:t>
      </w:r>
      <w:r>
        <w:rPr>
          <w:iCs/>
        </w:rPr>
        <w:t> per cent</w:t>
      </w:r>
      <w:r w:rsidRPr="002E151B">
        <w:rPr>
          <w:iCs/>
        </w:rPr>
        <w:t xml:space="preserve"> of </w:t>
      </w:r>
      <w:r>
        <w:rPr>
          <w:iCs/>
        </w:rPr>
        <w:t xml:space="preserve">the </w:t>
      </w:r>
      <w:r w:rsidRPr="002E151B">
        <w:rPr>
          <w:iCs/>
        </w:rPr>
        <w:t>area planted to wheat and barley across the state.</w:t>
      </w:r>
      <w:r>
        <w:rPr>
          <w:iCs/>
        </w:rPr>
        <w:t xml:space="preserve"> Taking into account the agricultural losses relating to floods, and the good growing conditions in some other parts of the state, the</w:t>
      </w:r>
      <w:r w:rsidRPr="000931B4">
        <w:rPr>
          <w:iCs/>
        </w:rPr>
        <w:t xml:space="preserve"> Australian Bureau of Agricultural and Resource Economics and Sciences </w:t>
      </w:r>
      <w:r>
        <w:rPr>
          <w:iCs/>
        </w:rPr>
        <w:t>forecasts</w:t>
      </w:r>
      <w:r w:rsidRPr="000931B4">
        <w:rPr>
          <w:iCs/>
        </w:rPr>
        <w:t xml:space="preserve"> </w:t>
      </w:r>
      <w:r>
        <w:rPr>
          <w:iCs/>
        </w:rPr>
        <w:t>a record harvest in</w:t>
      </w:r>
      <w:r w:rsidRPr="000931B4">
        <w:rPr>
          <w:iCs/>
        </w:rPr>
        <w:t xml:space="preserve"> Victoria’s </w:t>
      </w:r>
      <w:r>
        <w:rPr>
          <w:iCs/>
        </w:rPr>
        <w:t xml:space="preserve">overall </w:t>
      </w:r>
      <w:r w:rsidRPr="000931B4">
        <w:rPr>
          <w:iCs/>
        </w:rPr>
        <w:t>winter crop</w:t>
      </w:r>
      <w:r>
        <w:rPr>
          <w:iCs/>
        </w:rPr>
        <w:t>, an increase in output of 21 per cent</w:t>
      </w:r>
      <w:r w:rsidRPr="000931B4">
        <w:rPr>
          <w:iCs/>
        </w:rPr>
        <w:t xml:space="preserve"> </w:t>
      </w:r>
      <w:r>
        <w:rPr>
          <w:iCs/>
        </w:rPr>
        <w:t>compared with</w:t>
      </w:r>
      <w:r w:rsidDel="00D615BF">
        <w:rPr>
          <w:iCs/>
        </w:rPr>
        <w:t xml:space="preserve"> </w:t>
      </w:r>
      <w:r>
        <w:rPr>
          <w:iCs/>
        </w:rPr>
        <w:t>the previous year.</w:t>
      </w:r>
    </w:p>
    <w:p w14:paraId="05320ACB" w14:textId="77777777" w:rsidR="00E01C85" w:rsidRDefault="00E01C85" w:rsidP="00E01C85">
      <w:pPr>
        <w:pStyle w:val="ShadedBoxText"/>
        <w:rPr>
          <w:iCs/>
        </w:rPr>
      </w:pPr>
      <w:r>
        <w:t>Over the medium term, recovery and reconstruction of communities and business is likely to contribute to economic activity. This includes increased</w:t>
      </w:r>
      <w:r w:rsidRPr="00346B39">
        <w:rPr>
          <w:iCs/>
        </w:rPr>
        <w:t xml:space="preserve"> spending</w:t>
      </w:r>
      <w:r>
        <w:rPr>
          <w:iCs/>
        </w:rPr>
        <w:t xml:space="preserve"> by households and businesses to replace damaged</w:t>
      </w:r>
      <w:r w:rsidRPr="00346B39">
        <w:rPr>
          <w:iCs/>
        </w:rPr>
        <w:t xml:space="preserve"> item</w:t>
      </w:r>
      <w:r>
        <w:rPr>
          <w:iCs/>
        </w:rPr>
        <w:t>s, the repair and rebuild of damaged homes, and an increase in government spending to repair infrastructure. The recovery and rebuild is being aided by government support, with assistance for flood-affected households, businesses and local governments.</w:t>
      </w:r>
    </w:p>
    <w:p w14:paraId="6BD4C6EA" w14:textId="77777777" w:rsidR="00E01C85" w:rsidRPr="000C69A8" w:rsidRDefault="00E01C85" w:rsidP="00E01C85"/>
    <w:p w14:paraId="5CDFEF8C" w14:textId="77777777" w:rsidR="00E01C85" w:rsidRDefault="00E01C85" w:rsidP="00E01C85">
      <w:r>
        <w:t>Household consumption is forecast to make a small contribution to GSP growth in 2023</w:t>
      </w:r>
      <w:r>
        <w:noBreakHyphen/>
        <w:t xml:space="preserve">24 </w:t>
      </w:r>
      <w:r w:rsidRPr="00E03869">
        <w:t>(see Chart 2.2)</w:t>
      </w:r>
      <w:r>
        <w:t>, following</w:t>
      </w:r>
      <w:r w:rsidRPr="00581375">
        <w:t xml:space="preserve"> </w:t>
      </w:r>
      <w:r>
        <w:t>two years of strong growth as spending recovered from an extended period of pandemic</w:t>
      </w:r>
      <w:r>
        <w:noBreakHyphen/>
        <w:t>related disruptions. High inflation, higher interest rates and increased consumer caution are expected to weigh on demand in 2023</w:t>
      </w:r>
      <w:r>
        <w:noBreakHyphen/>
        <w:t xml:space="preserve">24. However, low unemployment, solid wages growth and substantial levels of savings should continue to support consumption. </w:t>
      </w:r>
    </w:p>
    <w:p w14:paraId="15F5C779" w14:textId="77777777" w:rsidR="00E01C85" w:rsidRDefault="00E01C85" w:rsidP="00E01C85"/>
    <w:p w14:paraId="10F218DE" w14:textId="77777777" w:rsidR="00E01C85" w:rsidRDefault="00E01C85" w:rsidP="00E01C85">
      <w:pPr>
        <w:pStyle w:val="TableHeading"/>
        <w:rPr>
          <w:vertAlign w:val="superscript"/>
        </w:rPr>
      </w:pPr>
      <w:r w:rsidRPr="00256977">
        <w:t>Chart 2.</w:t>
      </w:r>
      <w:r>
        <w:t>2</w:t>
      </w:r>
      <w:r w:rsidRPr="00256977">
        <w:t>:</w:t>
      </w:r>
      <w:r w:rsidRPr="00256977">
        <w:tab/>
        <w:t>Forecast contributions to real GSP growth, 202</w:t>
      </w:r>
      <w:r>
        <w:t xml:space="preserve">3-24 </w:t>
      </w:r>
      <w:r w:rsidRPr="00256977">
        <w:rPr>
          <w:vertAlign w:val="superscript"/>
        </w:rPr>
        <w:t>(a)</w:t>
      </w:r>
    </w:p>
    <w:p w14:paraId="32B0C10F" w14:textId="77777777" w:rsidR="00E01C85" w:rsidRDefault="00E01C85" w:rsidP="00E01C85">
      <w:bookmarkStart w:id="17" w:name="_1743417638"/>
      <w:bookmarkStart w:id="18" w:name="_1743486646"/>
      <w:bookmarkStart w:id="19" w:name="_1743494820"/>
      <w:bookmarkStart w:id="20" w:name="_1743521650"/>
      <w:bookmarkStart w:id="21" w:name="_1743521649"/>
      <w:bookmarkStart w:id="22" w:name="_1743574525"/>
      <w:bookmarkStart w:id="23" w:name="_1743855964"/>
      <w:bookmarkStart w:id="24" w:name="_1744005520"/>
      <w:bookmarkEnd w:id="17"/>
      <w:bookmarkEnd w:id="18"/>
      <w:bookmarkEnd w:id="19"/>
      <w:bookmarkEnd w:id="20"/>
      <w:bookmarkEnd w:id="21"/>
      <w:bookmarkEnd w:id="22"/>
      <w:bookmarkEnd w:id="23"/>
      <w:bookmarkEnd w:id="24"/>
      <w:r>
        <w:rPr>
          <w:noProof/>
        </w:rPr>
        <w:drawing>
          <wp:inline distT="0" distB="0" distL="0" distR="0" wp14:anchorId="72F6D98B" wp14:editId="0427E0CD">
            <wp:extent cx="4896485" cy="3206115"/>
            <wp:effectExtent l="0" t="0" r="0" b="0"/>
            <wp:docPr id="13" name="Chart 13">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1EB3012" w14:textId="77777777" w:rsidR="00E01C85" w:rsidRPr="00256977" w:rsidRDefault="00E01C85" w:rsidP="00E01C85">
      <w:pPr>
        <w:pStyle w:val="Note"/>
      </w:pPr>
      <w:r w:rsidRPr="00256977">
        <w:t>Notes:</w:t>
      </w:r>
    </w:p>
    <w:p w14:paraId="769FF149" w14:textId="77777777" w:rsidR="00E01C85" w:rsidRPr="00850B18" w:rsidRDefault="00E01C85" w:rsidP="00E01C85">
      <w:pPr>
        <w:pStyle w:val="Note"/>
      </w:pPr>
      <w:r>
        <w:t>(a)</w:t>
      </w:r>
      <w:r>
        <w:tab/>
      </w:r>
      <w:r w:rsidRPr="00850B18">
        <w:t>Rounded to nearest 0.25 percentage points. Real GSP is per cent growth. Totals may not sum due to rounding.</w:t>
      </w:r>
      <w:r>
        <w:t xml:space="preserve"> Not shown is the GSP statistical discrepancy, which also contributes to the GSP result.</w:t>
      </w:r>
    </w:p>
    <w:p w14:paraId="70F87A0C" w14:textId="77777777" w:rsidR="00E01C85" w:rsidRPr="00CB3FEC" w:rsidRDefault="00E01C85" w:rsidP="00E01C85">
      <w:pPr>
        <w:pStyle w:val="Note"/>
      </w:pPr>
      <w:r>
        <w:t>(b)</w:t>
      </w:r>
      <w:r>
        <w:tab/>
      </w:r>
      <w:r w:rsidRPr="00CB3FEC">
        <w:t xml:space="preserve">The balancing item includes interstate trade </w:t>
      </w:r>
      <w:r>
        <w:t xml:space="preserve">and </w:t>
      </w:r>
      <w:r w:rsidRPr="00CB3FEC">
        <w:t>inventories</w:t>
      </w:r>
      <w:r>
        <w:t>, as well as a balancing item statistical discrepancy</w:t>
      </w:r>
      <w:r w:rsidRPr="00CB3FEC">
        <w:t>.</w:t>
      </w:r>
    </w:p>
    <w:p w14:paraId="076F1A5F" w14:textId="77777777" w:rsidR="00E01C85" w:rsidRPr="00CB3FEC" w:rsidRDefault="00E01C85" w:rsidP="00E01C85">
      <w:pPr>
        <w:pStyle w:val="Note"/>
      </w:pPr>
      <w:r>
        <w:t>(c)</w:t>
      </w:r>
      <w:r>
        <w:tab/>
      </w:r>
      <w:r w:rsidRPr="00CB3FEC">
        <w:t>Ownership transfer costs: taxes or services that enterprises incur on acquisition and disposal of assets.</w:t>
      </w:r>
    </w:p>
    <w:p w14:paraId="4C53534D" w14:textId="50C0A29A" w:rsidR="00E01C85" w:rsidRDefault="00E01C85" w:rsidP="00E01C85">
      <w:pPr>
        <w:pStyle w:val="Note"/>
      </w:pPr>
      <w:r>
        <w:t>(d)</w:t>
      </w:r>
      <w:r>
        <w:tab/>
      </w:r>
      <w:r w:rsidRPr="00CB3FEC">
        <w:t>Public demand includes Commonwealth, state and local government spending</w:t>
      </w:r>
      <w:r>
        <w:t>, and comprises both consumption and capital investment expenditure</w:t>
      </w:r>
      <w:r w:rsidRPr="00CB3FEC">
        <w:t xml:space="preserve">. </w:t>
      </w:r>
      <w:r>
        <w:t>In unrounded terms, public demand is forecast to contribute 0.12 percentage points to real GSP growth in</w:t>
      </w:r>
      <w:r w:rsidR="00711A2B">
        <w:t> </w:t>
      </w:r>
      <w:r>
        <w:t>2023-24.</w:t>
      </w:r>
    </w:p>
    <w:p w14:paraId="33AF91EE" w14:textId="77777777" w:rsidR="00E01C85" w:rsidRDefault="00E01C85" w:rsidP="00E01C85">
      <w:pPr>
        <w:pStyle w:val="Note"/>
      </w:pPr>
      <w:r>
        <w:t>(e)</w:t>
      </w:r>
      <w:r>
        <w:tab/>
        <w:t xml:space="preserve">In unrounded terms, dwelling investment is forecast to contribute </w:t>
      </w:r>
      <w:r>
        <w:softHyphen/>
      </w:r>
      <w:r>
        <w:rPr>
          <w:rFonts w:cstheme="majorHAnsi"/>
        </w:rPr>
        <w:t>–</w:t>
      </w:r>
      <w:r>
        <w:t>0.03 percentage points to real GSP growth in 2023-24.</w:t>
      </w:r>
    </w:p>
    <w:p w14:paraId="717E32F2" w14:textId="77777777" w:rsidR="00E01C85" w:rsidRDefault="00E01C85" w:rsidP="00E01C85"/>
    <w:p w14:paraId="117565CD" w14:textId="77777777" w:rsidR="00E01C85" w:rsidRDefault="00E01C85" w:rsidP="00E01C85">
      <w:r>
        <w:t xml:space="preserve">Consumer spending grew very strongly over 2022, rising by about 8 per cent, although growth moderated in the second half of the year. Following a shift towards spending on durable goods during the COVID-19 pandemic, consumption of discretionary services in 2022 – such as meals out, travel and recreation services – was particularly strong as consumption patterns normalised (see </w:t>
      </w:r>
      <w:r w:rsidRPr="00E03869">
        <w:t>Chart 2.3).</w:t>
      </w:r>
      <w:r>
        <w:t xml:space="preserve"> More timely indicators of spending suggest this pattern continued into early 2023. </w:t>
      </w:r>
    </w:p>
    <w:p w14:paraId="5FCF34ED" w14:textId="77777777" w:rsidR="00E01C85" w:rsidRDefault="00E01C85" w:rsidP="00E01C85">
      <w:pPr>
        <w:pStyle w:val="TableHeading"/>
      </w:pPr>
      <w:r w:rsidRPr="00C4643D">
        <w:t>Chart</w:t>
      </w:r>
      <w:r>
        <w:t xml:space="preserve"> 2.3: </w:t>
      </w:r>
      <w:r>
        <w:tab/>
        <w:t>Household consumption, total and by selected component</w:t>
      </w:r>
    </w:p>
    <w:p w14:paraId="2B2E3E91" w14:textId="77777777" w:rsidR="00E01C85" w:rsidRDefault="00E01C85" w:rsidP="00E01C85">
      <w:bookmarkStart w:id="25" w:name="_1743417641"/>
      <w:bookmarkStart w:id="26" w:name="_1743486649"/>
      <w:bookmarkStart w:id="27" w:name="_1743494821"/>
      <w:bookmarkStart w:id="28" w:name="_1743521651"/>
      <w:bookmarkStart w:id="29" w:name="_1743574526"/>
      <w:bookmarkStart w:id="30" w:name="_1743855965"/>
      <w:bookmarkStart w:id="31" w:name="_1744005521"/>
      <w:bookmarkEnd w:id="25"/>
      <w:bookmarkEnd w:id="26"/>
      <w:bookmarkEnd w:id="27"/>
      <w:bookmarkEnd w:id="28"/>
      <w:bookmarkEnd w:id="29"/>
      <w:bookmarkEnd w:id="30"/>
      <w:bookmarkEnd w:id="31"/>
      <w:r>
        <w:rPr>
          <w:noProof/>
        </w:rPr>
        <w:drawing>
          <wp:inline distT="0" distB="0" distL="0" distR="0" wp14:anchorId="61E12CF3" wp14:editId="08E7BDA4">
            <wp:extent cx="4893310" cy="2800350"/>
            <wp:effectExtent l="0" t="0" r="2540" b="0"/>
            <wp:docPr id="14" name="Chart 14">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8230BAE" w14:textId="77777777" w:rsidR="00E01C85" w:rsidRPr="00256977" w:rsidRDefault="00E01C85" w:rsidP="00E01C85">
      <w:pPr>
        <w:pStyle w:val="Source"/>
      </w:pPr>
      <w:r w:rsidRPr="00256977">
        <w:t xml:space="preserve">Source: </w:t>
      </w:r>
      <w:r>
        <w:t>Australian Bureau of Statistics</w:t>
      </w:r>
    </w:p>
    <w:p w14:paraId="6383E53B" w14:textId="77777777" w:rsidR="00E01C85" w:rsidRPr="00562EDF" w:rsidRDefault="00E01C85" w:rsidP="00E01C85">
      <w:pPr>
        <w:pStyle w:val="Note"/>
        <w:rPr>
          <w:rStyle w:val="NoteChar"/>
          <w:i/>
        </w:rPr>
      </w:pPr>
      <w:r w:rsidRPr="00562EDF">
        <w:rPr>
          <w:rStyle w:val="NoteChar"/>
          <w:i/>
        </w:rPr>
        <w:t xml:space="preserve">Notes: </w:t>
      </w:r>
    </w:p>
    <w:p w14:paraId="55FDEC2A" w14:textId="77777777" w:rsidR="00E01C85" w:rsidRDefault="00E01C85" w:rsidP="00E01C85">
      <w:pPr>
        <w:pStyle w:val="Note"/>
      </w:pPr>
      <w:r>
        <w:t>(a)</w:t>
      </w:r>
      <w:r>
        <w:tab/>
        <w:t>Includes clothing; household goods; and purchase of vehicles.</w:t>
      </w:r>
    </w:p>
    <w:p w14:paraId="0959D809" w14:textId="77777777" w:rsidR="00E01C85" w:rsidRDefault="00E01C85" w:rsidP="00E01C85">
      <w:pPr>
        <w:pStyle w:val="Note"/>
      </w:pPr>
      <w:r>
        <w:t>(b)</w:t>
      </w:r>
      <w:r>
        <w:tab/>
        <w:t xml:space="preserve">Includes accommodation, cafes and restaurants; transport services; and net interstate expenditure. </w:t>
      </w:r>
    </w:p>
    <w:p w14:paraId="56C17D67" w14:textId="77777777" w:rsidR="00E01C85" w:rsidRDefault="00E01C85" w:rsidP="00E01C85">
      <w:r>
        <w:t>A solid labour market is expected to support household incomes and spending over 2023</w:t>
      </w:r>
      <w:r>
        <w:noBreakHyphen/>
        <w:t xml:space="preserve">24. Elevated levels of household savings accumulated during the pandemic should also support consumption (see Box 2.3). Nevertheless, ongoing high inflation is weighing on consumers’ real incomes, and rising interest rates are putting downward pressure on many households’ disposable incomes (after meeting interest costs). Recent declines in asset prices may also cause consumers to become more risk-averse and reduce spending on discretionary items. </w:t>
      </w:r>
    </w:p>
    <w:p w14:paraId="57F4B1BB" w14:textId="77777777" w:rsidR="00E01C85" w:rsidRDefault="00E01C85" w:rsidP="00E01C85">
      <w:r>
        <w:t>The outlook for spending is subject to a high degree of uncertainty. Spending has proved resilient to date in the face of cost</w:t>
      </w:r>
      <w:r>
        <w:noBreakHyphen/>
        <w:t>of</w:t>
      </w:r>
      <w:r>
        <w:noBreakHyphen/>
        <w:t xml:space="preserve">living pressures. Further, while the rate of household saving has declined from high levels during the pandemic, households in aggregate are still adding to their savings. Aggregate household balance sheets are therefore in a strong position. While there are some households finding current conditions financially challenging, other households may feel comfortable in drawing down on considerable savings to fund ongoing spending. In addition, while surveys point to low consumer confidence overall, consumers remain confident in the labour market outlook. Coupled with continued solid income growth, this could lead households to spend more than expected. </w:t>
      </w:r>
    </w:p>
    <w:p w14:paraId="6153408D" w14:textId="77777777" w:rsidR="00E01C85" w:rsidRDefault="00E01C85" w:rsidP="00E01C85">
      <w:r>
        <w:t xml:space="preserve">However, the full effect of the cumulative increases in interest rates to date is yet to be felt in mortgage payments. Many consumers are on low fixed rate mortgages which will roll over onto much higher variable rates over 2023, particularly in the June and September quarters. This will have a significant impact on the disposable incomes of some households, and may weigh on aggregate consumer spending more than expected. </w:t>
      </w:r>
      <w:r w:rsidRPr="005B6055">
        <w:t>The RBA notes that most of these borrowers have accumulated savings during their fixed loan term to help deal with the adjustment to higher repayments, although some borrowers could be vulnerable</w:t>
      </w:r>
      <w:r>
        <w:t>.</w:t>
      </w:r>
    </w:p>
    <w:p w14:paraId="51E05775" w14:textId="77777777" w:rsidR="00E01C85" w:rsidRDefault="00E01C85" w:rsidP="00E01C85">
      <w:r>
        <w:t>Dwelling investment, which reached its second-highest level on record in 2021-22, is forecast to decline modestly in 2023</w:t>
      </w:r>
      <w:r>
        <w:noBreakHyphen/>
        <w:t xml:space="preserve">24, making a very small negative contribution to GSP growth. Higher interest rates and lower prices for existing dwellings have dampened demand for new housing, as is evident in a recent decline in building approvals. This very small decline </w:t>
      </w:r>
      <w:r w:rsidRPr="0045674C">
        <w:t>in construction activity</w:t>
      </w:r>
      <w:r>
        <w:t xml:space="preserve"> is expected to follow a larger fall in 2022</w:t>
      </w:r>
      <w:r>
        <w:noBreakHyphen/>
        <w:t>23, which in part reflects delays in activity in the first half of the year due to materials and labour shortages, and weather</w:t>
      </w:r>
      <w:r>
        <w:noBreakHyphen/>
        <w:t xml:space="preserve">related disruptions. However, there remains a large pipeline of residential construction work to be completed </w:t>
      </w:r>
      <w:r w:rsidRPr="00EE49CC">
        <w:t xml:space="preserve">(see Chart 2.4) </w:t>
      </w:r>
      <w:r>
        <w:t>following a surge in building approvals during 2020</w:t>
      </w:r>
      <w:r>
        <w:noBreakHyphen/>
        <w:t>21, which were supported by then record</w:t>
      </w:r>
      <w:r>
        <w:noBreakHyphen/>
        <w:t>low interest rates and government incentives. This pipeline will support construction activity,</w:t>
      </w:r>
      <w:r w:rsidDel="00F464AF">
        <w:t xml:space="preserve"> </w:t>
      </w:r>
      <w:r>
        <w:t>aided by a gradual easing of supply constraints. From 2024</w:t>
      </w:r>
      <w:r>
        <w:noBreakHyphen/>
        <w:t>25, dwelling investment is forecast to return to growth.</w:t>
      </w:r>
    </w:p>
    <w:p w14:paraId="26881579" w14:textId="77777777" w:rsidR="00E01C85" w:rsidRDefault="00E01C85" w:rsidP="00E01C85">
      <w:pPr>
        <w:pStyle w:val="TableHeading"/>
      </w:pPr>
      <w:r w:rsidRPr="00C4643D">
        <w:t>Chart</w:t>
      </w:r>
      <w:r>
        <w:t xml:space="preserve"> 2.4: </w:t>
      </w:r>
      <w:r>
        <w:tab/>
        <w:t>Total Victorian construction pipeline</w:t>
      </w:r>
    </w:p>
    <w:p w14:paraId="4DAC80FF" w14:textId="77777777" w:rsidR="00E01C85" w:rsidRDefault="00E01C85" w:rsidP="00E01C85">
      <w:bookmarkStart w:id="32" w:name="_1743417651"/>
      <w:bookmarkStart w:id="33" w:name="_1743486652"/>
      <w:bookmarkStart w:id="34" w:name="_1743494822"/>
      <w:bookmarkStart w:id="35" w:name="_1743521652"/>
      <w:bookmarkStart w:id="36" w:name="_1743574527"/>
      <w:bookmarkStart w:id="37" w:name="_1743855966"/>
      <w:bookmarkStart w:id="38" w:name="_1744005522"/>
      <w:bookmarkEnd w:id="32"/>
      <w:bookmarkEnd w:id="33"/>
      <w:bookmarkEnd w:id="34"/>
      <w:bookmarkEnd w:id="35"/>
      <w:bookmarkEnd w:id="36"/>
      <w:bookmarkEnd w:id="37"/>
      <w:bookmarkEnd w:id="38"/>
      <w:r>
        <w:rPr>
          <w:noProof/>
        </w:rPr>
        <w:drawing>
          <wp:inline distT="0" distB="0" distL="0" distR="0" wp14:anchorId="3992ADD7" wp14:editId="3D62F3A7">
            <wp:extent cx="4876165" cy="2946400"/>
            <wp:effectExtent l="0" t="0" r="635" b="6350"/>
            <wp:docPr id="15" name="Chart 15">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DDD9FC2" w14:textId="77777777" w:rsidR="00E01C85" w:rsidRPr="00256977" w:rsidRDefault="00E01C85" w:rsidP="00E01C85">
      <w:pPr>
        <w:pStyle w:val="Source"/>
      </w:pPr>
      <w:r w:rsidRPr="00256977">
        <w:t xml:space="preserve">Source: </w:t>
      </w:r>
      <w:r>
        <w:t>Australian Bureau of Statistics</w:t>
      </w:r>
    </w:p>
    <w:p w14:paraId="6A46CF9C" w14:textId="77777777" w:rsidR="00E01C85" w:rsidRDefault="00E01C85" w:rsidP="00E01C85"/>
    <w:p w14:paraId="39977082" w14:textId="77777777" w:rsidR="00E01C85" w:rsidRPr="00291F90" w:rsidRDefault="00E01C85" w:rsidP="00E01C85">
      <w:r>
        <w:t>Business investment is forecast to grow solidly in 2023</w:t>
      </w:r>
      <w:r>
        <w:noBreakHyphen/>
        <w:t>24, building on strong growth in 2022</w:t>
      </w:r>
      <w:r>
        <w:noBreakHyphen/>
        <w:t xml:space="preserve">23. Business conditions remain above average, and businesses’ utilisation of their available productive capacity remains </w:t>
      </w:r>
      <w:r w:rsidRPr="005807EE">
        <w:t xml:space="preserve">near </w:t>
      </w:r>
      <w:r>
        <w:t xml:space="preserve">a </w:t>
      </w:r>
      <w:r w:rsidRPr="005807EE">
        <w:t>record high.</w:t>
      </w:r>
      <w:r w:rsidRPr="003236EF">
        <w:rPr>
          <w:iCs/>
        </w:rPr>
        <w:t xml:space="preserve"> </w:t>
      </w:r>
      <w:r>
        <w:t>Reported investment intentions by surveyed firms remain elevated despite declining business confidence. The outlook is also supported by a large pipeline of both non</w:t>
      </w:r>
      <w:r>
        <w:noBreakHyphen/>
        <w:t>residential and engineering construction projects</w:t>
      </w:r>
      <w:r w:rsidRPr="00E03869">
        <w:t xml:space="preserve"> (see</w:t>
      </w:r>
      <w:r>
        <w:t> </w:t>
      </w:r>
      <w:r w:rsidRPr="00E03869">
        <w:t>Chart</w:t>
      </w:r>
      <w:r>
        <w:t> </w:t>
      </w:r>
      <w:r w:rsidRPr="00E03869">
        <w:t>2.4).</w:t>
      </w:r>
      <w:r>
        <w:t xml:space="preserve"> In the near term, higher input costs and ongoing material and labour shortages may continue to constrain construction activity. </w:t>
      </w:r>
    </w:p>
    <w:p w14:paraId="01C40718" w14:textId="77777777" w:rsidR="00E01C85" w:rsidRPr="00356D89" w:rsidRDefault="00E01C85" w:rsidP="00E01C85">
      <w:pPr>
        <w:rPr>
          <w:rFonts w:ascii="Garamond" w:eastAsia="Garamond" w:hAnsi="Garamond" w:cs="Times New Roman"/>
        </w:rPr>
      </w:pPr>
      <w:r>
        <w:rPr>
          <w:rFonts w:ascii="Garamond" w:eastAsia="Garamond" w:hAnsi="Garamond" w:cs="Times New Roman"/>
        </w:rPr>
        <w:t>Public demand is forecast to make a modest positive contribution to Victoria’s GSP growth in 2023</w:t>
      </w:r>
      <w:r>
        <w:rPr>
          <w:rFonts w:ascii="Garamond" w:eastAsia="Garamond" w:hAnsi="Garamond" w:cs="Times New Roman"/>
        </w:rPr>
        <w:noBreakHyphen/>
        <w:t>24, after an expected detraction from growth in 2022</w:t>
      </w:r>
      <w:r>
        <w:rPr>
          <w:rFonts w:ascii="Garamond" w:eastAsia="Garamond" w:hAnsi="Garamond" w:cs="Times New Roman"/>
        </w:rPr>
        <w:noBreakHyphen/>
        <w:t>23 as temporary pandemic</w:t>
      </w:r>
      <w:r>
        <w:rPr>
          <w:rFonts w:ascii="Garamond" w:eastAsia="Garamond" w:hAnsi="Garamond" w:cs="Times New Roman"/>
        </w:rPr>
        <w:noBreakHyphen/>
        <w:t xml:space="preserve">related spending wound down. A strong pipeline of government infrastructure and social housing projects will continue to underpin high levels of public investment. </w:t>
      </w:r>
    </w:p>
    <w:p w14:paraId="5850CB5B" w14:textId="77777777" w:rsidR="00E01C85" w:rsidRDefault="00E01C85" w:rsidP="00E01C85">
      <w:r>
        <w:t>Net trade in goods is expected to make a positive contribution to GSP in 2023</w:t>
      </w:r>
      <w:r>
        <w:noBreakHyphen/>
        <w:t>24. After a period of elevated goods consumption, the demand for imports of goods is expected to moderate as consumer spending patterns normalise after the COVID-19 pandemic, and as firms wind down inventories built up in recent years to mitigate supply chain risks. Meanwhile,</w:t>
      </w:r>
      <w:r w:rsidDel="00D345E1">
        <w:t xml:space="preserve"> e</w:t>
      </w:r>
      <w:r>
        <w:t xml:space="preserve">xports of goods are forecast to grow strongly over the year after favourable agricultural conditions and a highly productive winter crop in 2022, notwithstanding the impacts of the October–November floods on some producers </w:t>
      </w:r>
      <w:r w:rsidRPr="00332059">
        <w:t>(see Box 2.1)</w:t>
      </w:r>
      <w:r>
        <w:t xml:space="preserve">. </w:t>
      </w:r>
    </w:p>
    <w:p w14:paraId="2E963F46" w14:textId="77777777" w:rsidR="00E01C85" w:rsidRDefault="00E01C85" w:rsidP="00E01C85">
      <w:r>
        <w:t>Net trade in services is likely to detract from growth in 2023</w:t>
      </w:r>
      <w:r>
        <w:noBreakHyphen/>
        <w:t>24, with strong services imports, notably overseas travel, expected to exceed growth in services exports in the year. Victoria’s international services trade began to recover in 2022</w:t>
      </w:r>
      <w:r>
        <w:noBreakHyphen/>
        <w:t>23 after the reopening of national borders from late 2021, and</w:t>
      </w:r>
      <w:r w:rsidRPr="0083056E">
        <w:t xml:space="preserve"> </w:t>
      </w:r>
      <w:r>
        <w:t>the number of international students in Victoria has doubled since that time.</w:t>
      </w:r>
      <w:r w:rsidRPr="0072322C">
        <w:t xml:space="preserve"> </w:t>
      </w:r>
      <w:r>
        <w:t>Services imports are expected to continue experiencing strong growth</w:t>
      </w:r>
      <w:r w:rsidDel="00C52E9B">
        <w:t xml:space="preserve"> </w:t>
      </w:r>
      <w:r>
        <w:t xml:space="preserve">as Victorians increasingly resume international travel for work, leisure, and education. Services exports are also expected to grow strongly, led by further demand from international students. </w:t>
      </w:r>
    </w:p>
    <w:p w14:paraId="55062969" w14:textId="77777777" w:rsidR="00E01C85" w:rsidRDefault="00E01C85" w:rsidP="00E01C85">
      <w:pPr>
        <w:pStyle w:val="Heading10"/>
        <w:pageBreakBefore/>
      </w:pPr>
      <w:bookmarkStart w:id="39" w:name="_Toc56718737"/>
      <w:bookmarkStart w:id="40" w:name="_Toc101972146"/>
      <w:bookmarkStart w:id="41" w:name="_Toc135331245"/>
      <w:r>
        <w:t>Other economic indicators</w:t>
      </w:r>
      <w:bookmarkEnd w:id="39"/>
      <w:bookmarkEnd w:id="40"/>
      <w:bookmarkEnd w:id="41"/>
      <w:r>
        <w:t xml:space="preserve"> </w:t>
      </w:r>
    </w:p>
    <w:p w14:paraId="686F77D6" w14:textId="77777777" w:rsidR="00E01C85" w:rsidRDefault="00E01C85" w:rsidP="00E01C85">
      <w:pPr>
        <w:pStyle w:val="Heading20"/>
      </w:pPr>
      <w:r>
        <w:t>The labour market</w:t>
      </w:r>
    </w:p>
    <w:p w14:paraId="17552CA7" w14:textId="77777777" w:rsidR="00E01C85" w:rsidRDefault="00E01C85" w:rsidP="00E01C85">
      <w:r>
        <w:t xml:space="preserve">Labour market conditions have been strong over the past year. Demand for labour is very strong and the supply of labour has increased following the reopening of national borders. Employment is estimated to grow by </w:t>
      </w:r>
      <w:r w:rsidRPr="00A138F4">
        <w:t>3.50</w:t>
      </w:r>
      <w:r>
        <w:t> per cent in 2022</w:t>
      </w:r>
      <w:r>
        <w:noBreakHyphen/>
        <w:t xml:space="preserve">23, following growth of </w:t>
      </w:r>
      <w:r w:rsidRPr="000F7B72">
        <w:t>3.9</w:t>
      </w:r>
      <w:r>
        <w:t> per cent in 2021</w:t>
      </w:r>
      <w:r>
        <w:noBreakHyphen/>
        <w:t>22. The share of working</w:t>
      </w:r>
      <w:r>
        <w:noBreakHyphen/>
        <w:t>age Victorians in employment has risen to around record high levels, and the unemployment rate has fallen below 4 per cent for the first time since 1974. At the same time, there has also been a large decline in the underemployment rate, which is around a 20</w:t>
      </w:r>
      <w:r>
        <w:noBreakHyphen/>
        <w:t xml:space="preserve">year low (see </w:t>
      </w:r>
      <w:r w:rsidRPr="00AE7D03">
        <w:t>Chart 2.5).</w:t>
      </w:r>
    </w:p>
    <w:p w14:paraId="399EC953" w14:textId="46632B04" w:rsidR="00E01C85" w:rsidRDefault="00E01C85" w:rsidP="00E01C85">
      <w:r>
        <w:t>Employment growth has been led by full</w:t>
      </w:r>
      <w:r>
        <w:noBreakHyphen/>
        <w:t>time positions, with full</w:t>
      </w:r>
      <w:r>
        <w:noBreakHyphen/>
        <w:t xml:space="preserve">time jobs comprising around </w:t>
      </w:r>
      <w:r w:rsidR="00026A64">
        <w:t>75</w:t>
      </w:r>
      <w:r>
        <w:t xml:space="preserve"> per cent of the </w:t>
      </w:r>
      <w:r w:rsidR="00026A64">
        <w:t>almost 440 000</w:t>
      </w:r>
      <w:r>
        <w:t xml:space="preserve"> jobs created since September 2020. </w:t>
      </w:r>
    </w:p>
    <w:p w14:paraId="1B9E5A02" w14:textId="77777777" w:rsidR="00E01C85" w:rsidRDefault="00E01C85" w:rsidP="00E01C85">
      <w:pPr>
        <w:pStyle w:val="TableHeading"/>
      </w:pPr>
      <w:r w:rsidRPr="00393F01">
        <w:t>Chart 2.5</w:t>
      </w:r>
      <w:r>
        <w:t>:</w:t>
      </w:r>
      <w:r>
        <w:tab/>
        <w:t>Unemployment and underemployment rates</w:t>
      </w:r>
    </w:p>
    <w:p w14:paraId="42583B9A" w14:textId="7BC1C3FC" w:rsidR="007F2663" w:rsidRDefault="007F2663" w:rsidP="00E01C85">
      <w:pPr>
        <w:pStyle w:val="Source"/>
        <w:ind w:left="0" w:firstLine="0"/>
      </w:pPr>
      <w:r>
        <w:rPr>
          <w:noProof/>
        </w:rPr>
        <w:drawing>
          <wp:inline distT="0" distB="0" distL="0" distR="0" wp14:anchorId="538887F1" wp14:editId="182A148E">
            <wp:extent cx="4896485" cy="3044190"/>
            <wp:effectExtent l="0" t="0" r="0" b="3810"/>
            <wp:docPr id="8" name="Chart 8">
              <a:extLst xmlns:a="http://schemas.openxmlformats.org/drawingml/2006/main">
                <a:ext uri="{FF2B5EF4-FFF2-40B4-BE49-F238E27FC236}">
                  <a16:creationId xmlns:a16="http://schemas.microsoft.com/office/drawing/2014/main" id="{553BA209-8129-47D8-98B4-0A82CD0382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4EFC4F0" w14:textId="49CC6C01" w:rsidR="00E01C85" w:rsidRDefault="00E01C85" w:rsidP="00E01C85">
      <w:pPr>
        <w:pStyle w:val="Source"/>
        <w:ind w:left="0" w:firstLine="0"/>
      </w:pPr>
      <w:r>
        <w:t>Source: Australian Bureau of Statistics</w:t>
      </w:r>
    </w:p>
    <w:p w14:paraId="1D62E63C" w14:textId="77777777" w:rsidR="00E01C85" w:rsidRDefault="00E01C85" w:rsidP="00E01C85">
      <w:pPr>
        <w:pStyle w:val="Source"/>
        <w:ind w:left="0" w:firstLine="0"/>
      </w:pPr>
    </w:p>
    <w:p w14:paraId="7627445D" w14:textId="77777777" w:rsidR="00E01C85" w:rsidRDefault="00E01C85" w:rsidP="00E01C85">
      <w:pPr>
        <w:keepNext/>
      </w:pPr>
      <w:r>
        <w:t xml:space="preserve">Forward indicators of labour demand, such as job advertisements and job vacancies, have eased but remain at very high levels (see </w:t>
      </w:r>
      <w:r w:rsidRPr="00AE7D03">
        <w:t>Chart 2.6</w:t>
      </w:r>
      <w:r>
        <w:t xml:space="preserve">). This is expected to support continued growth in employment in the near term. </w:t>
      </w:r>
    </w:p>
    <w:p w14:paraId="5B76A94E" w14:textId="77777777" w:rsidR="00E01C85" w:rsidRDefault="00E01C85" w:rsidP="00E01C85">
      <w:pPr>
        <w:pStyle w:val="TableHeading"/>
        <w:rPr>
          <w:vertAlign w:val="superscript"/>
        </w:rPr>
      </w:pPr>
      <w:r>
        <w:t>Chart 2.6:</w:t>
      </w:r>
      <w:r>
        <w:tab/>
        <w:t xml:space="preserve">Job vacancies </w:t>
      </w:r>
      <w:r>
        <w:rPr>
          <w:vertAlign w:val="superscript"/>
        </w:rPr>
        <w:t>(a)</w:t>
      </w:r>
    </w:p>
    <w:p w14:paraId="724A098C" w14:textId="77777777" w:rsidR="00E01C85" w:rsidRDefault="00E01C85" w:rsidP="00E01C85">
      <w:pPr>
        <w:pStyle w:val="Source"/>
      </w:pPr>
      <w:r>
        <w:rPr>
          <w:noProof/>
        </w:rPr>
        <w:drawing>
          <wp:inline distT="0" distB="0" distL="0" distR="0" wp14:anchorId="3B7FA171" wp14:editId="2163389F">
            <wp:extent cx="4896485" cy="2800350"/>
            <wp:effectExtent l="0" t="0" r="0" b="0"/>
            <wp:docPr id="7" name="Chart 7">
              <a:extLst xmlns:a="http://schemas.openxmlformats.org/drawingml/2006/main">
                <a:ext uri="{FF2B5EF4-FFF2-40B4-BE49-F238E27FC236}">
                  <a16:creationId xmlns:a16="http://schemas.microsoft.com/office/drawing/2014/main" id="{6C6228F8-0A17-4E9F-B7E0-B6D8EE994D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D5D3580" w14:textId="77777777" w:rsidR="00E01C85" w:rsidRDefault="00E01C85" w:rsidP="00E01C85">
      <w:pPr>
        <w:pStyle w:val="Source"/>
      </w:pPr>
      <w:r>
        <w:t>Source: Australian Bureau of Statistics</w:t>
      </w:r>
    </w:p>
    <w:p w14:paraId="1BDA29DF" w14:textId="77777777" w:rsidR="00E01C85" w:rsidRDefault="00E01C85" w:rsidP="00E01C85">
      <w:pPr>
        <w:pStyle w:val="Note"/>
      </w:pPr>
      <w:r>
        <w:t xml:space="preserve">Note: </w:t>
      </w:r>
    </w:p>
    <w:p w14:paraId="1B851699" w14:textId="77777777" w:rsidR="00E01C85" w:rsidRDefault="00E01C85" w:rsidP="00E01C85">
      <w:pPr>
        <w:pStyle w:val="Note"/>
      </w:pPr>
      <w:r>
        <w:t xml:space="preserve">(a) </w:t>
      </w:r>
      <w:r>
        <w:tab/>
        <w:t>Not seasonally adjusted. The ABS did not collect job vacancy data between May 2008 and November 2009.</w:t>
      </w:r>
    </w:p>
    <w:p w14:paraId="5BC0A31A" w14:textId="77777777" w:rsidR="00E01C85" w:rsidRDefault="00E01C85" w:rsidP="00E01C85">
      <w:r>
        <w:t xml:space="preserve">With employment already at a high level relative to the size of the workforce, and with economic growth moderating, employment growth is forecast to slow to </w:t>
      </w:r>
      <w:r w:rsidRPr="00407B2E">
        <w:t>0.75</w:t>
      </w:r>
      <w:r>
        <w:t> per cent in 2023</w:t>
      </w:r>
      <w:r>
        <w:noBreakHyphen/>
        <w:t>24. Although</w:t>
      </w:r>
      <w:r w:rsidRPr="000F7B72">
        <w:t xml:space="preserve"> </w:t>
      </w:r>
      <w:r>
        <w:t>t</w:t>
      </w:r>
      <w:r w:rsidRPr="000F7B72">
        <w:t>he</w:t>
      </w:r>
      <w:r>
        <w:t xml:space="preserve"> unemployment rate is forecast to rise, from </w:t>
      </w:r>
      <w:r w:rsidRPr="00407B2E">
        <w:t>3.75</w:t>
      </w:r>
      <w:r>
        <w:t> per cent in 2022</w:t>
      </w:r>
      <w:r>
        <w:noBreakHyphen/>
        <w:t xml:space="preserve">23 to </w:t>
      </w:r>
      <w:r w:rsidRPr="00407B2E">
        <w:t>4.25</w:t>
      </w:r>
      <w:r>
        <w:t> per cent in 2023</w:t>
      </w:r>
      <w:r>
        <w:noBreakHyphen/>
        <w:t>24</w:t>
      </w:r>
      <w:r w:rsidRPr="000F7B72">
        <w:t>,</w:t>
      </w:r>
      <w:r>
        <w:t xml:space="preserve"> this will still be very low by historical standards. Prior to 2021</w:t>
      </w:r>
      <w:r>
        <w:noBreakHyphen/>
        <w:t xml:space="preserve">22, the annual unemployment rate had not been this low for almost 50 years. </w:t>
      </w:r>
      <w:r w:rsidRPr="00FC244F">
        <w:t xml:space="preserve"> </w:t>
      </w:r>
    </w:p>
    <w:p w14:paraId="083E0D24" w14:textId="77777777" w:rsidR="00E01C85" w:rsidRDefault="00E01C85" w:rsidP="00E01C85">
      <w:r>
        <w:t>Later in the forecast period, employment growth is expected to pick up alongside stronger GSP growth and in line with an increase in the working</w:t>
      </w:r>
      <w:r>
        <w:noBreakHyphen/>
        <w:t>age population. The unemployment rate is projected to gradually rise from low levels to a rate consistent with stable inflation within the RBA’s target band.</w:t>
      </w:r>
    </w:p>
    <w:p w14:paraId="4F8AD8BF" w14:textId="77777777" w:rsidR="00E01C85" w:rsidRDefault="00E01C85" w:rsidP="00E01C85">
      <w:pPr>
        <w:pStyle w:val="Heading20"/>
      </w:pPr>
      <w:r>
        <w:t xml:space="preserve">Prices </w:t>
      </w:r>
    </w:p>
    <w:p w14:paraId="1CA9F9D8" w14:textId="77777777" w:rsidR="00E01C85" w:rsidRDefault="00E01C85" w:rsidP="00E01C85">
      <w:pPr>
        <w:keepNext/>
      </w:pPr>
      <w:r>
        <w:t xml:space="preserve">Inflation has risen significantly over the past year, both domestically and globally. Annual price growth in Melbourne reached </w:t>
      </w:r>
      <w:r w:rsidRPr="00104A67">
        <w:t>8</w:t>
      </w:r>
      <w:r>
        <w:t> per cent in December 2022, its fastest rate of growth since 1990, while easing in March 2023 but remaining high at nearly 7 per cent. High inflation is leading to cost-of-living pressures for all Australians (see Box 2.2). The RBA has lifted interest rates rapidly over the past year to ensure that this surge in inflation is only temporary. Some households appear well</w:t>
      </w:r>
      <w:r>
        <w:noBreakHyphen/>
        <w:t>placed to manage these rising living costs – having experienced strong income growth and increasing their savings significantly in recent years – although many low-income households face rising financial challenges (see Box 2.</w:t>
      </w:r>
      <w:r w:rsidRPr="00AE7D03">
        <w:t>3</w:t>
      </w:r>
      <w:r>
        <w:t>). Inflation is expected to have peaked and is forecast to decline gradually over coming years as supply disruptions ease and higher interest rates curb aggregate demand.</w:t>
      </w:r>
    </w:p>
    <w:p w14:paraId="3FE2A0DF" w14:textId="77777777" w:rsidR="00E01C85" w:rsidRDefault="00E01C85" w:rsidP="00E01C85">
      <w:r>
        <w:t>Inflation was initially driven by global supply chain disruptions, and higher commodity prices due to Russia’s invasion of Ukraine. However, high inflation is now being driven by price rises across a broad range of market goods and services. Businesses have been able to pass on higher costs in an environment of strong consumer demand, contributing to this broad</w:t>
      </w:r>
      <w:r>
        <w:noBreakHyphen/>
        <w:t xml:space="preserve">based inflation. </w:t>
      </w:r>
    </w:p>
    <w:p w14:paraId="744256D6" w14:textId="77777777" w:rsidR="00E01C85" w:rsidRDefault="00E01C85" w:rsidP="00E01C85">
      <w:r>
        <w:t>Recent developments in international and domestic energy markets will affect inflation over the coming year. Wholesale gas and electricity prices rose significantly over 2022, partly due to the impact of Russia’s invasion of Ukraine on global commodity prices. Disruptions to coal-powered electricity generation in the Australian National Electricity Market, which reflected maintenance issues and fuel supply constraints, also contributed to higher prices. Wholesale electricity prices have since eased, although the higher prices observed over 2022 will be passed on to consumers this year, leading to expected strong growth in retail electricity prices in 2022</w:t>
      </w:r>
      <w:r>
        <w:noBreakHyphen/>
        <w:t>23. The Government’s Power Saving Bonus is currently easing cost</w:t>
      </w:r>
      <w:r>
        <w:noBreakHyphen/>
        <w:t>of</w:t>
      </w:r>
      <w:r>
        <w:noBreakHyphen/>
        <w:t>living pressures. Further, the Commonwealth’s Energy Price Relief Plan – which includes a temporary cap on wholesale gas prices and targeted bill relief delivered in partnership with states and territories – is expected to moderate retail energy price inflation.</w:t>
      </w:r>
    </w:p>
    <w:p w14:paraId="300A490D" w14:textId="77777777" w:rsidR="00E01C85" w:rsidRDefault="00E01C85" w:rsidP="00E01C85">
      <w:pPr>
        <w:ind w:right="151"/>
      </w:pPr>
      <w:r>
        <w:t xml:space="preserve">Inflation is expected to moderate gradually over the forecast period as overall business cost growth eases and domestic demand is constrained by higher interest rates. There are signs that price pressures have now begun to ease. Along with the easing in consumer inflation in the </w:t>
      </w:r>
      <w:r w:rsidRPr="0081588C">
        <w:t>March</w:t>
      </w:r>
      <w:r>
        <w:t xml:space="preserve"> quarter 2023, more timely survey measures of </w:t>
      </w:r>
      <w:r w:rsidRPr="0081588C">
        <w:t>price</w:t>
      </w:r>
      <w:r>
        <w:t xml:space="preserve"> pressures in Australia have fallen, and global shipping costs have declined from their highs in early 2022.</w:t>
      </w:r>
    </w:p>
    <w:p w14:paraId="15A15490" w14:textId="77777777" w:rsidR="00E01C85" w:rsidRDefault="00E01C85" w:rsidP="00E01C85">
      <w:pPr>
        <w:keepNext/>
      </w:pPr>
      <w:r>
        <w:t xml:space="preserve">Overall, inflation is forecast to average </w:t>
      </w:r>
      <w:r w:rsidRPr="00FF5445">
        <w:t>7.</w:t>
      </w:r>
      <w:r>
        <w:t>00 per cent in 2022</w:t>
      </w:r>
      <w:r>
        <w:noBreakHyphen/>
        <w:t xml:space="preserve">23, before easing supply chain disruptions and slower global and domestic economic growth reduce price growth over the forward estimates. Inflation is forecast to decline to </w:t>
      </w:r>
      <w:r w:rsidRPr="00FF5445">
        <w:t>4.25</w:t>
      </w:r>
      <w:r>
        <w:t> per cent in 2023</w:t>
      </w:r>
      <w:r>
        <w:noBreakHyphen/>
        <w:t xml:space="preserve">24 and </w:t>
      </w:r>
      <w:r w:rsidRPr="00FF5445">
        <w:t>2.75</w:t>
      </w:r>
      <w:r>
        <w:t> per cent in 2024</w:t>
      </w:r>
      <w:r>
        <w:noBreakHyphen/>
        <w:t xml:space="preserve">25, before returning to </w:t>
      </w:r>
      <w:r w:rsidRPr="00FF5445">
        <w:t>2.50</w:t>
      </w:r>
      <w:r>
        <w:t> per cent, in the middle of the RBA’s target band, in 2025</w:t>
      </w:r>
      <w:r>
        <w:noBreakHyphen/>
        <w:t>26.</w:t>
      </w:r>
    </w:p>
    <w:p w14:paraId="6935CDCF" w14:textId="77777777" w:rsidR="00E01C85" w:rsidRPr="00FB36BC" w:rsidRDefault="00E01C85" w:rsidP="00711A2B">
      <w:pPr>
        <w:pStyle w:val="ShadedBoxHeading"/>
        <w:spacing w:before="240"/>
      </w:pPr>
      <w:r w:rsidRPr="00FB36BC">
        <w:t>Box 2.2</w:t>
      </w:r>
      <w:r>
        <w:t>:</w:t>
      </w:r>
      <w:r w:rsidRPr="00FB36BC">
        <w:t xml:space="preserve"> </w:t>
      </w:r>
      <w:r>
        <w:tab/>
        <w:t>Victorian</w:t>
      </w:r>
      <w:r w:rsidRPr="00FB36BC">
        <w:t xml:space="preserve"> cost</w:t>
      </w:r>
      <w:r>
        <w:t>-</w:t>
      </w:r>
      <w:r w:rsidRPr="00FB36BC">
        <w:t>of</w:t>
      </w:r>
      <w:r>
        <w:t>-</w:t>
      </w:r>
      <w:r w:rsidRPr="00FB36BC">
        <w:t>living pressures</w:t>
      </w:r>
    </w:p>
    <w:p w14:paraId="50257290" w14:textId="77777777" w:rsidR="00E01C85" w:rsidRDefault="00E01C85" w:rsidP="00E01C85">
      <w:pPr>
        <w:pStyle w:val="ShadedBoxText"/>
        <w:rPr>
          <w:rFonts w:ascii="Garamond" w:hAnsi="Garamond" w:cs="Times New Roman"/>
        </w:rPr>
      </w:pPr>
      <w:r>
        <w:rPr>
          <w:rFonts w:ascii="Garamond" w:hAnsi="Garamond" w:cs="Times New Roman"/>
        </w:rPr>
        <w:t>A sharp rise in consumer prices, and associated</w:t>
      </w:r>
      <w:r w:rsidRPr="009F1C99" w:rsidDel="0035219C">
        <w:rPr>
          <w:rFonts w:ascii="Garamond" w:hAnsi="Garamond" w:cs="Times New Roman"/>
        </w:rPr>
        <w:t xml:space="preserve"> </w:t>
      </w:r>
      <w:r w:rsidRPr="009F1C99">
        <w:rPr>
          <w:rFonts w:ascii="Garamond" w:hAnsi="Garamond" w:cs="Times New Roman"/>
        </w:rPr>
        <w:t xml:space="preserve">increases </w:t>
      </w:r>
      <w:r>
        <w:rPr>
          <w:rFonts w:ascii="Garamond" w:hAnsi="Garamond" w:cs="Times New Roman"/>
        </w:rPr>
        <w:t xml:space="preserve">in </w:t>
      </w:r>
      <w:r w:rsidRPr="009F1C99">
        <w:rPr>
          <w:rFonts w:ascii="Garamond" w:hAnsi="Garamond" w:cs="Times New Roman"/>
        </w:rPr>
        <w:t>interest rate</w:t>
      </w:r>
      <w:r>
        <w:rPr>
          <w:rFonts w:ascii="Garamond" w:hAnsi="Garamond" w:cs="Times New Roman"/>
        </w:rPr>
        <w:t xml:space="preserve">s, over the past year or so are affecting </w:t>
      </w:r>
      <w:r w:rsidRPr="009F1C99">
        <w:rPr>
          <w:rFonts w:ascii="Garamond" w:hAnsi="Garamond" w:cs="Times New Roman"/>
        </w:rPr>
        <w:t>Victorian</w:t>
      </w:r>
      <w:r>
        <w:rPr>
          <w:rFonts w:ascii="Garamond" w:hAnsi="Garamond" w:cs="Times New Roman"/>
        </w:rPr>
        <w:t xml:space="preserve"> and Australian</w:t>
      </w:r>
      <w:r w:rsidRPr="009F1C99">
        <w:rPr>
          <w:rFonts w:ascii="Garamond" w:hAnsi="Garamond" w:cs="Times New Roman"/>
        </w:rPr>
        <w:t xml:space="preserve"> households. </w:t>
      </w:r>
      <w:r>
        <w:rPr>
          <w:rFonts w:ascii="Garamond" w:hAnsi="Garamond" w:cs="Times New Roman"/>
        </w:rPr>
        <w:t xml:space="preserve">Consumer inflation, as measured by the consumer price index (CPI), rose to a peak of </w:t>
      </w:r>
      <w:r w:rsidRPr="00454DCB">
        <w:rPr>
          <w:rFonts w:ascii="Garamond" w:hAnsi="Garamond" w:cs="Times New Roman"/>
        </w:rPr>
        <w:t>8</w:t>
      </w:r>
      <w:r>
        <w:rPr>
          <w:rFonts w:ascii="Garamond" w:hAnsi="Garamond" w:cs="Times New Roman"/>
        </w:rPr>
        <w:t xml:space="preserve"> per cent over the </w:t>
      </w:r>
      <w:r w:rsidRPr="00454DCB">
        <w:rPr>
          <w:rFonts w:ascii="Garamond" w:hAnsi="Garamond" w:cs="Times New Roman"/>
        </w:rPr>
        <w:t>year</w:t>
      </w:r>
      <w:r>
        <w:rPr>
          <w:rFonts w:ascii="Garamond" w:hAnsi="Garamond" w:cs="Times New Roman"/>
        </w:rPr>
        <w:t xml:space="preserve"> to December 2022</w:t>
      </w:r>
      <w:r w:rsidRPr="00454DCB">
        <w:rPr>
          <w:rFonts w:ascii="Garamond" w:hAnsi="Garamond" w:cs="Times New Roman"/>
        </w:rPr>
        <w:t>.</w:t>
      </w:r>
      <w:r>
        <w:rPr>
          <w:rFonts w:ascii="Garamond" w:hAnsi="Garamond" w:cs="Times New Roman"/>
        </w:rPr>
        <w:t xml:space="preserve"> Inflation eased somewhat over the year to March 2023, although it was still high at nearly 7 per cent, and the outlook for national inflation remained sufficiently elevated for the RBA to raise the cash rate further in May. </w:t>
      </w:r>
    </w:p>
    <w:p w14:paraId="47A8DB86" w14:textId="79B33F91" w:rsidR="00E01C85" w:rsidRDefault="00E01C85" w:rsidP="00E01C85">
      <w:pPr>
        <w:pStyle w:val="ShadedBoxText"/>
        <w:rPr>
          <w:rFonts w:ascii="Garamond" w:hAnsi="Garamond" w:cs="Times New Roman"/>
        </w:rPr>
      </w:pPr>
      <w:r>
        <w:rPr>
          <w:rFonts w:ascii="Garamond" w:hAnsi="Garamond" w:cs="Times New Roman"/>
        </w:rPr>
        <w:t>Overall, prices for non</w:t>
      </w:r>
      <w:r>
        <w:rPr>
          <w:rFonts w:ascii="Garamond" w:hAnsi="Garamond" w:cs="Times New Roman"/>
        </w:rPr>
        <w:noBreakHyphen/>
        <w:t xml:space="preserve">discretionary consumer items rose at </w:t>
      </w:r>
      <w:r w:rsidRPr="00454DCB">
        <w:rPr>
          <w:rFonts w:ascii="Garamond" w:hAnsi="Garamond" w:cs="Times New Roman"/>
        </w:rPr>
        <w:t xml:space="preserve">a broadly similar </w:t>
      </w:r>
      <w:r>
        <w:rPr>
          <w:rFonts w:ascii="Garamond" w:hAnsi="Garamond" w:cs="Times New Roman"/>
        </w:rPr>
        <w:t>rate to the CPI.</w:t>
      </w:r>
      <w:r w:rsidDel="00BA17F4">
        <w:rPr>
          <w:rFonts w:ascii="Garamond" w:hAnsi="Garamond" w:cs="Times New Roman"/>
        </w:rPr>
        <w:t xml:space="preserve"> </w:t>
      </w:r>
      <w:r>
        <w:rPr>
          <w:rFonts w:ascii="Garamond" w:hAnsi="Garamond" w:cs="Times New Roman"/>
        </w:rPr>
        <w:t xml:space="preserve">But prices for some items rose more quickly: over 2022, food prices rose by </w:t>
      </w:r>
      <w:r w:rsidRPr="006B3A05">
        <w:rPr>
          <w:rFonts w:ascii="Garamond" w:hAnsi="Garamond" w:cs="Times New Roman"/>
        </w:rPr>
        <w:t>10</w:t>
      </w:r>
      <w:r>
        <w:rPr>
          <w:rFonts w:ascii="Garamond" w:hAnsi="Garamond" w:cs="Times New Roman"/>
        </w:rPr>
        <w:t> per cent, household consumables</w:t>
      </w:r>
      <w:r w:rsidDel="00555D10">
        <w:rPr>
          <w:rFonts w:ascii="Garamond" w:hAnsi="Garamond" w:cs="Times New Roman"/>
        </w:rPr>
        <w:t xml:space="preserve"> </w:t>
      </w:r>
      <w:r>
        <w:rPr>
          <w:rFonts w:ascii="Garamond" w:hAnsi="Garamond" w:cs="Times New Roman"/>
        </w:rPr>
        <w:t xml:space="preserve">by </w:t>
      </w:r>
      <w:r w:rsidRPr="006B3A05">
        <w:rPr>
          <w:rFonts w:ascii="Garamond" w:hAnsi="Garamond" w:cs="Times New Roman"/>
        </w:rPr>
        <w:t>11</w:t>
      </w:r>
      <w:r>
        <w:rPr>
          <w:rFonts w:ascii="Garamond" w:hAnsi="Garamond" w:cs="Times New Roman"/>
        </w:rPr>
        <w:t xml:space="preserve"> per cent, fuel prices by </w:t>
      </w:r>
      <w:r w:rsidRPr="006B3A05">
        <w:rPr>
          <w:rFonts w:ascii="Garamond" w:hAnsi="Garamond" w:cs="Times New Roman"/>
        </w:rPr>
        <w:t>15</w:t>
      </w:r>
      <w:r>
        <w:rPr>
          <w:rFonts w:ascii="Garamond" w:hAnsi="Garamond" w:cs="Times New Roman"/>
        </w:rPr>
        <w:t xml:space="preserve"> per cent, gas by </w:t>
      </w:r>
      <w:r w:rsidRPr="006B3A05">
        <w:rPr>
          <w:rFonts w:ascii="Garamond" w:hAnsi="Garamond" w:cs="Times New Roman"/>
        </w:rPr>
        <w:t>23</w:t>
      </w:r>
      <w:r>
        <w:rPr>
          <w:rFonts w:ascii="Garamond" w:hAnsi="Garamond" w:cs="Times New Roman"/>
        </w:rPr>
        <w:t xml:space="preserve"> per cent and electricity prices rose by </w:t>
      </w:r>
      <w:r w:rsidRPr="006B3A05">
        <w:rPr>
          <w:rFonts w:ascii="Garamond" w:hAnsi="Garamond" w:cs="Times New Roman"/>
        </w:rPr>
        <w:t>5</w:t>
      </w:r>
      <w:r>
        <w:rPr>
          <w:rFonts w:ascii="Garamond" w:hAnsi="Garamond" w:cs="Times New Roman"/>
        </w:rPr>
        <w:t xml:space="preserve"> per cent. </w:t>
      </w:r>
      <w:r w:rsidRPr="0003471F">
        <w:rPr>
          <w:rFonts w:ascii="Garamond" w:hAnsi="Garamond" w:cs="Times New Roman"/>
        </w:rPr>
        <w:t>Together</w:t>
      </w:r>
      <w:r>
        <w:rPr>
          <w:rFonts w:ascii="Garamond" w:hAnsi="Garamond" w:cs="Times New Roman"/>
        </w:rPr>
        <w:t>, these items make up about one</w:t>
      </w:r>
      <w:r>
        <w:rPr>
          <w:rFonts w:ascii="Garamond" w:hAnsi="Garamond" w:cs="Times New Roman"/>
        </w:rPr>
        <w:noBreakHyphen/>
        <w:t>fifth of consumption expenditure for low and middle</w:t>
      </w:r>
      <w:r>
        <w:rPr>
          <w:rFonts w:ascii="Garamond" w:hAnsi="Garamond" w:cs="Times New Roman"/>
        </w:rPr>
        <w:noBreakHyphen/>
        <w:t xml:space="preserve">income households. </w:t>
      </w:r>
      <w:r w:rsidRPr="0084015C">
        <w:rPr>
          <w:rFonts w:ascii="Garamond" w:hAnsi="Garamond" w:cs="Times New Roman"/>
        </w:rPr>
        <w:t>Prices for these and several other non-discretionary items continued to rise over the year to March</w:t>
      </w:r>
      <w:r w:rsidR="007B1F83">
        <w:rPr>
          <w:rFonts w:ascii="Garamond" w:hAnsi="Garamond" w:cs="Times New Roman"/>
        </w:rPr>
        <w:t> </w:t>
      </w:r>
      <w:r w:rsidRPr="0084015C">
        <w:rPr>
          <w:rFonts w:ascii="Garamond" w:hAnsi="Garamond" w:cs="Times New Roman"/>
        </w:rPr>
        <w:t>2023 (see Chart 2.7). Gas prices rose strongly in the March quarter, bringing annual</w:t>
      </w:r>
      <w:r w:rsidR="007B1F83">
        <w:rPr>
          <w:rFonts w:ascii="Garamond" w:hAnsi="Garamond" w:cs="Times New Roman"/>
        </w:rPr>
        <w:t> </w:t>
      </w:r>
      <w:r w:rsidRPr="0084015C">
        <w:rPr>
          <w:rFonts w:ascii="Garamond" w:hAnsi="Garamond" w:cs="Times New Roman"/>
        </w:rPr>
        <w:t>price growth to 36 per cent. Electricity prices are expected to rise strongly later in</w:t>
      </w:r>
      <w:r w:rsidR="00711A2B">
        <w:rPr>
          <w:rFonts w:ascii="Garamond" w:hAnsi="Garamond" w:cs="Times New Roman"/>
        </w:rPr>
        <w:t> </w:t>
      </w:r>
      <w:r w:rsidRPr="0084015C">
        <w:rPr>
          <w:rFonts w:ascii="Garamond" w:hAnsi="Garamond" w:cs="Times New Roman"/>
        </w:rPr>
        <w:t>2023, as higher wholesale prices in 2022 flow to consumer prices with a lag.</w:t>
      </w:r>
      <w:r>
        <w:rPr>
          <w:rFonts w:ascii="Garamond" w:hAnsi="Garamond" w:cs="Times New Roman"/>
        </w:rPr>
        <w:t xml:space="preserve"> </w:t>
      </w:r>
    </w:p>
    <w:p w14:paraId="33FA7C05" w14:textId="77777777" w:rsidR="00E01C85" w:rsidRPr="004200B7" w:rsidRDefault="00E01C85" w:rsidP="00E01C85">
      <w:pPr>
        <w:pStyle w:val="ShadedBoxHeading"/>
        <w:ind w:left="1440" w:hanging="1440"/>
      </w:pPr>
      <w:r w:rsidRPr="003832BD">
        <w:t>Chart 2.</w:t>
      </w:r>
      <w:r>
        <w:t>7</w:t>
      </w:r>
      <w:r w:rsidRPr="003832BD">
        <w:t>:</w:t>
      </w:r>
      <w:r w:rsidRPr="003832BD">
        <w:tab/>
      </w:r>
      <w:r>
        <w:t xml:space="preserve">Annual price growth of selected non-discretionary consumer items, Melbourne, December 2022 and March 2023 </w:t>
      </w:r>
    </w:p>
    <w:p w14:paraId="2B74AB94" w14:textId="77777777" w:rsidR="00E01C85" w:rsidRDefault="00E01C85" w:rsidP="00E01C85">
      <w:pPr>
        <w:pStyle w:val="ShadedBoxText"/>
      </w:pPr>
      <w:r>
        <w:rPr>
          <w:noProof/>
        </w:rPr>
        <w:drawing>
          <wp:inline distT="0" distB="0" distL="0" distR="0" wp14:anchorId="70CE8CFB" wp14:editId="767FE59A">
            <wp:extent cx="4896485" cy="2916555"/>
            <wp:effectExtent l="0" t="0" r="0" b="0"/>
            <wp:docPr id="5" name="Chart 5">
              <a:extLst xmlns:a="http://schemas.openxmlformats.org/drawingml/2006/main">
                <a:ext uri="{FF2B5EF4-FFF2-40B4-BE49-F238E27FC236}">
                  <a16:creationId xmlns:a16="http://schemas.microsoft.com/office/drawing/2014/main" id="{00000000-0008-0000-0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5E7057D" w14:textId="77777777" w:rsidR="00E01C85" w:rsidRDefault="00E01C85" w:rsidP="00E01C85">
      <w:pPr>
        <w:pStyle w:val="ShadedBoxNote"/>
      </w:pPr>
      <w:r w:rsidRPr="00562EDF">
        <w:t>Source: Australian Bureau of Statistics</w:t>
      </w:r>
    </w:p>
    <w:p w14:paraId="7ACA5324" w14:textId="77777777" w:rsidR="00E01C85" w:rsidRPr="00562EDF" w:rsidRDefault="00E01C85" w:rsidP="00E01C85"/>
    <w:p w14:paraId="3EE477E6" w14:textId="77777777" w:rsidR="00E01C85" w:rsidRDefault="00E01C85" w:rsidP="00E01C85">
      <w:pPr>
        <w:pStyle w:val="ShadedBoxText"/>
        <w:rPr>
          <w:rFonts w:ascii="Garamond" w:hAnsi="Garamond" w:cs="Times New Roman"/>
        </w:rPr>
      </w:pPr>
      <w:r>
        <w:rPr>
          <w:rFonts w:ascii="Garamond" w:hAnsi="Garamond" w:cs="Times New Roman"/>
        </w:rPr>
        <w:t>Housing costs are a major expense for most Victorian households. For the 29 per cent of Victorian households who rent, rental costs account on average for around one</w:t>
      </w:r>
      <w:r>
        <w:rPr>
          <w:rFonts w:ascii="Garamond" w:hAnsi="Garamond" w:cs="Times New Roman"/>
        </w:rPr>
        <w:noBreakHyphen/>
        <w:t xml:space="preserve">quarter of their total household spending. Low vacancy rates are driving substantial price rises: advertised rents in Melbourne have increased by </w:t>
      </w:r>
      <w:r w:rsidRPr="006B3A05">
        <w:rPr>
          <w:rFonts w:ascii="Garamond" w:hAnsi="Garamond" w:cs="Times New Roman"/>
        </w:rPr>
        <w:t>25</w:t>
      </w:r>
      <w:r>
        <w:rPr>
          <w:rFonts w:ascii="Garamond" w:hAnsi="Garamond" w:cs="Times New Roman"/>
        </w:rPr>
        <w:t xml:space="preserve"> per cent over the year to March 2023, after declining in 2020 and 2021. However, rents for both new and existing Melbourne rentals, as measured in the CPI, have risen at a lower overall rate, up by 3 per cent over the year to March. In regional Victoria, advertised rents have risen by 37 per cent over the past three years. </w:t>
      </w:r>
    </w:p>
    <w:p w14:paraId="5DD89B14" w14:textId="77777777" w:rsidR="00E01C85" w:rsidRPr="00957E55" w:rsidRDefault="00E01C85" w:rsidP="00E01C85">
      <w:pPr>
        <w:pStyle w:val="ShadedBoxText"/>
        <w:rPr>
          <w:sz w:val="20"/>
          <w:szCs w:val="20"/>
        </w:rPr>
      </w:pPr>
      <w:r>
        <w:rPr>
          <w:rFonts w:ascii="Garamond" w:hAnsi="Garamond" w:cs="Times New Roman"/>
        </w:rPr>
        <w:t>For the approximately one</w:t>
      </w:r>
      <w:r>
        <w:rPr>
          <w:rFonts w:ascii="Garamond" w:hAnsi="Garamond" w:cs="Times New Roman"/>
        </w:rPr>
        <w:noBreakHyphen/>
        <w:t xml:space="preserve">third of Victorian households with a mortgage, </w:t>
      </w:r>
      <w:r w:rsidRPr="006B363A">
        <w:rPr>
          <w:rFonts w:ascii="Garamond" w:hAnsi="Garamond" w:cs="Times New Roman"/>
        </w:rPr>
        <w:t>interest payments</w:t>
      </w:r>
      <w:r>
        <w:rPr>
          <w:rFonts w:ascii="Garamond" w:hAnsi="Garamond" w:cs="Times New Roman"/>
        </w:rPr>
        <w:t xml:space="preserve"> have also risen sharply – in line with the RBA’s increases in the cash </w:t>
      </w:r>
      <w:r w:rsidRPr="003E1957">
        <w:rPr>
          <w:rFonts w:ascii="Garamond" w:hAnsi="Garamond" w:cs="Times New Roman"/>
        </w:rPr>
        <w:t>rate</w:t>
      </w:r>
      <w:r>
        <w:rPr>
          <w:rFonts w:ascii="Garamond" w:hAnsi="Garamond" w:cs="Times New Roman"/>
        </w:rPr>
        <w:t>. Nationally, households are now paying more than 4 per cent of gross household income in dwelling interest expenses</w:t>
      </w:r>
      <w:r w:rsidRPr="003E1957">
        <w:rPr>
          <w:rFonts w:ascii="Garamond" w:hAnsi="Garamond" w:cs="Times New Roman"/>
        </w:rPr>
        <w:t xml:space="preserve"> (see</w:t>
      </w:r>
      <w:r>
        <w:rPr>
          <w:rFonts w:ascii="Garamond" w:hAnsi="Garamond" w:cs="Times New Roman"/>
        </w:rPr>
        <w:t> </w:t>
      </w:r>
      <w:r w:rsidRPr="003E1957">
        <w:rPr>
          <w:rFonts w:ascii="Garamond" w:hAnsi="Garamond" w:cs="Times New Roman"/>
        </w:rPr>
        <w:t>Chart</w:t>
      </w:r>
      <w:r>
        <w:rPr>
          <w:rFonts w:ascii="Garamond" w:hAnsi="Garamond" w:cs="Times New Roman"/>
        </w:rPr>
        <w:t> </w:t>
      </w:r>
      <w:r w:rsidRPr="003E1957">
        <w:rPr>
          <w:rFonts w:ascii="Garamond" w:hAnsi="Garamond" w:cs="Times New Roman"/>
        </w:rPr>
        <w:t>2.8). The</w:t>
      </w:r>
      <w:r>
        <w:rPr>
          <w:rFonts w:ascii="Garamond" w:hAnsi="Garamond" w:cs="Times New Roman"/>
        </w:rPr>
        <w:t xml:space="preserve"> RBA estimates that, as previous increases in the cash rate continue to be passed on to borrowers, total scheduled interest and principal repayments will rise to nearly 10 per cent of aggregate household disposable income by the end of 2024. However, many borrowers have been making additional repayments that bring their total repayments close to this level already, meaning the average Australian mortgagor would not need to increase their total repayments to meet these rising interest rates.</w:t>
      </w:r>
      <w:r w:rsidRPr="002E1D3F">
        <w:rPr>
          <w:rFonts w:ascii="Garamond" w:hAnsi="Garamond" w:cs="Times New Roman"/>
          <w:i/>
          <w:iCs/>
          <w:color w:val="FF0000"/>
        </w:rPr>
        <w:t xml:space="preserve"> </w:t>
      </w:r>
    </w:p>
    <w:p w14:paraId="59C23704" w14:textId="77777777" w:rsidR="00E01C85" w:rsidRPr="00562EDF" w:rsidRDefault="00E01C85" w:rsidP="00E01C85">
      <w:pPr>
        <w:pStyle w:val="ShadedBoxHeading"/>
      </w:pPr>
      <w:r w:rsidRPr="003832BD">
        <w:t>Chart 2.</w:t>
      </w:r>
      <w:r>
        <w:t>8</w:t>
      </w:r>
      <w:r w:rsidRPr="003832BD">
        <w:t>:</w:t>
      </w:r>
      <w:r w:rsidRPr="003832BD">
        <w:tab/>
      </w:r>
      <w:r>
        <w:t xml:space="preserve">Dwelling interest expenses (share of gross household income), Australia </w:t>
      </w:r>
    </w:p>
    <w:p w14:paraId="0AC56BC0" w14:textId="77777777" w:rsidR="00E01C85" w:rsidRPr="00387AD5" w:rsidRDefault="00E01C85" w:rsidP="00E01C85">
      <w:pPr>
        <w:pStyle w:val="ShadedBoxText"/>
      </w:pPr>
      <w:bookmarkStart w:id="42" w:name="_1743417652"/>
      <w:bookmarkStart w:id="43" w:name="_1743486663"/>
      <w:bookmarkStart w:id="44" w:name="_1743494823"/>
      <w:bookmarkStart w:id="45" w:name="_1743521653"/>
      <w:bookmarkStart w:id="46" w:name="_1743574528"/>
      <w:bookmarkStart w:id="47" w:name="_1744005523"/>
      <w:bookmarkEnd w:id="42"/>
      <w:bookmarkEnd w:id="43"/>
      <w:bookmarkEnd w:id="44"/>
      <w:bookmarkEnd w:id="45"/>
      <w:bookmarkEnd w:id="46"/>
      <w:bookmarkEnd w:id="47"/>
      <w:r>
        <w:rPr>
          <w:noProof/>
        </w:rPr>
        <w:drawing>
          <wp:inline distT="0" distB="0" distL="0" distR="0" wp14:anchorId="00CAF9F2" wp14:editId="23984DD7">
            <wp:extent cx="4876165" cy="2768600"/>
            <wp:effectExtent l="0" t="0" r="0" b="0"/>
            <wp:docPr id="17" name="Chart 17">
              <a:extLst xmlns:a="http://schemas.openxmlformats.org/drawingml/2006/main">
                <a:ext uri="{FF2B5EF4-FFF2-40B4-BE49-F238E27FC236}">
                  <a16:creationId xmlns:a16="http://schemas.microsoft.com/office/drawing/2014/main" id="{00000000-0008-0000-1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2C34950" w14:textId="77777777" w:rsidR="00E01C85" w:rsidRPr="00105F07" w:rsidRDefault="00E01C85" w:rsidP="00E01C85">
      <w:pPr>
        <w:pStyle w:val="ShadedBoxNote"/>
      </w:pPr>
      <w:r w:rsidRPr="00105F07">
        <w:t>Source</w:t>
      </w:r>
      <w:r>
        <w:t>s</w:t>
      </w:r>
      <w:r w:rsidRPr="00105F07">
        <w:t>: Australian Bureau of Statistics</w:t>
      </w:r>
      <w:r>
        <w:t>;</w:t>
      </w:r>
      <w:r w:rsidRPr="00105F07">
        <w:t xml:space="preserve"> Department of Treasury and Finance</w:t>
      </w:r>
    </w:p>
    <w:p w14:paraId="28E0747B" w14:textId="77777777" w:rsidR="00E01C85" w:rsidRDefault="00E01C85" w:rsidP="00E01C85">
      <w:pPr>
        <w:pStyle w:val="Heading20"/>
      </w:pPr>
      <w:r>
        <w:t>Wages</w:t>
      </w:r>
    </w:p>
    <w:p w14:paraId="45E1542C" w14:textId="77777777" w:rsidR="00E01C85" w:rsidRDefault="00E01C85" w:rsidP="00E01C85">
      <w:pPr>
        <w:keepNext/>
      </w:pPr>
      <w:r>
        <w:t>Victorian wages are estimated to grow by 3.50 per cent in 2022</w:t>
      </w:r>
      <w:r>
        <w:noBreakHyphen/>
        <w:t xml:space="preserve">23 and are forecast to grow by a further </w:t>
      </w:r>
      <w:r w:rsidRPr="00686B47">
        <w:t>3.50</w:t>
      </w:r>
      <w:r>
        <w:t> per cent in 2023</w:t>
      </w:r>
      <w:r>
        <w:noBreakHyphen/>
        <w:t>24. This is considerably stronger than growth recorded in recent years following the COVID</w:t>
      </w:r>
      <w:r>
        <w:noBreakHyphen/>
        <w:t>19 pandemic, and is also stronger than was recorded in the five years leading up to the pandemic. Economic expansion, a tight labour market and high inflation have contributed to higher wages growth. A larger than usual increase to minimum and award wages by the Fair Work Commission also supported wages growth in the second half of 2022.</w:t>
      </w:r>
    </w:p>
    <w:p w14:paraId="7066EC61" w14:textId="77777777" w:rsidR="00E01C85" w:rsidRDefault="00E01C85" w:rsidP="00E01C85">
      <w:r>
        <w:t>Wages growth has been uneven across wage</w:t>
      </w:r>
      <w:r>
        <w:noBreakHyphen/>
        <w:t>setting processes. Increases have been strong for private sector jobs on individual arrangements, which are most sensitive to labour market conditions, and for those on awards. By contrast, wages in enterprise bargaining agreements, which may last up to four years or more, have grown at a slower rate.</w:t>
      </w:r>
    </w:p>
    <w:p w14:paraId="3787419F" w14:textId="77777777" w:rsidR="00E01C85" w:rsidRPr="00B801F7" w:rsidRDefault="00E01C85" w:rsidP="00E01C85">
      <w:r>
        <w:t>The RBA’s business liaison program, and business surveys, also report an increase in private sector wages amid tight labour market conditions. In its May 2023</w:t>
      </w:r>
      <w:r w:rsidDel="00F57A9D">
        <w:t xml:space="preserve"> </w:t>
      </w:r>
      <w:r>
        <w:rPr>
          <w:i/>
          <w:iCs/>
        </w:rPr>
        <w:t>Statement on Monetary Policy</w:t>
      </w:r>
      <w:r>
        <w:t xml:space="preserve">, the RBA noted that firms it surveyed reported wages growth had been around 4 per cent in recent months, with wages growth above pre-pandemic rates in all industries. Businesses’ expectations for wages growth over the next 12 months have recently moderated, though, with firms citing factors such as softening business conditions, increased internal focus on cost control and improved availability of labour. </w:t>
      </w:r>
    </w:p>
    <w:p w14:paraId="5AED3851" w14:textId="77777777" w:rsidR="00E01C85" w:rsidRDefault="00E01C85" w:rsidP="00E01C85">
      <w:pPr>
        <w:pStyle w:val="ShadedBoxHeading"/>
        <w:pageBreakBefore/>
        <w:tabs>
          <w:tab w:val="left" w:pos="4414"/>
        </w:tabs>
        <w:ind w:left="1022" w:hanging="1022"/>
      </w:pPr>
      <w:r w:rsidRPr="00FB36BC">
        <w:t>Box 2.</w:t>
      </w:r>
      <w:r>
        <w:t>3: Household savings</w:t>
      </w:r>
    </w:p>
    <w:p w14:paraId="5996672C" w14:textId="41B776F9" w:rsidR="00E01C85" w:rsidRDefault="00E01C85" w:rsidP="00E01C85">
      <w:pPr>
        <w:pStyle w:val="ShadedBoxText"/>
      </w:pPr>
      <w:bookmarkStart w:id="48" w:name="_1743855968"/>
      <w:bookmarkStart w:id="49" w:name="_1744005524"/>
      <w:bookmarkEnd w:id="48"/>
      <w:bookmarkEnd w:id="49"/>
      <w:r>
        <w:t xml:space="preserve">Households overall saved around one-fifth to one-quarter of their </w:t>
      </w:r>
      <w:r w:rsidRPr="009F1C99">
        <w:t>income</w:t>
      </w:r>
      <w:r>
        <w:t xml:space="preserve"> during certain periods of 2020 and 2021, and while the share of income that households are saving has</w:t>
      </w:r>
      <w:r w:rsidR="00711A2B">
        <w:t> </w:t>
      </w:r>
      <w:r>
        <w:t>fallen from these very high rates, households continue to add to their savings (see </w:t>
      </w:r>
      <w:r w:rsidRPr="00863C76">
        <w:t>Chart</w:t>
      </w:r>
      <w:r>
        <w:t> </w:t>
      </w:r>
      <w:r w:rsidRPr="00863C76">
        <w:t>2</w:t>
      </w:r>
      <w:r>
        <w:t>.9)</w:t>
      </w:r>
      <w:r w:rsidRPr="009F1C99">
        <w:t>.</w:t>
      </w:r>
      <w:r>
        <w:t xml:space="preserve"> Household incomes rose</w:t>
      </w:r>
      <w:r w:rsidRPr="001B6246">
        <w:t xml:space="preserve"> </w:t>
      </w:r>
      <w:r>
        <w:t>in 2020 and 2021, partly due to government support payments</w:t>
      </w:r>
      <w:r w:rsidRPr="001B6246">
        <w:t>.</w:t>
      </w:r>
      <w:r>
        <w:t xml:space="preserve"> At the same time, spending</w:t>
      </w:r>
      <w:r w:rsidRPr="009F1C99">
        <w:t xml:space="preserve"> opportunities</w:t>
      </w:r>
      <w:r>
        <w:t xml:space="preserve"> were limited. The RBA estimates that </w:t>
      </w:r>
      <w:r w:rsidRPr="003C695A">
        <w:t>about $300 billion</w:t>
      </w:r>
      <w:r>
        <w:t xml:space="preserve"> of ‘excess’ savings have been accumulated across Australia since early 2020</w:t>
      </w:r>
      <w:r w:rsidRPr="003C695A">
        <w:t>. Total</w:t>
      </w:r>
      <w:r>
        <w:t xml:space="preserve"> household deposits (including mortgage offset accounts but not including prepayments available in mortgage redraw facilities) have </w:t>
      </w:r>
      <w:r w:rsidRPr="004E5283">
        <w:t>risen to nearly $1.6 trillion (see</w:t>
      </w:r>
      <w:r w:rsidRPr="00DB25D3">
        <w:t xml:space="preserve"> </w:t>
      </w:r>
      <w:r w:rsidRPr="00AC6C30">
        <w:t>Chart 2.</w:t>
      </w:r>
      <w:r>
        <w:t>9</w:t>
      </w:r>
      <w:r w:rsidRPr="00AC6C30">
        <w:t>).</w:t>
      </w:r>
    </w:p>
    <w:p w14:paraId="7A00E476" w14:textId="6C14EC76" w:rsidR="00E01C85" w:rsidRDefault="00E01C85" w:rsidP="00E01C85">
      <w:pPr>
        <w:pStyle w:val="ShadedBoxText"/>
      </w:pPr>
      <w:r>
        <w:t>Nonetheless, some households are finding cost</w:t>
      </w:r>
      <w:r>
        <w:noBreakHyphen/>
        <w:t>of</w:t>
      </w:r>
      <w:r>
        <w:noBreakHyphen/>
        <w:t>living pressures particularly challenging. Lower</w:t>
      </w:r>
      <w:r>
        <w:noBreakHyphen/>
        <w:t>income workers, particularly those facing rising rental costs, are finding rising consumer prices more difficult to manage than most other households. The RBA recently</w:t>
      </w:r>
      <w:r w:rsidR="00711A2B">
        <w:t> </w:t>
      </w:r>
      <w:r>
        <w:t xml:space="preserve">noted that increased demand for community services has primarily come from renters. Borrowers on lower incomes and </w:t>
      </w:r>
      <w:r w:rsidRPr="009F1C99">
        <w:t>with relatively new loans</w:t>
      </w:r>
      <w:r>
        <w:t>, who have had less time to build savings buffers,</w:t>
      </w:r>
      <w:r w:rsidRPr="009F1C99">
        <w:t xml:space="preserve"> will </w:t>
      </w:r>
      <w:r>
        <w:t xml:space="preserve">also likely need </w:t>
      </w:r>
      <w:r w:rsidRPr="009F1C99">
        <w:t>to adjust</w:t>
      </w:r>
      <w:r>
        <w:t xml:space="preserve"> their</w:t>
      </w:r>
      <w:r w:rsidRPr="009F1C99">
        <w:t xml:space="preserve"> spending</w:t>
      </w:r>
      <w:r>
        <w:t xml:space="preserve"> more </w:t>
      </w:r>
      <w:r w:rsidRPr="009F1C99">
        <w:t>than other</w:t>
      </w:r>
      <w:r w:rsidR="00711A2B">
        <w:t> </w:t>
      </w:r>
      <w:r>
        <w:t>households</w:t>
      </w:r>
      <w:r w:rsidRPr="009F1C99">
        <w:t xml:space="preserve">. </w:t>
      </w:r>
    </w:p>
    <w:p w14:paraId="0F498F23" w14:textId="77777777" w:rsidR="00E01C85" w:rsidRDefault="00E01C85" w:rsidP="00E01C85">
      <w:pPr>
        <w:pStyle w:val="ShadedBoxHeading"/>
        <w:rPr>
          <w:vertAlign w:val="superscript"/>
        </w:rPr>
      </w:pPr>
      <w:r w:rsidRPr="003832BD">
        <w:t>Chart 2.</w:t>
      </w:r>
      <w:r>
        <w:t>9</w:t>
      </w:r>
      <w:r w:rsidRPr="003832BD">
        <w:t>:</w:t>
      </w:r>
      <w:r w:rsidRPr="003832BD">
        <w:tab/>
      </w:r>
      <w:r>
        <w:t xml:space="preserve">Household savings ratio and household deposits, Australia </w:t>
      </w:r>
      <w:r w:rsidRPr="002266E1">
        <w:rPr>
          <w:vertAlign w:val="superscript"/>
        </w:rPr>
        <w:t>(a)</w:t>
      </w:r>
    </w:p>
    <w:p w14:paraId="1404E664" w14:textId="77777777" w:rsidR="00E01C85" w:rsidRDefault="00E01C85" w:rsidP="00E01C85">
      <w:pPr>
        <w:pStyle w:val="ShadedBoxText"/>
        <w:rPr>
          <w:vertAlign w:val="superscript"/>
        </w:rPr>
      </w:pPr>
      <w:r>
        <w:rPr>
          <w:noProof/>
        </w:rPr>
        <w:drawing>
          <wp:inline distT="0" distB="0" distL="0" distR="0" wp14:anchorId="7D948E99" wp14:editId="24EF058D">
            <wp:extent cx="2279650" cy="3228975"/>
            <wp:effectExtent l="0" t="0" r="0" b="0"/>
            <wp:docPr id="9" name="Chart 9">
              <a:extLst xmlns:a="http://schemas.openxmlformats.org/drawingml/2006/main">
                <a:ext uri="{FF2B5EF4-FFF2-40B4-BE49-F238E27FC236}">
                  <a16:creationId xmlns:a16="http://schemas.microsoft.com/office/drawing/2014/main" id="{00000000-0008-0000-1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Pr>
          <w:vertAlign w:val="superscript"/>
        </w:rPr>
        <w:t xml:space="preserve">  </w:t>
      </w:r>
      <w:r>
        <w:rPr>
          <w:noProof/>
        </w:rPr>
        <w:drawing>
          <wp:inline distT="0" distB="0" distL="0" distR="0" wp14:anchorId="0314DE5B" wp14:editId="00B4C0E7">
            <wp:extent cx="2438399" cy="3257549"/>
            <wp:effectExtent l="0" t="0" r="635" b="635"/>
            <wp:docPr id="10" name="Chart 10">
              <a:extLst xmlns:a="http://schemas.openxmlformats.org/drawingml/2006/main">
                <a:ext uri="{FF2B5EF4-FFF2-40B4-BE49-F238E27FC236}">
                  <a16:creationId xmlns:a16="http://schemas.microsoft.com/office/drawing/2014/main" id="{00000000-0008-0000-1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B075868" w14:textId="77777777" w:rsidR="00E01C85" w:rsidRDefault="00E01C85" w:rsidP="00E01C85">
      <w:pPr>
        <w:pStyle w:val="ShadedBoxNote"/>
      </w:pPr>
      <w:r w:rsidRPr="00105F07">
        <w:t>Source</w:t>
      </w:r>
      <w:r>
        <w:t>s</w:t>
      </w:r>
      <w:r w:rsidRPr="00105F07">
        <w:t>: Australian Bureau of Statistics</w:t>
      </w:r>
      <w:r>
        <w:t>; Department of Treasury and Finance</w:t>
      </w:r>
    </w:p>
    <w:p w14:paraId="03D74B9A" w14:textId="77777777" w:rsidR="00E01C85" w:rsidRPr="002266E1" w:rsidRDefault="00E01C85" w:rsidP="00E01C85">
      <w:pPr>
        <w:pStyle w:val="ShadedBoxNote"/>
      </w:pPr>
      <w:r w:rsidRPr="002266E1">
        <w:t xml:space="preserve">Note: </w:t>
      </w:r>
    </w:p>
    <w:p w14:paraId="757C00CC" w14:textId="77777777" w:rsidR="00E01C85" w:rsidRPr="00015B49" w:rsidRDefault="00E01C85" w:rsidP="00E01C85">
      <w:pPr>
        <w:pStyle w:val="ShadedBoxNote"/>
      </w:pPr>
      <w:r w:rsidRPr="002266E1">
        <w:t>(a)</w:t>
      </w:r>
      <w:r>
        <w:t xml:space="preserve"> </w:t>
      </w:r>
      <w:r>
        <w:tab/>
        <w:t>T</w:t>
      </w:r>
      <w:r w:rsidRPr="00017042">
        <w:t xml:space="preserve">he household savings ratio is the ratio of </w:t>
      </w:r>
      <w:r>
        <w:t xml:space="preserve">net </w:t>
      </w:r>
      <w:r w:rsidRPr="00017042">
        <w:t>savings to net disposable income.</w:t>
      </w:r>
    </w:p>
    <w:p w14:paraId="3137989B" w14:textId="77777777" w:rsidR="00E01C85" w:rsidRDefault="00E01C85" w:rsidP="00E01C85">
      <w:pPr>
        <w:pStyle w:val="Heading20"/>
      </w:pPr>
      <w:r>
        <w:t xml:space="preserve">Population </w:t>
      </w:r>
    </w:p>
    <w:p w14:paraId="3CE64DF2" w14:textId="610FDA61" w:rsidR="00E01C85" w:rsidRDefault="00E01C85" w:rsidP="00E01C85">
      <w:pPr>
        <w:rPr>
          <w:rFonts w:ascii="Garamond" w:hAnsi="Garamond"/>
        </w:rPr>
      </w:pPr>
      <w:r>
        <w:rPr>
          <w:rFonts w:ascii="Garamond" w:hAnsi="Garamond"/>
        </w:rPr>
        <w:t>Victoria’s population growth was strong in the decade leading up to the COVID</w:t>
      </w:r>
      <w:r>
        <w:rPr>
          <w:rFonts w:ascii="Garamond" w:hAnsi="Garamond"/>
        </w:rPr>
        <w:noBreakHyphen/>
        <w:t>19 pandemic. However, the closure of national borders following the onset of the pandemic had a significant negative impact on population growth, with Victoria’s population falling over 2020</w:t>
      </w:r>
      <w:r>
        <w:rPr>
          <w:rFonts w:ascii="Garamond" w:hAnsi="Garamond"/>
        </w:rPr>
        <w:noBreakHyphen/>
        <w:t>21. Following the reopening of Australia’s borders, population growth began to</w:t>
      </w:r>
      <w:r w:rsidR="00711A2B">
        <w:rPr>
          <w:rFonts w:ascii="Garamond" w:hAnsi="Garamond"/>
        </w:rPr>
        <w:t> </w:t>
      </w:r>
      <w:r>
        <w:rPr>
          <w:rFonts w:ascii="Garamond" w:hAnsi="Garamond"/>
        </w:rPr>
        <w:t>recover strongly over 2021</w:t>
      </w:r>
      <w:r>
        <w:rPr>
          <w:rFonts w:ascii="Garamond" w:hAnsi="Garamond"/>
        </w:rPr>
        <w:softHyphen/>
        <w:t>-22. Further strong growth is expected in the medium term, with population growth forecast to be above its long-term trend rate from 2022</w:t>
      </w:r>
      <w:r>
        <w:rPr>
          <w:rFonts w:ascii="Garamond" w:hAnsi="Garamond"/>
        </w:rPr>
        <w:noBreakHyphen/>
        <w:t>23 to 2024</w:t>
      </w:r>
      <w:r>
        <w:rPr>
          <w:rFonts w:ascii="Garamond" w:hAnsi="Garamond"/>
        </w:rPr>
        <w:noBreakHyphen/>
        <w:t xml:space="preserve">25. </w:t>
      </w:r>
    </w:p>
    <w:p w14:paraId="6A491C5F" w14:textId="77777777" w:rsidR="00E01C85" w:rsidRDefault="00E01C85" w:rsidP="00E01C85">
      <w:pPr>
        <w:rPr>
          <w:rFonts w:ascii="Garamond" w:hAnsi="Garamond"/>
        </w:rPr>
      </w:pPr>
      <w:r>
        <w:rPr>
          <w:rFonts w:ascii="Garamond" w:hAnsi="Garamond"/>
        </w:rPr>
        <w:t>Net overseas migration was the largest driver of Victoria’s population growth for more than a decade before the pandemic.</w:t>
      </w:r>
      <w:r w:rsidDel="001B0C84">
        <w:rPr>
          <w:rFonts w:ascii="Garamond" w:hAnsi="Garamond"/>
        </w:rPr>
        <w:t xml:space="preserve"> </w:t>
      </w:r>
      <w:r>
        <w:rPr>
          <w:rFonts w:ascii="Garamond" w:hAnsi="Garamond"/>
        </w:rPr>
        <w:t>Australia’s border restrictions, which came into effect in March 2020, led to a net outflow of overseas migrants from June 2020 to September 2021 as departures of foreign students and workers outpaced very low levels of migrant arrivals. With national border restrictions easing from November 2021, the inflow of migrants, particularly foreign students, increased strongly and by late 2022 had returned to around its pre</w:t>
      </w:r>
      <w:r>
        <w:rPr>
          <w:rFonts w:ascii="Garamond" w:hAnsi="Garamond"/>
        </w:rPr>
        <w:noBreakHyphen/>
        <w:t>pandemic level (see </w:t>
      </w:r>
      <w:r w:rsidRPr="00B37B71">
        <w:rPr>
          <w:rFonts w:ascii="Garamond" w:hAnsi="Garamond"/>
        </w:rPr>
        <w:t>Chart</w:t>
      </w:r>
      <w:r>
        <w:rPr>
          <w:rFonts w:ascii="Garamond" w:hAnsi="Garamond"/>
        </w:rPr>
        <w:t> </w:t>
      </w:r>
      <w:r w:rsidRPr="00B37B71">
        <w:rPr>
          <w:rFonts w:ascii="Garamond" w:hAnsi="Garamond"/>
        </w:rPr>
        <w:t>2.1</w:t>
      </w:r>
      <w:r>
        <w:rPr>
          <w:rFonts w:ascii="Garamond" w:hAnsi="Garamond"/>
        </w:rPr>
        <w:t xml:space="preserve">0). </w:t>
      </w:r>
    </w:p>
    <w:p w14:paraId="11D25217" w14:textId="77777777" w:rsidR="00E01C85" w:rsidRDefault="00E01C85" w:rsidP="00E01C85">
      <w:pPr>
        <w:pStyle w:val="TableHeading"/>
        <w:rPr>
          <w:vertAlign w:val="superscript"/>
        </w:rPr>
      </w:pPr>
      <w:r w:rsidRPr="00C4643D">
        <w:t>Chart</w:t>
      </w:r>
      <w:r>
        <w:t xml:space="preserve"> </w:t>
      </w:r>
      <w:r w:rsidRPr="00B37B71">
        <w:t>2.1</w:t>
      </w:r>
      <w:r>
        <w:t>0</w:t>
      </w:r>
      <w:r w:rsidRPr="00B37B71">
        <w:t>:</w:t>
      </w:r>
      <w:r>
        <w:tab/>
        <w:t xml:space="preserve">Net overseas migration growth </w:t>
      </w:r>
      <w:r>
        <w:rPr>
          <w:vertAlign w:val="superscript"/>
        </w:rPr>
        <w:t>(a)</w:t>
      </w:r>
    </w:p>
    <w:p w14:paraId="4CA3ED35" w14:textId="77777777" w:rsidR="00E01C85" w:rsidRPr="00DF454B" w:rsidRDefault="00E01C85" w:rsidP="00E01C85">
      <w:r>
        <w:rPr>
          <w:noProof/>
        </w:rPr>
        <w:drawing>
          <wp:inline distT="0" distB="0" distL="0" distR="0" wp14:anchorId="4FF01A44" wp14:editId="315906C1">
            <wp:extent cx="4876800" cy="2838450"/>
            <wp:effectExtent l="0" t="0" r="0" b="0"/>
            <wp:docPr id="11" name="Chart 1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7CFF494" w14:textId="77777777" w:rsidR="00E01C85" w:rsidRDefault="00E01C85" w:rsidP="00E01C85">
      <w:pPr>
        <w:pStyle w:val="Source"/>
      </w:pPr>
      <w:r>
        <w:t>Source: Australian Bureau of Statistics</w:t>
      </w:r>
    </w:p>
    <w:p w14:paraId="0FE6A1F1" w14:textId="77777777" w:rsidR="00E01C85" w:rsidRDefault="00E01C85" w:rsidP="00E01C85">
      <w:pPr>
        <w:pStyle w:val="Note"/>
      </w:pPr>
      <w:r>
        <w:t xml:space="preserve">Note: </w:t>
      </w:r>
    </w:p>
    <w:p w14:paraId="1DDF5BAA" w14:textId="77777777" w:rsidR="00E01C85" w:rsidRDefault="00E01C85" w:rsidP="00E01C85">
      <w:pPr>
        <w:pStyle w:val="Note"/>
      </w:pPr>
      <w:r>
        <w:t xml:space="preserve">(a) </w:t>
      </w:r>
      <w:r>
        <w:tab/>
        <w:t>Four</w:t>
      </w:r>
      <w:r>
        <w:noBreakHyphen/>
        <w:t>quarter rolling sum.</w:t>
      </w:r>
    </w:p>
    <w:p w14:paraId="1CCC5CAE" w14:textId="77777777" w:rsidR="00E01C85" w:rsidRDefault="00E01C85" w:rsidP="00E01C85">
      <w:pPr>
        <w:pStyle w:val="Heading10"/>
      </w:pPr>
      <w:bookmarkStart w:id="50" w:name="_Toc135331246"/>
      <w:r>
        <w:t>Australian economic conditions and outlook</w:t>
      </w:r>
      <w:bookmarkEnd w:id="50"/>
    </w:p>
    <w:p w14:paraId="670C4378" w14:textId="77777777" w:rsidR="00E01C85" w:rsidRDefault="00E01C85" w:rsidP="00E01C85">
      <w:pPr>
        <w:keepNext/>
      </w:pPr>
      <w:r>
        <w:t xml:space="preserve">The Australian economy has performed well over the past year, led by strong growth in consumer spending and public demand. The economy grew by 3.7 per cent in calendar year 2022, although the rate of growth slowed in the second half of the year due to the impact of high inflation and rising interest rates. </w:t>
      </w:r>
    </w:p>
    <w:p w14:paraId="5C853EA4" w14:textId="13B73656" w:rsidR="00E01C85" w:rsidRPr="001C4958" w:rsidRDefault="00E01C85" w:rsidP="00E01C85">
      <w:r>
        <w:t xml:space="preserve">In its </w:t>
      </w:r>
      <w:r w:rsidRPr="00C76980">
        <w:rPr>
          <w:i/>
          <w:iCs/>
        </w:rPr>
        <w:t>2023</w:t>
      </w:r>
      <w:r>
        <w:rPr>
          <w:i/>
          <w:iCs/>
        </w:rPr>
        <w:noBreakHyphen/>
      </w:r>
      <w:r w:rsidRPr="00C76980">
        <w:rPr>
          <w:i/>
          <w:iCs/>
        </w:rPr>
        <w:t>24</w:t>
      </w:r>
      <w:r>
        <w:t xml:space="preserve"> </w:t>
      </w:r>
      <w:r>
        <w:rPr>
          <w:i/>
          <w:iCs/>
        </w:rPr>
        <w:t>Budget</w:t>
      </w:r>
      <w:r>
        <w:t>, the Commonwealth forecast the Australian economy to grow by 1.5 per cent in 2023</w:t>
      </w:r>
      <w:r>
        <w:noBreakHyphen/>
        <w:t xml:space="preserve">24. This follows expected growth of </w:t>
      </w:r>
      <w:r w:rsidRPr="00CD6B1F">
        <w:t>3.25</w:t>
      </w:r>
      <w:r>
        <w:t> per cent in 2022</w:t>
      </w:r>
      <w:r>
        <w:noBreakHyphen/>
        <w:t>23. High inflation and rising interest rates are the main drivers of the lower growth outlook for 2023</w:t>
      </w:r>
      <w:r>
        <w:noBreakHyphen/>
        <w:t>24, with weaker growth expected in household consumption and dwelling investment. A deterioration in the global economic outlook is another factor behind the</w:t>
      </w:r>
      <w:r w:rsidR="00711A2B">
        <w:t> </w:t>
      </w:r>
      <w:r>
        <w:t>weaker growth forecast for 2023</w:t>
      </w:r>
      <w:r>
        <w:noBreakHyphen/>
        <w:t xml:space="preserve">24. </w:t>
      </w:r>
    </w:p>
    <w:p w14:paraId="7EC0F091" w14:textId="4B1E1E19" w:rsidR="00E01C85" w:rsidRDefault="00E01C85" w:rsidP="00E01C85">
      <w:r>
        <w:t>Despite this, the outlook for the labour market remains positive. The Commonwealth forecasts employment to grow by 1 per cent through the year to the June quarter 2024, up</w:t>
      </w:r>
      <w:r w:rsidR="00711A2B">
        <w:t> </w:t>
      </w:r>
      <w:r>
        <w:t xml:space="preserve">from a forecast of 0.75 per cent in its </w:t>
      </w:r>
      <w:r>
        <w:rPr>
          <w:i/>
          <w:iCs/>
        </w:rPr>
        <w:t>2022</w:t>
      </w:r>
      <w:r>
        <w:rPr>
          <w:i/>
          <w:iCs/>
        </w:rPr>
        <w:noBreakHyphen/>
        <w:t>23 Budget</w:t>
      </w:r>
      <w:r>
        <w:rPr>
          <w:iCs/>
        </w:rPr>
        <w:t xml:space="preserve"> in October,</w:t>
      </w:r>
      <w:r>
        <w:t xml:space="preserve"> supported by stronger migration. The unemployment rate is expected to rise modestly over this period, to 4.25 per cent,</w:t>
      </w:r>
      <w:r w:rsidDel="00603428">
        <w:t xml:space="preserve"> </w:t>
      </w:r>
      <w:r>
        <w:t xml:space="preserve">although this is still comfortably below its pre-pandemic rate of over 5 per cent. </w:t>
      </w:r>
    </w:p>
    <w:p w14:paraId="4AD9E675" w14:textId="77777777" w:rsidR="00E01C85" w:rsidRDefault="00E01C85" w:rsidP="00E01C85">
      <w:r>
        <w:t>Ongoing strength in the labour market is expected to contribute to a further pick</w:t>
      </w:r>
      <w:r>
        <w:noBreakHyphen/>
        <w:t>up in wages growth. The Australian wage price index rose by 3.3 per cent over the year to the December 2022 quarter, and the Commonwealth forecasts</w:t>
      </w:r>
      <w:r w:rsidDel="003A4C17">
        <w:t xml:space="preserve"> </w:t>
      </w:r>
      <w:r>
        <w:t xml:space="preserve">it will grow by 4 per cent over the year to the June quarter 2024. This would be the highest rate since 2009. </w:t>
      </w:r>
    </w:p>
    <w:p w14:paraId="246AF30B" w14:textId="77777777" w:rsidR="00E01C85" w:rsidRDefault="00E01C85" w:rsidP="00E01C85">
      <w:r>
        <w:t xml:space="preserve">Inflation, while expected to have peaked, is forecast to remain high over the coming year. Global supply chain disruptions are easing, with fuel and international shipping costs continuing to fall from recent peaks. Domestic capacity constraints are now the main driver of higher prices. The Commonwealth forecasts inflation will be 3.25 per cent by the June quarter 2024, down from an estimated 6 per cent in the June quarter 2023. </w:t>
      </w:r>
    </w:p>
    <w:p w14:paraId="35FAACFC" w14:textId="77777777" w:rsidR="00E01C85" w:rsidRPr="00BE57EA" w:rsidRDefault="00E01C85" w:rsidP="00E01C85">
      <w:pPr>
        <w:pStyle w:val="Heading10"/>
        <w:pageBreakBefore/>
      </w:pPr>
      <w:bookmarkStart w:id="51" w:name="_Toc135331247"/>
      <w:r>
        <w:t>International economic conditions and outlook</w:t>
      </w:r>
      <w:bookmarkEnd w:id="51"/>
    </w:p>
    <w:p w14:paraId="6CCB1E07" w14:textId="77777777" w:rsidR="00E01C85" w:rsidRDefault="00E01C85" w:rsidP="00E01C85">
      <w:r>
        <w:t>The global economy also faces high inflation and sharply rising interest rates. Financial stability concerns, following banking problems in the United States and Switzerland</w:t>
      </w:r>
      <w:r w:rsidRPr="00986D25">
        <w:t xml:space="preserve"> </w:t>
      </w:r>
      <w:r>
        <w:t xml:space="preserve">in recent months, present another challenge to growth. In its April 2023 </w:t>
      </w:r>
      <w:r w:rsidRPr="00BE57EA">
        <w:rPr>
          <w:i/>
        </w:rPr>
        <w:t>World Economic Outlook</w:t>
      </w:r>
      <w:r>
        <w:t xml:space="preserve">, the International Monetary Fund (IMF) forecast global economic growth to slow to 2.8 per cent in 2023, following estimated growth of 3.4 per cent in 2022. This is weak by historical standards, with world growth over the two decades to 2019 averaging nearly 4.0 per cent a year. Global headline inflation is expected to have peaked in 2022 at 8.7 per cent, but is forecast to remain high at 7.0 per cent in 2023. </w:t>
      </w:r>
    </w:p>
    <w:p w14:paraId="474BF49E" w14:textId="77777777" w:rsidR="00E01C85" w:rsidRPr="00256977" w:rsidRDefault="00E01C85" w:rsidP="00E01C85">
      <w:pPr>
        <w:pStyle w:val="TableHeading"/>
        <w:rPr>
          <w:bCs/>
          <w:lang w:val="en-US"/>
        </w:rPr>
      </w:pPr>
      <w:r w:rsidRPr="00256977">
        <w:t>Table 2.</w:t>
      </w:r>
      <w:r>
        <w:t>2</w:t>
      </w:r>
      <w:r w:rsidRPr="00256977">
        <w:t>:</w:t>
      </w:r>
      <w:r w:rsidRPr="00256977">
        <w:tab/>
        <w:t>Summary of IMF</w:t>
      </w:r>
      <w:r>
        <w:t>’</w:t>
      </w:r>
      <w:r w:rsidRPr="00256977">
        <w:t xml:space="preserve">s global economic </w:t>
      </w:r>
      <w:r>
        <w:t>growth</w:t>
      </w:r>
      <w:r w:rsidRPr="00256977">
        <w:t xml:space="preserve"> forecasts </w:t>
      </w:r>
      <w:r w:rsidRPr="00256977">
        <w:rPr>
          <w:vertAlign w:val="superscript"/>
        </w:rPr>
        <w:t>(a)(b)</w:t>
      </w:r>
      <w:r w:rsidRPr="00256977">
        <w:rPr>
          <w:vertAlign w:val="superscript"/>
        </w:rPr>
        <w:tab/>
      </w:r>
      <w:r w:rsidRPr="00256977">
        <w:t>(per cent)</w:t>
      </w:r>
    </w:p>
    <w:tbl>
      <w:tblPr>
        <w:tblStyle w:val="DTFTableNumeric"/>
        <w:tblW w:w="7765" w:type="dxa"/>
        <w:tblLayout w:type="fixed"/>
        <w:tblLook w:val="04A0" w:firstRow="1" w:lastRow="0" w:firstColumn="1" w:lastColumn="0" w:noHBand="0" w:noVBand="1"/>
      </w:tblPr>
      <w:tblGrid>
        <w:gridCol w:w="4365"/>
        <w:gridCol w:w="850"/>
        <w:gridCol w:w="850"/>
        <w:gridCol w:w="850"/>
        <w:gridCol w:w="850"/>
      </w:tblGrid>
      <w:tr w:rsidR="00E01C85" w:rsidRPr="00256977" w14:paraId="2BB8795B" w14:textId="77777777" w:rsidTr="009835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Pr>
          <w:p w14:paraId="47F437D3" w14:textId="77777777" w:rsidR="00E01C85" w:rsidRPr="00256977" w:rsidRDefault="00E01C85" w:rsidP="0098354D"/>
        </w:tc>
        <w:tc>
          <w:tcPr>
            <w:tcW w:w="850" w:type="dxa"/>
          </w:tcPr>
          <w:p w14:paraId="7F0E7F1A" w14:textId="77777777" w:rsidR="00E01C85" w:rsidRPr="00256977" w:rsidRDefault="00E01C85" w:rsidP="0098354D">
            <w:pPr>
              <w:cnfStyle w:val="100000000000" w:firstRow="1" w:lastRow="0" w:firstColumn="0" w:lastColumn="0" w:oddVBand="0" w:evenVBand="0" w:oddHBand="0" w:evenHBand="0" w:firstRowFirstColumn="0" w:firstRowLastColumn="0" w:lastRowFirstColumn="0" w:lastRowLastColumn="0"/>
            </w:pPr>
            <w:r w:rsidRPr="00256977">
              <w:t>2021</w:t>
            </w:r>
          </w:p>
          <w:p w14:paraId="6A2F0666" w14:textId="77777777" w:rsidR="00E01C85" w:rsidRPr="00256977" w:rsidRDefault="00E01C85" w:rsidP="0098354D">
            <w:pPr>
              <w:cnfStyle w:val="100000000000" w:firstRow="1" w:lastRow="0" w:firstColumn="0" w:lastColumn="0" w:oddVBand="0" w:evenVBand="0" w:oddHBand="0" w:evenHBand="0" w:firstRowFirstColumn="0" w:firstRowLastColumn="0" w:lastRowFirstColumn="0" w:lastRowLastColumn="0"/>
            </w:pPr>
            <w:r>
              <w:t>actual</w:t>
            </w:r>
          </w:p>
        </w:tc>
        <w:tc>
          <w:tcPr>
            <w:tcW w:w="850" w:type="dxa"/>
          </w:tcPr>
          <w:p w14:paraId="29155DEF" w14:textId="77777777" w:rsidR="00E01C85" w:rsidRPr="00256977" w:rsidRDefault="00E01C85" w:rsidP="0098354D">
            <w:pPr>
              <w:cnfStyle w:val="100000000000" w:firstRow="1" w:lastRow="0" w:firstColumn="0" w:lastColumn="0" w:oddVBand="0" w:evenVBand="0" w:oddHBand="0" w:evenHBand="0" w:firstRowFirstColumn="0" w:firstRowLastColumn="0" w:lastRowFirstColumn="0" w:lastRowLastColumn="0"/>
            </w:pPr>
            <w:r w:rsidRPr="00256977">
              <w:t>202</w:t>
            </w:r>
            <w:r>
              <w:t>2</w:t>
            </w:r>
          </w:p>
          <w:p w14:paraId="33C15C5D" w14:textId="77777777" w:rsidR="00E01C85" w:rsidRPr="00256977" w:rsidRDefault="00E01C85" w:rsidP="0098354D">
            <w:pPr>
              <w:cnfStyle w:val="100000000000" w:firstRow="1" w:lastRow="0" w:firstColumn="0" w:lastColumn="0" w:oddVBand="0" w:evenVBand="0" w:oddHBand="0" w:evenHBand="0" w:firstRowFirstColumn="0" w:firstRowLastColumn="0" w:lastRowFirstColumn="0" w:lastRowLastColumn="0"/>
            </w:pPr>
            <w:r>
              <w:t>estimate</w:t>
            </w:r>
          </w:p>
        </w:tc>
        <w:tc>
          <w:tcPr>
            <w:tcW w:w="850" w:type="dxa"/>
          </w:tcPr>
          <w:p w14:paraId="1C011AA7" w14:textId="77777777" w:rsidR="00E01C85" w:rsidRPr="00256977" w:rsidRDefault="00E01C85" w:rsidP="0098354D">
            <w:pPr>
              <w:cnfStyle w:val="100000000000" w:firstRow="1" w:lastRow="0" w:firstColumn="0" w:lastColumn="0" w:oddVBand="0" w:evenVBand="0" w:oddHBand="0" w:evenHBand="0" w:firstRowFirstColumn="0" w:firstRowLastColumn="0" w:lastRowFirstColumn="0" w:lastRowLastColumn="0"/>
            </w:pPr>
            <w:r w:rsidRPr="00256977">
              <w:t>202</w:t>
            </w:r>
            <w:r>
              <w:t>3</w:t>
            </w:r>
          </w:p>
          <w:p w14:paraId="71683B5A" w14:textId="77777777" w:rsidR="00E01C85" w:rsidRPr="00256977" w:rsidRDefault="00E01C85" w:rsidP="0098354D">
            <w:pPr>
              <w:cnfStyle w:val="100000000000" w:firstRow="1" w:lastRow="0" w:firstColumn="0" w:lastColumn="0" w:oddVBand="0" w:evenVBand="0" w:oddHBand="0" w:evenHBand="0" w:firstRowFirstColumn="0" w:firstRowLastColumn="0" w:lastRowFirstColumn="0" w:lastRowLastColumn="0"/>
            </w:pPr>
            <w:r>
              <w:t>projection</w:t>
            </w:r>
          </w:p>
        </w:tc>
        <w:tc>
          <w:tcPr>
            <w:tcW w:w="850" w:type="dxa"/>
          </w:tcPr>
          <w:p w14:paraId="46B9DEDC" w14:textId="77777777" w:rsidR="00E01C85" w:rsidRPr="00256977" w:rsidRDefault="00E01C85" w:rsidP="0098354D">
            <w:pPr>
              <w:cnfStyle w:val="100000000000" w:firstRow="1" w:lastRow="0" w:firstColumn="0" w:lastColumn="0" w:oddVBand="0" w:evenVBand="0" w:oddHBand="0" w:evenHBand="0" w:firstRowFirstColumn="0" w:firstRowLastColumn="0" w:lastRowFirstColumn="0" w:lastRowLastColumn="0"/>
            </w:pPr>
            <w:r w:rsidRPr="00256977">
              <w:t>202</w:t>
            </w:r>
            <w:r>
              <w:t>4</w:t>
            </w:r>
          </w:p>
          <w:p w14:paraId="63A77ECD" w14:textId="77777777" w:rsidR="00E01C85" w:rsidRPr="00256977" w:rsidRDefault="00E01C85" w:rsidP="0098354D">
            <w:pPr>
              <w:cnfStyle w:val="100000000000" w:firstRow="1" w:lastRow="0" w:firstColumn="0" w:lastColumn="0" w:oddVBand="0" w:evenVBand="0" w:oddHBand="0" w:evenHBand="0" w:firstRowFirstColumn="0" w:firstRowLastColumn="0" w:lastRowFirstColumn="0" w:lastRowLastColumn="0"/>
            </w:pPr>
            <w:r w:rsidRPr="00256977">
              <w:t>projection</w:t>
            </w:r>
          </w:p>
        </w:tc>
      </w:tr>
      <w:tr w:rsidR="00E01C85" w:rsidRPr="00256977" w14:paraId="60E3AC2C" w14:textId="77777777" w:rsidTr="0098354D">
        <w:tc>
          <w:tcPr>
            <w:cnfStyle w:val="001000000000" w:firstRow="0" w:lastRow="0" w:firstColumn="1" w:lastColumn="0" w:oddVBand="0" w:evenVBand="0" w:oddHBand="0" w:evenHBand="0" w:firstRowFirstColumn="0" w:firstRowLastColumn="0" w:lastRowFirstColumn="0" w:lastRowLastColumn="0"/>
            <w:tcW w:w="4365" w:type="dxa"/>
          </w:tcPr>
          <w:p w14:paraId="5F146DB3" w14:textId="77777777" w:rsidR="00E01C85" w:rsidRPr="00256977" w:rsidRDefault="00E01C85" w:rsidP="0098354D">
            <w:pPr>
              <w:rPr>
                <w:rFonts w:eastAsiaTheme="minorEastAsia" w:cstheme="majorHAnsi"/>
                <w:b/>
                <w:bCs/>
                <w:color w:val="000000"/>
                <w:szCs w:val="17"/>
                <w:lang w:eastAsia="en-AU"/>
              </w:rPr>
            </w:pPr>
            <w:r w:rsidRPr="00256977">
              <w:rPr>
                <w:rFonts w:eastAsiaTheme="minorEastAsia" w:cstheme="majorHAnsi"/>
                <w:b/>
                <w:bCs/>
                <w:color w:val="000000"/>
                <w:szCs w:val="17"/>
                <w:lang w:eastAsia="en-AU"/>
              </w:rPr>
              <w:t>World output</w:t>
            </w:r>
          </w:p>
        </w:tc>
        <w:tc>
          <w:tcPr>
            <w:tcW w:w="850" w:type="dxa"/>
          </w:tcPr>
          <w:p w14:paraId="2DC15D78" w14:textId="77777777" w:rsidR="00E01C85" w:rsidRPr="00291B28"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7"/>
                <w:lang w:eastAsia="en-AU"/>
              </w:rPr>
            </w:pPr>
            <w:r w:rsidRPr="00291B28">
              <w:rPr>
                <w:rFonts w:eastAsiaTheme="minorEastAsia" w:cstheme="majorHAnsi"/>
                <w:b/>
                <w:bCs/>
                <w:color w:val="000000"/>
                <w:szCs w:val="17"/>
                <w:lang w:eastAsia="en-AU"/>
              </w:rPr>
              <w:t>6.</w:t>
            </w:r>
            <w:r>
              <w:rPr>
                <w:rFonts w:eastAsiaTheme="minorEastAsia" w:cstheme="majorHAnsi"/>
                <w:b/>
                <w:bCs/>
                <w:color w:val="000000"/>
                <w:szCs w:val="17"/>
                <w:lang w:eastAsia="en-AU"/>
              </w:rPr>
              <w:t>3</w:t>
            </w:r>
          </w:p>
        </w:tc>
        <w:tc>
          <w:tcPr>
            <w:tcW w:w="850" w:type="dxa"/>
          </w:tcPr>
          <w:p w14:paraId="6E2B9E95" w14:textId="77777777" w:rsidR="00E01C85" w:rsidRPr="00557E8C"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000000"/>
                <w:szCs w:val="17"/>
                <w:lang w:eastAsia="en-AU"/>
              </w:rPr>
            </w:pPr>
            <w:r w:rsidRPr="00557E8C">
              <w:rPr>
                <w:rFonts w:eastAsiaTheme="minorEastAsia" w:cstheme="majorHAnsi"/>
                <w:b/>
                <w:color w:val="000000"/>
                <w:szCs w:val="17"/>
                <w:lang w:eastAsia="en-AU"/>
              </w:rPr>
              <w:t>3.4</w:t>
            </w:r>
          </w:p>
        </w:tc>
        <w:tc>
          <w:tcPr>
            <w:tcW w:w="850" w:type="dxa"/>
          </w:tcPr>
          <w:p w14:paraId="1A6F99BD" w14:textId="77777777" w:rsidR="00E01C85" w:rsidRPr="00557E8C"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000000"/>
                <w:szCs w:val="17"/>
                <w:lang w:eastAsia="en-AU"/>
              </w:rPr>
            </w:pPr>
            <w:r w:rsidRPr="00557E8C">
              <w:rPr>
                <w:rFonts w:eastAsiaTheme="minorEastAsia" w:cstheme="majorHAnsi"/>
                <w:b/>
                <w:color w:val="000000"/>
                <w:szCs w:val="17"/>
                <w:lang w:eastAsia="en-AU"/>
              </w:rPr>
              <w:t>2.8</w:t>
            </w:r>
          </w:p>
        </w:tc>
        <w:tc>
          <w:tcPr>
            <w:tcW w:w="850" w:type="dxa"/>
          </w:tcPr>
          <w:p w14:paraId="4669B8CF" w14:textId="77777777" w:rsidR="00E01C85" w:rsidRPr="00557E8C"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000000"/>
                <w:szCs w:val="17"/>
                <w:lang w:eastAsia="en-AU"/>
              </w:rPr>
            </w:pPr>
            <w:r w:rsidRPr="00557E8C">
              <w:rPr>
                <w:rFonts w:eastAsiaTheme="minorEastAsia" w:cstheme="majorHAnsi"/>
                <w:b/>
                <w:color w:val="000000"/>
                <w:szCs w:val="17"/>
                <w:lang w:eastAsia="en-AU"/>
              </w:rPr>
              <w:t>3.0</w:t>
            </w:r>
          </w:p>
        </w:tc>
      </w:tr>
      <w:tr w:rsidR="00E01C85" w:rsidRPr="00256977" w14:paraId="003931E8" w14:textId="77777777" w:rsidTr="0098354D">
        <w:tc>
          <w:tcPr>
            <w:cnfStyle w:val="001000000000" w:firstRow="0" w:lastRow="0" w:firstColumn="1" w:lastColumn="0" w:oddVBand="0" w:evenVBand="0" w:oddHBand="0" w:evenHBand="0" w:firstRowFirstColumn="0" w:firstRowLastColumn="0" w:lastRowFirstColumn="0" w:lastRowLastColumn="0"/>
            <w:tcW w:w="4365" w:type="dxa"/>
          </w:tcPr>
          <w:p w14:paraId="1950FF0F" w14:textId="77777777" w:rsidR="00E01C85" w:rsidRPr="00256977" w:rsidRDefault="00E01C85" w:rsidP="0098354D">
            <w:pPr>
              <w:rPr>
                <w:rFonts w:eastAsiaTheme="minorEastAsia" w:cstheme="majorHAnsi"/>
                <w:b/>
                <w:bCs/>
                <w:color w:val="000000"/>
                <w:szCs w:val="17"/>
                <w:lang w:eastAsia="en-AU"/>
              </w:rPr>
            </w:pPr>
            <w:r w:rsidRPr="00256977">
              <w:rPr>
                <w:rFonts w:eastAsiaTheme="minorEastAsia" w:cstheme="majorHAnsi"/>
                <w:b/>
                <w:bCs/>
                <w:color w:val="000000"/>
                <w:szCs w:val="17"/>
                <w:lang w:eastAsia="en-AU"/>
              </w:rPr>
              <w:t>Advanced economies</w:t>
            </w:r>
          </w:p>
        </w:tc>
        <w:tc>
          <w:tcPr>
            <w:tcW w:w="850" w:type="dxa"/>
          </w:tcPr>
          <w:p w14:paraId="5355AB94" w14:textId="77777777" w:rsidR="00E01C85" w:rsidRPr="00291B28"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7"/>
                <w:lang w:eastAsia="en-AU"/>
              </w:rPr>
            </w:pPr>
            <w:r w:rsidRPr="00291B28">
              <w:rPr>
                <w:rFonts w:eastAsiaTheme="minorEastAsia" w:cstheme="majorHAnsi"/>
                <w:b/>
                <w:bCs/>
                <w:color w:val="000000"/>
                <w:szCs w:val="17"/>
                <w:lang w:eastAsia="en-AU"/>
              </w:rPr>
              <w:t>5.</w:t>
            </w:r>
            <w:r>
              <w:rPr>
                <w:rFonts w:eastAsiaTheme="minorEastAsia" w:cstheme="majorHAnsi"/>
                <w:b/>
                <w:bCs/>
                <w:color w:val="000000"/>
                <w:szCs w:val="17"/>
                <w:lang w:eastAsia="en-AU"/>
              </w:rPr>
              <w:t>4</w:t>
            </w:r>
          </w:p>
        </w:tc>
        <w:tc>
          <w:tcPr>
            <w:tcW w:w="850" w:type="dxa"/>
          </w:tcPr>
          <w:p w14:paraId="18A43166" w14:textId="77777777" w:rsidR="00E01C85" w:rsidRPr="00557E8C"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000000"/>
                <w:szCs w:val="17"/>
                <w:lang w:eastAsia="en-AU"/>
              </w:rPr>
            </w:pPr>
            <w:r w:rsidRPr="00557E8C">
              <w:rPr>
                <w:rFonts w:eastAsiaTheme="minorEastAsia" w:cstheme="majorHAnsi"/>
                <w:b/>
                <w:color w:val="000000"/>
                <w:szCs w:val="17"/>
                <w:lang w:eastAsia="en-AU"/>
              </w:rPr>
              <w:t>2.7</w:t>
            </w:r>
          </w:p>
        </w:tc>
        <w:tc>
          <w:tcPr>
            <w:tcW w:w="850" w:type="dxa"/>
          </w:tcPr>
          <w:p w14:paraId="6E07C75B" w14:textId="77777777" w:rsidR="00E01C85" w:rsidRPr="00557E8C"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000000"/>
                <w:szCs w:val="17"/>
                <w:lang w:eastAsia="en-AU"/>
              </w:rPr>
            </w:pPr>
            <w:r w:rsidRPr="00557E8C">
              <w:rPr>
                <w:rFonts w:eastAsiaTheme="minorEastAsia" w:cstheme="majorHAnsi"/>
                <w:b/>
                <w:color w:val="000000"/>
                <w:szCs w:val="17"/>
                <w:lang w:eastAsia="en-AU"/>
              </w:rPr>
              <w:t>1.3</w:t>
            </w:r>
          </w:p>
        </w:tc>
        <w:tc>
          <w:tcPr>
            <w:tcW w:w="850" w:type="dxa"/>
          </w:tcPr>
          <w:p w14:paraId="3B77DBD4" w14:textId="77777777" w:rsidR="00E01C85" w:rsidRPr="00557E8C"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000000"/>
                <w:szCs w:val="17"/>
                <w:lang w:eastAsia="en-AU"/>
              </w:rPr>
            </w:pPr>
            <w:r w:rsidRPr="00557E8C">
              <w:rPr>
                <w:rFonts w:eastAsiaTheme="minorEastAsia" w:cstheme="majorHAnsi"/>
                <w:b/>
                <w:color w:val="000000"/>
                <w:szCs w:val="17"/>
                <w:lang w:eastAsia="en-AU"/>
              </w:rPr>
              <w:t>1.4</w:t>
            </w:r>
          </w:p>
        </w:tc>
      </w:tr>
      <w:tr w:rsidR="00E01C85" w:rsidRPr="00256977" w14:paraId="499AF5AF" w14:textId="77777777" w:rsidTr="0098354D">
        <w:tc>
          <w:tcPr>
            <w:cnfStyle w:val="001000000000" w:firstRow="0" w:lastRow="0" w:firstColumn="1" w:lastColumn="0" w:oddVBand="0" w:evenVBand="0" w:oddHBand="0" w:evenHBand="0" w:firstRowFirstColumn="0" w:firstRowLastColumn="0" w:lastRowFirstColumn="0" w:lastRowLastColumn="0"/>
            <w:tcW w:w="4365" w:type="dxa"/>
          </w:tcPr>
          <w:p w14:paraId="2D3C3540" w14:textId="77777777" w:rsidR="00E01C85" w:rsidRPr="00256977" w:rsidRDefault="00E01C85" w:rsidP="0098354D">
            <w:pPr>
              <w:rPr>
                <w:rFonts w:eastAsiaTheme="minorEastAsia" w:cstheme="majorHAnsi"/>
                <w:color w:val="000000"/>
                <w:szCs w:val="17"/>
                <w:lang w:eastAsia="en-AU"/>
              </w:rPr>
            </w:pPr>
            <w:r w:rsidRPr="00256977">
              <w:rPr>
                <w:rFonts w:eastAsiaTheme="minorEastAsia" w:cstheme="majorHAnsi"/>
                <w:color w:val="000000"/>
                <w:szCs w:val="17"/>
                <w:lang w:eastAsia="en-AU"/>
              </w:rPr>
              <w:t xml:space="preserve">   United States</w:t>
            </w:r>
          </w:p>
        </w:tc>
        <w:tc>
          <w:tcPr>
            <w:tcW w:w="850" w:type="dxa"/>
          </w:tcPr>
          <w:p w14:paraId="79D392EB" w14:textId="77777777" w:rsidR="00E01C85" w:rsidRPr="00291B28"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291B28">
              <w:rPr>
                <w:rFonts w:eastAsiaTheme="minorEastAsia" w:cstheme="majorHAnsi"/>
                <w:color w:val="000000"/>
                <w:szCs w:val="17"/>
                <w:lang w:eastAsia="en-AU"/>
              </w:rPr>
              <w:t>5.</w:t>
            </w:r>
            <w:r>
              <w:rPr>
                <w:rFonts w:eastAsiaTheme="minorEastAsia" w:cstheme="majorHAnsi"/>
                <w:color w:val="000000"/>
                <w:szCs w:val="17"/>
                <w:lang w:eastAsia="en-AU"/>
              </w:rPr>
              <w:t>9</w:t>
            </w:r>
          </w:p>
        </w:tc>
        <w:tc>
          <w:tcPr>
            <w:tcW w:w="850" w:type="dxa"/>
          </w:tcPr>
          <w:p w14:paraId="44B83237" w14:textId="77777777" w:rsidR="00E01C85" w:rsidRPr="00DF7E00"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DF7E00">
              <w:rPr>
                <w:rFonts w:eastAsiaTheme="minorEastAsia" w:cstheme="majorHAnsi"/>
                <w:color w:val="000000"/>
                <w:szCs w:val="17"/>
                <w:lang w:eastAsia="en-AU"/>
              </w:rPr>
              <w:t>2.1</w:t>
            </w:r>
          </w:p>
        </w:tc>
        <w:tc>
          <w:tcPr>
            <w:tcW w:w="850" w:type="dxa"/>
          </w:tcPr>
          <w:p w14:paraId="696B30BC" w14:textId="77777777" w:rsidR="00E01C85" w:rsidRPr="00DF7E00"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DF7E00">
              <w:rPr>
                <w:rFonts w:eastAsiaTheme="minorEastAsia" w:cstheme="majorHAnsi"/>
                <w:color w:val="000000"/>
                <w:szCs w:val="17"/>
                <w:lang w:eastAsia="en-AU"/>
              </w:rPr>
              <w:t>1.6</w:t>
            </w:r>
          </w:p>
        </w:tc>
        <w:tc>
          <w:tcPr>
            <w:tcW w:w="850" w:type="dxa"/>
          </w:tcPr>
          <w:p w14:paraId="50398472" w14:textId="77777777" w:rsidR="00E01C85" w:rsidRPr="00DF7E00"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DF7E00">
              <w:rPr>
                <w:rFonts w:eastAsiaTheme="minorEastAsia" w:cstheme="majorHAnsi"/>
                <w:color w:val="000000"/>
                <w:szCs w:val="17"/>
                <w:lang w:eastAsia="en-AU"/>
              </w:rPr>
              <w:t>1.1</w:t>
            </w:r>
          </w:p>
        </w:tc>
      </w:tr>
      <w:tr w:rsidR="00E01C85" w:rsidRPr="00256977" w14:paraId="574DAF97" w14:textId="77777777" w:rsidTr="0098354D">
        <w:tc>
          <w:tcPr>
            <w:cnfStyle w:val="001000000000" w:firstRow="0" w:lastRow="0" w:firstColumn="1" w:lastColumn="0" w:oddVBand="0" w:evenVBand="0" w:oddHBand="0" w:evenHBand="0" w:firstRowFirstColumn="0" w:firstRowLastColumn="0" w:lastRowFirstColumn="0" w:lastRowLastColumn="0"/>
            <w:tcW w:w="4365" w:type="dxa"/>
          </w:tcPr>
          <w:p w14:paraId="58D02678" w14:textId="77777777" w:rsidR="00E01C85" w:rsidRPr="00256977" w:rsidRDefault="00E01C85" w:rsidP="0098354D">
            <w:pPr>
              <w:rPr>
                <w:rFonts w:eastAsiaTheme="minorEastAsia" w:cstheme="majorHAnsi"/>
                <w:color w:val="000000"/>
                <w:szCs w:val="17"/>
                <w:lang w:eastAsia="en-AU"/>
              </w:rPr>
            </w:pPr>
            <w:r>
              <w:rPr>
                <w:rFonts w:eastAsiaTheme="minorEastAsia" w:cstheme="majorHAnsi"/>
                <w:color w:val="000000"/>
                <w:szCs w:val="17"/>
                <w:lang w:eastAsia="en-AU"/>
              </w:rPr>
              <w:t xml:space="preserve">   United Kingdom</w:t>
            </w:r>
          </w:p>
        </w:tc>
        <w:tc>
          <w:tcPr>
            <w:tcW w:w="850" w:type="dxa"/>
          </w:tcPr>
          <w:p w14:paraId="4460B903" w14:textId="77777777" w:rsidR="00E01C85" w:rsidRPr="00291B28"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Pr>
                <w:rFonts w:eastAsiaTheme="minorEastAsia" w:cstheme="majorHAnsi"/>
                <w:color w:val="000000"/>
                <w:szCs w:val="17"/>
                <w:lang w:eastAsia="en-AU"/>
              </w:rPr>
              <w:t>7.6</w:t>
            </w:r>
          </w:p>
        </w:tc>
        <w:tc>
          <w:tcPr>
            <w:tcW w:w="850" w:type="dxa"/>
          </w:tcPr>
          <w:p w14:paraId="4DA685C0" w14:textId="77777777" w:rsidR="00E01C85" w:rsidRPr="00DF7E00"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DF7E00">
              <w:rPr>
                <w:rFonts w:eastAsiaTheme="minorEastAsia" w:cstheme="majorHAnsi"/>
                <w:color w:val="000000"/>
                <w:szCs w:val="17"/>
                <w:lang w:eastAsia="en-AU"/>
              </w:rPr>
              <w:t>4.0</w:t>
            </w:r>
          </w:p>
        </w:tc>
        <w:tc>
          <w:tcPr>
            <w:tcW w:w="850" w:type="dxa"/>
          </w:tcPr>
          <w:p w14:paraId="0865F28A" w14:textId="77777777" w:rsidR="00E01C85" w:rsidRPr="00DF7E00"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Pr>
                <w:rFonts w:eastAsiaTheme="minorEastAsia" w:cstheme="majorHAnsi"/>
                <w:color w:val="000000"/>
                <w:szCs w:val="17"/>
                <w:lang w:eastAsia="en-AU"/>
              </w:rPr>
              <w:softHyphen/>
              <w:t>–</w:t>
            </w:r>
            <w:r w:rsidRPr="00DF7E00">
              <w:rPr>
                <w:rFonts w:eastAsiaTheme="minorEastAsia" w:cstheme="majorHAnsi"/>
                <w:color w:val="000000"/>
                <w:szCs w:val="17"/>
                <w:lang w:eastAsia="en-AU"/>
              </w:rPr>
              <w:t>0.3</w:t>
            </w:r>
          </w:p>
        </w:tc>
        <w:tc>
          <w:tcPr>
            <w:tcW w:w="850" w:type="dxa"/>
          </w:tcPr>
          <w:p w14:paraId="4A165F2A" w14:textId="77777777" w:rsidR="00E01C85" w:rsidRPr="00DF7E00"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Pr>
                <w:rFonts w:eastAsiaTheme="minorEastAsia" w:cstheme="majorHAnsi"/>
                <w:color w:val="000000"/>
                <w:szCs w:val="17"/>
                <w:lang w:eastAsia="en-AU"/>
              </w:rPr>
              <w:t>1.0</w:t>
            </w:r>
          </w:p>
        </w:tc>
      </w:tr>
      <w:tr w:rsidR="00E01C85" w:rsidRPr="00256977" w14:paraId="2014D223" w14:textId="77777777" w:rsidTr="0098354D">
        <w:tc>
          <w:tcPr>
            <w:cnfStyle w:val="001000000000" w:firstRow="0" w:lastRow="0" w:firstColumn="1" w:lastColumn="0" w:oddVBand="0" w:evenVBand="0" w:oddHBand="0" w:evenHBand="0" w:firstRowFirstColumn="0" w:firstRowLastColumn="0" w:lastRowFirstColumn="0" w:lastRowLastColumn="0"/>
            <w:tcW w:w="4365" w:type="dxa"/>
          </w:tcPr>
          <w:p w14:paraId="5A560BD2" w14:textId="77777777" w:rsidR="00E01C85" w:rsidRPr="00256977" w:rsidRDefault="00E01C85" w:rsidP="0098354D">
            <w:pPr>
              <w:rPr>
                <w:rFonts w:eastAsiaTheme="minorEastAsia" w:cstheme="majorHAnsi"/>
                <w:color w:val="000000"/>
                <w:szCs w:val="17"/>
                <w:lang w:eastAsia="en-AU"/>
              </w:rPr>
            </w:pPr>
            <w:r w:rsidRPr="00256977">
              <w:rPr>
                <w:rFonts w:eastAsiaTheme="minorEastAsia" w:cstheme="majorHAnsi"/>
                <w:color w:val="000000"/>
                <w:szCs w:val="17"/>
                <w:lang w:eastAsia="en-AU"/>
              </w:rPr>
              <w:t xml:space="preserve">   Euro area</w:t>
            </w:r>
          </w:p>
        </w:tc>
        <w:tc>
          <w:tcPr>
            <w:tcW w:w="850" w:type="dxa"/>
          </w:tcPr>
          <w:p w14:paraId="32105A92" w14:textId="77777777" w:rsidR="00E01C85" w:rsidRPr="00291B28"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291B28">
              <w:rPr>
                <w:rFonts w:eastAsiaTheme="minorEastAsia" w:cstheme="majorHAnsi"/>
                <w:color w:val="000000"/>
                <w:szCs w:val="17"/>
                <w:lang w:eastAsia="en-AU"/>
              </w:rPr>
              <w:t>5.</w:t>
            </w:r>
            <w:r>
              <w:rPr>
                <w:rFonts w:eastAsiaTheme="minorEastAsia" w:cstheme="majorHAnsi"/>
                <w:color w:val="000000"/>
                <w:szCs w:val="17"/>
                <w:lang w:eastAsia="en-AU"/>
              </w:rPr>
              <w:t>4</w:t>
            </w:r>
          </w:p>
        </w:tc>
        <w:tc>
          <w:tcPr>
            <w:tcW w:w="850" w:type="dxa"/>
          </w:tcPr>
          <w:p w14:paraId="386F605E" w14:textId="77777777" w:rsidR="00E01C85" w:rsidRPr="00557E8C"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557E8C">
              <w:rPr>
                <w:rFonts w:eastAsiaTheme="minorEastAsia" w:cstheme="majorHAnsi"/>
                <w:color w:val="000000"/>
                <w:szCs w:val="17"/>
                <w:lang w:eastAsia="en-AU"/>
              </w:rPr>
              <w:t>3.5</w:t>
            </w:r>
          </w:p>
        </w:tc>
        <w:tc>
          <w:tcPr>
            <w:tcW w:w="850" w:type="dxa"/>
          </w:tcPr>
          <w:p w14:paraId="23D0BB02" w14:textId="77777777" w:rsidR="00E01C85" w:rsidRPr="00557E8C"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557E8C">
              <w:rPr>
                <w:rFonts w:eastAsiaTheme="minorEastAsia" w:cstheme="majorHAnsi"/>
                <w:color w:val="000000"/>
                <w:szCs w:val="17"/>
                <w:lang w:eastAsia="en-AU"/>
              </w:rPr>
              <w:t>0.8</w:t>
            </w:r>
          </w:p>
        </w:tc>
        <w:tc>
          <w:tcPr>
            <w:tcW w:w="850" w:type="dxa"/>
          </w:tcPr>
          <w:p w14:paraId="19A312CC" w14:textId="77777777" w:rsidR="00E01C85" w:rsidRPr="00557E8C"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557E8C">
              <w:rPr>
                <w:rFonts w:eastAsiaTheme="minorEastAsia" w:cstheme="majorHAnsi"/>
                <w:color w:val="000000"/>
                <w:szCs w:val="17"/>
                <w:lang w:eastAsia="en-AU"/>
              </w:rPr>
              <w:t>1.4</w:t>
            </w:r>
          </w:p>
        </w:tc>
      </w:tr>
      <w:tr w:rsidR="00E01C85" w:rsidRPr="00256977" w14:paraId="7034B325" w14:textId="77777777" w:rsidTr="0098354D">
        <w:tc>
          <w:tcPr>
            <w:cnfStyle w:val="001000000000" w:firstRow="0" w:lastRow="0" w:firstColumn="1" w:lastColumn="0" w:oddVBand="0" w:evenVBand="0" w:oddHBand="0" w:evenHBand="0" w:firstRowFirstColumn="0" w:firstRowLastColumn="0" w:lastRowFirstColumn="0" w:lastRowLastColumn="0"/>
            <w:tcW w:w="4365" w:type="dxa"/>
          </w:tcPr>
          <w:p w14:paraId="59CE3AC4" w14:textId="77777777" w:rsidR="00E01C85" w:rsidRPr="00256977" w:rsidRDefault="00E01C85" w:rsidP="0098354D">
            <w:pPr>
              <w:rPr>
                <w:rFonts w:eastAsiaTheme="minorEastAsia" w:cstheme="majorHAnsi"/>
                <w:color w:val="000000"/>
                <w:szCs w:val="17"/>
                <w:lang w:eastAsia="en-AU"/>
              </w:rPr>
            </w:pPr>
            <w:r w:rsidRPr="00256977">
              <w:rPr>
                <w:rFonts w:eastAsiaTheme="minorEastAsia" w:cstheme="majorHAnsi"/>
                <w:color w:val="000000"/>
                <w:szCs w:val="17"/>
                <w:lang w:eastAsia="en-AU"/>
              </w:rPr>
              <w:t xml:space="preserve">   Japan</w:t>
            </w:r>
          </w:p>
        </w:tc>
        <w:tc>
          <w:tcPr>
            <w:tcW w:w="850" w:type="dxa"/>
          </w:tcPr>
          <w:p w14:paraId="57B157EE" w14:textId="77777777" w:rsidR="00E01C85" w:rsidRPr="00291B28"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Pr>
                <w:rFonts w:eastAsiaTheme="minorEastAsia" w:cstheme="majorHAnsi"/>
                <w:color w:val="000000"/>
                <w:szCs w:val="17"/>
                <w:lang w:eastAsia="en-AU"/>
              </w:rPr>
              <w:t>2.</w:t>
            </w:r>
            <w:r w:rsidRPr="00291B28">
              <w:rPr>
                <w:rFonts w:eastAsiaTheme="minorEastAsia" w:cstheme="majorHAnsi"/>
                <w:color w:val="000000"/>
                <w:szCs w:val="17"/>
                <w:lang w:eastAsia="en-AU"/>
              </w:rPr>
              <w:t>1</w:t>
            </w:r>
          </w:p>
        </w:tc>
        <w:tc>
          <w:tcPr>
            <w:tcW w:w="850" w:type="dxa"/>
          </w:tcPr>
          <w:p w14:paraId="4987206C" w14:textId="77777777" w:rsidR="00E01C85" w:rsidRPr="00964250"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964250">
              <w:rPr>
                <w:rFonts w:eastAsiaTheme="minorEastAsia" w:cstheme="majorHAnsi"/>
                <w:color w:val="000000"/>
                <w:szCs w:val="17"/>
                <w:lang w:eastAsia="en-AU"/>
              </w:rPr>
              <w:t>1.1</w:t>
            </w:r>
          </w:p>
        </w:tc>
        <w:tc>
          <w:tcPr>
            <w:tcW w:w="850" w:type="dxa"/>
          </w:tcPr>
          <w:p w14:paraId="5FF3BCB4" w14:textId="77777777" w:rsidR="00E01C85" w:rsidRPr="00964250"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964250">
              <w:rPr>
                <w:rFonts w:eastAsiaTheme="minorEastAsia" w:cstheme="majorHAnsi"/>
                <w:color w:val="000000"/>
                <w:szCs w:val="17"/>
                <w:lang w:eastAsia="en-AU"/>
              </w:rPr>
              <w:t>1.3</w:t>
            </w:r>
          </w:p>
        </w:tc>
        <w:tc>
          <w:tcPr>
            <w:tcW w:w="850" w:type="dxa"/>
          </w:tcPr>
          <w:p w14:paraId="249B2DB1" w14:textId="77777777" w:rsidR="00E01C85" w:rsidRPr="00964250"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964250">
              <w:rPr>
                <w:rFonts w:eastAsiaTheme="minorEastAsia" w:cstheme="majorHAnsi"/>
                <w:color w:val="000000"/>
                <w:szCs w:val="17"/>
                <w:lang w:eastAsia="en-AU"/>
              </w:rPr>
              <w:t>1.0</w:t>
            </w:r>
          </w:p>
        </w:tc>
      </w:tr>
      <w:tr w:rsidR="00E01C85" w:rsidRPr="00256977" w14:paraId="6DE2DF03" w14:textId="77777777" w:rsidTr="0098354D">
        <w:tc>
          <w:tcPr>
            <w:cnfStyle w:val="001000000000" w:firstRow="0" w:lastRow="0" w:firstColumn="1" w:lastColumn="0" w:oddVBand="0" w:evenVBand="0" w:oddHBand="0" w:evenHBand="0" w:firstRowFirstColumn="0" w:firstRowLastColumn="0" w:lastRowFirstColumn="0" w:lastRowLastColumn="0"/>
            <w:tcW w:w="4365" w:type="dxa"/>
          </w:tcPr>
          <w:p w14:paraId="30C97619" w14:textId="77777777" w:rsidR="00E01C85" w:rsidRPr="00256977" w:rsidRDefault="00E01C85" w:rsidP="0098354D">
            <w:pPr>
              <w:rPr>
                <w:rFonts w:eastAsiaTheme="minorEastAsia" w:cstheme="majorHAnsi"/>
                <w:color w:val="000000"/>
                <w:szCs w:val="17"/>
                <w:lang w:eastAsia="en-AU"/>
              </w:rPr>
            </w:pPr>
            <w:r w:rsidRPr="00256977">
              <w:rPr>
                <w:rFonts w:eastAsiaTheme="minorEastAsia" w:cstheme="majorHAnsi"/>
                <w:color w:val="000000"/>
                <w:szCs w:val="17"/>
                <w:lang w:eastAsia="en-AU"/>
              </w:rPr>
              <w:t xml:space="preserve">   New Zealand</w:t>
            </w:r>
          </w:p>
        </w:tc>
        <w:tc>
          <w:tcPr>
            <w:tcW w:w="850" w:type="dxa"/>
          </w:tcPr>
          <w:p w14:paraId="3BC46709" w14:textId="77777777" w:rsidR="00E01C85" w:rsidRPr="00291B28"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291B28">
              <w:rPr>
                <w:rFonts w:eastAsiaTheme="minorEastAsia" w:cstheme="majorHAnsi"/>
                <w:color w:val="000000"/>
                <w:szCs w:val="17"/>
                <w:lang w:eastAsia="en-AU"/>
              </w:rPr>
              <w:t>6</w:t>
            </w:r>
            <w:r>
              <w:rPr>
                <w:rFonts w:eastAsiaTheme="minorEastAsia" w:cstheme="majorHAnsi"/>
                <w:color w:val="000000"/>
                <w:szCs w:val="17"/>
                <w:lang w:eastAsia="en-AU"/>
              </w:rPr>
              <w:t>.1</w:t>
            </w:r>
          </w:p>
        </w:tc>
        <w:tc>
          <w:tcPr>
            <w:tcW w:w="850" w:type="dxa"/>
          </w:tcPr>
          <w:p w14:paraId="78B1A8D2" w14:textId="77777777" w:rsidR="00E01C85" w:rsidRPr="00E5673C"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E5673C">
              <w:rPr>
                <w:rFonts w:eastAsiaTheme="minorEastAsia" w:cstheme="majorHAnsi"/>
                <w:color w:val="000000"/>
                <w:szCs w:val="17"/>
                <w:lang w:eastAsia="en-AU"/>
              </w:rPr>
              <w:t>2.4</w:t>
            </w:r>
          </w:p>
        </w:tc>
        <w:tc>
          <w:tcPr>
            <w:tcW w:w="850" w:type="dxa"/>
          </w:tcPr>
          <w:p w14:paraId="52A67759" w14:textId="77777777" w:rsidR="00E01C85" w:rsidRPr="00E5673C"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E5673C">
              <w:rPr>
                <w:rFonts w:eastAsiaTheme="minorEastAsia" w:cstheme="majorHAnsi"/>
                <w:color w:val="000000"/>
                <w:szCs w:val="17"/>
                <w:lang w:eastAsia="en-AU"/>
              </w:rPr>
              <w:t>1.1</w:t>
            </w:r>
          </w:p>
        </w:tc>
        <w:tc>
          <w:tcPr>
            <w:tcW w:w="850" w:type="dxa"/>
          </w:tcPr>
          <w:p w14:paraId="573D834C" w14:textId="77777777" w:rsidR="00E01C85" w:rsidRPr="00E5673C"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E5673C">
              <w:rPr>
                <w:rFonts w:eastAsiaTheme="minorEastAsia" w:cstheme="majorHAnsi"/>
                <w:color w:val="000000"/>
                <w:szCs w:val="17"/>
                <w:lang w:eastAsia="en-AU"/>
              </w:rPr>
              <w:t>0.9</w:t>
            </w:r>
          </w:p>
        </w:tc>
      </w:tr>
      <w:tr w:rsidR="00E01C85" w:rsidRPr="00256977" w14:paraId="0864F017" w14:textId="77777777" w:rsidTr="0098354D">
        <w:tc>
          <w:tcPr>
            <w:cnfStyle w:val="001000000000" w:firstRow="0" w:lastRow="0" w:firstColumn="1" w:lastColumn="0" w:oddVBand="0" w:evenVBand="0" w:oddHBand="0" w:evenHBand="0" w:firstRowFirstColumn="0" w:firstRowLastColumn="0" w:lastRowFirstColumn="0" w:lastRowLastColumn="0"/>
            <w:tcW w:w="4365" w:type="dxa"/>
          </w:tcPr>
          <w:p w14:paraId="33925F37" w14:textId="77777777" w:rsidR="00E01C85" w:rsidRPr="00256977" w:rsidRDefault="00E01C85" w:rsidP="0098354D">
            <w:pPr>
              <w:rPr>
                <w:rFonts w:eastAsiaTheme="minorEastAsia" w:cstheme="majorHAnsi"/>
                <w:b/>
                <w:bCs/>
                <w:color w:val="000000"/>
                <w:szCs w:val="17"/>
                <w:lang w:eastAsia="en-AU"/>
              </w:rPr>
            </w:pPr>
            <w:r w:rsidRPr="00256977">
              <w:rPr>
                <w:rFonts w:eastAsiaTheme="minorEastAsia" w:cstheme="majorHAnsi"/>
                <w:b/>
                <w:bCs/>
                <w:color w:val="000000"/>
                <w:szCs w:val="17"/>
                <w:lang w:eastAsia="en-AU"/>
              </w:rPr>
              <w:t>Emerging market and developing economies</w:t>
            </w:r>
          </w:p>
        </w:tc>
        <w:tc>
          <w:tcPr>
            <w:tcW w:w="850" w:type="dxa"/>
          </w:tcPr>
          <w:p w14:paraId="115B94D4" w14:textId="77777777" w:rsidR="00E01C85" w:rsidRPr="00291B28"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7"/>
                <w:lang w:eastAsia="en-AU"/>
              </w:rPr>
            </w:pPr>
            <w:r w:rsidRPr="00291B28">
              <w:rPr>
                <w:rFonts w:eastAsiaTheme="minorEastAsia" w:cstheme="majorHAnsi"/>
                <w:b/>
                <w:bCs/>
                <w:color w:val="000000"/>
                <w:szCs w:val="17"/>
                <w:lang w:eastAsia="en-AU"/>
              </w:rPr>
              <w:t>6.</w:t>
            </w:r>
            <w:r>
              <w:rPr>
                <w:rFonts w:eastAsiaTheme="minorEastAsia" w:cstheme="majorHAnsi"/>
                <w:b/>
                <w:bCs/>
                <w:color w:val="000000"/>
                <w:szCs w:val="17"/>
                <w:lang w:eastAsia="en-AU"/>
              </w:rPr>
              <w:t>9</w:t>
            </w:r>
          </w:p>
        </w:tc>
        <w:tc>
          <w:tcPr>
            <w:tcW w:w="850" w:type="dxa"/>
          </w:tcPr>
          <w:p w14:paraId="01694650" w14:textId="77777777" w:rsidR="00E01C85" w:rsidRPr="00557E8C"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000000"/>
                <w:szCs w:val="17"/>
                <w:lang w:eastAsia="en-AU"/>
              </w:rPr>
            </w:pPr>
            <w:r w:rsidRPr="00557E8C">
              <w:rPr>
                <w:rFonts w:eastAsiaTheme="minorEastAsia" w:cstheme="majorHAnsi"/>
                <w:b/>
                <w:bCs/>
                <w:color w:val="000000"/>
                <w:szCs w:val="17"/>
                <w:lang w:eastAsia="en-AU"/>
              </w:rPr>
              <w:t>4.0</w:t>
            </w:r>
          </w:p>
        </w:tc>
        <w:tc>
          <w:tcPr>
            <w:tcW w:w="850" w:type="dxa"/>
          </w:tcPr>
          <w:p w14:paraId="3EBB0E81" w14:textId="77777777" w:rsidR="00E01C85" w:rsidRPr="00557E8C"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000000"/>
                <w:szCs w:val="17"/>
                <w:lang w:eastAsia="en-AU"/>
              </w:rPr>
            </w:pPr>
            <w:r w:rsidRPr="00557E8C">
              <w:rPr>
                <w:rFonts w:eastAsiaTheme="minorEastAsia" w:cstheme="majorHAnsi"/>
                <w:b/>
                <w:color w:val="000000"/>
                <w:szCs w:val="17"/>
                <w:lang w:eastAsia="en-AU"/>
              </w:rPr>
              <w:t>3.</w:t>
            </w:r>
            <w:r w:rsidRPr="00557E8C">
              <w:rPr>
                <w:rFonts w:eastAsiaTheme="minorEastAsia" w:cstheme="majorHAnsi"/>
                <w:b/>
                <w:bCs/>
                <w:color w:val="000000"/>
                <w:szCs w:val="17"/>
                <w:lang w:eastAsia="en-AU"/>
              </w:rPr>
              <w:t>9</w:t>
            </w:r>
          </w:p>
        </w:tc>
        <w:tc>
          <w:tcPr>
            <w:tcW w:w="850" w:type="dxa"/>
          </w:tcPr>
          <w:p w14:paraId="2928417C" w14:textId="77777777" w:rsidR="00E01C85" w:rsidRPr="00557E8C"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000000"/>
                <w:szCs w:val="17"/>
                <w:lang w:eastAsia="en-AU"/>
              </w:rPr>
            </w:pPr>
            <w:r w:rsidRPr="00557E8C">
              <w:rPr>
                <w:rFonts w:eastAsiaTheme="minorEastAsia" w:cstheme="majorHAnsi"/>
                <w:b/>
                <w:color w:val="000000"/>
                <w:szCs w:val="17"/>
                <w:lang w:eastAsia="en-AU"/>
              </w:rPr>
              <w:t>4.</w:t>
            </w:r>
            <w:r w:rsidRPr="00557E8C">
              <w:rPr>
                <w:rFonts w:eastAsiaTheme="minorEastAsia" w:cstheme="majorHAnsi"/>
                <w:b/>
                <w:bCs/>
                <w:color w:val="000000"/>
                <w:szCs w:val="17"/>
                <w:lang w:eastAsia="en-AU"/>
              </w:rPr>
              <w:t>2</w:t>
            </w:r>
          </w:p>
        </w:tc>
      </w:tr>
      <w:tr w:rsidR="00E01C85" w:rsidRPr="00256977" w14:paraId="4936281C" w14:textId="77777777" w:rsidTr="0098354D">
        <w:tc>
          <w:tcPr>
            <w:cnfStyle w:val="001000000000" w:firstRow="0" w:lastRow="0" w:firstColumn="1" w:lastColumn="0" w:oddVBand="0" w:evenVBand="0" w:oddHBand="0" w:evenHBand="0" w:firstRowFirstColumn="0" w:firstRowLastColumn="0" w:lastRowFirstColumn="0" w:lastRowLastColumn="0"/>
            <w:tcW w:w="4365" w:type="dxa"/>
          </w:tcPr>
          <w:p w14:paraId="235B651E" w14:textId="77777777" w:rsidR="00E01C85" w:rsidRPr="00256977" w:rsidRDefault="00E01C85" w:rsidP="0098354D">
            <w:pPr>
              <w:rPr>
                <w:rFonts w:eastAsiaTheme="minorEastAsia" w:cstheme="majorHAnsi"/>
                <w:color w:val="000000"/>
                <w:szCs w:val="17"/>
                <w:lang w:eastAsia="en-AU"/>
              </w:rPr>
            </w:pPr>
            <w:r w:rsidRPr="00256977">
              <w:rPr>
                <w:rFonts w:eastAsiaTheme="minorEastAsia" w:cstheme="majorHAnsi"/>
                <w:color w:val="000000"/>
                <w:szCs w:val="17"/>
                <w:lang w:eastAsia="en-AU"/>
              </w:rPr>
              <w:t xml:space="preserve">   China</w:t>
            </w:r>
          </w:p>
        </w:tc>
        <w:tc>
          <w:tcPr>
            <w:tcW w:w="850" w:type="dxa"/>
          </w:tcPr>
          <w:p w14:paraId="044303AC" w14:textId="77777777" w:rsidR="00E01C85" w:rsidRPr="00291B28"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291B28">
              <w:rPr>
                <w:rFonts w:eastAsiaTheme="minorEastAsia" w:cstheme="majorHAnsi"/>
                <w:color w:val="000000"/>
                <w:szCs w:val="17"/>
                <w:lang w:eastAsia="en-AU"/>
              </w:rPr>
              <w:t>8.</w:t>
            </w:r>
            <w:r>
              <w:rPr>
                <w:rFonts w:eastAsiaTheme="minorEastAsia" w:cstheme="majorHAnsi"/>
                <w:color w:val="000000"/>
                <w:szCs w:val="17"/>
                <w:lang w:eastAsia="en-AU"/>
              </w:rPr>
              <w:t>5</w:t>
            </w:r>
          </w:p>
        </w:tc>
        <w:tc>
          <w:tcPr>
            <w:tcW w:w="850" w:type="dxa"/>
          </w:tcPr>
          <w:p w14:paraId="19F093CF" w14:textId="77777777" w:rsidR="00E01C85" w:rsidRPr="001858A5"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1858A5">
              <w:rPr>
                <w:rFonts w:eastAsiaTheme="minorEastAsia" w:cstheme="majorHAnsi"/>
                <w:color w:val="000000"/>
                <w:szCs w:val="17"/>
                <w:lang w:eastAsia="en-AU"/>
              </w:rPr>
              <w:t>3.0</w:t>
            </w:r>
          </w:p>
        </w:tc>
        <w:tc>
          <w:tcPr>
            <w:tcW w:w="850" w:type="dxa"/>
          </w:tcPr>
          <w:p w14:paraId="3D633A20" w14:textId="77777777" w:rsidR="00E01C85" w:rsidRPr="001858A5"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1858A5">
              <w:rPr>
                <w:rFonts w:eastAsiaTheme="minorEastAsia" w:cstheme="majorHAnsi"/>
                <w:color w:val="000000"/>
                <w:szCs w:val="17"/>
                <w:lang w:eastAsia="en-AU"/>
              </w:rPr>
              <w:t>5.2</w:t>
            </w:r>
          </w:p>
        </w:tc>
        <w:tc>
          <w:tcPr>
            <w:tcW w:w="850" w:type="dxa"/>
          </w:tcPr>
          <w:p w14:paraId="22B9B3DF" w14:textId="77777777" w:rsidR="00E01C85" w:rsidRPr="001858A5"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1858A5">
              <w:rPr>
                <w:rFonts w:eastAsiaTheme="minorEastAsia" w:cstheme="majorHAnsi"/>
                <w:color w:val="000000"/>
                <w:szCs w:val="17"/>
                <w:lang w:eastAsia="en-AU"/>
              </w:rPr>
              <w:t>4.5</w:t>
            </w:r>
          </w:p>
        </w:tc>
      </w:tr>
      <w:tr w:rsidR="00E01C85" w:rsidRPr="00256977" w14:paraId="3A5986DC" w14:textId="77777777" w:rsidTr="0098354D">
        <w:tc>
          <w:tcPr>
            <w:cnfStyle w:val="001000000000" w:firstRow="0" w:lastRow="0" w:firstColumn="1" w:lastColumn="0" w:oddVBand="0" w:evenVBand="0" w:oddHBand="0" w:evenHBand="0" w:firstRowFirstColumn="0" w:firstRowLastColumn="0" w:lastRowFirstColumn="0" w:lastRowLastColumn="0"/>
            <w:tcW w:w="4365" w:type="dxa"/>
          </w:tcPr>
          <w:p w14:paraId="3DAD998E" w14:textId="77777777" w:rsidR="00E01C85" w:rsidRPr="00256977" w:rsidRDefault="00E01C85" w:rsidP="0098354D">
            <w:pPr>
              <w:rPr>
                <w:rFonts w:eastAsiaTheme="minorEastAsia" w:cstheme="majorHAnsi"/>
                <w:color w:val="000000"/>
                <w:szCs w:val="17"/>
                <w:lang w:eastAsia="en-AU"/>
              </w:rPr>
            </w:pPr>
            <w:r w:rsidRPr="00256977">
              <w:rPr>
                <w:rFonts w:eastAsiaTheme="minorEastAsia" w:cstheme="majorHAnsi"/>
                <w:color w:val="000000"/>
                <w:szCs w:val="17"/>
                <w:lang w:eastAsia="en-AU"/>
              </w:rPr>
              <w:t xml:space="preserve">   India</w:t>
            </w:r>
          </w:p>
        </w:tc>
        <w:tc>
          <w:tcPr>
            <w:tcW w:w="850" w:type="dxa"/>
          </w:tcPr>
          <w:p w14:paraId="47E8BF31" w14:textId="77777777" w:rsidR="00E01C85" w:rsidRPr="00291B28"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Pr>
                <w:rFonts w:eastAsiaTheme="minorEastAsia" w:cstheme="majorHAnsi"/>
                <w:color w:val="000000"/>
                <w:szCs w:val="17"/>
                <w:lang w:eastAsia="en-AU"/>
              </w:rPr>
              <w:t>9.1</w:t>
            </w:r>
          </w:p>
        </w:tc>
        <w:tc>
          <w:tcPr>
            <w:tcW w:w="850" w:type="dxa"/>
          </w:tcPr>
          <w:p w14:paraId="46FB9623" w14:textId="77777777" w:rsidR="00E01C85" w:rsidRPr="001858A5"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1858A5">
              <w:rPr>
                <w:rFonts w:eastAsiaTheme="minorEastAsia" w:cstheme="majorHAnsi"/>
                <w:color w:val="000000"/>
                <w:szCs w:val="17"/>
                <w:lang w:eastAsia="en-AU"/>
              </w:rPr>
              <w:t>6.8</w:t>
            </w:r>
          </w:p>
        </w:tc>
        <w:tc>
          <w:tcPr>
            <w:tcW w:w="850" w:type="dxa"/>
          </w:tcPr>
          <w:p w14:paraId="3CBBA6AA" w14:textId="77777777" w:rsidR="00E01C85" w:rsidRPr="001858A5"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1858A5">
              <w:rPr>
                <w:rFonts w:eastAsiaTheme="minorEastAsia" w:cstheme="majorHAnsi"/>
                <w:color w:val="000000"/>
                <w:szCs w:val="17"/>
                <w:lang w:eastAsia="en-AU"/>
              </w:rPr>
              <w:t>5.9</w:t>
            </w:r>
          </w:p>
        </w:tc>
        <w:tc>
          <w:tcPr>
            <w:tcW w:w="850" w:type="dxa"/>
          </w:tcPr>
          <w:p w14:paraId="05F59B75" w14:textId="77777777" w:rsidR="00E01C85" w:rsidRPr="001858A5"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1858A5">
              <w:rPr>
                <w:rFonts w:eastAsiaTheme="minorEastAsia" w:cstheme="majorHAnsi"/>
                <w:color w:val="000000"/>
                <w:szCs w:val="17"/>
                <w:lang w:eastAsia="en-AU"/>
              </w:rPr>
              <w:t>6.3</w:t>
            </w:r>
          </w:p>
        </w:tc>
      </w:tr>
      <w:tr w:rsidR="00E01C85" w:rsidRPr="009703CE" w14:paraId="666F4243" w14:textId="77777777" w:rsidTr="0098354D">
        <w:tc>
          <w:tcPr>
            <w:cnfStyle w:val="001000000000" w:firstRow="0" w:lastRow="0" w:firstColumn="1" w:lastColumn="0" w:oddVBand="0" w:evenVBand="0" w:oddHBand="0" w:evenHBand="0" w:firstRowFirstColumn="0" w:firstRowLastColumn="0" w:lastRowFirstColumn="0" w:lastRowLastColumn="0"/>
            <w:tcW w:w="4365" w:type="dxa"/>
          </w:tcPr>
          <w:p w14:paraId="179777F9" w14:textId="77777777" w:rsidR="00E01C85" w:rsidRPr="009703CE" w:rsidRDefault="00E01C85" w:rsidP="0098354D">
            <w:pPr>
              <w:rPr>
                <w:rFonts w:eastAsiaTheme="minorEastAsia" w:cstheme="majorHAnsi"/>
                <w:b/>
                <w:color w:val="000000"/>
                <w:szCs w:val="17"/>
                <w:lang w:eastAsia="en-AU"/>
              </w:rPr>
            </w:pPr>
            <w:r w:rsidRPr="009703CE">
              <w:rPr>
                <w:rFonts w:eastAsiaTheme="minorEastAsia" w:cstheme="majorHAnsi"/>
                <w:b/>
                <w:color w:val="000000"/>
                <w:szCs w:val="17"/>
                <w:lang w:eastAsia="en-AU"/>
              </w:rPr>
              <w:t>ASEAN</w:t>
            </w:r>
            <w:r w:rsidRPr="009703CE">
              <w:rPr>
                <w:rFonts w:eastAsiaTheme="minorEastAsia" w:cstheme="majorHAnsi"/>
                <w:b/>
                <w:color w:val="000000"/>
                <w:szCs w:val="17"/>
                <w:lang w:eastAsia="en-AU"/>
              </w:rPr>
              <w:noBreakHyphen/>
              <w:t xml:space="preserve">5 </w:t>
            </w:r>
            <w:r w:rsidRPr="009703CE">
              <w:rPr>
                <w:rFonts w:eastAsiaTheme="minorEastAsia" w:cstheme="majorHAnsi"/>
                <w:b/>
                <w:color w:val="000000"/>
                <w:szCs w:val="17"/>
                <w:vertAlign w:val="superscript"/>
                <w:lang w:eastAsia="en-AU"/>
              </w:rPr>
              <w:t>(b)</w:t>
            </w:r>
          </w:p>
        </w:tc>
        <w:tc>
          <w:tcPr>
            <w:tcW w:w="850" w:type="dxa"/>
          </w:tcPr>
          <w:p w14:paraId="28E23AF7" w14:textId="77777777" w:rsidR="00E01C85" w:rsidRPr="009703CE"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000000"/>
                <w:szCs w:val="17"/>
                <w:lang w:eastAsia="en-AU"/>
              </w:rPr>
            </w:pPr>
            <w:r w:rsidRPr="009703CE">
              <w:rPr>
                <w:rFonts w:eastAsiaTheme="minorEastAsia" w:cstheme="majorHAnsi"/>
                <w:b/>
                <w:color w:val="000000"/>
                <w:szCs w:val="17"/>
                <w:lang w:eastAsia="en-AU"/>
              </w:rPr>
              <w:t>4.0</w:t>
            </w:r>
          </w:p>
        </w:tc>
        <w:tc>
          <w:tcPr>
            <w:tcW w:w="850" w:type="dxa"/>
          </w:tcPr>
          <w:p w14:paraId="09FCCF5B" w14:textId="77777777" w:rsidR="00E01C85" w:rsidRPr="009703CE"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000000"/>
                <w:szCs w:val="17"/>
                <w:lang w:eastAsia="en-AU"/>
              </w:rPr>
            </w:pPr>
            <w:r w:rsidRPr="009703CE">
              <w:rPr>
                <w:rFonts w:eastAsiaTheme="minorEastAsia" w:cstheme="majorHAnsi"/>
                <w:b/>
                <w:color w:val="000000"/>
                <w:szCs w:val="17"/>
                <w:lang w:eastAsia="en-AU"/>
              </w:rPr>
              <w:t>5.5</w:t>
            </w:r>
          </w:p>
        </w:tc>
        <w:tc>
          <w:tcPr>
            <w:tcW w:w="850" w:type="dxa"/>
          </w:tcPr>
          <w:p w14:paraId="42AB7D52" w14:textId="77777777" w:rsidR="00E01C85" w:rsidRPr="009703CE"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000000"/>
                <w:szCs w:val="17"/>
                <w:lang w:eastAsia="en-AU"/>
              </w:rPr>
            </w:pPr>
            <w:r w:rsidRPr="009703CE">
              <w:rPr>
                <w:rFonts w:eastAsiaTheme="minorEastAsia" w:cstheme="majorHAnsi"/>
                <w:b/>
                <w:color w:val="000000"/>
                <w:szCs w:val="17"/>
                <w:lang w:eastAsia="en-AU"/>
              </w:rPr>
              <w:t>4.5</w:t>
            </w:r>
          </w:p>
        </w:tc>
        <w:tc>
          <w:tcPr>
            <w:tcW w:w="850" w:type="dxa"/>
          </w:tcPr>
          <w:p w14:paraId="47F39385" w14:textId="77777777" w:rsidR="00E01C85" w:rsidRPr="009703CE" w:rsidRDefault="00E01C85" w:rsidP="0098354D">
            <w:pP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000000"/>
                <w:szCs w:val="17"/>
                <w:lang w:eastAsia="en-AU"/>
              </w:rPr>
            </w:pPr>
            <w:r w:rsidRPr="009703CE">
              <w:rPr>
                <w:rFonts w:eastAsiaTheme="minorEastAsia" w:cstheme="majorHAnsi"/>
                <w:b/>
                <w:color w:val="000000"/>
                <w:szCs w:val="17"/>
                <w:lang w:eastAsia="en-AU"/>
              </w:rPr>
              <w:t>4.6</w:t>
            </w:r>
          </w:p>
        </w:tc>
      </w:tr>
    </w:tbl>
    <w:p w14:paraId="554DE239" w14:textId="77777777" w:rsidR="00E01C85" w:rsidRPr="00256977" w:rsidRDefault="00E01C85" w:rsidP="00E01C85">
      <w:pPr>
        <w:pStyle w:val="Source"/>
        <w:keepNext/>
      </w:pPr>
      <w:r w:rsidRPr="00256977">
        <w:t>Source</w:t>
      </w:r>
      <w:r>
        <w:t>s</w:t>
      </w:r>
      <w:r w:rsidRPr="00256977">
        <w:t xml:space="preserve">: IMF, </w:t>
      </w:r>
      <w:r w:rsidRPr="00256977">
        <w:rPr>
          <w:i w:val="0"/>
        </w:rPr>
        <w:t>World Economic Outlook</w:t>
      </w:r>
      <w:r w:rsidRPr="00256977">
        <w:t>, April 202</w:t>
      </w:r>
      <w:r>
        <w:t>3</w:t>
      </w:r>
    </w:p>
    <w:p w14:paraId="27EC9567" w14:textId="77777777" w:rsidR="00E01C85" w:rsidRPr="00256977" w:rsidRDefault="00E01C85" w:rsidP="00E01C85">
      <w:pPr>
        <w:pStyle w:val="Note"/>
        <w:keepNext/>
      </w:pPr>
      <w:r w:rsidRPr="00256977">
        <w:t xml:space="preserve">Notes: </w:t>
      </w:r>
    </w:p>
    <w:p w14:paraId="3A2C4B16" w14:textId="77777777" w:rsidR="00E01C85" w:rsidRPr="00256977" w:rsidRDefault="00E01C85" w:rsidP="00E01C85">
      <w:pPr>
        <w:pStyle w:val="Note"/>
        <w:keepNext/>
      </w:pPr>
      <w:r w:rsidRPr="00256977">
        <w:t>(a)</w:t>
      </w:r>
      <w:r w:rsidRPr="00256977">
        <w:tab/>
        <w:t>Not all countries or regions are listed in the table.</w:t>
      </w:r>
    </w:p>
    <w:p w14:paraId="50496D73" w14:textId="77777777" w:rsidR="00E01C85" w:rsidRPr="00256977" w:rsidRDefault="00E01C85" w:rsidP="00E01C85">
      <w:pPr>
        <w:pStyle w:val="Note"/>
        <w:keepNext/>
      </w:pPr>
      <w:r>
        <w:t>(b)</w:t>
      </w:r>
      <w:r>
        <w:tab/>
        <w:t>The ASEAN-5 economies are Indonesia, Malaysia, Philippines, Singapore, and Thailand.</w:t>
      </w:r>
    </w:p>
    <w:p w14:paraId="2BF8A22E" w14:textId="77777777" w:rsidR="00E01C85" w:rsidRDefault="00E01C85" w:rsidP="00E01C85">
      <w:r>
        <w:t xml:space="preserve">Across major advanced economies, the IMF expects growth in the United States to be </w:t>
      </w:r>
      <w:r w:rsidRPr="00881094">
        <w:t>below-trend</w:t>
      </w:r>
      <w:r>
        <w:t xml:space="preserve"> at </w:t>
      </w:r>
      <w:r w:rsidRPr="00881094">
        <w:t>1.6</w:t>
      </w:r>
      <w:r>
        <w:t xml:space="preserve"> per cent in 2023 and </w:t>
      </w:r>
      <w:r w:rsidRPr="00881094">
        <w:t>1.1</w:t>
      </w:r>
      <w:r>
        <w:t> per cent in 2024, as higher interest rates increasingly take effect (see </w:t>
      </w:r>
      <w:r w:rsidRPr="004C77B1">
        <w:t>Table 2.2</w:t>
      </w:r>
      <w:r>
        <w:t>).</w:t>
      </w:r>
      <w:r w:rsidRPr="006C3A7C">
        <w:t xml:space="preserve"> </w:t>
      </w:r>
      <w:r>
        <w:t xml:space="preserve">Growth in the euro area is expected to be a modest </w:t>
      </w:r>
      <w:r w:rsidRPr="00881094">
        <w:t>0.8</w:t>
      </w:r>
      <w:r>
        <w:t xml:space="preserve"> per cent, due to the impact of rising interest rates and inflation. The United Kingdom is forecast to contract by </w:t>
      </w:r>
      <w:r w:rsidRPr="00881094">
        <w:t>0.3</w:t>
      </w:r>
      <w:r>
        <w:t xml:space="preserve"> per cent in 2023 </w:t>
      </w:r>
      <w:r w:rsidRPr="00881094">
        <w:t>as</w:t>
      </w:r>
      <w:r>
        <w:t xml:space="preserve"> high inflation weighs on household consumption. Japan is expected to grow by </w:t>
      </w:r>
      <w:r w:rsidRPr="00881094">
        <w:t>1.</w:t>
      </w:r>
      <w:r>
        <w:t>3 per cent in 2023, supported by ongoing monetary policy stimulus.</w:t>
      </w:r>
    </w:p>
    <w:p w14:paraId="7C728A89" w14:textId="77777777" w:rsidR="00E01C85" w:rsidRDefault="00E01C85" w:rsidP="00E01C85">
      <w:r>
        <w:t>Following China’s zero</w:t>
      </w:r>
      <w:r>
        <w:noBreakHyphen/>
        <w:t xml:space="preserve">COVID policy, which contributed to relatively weak growth estimated at </w:t>
      </w:r>
      <w:r w:rsidRPr="00881094">
        <w:t>3.0</w:t>
      </w:r>
      <w:r>
        <w:t xml:space="preserve"> per cent in 2022, authorities began to relax pandemic restrictions in late 2022. The IMF forecasts China’s economic growth will rise to 5.2 per cent in 2023, supported by the reopening of the economy and additional monetary and fiscal stimulus, which is particularly aimed at the real estate and construction sectors. </w:t>
      </w:r>
    </w:p>
    <w:p w14:paraId="5139A314" w14:textId="77777777" w:rsidR="00E01C85" w:rsidRDefault="00E01C85" w:rsidP="00E01C85">
      <w:pPr>
        <w:pStyle w:val="Heading10"/>
      </w:pPr>
      <w:bookmarkStart w:id="52" w:name="_Toc135331248"/>
      <w:r>
        <w:t>Risks to the Victorian outlook</w:t>
      </w:r>
      <w:bookmarkEnd w:id="52"/>
      <w:r>
        <w:t xml:space="preserve"> </w:t>
      </w:r>
    </w:p>
    <w:p w14:paraId="2B32131A" w14:textId="77777777" w:rsidR="00E01C85" w:rsidRDefault="00E01C85" w:rsidP="00E01C85">
      <w:r>
        <w:t xml:space="preserve">Risks to Victoria’s economic outlook are greater than normal. In terms of upside risks, Victoria’s tight labour market could lead to a larger than anticipated rise in household consumption, with stronger employment and higher than expected wages growth further boosting household income. Coupled with high levels of household savings, consumer spending could, in aggregate, hold up better than expected over the coming year. </w:t>
      </w:r>
    </w:p>
    <w:p w14:paraId="3B13A84F" w14:textId="77777777" w:rsidR="00E01C85" w:rsidRDefault="00E01C85" w:rsidP="00711A2B">
      <w:pPr>
        <w:ind w:right="61"/>
      </w:pPr>
      <w:r>
        <w:t>On the downside, inflation is still high and there is uncertainty around how persistent this will be, with implications for the RBA’s monetary policy. Although inflation has likely peaked, it is expected to take some time to return to the RBA’s target band. Ongoing high inflation could raise expectations of future inflation, which may become self</w:t>
      </w:r>
      <w:r>
        <w:noBreakHyphen/>
        <w:t>sustaining as workers and businesses build these higher expectations into wage bargaining and price</w:t>
      </w:r>
      <w:r>
        <w:noBreakHyphen/>
        <w:t xml:space="preserve">setting behaviour. Such a scenario could lead the RBA to raise interest rates further, or leave rates higher for longer, which would weigh on economic activity and employment growth. </w:t>
      </w:r>
    </w:p>
    <w:p w14:paraId="7C2CACB2" w14:textId="77777777" w:rsidR="00E01C85" w:rsidRDefault="00E01C85" w:rsidP="00711A2B">
      <w:pPr>
        <w:ind w:right="61"/>
      </w:pPr>
      <w:r>
        <w:t>The current high level of interest rates could also weigh on consumers more than expected, as the rise in interest rates to date has not yet fully flowed through to mortgage repayments. This is particularly the case for the large number of borrowers who will transition from expiring fixed rate home loans at low interest rates onto much higher interest rates over coming months. While a strong labour market and substantial savings have most of these borrowers well</w:t>
      </w:r>
      <w:r>
        <w:noBreakHyphen/>
        <w:t xml:space="preserve">placed to absorb higher interest payments, an increased number of households may experience financial stress. </w:t>
      </w:r>
    </w:p>
    <w:p w14:paraId="58EA2C3D" w14:textId="64E77351" w:rsidR="00E01C85" w:rsidRDefault="00E01C85" w:rsidP="00E01C85">
      <w:r>
        <w:t xml:space="preserve">Meanwhile, risks to the global outlook also appear tilted to the downside. Inflation in major global economies remains high, and its persistence could result in further monetary tightening from major central banks, which would result in weaker economic activity and labour market outcomes. Additionally, the continuing conflict between Russia and Ukraine, and the potential for further escalation, could further destabilise energy prices and elevate geopolitical tensions. The emergence of banking problems in the United States and Switzerland presents a further risk, particularly if conditions in the global banking system and financial markets deteriorate significantly further, spilling over to weaker global growth. Appendix A </w:t>
      </w:r>
      <w:r>
        <w:rPr>
          <w:i/>
          <w:iCs/>
        </w:rPr>
        <w:t>Sensitivity analysis</w:t>
      </w:r>
      <w:r>
        <w:t xml:space="preserve"> quantifies the economic and fiscal impact of a</w:t>
      </w:r>
      <w:r w:rsidR="00711A2B">
        <w:t> </w:t>
      </w:r>
      <w:r>
        <w:t xml:space="preserve">downturn in the Victorian and Australian economies, driven by a greater than expected slowdown in consumer spending and weaker investment. </w:t>
      </w:r>
    </w:p>
    <w:p w14:paraId="2AAFF881" w14:textId="77777777" w:rsidR="00E01C85" w:rsidRPr="00562EDF" w:rsidRDefault="00E01C85" w:rsidP="00E01C85"/>
    <w:p w14:paraId="66691788" w14:textId="0054A980" w:rsidR="00DC479B" w:rsidRDefault="00DC479B" w:rsidP="00DC479B"/>
    <w:p w14:paraId="7D0E81E7" w14:textId="77777777" w:rsidR="00346FC5" w:rsidRDefault="00346FC5" w:rsidP="00DC479B">
      <w:pPr>
        <w:sectPr w:rsidR="00346FC5" w:rsidSect="007B1F83">
          <w:footerReference w:type="even" r:id="rId40"/>
          <w:footerReference w:type="default" r:id="rId41"/>
          <w:type w:val="oddPage"/>
          <w:pgSz w:w="9979" w:h="14175" w:code="34"/>
          <w:pgMar w:top="1134" w:right="1134" w:bottom="1134" w:left="1134" w:header="624" w:footer="567" w:gutter="0"/>
          <w:cols w:space="708"/>
          <w:docGrid w:linePitch="360"/>
        </w:sectPr>
      </w:pPr>
    </w:p>
    <w:p w14:paraId="6181286F" w14:textId="4021F736" w:rsidR="00346FC5" w:rsidRDefault="00346FC5" w:rsidP="00346FC5">
      <w:pPr>
        <w:pStyle w:val="ChapterHeading"/>
      </w:pPr>
      <w:bookmarkStart w:id="53" w:name="_Toc135331249"/>
      <w:r w:rsidRPr="00346FC5">
        <w:t>Chapter</w:t>
      </w:r>
      <w:r>
        <w:rPr>
          <w:caps w:val="0"/>
        </w:rPr>
        <w:t xml:space="preserve"> </w:t>
      </w:r>
      <w:r>
        <w:t xml:space="preserve">3 – </w:t>
      </w:r>
      <w:r w:rsidRPr="00346FC5">
        <w:t>Sustaining</w:t>
      </w:r>
      <w:r>
        <w:rPr>
          <w:caps w:val="0"/>
        </w:rPr>
        <w:t xml:space="preserve"> </w:t>
      </w:r>
      <w:r>
        <w:t>economic growth</w:t>
      </w:r>
      <w:bookmarkEnd w:id="53"/>
    </w:p>
    <w:p w14:paraId="32F902E4" w14:textId="77777777" w:rsidR="00346FC5" w:rsidRPr="00676E21" w:rsidRDefault="00346FC5" w:rsidP="00346FC5">
      <w:pPr>
        <w:pStyle w:val="Heading10"/>
      </w:pPr>
      <w:bookmarkStart w:id="54" w:name="_Toc135331250"/>
      <w:r w:rsidRPr="00676E21">
        <w:t>Sustaining growth by building on Victoria’s strengths</w:t>
      </w:r>
      <w:bookmarkEnd w:id="54"/>
    </w:p>
    <w:p w14:paraId="15F0B322" w14:textId="30069A88" w:rsidR="00346FC5" w:rsidRDefault="00346FC5" w:rsidP="00346FC5">
      <w:r>
        <w:t>Victoria’s economy approaches the national and global challenges of high inflation and interest rate increases from a position of strength. Growth in real gross state product (GSP) was the highest of the states in 2021-22 and is expected to remain strong in 2022</w:t>
      </w:r>
      <w:r w:rsidR="00385CB8">
        <w:noBreakHyphen/>
      </w:r>
      <w:r>
        <w:t xml:space="preserve">23. The unemployment rate is </w:t>
      </w:r>
      <w:r w:rsidR="00B9502B">
        <w:t xml:space="preserve">below 4 per cent as it has been for most of the past year – which hasn’t happened for </w:t>
      </w:r>
      <w:r>
        <w:t>nearly 50 years</w:t>
      </w:r>
      <w:r w:rsidR="00B9502B">
        <w:t>. R</w:t>
      </w:r>
      <w:r>
        <w:t>ates of employment and labour force participation are around</w:t>
      </w:r>
      <w:r w:rsidDel="00FC0DCA">
        <w:t xml:space="preserve"> </w:t>
      </w:r>
      <w:r>
        <w:t>record highs. This strong economic performance and outlook is further outlined in C</w:t>
      </w:r>
      <w:r w:rsidRPr="0042021D">
        <w:t xml:space="preserve">hapter </w:t>
      </w:r>
      <w:r>
        <w:t>2</w:t>
      </w:r>
      <w:r w:rsidRPr="0042021D">
        <w:t xml:space="preserve"> </w:t>
      </w:r>
      <w:r w:rsidRPr="0042021D">
        <w:rPr>
          <w:i/>
          <w:iCs/>
        </w:rPr>
        <w:t>Economic context</w:t>
      </w:r>
      <w:r>
        <w:t>.</w:t>
      </w:r>
    </w:p>
    <w:p w14:paraId="4E14CBB5" w14:textId="77777777" w:rsidR="00346FC5" w:rsidRDefault="00346FC5" w:rsidP="00346FC5">
      <w:bookmarkStart w:id="55" w:name="_Hlk133242558"/>
      <w:r>
        <w:t>This healthy outlook is built on Victoria’s solid economic foundations.</w:t>
      </w:r>
      <w:r w:rsidRPr="0042021D">
        <w:rPr>
          <w:i/>
          <w:iCs/>
        </w:rPr>
        <w:t xml:space="preserve"> </w:t>
      </w:r>
      <w:r>
        <w:t xml:space="preserve">These include a skilled workforce, world-class economic and social infrastructure, a regulatory system that protects consumers and citizens from harm, and a liveable state that attracts workers and investment. Chapter 2 </w:t>
      </w:r>
      <w:r w:rsidRPr="00975AAB">
        <w:rPr>
          <w:i/>
        </w:rPr>
        <w:t>Economic context</w:t>
      </w:r>
      <w:r>
        <w:rPr>
          <w:i/>
        </w:rPr>
        <w:t xml:space="preserve"> </w:t>
      </w:r>
      <w:r>
        <w:t>outlines positive population growth and business investment forecasts that reflect these foundations.</w:t>
      </w:r>
    </w:p>
    <w:p w14:paraId="0ED7CCFA" w14:textId="0F7BB4D4" w:rsidR="00346FC5" w:rsidRDefault="00346FC5" w:rsidP="00346FC5">
      <w:r w:rsidRPr="007E2158">
        <w:t xml:space="preserve">At a time of global economic uncertainty, </w:t>
      </w:r>
      <w:r w:rsidRPr="00975AAB">
        <w:t>it is important</w:t>
      </w:r>
      <w:r w:rsidRPr="007E2158">
        <w:t xml:space="preserve"> to strengthen the foundations of</w:t>
      </w:r>
      <w:r w:rsidR="00711A2B">
        <w:t> </w:t>
      </w:r>
      <w:r w:rsidRPr="007E2158">
        <w:t xml:space="preserve">economic growth. At a time of </w:t>
      </w:r>
      <w:r w:rsidRPr="006C1306">
        <w:t>cost-of-living</w:t>
      </w:r>
      <w:r w:rsidRPr="007E2158">
        <w:t xml:space="preserve"> pressures, </w:t>
      </w:r>
      <w:r w:rsidRPr="006C1306">
        <w:t>it is important</w:t>
      </w:r>
      <w:r w:rsidRPr="007E2158">
        <w:t xml:space="preserve"> to </w:t>
      </w:r>
      <w:r w:rsidRPr="006C1306">
        <w:t>help grow Victorians’ incomes</w:t>
      </w:r>
      <w:r w:rsidRPr="007E2158">
        <w:t xml:space="preserve">. These are the fundamental, real-world goals that underpin what economists mean when they talk about productivity: better jobs, stronger businesses, higher incomes. These are the </w:t>
      </w:r>
      <w:r w:rsidRPr="006C1306">
        <w:t>G</w:t>
      </w:r>
      <w:r w:rsidRPr="007E2158">
        <w:t>overnment's goals for the post-pandemic Victorian</w:t>
      </w:r>
      <w:r w:rsidRPr="002520C6">
        <w:t xml:space="preserve"> economy.</w:t>
      </w:r>
    </w:p>
    <w:p w14:paraId="07DF4DB8" w14:textId="5A60F35C" w:rsidR="00346FC5" w:rsidRDefault="00346FC5" w:rsidP="00346FC5">
      <w:r>
        <w:t xml:space="preserve">In the </w:t>
      </w:r>
      <w:r w:rsidRPr="00DF06CA">
        <w:rPr>
          <w:i/>
        </w:rPr>
        <w:t>2023-24 Budget</w:t>
      </w:r>
      <w:r>
        <w:t xml:space="preserve"> the Government is investing in innovation, skills, transport infrastructure, better regulation and land use planning, higher quality and more efficient public services and committing to a more efficient tax system.</w:t>
      </w:r>
      <w:r w:rsidDel="00F93F44">
        <w:t xml:space="preserve"> </w:t>
      </w:r>
      <w:r>
        <w:t>These actions will help sustain economic growth and support Victorian households and businesses in the face of</w:t>
      </w:r>
      <w:r w:rsidR="00711A2B">
        <w:t> </w:t>
      </w:r>
      <w:r>
        <w:t>cost-of-living pressures.</w:t>
      </w:r>
    </w:p>
    <w:p w14:paraId="1CB5367B" w14:textId="77777777" w:rsidR="00346FC5" w:rsidRDefault="00346FC5" w:rsidP="00346FC5">
      <w:r>
        <w:t>The Government’s commitment to boosting growth will be cemented with the establishment of an Economic Growth Commissioner with the goal of developing and advising on opportunities to drive more sustainable economic growth and higher living standards in Victoria.</w:t>
      </w:r>
    </w:p>
    <w:bookmarkEnd w:id="55"/>
    <w:p w14:paraId="6EF7CDB8" w14:textId="77777777" w:rsidR="00346FC5" w:rsidRDefault="00346FC5" w:rsidP="00346FC5">
      <w:pPr>
        <w:pStyle w:val="TableHeading"/>
      </w:pPr>
      <w:r>
        <w:t xml:space="preserve">Chart 3.1 </w:t>
      </w:r>
      <w:r>
        <w:tab/>
        <w:t>Economic growth agenda</w:t>
      </w:r>
    </w:p>
    <w:p w14:paraId="339BFF29" w14:textId="77777777" w:rsidR="00346FC5" w:rsidRDefault="00346FC5" w:rsidP="00346FC5">
      <w:pPr>
        <w:jc w:val="center"/>
      </w:pPr>
      <w:r>
        <w:rPr>
          <w:noProof/>
        </w:rPr>
        <w:drawing>
          <wp:inline distT="0" distB="0" distL="0" distR="0" wp14:anchorId="6498F7B6" wp14:editId="5B640058">
            <wp:extent cx="3334279" cy="32194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37195" cy="3222266"/>
                    </a:xfrm>
                    <a:prstGeom prst="rect">
                      <a:avLst/>
                    </a:prstGeom>
                    <a:noFill/>
                  </pic:spPr>
                </pic:pic>
              </a:graphicData>
            </a:graphic>
          </wp:inline>
        </w:drawing>
      </w:r>
    </w:p>
    <w:p w14:paraId="0298905B" w14:textId="77777777" w:rsidR="00346FC5" w:rsidRDefault="00346FC5" w:rsidP="00346FC5">
      <w:pPr>
        <w:jc w:val="center"/>
      </w:pPr>
    </w:p>
    <w:p w14:paraId="31E698F9" w14:textId="77777777" w:rsidR="00346FC5" w:rsidRDefault="00346FC5" w:rsidP="00346FC5">
      <w:pPr>
        <w:jc w:val="center"/>
      </w:pPr>
    </w:p>
    <w:p w14:paraId="76875ED9" w14:textId="77777777" w:rsidR="00346FC5" w:rsidRPr="00016804" w:rsidRDefault="00346FC5" w:rsidP="00346FC5">
      <w:pPr>
        <w:pStyle w:val="ShadedBoxHeading"/>
        <w:tabs>
          <w:tab w:val="left" w:pos="1080"/>
        </w:tabs>
        <w:rPr>
          <w:lang w:val="en-US"/>
        </w:rPr>
      </w:pPr>
      <w:r>
        <w:rPr>
          <w:lang w:val="en-US"/>
        </w:rPr>
        <w:t>Box 3.1:</w:t>
      </w:r>
      <w:r>
        <w:rPr>
          <w:lang w:val="en-US"/>
        </w:rPr>
        <w:tab/>
        <w:t>Economic growth to create higher living standards for Victorians</w:t>
      </w:r>
    </w:p>
    <w:p w14:paraId="424EAC3C" w14:textId="1557CFF5" w:rsidR="00346FC5" w:rsidRDefault="00346FC5" w:rsidP="00346FC5">
      <w:pPr>
        <w:pStyle w:val="ShadedBoxText"/>
        <w:rPr>
          <w:lang w:val="en-US"/>
        </w:rPr>
      </w:pPr>
      <w:r>
        <w:rPr>
          <w:lang w:val="en-US"/>
        </w:rPr>
        <w:t>Growth in wages</w:t>
      </w:r>
      <w:r w:rsidRPr="009776A3">
        <w:rPr>
          <w:lang w:val="en-US"/>
        </w:rPr>
        <w:t xml:space="preserve"> and economic </w:t>
      </w:r>
      <w:r>
        <w:rPr>
          <w:lang w:val="en-US"/>
        </w:rPr>
        <w:t>activity</w:t>
      </w:r>
      <w:r w:rsidRPr="009776A3">
        <w:rPr>
          <w:lang w:val="en-US"/>
        </w:rPr>
        <w:t xml:space="preserve"> ha</w:t>
      </w:r>
      <w:r>
        <w:rPr>
          <w:lang w:val="en-US"/>
        </w:rPr>
        <w:t>s</w:t>
      </w:r>
      <w:r w:rsidRPr="009776A3">
        <w:rPr>
          <w:lang w:val="en-US"/>
        </w:rPr>
        <w:t xml:space="preserve"> slowed in high-income countries since 2005 relative to the 1990s and early 2000s. </w:t>
      </w:r>
      <w:r>
        <w:rPr>
          <w:lang w:val="en-US"/>
        </w:rPr>
        <w:t>Chart</w:t>
      </w:r>
      <w:r w:rsidRPr="009776A3">
        <w:rPr>
          <w:lang w:val="en-US"/>
        </w:rPr>
        <w:t xml:space="preserve"> 3.</w:t>
      </w:r>
      <w:r>
        <w:rPr>
          <w:lang w:val="en-US"/>
        </w:rPr>
        <w:t>2</w:t>
      </w:r>
      <w:r w:rsidRPr="009776A3">
        <w:rPr>
          <w:lang w:val="en-US"/>
        </w:rPr>
        <w:t xml:space="preserve"> shows that</w:t>
      </w:r>
      <w:r>
        <w:rPr>
          <w:lang w:val="en-US"/>
        </w:rPr>
        <w:t>,</w:t>
      </w:r>
      <w:r w:rsidRPr="009776A3">
        <w:rPr>
          <w:lang w:val="en-US"/>
        </w:rPr>
        <w:t xml:space="preserve"> across advanced economies</w:t>
      </w:r>
      <w:r>
        <w:rPr>
          <w:lang w:val="en-US"/>
        </w:rPr>
        <w:t>, growth in</w:t>
      </w:r>
      <w:r w:rsidRPr="009776A3">
        <w:rPr>
          <w:lang w:val="en-US"/>
        </w:rPr>
        <w:t xml:space="preserve"> output per worker fell from around 2.</w:t>
      </w:r>
      <w:r>
        <w:rPr>
          <w:lang w:val="en-US"/>
        </w:rPr>
        <w:t>0</w:t>
      </w:r>
      <w:r w:rsidRPr="009776A3">
        <w:rPr>
          <w:lang w:val="en-US"/>
        </w:rPr>
        <w:t xml:space="preserve"> per cent per year between 19</w:t>
      </w:r>
      <w:r>
        <w:rPr>
          <w:lang w:val="en-US"/>
        </w:rPr>
        <w:t>9</w:t>
      </w:r>
      <w:r w:rsidRPr="009776A3">
        <w:rPr>
          <w:lang w:val="en-US"/>
        </w:rPr>
        <w:t>0 and 2005 to 1.1</w:t>
      </w:r>
      <w:r>
        <w:rPr>
          <w:lang w:val="en-US"/>
        </w:rPr>
        <w:t> </w:t>
      </w:r>
      <w:r w:rsidRPr="009776A3">
        <w:rPr>
          <w:lang w:val="en-US"/>
        </w:rPr>
        <w:t xml:space="preserve">per cent per year between 2005 and 2019. </w:t>
      </w:r>
      <w:r w:rsidRPr="00CE2261">
        <w:rPr>
          <w:lang w:val="en-US"/>
        </w:rPr>
        <w:t>Australia's experience</w:t>
      </w:r>
      <w:r w:rsidRPr="009776A3">
        <w:rPr>
          <w:lang w:val="en-US"/>
        </w:rPr>
        <w:t xml:space="preserve"> has </w:t>
      </w:r>
      <w:r w:rsidRPr="00CE2261">
        <w:rPr>
          <w:lang w:val="en-US"/>
        </w:rPr>
        <w:t>been in line with</w:t>
      </w:r>
      <w:r w:rsidRPr="009776A3">
        <w:rPr>
          <w:lang w:val="en-US"/>
        </w:rPr>
        <w:t xml:space="preserve"> this global trend</w:t>
      </w:r>
      <w:r>
        <w:rPr>
          <w:lang w:val="en-US"/>
        </w:rPr>
        <w:t>,</w:t>
      </w:r>
      <w:r w:rsidRPr="009776A3">
        <w:rPr>
          <w:lang w:val="en-US"/>
        </w:rPr>
        <w:t xml:space="preserve"> </w:t>
      </w:r>
      <w:r w:rsidRPr="00CE2261">
        <w:rPr>
          <w:lang w:val="en-US"/>
        </w:rPr>
        <w:t>with output per worke</w:t>
      </w:r>
      <w:r w:rsidRPr="009776A3">
        <w:rPr>
          <w:lang w:val="en-US"/>
        </w:rPr>
        <w:t>r</w:t>
      </w:r>
      <w:r w:rsidRPr="009776A3" w:rsidDel="00CE2261">
        <w:rPr>
          <w:lang w:val="en-US"/>
        </w:rPr>
        <w:t xml:space="preserve"> </w:t>
      </w:r>
      <w:r w:rsidRPr="009776A3">
        <w:rPr>
          <w:lang w:val="en-US"/>
        </w:rPr>
        <w:t>falling from 1.</w:t>
      </w:r>
      <w:r>
        <w:rPr>
          <w:lang w:val="en-US"/>
        </w:rPr>
        <w:t>9</w:t>
      </w:r>
      <w:r w:rsidRPr="009776A3">
        <w:rPr>
          <w:lang w:val="en-US"/>
        </w:rPr>
        <w:t xml:space="preserve"> to 1.</w:t>
      </w:r>
      <w:r>
        <w:rPr>
          <w:lang w:val="en-US"/>
        </w:rPr>
        <w:t>1</w:t>
      </w:r>
      <w:r w:rsidRPr="009776A3">
        <w:rPr>
          <w:lang w:val="en-US"/>
        </w:rPr>
        <w:t xml:space="preserve"> per cent</w:t>
      </w:r>
      <w:r>
        <w:rPr>
          <w:lang w:val="en-US"/>
        </w:rPr>
        <w:t xml:space="preserve"> over this</w:t>
      </w:r>
      <w:r w:rsidR="0033262F">
        <w:rPr>
          <w:lang w:val="en-US"/>
        </w:rPr>
        <w:t> </w:t>
      </w:r>
      <w:r>
        <w:rPr>
          <w:lang w:val="en-US"/>
        </w:rPr>
        <w:t>same period</w:t>
      </w:r>
      <w:r w:rsidRPr="009776A3">
        <w:rPr>
          <w:lang w:val="en-US"/>
        </w:rPr>
        <w:t xml:space="preserve">. </w:t>
      </w:r>
    </w:p>
    <w:p w14:paraId="5F3247F2" w14:textId="77777777" w:rsidR="00346FC5" w:rsidRDefault="00346FC5" w:rsidP="00346FC5">
      <w:pPr>
        <w:pStyle w:val="ShadedBoxHeading"/>
        <w:pageBreakBefore/>
        <w:tabs>
          <w:tab w:val="left" w:pos="1080"/>
        </w:tabs>
        <w:rPr>
          <w:lang w:val="en-US"/>
        </w:rPr>
      </w:pPr>
      <w:r>
        <w:rPr>
          <w:lang w:val="en-US"/>
        </w:rPr>
        <w:t xml:space="preserve">Chart 3.2: </w:t>
      </w:r>
      <w:r>
        <w:rPr>
          <w:lang w:val="en-US"/>
        </w:rPr>
        <w:tab/>
        <w:t>Growth in output per worker</w:t>
      </w:r>
    </w:p>
    <w:p w14:paraId="26FEFA10" w14:textId="77777777" w:rsidR="00346FC5" w:rsidRDefault="00346FC5" w:rsidP="00346FC5">
      <w:pPr>
        <w:pStyle w:val="ShadedBoxText"/>
        <w:contextualSpacing/>
        <w:rPr>
          <w:rFonts w:ascii="Calibri" w:hAnsi="Calibri"/>
          <w:i/>
          <w:iCs/>
          <w:sz w:val="14"/>
          <w:lang w:val="en-US"/>
        </w:rPr>
      </w:pPr>
      <w:bookmarkStart w:id="56" w:name="_1745327221"/>
      <w:bookmarkEnd w:id="56"/>
      <w:r>
        <w:rPr>
          <w:noProof/>
        </w:rPr>
        <w:drawing>
          <wp:inline distT="0" distB="0" distL="0" distR="0" wp14:anchorId="266E1A25" wp14:editId="3F64F3BB">
            <wp:extent cx="4856176" cy="2920621"/>
            <wp:effectExtent l="0" t="0" r="0" b="0"/>
            <wp:docPr id="18" name="Chart 18">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ECC07EA" w14:textId="77777777" w:rsidR="00346FC5" w:rsidRPr="00551859" w:rsidRDefault="00346FC5" w:rsidP="00346FC5">
      <w:pPr>
        <w:pStyle w:val="ShadedBoxText"/>
        <w:contextualSpacing/>
        <w:rPr>
          <w:rFonts w:ascii="Calibri" w:hAnsi="Calibri"/>
          <w:i/>
          <w:iCs/>
          <w:sz w:val="14"/>
          <w:lang w:val="en-US"/>
        </w:rPr>
      </w:pPr>
      <w:r w:rsidRPr="00551859">
        <w:rPr>
          <w:rFonts w:ascii="Calibri" w:hAnsi="Calibri"/>
          <w:i/>
          <w:iCs/>
          <w:sz w:val="14"/>
          <w:lang w:val="en-US"/>
        </w:rPr>
        <w:t>Source: OECD</w:t>
      </w:r>
    </w:p>
    <w:p w14:paraId="14585628" w14:textId="77777777" w:rsidR="00346FC5" w:rsidRDefault="00346FC5" w:rsidP="00346FC5">
      <w:pPr>
        <w:pStyle w:val="ShadedBoxText"/>
        <w:contextualSpacing/>
        <w:rPr>
          <w:rFonts w:ascii="Calibri" w:hAnsi="Calibri"/>
          <w:i/>
          <w:sz w:val="14"/>
          <w:lang w:val="en-US"/>
        </w:rPr>
      </w:pPr>
      <w:r w:rsidRPr="00551859">
        <w:rPr>
          <w:rFonts w:ascii="Calibri" w:hAnsi="Calibri"/>
          <w:i/>
          <w:iCs/>
          <w:sz w:val="14"/>
          <w:lang w:val="en-US"/>
        </w:rPr>
        <w:t xml:space="preserve">Note: </w:t>
      </w:r>
      <w:r>
        <w:rPr>
          <w:rFonts w:ascii="Calibri" w:hAnsi="Calibri"/>
          <w:i/>
          <w:sz w:val="14"/>
          <w:lang w:val="en-US"/>
        </w:rPr>
        <w:t>Includes the average of</w:t>
      </w:r>
      <w:r w:rsidRPr="00551859">
        <w:rPr>
          <w:rFonts w:ascii="Calibri" w:hAnsi="Calibri"/>
          <w:i/>
          <w:iCs/>
          <w:sz w:val="14"/>
          <w:lang w:val="en-US"/>
        </w:rPr>
        <w:t xml:space="preserve"> 24 of 38 OECD member countries</w:t>
      </w:r>
      <w:r>
        <w:rPr>
          <w:rFonts w:ascii="Calibri" w:hAnsi="Calibri"/>
          <w:i/>
          <w:iCs/>
          <w:sz w:val="14"/>
          <w:lang w:val="en-US"/>
        </w:rPr>
        <w:t>’</w:t>
      </w:r>
      <w:r w:rsidRPr="00551859">
        <w:rPr>
          <w:rFonts w:ascii="Calibri" w:hAnsi="Calibri"/>
          <w:i/>
          <w:iCs/>
          <w:sz w:val="14"/>
          <w:lang w:val="en-US"/>
        </w:rPr>
        <w:t xml:space="preserve"> </w:t>
      </w:r>
      <w:r>
        <w:rPr>
          <w:rFonts w:ascii="Calibri" w:hAnsi="Calibri"/>
          <w:i/>
          <w:sz w:val="14"/>
          <w:lang w:val="en-US"/>
        </w:rPr>
        <w:t>growth rates,</w:t>
      </w:r>
      <w:r w:rsidRPr="00551859">
        <w:rPr>
          <w:rFonts w:ascii="Calibri" w:hAnsi="Calibri"/>
          <w:i/>
          <w:sz w:val="14"/>
          <w:lang w:val="en-US"/>
        </w:rPr>
        <w:t xml:space="preserve"> </w:t>
      </w:r>
      <w:r w:rsidRPr="00551859">
        <w:rPr>
          <w:rFonts w:ascii="Calibri" w:hAnsi="Calibri"/>
          <w:i/>
          <w:iCs/>
          <w:sz w:val="14"/>
          <w:lang w:val="en-US"/>
        </w:rPr>
        <w:t>due to data availability.</w:t>
      </w:r>
      <w:r>
        <w:rPr>
          <w:rFonts w:ascii="Calibri" w:hAnsi="Calibri"/>
          <w:i/>
          <w:sz w:val="14"/>
          <w:lang w:val="en-US"/>
        </w:rPr>
        <w:t xml:space="preserve"> </w:t>
      </w:r>
    </w:p>
    <w:p w14:paraId="1BEDEE36" w14:textId="77777777" w:rsidR="00346FC5" w:rsidRPr="00551859" w:rsidRDefault="00346FC5" w:rsidP="00346FC5">
      <w:pPr>
        <w:pStyle w:val="ShadedBoxText"/>
        <w:contextualSpacing/>
        <w:rPr>
          <w:rFonts w:ascii="Calibri" w:hAnsi="Calibri"/>
          <w:i/>
          <w:sz w:val="14"/>
          <w:lang w:val="en-US"/>
        </w:rPr>
      </w:pPr>
    </w:p>
    <w:p w14:paraId="11D85181" w14:textId="021EED75" w:rsidR="00346FC5" w:rsidRPr="00EE275B" w:rsidRDefault="00346FC5" w:rsidP="00346FC5">
      <w:pPr>
        <w:pStyle w:val="ShadedBoxText"/>
        <w:spacing w:before="60"/>
        <w:rPr>
          <w:lang w:val="en-US"/>
        </w:rPr>
      </w:pPr>
      <w:r w:rsidRPr="00EE275B">
        <w:rPr>
          <w:lang w:val="en-US"/>
        </w:rPr>
        <w:t xml:space="preserve">Producing goods and services more efficiently </w:t>
      </w:r>
      <w:r w:rsidRPr="00B77F0F">
        <w:rPr>
          <w:lang w:val="en-US"/>
        </w:rPr>
        <w:t>is not just prized by economists as an improvement in productivity</w:t>
      </w:r>
      <w:r>
        <w:rPr>
          <w:lang w:val="en-US"/>
        </w:rPr>
        <w:t xml:space="preserve">. More importantly, </w:t>
      </w:r>
      <w:r w:rsidRPr="007E2158">
        <w:rPr>
          <w:lang w:val="en-US"/>
        </w:rPr>
        <w:t>getting more output from workers and businesses</w:t>
      </w:r>
      <w:r>
        <w:rPr>
          <w:lang w:val="en-US"/>
        </w:rPr>
        <w:t xml:space="preserve"> </w:t>
      </w:r>
      <w:r w:rsidRPr="00EE275B">
        <w:rPr>
          <w:lang w:val="en-US"/>
        </w:rPr>
        <w:t>is the key driver of higher real wages and living standards. A small difference in</w:t>
      </w:r>
      <w:r w:rsidR="0033262F">
        <w:rPr>
          <w:lang w:val="en-US"/>
        </w:rPr>
        <w:t> </w:t>
      </w:r>
      <w:r w:rsidRPr="00EE275B">
        <w:rPr>
          <w:lang w:val="en-US"/>
        </w:rPr>
        <w:t xml:space="preserve">the annual pace of efficiency improvements can, over time, have a big impact on living standards. For example, if </w:t>
      </w:r>
      <w:r>
        <w:rPr>
          <w:lang w:val="en-US"/>
        </w:rPr>
        <w:t>between 2005 and 2019</w:t>
      </w:r>
      <w:r w:rsidRPr="00EE275B">
        <w:rPr>
          <w:lang w:val="en-US"/>
        </w:rPr>
        <w:t xml:space="preserve"> output per worker had kept growing at</w:t>
      </w:r>
      <w:r w:rsidR="0033262F">
        <w:rPr>
          <w:lang w:val="en-US"/>
        </w:rPr>
        <w:t> </w:t>
      </w:r>
      <w:r w:rsidRPr="00EE275B">
        <w:rPr>
          <w:lang w:val="en-US"/>
        </w:rPr>
        <w:t>the same rate as it did from 19</w:t>
      </w:r>
      <w:r>
        <w:rPr>
          <w:lang w:val="en-US"/>
        </w:rPr>
        <w:t>9</w:t>
      </w:r>
      <w:r w:rsidRPr="00EE275B">
        <w:rPr>
          <w:lang w:val="en-US"/>
        </w:rPr>
        <w:t>0 to 2005</w:t>
      </w:r>
      <w:r>
        <w:rPr>
          <w:lang w:val="en-US"/>
        </w:rPr>
        <w:t>,</w:t>
      </w:r>
      <w:r w:rsidRPr="00EE275B">
        <w:rPr>
          <w:lang w:val="en-US"/>
        </w:rPr>
        <w:t xml:space="preserve"> average real Victorian </w:t>
      </w:r>
      <w:r>
        <w:rPr>
          <w:lang w:val="en-US"/>
        </w:rPr>
        <w:t xml:space="preserve">yearly </w:t>
      </w:r>
      <w:r w:rsidRPr="00EE275B">
        <w:rPr>
          <w:lang w:val="en-US"/>
        </w:rPr>
        <w:t xml:space="preserve">wages would have </w:t>
      </w:r>
      <w:r>
        <w:rPr>
          <w:lang w:val="en-US"/>
        </w:rPr>
        <w:t>been</w:t>
      </w:r>
      <w:r w:rsidRPr="009C2F68">
        <w:rPr>
          <w:lang w:val="en-US"/>
        </w:rPr>
        <w:t xml:space="preserve"> </w:t>
      </w:r>
      <w:r w:rsidRPr="00EE275B">
        <w:rPr>
          <w:lang w:val="en-US"/>
        </w:rPr>
        <w:t>$</w:t>
      </w:r>
      <w:r>
        <w:rPr>
          <w:lang w:val="en-US"/>
        </w:rPr>
        <w:t>6 600</w:t>
      </w:r>
      <w:r w:rsidRPr="00EE275B">
        <w:rPr>
          <w:lang w:val="en-US"/>
        </w:rPr>
        <w:t xml:space="preserve"> </w:t>
      </w:r>
      <w:r>
        <w:rPr>
          <w:lang w:val="en-US"/>
        </w:rPr>
        <w:t xml:space="preserve">higher by 2019. </w:t>
      </w:r>
    </w:p>
    <w:p w14:paraId="32BB8B12" w14:textId="455625AB" w:rsidR="00346FC5" w:rsidRPr="00EE275B" w:rsidRDefault="00346FC5" w:rsidP="00346FC5">
      <w:pPr>
        <w:pStyle w:val="ShadedBoxText"/>
        <w:spacing w:before="60"/>
        <w:rPr>
          <w:lang w:val="en-US"/>
        </w:rPr>
      </w:pPr>
      <w:r w:rsidRPr="00EE275B">
        <w:rPr>
          <w:lang w:val="en-US"/>
        </w:rPr>
        <w:t xml:space="preserve">There are a number of different ways workers’ output </w:t>
      </w:r>
      <w:r>
        <w:rPr>
          <w:lang w:val="en-US"/>
        </w:rPr>
        <w:t>and therefore living standards</w:t>
      </w:r>
      <w:r w:rsidRPr="00EE275B">
        <w:rPr>
          <w:lang w:val="en-US"/>
        </w:rPr>
        <w:t xml:space="preserve"> can</w:t>
      </w:r>
      <w:r w:rsidR="0033262F">
        <w:rPr>
          <w:lang w:val="en-US"/>
        </w:rPr>
        <w:t> </w:t>
      </w:r>
      <w:r w:rsidRPr="00EE275B">
        <w:rPr>
          <w:lang w:val="en-US"/>
        </w:rPr>
        <w:t>increase.</w:t>
      </w:r>
    </w:p>
    <w:p w14:paraId="5FD2F6C5" w14:textId="77777777" w:rsidR="00346FC5" w:rsidRPr="00EE275B" w:rsidRDefault="00346FC5" w:rsidP="00346FC5">
      <w:pPr>
        <w:pStyle w:val="ShadedBoxText"/>
        <w:spacing w:before="60"/>
        <w:rPr>
          <w:lang w:val="en-US"/>
        </w:rPr>
      </w:pPr>
      <w:r w:rsidRPr="004E0015">
        <w:rPr>
          <w:b/>
          <w:lang w:val="en-US"/>
        </w:rPr>
        <w:t>By using more skills</w:t>
      </w:r>
      <w:r w:rsidRPr="00EE275B">
        <w:rPr>
          <w:lang w:val="en-US"/>
        </w:rPr>
        <w:t xml:space="preserve"> – There are lifelong skills benefits from increasing </w:t>
      </w:r>
      <w:r>
        <w:rPr>
          <w:lang w:val="en-US"/>
        </w:rPr>
        <w:t>the</w:t>
      </w:r>
      <w:r w:rsidRPr="00EE275B">
        <w:rPr>
          <w:lang w:val="en-US"/>
        </w:rPr>
        <w:t xml:space="preserve"> early learning years for children, such as </w:t>
      </w:r>
      <w:r>
        <w:rPr>
          <w:lang w:val="en-US"/>
        </w:rPr>
        <w:t>through</w:t>
      </w:r>
      <w:r w:rsidRPr="00EE275B">
        <w:rPr>
          <w:lang w:val="en-US"/>
        </w:rPr>
        <w:t xml:space="preserve"> the Best Start</w:t>
      </w:r>
      <w:r w:rsidRPr="009C2F68">
        <w:rPr>
          <w:lang w:val="en-US"/>
        </w:rPr>
        <w:t>,</w:t>
      </w:r>
      <w:r w:rsidRPr="00EE275B">
        <w:rPr>
          <w:lang w:val="en-US"/>
        </w:rPr>
        <w:t xml:space="preserve"> Best Life </w:t>
      </w:r>
      <w:r>
        <w:rPr>
          <w:lang w:val="en-US"/>
        </w:rPr>
        <w:t>and Three</w:t>
      </w:r>
      <w:r w:rsidRPr="00EE275B">
        <w:rPr>
          <w:lang w:val="en-US"/>
        </w:rPr>
        <w:t>-</w:t>
      </w:r>
      <w:r>
        <w:rPr>
          <w:lang w:val="en-US"/>
        </w:rPr>
        <w:t>Y</w:t>
      </w:r>
      <w:r w:rsidRPr="00EE275B">
        <w:rPr>
          <w:lang w:val="en-US"/>
        </w:rPr>
        <w:t>ear</w:t>
      </w:r>
      <w:r>
        <w:rPr>
          <w:lang w:val="en-US"/>
        </w:rPr>
        <w:t>-O</w:t>
      </w:r>
      <w:r w:rsidRPr="00EE275B">
        <w:rPr>
          <w:lang w:val="en-US"/>
        </w:rPr>
        <w:t xml:space="preserve">ld </w:t>
      </w:r>
      <w:r>
        <w:rPr>
          <w:lang w:val="en-US"/>
        </w:rPr>
        <w:t>K</w:t>
      </w:r>
      <w:r w:rsidRPr="00EE275B">
        <w:rPr>
          <w:lang w:val="en-US"/>
        </w:rPr>
        <w:t>inder initiative</w:t>
      </w:r>
      <w:r>
        <w:rPr>
          <w:lang w:val="en-US"/>
        </w:rPr>
        <w:t>s</w:t>
      </w:r>
      <w:r w:rsidRPr="00EE275B">
        <w:rPr>
          <w:lang w:val="en-US"/>
        </w:rPr>
        <w:t xml:space="preserve">, as it accelerates childhood development and improves equity in educational outcomes. Supporting lifelong learning can also help mid-career workers </w:t>
      </w:r>
      <w:r>
        <w:rPr>
          <w:lang w:val="en-US"/>
        </w:rPr>
        <w:t>thrive in a changing economy</w:t>
      </w:r>
      <w:r w:rsidRPr="00EE275B">
        <w:rPr>
          <w:lang w:val="en-US"/>
        </w:rPr>
        <w:t xml:space="preserve">. For example, the Digital Jobs for Manufacturing program provides businesses </w:t>
      </w:r>
      <w:r>
        <w:rPr>
          <w:lang w:val="en-US"/>
        </w:rPr>
        <w:t>with</w:t>
      </w:r>
      <w:r w:rsidRPr="00EE275B">
        <w:rPr>
          <w:lang w:val="en-US"/>
        </w:rPr>
        <w:t xml:space="preserve"> grants for their employees to develop in-demand skills like robotic process automation and data analytics. </w:t>
      </w:r>
    </w:p>
    <w:p w14:paraId="3B51DD7A" w14:textId="50F9495A" w:rsidR="00346FC5" w:rsidRPr="00EE275B" w:rsidRDefault="00346FC5" w:rsidP="00346FC5">
      <w:pPr>
        <w:pStyle w:val="ShadedBoxText"/>
        <w:spacing w:before="60"/>
        <w:rPr>
          <w:lang w:val="en-US"/>
        </w:rPr>
      </w:pPr>
      <w:r w:rsidRPr="004E0015">
        <w:rPr>
          <w:b/>
          <w:lang w:val="en-US"/>
        </w:rPr>
        <w:t>By using better equipment</w:t>
      </w:r>
      <w:r w:rsidRPr="00EE275B">
        <w:rPr>
          <w:lang w:val="en-US"/>
        </w:rPr>
        <w:t xml:space="preserve"> – Upgrading to new energy-efficient and more reliable equipment can reduce businesses’ carbon emissions and costs as well as increase output per worker. </w:t>
      </w:r>
      <w:r>
        <w:rPr>
          <w:lang w:val="en-US"/>
        </w:rPr>
        <w:t>For example, the Victorian Energy Upgrades program provides incentives for</w:t>
      </w:r>
      <w:r w:rsidR="0033262F">
        <w:rPr>
          <w:lang w:val="en-US"/>
        </w:rPr>
        <w:t> </w:t>
      </w:r>
      <w:r>
        <w:rPr>
          <w:lang w:val="en-US"/>
        </w:rPr>
        <w:t>businesses to reduce their energy use, with the average business saving $3 700 a year on energy bills. That is money they can invest in new products or equipment, growing their business.</w:t>
      </w:r>
    </w:p>
    <w:p w14:paraId="4EAA591A" w14:textId="77777777" w:rsidR="00346FC5" w:rsidRPr="00EE275B" w:rsidRDefault="00346FC5" w:rsidP="00346FC5">
      <w:pPr>
        <w:pStyle w:val="ShadedBoxText"/>
        <w:pageBreakBefore/>
        <w:spacing w:before="60"/>
        <w:rPr>
          <w:lang w:val="en-US"/>
        </w:rPr>
      </w:pPr>
      <w:r w:rsidRPr="004E0015">
        <w:rPr>
          <w:b/>
          <w:lang w:val="en-US"/>
        </w:rPr>
        <w:t>By adopting better ways of working</w:t>
      </w:r>
      <w:r w:rsidRPr="00EE275B">
        <w:rPr>
          <w:lang w:val="en-US"/>
        </w:rPr>
        <w:t xml:space="preserve"> – Technology and process improvements provide new ways for businesses to operate more efficiently. For example, hybrid working for office workers can reduce place-based </w:t>
      </w:r>
      <w:r w:rsidRPr="009C2F68">
        <w:rPr>
          <w:lang w:val="en-US"/>
        </w:rPr>
        <w:t>restrictions on</w:t>
      </w:r>
      <w:r w:rsidRPr="00EE275B">
        <w:rPr>
          <w:lang w:val="en-US"/>
        </w:rPr>
        <w:t xml:space="preserve"> employment, allowing for better employer-employee matches</w:t>
      </w:r>
      <w:r w:rsidRPr="009C2F68">
        <w:rPr>
          <w:lang w:val="en-US"/>
        </w:rPr>
        <w:t>. Hybrid working</w:t>
      </w:r>
      <w:r w:rsidRPr="00EE275B">
        <w:rPr>
          <w:lang w:val="en-US"/>
        </w:rPr>
        <w:t xml:space="preserve"> can also support increased worker output without </w:t>
      </w:r>
      <w:r w:rsidRPr="009C2F68">
        <w:rPr>
          <w:lang w:val="en-US"/>
        </w:rPr>
        <w:t>eating into</w:t>
      </w:r>
      <w:r w:rsidRPr="00EE275B">
        <w:rPr>
          <w:lang w:val="en-US"/>
        </w:rPr>
        <w:t xml:space="preserve"> family or leisure time by reducing or eliminating commuting time. </w:t>
      </w:r>
    </w:p>
    <w:p w14:paraId="782914BB" w14:textId="77777777" w:rsidR="00346FC5" w:rsidRDefault="00346FC5" w:rsidP="00346FC5">
      <w:pPr>
        <w:pStyle w:val="ShadedBoxText"/>
        <w:spacing w:before="60"/>
        <w:rPr>
          <w:lang w:val="en-US"/>
        </w:rPr>
      </w:pPr>
      <w:r w:rsidRPr="004E0015">
        <w:rPr>
          <w:b/>
          <w:lang w:val="en-US"/>
        </w:rPr>
        <w:t>By producing new, more valuable products or services</w:t>
      </w:r>
      <w:r w:rsidRPr="00EE275B">
        <w:rPr>
          <w:lang w:val="en-US"/>
        </w:rPr>
        <w:t xml:space="preserve"> – </w:t>
      </w:r>
      <w:r>
        <w:rPr>
          <w:lang w:val="en-US"/>
        </w:rPr>
        <w:t>Start-ups create new and better products and services, which grow exports and jobs from and in Victoria.</w:t>
      </w:r>
      <w:r w:rsidDel="00234390">
        <w:rPr>
          <w:lang w:val="en-US"/>
        </w:rPr>
        <w:t xml:space="preserve"> </w:t>
      </w:r>
      <w:r>
        <w:rPr>
          <w:lang w:val="en-US"/>
        </w:rPr>
        <w:t xml:space="preserve">LaunchVic provides support to help unlock private investment and grow Victorian </w:t>
      </w:r>
      <w:r>
        <w:rPr>
          <w:lang w:val="en-US"/>
        </w:rPr>
        <w:br/>
        <w:t>start-ups, including through</w:t>
      </w:r>
      <w:r w:rsidDel="00783C47">
        <w:rPr>
          <w:lang w:val="en-US"/>
        </w:rPr>
        <w:t xml:space="preserve"> </w:t>
      </w:r>
      <w:r>
        <w:rPr>
          <w:lang w:val="en-US"/>
        </w:rPr>
        <w:t>the Alice Anderson Fund,</w:t>
      </w:r>
      <w:r w:rsidDel="00CA433F">
        <w:rPr>
          <w:lang w:val="en-US"/>
        </w:rPr>
        <w:t xml:space="preserve"> </w:t>
      </w:r>
      <w:r>
        <w:rPr>
          <w:lang w:val="en-US"/>
        </w:rPr>
        <w:t>supporting female-led startups, where every dollar is matched by three dollars of private investment.</w:t>
      </w:r>
    </w:p>
    <w:p w14:paraId="5B0D456A" w14:textId="73241C48" w:rsidR="00346FC5" w:rsidRPr="00EE275B" w:rsidRDefault="00346FC5" w:rsidP="00346FC5">
      <w:pPr>
        <w:pStyle w:val="ShadedBoxText"/>
        <w:spacing w:before="60"/>
        <w:rPr>
          <w:lang w:val="en-US"/>
        </w:rPr>
      </w:pPr>
      <w:r w:rsidRPr="004E0015">
        <w:rPr>
          <w:b/>
          <w:lang w:val="en-US"/>
        </w:rPr>
        <w:t>By moving into jobs or industries that create more valuable products and services</w:t>
      </w:r>
      <w:r>
        <w:rPr>
          <w:lang w:val="en-US"/>
        </w:rPr>
        <w:t> </w:t>
      </w:r>
      <w:r w:rsidRPr="00EE275B">
        <w:rPr>
          <w:lang w:val="en-US"/>
        </w:rPr>
        <w:t xml:space="preserve">– </w:t>
      </w:r>
      <w:r>
        <w:rPr>
          <w:lang w:val="en-US"/>
        </w:rPr>
        <w:t>F</w:t>
      </w:r>
      <w:r w:rsidRPr="00EE275B">
        <w:rPr>
          <w:lang w:val="en-US"/>
        </w:rPr>
        <w:t>or example, between February 2020 and February 2023 professional, scientific</w:t>
      </w:r>
      <w:r>
        <w:rPr>
          <w:lang w:val="en-US"/>
        </w:rPr>
        <w:t> </w:t>
      </w:r>
      <w:r w:rsidRPr="00EE275B">
        <w:rPr>
          <w:lang w:val="en-US"/>
        </w:rPr>
        <w:t>and technical services and financial and insurance services industries grew by</w:t>
      </w:r>
      <w:r w:rsidR="0033262F">
        <w:rPr>
          <w:lang w:val="en-US"/>
        </w:rPr>
        <w:t> </w:t>
      </w:r>
      <w:r w:rsidRPr="00EE275B">
        <w:rPr>
          <w:lang w:val="en-US"/>
        </w:rPr>
        <w:t>63</w:t>
      </w:r>
      <w:r>
        <w:rPr>
          <w:lang w:val="en-US"/>
        </w:rPr>
        <w:t> </w:t>
      </w:r>
      <w:r w:rsidRPr="00EE275B">
        <w:rPr>
          <w:lang w:val="en-US"/>
        </w:rPr>
        <w:t xml:space="preserve">000 Victorian workers. Many workers were better off as these industries pay </w:t>
      </w:r>
      <w:r>
        <w:rPr>
          <w:lang w:val="en-US"/>
        </w:rPr>
        <w:br/>
      </w:r>
      <w:r w:rsidRPr="00EE275B">
        <w:rPr>
          <w:lang w:val="en-US"/>
        </w:rPr>
        <w:t>above</w:t>
      </w:r>
      <w:r>
        <w:rPr>
          <w:lang w:val="en-US"/>
        </w:rPr>
        <w:t>-</w:t>
      </w:r>
      <w:r w:rsidRPr="00EE275B">
        <w:rPr>
          <w:lang w:val="en-US"/>
        </w:rPr>
        <w:t>average wages.</w:t>
      </w:r>
    </w:p>
    <w:p w14:paraId="272CDA89" w14:textId="77777777" w:rsidR="00346FC5" w:rsidRPr="009C2F68" w:rsidRDefault="00346FC5" w:rsidP="00346FC5">
      <w:pPr>
        <w:pStyle w:val="ShadedBoxText"/>
        <w:spacing w:before="60"/>
        <w:rPr>
          <w:lang w:val="en-US"/>
        </w:rPr>
      </w:pPr>
      <w:r w:rsidRPr="00EE275B">
        <w:rPr>
          <w:lang w:val="en-US"/>
        </w:rPr>
        <w:t xml:space="preserve">Governments </w:t>
      </w:r>
      <w:r w:rsidRPr="009C2F68">
        <w:rPr>
          <w:lang w:val="en-US"/>
        </w:rPr>
        <w:t>also</w:t>
      </w:r>
      <w:r w:rsidRPr="00EE275B">
        <w:rPr>
          <w:lang w:val="en-US"/>
        </w:rPr>
        <w:t xml:space="preserve"> support these pathways to higher economic output by providing </w:t>
      </w:r>
      <w:r w:rsidRPr="009C2F68">
        <w:rPr>
          <w:lang w:val="en-US"/>
        </w:rPr>
        <w:t>a health system that supports a healthy workforce,</w:t>
      </w:r>
      <w:r w:rsidRPr="00EE275B">
        <w:rPr>
          <w:lang w:val="en-US"/>
        </w:rPr>
        <w:t xml:space="preserve"> encouraging innovation among businesses and research institutions</w:t>
      </w:r>
      <w:r w:rsidRPr="009C2F68">
        <w:rPr>
          <w:lang w:val="en-US"/>
        </w:rPr>
        <w:t>, providing essential transport and energy infrastructure,</w:t>
      </w:r>
      <w:r w:rsidRPr="00EE275B">
        <w:rPr>
          <w:lang w:val="en-US"/>
        </w:rPr>
        <w:t xml:space="preserve"> and ensuring regulations </w:t>
      </w:r>
      <w:r w:rsidRPr="009C2F68">
        <w:rPr>
          <w:lang w:val="en-US"/>
        </w:rPr>
        <w:t>– that</w:t>
      </w:r>
      <w:r w:rsidRPr="00EE275B">
        <w:rPr>
          <w:lang w:val="en-US"/>
        </w:rPr>
        <w:t xml:space="preserve"> protect </w:t>
      </w:r>
      <w:r w:rsidRPr="009C2F68">
        <w:rPr>
          <w:lang w:val="en-US"/>
        </w:rPr>
        <w:t>and give confidence to consumers –</w:t>
      </w:r>
      <w:r w:rsidRPr="00EE275B">
        <w:rPr>
          <w:lang w:val="en-US"/>
        </w:rPr>
        <w:t xml:space="preserve"> are as streamlined and easy to abide by as possible.</w:t>
      </w:r>
    </w:p>
    <w:p w14:paraId="7EC88A3D" w14:textId="77777777" w:rsidR="00346FC5" w:rsidRDefault="00346FC5" w:rsidP="00346FC5">
      <w:pPr>
        <w:pStyle w:val="ShadedBoxText"/>
        <w:spacing w:before="60"/>
        <w:rPr>
          <w:lang w:val="en-US"/>
        </w:rPr>
      </w:pPr>
      <w:r w:rsidRPr="00190C91">
        <w:rPr>
          <w:lang w:val="en-US"/>
        </w:rPr>
        <w:t xml:space="preserve">Actions to reduce carbon emissions and reach net zero by 2045 and support adaptation in the built and natural environments will help secure Victoria’s long-term prosperity and competitiveness, and safeguard the State from </w:t>
      </w:r>
      <w:r>
        <w:rPr>
          <w:lang w:val="en-US"/>
        </w:rPr>
        <w:t>the</w:t>
      </w:r>
      <w:r w:rsidRPr="00190C91">
        <w:rPr>
          <w:lang w:val="en-US"/>
        </w:rPr>
        <w:t xml:space="preserve"> effects of climate change.</w:t>
      </w:r>
    </w:p>
    <w:p w14:paraId="6E6C4982" w14:textId="5B3EE038" w:rsidR="00346FC5" w:rsidRPr="00346FC5" w:rsidRDefault="00346FC5" w:rsidP="00346FC5">
      <w:pPr>
        <w:pStyle w:val="Heading10"/>
      </w:pPr>
      <w:bookmarkStart w:id="57" w:name="_Toc135331251"/>
      <w:r w:rsidRPr="00346FC5">
        <w:t>Investing in growth</w:t>
      </w:r>
      <w:bookmarkEnd w:id="57"/>
    </w:p>
    <w:p w14:paraId="4B4CEA1A" w14:textId="77777777" w:rsidR="00346FC5" w:rsidRDefault="00346FC5" w:rsidP="00346FC5">
      <w:pPr>
        <w:pStyle w:val="Heading20"/>
      </w:pPr>
      <w:r>
        <w:t xml:space="preserve">A more efficient tax system </w:t>
      </w:r>
    </w:p>
    <w:p w14:paraId="60BDB43F" w14:textId="77777777" w:rsidR="00346FC5" w:rsidRPr="000C6939" w:rsidRDefault="00346FC5" w:rsidP="00346FC5">
      <w:pPr>
        <w:rPr>
          <w:rFonts w:cstheme="minorHAnsi"/>
        </w:rPr>
      </w:pPr>
      <w:r w:rsidRPr="00641024">
        <w:rPr>
          <w:rFonts w:cstheme="minorHAnsi"/>
        </w:rPr>
        <w:t>The Government is getting on with</w:t>
      </w:r>
      <w:r>
        <w:rPr>
          <w:rFonts w:cstheme="minorHAnsi"/>
        </w:rPr>
        <w:t xml:space="preserve"> </w:t>
      </w:r>
      <w:r w:rsidRPr="000C6939">
        <w:rPr>
          <w:rFonts w:cstheme="minorHAnsi"/>
        </w:rPr>
        <w:t>significant tax reform, including gradually abolishing some of the state’s most inefficient taxes.</w:t>
      </w:r>
    </w:p>
    <w:p w14:paraId="68B8B5B1" w14:textId="77777777" w:rsidR="00346FC5" w:rsidRPr="000C6939" w:rsidRDefault="00346FC5" w:rsidP="00346FC5">
      <w:pPr>
        <w:shd w:val="clear" w:color="auto" w:fill="FFFFFF"/>
        <w:rPr>
          <w:rFonts w:cstheme="minorHAnsi"/>
          <w:color w:val="1D1C1D"/>
          <w:lang w:eastAsia="en-AU"/>
        </w:rPr>
      </w:pPr>
      <w:r w:rsidRPr="000C6939">
        <w:rPr>
          <w:rFonts w:cstheme="minorHAnsi"/>
          <w:color w:val="1D1C1D"/>
          <w:lang w:eastAsia="en-AU"/>
        </w:rPr>
        <w:t xml:space="preserve">To encourage Victorian businesses to invest, expand, and create more jobs, the Government </w:t>
      </w:r>
      <w:r>
        <w:rPr>
          <w:rFonts w:cstheme="minorHAnsi"/>
          <w:color w:val="1D1C1D"/>
          <w:lang w:eastAsia="en-AU"/>
        </w:rPr>
        <w:t>will undertake</w:t>
      </w:r>
      <w:r w:rsidRPr="000C6939">
        <w:rPr>
          <w:rFonts w:cstheme="minorHAnsi"/>
          <w:color w:val="1D1C1D"/>
          <w:lang w:eastAsia="en-AU"/>
        </w:rPr>
        <w:t xml:space="preserve"> a landmark reform: transitioning from stamp duty to an annual property tax for commercial and industrial properties</w:t>
      </w:r>
      <w:r>
        <w:rPr>
          <w:rFonts w:cstheme="minorHAnsi"/>
          <w:color w:val="1D1C1D"/>
          <w:lang w:eastAsia="en-AU"/>
        </w:rPr>
        <w:t>.</w:t>
      </w:r>
    </w:p>
    <w:p w14:paraId="111F3B38" w14:textId="77777777" w:rsidR="00346FC5" w:rsidRPr="000C6939" w:rsidRDefault="00346FC5" w:rsidP="00346FC5">
      <w:pPr>
        <w:shd w:val="clear" w:color="auto" w:fill="FFFFFF"/>
        <w:spacing w:after="120"/>
        <w:rPr>
          <w:rFonts w:cstheme="minorHAnsi"/>
          <w:color w:val="1D1C1D"/>
          <w:lang w:eastAsia="en-AU"/>
        </w:rPr>
      </w:pPr>
      <w:r w:rsidRPr="000C6939">
        <w:rPr>
          <w:rFonts w:cstheme="minorHAnsi"/>
          <w:color w:val="1D1C1D"/>
          <w:lang w:eastAsia="en-AU"/>
        </w:rPr>
        <w:t>Stamp duty adds to the cost of purchasing property. It</w:t>
      </w:r>
      <w:r>
        <w:rPr>
          <w:rFonts w:cstheme="minorHAnsi"/>
          <w:color w:val="1D1C1D"/>
          <w:lang w:eastAsia="en-AU"/>
        </w:rPr>
        <w:t>s application to commercial and industrial properties</w:t>
      </w:r>
      <w:r w:rsidRPr="000C6939">
        <w:rPr>
          <w:rFonts w:cstheme="minorHAnsi"/>
          <w:color w:val="1D1C1D"/>
          <w:lang w:eastAsia="en-AU"/>
        </w:rPr>
        <w:t xml:space="preserve"> impedes growth and productivity as it discourages businesses from investing</w:t>
      </w:r>
      <w:r>
        <w:rPr>
          <w:rFonts w:cstheme="minorHAnsi"/>
          <w:color w:val="1D1C1D"/>
          <w:lang w:eastAsia="en-AU"/>
        </w:rPr>
        <w:t xml:space="preserve"> in property</w:t>
      </w:r>
      <w:r w:rsidRPr="000C6939">
        <w:rPr>
          <w:rFonts w:cstheme="minorHAnsi"/>
          <w:color w:val="1D1C1D"/>
          <w:lang w:eastAsia="en-AU"/>
        </w:rPr>
        <w:t xml:space="preserve"> to grow their operations and employ more workers. This reform will:</w:t>
      </w:r>
    </w:p>
    <w:p w14:paraId="762F86BE" w14:textId="77777777" w:rsidR="00346FC5" w:rsidRPr="00346FC5" w:rsidRDefault="00346FC5" w:rsidP="007B1F83">
      <w:pPr>
        <w:pStyle w:val="ListBullet"/>
      </w:pPr>
      <w:r w:rsidRPr="000C6939">
        <w:rPr>
          <w:lang w:eastAsia="en-AU"/>
        </w:rPr>
        <w:t>e</w:t>
      </w:r>
      <w:r w:rsidRPr="00346FC5">
        <w:t>ncourage businesses to expand or set up in the best location, for example close to their customers or where there is a growing workforce</w:t>
      </w:r>
    </w:p>
    <w:p w14:paraId="18511818" w14:textId="77777777" w:rsidR="00346FC5" w:rsidRPr="00346FC5" w:rsidRDefault="00346FC5" w:rsidP="007B1F83">
      <w:pPr>
        <w:pStyle w:val="ListBullet"/>
      </w:pPr>
      <w:r w:rsidRPr="00346FC5">
        <w:t>support businesses to invest in buildings and infrastructure</w:t>
      </w:r>
    </w:p>
    <w:p w14:paraId="7A1607F0" w14:textId="77777777" w:rsidR="00346FC5" w:rsidRPr="000C6939" w:rsidRDefault="00346FC5" w:rsidP="007B1F83">
      <w:pPr>
        <w:pStyle w:val="ListBullet"/>
        <w:rPr>
          <w:lang w:eastAsia="en-AU"/>
        </w:rPr>
      </w:pPr>
      <w:r w:rsidRPr="00346FC5">
        <w:t>pr</w:t>
      </w:r>
      <w:r w:rsidRPr="000C6939">
        <w:rPr>
          <w:lang w:eastAsia="en-AU"/>
        </w:rPr>
        <w:t>omote more efficient use of commercial and industrial land.</w:t>
      </w:r>
    </w:p>
    <w:p w14:paraId="3A3B7D5F" w14:textId="77777777" w:rsidR="00346FC5" w:rsidRPr="000C6939" w:rsidRDefault="00346FC5" w:rsidP="00346FC5">
      <w:pPr>
        <w:keepNext/>
        <w:shd w:val="clear" w:color="auto" w:fill="FFFFFF"/>
        <w:rPr>
          <w:rFonts w:cstheme="minorHAnsi"/>
          <w:color w:val="1D1C1D"/>
          <w:lang w:eastAsia="en-AU"/>
        </w:rPr>
      </w:pPr>
      <w:r w:rsidRPr="000C6939">
        <w:rPr>
          <w:rFonts w:cstheme="minorHAnsi"/>
          <w:color w:val="1D1C1D"/>
          <w:lang w:eastAsia="en-AU"/>
        </w:rPr>
        <w:t>The</w:t>
      </w:r>
      <w:r>
        <w:rPr>
          <w:rFonts w:cstheme="minorHAnsi"/>
          <w:color w:val="1D1C1D"/>
          <w:lang w:eastAsia="en-AU"/>
        </w:rPr>
        <w:t xml:space="preserve"> estimated</w:t>
      </w:r>
      <w:r w:rsidRPr="000C6939">
        <w:rPr>
          <w:rFonts w:cstheme="minorHAnsi"/>
          <w:color w:val="1D1C1D"/>
          <w:lang w:eastAsia="en-AU"/>
        </w:rPr>
        <w:t xml:space="preserve"> cumulative increase in the size of the Victorian economy resulting from this reform is up to $50 billion in net present value terms.</w:t>
      </w:r>
    </w:p>
    <w:p w14:paraId="174570AB" w14:textId="77777777" w:rsidR="00346FC5" w:rsidRPr="000C6939" w:rsidRDefault="00346FC5" w:rsidP="00346FC5">
      <w:pPr>
        <w:shd w:val="clear" w:color="auto" w:fill="FFFFFF"/>
        <w:rPr>
          <w:rFonts w:cstheme="minorHAnsi"/>
          <w:color w:val="1D1C1D"/>
          <w:lang w:eastAsia="en-AU"/>
        </w:rPr>
      </w:pPr>
      <w:r w:rsidRPr="000C6939">
        <w:rPr>
          <w:rFonts w:cstheme="minorHAnsi"/>
          <w:color w:val="1D1C1D"/>
          <w:lang w:eastAsia="en-AU"/>
        </w:rPr>
        <w:t xml:space="preserve">The transition away from stamp duty for commercial and industrial properties will occur after the next sale, with the annual property tax applying after 10 years. Current </w:t>
      </w:r>
      <w:r>
        <w:rPr>
          <w:rFonts w:cstheme="minorHAnsi"/>
          <w:color w:val="1D1C1D"/>
          <w:lang w:eastAsia="en-AU"/>
        </w:rPr>
        <w:t xml:space="preserve">commercial or industrial property </w:t>
      </w:r>
      <w:r w:rsidRPr="000C6939">
        <w:rPr>
          <w:rFonts w:cstheme="minorHAnsi"/>
          <w:color w:val="1D1C1D"/>
          <w:lang w:eastAsia="en-AU"/>
        </w:rPr>
        <w:t xml:space="preserve">owners will be exempt – the transition will only apply to those choosing to buy commercial or industrial property in the future. Work is underway to finalise details of the reform with announcements to be made by the end of </w:t>
      </w:r>
      <w:r>
        <w:rPr>
          <w:rFonts w:cstheme="minorHAnsi"/>
          <w:color w:val="1D1C1D"/>
          <w:lang w:eastAsia="en-AU"/>
        </w:rPr>
        <w:t>2023</w:t>
      </w:r>
      <w:r w:rsidRPr="000C6939" w:rsidDel="00297EBA">
        <w:rPr>
          <w:rFonts w:cstheme="minorHAnsi"/>
          <w:color w:val="1D1C1D"/>
          <w:lang w:eastAsia="en-AU"/>
        </w:rPr>
        <w:t xml:space="preserve"> </w:t>
      </w:r>
      <w:r w:rsidRPr="000C6939">
        <w:rPr>
          <w:rFonts w:cstheme="minorHAnsi"/>
          <w:color w:val="1D1C1D"/>
          <w:lang w:eastAsia="en-AU"/>
        </w:rPr>
        <w:t xml:space="preserve">and the new system to come into effect </w:t>
      </w:r>
      <w:r>
        <w:rPr>
          <w:rFonts w:cstheme="minorHAnsi"/>
          <w:color w:val="1D1C1D"/>
          <w:lang w:eastAsia="en-AU"/>
        </w:rPr>
        <w:t xml:space="preserve">from 1 July </w:t>
      </w:r>
      <w:r w:rsidRPr="000C6939" w:rsidDel="00373BD8">
        <w:rPr>
          <w:rFonts w:cstheme="minorHAnsi"/>
          <w:color w:val="1D1C1D"/>
          <w:lang w:eastAsia="en-AU"/>
        </w:rPr>
        <w:t>2024</w:t>
      </w:r>
      <w:r w:rsidRPr="000C6939">
        <w:rPr>
          <w:rFonts w:cstheme="minorHAnsi"/>
          <w:color w:val="1D1C1D"/>
          <w:lang w:eastAsia="en-AU"/>
        </w:rPr>
        <w:t>.</w:t>
      </w:r>
    </w:p>
    <w:p w14:paraId="5E000AB7" w14:textId="77777777" w:rsidR="00346FC5" w:rsidRPr="000C6939" w:rsidRDefault="00346FC5" w:rsidP="00346FC5">
      <w:pPr>
        <w:rPr>
          <w:rFonts w:cstheme="minorHAnsi"/>
          <w:color w:val="1D1C1D"/>
          <w:lang w:eastAsia="en-AU"/>
        </w:rPr>
      </w:pPr>
      <w:r w:rsidRPr="000C6939">
        <w:rPr>
          <w:rFonts w:cstheme="minorHAnsi"/>
          <w:color w:val="1D1C1D"/>
          <w:lang w:eastAsia="en-AU"/>
        </w:rPr>
        <w:t>Reforming stamp duty has been recommended by numerous inquiries over recent decades; the Victorian Government is getting on and doing it.</w:t>
      </w:r>
    </w:p>
    <w:p w14:paraId="42A7E9F8" w14:textId="77777777" w:rsidR="00346FC5" w:rsidRPr="000C6939" w:rsidRDefault="00346FC5" w:rsidP="00346FC5">
      <w:pPr>
        <w:rPr>
          <w:rFonts w:cstheme="minorHAnsi"/>
        </w:rPr>
      </w:pPr>
      <w:r w:rsidRPr="000C6939">
        <w:rPr>
          <w:rFonts w:cstheme="minorHAnsi"/>
        </w:rPr>
        <w:t>To support business dynamism in the Victorian economy,</w:t>
      </w:r>
      <w:r>
        <w:rPr>
          <w:rFonts w:cstheme="minorHAnsi"/>
        </w:rPr>
        <w:t xml:space="preserve"> in a first for any state in Australia,</w:t>
      </w:r>
      <w:r w:rsidRPr="000C6939">
        <w:rPr>
          <w:rFonts w:cstheme="minorHAnsi"/>
        </w:rPr>
        <w:t xml:space="preserve"> business insurance duty will be abolished over a 10-year period, with a business likely to save around $3 200 on </w:t>
      </w:r>
      <w:r>
        <w:rPr>
          <w:rFonts w:cstheme="minorHAnsi"/>
        </w:rPr>
        <w:t>professional indemnity</w:t>
      </w:r>
      <w:r w:rsidRPr="000C6939">
        <w:rPr>
          <w:rFonts w:cstheme="minorHAnsi"/>
        </w:rPr>
        <w:t xml:space="preserve"> insurance or $</w:t>
      </w:r>
      <w:r>
        <w:rPr>
          <w:rFonts w:cstheme="minorHAnsi"/>
        </w:rPr>
        <w:t>2 4</w:t>
      </w:r>
      <w:r w:rsidRPr="000C6939">
        <w:rPr>
          <w:rFonts w:cstheme="minorHAnsi"/>
        </w:rPr>
        <w:t>00 on fire and other special risk insurance cumulatively over that time.</w:t>
      </w:r>
      <w:r>
        <w:rPr>
          <w:rFonts w:cstheme="minorHAnsi"/>
        </w:rPr>
        <w:t xml:space="preserve"> Over the first three years alone this will save businesses more than $275 million.</w:t>
      </w:r>
    </w:p>
    <w:p w14:paraId="3EC7A09E" w14:textId="77777777" w:rsidR="00346FC5" w:rsidRPr="000C6939" w:rsidRDefault="00346FC5" w:rsidP="00346FC5">
      <w:pPr>
        <w:rPr>
          <w:rFonts w:cstheme="minorHAnsi"/>
        </w:rPr>
      </w:pPr>
      <w:r w:rsidRPr="000C6939">
        <w:rPr>
          <w:rFonts w:cstheme="minorHAnsi"/>
        </w:rPr>
        <w:t xml:space="preserve">Insurance taxes can distort business decision making and can lead to under </w:t>
      </w:r>
      <w:r>
        <w:rPr>
          <w:rFonts w:cstheme="minorHAnsi"/>
        </w:rPr>
        <w:t>or</w:t>
      </w:r>
      <w:r w:rsidRPr="000C6939">
        <w:rPr>
          <w:rFonts w:cstheme="minorHAnsi"/>
        </w:rPr>
        <w:t xml:space="preserve"> non-insurance, costing the Victorian economy more than $100 million a year. These costs include fewer businesses surviving major setbacks, such as losses associated with the COVID-19 pandemic and natural disasters that have affected Australia in recent years. </w:t>
      </w:r>
    </w:p>
    <w:p w14:paraId="0B6998DB" w14:textId="77777777" w:rsidR="00346FC5" w:rsidRPr="000C6939" w:rsidRDefault="00346FC5" w:rsidP="00346FC5">
      <w:pPr>
        <w:autoSpaceDE w:val="0"/>
        <w:autoSpaceDN w:val="0"/>
        <w:adjustRightInd w:val="0"/>
        <w:rPr>
          <w:rFonts w:cstheme="minorHAnsi"/>
        </w:rPr>
      </w:pPr>
      <w:r w:rsidRPr="000C6939">
        <w:rPr>
          <w:rFonts w:cstheme="minorHAnsi"/>
        </w:rPr>
        <w:t xml:space="preserve">To make things easier for small businesses, from 1 July 2024, the payroll tax free threshold will be lifted from $700 000 to $900 000. This will result in </w:t>
      </w:r>
      <w:r w:rsidRPr="00AC0A15">
        <w:rPr>
          <w:rFonts w:cstheme="minorHAnsi"/>
        </w:rPr>
        <w:t>4 200</w:t>
      </w:r>
      <w:r w:rsidRPr="000C6939">
        <w:rPr>
          <w:rFonts w:cstheme="minorHAnsi"/>
        </w:rPr>
        <w:t xml:space="preserve"> fewer </w:t>
      </w:r>
      <w:r w:rsidRPr="00AC0A15">
        <w:rPr>
          <w:rFonts w:cstheme="minorHAnsi"/>
        </w:rPr>
        <w:t>business</w:t>
      </w:r>
      <w:r>
        <w:rPr>
          <w:rFonts w:cstheme="minorHAnsi"/>
        </w:rPr>
        <w:t>es</w:t>
      </w:r>
      <w:r w:rsidRPr="000C6939">
        <w:rPr>
          <w:rFonts w:cstheme="minorHAnsi"/>
        </w:rPr>
        <w:t xml:space="preserve"> paying the tax. Another </w:t>
      </w:r>
      <w:r w:rsidRPr="00AC0A15">
        <w:rPr>
          <w:rFonts w:cstheme="minorHAnsi"/>
        </w:rPr>
        <w:t>22 000</w:t>
      </w:r>
      <w:r w:rsidRPr="000C6939">
        <w:rPr>
          <w:rFonts w:cstheme="minorHAnsi"/>
        </w:rPr>
        <w:t xml:space="preserve"> businesses will pay a reduced amount </w:t>
      </w:r>
      <w:r>
        <w:rPr>
          <w:rFonts w:cstheme="minorHAnsi"/>
        </w:rPr>
        <w:t>–</w:t>
      </w:r>
      <w:r w:rsidRPr="000C6939">
        <w:rPr>
          <w:rFonts w:cstheme="minorHAnsi"/>
        </w:rPr>
        <w:t xml:space="preserve"> saving up to $9 700 per year each.</w:t>
      </w:r>
    </w:p>
    <w:p w14:paraId="6D19B9A9" w14:textId="77777777" w:rsidR="00346FC5" w:rsidRPr="000C6939" w:rsidRDefault="00346FC5" w:rsidP="00346FC5">
      <w:pPr>
        <w:autoSpaceDE w:val="0"/>
        <w:autoSpaceDN w:val="0"/>
        <w:adjustRightInd w:val="0"/>
        <w:rPr>
          <w:rFonts w:cstheme="minorHAnsi"/>
        </w:rPr>
      </w:pPr>
      <w:r w:rsidRPr="000C6939">
        <w:rPr>
          <w:rFonts w:cstheme="minorHAnsi"/>
        </w:rPr>
        <w:t xml:space="preserve">The payroll tax-free threshold will be lifted again, to $1 million, from </w:t>
      </w:r>
      <w:r>
        <w:rPr>
          <w:rFonts w:cstheme="minorHAnsi"/>
        </w:rPr>
        <w:t xml:space="preserve">1 </w:t>
      </w:r>
      <w:r w:rsidRPr="000C6939">
        <w:rPr>
          <w:rFonts w:cstheme="minorHAnsi"/>
        </w:rPr>
        <w:t xml:space="preserve">July 2025, meaning a further </w:t>
      </w:r>
      <w:r w:rsidRPr="00AC0A15">
        <w:rPr>
          <w:rFonts w:cstheme="minorHAnsi"/>
        </w:rPr>
        <w:t>1 500</w:t>
      </w:r>
      <w:r w:rsidRPr="000C6939">
        <w:rPr>
          <w:rFonts w:cstheme="minorHAnsi"/>
        </w:rPr>
        <w:t xml:space="preserve"> businesses will become exempt. Going forward, the payroll tax free threshold will be phased out for larger business, to ensure this support is well targeted.</w:t>
      </w:r>
    </w:p>
    <w:p w14:paraId="0EF479C4" w14:textId="77777777" w:rsidR="00346FC5" w:rsidRDefault="00346FC5" w:rsidP="00346FC5">
      <w:pPr>
        <w:autoSpaceDE w:val="0"/>
        <w:autoSpaceDN w:val="0"/>
        <w:adjustRightInd w:val="0"/>
        <w:rPr>
          <w:rFonts w:cstheme="minorHAnsi"/>
        </w:rPr>
      </w:pPr>
      <w:r w:rsidRPr="000C6939">
        <w:rPr>
          <w:rFonts w:cstheme="minorHAnsi"/>
        </w:rPr>
        <w:t xml:space="preserve">These payroll tax changes will reduce compliance costs and distortions, and boost the competitiveness of the state’s tax system for thousands of smaller businesses. </w:t>
      </w:r>
    </w:p>
    <w:p w14:paraId="53F000EF" w14:textId="77777777" w:rsidR="00346FC5" w:rsidRDefault="00346FC5" w:rsidP="00346FC5">
      <w:pPr>
        <w:pStyle w:val="ShadedBoxHeading"/>
        <w:pageBreakBefore/>
        <w:tabs>
          <w:tab w:val="left" w:pos="1080"/>
        </w:tabs>
      </w:pPr>
      <w:r>
        <w:rPr>
          <w:lang w:val="en-US"/>
        </w:rPr>
        <w:t>Box 3.2:</w:t>
      </w:r>
      <w:r>
        <w:rPr>
          <w:lang w:val="en-US"/>
        </w:rPr>
        <w:tab/>
      </w:r>
      <w:r>
        <w:t>Interstate comparison of state government revenue</w:t>
      </w:r>
    </w:p>
    <w:p w14:paraId="3960BB86" w14:textId="77777777" w:rsidR="00346FC5" w:rsidRDefault="00346FC5" w:rsidP="00346FC5">
      <w:pPr>
        <w:pStyle w:val="ShadedBoxText"/>
      </w:pPr>
      <w:r>
        <w:t>The most recent ABS Government Finance Statistics shows Victoria remains one of the lowest revenue raising states when</w:t>
      </w:r>
      <w:r w:rsidDel="00352B02">
        <w:t xml:space="preserve"> </w:t>
      </w:r>
      <w:r>
        <w:t xml:space="preserve">three key revenue sources are considered: taxation revenue, royalty income and grants from the Commonwealth. Accurate comparisons of revenue should consider the revenue impost and the available revenue to each state. </w:t>
      </w:r>
    </w:p>
    <w:p w14:paraId="4F06D055" w14:textId="77777777" w:rsidR="00346FC5" w:rsidRDefault="00346FC5" w:rsidP="00346FC5">
      <w:pPr>
        <w:pStyle w:val="ShadedBoxText"/>
      </w:pPr>
      <w:r>
        <w:t>While Victoria raises very little revenue from royalty income (less than $1 for every $200 of taxation), resource-rich states raise nearly equal amounts of royalty income and taxation revenue. Comparisons that exclude royalty income are therefore halving the revenue burden imposed by some jurisdictions.</w:t>
      </w:r>
    </w:p>
    <w:p w14:paraId="53731FC0" w14:textId="71F1AC92" w:rsidR="00346FC5" w:rsidRDefault="00346FC5" w:rsidP="00346FC5">
      <w:pPr>
        <w:pStyle w:val="ShadedBoxText"/>
      </w:pPr>
      <w:r>
        <w:t>For more than a century, Commonwealth grants to states and territories have played an important role in equalising the fiscal capacities of each state and territory to deliver services, including by addressing inequities in revenue raising capacity. Any fair comparison of state and territory revenue must take account of this source of revenue and</w:t>
      </w:r>
      <w:r w:rsidR="0033262F">
        <w:t> </w:t>
      </w:r>
      <w:r>
        <w:t xml:space="preserve">the equalisation it provides. </w:t>
      </w:r>
    </w:p>
    <w:p w14:paraId="449B9A57" w14:textId="0D105F0F" w:rsidR="00346FC5" w:rsidRPr="00257421" w:rsidRDefault="006C6E17" w:rsidP="00346FC5">
      <w:pPr>
        <w:pStyle w:val="ShadedBoxText"/>
      </w:pPr>
      <w:r>
        <w:t>When comparing</w:t>
      </w:r>
      <w:r w:rsidR="00346FC5">
        <w:t xml:space="preserve"> state government revenue from </w:t>
      </w:r>
      <w:r w:rsidR="002D0667">
        <w:t xml:space="preserve">these </w:t>
      </w:r>
      <w:r w:rsidR="00346FC5">
        <w:t>three revenue sources over 10</w:t>
      </w:r>
      <w:r w:rsidR="00385CB8">
        <w:t> </w:t>
      </w:r>
      <w:r w:rsidR="00346FC5">
        <w:t>years from 2012-13</w:t>
      </w:r>
      <w:r w:rsidR="004E7766">
        <w:t>,</w:t>
      </w:r>
      <w:r w:rsidR="00346FC5">
        <w:t xml:space="preserve"> Victoria has remained at either the lowest or second lowest revenue state in each year.</w:t>
      </w:r>
      <w:r w:rsidR="002D0667">
        <w:t xml:space="preserve"> Even if the 2021-22 data were adjusted for the indicative per capita impact of revenue decisions taken in this budget, Victoria would still be lower than New South Wales and the second lowest state.</w:t>
      </w:r>
      <w:r w:rsidR="00346FC5">
        <w:t xml:space="preserve"> Over the last decade, Victoria has raised an average of $410 per person per year less than New South Wales, or around $2.6</w:t>
      </w:r>
      <w:r w:rsidR="0033262F">
        <w:t> </w:t>
      </w:r>
      <w:r w:rsidR="00346FC5">
        <w:t>billion less per year.</w:t>
      </w:r>
    </w:p>
    <w:p w14:paraId="207CCC9B" w14:textId="77777777" w:rsidR="00346FC5" w:rsidRDefault="00346FC5" w:rsidP="00346FC5">
      <w:pPr>
        <w:autoSpaceDE w:val="0"/>
        <w:autoSpaceDN w:val="0"/>
        <w:adjustRightInd w:val="0"/>
      </w:pPr>
    </w:p>
    <w:p w14:paraId="6EC21758" w14:textId="77777777" w:rsidR="00346FC5" w:rsidRDefault="00346FC5" w:rsidP="00346FC5">
      <w:pPr>
        <w:pStyle w:val="Heading20"/>
        <w:spacing w:line="259" w:lineRule="auto"/>
      </w:pPr>
      <w:r>
        <w:t xml:space="preserve">Promoting innovation and developing stronger industries </w:t>
      </w:r>
    </w:p>
    <w:p w14:paraId="27067E49" w14:textId="77777777" w:rsidR="00346FC5" w:rsidRDefault="00346FC5" w:rsidP="00346FC5">
      <w:r>
        <w:t xml:space="preserve">With the proportion of Victorians in work currently around a record high, a key driver of future economic growth will be producing more valuable goods and services with the existing workforce. Encouraging business growth in future-focused industries, such as advanced manufacturing and renewable energy, will help create high-wage jobs and support sustainable economic growth. </w:t>
      </w:r>
    </w:p>
    <w:p w14:paraId="3F277EFA" w14:textId="77777777" w:rsidR="00346FC5" w:rsidRDefault="00346FC5" w:rsidP="00346FC5">
      <w:r>
        <w:t>Home to leading Australian universities and research institutions, Victoria has access to the talent, capability and resources to innovate and develop new high-tech products and services for export and domestic markets.</w:t>
      </w:r>
    </w:p>
    <w:p w14:paraId="693F0918" w14:textId="77777777" w:rsidR="00346FC5" w:rsidRDefault="00346FC5" w:rsidP="00346FC5">
      <w:r>
        <w:t xml:space="preserve">The Government, through the $2 billion Breakthrough Victoria initiative, has identified five future-focused industries to provide additional investment and support, including advanced manufacturing, agri-food, the clean economy, digital technologies, and health and life sciences. </w:t>
      </w:r>
    </w:p>
    <w:p w14:paraId="324CDA7A" w14:textId="77777777" w:rsidR="00346FC5" w:rsidRDefault="00346FC5" w:rsidP="00346FC5">
      <w:r>
        <w:t xml:space="preserve">Through the </w:t>
      </w:r>
      <w:r w:rsidRPr="00C67C18">
        <w:rPr>
          <w:i/>
        </w:rPr>
        <w:t>2023-24 Budget</w:t>
      </w:r>
      <w:r>
        <w:t>, the Government is further building on Victoria’s strengths in the mRNA and advanced manufacturing sectors, including vaccine manufacturing partnerships with Moderna and with BioNTech (in-principle), to continue to grow Victoria’s export potential in these high-value sectors. This budget</w:t>
      </w:r>
      <w:r w:rsidDel="00BF5153">
        <w:t xml:space="preserve"> </w:t>
      </w:r>
      <w:r>
        <w:t xml:space="preserve">provides </w:t>
      </w:r>
      <w:r w:rsidRPr="00C67C18">
        <w:t>$12 million</w:t>
      </w:r>
      <w:r>
        <w:t xml:space="preserve"> for mRNA Victoria to continue to support the delivery of major sovereign mRNA manufacturing facilities in the State. </w:t>
      </w:r>
    </w:p>
    <w:p w14:paraId="49663E5B" w14:textId="77777777" w:rsidR="00346FC5" w:rsidRDefault="00346FC5" w:rsidP="00346FC5">
      <w:bookmarkStart w:id="58" w:name="_Hlk134446913"/>
      <w:r>
        <w:t xml:space="preserve">A further $21 million is provided </w:t>
      </w:r>
      <w:r w:rsidRPr="5A7B76D2">
        <w:t xml:space="preserve">to </w:t>
      </w:r>
      <w:r>
        <w:t xml:space="preserve">establish a Manufacturing and Industry Sovereignty Fund and </w:t>
      </w:r>
      <w:r w:rsidRPr="008D000C">
        <w:t>provide support for businesses to access the Commonwealth's $15 billion National Reconstruction Fund,</w:t>
      </w:r>
      <w:r>
        <w:t xml:space="preserve"> and a $15 million Industry R&amp;D Infrastructure Fund will incentivise private industry investment into research and development. </w:t>
      </w:r>
    </w:p>
    <w:bookmarkEnd w:id="58"/>
    <w:p w14:paraId="72730033" w14:textId="77777777" w:rsidR="00346FC5" w:rsidRDefault="00346FC5" w:rsidP="00346FC5">
      <w:r>
        <w:t>The continued transition to a net zero emissions economy will provide new opportunities in growing and emerging green industries.</w:t>
      </w:r>
    </w:p>
    <w:p w14:paraId="40DB87E2" w14:textId="77777777" w:rsidR="00346FC5" w:rsidRDefault="00346FC5" w:rsidP="00346FC5">
      <w:r>
        <w:t xml:space="preserve">The Government is </w:t>
      </w:r>
      <w:r w:rsidRPr="00CF017A">
        <w:t>accelerat</w:t>
      </w:r>
      <w:r>
        <w:t>ing</w:t>
      </w:r>
      <w:r w:rsidRPr="00CF017A">
        <w:t xml:space="preserve"> investment in renewable energy in partnership with industry</w:t>
      </w:r>
      <w:r>
        <w:t xml:space="preserve"> by investing an initial $1 billion to bring</w:t>
      </w:r>
      <w:r w:rsidRPr="00C95AAB">
        <w:t xml:space="preserve"> back the </w:t>
      </w:r>
      <w:r>
        <w:t xml:space="preserve">State Electricity Commission, helping Victoria meet its renewable energy targets and lowering Victorians’ energy bills. The Government is also providing $16 million to </w:t>
      </w:r>
      <w:r>
        <w:rPr>
          <w:rFonts w:ascii="Garamond" w:eastAsia="Garamond" w:hAnsi="Garamond" w:cs="Garamond"/>
        </w:rPr>
        <w:t>establish two</w:t>
      </w:r>
      <w:r w:rsidDel="00A934FE">
        <w:t xml:space="preserve"> </w:t>
      </w:r>
      <w:r>
        <w:t xml:space="preserve">worker </w:t>
      </w:r>
      <w:r w:rsidRPr="03EA8D14">
        <w:t>training centre</w:t>
      </w:r>
      <w:r>
        <w:t>s</w:t>
      </w:r>
      <w:r w:rsidRPr="03EA8D14">
        <w:t xml:space="preserve"> for the emerging offshore and onshore wind</w:t>
      </w:r>
      <w:r>
        <w:t xml:space="preserve"> industry, and the hydrogen</w:t>
      </w:r>
      <w:r w:rsidRPr="03EA8D14">
        <w:t xml:space="preserve"> industry</w:t>
      </w:r>
      <w:r>
        <w:t>.</w:t>
      </w:r>
    </w:p>
    <w:p w14:paraId="40F8BD8C" w14:textId="77777777" w:rsidR="00346FC5" w:rsidRDefault="00346FC5" w:rsidP="00346FC5">
      <w:r>
        <w:t>The Govern</w:t>
      </w:r>
      <w:r w:rsidRPr="02D94209">
        <w:t xml:space="preserve">ment is also </w:t>
      </w:r>
      <w:r>
        <w:t>providing</w:t>
      </w:r>
      <w:r w:rsidRPr="03EA8D14">
        <w:t xml:space="preserve"> </w:t>
      </w:r>
      <w:r>
        <w:t>$7 million</w:t>
      </w:r>
      <w:r w:rsidRPr="03EA8D14">
        <w:t xml:space="preserve"> </w:t>
      </w:r>
      <w:r w:rsidRPr="00016804">
        <w:t>t</w:t>
      </w:r>
      <w:r w:rsidRPr="04555E48">
        <w:t>o</w:t>
      </w:r>
      <w:r>
        <w:t xml:space="preserve"> improve the regulatory framework for the minerals and extractives industry, and accelerate decisions for additional earth resources developments.</w:t>
      </w:r>
    </w:p>
    <w:p w14:paraId="218C7289" w14:textId="77777777" w:rsidR="00346FC5" w:rsidRDefault="00346FC5" w:rsidP="00346FC5">
      <w:pPr>
        <w:pStyle w:val="Heading20"/>
      </w:pPr>
      <w:r>
        <w:t>Keeping Victoria moving</w:t>
      </w:r>
    </w:p>
    <w:p w14:paraId="2412C0F9" w14:textId="77777777" w:rsidR="00346FC5" w:rsidRDefault="00346FC5" w:rsidP="00346FC5">
      <w:pPr>
        <w:keepNext/>
      </w:pPr>
      <w:r>
        <w:t>Continued investment in transport connections will help people commute to work and study, shop, and access services that they need. It will also enable goods to move to and from manufacturers, retailers, consumers and export destinations, while reducing pollution and carbon emissions.</w:t>
      </w:r>
    </w:p>
    <w:p w14:paraId="7E81C3B4" w14:textId="77777777" w:rsidR="00346FC5" w:rsidRDefault="00346FC5" w:rsidP="00346FC5">
      <w:pPr>
        <w:ind w:right="151"/>
      </w:pPr>
      <w:r>
        <w:t>This budget builds on the transport network upgrades underway or completed – such as level crossing removals, the North East Link and road upgrades across Melbourne and regional Victoria – to tackle congestion and make it easier, safer and quicker to travel. Ongoing work on Victoria’s Big Build, including Metro Tunnel and Suburban Rail Loop, will provide significant new capacity for Melbourne’s rail network to connect Victorians across the city.</w:t>
      </w:r>
    </w:p>
    <w:p w14:paraId="533DD9E2" w14:textId="77777777" w:rsidR="00346FC5" w:rsidRDefault="00346FC5" w:rsidP="00346FC5">
      <w:pPr>
        <w:ind w:right="151"/>
      </w:pPr>
      <w:r>
        <w:t>This budget invests a further $694 million to upgrade key roads and intersections in major growth areas and regions, improving network efficiency and road safety, while reducing travel times.</w:t>
      </w:r>
    </w:p>
    <w:p w14:paraId="06DC98EF" w14:textId="77777777" w:rsidR="00346FC5" w:rsidRDefault="00346FC5" w:rsidP="00346FC5">
      <w:pPr>
        <w:spacing w:line="259" w:lineRule="auto"/>
      </w:pPr>
      <w:r>
        <w:t xml:space="preserve">The Government is providing $36 million to deliver Victoria’s Bus Plan, including maintaining and improving bus networks in growing communities to help Victorians get to work, study or recreation. </w:t>
      </w:r>
    </w:p>
    <w:p w14:paraId="57E3B688" w14:textId="77777777" w:rsidR="00346FC5" w:rsidRDefault="00346FC5" w:rsidP="00346FC5">
      <w:pPr>
        <w:ind w:right="151"/>
      </w:pPr>
      <w:r>
        <w:t xml:space="preserve">The Government is also investing to support efficient, less emissions-intensive movement of goods by providing $3.5 million to maintain the </w:t>
      </w:r>
      <w:r w:rsidRPr="006E278F">
        <w:t>Mode Shift Incentive Scheme</w:t>
      </w:r>
      <w:r w:rsidRPr="3C04FC3E">
        <w:rPr>
          <w:i/>
          <w:iCs/>
        </w:rPr>
        <w:t xml:space="preserve"> </w:t>
      </w:r>
      <w:r>
        <w:t>in 2023-24 to encourage the transfer of freight from road to rail.</w:t>
      </w:r>
    </w:p>
    <w:p w14:paraId="55DE519A" w14:textId="77777777" w:rsidR="00346FC5" w:rsidRDefault="00346FC5" w:rsidP="00346FC5">
      <w:r>
        <w:t>The Government is also providing $190 million to cap regional fares at the same price as metropolitan daily fares, including regional myki passes. This will help tackle congestion on roads and further support emissions reduction by encouraging public transport use. The initiative will also promote economic opportunity by reducing the costs for Victorians taking regional public transport to go to work, connecting with family and friends, or accessing vital healthcare.</w:t>
      </w:r>
    </w:p>
    <w:p w14:paraId="4CED64C0" w14:textId="77777777" w:rsidR="00346FC5" w:rsidRDefault="00346FC5" w:rsidP="00346FC5">
      <w:pPr>
        <w:pStyle w:val="Heading20"/>
        <w:rPr>
          <w:bCs/>
        </w:rPr>
      </w:pPr>
      <w:r>
        <w:t>Growing a skilled Victorian workforce</w:t>
      </w:r>
      <w:r w:rsidRPr="0018122A" w:rsidDel="005D05AF">
        <w:t xml:space="preserve"> </w:t>
      </w:r>
    </w:p>
    <w:p w14:paraId="4A3EF17E" w14:textId="6F16C4C8" w:rsidR="00346FC5" w:rsidRDefault="00346FC5" w:rsidP="00346FC5">
      <w:pPr>
        <w:keepNext/>
      </w:pPr>
      <w:r>
        <w:t>A skilled workforce is one of Victoria’s most important foundations for economic growth. High job vacancy rates and low unemployment reflect the health of Victoria’s economy. However, this tight labour market does present a constraint on the pace of economic growth.</w:t>
      </w:r>
    </w:p>
    <w:p w14:paraId="6BC33D25" w14:textId="1AE0ABB1" w:rsidR="00346FC5" w:rsidRDefault="00346FC5" w:rsidP="00346FC5">
      <w:pPr>
        <w:keepNext/>
      </w:pPr>
      <w:r>
        <w:t xml:space="preserve">The </w:t>
      </w:r>
      <w:r w:rsidRPr="00016804">
        <w:rPr>
          <w:i/>
          <w:iCs/>
        </w:rPr>
        <w:t>2023-24 Budget</w:t>
      </w:r>
      <w:r>
        <w:t xml:space="preserve"> responds to this challenge with investments that support Victorian workers to increase their skills, take on high-quality jobs and grow their wages. Continuing to invest in lifelong learning will equip today’s students with the right skills for tomorrow’s jobs, upskill workers in line with technological change, and provide Victorian industry with a steady pipeline of skilled workers.</w:t>
      </w:r>
    </w:p>
    <w:p w14:paraId="3C0DB47F" w14:textId="77777777" w:rsidR="00346FC5" w:rsidRDefault="00346FC5" w:rsidP="00346FC5">
      <w:r>
        <w:t xml:space="preserve">The Productivity Commission’s recent </w:t>
      </w:r>
      <w:r>
        <w:rPr>
          <w:i/>
          <w:iCs/>
        </w:rPr>
        <w:t xml:space="preserve">Advancing Prosperity </w:t>
      </w:r>
      <w:r w:rsidRPr="00CF017A">
        <w:t>report</w:t>
      </w:r>
      <w:r>
        <w:t xml:space="preserve"> highlighted the importance of lifelong learning for an agile and adaptive workforce.</w:t>
      </w:r>
      <w:r w:rsidDel="00D1587F">
        <w:t xml:space="preserve"> </w:t>
      </w:r>
      <w:r>
        <w:t>Better educated workers also tend to produce more and are more highly paid – the Productivity Commission found that around one-fifth of the increase in Australia’s output per worker in recent decades was due to rising skill levels.</w:t>
      </w:r>
    </w:p>
    <w:p w14:paraId="74D22FF2" w14:textId="77777777" w:rsidR="00346FC5" w:rsidRDefault="00346FC5" w:rsidP="0033262F">
      <w:pPr>
        <w:ind w:right="-209"/>
      </w:pPr>
      <w:r>
        <w:t>Making</w:t>
      </w:r>
      <w:r>
        <w:rPr>
          <w:bCs/>
        </w:rPr>
        <w:t xml:space="preserve"> it easier for </w:t>
      </w:r>
      <w:r>
        <w:t>Victorian workers</w:t>
      </w:r>
      <w:r>
        <w:rPr>
          <w:bCs/>
        </w:rPr>
        <w:t xml:space="preserve"> to upskill </w:t>
      </w:r>
      <w:r>
        <w:t>and reskill helps businesses access the critical workforce they need to grow, and empowers</w:t>
      </w:r>
      <w:r w:rsidDel="00717EFE">
        <w:t xml:space="preserve"> </w:t>
      </w:r>
      <w:r>
        <w:t xml:space="preserve">workers to move to higher-paying jobs. </w:t>
      </w:r>
    </w:p>
    <w:p w14:paraId="3E863F84" w14:textId="77777777" w:rsidR="00346FC5" w:rsidRDefault="00346FC5" w:rsidP="00346FC5">
      <w:pPr>
        <w:rPr>
          <w:i/>
        </w:rPr>
      </w:pPr>
      <w:r>
        <w:t xml:space="preserve">The Government is expanding access to training by providing $186 million </w:t>
      </w:r>
      <w:r w:rsidRPr="374A30D4">
        <w:t xml:space="preserve">to make </w:t>
      </w:r>
      <w:r>
        <w:t xml:space="preserve">it easier for returning students to access </w:t>
      </w:r>
      <w:r w:rsidRPr="374A30D4">
        <w:t xml:space="preserve">subsidised training courses </w:t>
      </w:r>
      <w:r>
        <w:t xml:space="preserve">including </w:t>
      </w:r>
      <w:r w:rsidRPr="374A30D4">
        <w:t xml:space="preserve">Free TAFE </w:t>
      </w:r>
      <w:r>
        <w:t xml:space="preserve">through eligibility criteria amendments. </w:t>
      </w:r>
    </w:p>
    <w:p w14:paraId="3F3F744F" w14:textId="34B7C8B3" w:rsidR="00346FC5" w:rsidRDefault="00346FC5" w:rsidP="00346FC5">
      <w:r>
        <w:t>Complementing this investment in training, the Government is also helping secure Victoria’s future trade workforce, by providing more support to apprentices to stay in work and build their skills. This budget’s initiatives include $4 million to develop and deliver an apprentice mental health training program for apprentices, and $1.5 million to</w:t>
      </w:r>
      <w:r w:rsidR="0033262F">
        <w:t> </w:t>
      </w:r>
      <w:r>
        <w:t>support the establishment of an Apprenticeships Taskforce with employee, union, and</w:t>
      </w:r>
      <w:r w:rsidR="0033262F">
        <w:t> </w:t>
      </w:r>
      <w:r>
        <w:t>industry representatives. In addition, $10 million is being provided to expand the motor vehicle registration discount for eligible trade apprentices from 50 per cent to 100 per cent.</w:t>
      </w:r>
    </w:p>
    <w:p w14:paraId="005DCDE0" w14:textId="26B4BE97" w:rsidR="00346FC5" w:rsidRDefault="00346FC5" w:rsidP="00346FC5">
      <w:r>
        <w:t xml:space="preserve">The Government is also investing in a productive and engaging education system by providing curriculum support to teachers. This will enable teachers to </w:t>
      </w:r>
      <w:r w:rsidDel="00CD1202">
        <w:t>spend less time planning</w:t>
      </w:r>
      <w:r>
        <w:t xml:space="preserve">, and focus their efforts on providing high quality teaching to students. In this budget, the Government is providing $40 million </w:t>
      </w:r>
      <w:r w:rsidRPr="000D72EE">
        <w:t>to develop lesson planning and curriculum materials to support government school teachers and deliver better outcomes</w:t>
      </w:r>
      <w:r w:rsidR="0033262F">
        <w:t> </w:t>
      </w:r>
      <w:r w:rsidRPr="000D72EE">
        <w:t>for students</w:t>
      </w:r>
      <w:r>
        <w:t>.</w:t>
      </w:r>
    </w:p>
    <w:p w14:paraId="29AFAF51" w14:textId="77777777" w:rsidR="00346FC5" w:rsidRPr="00BA0948" w:rsidRDefault="00346FC5" w:rsidP="00346FC5">
      <w:pPr>
        <w:keepNext/>
      </w:pPr>
      <w:r w:rsidRPr="00C150AE">
        <w:t xml:space="preserve">To support parents of young children </w:t>
      </w:r>
      <w:r>
        <w:t>to</w:t>
      </w:r>
      <w:r w:rsidRPr="00C150AE">
        <w:t xml:space="preserve"> return to the workforce or increase their hours, the Government is providing Free Kinder for Victoria's three and four-year-olds</w:t>
      </w:r>
      <w:r>
        <w:t>,</w:t>
      </w:r>
      <w:r w:rsidRPr="00C150AE">
        <w:t xml:space="preserve"> saving families </w:t>
      </w:r>
      <w:r>
        <w:rPr>
          <w:iCs/>
        </w:rPr>
        <w:t xml:space="preserve">each year, with </w:t>
      </w:r>
      <w:r w:rsidRPr="00C150AE">
        <w:t xml:space="preserve">up to </w:t>
      </w:r>
      <w:r w:rsidRPr="00975AAB">
        <w:t>$2 500</w:t>
      </w:r>
      <w:r w:rsidRPr="00C150AE">
        <w:t xml:space="preserve"> in </w:t>
      </w:r>
      <w:r>
        <w:rPr>
          <w:iCs/>
        </w:rPr>
        <w:t>2023</w:t>
      </w:r>
      <w:r w:rsidRPr="00C150AE">
        <w:t>.</w:t>
      </w:r>
    </w:p>
    <w:p w14:paraId="53E57EF5" w14:textId="77777777" w:rsidR="00346FC5" w:rsidRDefault="00346FC5" w:rsidP="00346FC5">
      <w:r>
        <w:t xml:space="preserve">In addition, upgraded migration forecasts outlined in Chapter 2 </w:t>
      </w:r>
      <w:r w:rsidRPr="0028513B">
        <w:rPr>
          <w:i/>
        </w:rPr>
        <w:t>Economic Context</w:t>
      </w:r>
      <w:r>
        <w:t xml:space="preserve"> reflect Vic</w:t>
      </w:r>
      <w:r w:rsidRPr="4A74F0E9">
        <w:t>toria’s healthy economy and excellent liveability</w:t>
      </w:r>
      <w:r>
        <w:t>. High</w:t>
      </w:r>
      <w:r>
        <w:noBreakHyphen/>
        <w:t>skilled migrants will support econom</w:t>
      </w:r>
      <w:r w:rsidRPr="53D515D8">
        <w:t xml:space="preserve">ic growth and share </w:t>
      </w:r>
      <w:r>
        <w:t xml:space="preserve">knowledge with </w:t>
      </w:r>
      <w:r w:rsidRPr="589A0EAB">
        <w:t>local workers</w:t>
      </w:r>
      <w:r w:rsidRPr="7BEC24B2">
        <w:t>.</w:t>
      </w:r>
      <w:r>
        <w:t xml:space="preserve"> The in-demand skills of high-skilled migrants also help boost average Victorian wages by skewing Victoria’s employment composition in favour of higher-paying jobs and industries.</w:t>
      </w:r>
    </w:p>
    <w:p w14:paraId="26445EA3" w14:textId="77777777" w:rsidR="00346FC5" w:rsidRPr="00F4122C" w:rsidRDefault="00346FC5" w:rsidP="00346FC5">
      <w:pPr>
        <w:pStyle w:val="Heading20"/>
      </w:pPr>
      <w:r w:rsidRPr="00F4122C">
        <w:t xml:space="preserve">Better </w:t>
      </w:r>
      <w:r>
        <w:t>regulation and planning</w:t>
      </w:r>
      <w:r w:rsidRPr="00F4122C">
        <w:t xml:space="preserve"> to </w:t>
      </w:r>
      <w:r>
        <w:t>make</w:t>
      </w:r>
      <w:r w:rsidRPr="00F4122C">
        <w:t xml:space="preserve"> it </w:t>
      </w:r>
      <w:r>
        <w:t>e</w:t>
      </w:r>
      <w:r w:rsidRPr="00F4122C">
        <w:t xml:space="preserve">asier to do </w:t>
      </w:r>
      <w:r>
        <w:t>b</w:t>
      </w:r>
      <w:r w:rsidRPr="00F4122C">
        <w:t>usiness</w:t>
      </w:r>
      <w:r>
        <w:t xml:space="preserve"> in Victoria</w:t>
      </w:r>
    </w:p>
    <w:p w14:paraId="27EF60B1" w14:textId="77777777" w:rsidR="00346FC5" w:rsidRDefault="00346FC5" w:rsidP="00346FC5">
      <w:pPr>
        <w:keepNext/>
      </w:pPr>
      <w:r>
        <w:t>Regulation reform makes doing business easier – with clearer rules, easier approvals and lower costs. It also gives consumers confidence to buy products and services knowing they will be safe, and their rights protected.</w:t>
      </w:r>
    </w:p>
    <w:p w14:paraId="255D3919" w14:textId="77777777" w:rsidR="00346FC5" w:rsidRDefault="00346FC5" w:rsidP="00346FC5">
      <w:pPr>
        <w:keepNext/>
      </w:pPr>
      <w:r>
        <w:t>Streamlined regulation allows businesses to focus more of their time and resources actually producing goods and services, as well as investing in research and development.</w:t>
      </w:r>
      <w:r w:rsidDel="00D355D5">
        <w:t xml:space="preserve"> </w:t>
      </w:r>
      <w:r>
        <w:t>Streamlined regulation also makes it easier for new businesses to enter an industry, increasing competition and providing better products – and better value – to customers.</w:t>
      </w:r>
      <w:r w:rsidDel="00C16809">
        <w:t xml:space="preserve"> </w:t>
      </w:r>
    </w:p>
    <w:p w14:paraId="046442E9" w14:textId="77777777" w:rsidR="00346FC5" w:rsidRDefault="00346FC5" w:rsidP="00346FC5">
      <w:r>
        <w:t xml:space="preserve">In this budget, the Government is continuing to make it easier to do business by providing $38 million for a whole of government work program across regulators and councils to reform regulations for the benefit of Victorian businesses and customers. </w:t>
      </w:r>
    </w:p>
    <w:p w14:paraId="15679B6C" w14:textId="77777777" w:rsidR="00346FC5" w:rsidRDefault="00346FC5" w:rsidP="00346FC5">
      <w:r>
        <w:t xml:space="preserve">These actions build on </w:t>
      </w:r>
      <w:r w:rsidRPr="009032D3">
        <w:t xml:space="preserve">the success of </w:t>
      </w:r>
      <w:r>
        <w:t xml:space="preserve">existing initiatives such as the Business Acceleration Fund and the Regulation Reform Incentive Fund, which will deliver over </w:t>
      </w:r>
      <w:r w:rsidRPr="007A041A">
        <w:t>$</w:t>
      </w:r>
      <w:r>
        <w:t>300</w:t>
      </w:r>
      <w:r w:rsidRPr="007A041A">
        <w:t xml:space="preserve"> million in </w:t>
      </w:r>
      <w:r>
        <w:t xml:space="preserve">savings each and every year, including time savings of more than 280 000 days each year, from a $50 million investment. Just as one example, a project to digitise parts of the assessment and rating process for early childhood services is saving more than 13 000 days of staff time across the sector each year. </w:t>
      </w:r>
    </w:p>
    <w:p w14:paraId="42C2293E" w14:textId="77777777" w:rsidR="00346FC5" w:rsidRDefault="00346FC5" w:rsidP="00346FC5">
      <w:r>
        <w:t>Good land use planning enables businesses to locate near workers and customers, reducing commuting times and supporting industry growth. It also enables Victorian families to live near good jobs, high-quality services, and build community connections.</w:t>
      </w:r>
    </w:p>
    <w:p w14:paraId="2DB51367" w14:textId="4EA6FD3F" w:rsidR="00346FC5" w:rsidRDefault="00346FC5" w:rsidP="00346FC5">
      <w:r>
        <w:t>The Government is supporting enhancements to the planning system to meet demand for commercial and residential land, by providing $23 million to support planning legislative reform, including continuation of the Development Facilitation Program to accelerate assessments of development projects. $9 million is also provided to implement Plan Melbourne, which will support housing growth around existing infrastructure, as well as a</w:t>
      </w:r>
      <w:r w:rsidR="0033262F">
        <w:t> </w:t>
      </w:r>
      <w:r>
        <w:t>further $3.5 million to continue delivering</w:t>
      </w:r>
      <w:r w:rsidDel="006922E0">
        <w:t xml:space="preserve"> </w:t>
      </w:r>
      <w:r>
        <w:t>Precinct Structure Plans to unlock housing supply across Victoria.</w:t>
      </w:r>
    </w:p>
    <w:p w14:paraId="16B63521" w14:textId="77777777" w:rsidR="00346FC5" w:rsidRDefault="00346FC5" w:rsidP="00346FC5">
      <w:pPr>
        <w:pStyle w:val="Heading20"/>
      </w:pPr>
      <w:r>
        <w:t xml:space="preserve">Higher quality and more efficient public services </w:t>
      </w:r>
    </w:p>
    <w:p w14:paraId="6720FD3D" w14:textId="0C34CE7D" w:rsidR="00346FC5" w:rsidRDefault="00346FC5" w:rsidP="0033262F">
      <w:pPr>
        <w:ind w:right="151"/>
      </w:pPr>
      <w:r>
        <w:t xml:space="preserve">Public services such as health and education enable Victorians to live healthy, rewarding, safe lives and contribute to the economy. They also represent over 20 per cent of Victoria’s economic activity. </w:t>
      </w:r>
      <w:r w:rsidRPr="002571E7">
        <w:t xml:space="preserve">Making these services more effective and efficient makes a huge contribution to a stronger economy and is an example of government leading </w:t>
      </w:r>
      <w:r>
        <w:t xml:space="preserve">from </w:t>
      </w:r>
      <w:r w:rsidRPr="002571E7">
        <w:t xml:space="preserve">the </w:t>
      </w:r>
      <w:r>
        <w:t>front</w:t>
      </w:r>
      <w:r w:rsidRPr="002571E7">
        <w:t xml:space="preserve"> by improving its own services.</w:t>
      </w:r>
      <w:r w:rsidRPr="0019694D" w:rsidDel="006E4C2A">
        <w:t xml:space="preserve"> </w:t>
      </w:r>
      <w:r w:rsidRPr="0019694D" w:rsidDel="00960F09">
        <w:t xml:space="preserve">For </w:t>
      </w:r>
      <w:r>
        <w:t>example,</w:t>
      </w:r>
      <w:r w:rsidRPr="00C12286">
        <w:t xml:space="preserve"> </w:t>
      </w:r>
      <w:r w:rsidRPr="00975AAB">
        <w:t xml:space="preserve">the 100 000 Lives program funded in the </w:t>
      </w:r>
      <w:r w:rsidRPr="00975AAB">
        <w:rPr>
          <w:i/>
        </w:rPr>
        <w:t>2021-22 Budget</w:t>
      </w:r>
      <w:r w:rsidRPr="00975AAB">
        <w:t xml:space="preserve"> </w:t>
      </w:r>
      <w:r w:rsidRPr="001137DC">
        <w:t>has provided people living with heart disease with better evidence</w:t>
      </w:r>
      <w:r w:rsidR="0033262F">
        <w:noBreakHyphen/>
      </w:r>
      <w:r w:rsidRPr="001137DC">
        <w:t>based care after they leave hospital, as well as more support to self-manage their condition.</w:t>
      </w:r>
      <w:r>
        <w:t xml:space="preserve"> </w:t>
      </w:r>
      <w:r w:rsidRPr="00975AAB">
        <w:t xml:space="preserve">This </w:t>
      </w:r>
      <w:r>
        <w:t>is reducing</w:t>
      </w:r>
      <w:r w:rsidRPr="00975AAB">
        <w:t xml:space="preserve"> preventable hospital </w:t>
      </w:r>
      <w:r>
        <w:t>re</w:t>
      </w:r>
      <w:r w:rsidRPr="00975AAB">
        <w:t xml:space="preserve">admissions </w:t>
      </w:r>
      <w:r>
        <w:t>for people living with heart diseases, and</w:t>
      </w:r>
      <w:r w:rsidRPr="00975AAB">
        <w:t xml:space="preserve"> </w:t>
      </w:r>
      <w:r>
        <w:t>enabling</w:t>
      </w:r>
      <w:r w:rsidRPr="00975AAB">
        <w:t xml:space="preserve"> t</w:t>
      </w:r>
      <w:r>
        <w:t>hem</w:t>
      </w:r>
      <w:r w:rsidRPr="00975AAB">
        <w:t xml:space="preserve"> </w:t>
      </w:r>
      <w:r>
        <w:t xml:space="preserve">to </w:t>
      </w:r>
      <w:r w:rsidRPr="00975AAB">
        <w:t>spend more time at home.</w:t>
      </w:r>
    </w:p>
    <w:p w14:paraId="77A00D96" w14:textId="77777777" w:rsidR="00346FC5" w:rsidRDefault="00346FC5" w:rsidP="0033262F">
      <w:pPr>
        <w:ind w:right="151"/>
      </w:pPr>
      <w:r>
        <w:t>This budget invests $677 million in 22 early intervention initiatives to provide earlier assistance to Victorians before their needs escalate, building on more than $800 million previously funded through the Early Intervention Investment Framework (EIIF). These EIIF</w:t>
      </w:r>
      <w:r w:rsidRPr="03EA8D14">
        <w:t xml:space="preserve"> </w:t>
      </w:r>
      <w:r>
        <w:t xml:space="preserve">initiatives will lead to better health and social outcomes for </w:t>
      </w:r>
      <w:r w:rsidRPr="002528E8">
        <w:t>vulnerable Victorians</w:t>
      </w:r>
      <w:r>
        <w:t xml:space="preserve"> and their communities. They will also ease</w:t>
      </w:r>
      <w:r w:rsidRPr="002528E8">
        <w:t xml:space="preserve"> demand for </w:t>
      </w:r>
      <w:r w:rsidRPr="004D0EC5">
        <w:t>government</w:t>
      </w:r>
      <w:r w:rsidRPr="002528E8">
        <w:t xml:space="preserve"> services</w:t>
      </w:r>
      <w:r w:rsidRPr="004D0EC5">
        <w:t xml:space="preserve"> such as hospitals, </w:t>
      </w:r>
      <w:r>
        <w:t>homelessness</w:t>
      </w:r>
      <w:r w:rsidRPr="002528E8">
        <w:t xml:space="preserve"> services</w:t>
      </w:r>
      <w:r w:rsidRPr="004D0EC5">
        <w:t xml:space="preserve"> and prisons </w:t>
      </w:r>
      <w:r>
        <w:t>and are anticipated to generate economic and fiscal benefits of around $1 billion over the next decade.</w:t>
      </w:r>
    </w:p>
    <w:p w14:paraId="52361A11" w14:textId="77777777" w:rsidR="00346FC5" w:rsidRDefault="00346FC5" w:rsidP="00346FC5">
      <w:r>
        <w:t xml:space="preserve">This budget’s EIIF initiatives include: </w:t>
      </w:r>
    </w:p>
    <w:p w14:paraId="0092F1A5" w14:textId="612DE994" w:rsidR="00346FC5" w:rsidRPr="00346FC5" w:rsidRDefault="00346FC5" w:rsidP="007B1F83">
      <w:pPr>
        <w:pStyle w:val="ListBullet"/>
      </w:pPr>
      <w:r>
        <w:t>$91 million</w:t>
      </w:r>
      <w:r w:rsidRPr="374A30D4">
        <w:t xml:space="preserve"> </w:t>
      </w:r>
      <w:r>
        <w:t xml:space="preserve">to </w:t>
      </w:r>
      <w:r w:rsidRPr="374A30D4">
        <w:t>establish three new Mental Health and Wellbeing Locals</w:t>
      </w:r>
      <w:r>
        <w:t xml:space="preserve">, </w:t>
      </w:r>
      <w:r w:rsidRPr="374A30D4">
        <w:t xml:space="preserve">plan for </w:t>
      </w:r>
      <w:r>
        <w:t>20</w:t>
      </w:r>
      <w:r w:rsidR="0033262F">
        <w:t> </w:t>
      </w:r>
      <w:r w:rsidRPr="374A30D4">
        <w:t>additional services</w:t>
      </w:r>
      <w:r>
        <w:t>, and to continue delivery of other mental health and wellbeing supports. These new services will be accessible and locally based and will provide integr</w:t>
      </w:r>
      <w:r w:rsidRPr="00346FC5">
        <w:t>ated mental health treatment and wellbeing supports delivered by a multidisciplinary team</w:t>
      </w:r>
    </w:p>
    <w:p w14:paraId="204CF6E6" w14:textId="77777777" w:rsidR="00346FC5" w:rsidRPr="00346FC5" w:rsidRDefault="00346FC5" w:rsidP="007B1F83">
      <w:pPr>
        <w:pStyle w:val="ListBullet"/>
      </w:pPr>
      <w:r w:rsidRPr="00346FC5">
        <w:t>$42 million to continue to provide high-quality care to vulnerable older people, while also maintaining an uplift to the Residential in Reach program. This helps reduce avoidable emergency department presentations and demand on ambulance services</w:t>
      </w:r>
    </w:p>
    <w:p w14:paraId="43A8929F" w14:textId="372E777C" w:rsidR="00346FC5" w:rsidRPr="00346FC5" w:rsidRDefault="00346FC5" w:rsidP="007B1F83">
      <w:pPr>
        <w:pStyle w:val="ListBullet"/>
      </w:pPr>
      <w:r w:rsidRPr="00346FC5">
        <w:t>$33 million to deliver a Housing First approach for around 225 young people with complex needs exiting residential care and other settings. Young people will be supported towards independence through three years of multidisciplinary support and</w:t>
      </w:r>
      <w:r w:rsidR="0033262F">
        <w:t> </w:t>
      </w:r>
      <w:r w:rsidRPr="00346FC5">
        <w:t xml:space="preserve">access to housing </w:t>
      </w:r>
    </w:p>
    <w:p w14:paraId="350DC487" w14:textId="77777777" w:rsidR="00346FC5" w:rsidRDefault="00346FC5" w:rsidP="007B1F83">
      <w:pPr>
        <w:pStyle w:val="ListBullet"/>
      </w:pPr>
      <w:r w:rsidRPr="00346FC5">
        <w:t>$20 million to enhance data infrastructure to identify and support early school leavers lost or di</w:t>
      </w:r>
      <w:r w:rsidRPr="00E16734">
        <w:t>sengaged from the education and training system</w:t>
      </w:r>
      <w:r>
        <w:t xml:space="preserve">, and to improve pathways for young people to complete school. </w:t>
      </w:r>
    </w:p>
    <w:p w14:paraId="6C393A45" w14:textId="77777777" w:rsidR="00346FC5" w:rsidRDefault="00346FC5" w:rsidP="00346FC5">
      <w:r>
        <w:t>To respond to growing demand for ambulance services across Victoria, the Government is investing $201 million to improve the efficiency of the emergency services system by improving Ambulance Victoria’s operations and ambulance response times. One element is the Victorian Virtual Emergency Department, which frees up ambulances by enabling non-urgent patients to be virtually assessed by emergency doctors and nurses in their own home.</w:t>
      </w:r>
    </w:p>
    <w:p w14:paraId="711DDAF6" w14:textId="3E6040E3" w:rsidR="00DC479B" w:rsidRDefault="00DC479B" w:rsidP="00DC479B"/>
    <w:p w14:paraId="396C81EE" w14:textId="77777777" w:rsidR="00346FC5" w:rsidRDefault="00346FC5" w:rsidP="00DC479B">
      <w:pPr>
        <w:sectPr w:rsidR="00346FC5" w:rsidSect="00346FC5">
          <w:footerReference w:type="even" r:id="rId44"/>
          <w:footerReference w:type="default" r:id="rId45"/>
          <w:type w:val="oddPage"/>
          <w:pgSz w:w="9979" w:h="14175" w:code="34"/>
          <w:pgMar w:top="1134" w:right="1134" w:bottom="1134" w:left="1134" w:header="624" w:footer="567" w:gutter="0"/>
          <w:cols w:space="708"/>
          <w:docGrid w:linePitch="360"/>
        </w:sectPr>
      </w:pPr>
    </w:p>
    <w:p w14:paraId="3C8198A6" w14:textId="77777777" w:rsidR="00346FC5" w:rsidRPr="00C31E19" w:rsidRDefault="00346FC5" w:rsidP="00346FC5">
      <w:pPr>
        <w:pStyle w:val="ChapterHeading"/>
      </w:pPr>
      <w:bookmarkStart w:id="59" w:name="_Toc135331252"/>
      <w:r w:rsidRPr="00A751CD">
        <w:t>Chapter 4 – Budget position and outlook</w:t>
      </w:r>
      <w:bookmarkEnd w:id="59"/>
    </w:p>
    <w:p w14:paraId="52C9DF09" w14:textId="2251966B" w:rsidR="00346FC5" w:rsidRPr="008D4CDB" w:rsidRDefault="00346FC5" w:rsidP="007B1F83">
      <w:pPr>
        <w:pStyle w:val="ShadedBoxBullet"/>
      </w:pPr>
      <w:r w:rsidRPr="00CD1924">
        <w:t>The</w:t>
      </w:r>
      <w:r>
        <w:t xml:space="preserve"> </w:t>
      </w:r>
      <w:r w:rsidRPr="00B425D8">
        <w:rPr>
          <w:i/>
        </w:rPr>
        <w:t>202</w:t>
      </w:r>
      <w:r>
        <w:rPr>
          <w:i/>
        </w:rPr>
        <w:t>3</w:t>
      </w:r>
      <w:r w:rsidRPr="00B425D8">
        <w:rPr>
          <w:i/>
        </w:rPr>
        <w:t>-2</w:t>
      </w:r>
      <w:r>
        <w:rPr>
          <w:i/>
        </w:rPr>
        <w:t>4</w:t>
      </w:r>
      <w:r w:rsidRPr="00B425D8">
        <w:rPr>
          <w:i/>
        </w:rPr>
        <w:t xml:space="preserve"> Budget</w:t>
      </w:r>
      <w:r>
        <w:t xml:space="preserve"> outlines the improvement in the Government’s fiscal position by the end of the forward estimates compared with the </w:t>
      </w:r>
      <w:r w:rsidRPr="003832FA">
        <w:rPr>
          <w:i/>
          <w:iCs/>
        </w:rPr>
        <w:t xml:space="preserve">2022 </w:t>
      </w:r>
      <w:r>
        <w:rPr>
          <w:i/>
          <w:iCs/>
        </w:rPr>
        <w:t xml:space="preserve">Victorian </w:t>
      </w:r>
      <w:r w:rsidRPr="003832FA">
        <w:rPr>
          <w:i/>
          <w:iCs/>
        </w:rPr>
        <w:t>Pre-Election Budget</w:t>
      </w:r>
      <w:r>
        <w:rPr>
          <w:i/>
          <w:iCs/>
        </w:rPr>
        <w:t> </w:t>
      </w:r>
      <w:r w:rsidRPr="003832FA">
        <w:rPr>
          <w:i/>
          <w:iCs/>
        </w:rPr>
        <w:t>Update</w:t>
      </w:r>
      <w:r>
        <w:rPr>
          <w:i/>
          <w:iCs/>
        </w:rPr>
        <w:t xml:space="preserve"> </w:t>
      </w:r>
      <w:r w:rsidRPr="00460D18">
        <w:t>(PEBU)</w:t>
      </w:r>
      <w:r>
        <w:t>, as the Victorian economy consolidates its recovery from the</w:t>
      </w:r>
      <w:r w:rsidR="0033262F">
        <w:t> </w:t>
      </w:r>
      <w:r>
        <w:t>pandemic.</w:t>
      </w:r>
    </w:p>
    <w:p w14:paraId="257E4818" w14:textId="08922EAB" w:rsidR="00346FC5" w:rsidRPr="001654A5" w:rsidRDefault="00346FC5" w:rsidP="007B1F83">
      <w:pPr>
        <w:pStyle w:val="ShadedBoxBullet"/>
      </w:pPr>
      <w:r w:rsidRPr="00D1544D">
        <w:t xml:space="preserve">This is a significant achievement considering the challenges all Victorians have faced over the </w:t>
      </w:r>
      <w:r>
        <w:t>past</w:t>
      </w:r>
      <w:r w:rsidRPr="00D1544D">
        <w:t xml:space="preserve"> </w:t>
      </w:r>
      <w:r>
        <w:t>three</w:t>
      </w:r>
      <w:r w:rsidRPr="00D1544D">
        <w:t xml:space="preserve"> years and delivers on the Government</w:t>
      </w:r>
      <w:r>
        <w:t>’</w:t>
      </w:r>
      <w:r w:rsidRPr="00D1544D">
        <w:t xml:space="preserve">s </w:t>
      </w:r>
      <w:r>
        <w:t>clear</w:t>
      </w:r>
      <w:r w:rsidRPr="00D1544D">
        <w:t xml:space="preserve"> fiscal strategy </w:t>
      </w:r>
      <w:r>
        <w:t>first set</w:t>
      </w:r>
      <w:r w:rsidR="0033262F">
        <w:t> </w:t>
      </w:r>
      <w:r w:rsidRPr="00D1544D">
        <w:t xml:space="preserve">out in the </w:t>
      </w:r>
      <w:r w:rsidRPr="00D1544D">
        <w:rPr>
          <w:i/>
        </w:rPr>
        <w:t>2020</w:t>
      </w:r>
      <w:r w:rsidRPr="00D1544D">
        <w:rPr>
          <w:i/>
        </w:rPr>
        <w:noBreakHyphen/>
        <w:t>21 Budget</w:t>
      </w:r>
      <w:r>
        <w:rPr>
          <w:i/>
        </w:rPr>
        <w:t>.</w:t>
      </w:r>
    </w:p>
    <w:p w14:paraId="78A082CD" w14:textId="77777777" w:rsidR="00346FC5" w:rsidRPr="00AE2DC3" w:rsidRDefault="00346FC5" w:rsidP="007B1F83">
      <w:pPr>
        <w:pStyle w:val="ShadedBoxBullet"/>
      </w:pPr>
      <w:r w:rsidRPr="00AE2DC3">
        <w:t>The net cash flows from operating activities for the general government sector is forecast to be in surplus by $</w:t>
      </w:r>
      <w:r>
        <w:t>0.8</w:t>
      </w:r>
      <w:r w:rsidRPr="00AE2DC3">
        <w:t xml:space="preserve"> billion in 202</w:t>
      </w:r>
      <w:r>
        <w:t>3</w:t>
      </w:r>
      <w:r w:rsidRPr="00AE2DC3">
        <w:t>-2</w:t>
      </w:r>
      <w:r>
        <w:t>4, increasing to $6.5 billion in 2026</w:t>
      </w:r>
      <w:r>
        <w:noBreakHyphen/>
        <w:t>27</w:t>
      </w:r>
      <w:r w:rsidRPr="00AE2DC3">
        <w:t xml:space="preserve">, demonstrating the </w:t>
      </w:r>
      <w:r>
        <w:t>Government’s</w:t>
      </w:r>
      <w:r w:rsidRPr="00AE2DC3">
        <w:t xml:space="preserve"> commitment to strong financial management.</w:t>
      </w:r>
    </w:p>
    <w:p w14:paraId="40C6FA9E" w14:textId="53195927" w:rsidR="00346FC5" w:rsidRPr="00AE2DC3" w:rsidRDefault="00346FC5" w:rsidP="007B1F83">
      <w:pPr>
        <w:pStyle w:val="ShadedBoxBullet"/>
      </w:pPr>
      <w:r w:rsidRPr="00AE2DC3">
        <w:t xml:space="preserve">The net result from transactions </w:t>
      </w:r>
      <w:r>
        <w:rPr>
          <w:color w:val="000000" w:themeColor="text1"/>
        </w:rPr>
        <w:t>for the general government sector is forecast to be in</w:t>
      </w:r>
      <w:r w:rsidR="0033262F">
        <w:rPr>
          <w:color w:val="000000" w:themeColor="text1"/>
        </w:rPr>
        <w:t> </w:t>
      </w:r>
      <w:r>
        <w:rPr>
          <w:color w:val="000000" w:themeColor="text1"/>
        </w:rPr>
        <w:t xml:space="preserve">deficit by $4.0 billion in 2023-24, before improving to an estimated </w:t>
      </w:r>
      <w:r w:rsidRPr="00581605">
        <w:rPr>
          <w:color w:val="000000" w:themeColor="text1"/>
        </w:rPr>
        <w:t xml:space="preserve">surplus </w:t>
      </w:r>
      <w:r>
        <w:rPr>
          <w:color w:val="000000" w:themeColor="text1"/>
        </w:rPr>
        <w:t>of</w:t>
      </w:r>
      <w:r w:rsidRPr="0084084C">
        <w:rPr>
          <w:color w:val="000000" w:themeColor="text1"/>
        </w:rPr>
        <w:t xml:space="preserve"> </w:t>
      </w:r>
      <w:r>
        <w:rPr>
          <w:color w:val="000000" w:themeColor="text1"/>
        </w:rPr>
        <w:t xml:space="preserve">$1.0 billion in </w:t>
      </w:r>
      <w:r w:rsidRPr="0084084C">
        <w:rPr>
          <w:color w:val="000000" w:themeColor="text1"/>
        </w:rPr>
        <w:t>202</w:t>
      </w:r>
      <w:r>
        <w:rPr>
          <w:color w:val="000000" w:themeColor="text1"/>
        </w:rPr>
        <w:t>5</w:t>
      </w:r>
      <w:r>
        <w:rPr>
          <w:color w:val="000000" w:themeColor="text1"/>
        </w:rPr>
        <w:noBreakHyphen/>
        <w:t xml:space="preserve">26. The operating surplus is then forecast to increase to $1.2 billion in </w:t>
      </w:r>
      <w:r w:rsidRPr="0084084C">
        <w:rPr>
          <w:color w:val="000000" w:themeColor="text1"/>
        </w:rPr>
        <w:t>202</w:t>
      </w:r>
      <w:r>
        <w:rPr>
          <w:color w:val="000000" w:themeColor="text1"/>
        </w:rPr>
        <w:t>6-27.</w:t>
      </w:r>
    </w:p>
    <w:p w14:paraId="2C895AE3" w14:textId="77777777" w:rsidR="00346FC5" w:rsidRPr="00AE2DC3" w:rsidRDefault="00346FC5" w:rsidP="007B1F83">
      <w:pPr>
        <w:pStyle w:val="ShadedBoxBullet"/>
      </w:pPr>
      <w:r w:rsidRPr="00AE2DC3">
        <w:t>Net debt is projected to be $1</w:t>
      </w:r>
      <w:r>
        <w:t>62.2</w:t>
      </w:r>
      <w:r w:rsidRPr="00AE2DC3">
        <w:t xml:space="preserve"> billion by June 202</w:t>
      </w:r>
      <w:r>
        <w:t>6, an improvement of $3.7 billion compared with the</w:t>
      </w:r>
      <w:r>
        <w:rPr>
          <w:color w:val="000000" w:themeColor="text1"/>
        </w:rPr>
        <w:t xml:space="preserve"> forecast in PEBU, and</w:t>
      </w:r>
      <w:r w:rsidRPr="00EE74AE">
        <w:t xml:space="preserve"> </w:t>
      </w:r>
      <w:r w:rsidRPr="00AE2DC3">
        <w:t>is projected to be</w:t>
      </w:r>
      <w:r>
        <w:rPr>
          <w:color w:val="000000" w:themeColor="text1"/>
        </w:rPr>
        <w:t xml:space="preserve"> </w:t>
      </w:r>
      <w:r w:rsidRPr="00AE2DC3">
        <w:t>$1</w:t>
      </w:r>
      <w:r>
        <w:t>71.4</w:t>
      </w:r>
      <w:r w:rsidRPr="00AE2DC3">
        <w:t xml:space="preserve"> billion by June</w:t>
      </w:r>
      <w:r>
        <w:t> </w:t>
      </w:r>
      <w:r w:rsidRPr="00AE2DC3">
        <w:t>202</w:t>
      </w:r>
      <w:r>
        <w:t>7</w:t>
      </w:r>
      <w:r>
        <w:rPr>
          <w:i/>
          <w:iCs/>
        </w:rPr>
        <w:t>.</w:t>
      </w:r>
    </w:p>
    <w:p w14:paraId="2C7087FD" w14:textId="77777777" w:rsidR="00346FC5" w:rsidRPr="00AE2DC3" w:rsidRDefault="00346FC5" w:rsidP="007B1F83">
      <w:pPr>
        <w:pStyle w:val="ShadedBoxBullet"/>
      </w:pPr>
      <w:r w:rsidRPr="00AE2DC3">
        <w:t>Government infrastructure investment (GII) is expected to average $</w:t>
      </w:r>
      <w:r>
        <w:t>19.6</w:t>
      </w:r>
      <w:r w:rsidRPr="00AE2DC3">
        <w:t xml:space="preserve"> billion a year over the budget and forward estimates, reflecting new infrastructure investment and the continuation of Victoria’s Big Build</w:t>
      </w:r>
      <w:r>
        <w:t xml:space="preserve">. </w:t>
      </w:r>
    </w:p>
    <w:p w14:paraId="741DC05C" w14:textId="77777777" w:rsidR="00346FC5" w:rsidRPr="00CE03D2" w:rsidRDefault="00346FC5" w:rsidP="007B1F83">
      <w:pPr>
        <w:pStyle w:val="ShadedBoxBullet"/>
      </w:pPr>
      <w:r>
        <w:t>The Victorian Future Fund has been established by the Government to support the state’s debt stabilisation strategy.</w:t>
      </w:r>
    </w:p>
    <w:p w14:paraId="34698641" w14:textId="77777777" w:rsidR="00346FC5" w:rsidRPr="00CE03D2" w:rsidRDefault="00346FC5" w:rsidP="007B1F83">
      <w:pPr>
        <w:pStyle w:val="ShadedBoxBullet"/>
      </w:pPr>
      <w:r>
        <w:t>A COVID Debt Repayment Plan, including a COVID Debt Levy, has been established to offset the impact of COVID debt over 10 years.</w:t>
      </w:r>
    </w:p>
    <w:p w14:paraId="4F5036C4" w14:textId="77777777" w:rsidR="00346FC5" w:rsidRPr="00AE2DC3" w:rsidRDefault="00346FC5" w:rsidP="007B1F83">
      <w:pPr>
        <w:pStyle w:val="ShadedBoxBullet"/>
      </w:pPr>
      <w:r w:rsidRPr="00AE2DC3">
        <w:t xml:space="preserve">Interest expense as a share of total revenue is expected to average </w:t>
      </w:r>
      <w:r>
        <w:t>7</w:t>
      </w:r>
      <w:r w:rsidRPr="00AE2DC3">
        <w:t>.</w:t>
      </w:r>
      <w:r>
        <w:t>1</w:t>
      </w:r>
      <w:r w:rsidRPr="00AE2DC3">
        <w:t xml:space="preserve"> per cent a year over the budget and forward estimates.</w:t>
      </w:r>
    </w:p>
    <w:p w14:paraId="5351DE29" w14:textId="77777777" w:rsidR="00346FC5" w:rsidRDefault="00346FC5" w:rsidP="007B1F83">
      <w:pPr>
        <w:pStyle w:val="ShadedBoxBullet"/>
      </w:pPr>
      <w:r w:rsidRPr="00AE2DC3">
        <w:t xml:space="preserve">The Government is on track to fully fund the </w:t>
      </w:r>
      <w:r>
        <w:t>s</w:t>
      </w:r>
      <w:r w:rsidRPr="00AE2DC3">
        <w:t>tate’s unfunded superannuation</w:t>
      </w:r>
      <w:r>
        <w:t xml:space="preserve"> liability by 2035.</w:t>
      </w:r>
    </w:p>
    <w:p w14:paraId="06C4A663" w14:textId="77777777" w:rsidR="00346FC5" w:rsidRDefault="00346FC5" w:rsidP="0033262F">
      <w:pPr>
        <w:ind w:right="-29"/>
      </w:pPr>
      <w:r>
        <w:t xml:space="preserve">This chapter outlines the budget position of the general government sector. The Budget takes into account the financial </w:t>
      </w:r>
      <w:r w:rsidRPr="00AE2DC3">
        <w:t xml:space="preserve">impacts as at </w:t>
      </w:r>
      <w:r>
        <w:t>8 May</w:t>
      </w:r>
      <w:r w:rsidRPr="00AE2DC3">
        <w:t xml:space="preserve"> 202</w:t>
      </w:r>
      <w:r>
        <w:t>3</w:t>
      </w:r>
      <w:r w:rsidRPr="00AE2DC3">
        <w:t xml:space="preserve"> of all policy</w:t>
      </w:r>
      <w:r>
        <w:t xml:space="preserve"> decisions made by the Government, as well as other information that may have a material impact on the financial statements, unless otherwise stated,</w:t>
      </w:r>
      <w:r w:rsidRPr="008624F4">
        <w:t xml:space="preserve"> </w:t>
      </w:r>
      <w:r w:rsidRPr="000F50C4">
        <w:t xml:space="preserve">along with the recognition of material financial updates for funding agreements able to be assessed for inclusion from the </w:t>
      </w:r>
      <w:r w:rsidRPr="000F50C4">
        <w:rPr>
          <w:i/>
        </w:rPr>
        <w:t>2023</w:t>
      </w:r>
      <w:r>
        <w:rPr>
          <w:i/>
          <w:iCs/>
        </w:rPr>
        <w:noBreakHyphen/>
      </w:r>
      <w:r w:rsidRPr="000F50C4">
        <w:rPr>
          <w:i/>
        </w:rPr>
        <w:t>24 Commonwealth Budget</w:t>
      </w:r>
      <w:r w:rsidRPr="000F50C4">
        <w:t xml:space="preserve"> released on 9 May 2023</w:t>
      </w:r>
      <w:r>
        <w:t>. This chapter also reconciles and explains any movements since PEBU that affect the estimated net result from transactions.</w:t>
      </w:r>
    </w:p>
    <w:p w14:paraId="412FCF20" w14:textId="77777777" w:rsidR="00346FC5" w:rsidRDefault="00346FC5" w:rsidP="00346FC5">
      <w:pPr>
        <w:pStyle w:val="Heading10"/>
      </w:pPr>
      <w:bookmarkStart w:id="60" w:name="_Toc135331253"/>
      <w:r>
        <w:t>General government sector</w:t>
      </w:r>
      <w:bookmarkEnd w:id="60"/>
    </w:p>
    <w:p w14:paraId="6229CA13" w14:textId="77777777" w:rsidR="00346FC5" w:rsidRDefault="00346FC5" w:rsidP="00346FC5">
      <w:pPr>
        <w:pStyle w:val="Heading20"/>
      </w:pPr>
      <w:r>
        <w:t xml:space="preserve">Overview </w:t>
      </w:r>
    </w:p>
    <w:p w14:paraId="783A37BB" w14:textId="77777777" w:rsidR="00346FC5" w:rsidRDefault="00346FC5" w:rsidP="00346FC5">
      <w:r>
        <w:t>Over the past three years, the COVID-19 pandemic severely impacted the state’s financial position and outlook. The Government prioritised the use of its balance sheet to support the Victorian community, Victorian households and the economy. This approach was consistent with stimulus approaches elsewhere in Australia and around the world.</w:t>
      </w:r>
    </w:p>
    <w:p w14:paraId="6C78F24C" w14:textId="77777777" w:rsidR="00346FC5" w:rsidRDefault="00346FC5" w:rsidP="00346FC5">
      <w:pPr>
        <w:pStyle w:val="NormalKeepWithNext"/>
      </w:pPr>
      <w:r w:rsidRPr="00B610E7">
        <w:rPr>
          <w:color w:val="000000" w:themeColor="text1"/>
        </w:rPr>
        <w:t xml:space="preserve">As </w:t>
      </w:r>
      <w:r>
        <w:rPr>
          <w:color w:val="000000" w:themeColor="text1"/>
        </w:rPr>
        <w:t xml:space="preserve">first </w:t>
      </w:r>
      <w:r w:rsidRPr="00B610E7">
        <w:rPr>
          <w:color w:val="000000" w:themeColor="text1"/>
        </w:rPr>
        <w:t xml:space="preserve">outlined in the </w:t>
      </w:r>
      <w:r w:rsidRPr="00B610E7">
        <w:rPr>
          <w:i/>
          <w:color w:val="000000" w:themeColor="text1"/>
        </w:rPr>
        <w:t>202</w:t>
      </w:r>
      <w:r>
        <w:rPr>
          <w:i/>
          <w:color w:val="000000" w:themeColor="text1"/>
        </w:rPr>
        <w:t>0-21</w:t>
      </w:r>
      <w:r w:rsidRPr="00B610E7">
        <w:rPr>
          <w:i/>
          <w:color w:val="000000" w:themeColor="text1"/>
        </w:rPr>
        <w:t xml:space="preserve"> Budget</w:t>
      </w:r>
      <w:r>
        <w:t>, the Government developed a fiscal strategy to manage the extreme circumstances the state was facing and provide the foundations for recovery. It involved a four-step plan to support Victorians through the pandemic and to restore the budget over the medium term. The four-step plan provided a clear framework:</w:t>
      </w:r>
    </w:p>
    <w:p w14:paraId="76F44711" w14:textId="77777777" w:rsidR="00346FC5" w:rsidRDefault="00346FC5" w:rsidP="007B1F83">
      <w:pPr>
        <w:pStyle w:val="ListBullet"/>
      </w:pPr>
      <w:r w:rsidRPr="00A751CD">
        <w:rPr>
          <w:b/>
        </w:rPr>
        <w:t>Step 1:</w:t>
      </w:r>
      <w:r>
        <w:t xml:space="preserve"> creating jobs, reducing unemployment and restoring economic growth</w:t>
      </w:r>
    </w:p>
    <w:p w14:paraId="145741F4" w14:textId="77777777" w:rsidR="00346FC5" w:rsidRDefault="00346FC5" w:rsidP="007B1F83">
      <w:pPr>
        <w:pStyle w:val="ListBullet"/>
      </w:pPr>
      <w:r w:rsidRPr="00A751CD">
        <w:rPr>
          <w:b/>
        </w:rPr>
        <w:t>Step 2:</w:t>
      </w:r>
      <w:r>
        <w:t xml:space="preserve"> returning to an operating cash surplus</w:t>
      </w:r>
    </w:p>
    <w:p w14:paraId="7289DAF8" w14:textId="77777777" w:rsidR="00346FC5" w:rsidRDefault="00346FC5" w:rsidP="007B1F83">
      <w:pPr>
        <w:pStyle w:val="ListBullet"/>
      </w:pPr>
      <w:r w:rsidRPr="00A751CD">
        <w:rPr>
          <w:b/>
        </w:rPr>
        <w:t>Step 3:</w:t>
      </w:r>
      <w:r>
        <w:t xml:space="preserve"> returning to operating surpluses</w:t>
      </w:r>
    </w:p>
    <w:p w14:paraId="2DA2582D" w14:textId="77777777" w:rsidR="00346FC5" w:rsidRDefault="00346FC5" w:rsidP="007B1F83">
      <w:pPr>
        <w:pStyle w:val="ListBullet"/>
      </w:pPr>
      <w:r w:rsidRPr="00A751CD">
        <w:rPr>
          <w:b/>
        </w:rPr>
        <w:t>Step 4:</w:t>
      </w:r>
      <w:r>
        <w:t xml:space="preserve"> stabilising debt levels.</w:t>
      </w:r>
    </w:p>
    <w:p w14:paraId="481D8865" w14:textId="77777777" w:rsidR="00346FC5" w:rsidRPr="00641FA3" w:rsidRDefault="00346FC5" w:rsidP="00346FC5">
      <w:r>
        <w:t xml:space="preserve">Recent economic indicators have showed this strategy is working, with the economy rebounding strongly. </w:t>
      </w:r>
      <w:r w:rsidRPr="00641FA3">
        <w:t>Economic activity is above pre-pandemic levels, and the labour market is even stronger than before the pandemic.</w:t>
      </w:r>
    </w:p>
    <w:p w14:paraId="3006608F" w14:textId="77777777" w:rsidR="00346FC5" w:rsidRDefault="00346FC5" w:rsidP="00346FC5">
      <w:r w:rsidRPr="00E90BAC">
        <w:t>This budget</w:t>
      </w:r>
      <w:r w:rsidRPr="00AC2D52">
        <w:t xml:space="preserve"> </w:t>
      </w:r>
      <w:r w:rsidRPr="00E90BAC">
        <w:t>provides $1</w:t>
      </w:r>
      <w:r>
        <w:t>5.4</w:t>
      </w:r>
      <w:r w:rsidRPr="00E90BAC">
        <w:t xml:space="preserve"> billion over five years in </w:t>
      </w:r>
      <w:r>
        <w:t xml:space="preserve">new </w:t>
      </w:r>
      <w:r w:rsidRPr="00E90BAC">
        <w:t>output spending and invest</w:t>
      </w:r>
      <w:r>
        <w:t>s</w:t>
      </w:r>
      <w:r w:rsidRPr="00E90BAC">
        <w:t xml:space="preserve"> $9.3 billion </w:t>
      </w:r>
      <w:r>
        <w:t>TEI</w:t>
      </w:r>
      <w:r w:rsidRPr="00E90BAC">
        <w:t xml:space="preserve"> in new and improved assets, which includes implementation of the Government’s election commitments outlined in </w:t>
      </w:r>
      <w:r w:rsidRPr="00E90BAC">
        <w:rPr>
          <w:i/>
        </w:rPr>
        <w:t>Labor’s Financial Statement 2022</w:t>
      </w:r>
      <w:r w:rsidRPr="00AC2D52">
        <w:t xml:space="preserve"> </w:t>
      </w:r>
      <w:r w:rsidRPr="009A0094">
        <w:rPr>
          <w:iCs/>
        </w:rPr>
        <w:t>(LFS).</w:t>
      </w:r>
    </w:p>
    <w:p w14:paraId="7FB32DEE" w14:textId="75E1DBC6" w:rsidR="00346FC5" w:rsidRPr="00AC2D52" w:rsidRDefault="00346FC5" w:rsidP="00346FC5">
      <w:r w:rsidRPr="19F05D23">
        <w:t xml:space="preserve">This year’s budget also includes prudent financial management measures to </w:t>
      </w:r>
      <w:r>
        <w:t>improve</w:t>
      </w:r>
      <w:r w:rsidRPr="19F05D23">
        <w:t xml:space="preserve"> the state’s financial position following necessary borrowings undertaken to directly respond to the pandemic. Supporting the Government’s four</w:t>
      </w:r>
      <w:r>
        <w:noBreakHyphen/>
      </w:r>
      <w:r w:rsidRPr="19F05D23">
        <w:t xml:space="preserve">step fiscal </w:t>
      </w:r>
      <w:r>
        <w:t>strategy</w:t>
      </w:r>
      <w:r w:rsidRPr="19F05D23">
        <w:t xml:space="preserve">, </w:t>
      </w:r>
      <w:r>
        <w:t>a new temporary and targeted COVID Debt Levy will be introduced with two components: the payroll component will</w:t>
      </w:r>
      <w:r w:rsidRPr="00AC2D52">
        <w:t xml:space="preserve"> levy additional payroll tax on large businesses with national payrolls above $10 million a year</w:t>
      </w:r>
      <w:r>
        <w:t>; and the landholdings component will</w:t>
      </w:r>
      <w:r w:rsidRPr="00026BE6">
        <w:t xml:space="preserve"> </w:t>
      </w:r>
      <w:r>
        <w:t xml:space="preserve">decrease </w:t>
      </w:r>
      <w:r w:rsidRPr="001A78A8">
        <w:t>the tax</w:t>
      </w:r>
      <w:r>
        <w:noBreakHyphen/>
      </w:r>
      <w:r w:rsidRPr="001A78A8">
        <w:t>free threshold</w:t>
      </w:r>
      <w:r>
        <w:t xml:space="preserve"> for general land tax rates, while </w:t>
      </w:r>
      <w:r w:rsidRPr="001A78A8">
        <w:t xml:space="preserve">fixed charges and </w:t>
      </w:r>
      <w:r>
        <w:t xml:space="preserve">land tax </w:t>
      </w:r>
      <w:r w:rsidRPr="001A78A8">
        <w:t>rates</w:t>
      </w:r>
      <w:r>
        <w:t xml:space="preserve"> will also be adjusted. The</w:t>
      </w:r>
      <w:r w:rsidR="0033262F">
        <w:t> </w:t>
      </w:r>
      <w:r>
        <w:t>Levy will end on 30 June 2033</w:t>
      </w:r>
      <w:r w:rsidRPr="00AC2D52">
        <w:t>.</w:t>
      </w:r>
    </w:p>
    <w:p w14:paraId="17F5F774" w14:textId="77777777" w:rsidR="00346FC5" w:rsidRDefault="00346FC5" w:rsidP="00346FC5">
      <w:r>
        <w:t>In addition, the Government is continuing to take steps to improve the efficiency and effectiveness of departmental spending and ensure expenditure is consistent with key service delivery priorities.</w:t>
      </w:r>
    </w:p>
    <w:p w14:paraId="5222D782" w14:textId="7D4D0511" w:rsidR="00346FC5" w:rsidRDefault="00346FC5" w:rsidP="00346FC5">
      <w:r>
        <w:t xml:space="preserve">As a result, the </w:t>
      </w:r>
      <w:r w:rsidRPr="00A751CD">
        <w:rPr>
          <w:i/>
          <w:iCs/>
        </w:rPr>
        <w:t>202</w:t>
      </w:r>
      <w:r>
        <w:rPr>
          <w:i/>
          <w:iCs/>
        </w:rPr>
        <w:t>3</w:t>
      </w:r>
      <w:r w:rsidRPr="00A751CD">
        <w:rPr>
          <w:i/>
          <w:iCs/>
        </w:rPr>
        <w:t>-2</w:t>
      </w:r>
      <w:r>
        <w:rPr>
          <w:i/>
          <w:iCs/>
        </w:rPr>
        <w:t>4</w:t>
      </w:r>
      <w:r w:rsidRPr="00A751CD">
        <w:rPr>
          <w:i/>
          <w:iCs/>
        </w:rPr>
        <w:t xml:space="preserve"> Budget</w:t>
      </w:r>
      <w:r>
        <w:t xml:space="preserve"> is forecasting an improvement in the state’s key fiscal aggregates by the end of the forward estimates when compared with PEBU, released in</w:t>
      </w:r>
      <w:r w:rsidR="0033262F">
        <w:t> </w:t>
      </w:r>
      <w:r>
        <w:t>November 2022.</w:t>
      </w:r>
    </w:p>
    <w:p w14:paraId="1DB2832D" w14:textId="77777777" w:rsidR="00346FC5" w:rsidRDefault="00346FC5" w:rsidP="00346FC5">
      <w:r w:rsidRPr="00AE2DC3">
        <w:t xml:space="preserve">The net cash flows from operating activities for the general government sector is forecast to be in surplus </w:t>
      </w:r>
      <w:r>
        <w:t>by</w:t>
      </w:r>
      <w:r w:rsidRPr="00AE2DC3">
        <w:t xml:space="preserve"> $</w:t>
      </w:r>
      <w:r>
        <w:t>0.8</w:t>
      </w:r>
      <w:r w:rsidRPr="00AE2DC3">
        <w:t xml:space="preserve"> billion in 202</w:t>
      </w:r>
      <w:r>
        <w:t xml:space="preserve">3-24 </w:t>
      </w:r>
      <w:r>
        <w:rPr>
          <w:color w:val="000000" w:themeColor="text1"/>
        </w:rPr>
        <w:t xml:space="preserve">before increasing to $6.5 billion in </w:t>
      </w:r>
      <w:r w:rsidRPr="0084084C">
        <w:rPr>
          <w:color w:val="000000" w:themeColor="text1"/>
        </w:rPr>
        <w:t>202</w:t>
      </w:r>
      <w:r>
        <w:rPr>
          <w:color w:val="000000" w:themeColor="text1"/>
        </w:rPr>
        <w:t>5</w:t>
      </w:r>
      <w:r>
        <w:rPr>
          <w:color w:val="000000" w:themeColor="text1"/>
        </w:rPr>
        <w:noBreakHyphen/>
        <w:t xml:space="preserve">26, </w:t>
      </w:r>
      <w:r>
        <w:t xml:space="preserve">an improvement from PEBU. </w:t>
      </w:r>
      <w:r>
        <w:rPr>
          <w:color w:val="000000" w:themeColor="text1"/>
        </w:rPr>
        <w:t xml:space="preserve">The operating cash surplus is then forecast to remain at </w:t>
      </w:r>
      <w:r>
        <w:t>$6.5 billion in 2026</w:t>
      </w:r>
      <w:r>
        <w:noBreakHyphen/>
        <w:t>27.</w:t>
      </w:r>
    </w:p>
    <w:p w14:paraId="645F0CDE" w14:textId="77777777" w:rsidR="00346FC5" w:rsidRDefault="00346FC5" w:rsidP="00346FC5">
      <w:pPr>
        <w:keepNext/>
      </w:pPr>
      <w:r>
        <w:t xml:space="preserve">The net result from transactions </w:t>
      </w:r>
      <w:r>
        <w:rPr>
          <w:color w:val="000000" w:themeColor="text1"/>
        </w:rPr>
        <w:t xml:space="preserve">for the general government sector is forecast to be in deficit by $4.0 billion in 2023-24, before improving to an estimated </w:t>
      </w:r>
      <w:r w:rsidRPr="00581605">
        <w:rPr>
          <w:color w:val="000000" w:themeColor="text1"/>
        </w:rPr>
        <w:t xml:space="preserve">surplus </w:t>
      </w:r>
      <w:r>
        <w:rPr>
          <w:color w:val="000000" w:themeColor="text1"/>
        </w:rPr>
        <w:t>of</w:t>
      </w:r>
      <w:r w:rsidRPr="0084084C">
        <w:rPr>
          <w:color w:val="000000" w:themeColor="text1"/>
        </w:rPr>
        <w:t xml:space="preserve"> </w:t>
      </w:r>
      <w:r>
        <w:rPr>
          <w:color w:val="000000" w:themeColor="text1"/>
        </w:rPr>
        <w:t xml:space="preserve">$1.0 billion in </w:t>
      </w:r>
      <w:r w:rsidRPr="0084084C">
        <w:rPr>
          <w:color w:val="000000" w:themeColor="text1"/>
        </w:rPr>
        <w:t>202</w:t>
      </w:r>
      <w:r>
        <w:rPr>
          <w:color w:val="000000" w:themeColor="text1"/>
        </w:rPr>
        <w:t>5</w:t>
      </w:r>
      <w:r>
        <w:rPr>
          <w:color w:val="000000" w:themeColor="text1"/>
        </w:rPr>
        <w:noBreakHyphen/>
        <w:t xml:space="preserve">26. The operating surplus is then forecast to increase to $1.2 billion in </w:t>
      </w:r>
      <w:r w:rsidRPr="0084084C">
        <w:rPr>
          <w:color w:val="000000" w:themeColor="text1"/>
        </w:rPr>
        <w:t>202</w:t>
      </w:r>
      <w:r>
        <w:rPr>
          <w:color w:val="000000" w:themeColor="text1"/>
        </w:rPr>
        <w:t>6-27.</w:t>
      </w:r>
    </w:p>
    <w:p w14:paraId="2D7D9158" w14:textId="77777777" w:rsidR="00346FC5" w:rsidRDefault="00346FC5" w:rsidP="00346FC5">
      <w:pPr>
        <w:pStyle w:val="TableHeading"/>
      </w:pPr>
      <w:r>
        <w:t>Table 4.1:</w:t>
      </w:r>
      <w:r>
        <w:tab/>
        <w:t>General government fiscal aggregates</w:t>
      </w:r>
    </w:p>
    <w:tbl>
      <w:tblPr>
        <w:tblStyle w:val="DTFTableNumeric"/>
        <w:tblW w:w="7710" w:type="dxa"/>
        <w:tblLayout w:type="fixed"/>
        <w:tblLook w:val="06A0" w:firstRow="1" w:lastRow="0" w:firstColumn="1" w:lastColumn="0" w:noHBand="1" w:noVBand="1"/>
        <w:tblDescription w:val="Type:DtfTable|Workbook:https://vicgov.sharepoint.com/sites/msteams_12cfc2/BP2/Chapter%204/Link_BP2-Chapter4.xlsx|Table:GG_FiscalAggregates|MergedHeadingRow:1"/>
      </w:tblPr>
      <w:tblGrid>
        <w:gridCol w:w="2127"/>
        <w:gridCol w:w="819"/>
        <w:gridCol w:w="794"/>
        <w:gridCol w:w="794"/>
        <w:gridCol w:w="794"/>
        <w:gridCol w:w="794"/>
        <w:gridCol w:w="794"/>
        <w:gridCol w:w="794"/>
      </w:tblGrid>
      <w:tr w:rsidR="00346FC5" w14:paraId="10A92F97" w14:textId="77777777" w:rsidTr="009835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7" w:type="dxa"/>
          </w:tcPr>
          <w:p w14:paraId="453D97A3" w14:textId="77777777" w:rsidR="00346FC5" w:rsidRDefault="00346FC5" w:rsidP="0098354D">
            <w:pPr>
              <w:keepNext/>
            </w:pPr>
          </w:p>
        </w:tc>
        <w:tc>
          <w:tcPr>
            <w:tcW w:w="819" w:type="dxa"/>
          </w:tcPr>
          <w:p w14:paraId="66EF2AAB" w14:textId="77777777" w:rsidR="00346FC5" w:rsidRDefault="00346FC5" w:rsidP="0098354D">
            <w:pPr>
              <w:keepNext/>
              <w:jc w:val="center"/>
              <w:cnfStyle w:val="100000000000" w:firstRow="1" w:lastRow="0" w:firstColumn="0" w:lastColumn="0" w:oddVBand="0" w:evenVBand="0" w:oddHBand="0" w:evenHBand="0" w:firstRowFirstColumn="0" w:firstRowLastColumn="0" w:lastRowFirstColumn="0" w:lastRowLastColumn="0"/>
            </w:pPr>
            <w:r>
              <w:t>Unit of</w:t>
            </w:r>
            <w:r>
              <w:br/>
              <w:t>measure</w:t>
            </w:r>
          </w:p>
        </w:tc>
        <w:tc>
          <w:tcPr>
            <w:tcW w:w="794" w:type="dxa"/>
          </w:tcPr>
          <w:p w14:paraId="0044D5E4"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2021</w:t>
            </w:r>
            <w:r>
              <w:noBreakHyphen/>
              <w:t>22</w:t>
            </w:r>
            <w:r>
              <w:br/>
              <w:t>actual</w:t>
            </w:r>
          </w:p>
        </w:tc>
        <w:tc>
          <w:tcPr>
            <w:tcW w:w="794" w:type="dxa"/>
          </w:tcPr>
          <w:p w14:paraId="6BCE314A"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2022</w:t>
            </w:r>
            <w:r>
              <w:noBreakHyphen/>
              <w:t>23</w:t>
            </w:r>
            <w:r>
              <w:br/>
              <w:t>revised</w:t>
            </w:r>
          </w:p>
        </w:tc>
        <w:tc>
          <w:tcPr>
            <w:tcW w:w="794" w:type="dxa"/>
          </w:tcPr>
          <w:p w14:paraId="6045DD31"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73438C05"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015F9940"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4B86E26C"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346FC5" w14:paraId="3C80776A" w14:textId="77777777" w:rsidTr="0098354D">
        <w:tc>
          <w:tcPr>
            <w:cnfStyle w:val="001000000000" w:firstRow="0" w:lastRow="0" w:firstColumn="1" w:lastColumn="0" w:oddVBand="0" w:evenVBand="0" w:oddHBand="0" w:evenHBand="0" w:firstRowFirstColumn="0" w:firstRowLastColumn="0" w:lastRowFirstColumn="0" w:lastRowLastColumn="0"/>
            <w:tcW w:w="2127" w:type="dxa"/>
          </w:tcPr>
          <w:p w14:paraId="45937771" w14:textId="77777777" w:rsidR="00346FC5" w:rsidRDefault="00346FC5" w:rsidP="0098354D">
            <w:r>
              <w:t>Net result from transactions</w:t>
            </w:r>
          </w:p>
        </w:tc>
        <w:tc>
          <w:tcPr>
            <w:tcW w:w="819" w:type="dxa"/>
          </w:tcPr>
          <w:p w14:paraId="4559FDBF" w14:textId="77777777" w:rsidR="00346FC5" w:rsidRDefault="00346FC5" w:rsidP="0098354D">
            <w:pPr>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28685E1B"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(13.8)</w:t>
            </w:r>
          </w:p>
        </w:tc>
        <w:tc>
          <w:tcPr>
            <w:tcW w:w="794" w:type="dxa"/>
          </w:tcPr>
          <w:p w14:paraId="46EF03DB"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(10.3)</w:t>
            </w:r>
          </w:p>
        </w:tc>
        <w:tc>
          <w:tcPr>
            <w:tcW w:w="794" w:type="dxa"/>
          </w:tcPr>
          <w:p w14:paraId="5A73BE6D"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(4.0)</w:t>
            </w:r>
          </w:p>
        </w:tc>
        <w:tc>
          <w:tcPr>
            <w:tcW w:w="794" w:type="dxa"/>
          </w:tcPr>
          <w:p w14:paraId="255D3B95"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(1.1)</w:t>
            </w:r>
          </w:p>
        </w:tc>
        <w:tc>
          <w:tcPr>
            <w:tcW w:w="794" w:type="dxa"/>
          </w:tcPr>
          <w:p w14:paraId="04C390C2"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1.0</w:t>
            </w:r>
          </w:p>
        </w:tc>
        <w:tc>
          <w:tcPr>
            <w:tcW w:w="794" w:type="dxa"/>
          </w:tcPr>
          <w:p w14:paraId="5D951CD8"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1.2</w:t>
            </w:r>
          </w:p>
        </w:tc>
      </w:tr>
      <w:tr w:rsidR="00346FC5" w14:paraId="5B359337" w14:textId="77777777" w:rsidTr="0098354D">
        <w:tc>
          <w:tcPr>
            <w:cnfStyle w:val="001000000000" w:firstRow="0" w:lastRow="0" w:firstColumn="1" w:lastColumn="0" w:oddVBand="0" w:evenVBand="0" w:oddHBand="0" w:evenHBand="0" w:firstRowFirstColumn="0" w:firstRowLastColumn="0" w:lastRowFirstColumn="0" w:lastRowLastColumn="0"/>
            <w:tcW w:w="2127" w:type="dxa"/>
          </w:tcPr>
          <w:p w14:paraId="2771FB65" w14:textId="77777777" w:rsidR="00346FC5" w:rsidRDefault="00346FC5" w:rsidP="0098354D">
            <w:r>
              <w:t>Net cash flows from operating activities</w:t>
            </w:r>
          </w:p>
        </w:tc>
        <w:tc>
          <w:tcPr>
            <w:tcW w:w="819" w:type="dxa"/>
          </w:tcPr>
          <w:p w14:paraId="5AC61C05" w14:textId="77777777" w:rsidR="00346FC5" w:rsidRDefault="00346FC5" w:rsidP="0098354D">
            <w:pPr>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7D2DCCD8"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(8.9)</w:t>
            </w:r>
          </w:p>
        </w:tc>
        <w:tc>
          <w:tcPr>
            <w:tcW w:w="794" w:type="dxa"/>
          </w:tcPr>
          <w:p w14:paraId="61188349"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2.9</w:t>
            </w:r>
          </w:p>
        </w:tc>
        <w:tc>
          <w:tcPr>
            <w:tcW w:w="794" w:type="dxa"/>
          </w:tcPr>
          <w:p w14:paraId="04717B70"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0.8</w:t>
            </w:r>
          </w:p>
        </w:tc>
        <w:tc>
          <w:tcPr>
            <w:tcW w:w="794" w:type="dxa"/>
          </w:tcPr>
          <w:p w14:paraId="10992B17"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4.3</w:t>
            </w:r>
          </w:p>
        </w:tc>
        <w:tc>
          <w:tcPr>
            <w:tcW w:w="794" w:type="dxa"/>
          </w:tcPr>
          <w:p w14:paraId="5F16DC0F"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6.5</w:t>
            </w:r>
          </w:p>
        </w:tc>
        <w:tc>
          <w:tcPr>
            <w:tcW w:w="794" w:type="dxa"/>
          </w:tcPr>
          <w:p w14:paraId="0B0508F7"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6.5</w:t>
            </w:r>
          </w:p>
        </w:tc>
      </w:tr>
      <w:tr w:rsidR="00346FC5" w14:paraId="37145DE5" w14:textId="77777777" w:rsidTr="0098354D">
        <w:tc>
          <w:tcPr>
            <w:cnfStyle w:val="001000000000" w:firstRow="0" w:lastRow="0" w:firstColumn="1" w:lastColumn="0" w:oddVBand="0" w:evenVBand="0" w:oddHBand="0" w:evenHBand="0" w:firstRowFirstColumn="0" w:firstRowLastColumn="0" w:lastRowFirstColumn="0" w:lastRowLastColumn="0"/>
            <w:tcW w:w="2127" w:type="dxa"/>
          </w:tcPr>
          <w:p w14:paraId="315D9A9E" w14:textId="77777777" w:rsidR="00346FC5" w:rsidRDefault="00346FC5" w:rsidP="0098354D">
            <w:r>
              <w:t xml:space="preserve">Government infrastructure investment </w:t>
            </w:r>
            <w:r>
              <w:rPr>
                <w:vertAlign w:val="superscript"/>
              </w:rPr>
              <w:t>(a)(b)</w:t>
            </w:r>
          </w:p>
        </w:tc>
        <w:tc>
          <w:tcPr>
            <w:tcW w:w="819" w:type="dxa"/>
          </w:tcPr>
          <w:p w14:paraId="6F017FFA" w14:textId="77777777" w:rsidR="00346FC5" w:rsidRDefault="00346FC5" w:rsidP="0098354D">
            <w:pPr>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27979F32"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18.7</w:t>
            </w:r>
          </w:p>
        </w:tc>
        <w:tc>
          <w:tcPr>
            <w:tcW w:w="794" w:type="dxa"/>
          </w:tcPr>
          <w:p w14:paraId="7EC300ED"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22.5</w:t>
            </w:r>
          </w:p>
        </w:tc>
        <w:tc>
          <w:tcPr>
            <w:tcW w:w="794" w:type="dxa"/>
          </w:tcPr>
          <w:p w14:paraId="1A07740B"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22.4</w:t>
            </w:r>
          </w:p>
        </w:tc>
        <w:tc>
          <w:tcPr>
            <w:tcW w:w="794" w:type="dxa"/>
          </w:tcPr>
          <w:p w14:paraId="2AFB8BDC"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20.6</w:t>
            </w:r>
          </w:p>
        </w:tc>
        <w:tc>
          <w:tcPr>
            <w:tcW w:w="794" w:type="dxa"/>
          </w:tcPr>
          <w:p w14:paraId="0F3143CD"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18.6</w:t>
            </w:r>
          </w:p>
        </w:tc>
        <w:tc>
          <w:tcPr>
            <w:tcW w:w="794" w:type="dxa"/>
          </w:tcPr>
          <w:p w14:paraId="7002D0E2"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16.9</w:t>
            </w:r>
          </w:p>
        </w:tc>
      </w:tr>
      <w:tr w:rsidR="00346FC5" w14:paraId="5D6894A5" w14:textId="77777777" w:rsidTr="0098354D">
        <w:tc>
          <w:tcPr>
            <w:cnfStyle w:val="001000000000" w:firstRow="0" w:lastRow="0" w:firstColumn="1" w:lastColumn="0" w:oddVBand="0" w:evenVBand="0" w:oddHBand="0" w:evenHBand="0" w:firstRowFirstColumn="0" w:firstRowLastColumn="0" w:lastRowFirstColumn="0" w:lastRowLastColumn="0"/>
            <w:tcW w:w="2127" w:type="dxa"/>
          </w:tcPr>
          <w:p w14:paraId="2362F455" w14:textId="77777777" w:rsidR="00346FC5" w:rsidRDefault="00346FC5" w:rsidP="0098354D">
            <w:r>
              <w:t>Net debt</w:t>
            </w:r>
          </w:p>
        </w:tc>
        <w:tc>
          <w:tcPr>
            <w:tcW w:w="819" w:type="dxa"/>
          </w:tcPr>
          <w:p w14:paraId="26442810" w14:textId="77777777" w:rsidR="00346FC5" w:rsidRDefault="00346FC5" w:rsidP="0098354D">
            <w:pPr>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1FC1B6B8"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100.0</w:t>
            </w:r>
          </w:p>
        </w:tc>
        <w:tc>
          <w:tcPr>
            <w:tcW w:w="794" w:type="dxa"/>
          </w:tcPr>
          <w:p w14:paraId="658B8091"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116.7</w:t>
            </w:r>
          </w:p>
        </w:tc>
        <w:tc>
          <w:tcPr>
            <w:tcW w:w="794" w:type="dxa"/>
          </w:tcPr>
          <w:p w14:paraId="33D01EB5"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135.4</w:t>
            </w:r>
          </w:p>
        </w:tc>
        <w:tc>
          <w:tcPr>
            <w:tcW w:w="794" w:type="dxa"/>
          </w:tcPr>
          <w:p w14:paraId="5236CC09"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151.2</w:t>
            </w:r>
          </w:p>
        </w:tc>
        <w:tc>
          <w:tcPr>
            <w:tcW w:w="794" w:type="dxa"/>
          </w:tcPr>
          <w:p w14:paraId="1B3E5DA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162.2</w:t>
            </w:r>
          </w:p>
        </w:tc>
        <w:tc>
          <w:tcPr>
            <w:tcW w:w="794" w:type="dxa"/>
          </w:tcPr>
          <w:p w14:paraId="429B5DC1"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171.4</w:t>
            </w:r>
          </w:p>
        </w:tc>
      </w:tr>
      <w:tr w:rsidR="00346FC5" w14:paraId="33C9B5F3" w14:textId="77777777" w:rsidTr="0098354D">
        <w:tc>
          <w:tcPr>
            <w:cnfStyle w:val="001000000000" w:firstRow="0" w:lastRow="0" w:firstColumn="1" w:lastColumn="0" w:oddVBand="0" w:evenVBand="0" w:oddHBand="0" w:evenHBand="0" w:firstRowFirstColumn="0" w:firstRowLastColumn="0" w:lastRowFirstColumn="0" w:lastRowLastColumn="0"/>
            <w:tcW w:w="2127" w:type="dxa"/>
            <w:tcBorders>
              <w:bottom w:val="single" w:sz="12" w:space="0" w:color="auto"/>
            </w:tcBorders>
          </w:tcPr>
          <w:p w14:paraId="101B6E7D" w14:textId="77777777" w:rsidR="00346FC5" w:rsidRDefault="00346FC5" w:rsidP="0098354D">
            <w:r>
              <w:t xml:space="preserve">Net debt to GSP </w:t>
            </w:r>
            <w:r>
              <w:rPr>
                <w:vertAlign w:val="superscript"/>
              </w:rPr>
              <w:t>(c)</w:t>
            </w:r>
          </w:p>
        </w:tc>
        <w:tc>
          <w:tcPr>
            <w:tcW w:w="819" w:type="dxa"/>
            <w:tcBorders>
              <w:bottom w:val="single" w:sz="12" w:space="0" w:color="auto"/>
            </w:tcBorders>
          </w:tcPr>
          <w:p w14:paraId="076A5E25" w14:textId="77777777" w:rsidR="00346FC5" w:rsidRDefault="00346FC5" w:rsidP="0098354D">
            <w:pPr>
              <w:jc w:val="center"/>
              <w:cnfStyle w:val="000000000000" w:firstRow="0" w:lastRow="0" w:firstColumn="0" w:lastColumn="0" w:oddVBand="0" w:evenVBand="0" w:oddHBand="0" w:evenHBand="0" w:firstRowFirstColumn="0" w:firstRowLastColumn="0" w:lastRowFirstColumn="0" w:lastRowLastColumn="0"/>
            </w:pPr>
            <w:r>
              <w:t>per cent</w:t>
            </w:r>
          </w:p>
        </w:tc>
        <w:tc>
          <w:tcPr>
            <w:tcW w:w="794" w:type="dxa"/>
            <w:tcBorders>
              <w:bottom w:val="single" w:sz="12" w:space="0" w:color="auto"/>
            </w:tcBorders>
          </w:tcPr>
          <w:p w14:paraId="16AA75C7"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19.4</w:t>
            </w:r>
          </w:p>
        </w:tc>
        <w:tc>
          <w:tcPr>
            <w:tcW w:w="794" w:type="dxa"/>
            <w:tcBorders>
              <w:bottom w:val="single" w:sz="12" w:space="0" w:color="auto"/>
            </w:tcBorders>
          </w:tcPr>
          <w:p w14:paraId="24751FF2"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20.6</w:t>
            </w:r>
          </w:p>
        </w:tc>
        <w:tc>
          <w:tcPr>
            <w:tcW w:w="794" w:type="dxa"/>
            <w:tcBorders>
              <w:bottom w:val="single" w:sz="12" w:space="0" w:color="auto"/>
            </w:tcBorders>
          </w:tcPr>
          <w:p w14:paraId="3C5759C9"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22.6</w:t>
            </w:r>
          </w:p>
        </w:tc>
        <w:tc>
          <w:tcPr>
            <w:tcW w:w="794" w:type="dxa"/>
            <w:tcBorders>
              <w:bottom w:val="single" w:sz="12" w:space="0" w:color="auto"/>
            </w:tcBorders>
          </w:tcPr>
          <w:p w14:paraId="7E1C49CF"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23.9</w:t>
            </w:r>
          </w:p>
        </w:tc>
        <w:tc>
          <w:tcPr>
            <w:tcW w:w="794" w:type="dxa"/>
            <w:tcBorders>
              <w:bottom w:val="single" w:sz="12" w:space="0" w:color="auto"/>
            </w:tcBorders>
          </w:tcPr>
          <w:p w14:paraId="1E488994"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24.4</w:t>
            </w:r>
          </w:p>
        </w:tc>
        <w:tc>
          <w:tcPr>
            <w:tcW w:w="794" w:type="dxa"/>
            <w:tcBorders>
              <w:bottom w:val="single" w:sz="12" w:space="0" w:color="auto"/>
            </w:tcBorders>
          </w:tcPr>
          <w:p w14:paraId="5FD2C483"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24.5</w:t>
            </w:r>
          </w:p>
        </w:tc>
      </w:tr>
    </w:tbl>
    <w:p w14:paraId="5C55F561" w14:textId="77777777" w:rsidR="00346FC5" w:rsidRDefault="00346FC5" w:rsidP="00346FC5">
      <w:pPr>
        <w:pStyle w:val="Note"/>
      </w:pPr>
      <w:r>
        <w:t>Notes:</w:t>
      </w:r>
    </w:p>
    <w:p w14:paraId="68B37CBA" w14:textId="77777777" w:rsidR="00346FC5" w:rsidRDefault="00346FC5" w:rsidP="00346FC5">
      <w:pPr>
        <w:pStyle w:val="Note"/>
      </w:pPr>
      <w:r>
        <w:t>(a)</w:t>
      </w:r>
      <w:r>
        <w:tab/>
        <w:t>Includes general government net infrastructure investment and the estimated construction costs of public private partnership projects.</w:t>
      </w:r>
    </w:p>
    <w:p w14:paraId="48C4DA64" w14:textId="77777777" w:rsidR="00346FC5" w:rsidRDefault="00346FC5" w:rsidP="00346FC5">
      <w:pPr>
        <w:pStyle w:val="Note"/>
      </w:pPr>
      <w:r>
        <w:t>(b)</w:t>
      </w:r>
      <w:r>
        <w:tab/>
        <w:t>Includes the estimated private sector construction-related expenditure associated with the North East Link held in the public non</w:t>
      </w:r>
      <w:r>
        <w:noBreakHyphen/>
        <w:t>financial corporations (PNFC) sector.</w:t>
      </w:r>
    </w:p>
    <w:p w14:paraId="42FAFA9B" w14:textId="77777777" w:rsidR="00346FC5" w:rsidRDefault="00346FC5" w:rsidP="00346FC5">
      <w:pPr>
        <w:pStyle w:val="Note"/>
      </w:pPr>
      <w:r>
        <w:t>(c)</w:t>
      </w:r>
      <w:r>
        <w:tab/>
        <w:t>The ratios to gross state product (GSP) may vary from publications year to year due to revisions to the Australian Bureau of Statistics GSP data.</w:t>
      </w:r>
    </w:p>
    <w:p w14:paraId="316CE2B4" w14:textId="77777777" w:rsidR="00346FC5" w:rsidRDefault="00346FC5" w:rsidP="00346FC5">
      <w:r>
        <w:t>Total revenue for the general government sector is expected to be $83.0 billion in 2022</w:t>
      </w:r>
      <w:r>
        <w:rPr>
          <w:rFonts w:ascii="Times New Roman" w:hAnsi="Times New Roman" w:cs="Times New Roman"/>
        </w:rPr>
        <w:t>‑</w:t>
      </w:r>
      <w:r>
        <w:t xml:space="preserve">23, an upgrade of $1.5 billion from PEBU, before increasing to $89.3 billion in 2023-24. </w:t>
      </w:r>
      <w:r w:rsidRPr="0084084C">
        <w:rPr>
          <w:color w:val="000000" w:themeColor="text1"/>
        </w:rPr>
        <w:t xml:space="preserve">Revenue growth is then expected to average </w:t>
      </w:r>
      <w:r>
        <w:rPr>
          <w:color w:val="000000" w:themeColor="text1"/>
        </w:rPr>
        <w:t>3.8 </w:t>
      </w:r>
      <w:r w:rsidRPr="0084084C">
        <w:rPr>
          <w:color w:val="000000" w:themeColor="text1"/>
        </w:rPr>
        <w:t>per</w:t>
      </w:r>
      <w:r>
        <w:rPr>
          <w:color w:val="000000" w:themeColor="text1"/>
        </w:rPr>
        <w:t> </w:t>
      </w:r>
      <w:r w:rsidRPr="0084084C">
        <w:rPr>
          <w:color w:val="000000" w:themeColor="text1"/>
        </w:rPr>
        <w:t xml:space="preserve">cent a year over the forward estimates, reaching </w:t>
      </w:r>
      <w:r w:rsidRPr="00BE77D8">
        <w:rPr>
          <w:color w:val="000000" w:themeColor="text1"/>
        </w:rPr>
        <w:t>$</w:t>
      </w:r>
      <w:r>
        <w:rPr>
          <w:color w:val="000000" w:themeColor="text1"/>
        </w:rPr>
        <w:t>99.9</w:t>
      </w:r>
      <w:r w:rsidRPr="00BE77D8">
        <w:rPr>
          <w:color w:val="000000" w:themeColor="text1"/>
        </w:rPr>
        <w:t> billion</w:t>
      </w:r>
      <w:r w:rsidRPr="00EC3646">
        <w:rPr>
          <w:color w:val="000000" w:themeColor="text1"/>
        </w:rPr>
        <w:t xml:space="preserve"> in 202</w:t>
      </w:r>
      <w:r>
        <w:rPr>
          <w:color w:val="000000" w:themeColor="text1"/>
        </w:rPr>
        <w:t>6</w:t>
      </w:r>
      <w:r w:rsidRPr="00EC3646">
        <w:rPr>
          <w:color w:val="000000" w:themeColor="text1"/>
        </w:rPr>
        <w:noBreakHyphen/>
        <w:t>2</w:t>
      </w:r>
      <w:r>
        <w:rPr>
          <w:color w:val="000000" w:themeColor="text1"/>
        </w:rPr>
        <w:t>7.</w:t>
      </w:r>
    </w:p>
    <w:p w14:paraId="3941D76D" w14:textId="77777777" w:rsidR="00346FC5" w:rsidRDefault="00346FC5" w:rsidP="00346FC5">
      <w:r>
        <w:t>Total general government sector expenditure is expected to be $93.3 billion in 2023</w:t>
      </w:r>
      <w:r>
        <w:noBreakHyphen/>
        <w:t>24 and</w:t>
      </w:r>
      <w:r w:rsidRPr="0084084C">
        <w:rPr>
          <w:color w:val="000000" w:themeColor="text1"/>
        </w:rPr>
        <w:t xml:space="preserve"> </w:t>
      </w:r>
      <w:r>
        <w:rPr>
          <w:color w:val="000000" w:themeColor="text1"/>
        </w:rPr>
        <w:t xml:space="preserve">grow by an </w:t>
      </w:r>
      <w:r w:rsidRPr="0084084C">
        <w:rPr>
          <w:color w:val="000000" w:themeColor="text1"/>
        </w:rPr>
        <w:t xml:space="preserve">average </w:t>
      </w:r>
      <w:r>
        <w:rPr>
          <w:color w:val="000000" w:themeColor="text1"/>
        </w:rPr>
        <w:t>of 1.9 </w:t>
      </w:r>
      <w:r w:rsidRPr="0084084C">
        <w:rPr>
          <w:color w:val="000000" w:themeColor="text1"/>
        </w:rPr>
        <w:t>per</w:t>
      </w:r>
      <w:r>
        <w:rPr>
          <w:color w:val="000000" w:themeColor="text1"/>
        </w:rPr>
        <w:t> </w:t>
      </w:r>
      <w:r w:rsidRPr="0084084C">
        <w:rPr>
          <w:color w:val="000000" w:themeColor="text1"/>
        </w:rPr>
        <w:t xml:space="preserve">cent a year over the forward estimates, reaching </w:t>
      </w:r>
      <w:r>
        <w:rPr>
          <w:color w:val="000000" w:themeColor="text1"/>
        </w:rPr>
        <w:t>$98.7 billion in 2026</w:t>
      </w:r>
      <w:r>
        <w:rPr>
          <w:color w:val="000000" w:themeColor="text1"/>
        </w:rPr>
        <w:noBreakHyphen/>
        <w:t>27.</w:t>
      </w:r>
      <w:r>
        <w:t xml:space="preserve"> Total expected expenditure includes the impact of all relevant Government decisions, including those relating to service delivery and savings.</w:t>
      </w:r>
    </w:p>
    <w:p w14:paraId="2DF247BE" w14:textId="77777777" w:rsidR="00346FC5" w:rsidRDefault="00346FC5" w:rsidP="00346FC5">
      <w:r>
        <w:t xml:space="preserve">Government infrastructure investment (GII) is expected to average $19.6 billion a year over the budget and forward estimates, reflecting </w:t>
      </w:r>
      <w:r w:rsidRPr="00AE2DC3">
        <w:t xml:space="preserve">new infrastructure investment and </w:t>
      </w:r>
      <w:r>
        <w:t>the continuation of Victoria’s Big Build.</w:t>
      </w:r>
    </w:p>
    <w:p w14:paraId="42B70104" w14:textId="35F2B829" w:rsidR="00346FC5" w:rsidRDefault="00346FC5" w:rsidP="00346FC5">
      <w:r>
        <w:t>Net debt is expected to be $116.7 billion at June 2023 and $171.4 billion by June 2027. As</w:t>
      </w:r>
      <w:r w:rsidR="0033262F">
        <w:t> </w:t>
      </w:r>
      <w:r>
        <w:t>a proportion of GSP, net debt is projected to be 20.6 per cent at June 2023 and 24.5 per cent by June 2027.</w:t>
      </w:r>
    </w:p>
    <w:p w14:paraId="01AECAC0" w14:textId="77777777" w:rsidR="00346FC5" w:rsidRDefault="00346FC5" w:rsidP="00346FC5">
      <w:r>
        <w:t>Interest expense as a share of total revenue is expected to average 7.1 per cent a year over the budget and forward estimates.</w:t>
      </w:r>
    </w:p>
    <w:p w14:paraId="29A4E87D" w14:textId="77777777" w:rsidR="00346FC5" w:rsidRDefault="00346FC5" w:rsidP="00346FC5">
      <w:pPr>
        <w:keepLines w:val="0"/>
      </w:pPr>
      <w:r>
        <w:br w:type="page"/>
      </w:r>
    </w:p>
    <w:p w14:paraId="3677DADB" w14:textId="77777777" w:rsidR="00346FC5" w:rsidRDefault="00346FC5" w:rsidP="00346FC5">
      <w:pPr>
        <w:pStyle w:val="Heading10"/>
      </w:pPr>
      <w:bookmarkStart w:id="61" w:name="_Toc135331254"/>
      <w:r>
        <w:t>Budget and forward estimates outlook</w:t>
      </w:r>
      <w:bookmarkEnd w:id="61"/>
    </w:p>
    <w:p w14:paraId="2F13CD11" w14:textId="77777777" w:rsidR="00346FC5" w:rsidRDefault="00346FC5" w:rsidP="00346FC5">
      <w:r>
        <w:t xml:space="preserve">Table 4.2 summarises the operating statement for the general government sector. A comprehensive operating statement is presented in Budget Paper No. 5, Chapter 1 </w:t>
      </w:r>
      <w:r w:rsidRPr="00A751CD">
        <w:rPr>
          <w:i/>
          <w:iCs/>
        </w:rPr>
        <w:t>Estimated Financial Statements for the general government sector</w:t>
      </w:r>
      <w:r>
        <w:t>.</w:t>
      </w:r>
    </w:p>
    <w:p w14:paraId="25AEBFEC" w14:textId="77777777" w:rsidR="00346FC5" w:rsidRDefault="00346FC5" w:rsidP="00346FC5">
      <w:pPr>
        <w:pStyle w:val="TableHeading"/>
      </w:pPr>
      <w:r>
        <w:t>Table 4.2:</w:t>
      </w:r>
      <w:r>
        <w:tab/>
        <w:t xml:space="preserve">Summary operating statement for the general government sector </w:t>
      </w:r>
      <w:r w:rsidRPr="00A751CD">
        <w:rPr>
          <w:vertAlign w:val="superscript"/>
        </w:rPr>
        <w:t>(a)</w:t>
      </w:r>
      <w:r>
        <w:t xml:space="preserve"> </w:t>
      </w:r>
      <w:r>
        <w:tab/>
        <w:t>($ million)</w:t>
      </w:r>
    </w:p>
    <w:tbl>
      <w:tblPr>
        <w:tblStyle w:val="DTFTableNumeric"/>
        <w:tblW w:w="7710" w:type="dxa"/>
        <w:tblLayout w:type="fixed"/>
        <w:tblLook w:val="06A0" w:firstRow="1" w:lastRow="0" w:firstColumn="1" w:lastColumn="0" w:noHBand="1" w:noVBand="1"/>
        <w:tblDescription w:val="Type:DtfTable|Workbook:https://vicgov.sharepoint.com/sites/msteams_12cfc2/BP2/Chapter%204/Link_BP2-Chapter4.xlsx|Table:GG_SummaryOS|MergedHeadingRow:1"/>
      </w:tblPr>
      <w:tblGrid>
        <w:gridCol w:w="2946"/>
        <w:gridCol w:w="794"/>
        <w:gridCol w:w="794"/>
        <w:gridCol w:w="794"/>
        <w:gridCol w:w="794"/>
        <w:gridCol w:w="794"/>
        <w:gridCol w:w="794"/>
      </w:tblGrid>
      <w:tr w:rsidR="00346FC5" w14:paraId="32FBDFEB" w14:textId="77777777" w:rsidTr="009835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46" w:type="dxa"/>
          </w:tcPr>
          <w:p w14:paraId="3C0583CC" w14:textId="77777777" w:rsidR="00346FC5" w:rsidRDefault="00346FC5" w:rsidP="0098354D">
            <w:pPr>
              <w:keepNext/>
            </w:pPr>
          </w:p>
        </w:tc>
        <w:tc>
          <w:tcPr>
            <w:tcW w:w="794" w:type="dxa"/>
          </w:tcPr>
          <w:p w14:paraId="3A9DF264"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2021</w:t>
            </w:r>
            <w:r>
              <w:noBreakHyphen/>
              <w:t>22</w:t>
            </w:r>
            <w:r>
              <w:br/>
              <w:t>actual</w:t>
            </w:r>
          </w:p>
        </w:tc>
        <w:tc>
          <w:tcPr>
            <w:tcW w:w="794" w:type="dxa"/>
          </w:tcPr>
          <w:p w14:paraId="5868B287"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2022</w:t>
            </w:r>
            <w:r>
              <w:noBreakHyphen/>
              <w:t>23</w:t>
            </w:r>
            <w:r>
              <w:br/>
              <w:t>revised</w:t>
            </w:r>
          </w:p>
        </w:tc>
        <w:tc>
          <w:tcPr>
            <w:tcW w:w="794" w:type="dxa"/>
          </w:tcPr>
          <w:p w14:paraId="4395DAD5"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66F8E588"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758A8F89"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5FB161A5"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346FC5" w14:paraId="0AA8D41C"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03CA0035" w14:textId="77777777" w:rsidR="00346FC5" w:rsidRDefault="00346FC5" w:rsidP="0098354D">
            <w:r>
              <w:rPr>
                <w:b/>
              </w:rPr>
              <w:t>Revenue and income from transactions</w:t>
            </w:r>
          </w:p>
        </w:tc>
        <w:tc>
          <w:tcPr>
            <w:tcW w:w="794" w:type="dxa"/>
          </w:tcPr>
          <w:p w14:paraId="7776AFD1"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1F43D878"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08D42AAB"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4E75A901"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12E15EC3"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6AFD18AF"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14:paraId="70D5EF8F"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09DDE442" w14:textId="77777777" w:rsidR="00346FC5" w:rsidRDefault="00346FC5" w:rsidP="0098354D">
            <w:r>
              <w:t>Taxation</w:t>
            </w:r>
          </w:p>
        </w:tc>
        <w:tc>
          <w:tcPr>
            <w:tcW w:w="794" w:type="dxa"/>
          </w:tcPr>
          <w:p w14:paraId="208A604A"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30 546</w:t>
            </w:r>
          </w:p>
        </w:tc>
        <w:tc>
          <w:tcPr>
            <w:tcW w:w="794" w:type="dxa"/>
          </w:tcPr>
          <w:p w14:paraId="779CC614"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31 501</w:t>
            </w:r>
          </w:p>
        </w:tc>
        <w:tc>
          <w:tcPr>
            <w:tcW w:w="794" w:type="dxa"/>
          </w:tcPr>
          <w:p w14:paraId="5467ED3E"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34 877</w:t>
            </w:r>
          </w:p>
        </w:tc>
        <w:tc>
          <w:tcPr>
            <w:tcW w:w="794" w:type="dxa"/>
          </w:tcPr>
          <w:p w14:paraId="320546A8"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36 683</w:t>
            </w:r>
          </w:p>
        </w:tc>
        <w:tc>
          <w:tcPr>
            <w:tcW w:w="794" w:type="dxa"/>
          </w:tcPr>
          <w:p w14:paraId="0F745A6D"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38 490</w:t>
            </w:r>
          </w:p>
        </w:tc>
        <w:tc>
          <w:tcPr>
            <w:tcW w:w="794" w:type="dxa"/>
          </w:tcPr>
          <w:p w14:paraId="7DBDAE55"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40 366</w:t>
            </w:r>
          </w:p>
        </w:tc>
      </w:tr>
      <w:tr w:rsidR="00346FC5" w14:paraId="6A98A661"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5A542461" w14:textId="77777777" w:rsidR="00346FC5" w:rsidRDefault="00346FC5" w:rsidP="0098354D">
            <w:r>
              <w:t xml:space="preserve">Dividends, TER and interest </w:t>
            </w:r>
            <w:r>
              <w:rPr>
                <w:vertAlign w:val="superscript"/>
              </w:rPr>
              <w:t>(b)</w:t>
            </w:r>
          </w:p>
        </w:tc>
        <w:tc>
          <w:tcPr>
            <w:tcW w:w="794" w:type="dxa"/>
          </w:tcPr>
          <w:p w14:paraId="69047893"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1 442</w:t>
            </w:r>
          </w:p>
        </w:tc>
        <w:tc>
          <w:tcPr>
            <w:tcW w:w="794" w:type="dxa"/>
          </w:tcPr>
          <w:p w14:paraId="6B928959"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2 117</w:t>
            </w:r>
          </w:p>
        </w:tc>
        <w:tc>
          <w:tcPr>
            <w:tcW w:w="794" w:type="dxa"/>
          </w:tcPr>
          <w:p w14:paraId="6FAC1563"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2 904</w:t>
            </w:r>
          </w:p>
        </w:tc>
        <w:tc>
          <w:tcPr>
            <w:tcW w:w="794" w:type="dxa"/>
          </w:tcPr>
          <w:p w14:paraId="37BD731F"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2 130</w:t>
            </w:r>
          </w:p>
        </w:tc>
        <w:tc>
          <w:tcPr>
            <w:tcW w:w="794" w:type="dxa"/>
          </w:tcPr>
          <w:p w14:paraId="79F64559"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2 313</w:t>
            </w:r>
          </w:p>
        </w:tc>
        <w:tc>
          <w:tcPr>
            <w:tcW w:w="794" w:type="dxa"/>
          </w:tcPr>
          <w:p w14:paraId="77CF6668"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2 371</w:t>
            </w:r>
          </w:p>
        </w:tc>
      </w:tr>
      <w:tr w:rsidR="00346FC5" w14:paraId="37141295"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7D33C827" w14:textId="77777777" w:rsidR="00346FC5" w:rsidRDefault="00346FC5" w:rsidP="0098354D">
            <w:r>
              <w:t>Sales of goods and services</w:t>
            </w:r>
          </w:p>
        </w:tc>
        <w:tc>
          <w:tcPr>
            <w:tcW w:w="794" w:type="dxa"/>
          </w:tcPr>
          <w:p w14:paraId="4692761B"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5 645</w:t>
            </w:r>
          </w:p>
        </w:tc>
        <w:tc>
          <w:tcPr>
            <w:tcW w:w="794" w:type="dxa"/>
          </w:tcPr>
          <w:p w14:paraId="7BC9C00C"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6 068</w:t>
            </w:r>
          </w:p>
        </w:tc>
        <w:tc>
          <w:tcPr>
            <w:tcW w:w="794" w:type="dxa"/>
          </w:tcPr>
          <w:p w14:paraId="05D98F30"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6 111</w:t>
            </w:r>
          </w:p>
        </w:tc>
        <w:tc>
          <w:tcPr>
            <w:tcW w:w="794" w:type="dxa"/>
          </w:tcPr>
          <w:p w14:paraId="0656DD9D"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6 441</w:t>
            </w:r>
          </w:p>
        </w:tc>
        <w:tc>
          <w:tcPr>
            <w:tcW w:w="794" w:type="dxa"/>
          </w:tcPr>
          <w:p w14:paraId="4D8073DA"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6 419</w:t>
            </w:r>
          </w:p>
        </w:tc>
        <w:tc>
          <w:tcPr>
            <w:tcW w:w="794" w:type="dxa"/>
          </w:tcPr>
          <w:p w14:paraId="53E9454A"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6 497</w:t>
            </w:r>
          </w:p>
        </w:tc>
      </w:tr>
      <w:tr w:rsidR="00346FC5" w14:paraId="5D0AEA48"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1819AAC9" w14:textId="77777777" w:rsidR="00346FC5" w:rsidRDefault="00346FC5" w:rsidP="0098354D">
            <w:r>
              <w:t>Grants</w:t>
            </w:r>
          </w:p>
        </w:tc>
        <w:tc>
          <w:tcPr>
            <w:tcW w:w="794" w:type="dxa"/>
          </w:tcPr>
          <w:p w14:paraId="2BB98D87"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41 805</w:t>
            </w:r>
          </w:p>
        </w:tc>
        <w:tc>
          <w:tcPr>
            <w:tcW w:w="794" w:type="dxa"/>
          </w:tcPr>
          <w:p w14:paraId="087749D7"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39 804</w:t>
            </w:r>
          </w:p>
        </w:tc>
        <w:tc>
          <w:tcPr>
            <w:tcW w:w="794" w:type="dxa"/>
          </w:tcPr>
          <w:p w14:paraId="63586FC1"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41 751</w:t>
            </w:r>
          </w:p>
        </w:tc>
        <w:tc>
          <w:tcPr>
            <w:tcW w:w="794" w:type="dxa"/>
          </w:tcPr>
          <w:p w14:paraId="52C43739"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43 227</w:t>
            </w:r>
          </w:p>
        </w:tc>
        <w:tc>
          <w:tcPr>
            <w:tcW w:w="794" w:type="dxa"/>
          </w:tcPr>
          <w:p w14:paraId="4C876610"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45 888</w:t>
            </w:r>
          </w:p>
        </w:tc>
        <w:tc>
          <w:tcPr>
            <w:tcW w:w="794" w:type="dxa"/>
          </w:tcPr>
          <w:p w14:paraId="01636449"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46 765</w:t>
            </w:r>
          </w:p>
        </w:tc>
      </w:tr>
      <w:tr w:rsidR="00346FC5" w14:paraId="70D5766C"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06CABAFB" w14:textId="77777777" w:rsidR="00346FC5" w:rsidRDefault="00346FC5" w:rsidP="0098354D">
            <w:r>
              <w:t>Other revenue and income</w:t>
            </w:r>
          </w:p>
        </w:tc>
        <w:tc>
          <w:tcPr>
            <w:tcW w:w="794" w:type="dxa"/>
            <w:tcBorders>
              <w:bottom w:val="single" w:sz="6" w:space="0" w:color="auto"/>
            </w:tcBorders>
          </w:tcPr>
          <w:p w14:paraId="2A73E090"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3 586</w:t>
            </w:r>
          </w:p>
        </w:tc>
        <w:tc>
          <w:tcPr>
            <w:tcW w:w="794" w:type="dxa"/>
            <w:tcBorders>
              <w:bottom w:val="single" w:sz="6" w:space="0" w:color="auto"/>
            </w:tcBorders>
          </w:tcPr>
          <w:p w14:paraId="3A7AC2B0"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3 462</w:t>
            </w:r>
          </w:p>
        </w:tc>
        <w:tc>
          <w:tcPr>
            <w:tcW w:w="794" w:type="dxa"/>
            <w:tcBorders>
              <w:bottom w:val="single" w:sz="6" w:space="0" w:color="auto"/>
            </w:tcBorders>
          </w:tcPr>
          <w:p w14:paraId="128BB3A1"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3 617</w:t>
            </w:r>
          </w:p>
        </w:tc>
        <w:tc>
          <w:tcPr>
            <w:tcW w:w="794" w:type="dxa"/>
            <w:tcBorders>
              <w:bottom w:val="single" w:sz="6" w:space="0" w:color="auto"/>
            </w:tcBorders>
          </w:tcPr>
          <w:p w14:paraId="1476EB3A"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3 304</w:t>
            </w:r>
          </w:p>
        </w:tc>
        <w:tc>
          <w:tcPr>
            <w:tcW w:w="794" w:type="dxa"/>
            <w:tcBorders>
              <w:bottom w:val="single" w:sz="6" w:space="0" w:color="auto"/>
            </w:tcBorders>
          </w:tcPr>
          <w:p w14:paraId="312ACB57"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3 382</w:t>
            </w:r>
          </w:p>
        </w:tc>
        <w:tc>
          <w:tcPr>
            <w:tcW w:w="794" w:type="dxa"/>
            <w:tcBorders>
              <w:bottom w:val="single" w:sz="6" w:space="0" w:color="auto"/>
            </w:tcBorders>
          </w:tcPr>
          <w:p w14:paraId="51C79615"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3 902</w:t>
            </w:r>
          </w:p>
        </w:tc>
      </w:tr>
      <w:tr w:rsidR="00346FC5" w14:paraId="2F4BBA26"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tcBorders>
          </w:tcPr>
          <w:p w14:paraId="482D026C" w14:textId="77777777" w:rsidR="00346FC5" w:rsidRDefault="00346FC5" w:rsidP="0098354D">
            <w:r>
              <w:rPr>
                <w:b/>
              </w:rPr>
              <w:t>Total revenue and income from transactions</w:t>
            </w:r>
          </w:p>
        </w:tc>
        <w:tc>
          <w:tcPr>
            <w:tcW w:w="794" w:type="dxa"/>
            <w:tcBorders>
              <w:top w:val="single" w:sz="6" w:space="0" w:color="auto"/>
            </w:tcBorders>
          </w:tcPr>
          <w:p w14:paraId="01C2C660"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83 023</w:t>
            </w:r>
          </w:p>
        </w:tc>
        <w:tc>
          <w:tcPr>
            <w:tcW w:w="794" w:type="dxa"/>
            <w:tcBorders>
              <w:top w:val="single" w:sz="6" w:space="0" w:color="auto"/>
            </w:tcBorders>
          </w:tcPr>
          <w:p w14:paraId="2840FBE3"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82 952</w:t>
            </w:r>
          </w:p>
        </w:tc>
        <w:tc>
          <w:tcPr>
            <w:tcW w:w="794" w:type="dxa"/>
            <w:tcBorders>
              <w:top w:val="single" w:sz="6" w:space="0" w:color="auto"/>
            </w:tcBorders>
          </w:tcPr>
          <w:p w14:paraId="600BF0FB"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89 260</w:t>
            </w:r>
          </w:p>
        </w:tc>
        <w:tc>
          <w:tcPr>
            <w:tcW w:w="794" w:type="dxa"/>
            <w:tcBorders>
              <w:top w:val="single" w:sz="6" w:space="0" w:color="auto"/>
            </w:tcBorders>
          </w:tcPr>
          <w:p w14:paraId="4528C2E5"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91 785</w:t>
            </w:r>
          </w:p>
        </w:tc>
        <w:tc>
          <w:tcPr>
            <w:tcW w:w="794" w:type="dxa"/>
            <w:tcBorders>
              <w:top w:val="single" w:sz="6" w:space="0" w:color="auto"/>
            </w:tcBorders>
          </w:tcPr>
          <w:p w14:paraId="47C9B2BE"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96 491</w:t>
            </w:r>
          </w:p>
        </w:tc>
        <w:tc>
          <w:tcPr>
            <w:tcW w:w="794" w:type="dxa"/>
            <w:tcBorders>
              <w:top w:val="single" w:sz="6" w:space="0" w:color="auto"/>
            </w:tcBorders>
          </w:tcPr>
          <w:p w14:paraId="1FDAFDEA"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99 901</w:t>
            </w:r>
          </w:p>
        </w:tc>
      </w:tr>
      <w:tr w:rsidR="00346FC5" w14:paraId="7716EA7A"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073109DE" w14:textId="77777777" w:rsidR="00346FC5" w:rsidRDefault="00346FC5" w:rsidP="0098354D">
            <w:r>
              <w:rPr>
                <w:i/>
              </w:rPr>
              <w:t>% change</w:t>
            </w:r>
          </w:p>
        </w:tc>
        <w:tc>
          <w:tcPr>
            <w:tcW w:w="794" w:type="dxa"/>
          </w:tcPr>
          <w:p w14:paraId="7F5436C0"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5CC5714A"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i/>
              </w:rPr>
              <w:t>(0.1)</w:t>
            </w:r>
          </w:p>
        </w:tc>
        <w:tc>
          <w:tcPr>
            <w:tcW w:w="794" w:type="dxa"/>
          </w:tcPr>
          <w:p w14:paraId="1D98025F"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i/>
              </w:rPr>
              <w:t>7.6</w:t>
            </w:r>
          </w:p>
        </w:tc>
        <w:tc>
          <w:tcPr>
            <w:tcW w:w="794" w:type="dxa"/>
          </w:tcPr>
          <w:p w14:paraId="6B9FABDC"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i/>
              </w:rPr>
              <w:t>2.8</w:t>
            </w:r>
          </w:p>
        </w:tc>
        <w:tc>
          <w:tcPr>
            <w:tcW w:w="794" w:type="dxa"/>
          </w:tcPr>
          <w:p w14:paraId="6790FD59"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i/>
              </w:rPr>
              <w:t>5.1</w:t>
            </w:r>
          </w:p>
        </w:tc>
        <w:tc>
          <w:tcPr>
            <w:tcW w:w="794" w:type="dxa"/>
          </w:tcPr>
          <w:p w14:paraId="405424DC"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i/>
              </w:rPr>
              <w:t>3.5</w:t>
            </w:r>
          </w:p>
        </w:tc>
      </w:tr>
      <w:tr w:rsidR="00346FC5" w14:paraId="207C91DA"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452E535D" w14:textId="77777777" w:rsidR="00346FC5" w:rsidRDefault="00346FC5" w:rsidP="0098354D">
            <w:r>
              <w:rPr>
                <w:b/>
              </w:rPr>
              <w:t>Expenses from transactions</w:t>
            </w:r>
          </w:p>
        </w:tc>
        <w:tc>
          <w:tcPr>
            <w:tcW w:w="794" w:type="dxa"/>
          </w:tcPr>
          <w:p w14:paraId="1D40F92B"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60A3AD0D"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0232C20A"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704AA5D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7AC90963"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0D7A1B78"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14:paraId="08C43860"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65F42811" w14:textId="77777777" w:rsidR="00346FC5" w:rsidRDefault="00346FC5" w:rsidP="0098354D">
            <w:r>
              <w:t>Employee expenses</w:t>
            </w:r>
          </w:p>
        </w:tc>
        <w:tc>
          <w:tcPr>
            <w:tcW w:w="794" w:type="dxa"/>
          </w:tcPr>
          <w:p w14:paraId="62B20624"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32 239</w:t>
            </w:r>
          </w:p>
        </w:tc>
        <w:tc>
          <w:tcPr>
            <w:tcW w:w="794" w:type="dxa"/>
          </w:tcPr>
          <w:p w14:paraId="62A2777B"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33 850</w:t>
            </w:r>
          </w:p>
        </w:tc>
        <w:tc>
          <w:tcPr>
            <w:tcW w:w="794" w:type="dxa"/>
          </w:tcPr>
          <w:p w14:paraId="0DCE92D0"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35 280</w:t>
            </w:r>
          </w:p>
        </w:tc>
        <w:tc>
          <w:tcPr>
            <w:tcW w:w="794" w:type="dxa"/>
          </w:tcPr>
          <w:p w14:paraId="48E2E2F8"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35 929</w:t>
            </w:r>
          </w:p>
        </w:tc>
        <w:tc>
          <w:tcPr>
            <w:tcW w:w="794" w:type="dxa"/>
          </w:tcPr>
          <w:p w14:paraId="432A20C8"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36 984</w:t>
            </w:r>
          </w:p>
        </w:tc>
        <w:tc>
          <w:tcPr>
            <w:tcW w:w="794" w:type="dxa"/>
          </w:tcPr>
          <w:p w14:paraId="42386695"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38 272</w:t>
            </w:r>
          </w:p>
        </w:tc>
      </w:tr>
      <w:tr w:rsidR="00346FC5" w14:paraId="4C76941F"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6AB370F9" w14:textId="77777777" w:rsidR="00346FC5" w:rsidRDefault="00346FC5" w:rsidP="0098354D">
            <w:r>
              <w:t xml:space="preserve">Superannuation </w:t>
            </w:r>
            <w:r>
              <w:rPr>
                <w:vertAlign w:val="superscript"/>
              </w:rPr>
              <w:t>(c)</w:t>
            </w:r>
          </w:p>
        </w:tc>
        <w:tc>
          <w:tcPr>
            <w:tcW w:w="794" w:type="dxa"/>
          </w:tcPr>
          <w:p w14:paraId="0101DFD8"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4 392</w:t>
            </w:r>
          </w:p>
        </w:tc>
        <w:tc>
          <w:tcPr>
            <w:tcW w:w="794" w:type="dxa"/>
          </w:tcPr>
          <w:p w14:paraId="3FF51DB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4 178</w:t>
            </w:r>
          </w:p>
        </w:tc>
        <w:tc>
          <w:tcPr>
            <w:tcW w:w="794" w:type="dxa"/>
          </w:tcPr>
          <w:p w14:paraId="3981AA75"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4 489</w:t>
            </w:r>
          </w:p>
        </w:tc>
        <w:tc>
          <w:tcPr>
            <w:tcW w:w="794" w:type="dxa"/>
          </w:tcPr>
          <w:p w14:paraId="3E75198E"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4 591</w:t>
            </w:r>
          </w:p>
        </w:tc>
        <w:tc>
          <w:tcPr>
            <w:tcW w:w="794" w:type="dxa"/>
          </w:tcPr>
          <w:p w14:paraId="2D622844"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4 663</w:t>
            </w:r>
          </w:p>
        </w:tc>
        <w:tc>
          <w:tcPr>
            <w:tcW w:w="794" w:type="dxa"/>
          </w:tcPr>
          <w:p w14:paraId="29AF7DB7"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4 851</w:t>
            </w:r>
          </w:p>
        </w:tc>
      </w:tr>
      <w:tr w:rsidR="00346FC5" w14:paraId="0F30E446"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7C1D3D67" w14:textId="77777777" w:rsidR="00346FC5" w:rsidRDefault="00346FC5" w:rsidP="0098354D">
            <w:r>
              <w:t>Depreciation</w:t>
            </w:r>
          </w:p>
        </w:tc>
        <w:tc>
          <w:tcPr>
            <w:tcW w:w="794" w:type="dxa"/>
          </w:tcPr>
          <w:p w14:paraId="08C997F3"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4 308</w:t>
            </w:r>
          </w:p>
        </w:tc>
        <w:tc>
          <w:tcPr>
            <w:tcW w:w="794" w:type="dxa"/>
          </w:tcPr>
          <w:p w14:paraId="38D6FEC0"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4 813</w:t>
            </w:r>
          </w:p>
        </w:tc>
        <w:tc>
          <w:tcPr>
            <w:tcW w:w="794" w:type="dxa"/>
          </w:tcPr>
          <w:p w14:paraId="2AF7CB71"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4 890</w:t>
            </w:r>
          </w:p>
        </w:tc>
        <w:tc>
          <w:tcPr>
            <w:tcW w:w="794" w:type="dxa"/>
          </w:tcPr>
          <w:p w14:paraId="7F4470A9"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5 032</w:t>
            </w:r>
          </w:p>
        </w:tc>
        <w:tc>
          <w:tcPr>
            <w:tcW w:w="794" w:type="dxa"/>
          </w:tcPr>
          <w:p w14:paraId="7FA2EF9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5 342</w:t>
            </w:r>
          </w:p>
        </w:tc>
        <w:tc>
          <w:tcPr>
            <w:tcW w:w="794" w:type="dxa"/>
          </w:tcPr>
          <w:p w14:paraId="28CE58C9"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5 551</w:t>
            </w:r>
          </w:p>
        </w:tc>
      </w:tr>
      <w:tr w:rsidR="00346FC5" w14:paraId="2A93F09F"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61B20F52" w14:textId="77777777" w:rsidR="00346FC5" w:rsidRDefault="00346FC5" w:rsidP="0098354D">
            <w:r>
              <w:t>Interest expense</w:t>
            </w:r>
          </w:p>
        </w:tc>
        <w:tc>
          <w:tcPr>
            <w:tcW w:w="794" w:type="dxa"/>
          </w:tcPr>
          <w:p w14:paraId="070297FB"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2 869</w:t>
            </w:r>
          </w:p>
        </w:tc>
        <w:tc>
          <w:tcPr>
            <w:tcW w:w="794" w:type="dxa"/>
          </w:tcPr>
          <w:p w14:paraId="098D2DD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4 071</w:t>
            </w:r>
          </w:p>
        </w:tc>
        <w:tc>
          <w:tcPr>
            <w:tcW w:w="794" w:type="dxa"/>
          </w:tcPr>
          <w:p w14:paraId="08242052"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5 566</w:t>
            </w:r>
          </w:p>
        </w:tc>
        <w:tc>
          <w:tcPr>
            <w:tcW w:w="794" w:type="dxa"/>
          </w:tcPr>
          <w:p w14:paraId="6CF89864"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6 273</w:t>
            </w:r>
          </w:p>
        </w:tc>
        <w:tc>
          <w:tcPr>
            <w:tcW w:w="794" w:type="dxa"/>
          </w:tcPr>
          <w:p w14:paraId="17FB33C9"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7 150</w:t>
            </w:r>
          </w:p>
        </w:tc>
        <w:tc>
          <w:tcPr>
            <w:tcW w:w="794" w:type="dxa"/>
          </w:tcPr>
          <w:p w14:paraId="1AFE5873"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7 981</w:t>
            </w:r>
          </w:p>
        </w:tc>
      </w:tr>
      <w:tr w:rsidR="00346FC5" w14:paraId="2A2900C6"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0882CA20" w14:textId="77777777" w:rsidR="00346FC5" w:rsidRDefault="00346FC5" w:rsidP="0098354D">
            <w:r>
              <w:t>Grant expense</w:t>
            </w:r>
          </w:p>
        </w:tc>
        <w:tc>
          <w:tcPr>
            <w:tcW w:w="794" w:type="dxa"/>
          </w:tcPr>
          <w:p w14:paraId="1C90D03F"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25 063</w:t>
            </w:r>
          </w:p>
        </w:tc>
        <w:tc>
          <w:tcPr>
            <w:tcW w:w="794" w:type="dxa"/>
          </w:tcPr>
          <w:p w14:paraId="7A91B13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18 992</w:t>
            </w:r>
          </w:p>
        </w:tc>
        <w:tc>
          <w:tcPr>
            <w:tcW w:w="794" w:type="dxa"/>
          </w:tcPr>
          <w:p w14:paraId="42486AE4"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16 962</w:t>
            </w:r>
          </w:p>
        </w:tc>
        <w:tc>
          <w:tcPr>
            <w:tcW w:w="794" w:type="dxa"/>
          </w:tcPr>
          <w:p w14:paraId="6F39737C"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16 209</w:t>
            </w:r>
          </w:p>
        </w:tc>
        <w:tc>
          <w:tcPr>
            <w:tcW w:w="794" w:type="dxa"/>
          </w:tcPr>
          <w:p w14:paraId="0A1040E7"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16 324</w:t>
            </w:r>
          </w:p>
        </w:tc>
        <w:tc>
          <w:tcPr>
            <w:tcW w:w="794" w:type="dxa"/>
          </w:tcPr>
          <w:p w14:paraId="2C96A447"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16 314</w:t>
            </w:r>
          </w:p>
        </w:tc>
      </w:tr>
      <w:tr w:rsidR="00346FC5" w14:paraId="52E0932B"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020F82A0" w14:textId="77777777" w:rsidR="00346FC5" w:rsidRDefault="00346FC5" w:rsidP="0098354D">
            <w:r>
              <w:t>Other operating expenses</w:t>
            </w:r>
          </w:p>
        </w:tc>
        <w:tc>
          <w:tcPr>
            <w:tcW w:w="794" w:type="dxa"/>
            <w:tcBorders>
              <w:bottom w:val="single" w:sz="6" w:space="0" w:color="auto"/>
            </w:tcBorders>
          </w:tcPr>
          <w:p w14:paraId="2812EDAC"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27 943</w:t>
            </w:r>
          </w:p>
        </w:tc>
        <w:tc>
          <w:tcPr>
            <w:tcW w:w="794" w:type="dxa"/>
            <w:tcBorders>
              <w:bottom w:val="single" w:sz="6" w:space="0" w:color="auto"/>
            </w:tcBorders>
          </w:tcPr>
          <w:p w14:paraId="7934A624"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27 373</w:t>
            </w:r>
          </w:p>
        </w:tc>
        <w:tc>
          <w:tcPr>
            <w:tcW w:w="794" w:type="dxa"/>
            <w:tcBorders>
              <w:bottom w:val="single" w:sz="6" w:space="0" w:color="auto"/>
            </w:tcBorders>
          </w:tcPr>
          <w:p w14:paraId="73D6AEEF"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26 091</w:t>
            </w:r>
          </w:p>
        </w:tc>
        <w:tc>
          <w:tcPr>
            <w:tcW w:w="794" w:type="dxa"/>
            <w:tcBorders>
              <w:bottom w:val="single" w:sz="6" w:space="0" w:color="auto"/>
            </w:tcBorders>
          </w:tcPr>
          <w:p w14:paraId="0E01EA68"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24 812</w:t>
            </w:r>
          </w:p>
        </w:tc>
        <w:tc>
          <w:tcPr>
            <w:tcW w:w="794" w:type="dxa"/>
            <w:tcBorders>
              <w:bottom w:val="single" w:sz="6" w:space="0" w:color="auto"/>
            </w:tcBorders>
          </w:tcPr>
          <w:p w14:paraId="7A8A5AB0"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24 989</w:t>
            </w:r>
          </w:p>
        </w:tc>
        <w:tc>
          <w:tcPr>
            <w:tcW w:w="794" w:type="dxa"/>
            <w:tcBorders>
              <w:bottom w:val="single" w:sz="6" w:space="0" w:color="auto"/>
            </w:tcBorders>
          </w:tcPr>
          <w:p w14:paraId="28C61A02"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25 728</w:t>
            </w:r>
          </w:p>
        </w:tc>
      </w:tr>
      <w:tr w:rsidR="00346FC5" w14:paraId="4D4D6E2C"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tcBorders>
          </w:tcPr>
          <w:p w14:paraId="0C7ACDAA" w14:textId="77777777" w:rsidR="00346FC5" w:rsidRDefault="00346FC5" w:rsidP="0098354D">
            <w:r>
              <w:rPr>
                <w:b/>
              </w:rPr>
              <w:t>Total expenses from transactions</w:t>
            </w:r>
          </w:p>
        </w:tc>
        <w:tc>
          <w:tcPr>
            <w:tcW w:w="794" w:type="dxa"/>
            <w:tcBorders>
              <w:top w:val="single" w:sz="6" w:space="0" w:color="auto"/>
            </w:tcBorders>
          </w:tcPr>
          <w:p w14:paraId="5E309B98"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96 814</w:t>
            </w:r>
          </w:p>
        </w:tc>
        <w:tc>
          <w:tcPr>
            <w:tcW w:w="794" w:type="dxa"/>
            <w:tcBorders>
              <w:top w:val="single" w:sz="6" w:space="0" w:color="auto"/>
            </w:tcBorders>
          </w:tcPr>
          <w:p w14:paraId="09CDEFD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93 278</w:t>
            </w:r>
          </w:p>
        </w:tc>
        <w:tc>
          <w:tcPr>
            <w:tcW w:w="794" w:type="dxa"/>
            <w:tcBorders>
              <w:top w:val="single" w:sz="6" w:space="0" w:color="auto"/>
            </w:tcBorders>
          </w:tcPr>
          <w:p w14:paraId="3C76A182"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93 277</w:t>
            </w:r>
          </w:p>
        </w:tc>
        <w:tc>
          <w:tcPr>
            <w:tcW w:w="794" w:type="dxa"/>
            <w:tcBorders>
              <w:top w:val="single" w:sz="6" w:space="0" w:color="auto"/>
            </w:tcBorders>
          </w:tcPr>
          <w:p w14:paraId="2E1EDDFB"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92 846</w:t>
            </w:r>
          </w:p>
        </w:tc>
        <w:tc>
          <w:tcPr>
            <w:tcW w:w="794" w:type="dxa"/>
            <w:tcBorders>
              <w:top w:val="single" w:sz="6" w:space="0" w:color="auto"/>
            </w:tcBorders>
          </w:tcPr>
          <w:p w14:paraId="7136B348"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95 452</w:t>
            </w:r>
          </w:p>
        </w:tc>
        <w:tc>
          <w:tcPr>
            <w:tcW w:w="794" w:type="dxa"/>
            <w:tcBorders>
              <w:top w:val="single" w:sz="6" w:space="0" w:color="auto"/>
            </w:tcBorders>
          </w:tcPr>
          <w:p w14:paraId="5A88CDD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98 697</w:t>
            </w:r>
          </w:p>
        </w:tc>
      </w:tr>
      <w:tr w:rsidR="00346FC5" w14:paraId="09D4A442"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2E886940" w14:textId="77777777" w:rsidR="00346FC5" w:rsidRDefault="00346FC5" w:rsidP="0098354D">
            <w:r>
              <w:rPr>
                <w:i/>
              </w:rPr>
              <w:t>% change</w:t>
            </w:r>
          </w:p>
        </w:tc>
        <w:tc>
          <w:tcPr>
            <w:tcW w:w="794" w:type="dxa"/>
            <w:tcBorders>
              <w:bottom w:val="single" w:sz="6" w:space="0" w:color="auto"/>
            </w:tcBorders>
          </w:tcPr>
          <w:p w14:paraId="423A78DE"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583BB477"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i/>
              </w:rPr>
              <w:t>(3.7)</w:t>
            </w:r>
          </w:p>
        </w:tc>
        <w:tc>
          <w:tcPr>
            <w:tcW w:w="794" w:type="dxa"/>
            <w:tcBorders>
              <w:bottom w:val="single" w:sz="6" w:space="0" w:color="auto"/>
            </w:tcBorders>
          </w:tcPr>
          <w:p w14:paraId="05870E94" w14:textId="77777777" w:rsidR="00346FC5" w:rsidRPr="0054351E" w:rsidRDefault="00346FC5" w:rsidP="0098354D">
            <w:pPr>
              <w:cnfStyle w:val="000000000000" w:firstRow="0" w:lastRow="0" w:firstColumn="0" w:lastColumn="0" w:oddVBand="0" w:evenVBand="0" w:oddHBand="0" w:evenHBand="0" w:firstRowFirstColumn="0" w:firstRowLastColumn="0" w:lastRowFirstColumn="0" w:lastRowLastColumn="0"/>
              <w:rPr>
                <w:i/>
                <w:iCs/>
              </w:rPr>
            </w:pPr>
            <w:r w:rsidRPr="0054351E">
              <w:rPr>
                <w:i/>
                <w:iCs/>
              </w:rPr>
              <w:t>(0.0)</w:t>
            </w:r>
          </w:p>
        </w:tc>
        <w:tc>
          <w:tcPr>
            <w:tcW w:w="794" w:type="dxa"/>
            <w:tcBorders>
              <w:bottom w:val="single" w:sz="6" w:space="0" w:color="auto"/>
            </w:tcBorders>
          </w:tcPr>
          <w:p w14:paraId="2946F2F9"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i/>
              </w:rPr>
              <w:t>(0.5)</w:t>
            </w:r>
          </w:p>
        </w:tc>
        <w:tc>
          <w:tcPr>
            <w:tcW w:w="794" w:type="dxa"/>
            <w:tcBorders>
              <w:bottom w:val="single" w:sz="6" w:space="0" w:color="auto"/>
            </w:tcBorders>
          </w:tcPr>
          <w:p w14:paraId="21E3FE92"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i/>
              </w:rPr>
              <w:t>2.8</w:t>
            </w:r>
          </w:p>
        </w:tc>
        <w:tc>
          <w:tcPr>
            <w:tcW w:w="794" w:type="dxa"/>
            <w:tcBorders>
              <w:bottom w:val="single" w:sz="6" w:space="0" w:color="auto"/>
            </w:tcBorders>
          </w:tcPr>
          <w:p w14:paraId="42A9DEC9"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i/>
              </w:rPr>
              <w:t>3.4</w:t>
            </w:r>
          </w:p>
        </w:tc>
      </w:tr>
      <w:tr w:rsidR="00346FC5" w14:paraId="17F5C203"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6" w:space="0" w:color="auto"/>
            </w:tcBorders>
          </w:tcPr>
          <w:p w14:paraId="3DAE2648" w14:textId="77777777" w:rsidR="00346FC5" w:rsidRDefault="00346FC5" w:rsidP="0098354D">
            <w:r>
              <w:rPr>
                <w:b/>
              </w:rPr>
              <w:t>Net result from transactions – net operating balance</w:t>
            </w:r>
          </w:p>
        </w:tc>
        <w:tc>
          <w:tcPr>
            <w:tcW w:w="794" w:type="dxa"/>
            <w:tcBorders>
              <w:top w:val="single" w:sz="6" w:space="0" w:color="auto"/>
              <w:bottom w:val="single" w:sz="6" w:space="0" w:color="auto"/>
            </w:tcBorders>
          </w:tcPr>
          <w:p w14:paraId="5CFF7BBC"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(13 791)</w:t>
            </w:r>
          </w:p>
        </w:tc>
        <w:tc>
          <w:tcPr>
            <w:tcW w:w="794" w:type="dxa"/>
            <w:tcBorders>
              <w:top w:val="single" w:sz="6" w:space="0" w:color="auto"/>
              <w:bottom w:val="single" w:sz="6" w:space="0" w:color="auto"/>
            </w:tcBorders>
          </w:tcPr>
          <w:p w14:paraId="503AC47F"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(10 326)</w:t>
            </w:r>
          </w:p>
        </w:tc>
        <w:tc>
          <w:tcPr>
            <w:tcW w:w="794" w:type="dxa"/>
            <w:tcBorders>
              <w:top w:val="single" w:sz="6" w:space="0" w:color="auto"/>
              <w:bottom w:val="single" w:sz="6" w:space="0" w:color="auto"/>
            </w:tcBorders>
          </w:tcPr>
          <w:p w14:paraId="799116DF"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(4 017)</w:t>
            </w:r>
          </w:p>
        </w:tc>
        <w:tc>
          <w:tcPr>
            <w:tcW w:w="794" w:type="dxa"/>
            <w:tcBorders>
              <w:top w:val="single" w:sz="6" w:space="0" w:color="auto"/>
              <w:bottom w:val="single" w:sz="6" w:space="0" w:color="auto"/>
            </w:tcBorders>
          </w:tcPr>
          <w:p w14:paraId="4E2767F1"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(1 060)</w:t>
            </w:r>
          </w:p>
        </w:tc>
        <w:tc>
          <w:tcPr>
            <w:tcW w:w="794" w:type="dxa"/>
            <w:tcBorders>
              <w:top w:val="single" w:sz="6" w:space="0" w:color="auto"/>
              <w:bottom w:val="single" w:sz="6" w:space="0" w:color="auto"/>
            </w:tcBorders>
          </w:tcPr>
          <w:p w14:paraId="58CB5700"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1 039</w:t>
            </w:r>
          </w:p>
        </w:tc>
        <w:tc>
          <w:tcPr>
            <w:tcW w:w="794" w:type="dxa"/>
            <w:tcBorders>
              <w:top w:val="single" w:sz="6" w:space="0" w:color="auto"/>
              <w:bottom w:val="single" w:sz="6" w:space="0" w:color="auto"/>
            </w:tcBorders>
          </w:tcPr>
          <w:p w14:paraId="0BD57BA9"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1 204</w:t>
            </w:r>
          </w:p>
        </w:tc>
      </w:tr>
      <w:tr w:rsidR="00346FC5" w14:paraId="7756B8EA"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6" w:space="0" w:color="auto"/>
            </w:tcBorders>
          </w:tcPr>
          <w:p w14:paraId="4A20A8BC" w14:textId="77777777" w:rsidR="00346FC5" w:rsidRDefault="00346FC5" w:rsidP="0098354D">
            <w:r>
              <w:rPr>
                <w:b/>
              </w:rPr>
              <w:t xml:space="preserve">Total other economic flows included in net result </w:t>
            </w:r>
            <w:r>
              <w:rPr>
                <w:b/>
                <w:vertAlign w:val="superscript"/>
              </w:rPr>
              <w:t>(d)</w:t>
            </w:r>
          </w:p>
        </w:tc>
        <w:tc>
          <w:tcPr>
            <w:tcW w:w="794" w:type="dxa"/>
            <w:tcBorders>
              <w:top w:val="single" w:sz="6" w:space="0" w:color="auto"/>
              <w:bottom w:val="single" w:sz="6" w:space="0" w:color="auto"/>
            </w:tcBorders>
          </w:tcPr>
          <w:p w14:paraId="61F5FE40"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290</w:t>
            </w:r>
          </w:p>
        </w:tc>
        <w:tc>
          <w:tcPr>
            <w:tcW w:w="794" w:type="dxa"/>
            <w:tcBorders>
              <w:top w:val="single" w:sz="6" w:space="0" w:color="auto"/>
              <w:bottom w:val="single" w:sz="6" w:space="0" w:color="auto"/>
            </w:tcBorders>
          </w:tcPr>
          <w:p w14:paraId="3527C1CE"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(214)</w:t>
            </w:r>
          </w:p>
        </w:tc>
        <w:tc>
          <w:tcPr>
            <w:tcW w:w="794" w:type="dxa"/>
            <w:tcBorders>
              <w:top w:val="single" w:sz="6" w:space="0" w:color="auto"/>
              <w:bottom w:val="single" w:sz="6" w:space="0" w:color="auto"/>
            </w:tcBorders>
          </w:tcPr>
          <w:p w14:paraId="5142CC88"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(369)</w:t>
            </w:r>
          </w:p>
        </w:tc>
        <w:tc>
          <w:tcPr>
            <w:tcW w:w="794" w:type="dxa"/>
            <w:tcBorders>
              <w:top w:val="single" w:sz="6" w:space="0" w:color="auto"/>
              <w:bottom w:val="single" w:sz="6" w:space="0" w:color="auto"/>
            </w:tcBorders>
          </w:tcPr>
          <w:p w14:paraId="0AAD6F4D"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(306)</w:t>
            </w:r>
          </w:p>
        </w:tc>
        <w:tc>
          <w:tcPr>
            <w:tcW w:w="794" w:type="dxa"/>
            <w:tcBorders>
              <w:top w:val="single" w:sz="6" w:space="0" w:color="auto"/>
              <w:bottom w:val="single" w:sz="6" w:space="0" w:color="auto"/>
            </w:tcBorders>
          </w:tcPr>
          <w:p w14:paraId="3A93940C"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(181)</w:t>
            </w:r>
          </w:p>
        </w:tc>
        <w:tc>
          <w:tcPr>
            <w:tcW w:w="794" w:type="dxa"/>
            <w:tcBorders>
              <w:top w:val="single" w:sz="6" w:space="0" w:color="auto"/>
              <w:bottom w:val="single" w:sz="6" w:space="0" w:color="auto"/>
            </w:tcBorders>
          </w:tcPr>
          <w:p w14:paraId="4AA3573E"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(197)</w:t>
            </w:r>
          </w:p>
        </w:tc>
      </w:tr>
      <w:tr w:rsidR="00346FC5" w14:paraId="482F6373"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12" w:space="0" w:color="auto"/>
            </w:tcBorders>
          </w:tcPr>
          <w:p w14:paraId="5500EF94" w14:textId="77777777" w:rsidR="00346FC5" w:rsidRDefault="00346FC5" w:rsidP="0098354D">
            <w:r>
              <w:rPr>
                <w:b/>
              </w:rPr>
              <w:t>Net result</w:t>
            </w:r>
          </w:p>
        </w:tc>
        <w:tc>
          <w:tcPr>
            <w:tcW w:w="794" w:type="dxa"/>
            <w:tcBorders>
              <w:top w:val="single" w:sz="6" w:space="0" w:color="auto"/>
              <w:bottom w:val="single" w:sz="12" w:space="0" w:color="auto"/>
            </w:tcBorders>
          </w:tcPr>
          <w:p w14:paraId="1FF3E34C"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(13 501)</w:t>
            </w:r>
          </w:p>
        </w:tc>
        <w:tc>
          <w:tcPr>
            <w:tcW w:w="794" w:type="dxa"/>
            <w:tcBorders>
              <w:top w:val="single" w:sz="6" w:space="0" w:color="auto"/>
              <w:bottom w:val="single" w:sz="12" w:space="0" w:color="auto"/>
            </w:tcBorders>
          </w:tcPr>
          <w:p w14:paraId="6A63AEFA"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(10 541)</w:t>
            </w:r>
          </w:p>
        </w:tc>
        <w:tc>
          <w:tcPr>
            <w:tcW w:w="794" w:type="dxa"/>
            <w:tcBorders>
              <w:top w:val="single" w:sz="6" w:space="0" w:color="auto"/>
              <w:bottom w:val="single" w:sz="12" w:space="0" w:color="auto"/>
            </w:tcBorders>
          </w:tcPr>
          <w:p w14:paraId="0D3C9AE5"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(4 387)</w:t>
            </w:r>
          </w:p>
        </w:tc>
        <w:tc>
          <w:tcPr>
            <w:tcW w:w="794" w:type="dxa"/>
            <w:tcBorders>
              <w:top w:val="single" w:sz="6" w:space="0" w:color="auto"/>
              <w:bottom w:val="single" w:sz="12" w:space="0" w:color="auto"/>
            </w:tcBorders>
          </w:tcPr>
          <w:p w14:paraId="690EF025"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(1 366)</w:t>
            </w:r>
          </w:p>
        </w:tc>
        <w:tc>
          <w:tcPr>
            <w:tcW w:w="794" w:type="dxa"/>
            <w:tcBorders>
              <w:top w:val="single" w:sz="6" w:space="0" w:color="auto"/>
              <w:bottom w:val="single" w:sz="12" w:space="0" w:color="auto"/>
            </w:tcBorders>
          </w:tcPr>
          <w:p w14:paraId="7D1FBB0A"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858</w:t>
            </w:r>
          </w:p>
        </w:tc>
        <w:tc>
          <w:tcPr>
            <w:tcW w:w="794" w:type="dxa"/>
            <w:tcBorders>
              <w:top w:val="single" w:sz="6" w:space="0" w:color="auto"/>
              <w:bottom w:val="single" w:sz="12" w:space="0" w:color="auto"/>
            </w:tcBorders>
          </w:tcPr>
          <w:p w14:paraId="45577BA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1 007</w:t>
            </w:r>
          </w:p>
        </w:tc>
      </w:tr>
    </w:tbl>
    <w:p w14:paraId="5D070BF1" w14:textId="77777777" w:rsidR="00346FC5" w:rsidRDefault="00346FC5" w:rsidP="00346FC5">
      <w:pPr>
        <w:pStyle w:val="Note"/>
      </w:pPr>
      <w:r>
        <w:t>Notes:</w:t>
      </w:r>
    </w:p>
    <w:p w14:paraId="7261FC3B" w14:textId="77777777" w:rsidR="00346FC5" w:rsidRDefault="00346FC5" w:rsidP="00346FC5">
      <w:pPr>
        <w:pStyle w:val="Note"/>
      </w:pPr>
      <w:r>
        <w:t xml:space="preserve">(a) </w:t>
      </w:r>
      <w:r>
        <w:tab/>
        <w:t>Figures in this table are subject to rounding to the nearest million and may not add up to totals.</w:t>
      </w:r>
    </w:p>
    <w:p w14:paraId="341661EA" w14:textId="77777777" w:rsidR="00346FC5" w:rsidRDefault="00346FC5" w:rsidP="00346FC5">
      <w:pPr>
        <w:pStyle w:val="Note"/>
      </w:pPr>
      <w:r>
        <w:t>(b)</w:t>
      </w:r>
      <w:r>
        <w:tab/>
        <w:t>Comprises dividends, income tax and rate equivalent revenue and interest.</w:t>
      </w:r>
    </w:p>
    <w:p w14:paraId="59B718DC" w14:textId="77777777" w:rsidR="00346FC5" w:rsidRDefault="00346FC5" w:rsidP="00346FC5">
      <w:pPr>
        <w:pStyle w:val="Note"/>
      </w:pPr>
      <w:r>
        <w:t>(c)</w:t>
      </w:r>
      <w:r>
        <w:tab/>
        <w:t>Comprises superannuation interest expense and other superannuation expenses.</w:t>
      </w:r>
    </w:p>
    <w:p w14:paraId="60419B5E" w14:textId="77777777" w:rsidR="00346FC5" w:rsidRDefault="00346FC5" w:rsidP="00346FC5">
      <w:pPr>
        <w:pStyle w:val="Note"/>
      </w:pPr>
      <w:r>
        <w:t>(d)</w:t>
      </w:r>
      <w:r>
        <w:tab/>
        <w:t>This typically includes gains and losses from the disposal of non-financial assets, adjustments for bad and doubtful debts and revaluations of financial assets and liabilities.</w:t>
      </w:r>
    </w:p>
    <w:p w14:paraId="4FF2511F" w14:textId="77777777" w:rsidR="00346FC5" w:rsidRDefault="00346FC5" w:rsidP="00346FC5">
      <w:pPr>
        <w:keepLines w:val="0"/>
        <w:rPr>
          <w:rFonts w:asciiTheme="majorHAnsi" w:eastAsiaTheme="majorEastAsia" w:hAnsiTheme="majorHAnsi" w:cstheme="majorBidi"/>
          <w:b/>
          <w:sz w:val="27"/>
          <w:szCs w:val="26"/>
        </w:rPr>
      </w:pPr>
      <w:r>
        <w:br w:type="page"/>
      </w:r>
    </w:p>
    <w:p w14:paraId="1E1EE24A" w14:textId="77777777" w:rsidR="00346FC5" w:rsidRDefault="00346FC5" w:rsidP="00346FC5">
      <w:pPr>
        <w:pStyle w:val="Heading20"/>
      </w:pPr>
      <w:r>
        <w:t>Revenue outlook</w:t>
      </w:r>
    </w:p>
    <w:p w14:paraId="21DBE410" w14:textId="77777777" w:rsidR="00346FC5" w:rsidRPr="00152891" w:rsidRDefault="00346FC5" w:rsidP="00346FC5">
      <w:r w:rsidRPr="00152891">
        <w:t xml:space="preserve">Total revenue for the general government sector is forecast to </w:t>
      </w:r>
      <w:r>
        <w:t>reach $83.0 billion in 2022</w:t>
      </w:r>
      <w:r>
        <w:noBreakHyphen/>
        <w:t xml:space="preserve">23 before </w:t>
      </w:r>
      <w:r w:rsidRPr="00152891">
        <w:t>increas</w:t>
      </w:r>
      <w:r>
        <w:t>ing</w:t>
      </w:r>
      <w:r w:rsidRPr="00152891">
        <w:t xml:space="preserve"> by 7.</w:t>
      </w:r>
      <w:r>
        <w:t>6</w:t>
      </w:r>
      <w:r w:rsidRPr="00152891">
        <w:t xml:space="preserve"> per cent to $89.3 billion in 2023-24. </w:t>
      </w:r>
      <w:r>
        <w:t xml:space="preserve">This higher growth in 2023-24 includes the introduction of the </w:t>
      </w:r>
      <w:r w:rsidRPr="19F05D23">
        <w:t xml:space="preserve">new </w:t>
      </w:r>
      <w:r w:rsidRPr="00B432D8">
        <w:t>COVID Debt Levy</w:t>
      </w:r>
      <w:r>
        <w:rPr>
          <w:sz w:val="23"/>
          <w:szCs w:val="23"/>
        </w:rPr>
        <w:t xml:space="preserve">. </w:t>
      </w:r>
      <w:r w:rsidRPr="00152891">
        <w:t xml:space="preserve">Total revenue is </w:t>
      </w:r>
      <w:r>
        <w:t xml:space="preserve">then </w:t>
      </w:r>
      <w:r w:rsidRPr="00152891">
        <w:t>expected to grow by an average of 3.</w:t>
      </w:r>
      <w:r>
        <w:t>8</w:t>
      </w:r>
      <w:r w:rsidRPr="00152891">
        <w:t xml:space="preserve"> per cent per year over the forward estimates</w:t>
      </w:r>
      <w:r>
        <w:t>,</w:t>
      </w:r>
      <w:r w:rsidRPr="005F105C">
        <w:rPr>
          <w:color w:val="000000" w:themeColor="text1"/>
        </w:rPr>
        <w:t xml:space="preserve"> </w:t>
      </w:r>
      <w:r w:rsidRPr="0084084C">
        <w:rPr>
          <w:color w:val="000000" w:themeColor="text1"/>
        </w:rPr>
        <w:t xml:space="preserve">reaching </w:t>
      </w:r>
      <w:r w:rsidRPr="00BE77D8">
        <w:rPr>
          <w:color w:val="000000" w:themeColor="text1"/>
        </w:rPr>
        <w:t>$</w:t>
      </w:r>
      <w:r>
        <w:rPr>
          <w:color w:val="000000" w:themeColor="text1"/>
        </w:rPr>
        <w:t>99.9</w:t>
      </w:r>
      <w:r w:rsidRPr="00BE77D8">
        <w:rPr>
          <w:color w:val="000000" w:themeColor="text1"/>
        </w:rPr>
        <w:t> billion</w:t>
      </w:r>
      <w:r w:rsidRPr="00EC3646">
        <w:rPr>
          <w:color w:val="000000" w:themeColor="text1"/>
        </w:rPr>
        <w:t xml:space="preserve"> in 202</w:t>
      </w:r>
      <w:r>
        <w:rPr>
          <w:color w:val="000000" w:themeColor="text1"/>
        </w:rPr>
        <w:t>6</w:t>
      </w:r>
      <w:r w:rsidRPr="00EC3646">
        <w:rPr>
          <w:color w:val="000000" w:themeColor="text1"/>
        </w:rPr>
        <w:noBreakHyphen/>
        <w:t>2</w:t>
      </w:r>
      <w:r>
        <w:rPr>
          <w:color w:val="000000" w:themeColor="text1"/>
        </w:rPr>
        <w:t>7</w:t>
      </w:r>
      <w:r w:rsidRPr="00152891">
        <w:t>.</w:t>
      </w:r>
    </w:p>
    <w:p w14:paraId="0BC8EF9D" w14:textId="77777777" w:rsidR="00346FC5" w:rsidRDefault="00346FC5" w:rsidP="00346FC5">
      <w:pPr>
        <w:pStyle w:val="Heading30"/>
      </w:pPr>
      <w:r>
        <w:t>Taxation</w:t>
      </w:r>
    </w:p>
    <w:p w14:paraId="369D1D8C" w14:textId="77777777" w:rsidR="00346FC5" w:rsidRPr="006C3D76" w:rsidRDefault="00346FC5" w:rsidP="00346FC5">
      <w:r w:rsidRPr="006C3D76">
        <w:t>Taxation revenue is forecast to</w:t>
      </w:r>
      <w:r>
        <w:t xml:space="preserve"> be $34.9 billion in</w:t>
      </w:r>
      <w:r w:rsidRPr="006C3D76">
        <w:t xml:space="preserve"> 2023-24 and grow by an average of 5.0</w:t>
      </w:r>
      <w:r w:rsidRPr="006C3D76">
        <w:rPr>
          <w:rFonts w:ascii="Times New Roman" w:hAnsi="Times New Roman" w:cs="Times New Roman"/>
        </w:rPr>
        <w:t> </w:t>
      </w:r>
      <w:r w:rsidRPr="006C3D76">
        <w:t xml:space="preserve">per cent per year over the forward estimates. </w:t>
      </w:r>
      <w:r w:rsidRPr="00B432D8">
        <w:t>Growth in taxation revenue is primarily driven by growth in the state’s three largest tax lines – payroll tax, land tax and land transfer duty</w:t>
      </w:r>
      <w:r w:rsidRPr="006C3D76">
        <w:t>.</w:t>
      </w:r>
    </w:p>
    <w:p w14:paraId="44835096" w14:textId="17C360C2" w:rsidR="00346FC5" w:rsidRPr="006C3D76" w:rsidRDefault="00346FC5" w:rsidP="007B1F83">
      <w:pPr>
        <w:pStyle w:val="ListBullet"/>
      </w:pPr>
      <w:r w:rsidRPr="006C3D76">
        <w:t xml:space="preserve">Revenue from payroll tax </w:t>
      </w:r>
      <w:r w:rsidRPr="00D927DB">
        <w:t xml:space="preserve">is expected to </w:t>
      </w:r>
      <w:r>
        <w:t>be</w:t>
      </w:r>
      <w:r w:rsidRPr="00D927DB">
        <w:t xml:space="preserve"> $</w:t>
      </w:r>
      <w:r>
        <w:t>8.0</w:t>
      </w:r>
      <w:r w:rsidRPr="00D927DB">
        <w:t xml:space="preserve"> billion in 2023-24</w:t>
      </w:r>
      <w:r>
        <w:t xml:space="preserve">, then increase </w:t>
      </w:r>
      <w:r w:rsidRPr="00D927DB">
        <w:t>by an</w:t>
      </w:r>
      <w:r w:rsidR="0033262F">
        <w:t> </w:t>
      </w:r>
      <w:r w:rsidRPr="00D927DB">
        <w:t>average of 4.</w:t>
      </w:r>
      <w:r>
        <w:t>6</w:t>
      </w:r>
      <w:r w:rsidRPr="00D927DB">
        <w:t xml:space="preserve"> per cent per year over the forward estimates. Victoria’s payroll</w:t>
      </w:r>
      <w:r w:rsidRPr="006C3D76">
        <w:t xml:space="preserve"> tax revenue forecast has been revised up compared </w:t>
      </w:r>
      <w:r>
        <w:t>with</w:t>
      </w:r>
      <w:r w:rsidRPr="006C3D76">
        <w:t xml:space="preserve"> </w:t>
      </w:r>
      <w:r>
        <w:t>PEBU</w:t>
      </w:r>
      <w:r w:rsidRPr="006C3D76">
        <w:t xml:space="preserve">, largely driven by a stronger outlook for the Victorian labour market, with </w:t>
      </w:r>
      <w:r w:rsidRPr="000A4B63">
        <w:t>the share of working-age Victorians</w:t>
      </w:r>
      <w:r w:rsidRPr="006C3D76">
        <w:t xml:space="preserve"> in </w:t>
      </w:r>
      <w:r w:rsidRPr="000A4B63">
        <w:t>employment rising to around record high levels.</w:t>
      </w:r>
      <w:r w:rsidRPr="006C3D76">
        <w:t xml:space="preserve"> The conclusion of the New Jobs Tax Credits initiative in 2023-24</w:t>
      </w:r>
      <w:r w:rsidRPr="000149FE">
        <w:t xml:space="preserve"> contributes to a subsequent increase in payroll tax revenue</w:t>
      </w:r>
      <w:r w:rsidRPr="006C3D76">
        <w:t>.</w:t>
      </w:r>
    </w:p>
    <w:p w14:paraId="7CB76454" w14:textId="77777777" w:rsidR="00346FC5" w:rsidRPr="006C3D76" w:rsidRDefault="00346FC5" w:rsidP="007B1F83">
      <w:pPr>
        <w:pStyle w:val="ListBullet"/>
        <w:numPr>
          <w:ilvl w:val="0"/>
          <w:numId w:val="19"/>
        </w:numPr>
        <w:tabs>
          <w:tab w:val="clear" w:pos="720"/>
        </w:tabs>
        <w:ind w:left="340" w:hanging="340"/>
      </w:pPr>
      <w:r w:rsidRPr="006C3D76">
        <w:t xml:space="preserve">Revenue from land tax is expected to </w:t>
      </w:r>
      <w:r>
        <w:t>be</w:t>
      </w:r>
      <w:r w:rsidRPr="00D923D9">
        <w:t xml:space="preserve"> $6.1</w:t>
      </w:r>
      <w:r w:rsidRPr="00D923D9">
        <w:rPr>
          <w:rFonts w:ascii="Times New Roman" w:hAnsi="Times New Roman" w:cs="Times New Roman"/>
        </w:rPr>
        <w:t> </w:t>
      </w:r>
      <w:r w:rsidRPr="00D923D9">
        <w:t>billion in 2023-24</w:t>
      </w:r>
      <w:r>
        <w:t xml:space="preserve"> and</w:t>
      </w:r>
      <w:r w:rsidRPr="00D923D9">
        <w:t xml:space="preserve"> grow by an average of 3.</w:t>
      </w:r>
      <w:r>
        <w:t>7</w:t>
      </w:r>
      <w:r w:rsidRPr="00D923D9">
        <w:t xml:space="preserve"> per cent per year over the forward estimates. This reflects </w:t>
      </w:r>
      <w:r>
        <w:t>an</w:t>
      </w:r>
      <w:r w:rsidRPr="00D923D9">
        <w:t xml:space="preserve"> expected moderation</w:t>
      </w:r>
      <w:r w:rsidRPr="006C3D76">
        <w:t xml:space="preserve"> in </w:t>
      </w:r>
      <w:r>
        <w:t xml:space="preserve">the </w:t>
      </w:r>
      <w:r w:rsidRPr="006C3D76">
        <w:t>growth of land values, consistent with the dampening effects of monetary policy decisions on dwelling prices in 2022.</w:t>
      </w:r>
    </w:p>
    <w:p w14:paraId="2290E28E" w14:textId="32ABB5C5" w:rsidR="00346FC5" w:rsidRPr="006C3D76" w:rsidRDefault="00346FC5" w:rsidP="007B1F83">
      <w:pPr>
        <w:pStyle w:val="ListBullet"/>
        <w:numPr>
          <w:ilvl w:val="0"/>
          <w:numId w:val="19"/>
        </w:numPr>
        <w:tabs>
          <w:tab w:val="clear" w:pos="720"/>
        </w:tabs>
        <w:ind w:left="340" w:hanging="340"/>
      </w:pPr>
      <w:r w:rsidRPr="006C3D76">
        <w:t xml:space="preserve">Revenue from land transfer duty is forecast to </w:t>
      </w:r>
      <w:r>
        <w:t>be</w:t>
      </w:r>
      <w:r w:rsidRPr="006C3D76">
        <w:t xml:space="preserve"> $7.4 billion in 2023</w:t>
      </w:r>
      <w:r>
        <w:t>-</w:t>
      </w:r>
      <w:r w:rsidRPr="006C3D76">
        <w:t>24, following a</w:t>
      </w:r>
      <w:r w:rsidR="0033262F">
        <w:t> </w:t>
      </w:r>
      <w:r w:rsidRPr="006C3D76">
        <w:t>decline of 20.</w:t>
      </w:r>
      <w:r>
        <w:t>7 per cent</w:t>
      </w:r>
      <w:r w:rsidRPr="006C3D76">
        <w:t xml:space="preserve"> in 2022-23. The decline in revenue is driven by falling settlement volumes which are impacted by higher borrowing costs and subdued sentiment. </w:t>
      </w:r>
      <w:r w:rsidRPr="00AC61AE">
        <w:t xml:space="preserve">Victorian dwelling prices are expected to decline over 2023 before resuming growth in 2024, </w:t>
      </w:r>
      <w:r>
        <w:t>with</w:t>
      </w:r>
      <w:r w:rsidRPr="006C3D76">
        <w:t xml:space="preserve"> </w:t>
      </w:r>
      <w:r>
        <w:t xml:space="preserve">land transfer duty </w:t>
      </w:r>
      <w:r w:rsidRPr="006C3D76">
        <w:t>revenue forecast to increase by an average of 8.4</w:t>
      </w:r>
      <w:r w:rsidRPr="006348F9">
        <w:rPr>
          <w:rFonts w:ascii="Times New Roman" w:hAnsi="Times New Roman" w:cs="Times New Roman"/>
        </w:rPr>
        <w:t> </w:t>
      </w:r>
      <w:r w:rsidRPr="006C3D76">
        <w:t>per cent per year over the forward estimates.</w:t>
      </w:r>
    </w:p>
    <w:p w14:paraId="2B5014C3" w14:textId="77777777" w:rsidR="00346FC5" w:rsidRDefault="00346FC5" w:rsidP="007B1F83">
      <w:pPr>
        <w:pStyle w:val="ListBullet"/>
        <w:numPr>
          <w:ilvl w:val="0"/>
          <w:numId w:val="19"/>
        </w:numPr>
        <w:tabs>
          <w:tab w:val="clear" w:pos="720"/>
        </w:tabs>
        <w:ind w:left="340" w:hanging="340"/>
      </w:pPr>
      <w:r w:rsidRPr="006C3D76">
        <w:t>Revenue from</w:t>
      </w:r>
      <w:r>
        <w:t xml:space="preserve"> the </w:t>
      </w:r>
      <w:r w:rsidRPr="006C3D76">
        <w:t xml:space="preserve">COVID </w:t>
      </w:r>
      <w:r w:rsidRPr="00B432D8">
        <w:t>Debt Levy</w:t>
      </w:r>
      <w:r w:rsidRPr="001E2A52">
        <w:t xml:space="preserve"> </w:t>
      </w:r>
      <w:r w:rsidRPr="00D927DB">
        <w:t>is e</w:t>
      </w:r>
      <w:r>
        <w:t>stimated</w:t>
      </w:r>
      <w:r w:rsidRPr="00D927DB">
        <w:t xml:space="preserve"> to </w:t>
      </w:r>
      <w:r>
        <w:t>be</w:t>
      </w:r>
      <w:r w:rsidRPr="00D927DB">
        <w:t xml:space="preserve"> $</w:t>
      </w:r>
      <w:r>
        <w:t>2.0</w:t>
      </w:r>
      <w:r w:rsidRPr="00D927DB">
        <w:t xml:space="preserve"> billion in 2023-24</w:t>
      </w:r>
      <w:r w:rsidRPr="005568E8">
        <w:t xml:space="preserve"> </w:t>
      </w:r>
      <w:r w:rsidRPr="006C3D76">
        <w:t xml:space="preserve">and grow by an average of </w:t>
      </w:r>
      <w:r>
        <w:t>4.9 </w:t>
      </w:r>
      <w:r w:rsidRPr="006C3D76">
        <w:t xml:space="preserve">per cent per year </w:t>
      </w:r>
      <w:r w:rsidRPr="00D927DB">
        <w:t>over the forward estimates</w:t>
      </w:r>
      <w:r>
        <w:t xml:space="preserve"> to $2.3 billion in 2026-27. The Levy has two components:</w:t>
      </w:r>
    </w:p>
    <w:p w14:paraId="3A395901" w14:textId="77777777" w:rsidR="00346FC5" w:rsidRDefault="00346FC5" w:rsidP="007B1F83">
      <w:pPr>
        <w:pStyle w:val="ListBullet2"/>
      </w:pPr>
      <w:r w:rsidRPr="006C3D76">
        <w:t>from 1 July 2023</w:t>
      </w:r>
      <w:r>
        <w:t xml:space="preserve">, </w:t>
      </w:r>
      <w:r w:rsidRPr="006C3D76">
        <w:t>businesses with national payrolls above $10</w:t>
      </w:r>
      <w:r>
        <w:t xml:space="preserve"> </w:t>
      </w:r>
      <w:r w:rsidRPr="006C3D76">
        <w:t>million a year</w:t>
      </w:r>
      <w:r>
        <w:t xml:space="preserve"> will pay additional payroll tax</w:t>
      </w:r>
    </w:p>
    <w:p w14:paraId="45183EE0" w14:textId="77777777" w:rsidR="00346FC5" w:rsidRDefault="00346FC5" w:rsidP="007B1F83">
      <w:pPr>
        <w:pStyle w:val="ListBullet2"/>
      </w:pPr>
      <w:r w:rsidRPr="006C3D76">
        <w:t>from 1 January 2024</w:t>
      </w:r>
      <w:r>
        <w:t xml:space="preserve">, </w:t>
      </w:r>
      <w:r w:rsidRPr="001A78A8">
        <w:t>the</w:t>
      </w:r>
      <w:r w:rsidRPr="001A78A8" w:rsidDel="003C107C">
        <w:t xml:space="preserve"> </w:t>
      </w:r>
      <w:r w:rsidRPr="001A78A8">
        <w:t xml:space="preserve">tax-free threshold </w:t>
      </w:r>
      <w:r>
        <w:t xml:space="preserve">for general land tax rates will decrease, while </w:t>
      </w:r>
      <w:r w:rsidRPr="001A78A8">
        <w:t xml:space="preserve">fixed charges and </w:t>
      </w:r>
      <w:r>
        <w:t xml:space="preserve">land tax </w:t>
      </w:r>
      <w:r w:rsidRPr="001A78A8">
        <w:t>rates</w:t>
      </w:r>
      <w:r>
        <w:t xml:space="preserve"> will also be adjusted. </w:t>
      </w:r>
    </w:p>
    <w:p w14:paraId="4E30E41A" w14:textId="77777777" w:rsidR="00346FC5" w:rsidRPr="006C3D76" w:rsidRDefault="00346FC5" w:rsidP="00346FC5">
      <w:pPr>
        <w:pStyle w:val="ListBullet2"/>
        <w:numPr>
          <w:ilvl w:val="0"/>
          <w:numId w:val="0"/>
        </w:numPr>
        <w:ind w:left="340"/>
      </w:pPr>
      <w:r w:rsidRPr="00F777FD">
        <w:t xml:space="preserve">The COVID Debt Levy will end on 30 June 2033. </w:t>
      </w:r>
      <w:r>
        <w:t xml:space="preserve">Budget Paper No. 3, Chapter 1 </w:t>
      </w:r>
      <w:r w:rsidRPr="00BA2E29">
        <w:rPr>
          <w:i/>
          <w:iCs/>
        </w:rPr>
        <w:t>Output, asset investment, savings and revenue initiatives</w:t>
      </w:r>
      <w:r w:rsidRPr="00D34C9D">
        <w:t xml:space="preserve"> </w:t>
      </w:r>
      <w:r>
        <w:t>contains further details on the components of the Levy.</w:t>
      </w:r>
    </w:p>
    <w:p w14:paraId="44AB9349" w14:textId="77777777" w:rsidR="00346FC5" w:rsidRPr="006C3D76" w:rsidRDefault="00346FC5" w:rsidP="007B1F83">
      <w:pPr>
        <w:pStyle w:val="ListBullet"/>
      </w:pPr>
      <w:r w:rsidRPr="006C3D76">
        <w:t xml:space="preserve">Revenue from the Mental Health and Wellbeing Levy is </w:t>
      </w:r>
      <w:r w:rsidRPr="009432E0">
        <w:t>estimated to be $9</w:t>
      </w:r>
      <w:r>
        <w:t>12</w:t>
      </w:r>
      <w:r w:rsidRPr="009432E0">
        <w:t xml:space="preserve"> million in 2023-24 and is expected to grow </w:t>
      </w:r>
      <w:r>
        <w:t>by</w:t>
      </w:r>
      <w:r w:rsidRPr="009432E0">
        <w:t xml:space="preserve"> an average </w:t>
      </w:r>
      <w:r w:rsidRPr="006C3D76">
        <w:t>of 5.</w:t>
      </w:r>
      <w:r>
        <w:t>5</w:t>
      </w:r>
      <w:r w:rsidRPr="006C3D76">
        <w:t xml:space="preserve"> per cent </w:t>
      </w:r>
      <w:r>
        <w:t xml:space="preserve">per year </w:t>
      </w:r>
      <w:r w:rsidRPr="006C3D76">
        <w:t xml:space="preserve">over the forward estimates, </w:t>
      </w:r>
      <w:r>
        <w:t xml:space="preserve">broadly </w:t>
      </w:r>
      <w:r w:rsidRPr="006C3D76">
        <w:t>in line with expected growth in the payroll tax base.</w:t>
      </w:r>
    </w:p>
    <w:p w14:paraId="053E2932" w14:textId="77777777" w:rsidR="00346FC5" w:rsidRPr="006C3D76" w:rsidRDefault="00346FC5" w:rsidP="00AA26D0">
      <w:pPr>
        <w:pStyle w:val="ListBullet"/>
        <w:keepNext/>
        <w:ind w:left="346" w:hanging="346"/>
      </w:pPr>
      <w:r w:rsidRPr="006C3D76">
        <w:t xml:space="preserve">Revenue from gambling taxes is forecast to </w:t>
      </w:r>
      <w:r>
        <w:t>be</w:t>
      </w:r>
      <w:r w:rsidRPr="00D923D9">
        <w:t xml:space="preserve"> $2.6 billion in 2023-24</w:t>
      </w:r>
      <w:r>
        <w:t xml:space="preserve"> and</w:t>
      </w:r>
      <w:r w:rsidRPr="00D923D9">
        <w:t xml:space="preserve"> grow by an average of </w:t>
      </w:r>
      <w:r>
        <w:t>4</w:t>
      </w:r>
      <w:r w:rsidRPr="00D923D9">
        <w:t>.8 per cent per year over the forward estimates.</w:t>
      </w:r>
    </w:p>
    <w:p w14:paraId="3CBF1631" w14:textId="77777777" w:rsidR="00346FC5" w:rsidRPr="006C3D76" w:rsidRDefault="00346FC5" w:rsidP="007B1F83">
      <w:pPr>
        <w:pStyle w:val="ListBullet"/>
      </w:pPr>
      <w:r w:rsidRPr="006C3D76">
        <w:t xml:space="preserve">Revenue from motor vehicle taxes is expected to </w:t>
      </w:r>
      <w:r>
        <w:t>be</w:t>
      </w:r>
      <w:r w:rsidRPr="006C3D76">
        <w:t xml:space="preserve"> $3.</w:t>
      </w:r>
      <w:r>
        <w:t>4</w:t>
      </w:r>
      <w:r w:rsidRPr="006C3D76">
        <w:t xml:space="preserve"> billion in 2023</w:t>
      </w:r>
      <w:r>
        <w:t>-</w:t>
      </w:r>
      <w:r w:rsidRPr="006C3D76">
        <w:t xml:space="preserve">24, reflecting </w:t>
      </w:r>
      <w:r w:rsidRPr="00AB6862">
        <w:t xml:space="preserve">indexation of </w:t>
      </w:r>
      <w:r w:rsidRPr="006C3D76">
        <w:t xml:space="preserve">registration fees and </w:t>
      </w:r>
      <w:r w:rsidRPr="00AB6862">
        <w:t>growth in</w:t>
      </w:r>
      <w:r>
        <w:t xml:space="preserve"> </w:t>
      </w:r>
      <w:r w:rsidRPr="006C3D76">
        <w:t>new car prices. Revenue from motor vehicle taxes is forecast to increase by 5.2 per cent per year over the forward estimates.</w:t>
      </w:r>
    </w:p>
    <w:p w14:paraId="09C32408" w14:textId="77777777" w:rsidR="00346FC5" w:rsidRDefault="00346FC5" w:rsidP="007B1F83">
      <w:pPr>
        <w:pStyle w:val="ListBullet"/>
      </w:pPr>
      <w:r w:rsidRPr="006C3D76">
        <w:t xml:space="preserve">Revenue from insurance taxes is expected to </w:t>
      </w:r>
      <w:r>
        <w:t>be</w:t>
      </w:r>
      <w:r w:rsidRPr="006C3D76">
        <w:t xml:space="preserve"> $2</w:t>
      </w:r>
      <w:r>
        <w:t>.0</w:t>
      </w:r>
      <w:r w:rsidRPr="006C3D76">
        <w:t xml:space="preserve"> billion in 2023-24, largely driven by growth in insurance premiums. Insurance tax is expected to grow </w:t>
      </w:r>
      <w:r>
        <w:t>by</w:t>
      </w:r>
      <w:r w:rsidRPr="006C3D76">
        <w:t xml:space="preserve"> </w:t>
      </w:r>
      <w:r>
        <w:t xml:space="preserve">an </w:t>
      </w:r>
      <w:r w:rsidRPr="006C3D76">
        <w:t xml:space="preserve">average of </w:t>
      </w:r>
      <w:r>
        <w:t>2.9</w:t>
      </w:r>
      <w:r w:rsidRPr="006C3D76">
        <w:t xml:space="preserve"> per cent per year over the forward estimates.</w:t>
      </w:r>
    </w:p>
    <w:p w14:paraId="1E49EC4C" w14:textId="77777777" w:rsidR="00346FC5" w:rsidRDefault="00346FC5" w:rsidP="00346FC5">
      <w:pPr>
        <w:pStyle w:val="Heading30"/>
      </w:pPr>
      <w:r>
        <w:t>Dividends, income tax equivalent and interest</w:t>
      </w:r>
    </w:p>
    <w:p w14:paraId="14FAEB97" w14:textId="77777777" w:rsidR="00346FC5" w:rsidRDefault="00346FC5" w:rsidP="00346FC5">
      <w:pPr>
        <w:keepNext/>
      </w:pPr>
      <w:r>
        <w:t>Dividends and income tax equivalent revenue is projected to be $1.3 billion in 2023-24 and reduce to $1.2 billion by 2026-27.</w:t>
      </w:r>
      <w:r w:rsidRPr="003D2A3B">
        <w:t xml:space="preserve"> </w:t>
      </w:r>
    </w:p>
    <w:p w14:paraId="792CBA5F" w14:textId="77777777" w:rsidR="00346FC5" w:rsidRDefault="00346FC5" w:rsidP="00346FC5">
      <w:r>
        <w:t xml:space="preserve">Note 1.2.2 of Budget Paper No. 5, Chapter 1 </w:t>
      </w:r>
      <w:r w:rsidRPr="00A751CD">
        <w:rPr>
          <w:i/>
          <w:iCs/>
        </w:rPr>
        <w:t>Estimated Financial Statements for the general government sector</w:t>
      </w:r>
      <w:r>
        <w:t xml:space="preserve"> contains further details of dividends and income tax equivalent revenue by sector.</w:t>
      </w:r>
    </w:p>
    <w:p w14:paraId="43F6C965" w14:textId="6A040E66" w:rsidR="00346FC5" w:rsidRDefault="00346FC5" w:rsidP="0033262F">
      <w:pPr>
        <w:ind w:right="151"/>
      </w:pPr>
      <w:r>
        <w:t xml:space="preserve">Interest revenue is received on the cash and deposits held by the Government. Total interest is expected to increase to $1.6 billion in 2023-24 due to the higher </w:t>
      </w:r>
      <w:r w:rsidRPr="00657E83">
        <w:t>surplus estimated to be maintained</w:t>
      </w:r>
      <w:r>
        <w:t xml:space="preserve"> in the Centralised Banking System (CBS) before the Victorian Future Fund </w:t>
      </w:r>
      <w:r w:rsidRPr="00A7294F">
        <w:t>is invested through the Victorian Funds Management Corporation (VFMC)</w:t>
      </w:r>
      <w:r>
        <w:t xml:space="preserve"> during that year. Interest revenue is then forecast to moderate to</w:t>
      </w:r>
      <w:r w:rsidR="0033262F">
        <w:t> </w:t>
      </w:r>
      <w:r>
        <w:t>$1.1 billion by 2026-27.</w:t>
      </w:r>
    </w:p>
    <w:p w14:paraId="6D98FD55" w14:textId="77777777" w:rsidR="00346FC5" w:rsidRDefault="00346FC5" w:rsidP="00346FC5">
      <w:pPr>
        <w:pStyle w:val="Heading30"/>
      </w:pPr>
      <w:r>
        <w:t>Sales of goods and services</w:t>
      </w:r>
    </w:p>
    <w:p w14:paraId="213B9753" w14:textId="77777777" w:rsidR="00346FC5" w:rsidRDefault="00346FC5" w:rsidP="00346FC5">
      <w:r>
        <w:t>Revenue generated by the sales of goods and services is expected to increase to $6.1 billion in 2023-24 and</w:t>
      </w:r>
      <w:r w:rsidDel="00D526D9">
        <w:t xml:space="preserve"> </w:t>
      </w:r>
      <w:r>
        <w:t>grow by an average of 2.1 per cent a year over the forward estimates, reaching $6.5 billion in 2026-27.</w:t>
      </w:r>
    </w:p>
    <w:p w14:paraId="0628FEEF" w14:textId="77777777" w:rsidR="00346FC5" w:rsidRPr="00D736B2" w:rsidRDefault="00346FC5" w:rsidP="00346FC5">
      <w:pPr>
        <w:pStyle w:val="Heading30"/>
        <w:rPr>
          <w:b w:val="0"/>
          <w:bCs/>
        </w:rPr>
      </w:pPr>
      <w:r>
        <w:t>Grants</w:t>
      </w:r>
    </w:p>
    <w:p w14:paraId="6DC8B7A4" w14:textId="77777777" w:rsidR="00346FC5" w:rsidRDefault="00346FC5" w:rsidP="00346FC5">
      <w:r w:rsidRPr="00056281">
        <w:t>Total grant revenue is expected to be $4</w:t>
      </w:r>
      <w:r>
        <w:t>1</w:t>
      </w:r>
      <w:r w:rsidRPr="00056281">
        <w:t>.</w:t>
      </w:r>
      <w:r>
        <w:t>8</w:t>
      </w:r>
      <w:r w:rsidRPr="00056281">
        <w:t xml:space="preserve"> billion in 2023-24</w:t>
      </w:r>
      <w:r w:rsidRPr="007E3C1F">
        <w:t xml:space="preserve"> </w:t>
      </w:r>
      <w:r>
        <w:t>and increase by an average of 3.9 per cent a year over the forward estimates</w:t>
      </w:r>
      <w:r w:rsidRPr="00056281">
        <w:t>,</w:t>
      </w:r>
      <w:r w:rsidRPr="007E3C1F">
        <w:t xml:space="preserve"> </w:t>
      </w:r>
      <w:r>
        <w:t>reaching $46.8 billion in 2026-27.</w:t>
      </w:r>
    </w:p>
    <w:p w14:paraId="4839FDD9" w14:textId="77777777" w:rsidR="00346FC5" w:rsidRPr="00056281" w:rsidRDefault="00346FC5" w:rsidP="00346FC5">
      <w:r w:rsidRPr="00056281">
        <w:t xml:space="preserve">Victoria’s GST revenue is expected to </w:t>
      </w:r>
      <w:r>
        <w:t>be</w:t>
      </w:r>
      <w:r w:rsidRPr="00056281">
        <w:t xml:space="preserve"> $19.</w:t>
      </w:r>
      <w:r>
        <w:t>8</w:t>
      </w:r>
      <w:r w:rsidRPr="00056281">
        <w:t xml:space="preserve"> billion in 2023-24</w:t>
      </w:r>
      <w:r>
        <w:t>,</w:t>
      </w:r>
      <w:r w:rsidRPr="00056281">
        <w:t xml:space="preserve"> </w:t>
      </w:r>
      <w:r>
        <w:t>and then</w:t>
      </w:r>
      <w:r w:rsidRPr="00056281">
        <w:t xml:space="preserve"> </w:t>
      </w:r>
      <w:r>
        <w:t xml:space="preserve">grow </w:t>
      </w:r>
      <w:r w:rsidRPr="00056281">
        <w:t>by an average of 5.</w:t>
      </w:r>
      <w:r>
        <w:t>6</w:t>
      </w:r>
      <w:r w:rsidRPr="00056281">
        <w:t xml:space="preserve"> per cent per year</w:t>
      </w:r>
      <w:r>
        <w:t xml:space="preserve"> over the forward estimates</w:t>
      </w:r>
      <w:r w:rsidRPr="00056281">
        <w:t>.</w:t>
      </w:r>
      <w:r>
        <w:t xml:space="preserve"> </w:t>
      </w:r>
      <w:r w:rsidRPr="00056281">
        <w:t>Victoria’s GST revenue forecast is driven by an improved outlook for the national GST pool corresponding with strength in national GST collections over the first half of 2022-23. Victoria’s national population share is also forecast to increase in 2023-24 after muted growth in 2022</w:t>
      </w:r>
      <w:r>
        <w:t>-</w:t>
      </w:r>
      <w:r w:rsidRPr="00056281">
        <w:t>23, largely driven by an increase in net overseas migration.</w:t>
      </w:r>
    </w:p>
    <w:p w14:paraId="73CC3DA1" w14:textId="77777777" w:rsidR="00346FC5" w:rsidRPr="00056281" w:rsidRDefault="00346FC5" w:rsidP="00346FC5">
      <w:r w:rsidRPr="00056281">
        <w:t>Victoria’s no-worse-off relativit</w:t>
      </w:r>
      <w:r>
        <w:t>y</w:t>
      </w:r>
      <w:r w:rsidRPr="00056281">
        <w:t xml:space="preserve"> remained steady </w:t>
      </w:r>
      <w:r>
        <w:t>in</w:t>
      </w:r>
      <w:r w:rsidRPr="00056281">
        <w:t xml:space="preserve"> 202</w:t>
      </w:r>
      <w:r>
        <w:t>3</w:t>
      </w:r>
      <w:r w:rsidRPr="00056281">
        <w:t>-2</w:t>
      </w:r>
      <w:r>
        <w:t>4</w:t>
      </w:r>
      <w:r w:rsidRPr="00056281">
        <w:t xml:space="preserve">, </w:t>
      </w:r>
      <w:r>
        <w:t xml:space="preserve">with </w:t>
      </w:r>
      <w:r w:rsidRPr="00056281">
        <w:t>strong mining revenues in mining states offset</w:t>
      </w:r>
      <w:r>
        <w:t>ting</w:t>
      </w:r>
      <w:r w:rsidRPr="00056281">
        <w:t xml:space="preserve"> Victoria’s lower cost for delivering services. Ongoing strength in commodity prices and </w:t>
      </w:r>
      <w:r w:rsidRPr="00964630">
        <w:t xml:space="preserve">expected population share growth </w:t>
      </w:r>
      <w:r>
        <w:t>continue to support</w:t>
      </w:r>
      <w:r w:rsidRPr="00056281">
        <w:t xml:space="preserve"> the no</w:t>
      </w:r>
      <w:r>
        <w:noBreakHyphen/>
      </w:r>
      <w:r w:rsidRPr="00056281">
        <w:t xml:space="preserve">worse off relativity </w:t>
      </w:r>
      <w:r>
        <w:t>over the forward estimates</w:t>
      </w:r>
      <w:r w:rsidRPr="00056281">
        <w:t>.</w:t>
      </w:r>
    </w:p>
    <w:p w14:paraId="7D65347C" w14:textId="77777777" w:rsidR="00346FC5" w:rsidRDefault="00346FC5" w:rsidP="00346FC5">
      <w:pPr>
        <w:pStyle w:val="Heading30"/>
      </w:pPr>
      <w:r>
        <w:t>Other revenue and income</w:t>
      </w:r>
    </w:p>
    <w:p w14:paraId="2E9B6193" w14:textId="77777777" w:rsidR="00346FC5" w:rsidRDefault="00346FC5" w:rsidP="00346FC5">
      <w:r>
        <w:t>Other revenue and income includes fines, royalties, donations and gifts, assets received free of charge and other miscellaneous revenues. Other revenue and income is expected to be $3.6 billion in 2023-24, followed by an average growth of 2.6 per cent a year over the forward estimates.</w:t>
      </w:r>
    </w:p>
    <w:p w14:paraId="19FB06DE" w14:textId="77777777" w:rsidR="00346FC5" w:rsidRDefault="00346FC5" w:rsidP="0033262F">
      <w:pPr>
        <w:ind w:right="-119"/>
      </w:pPr>
      <w:r>
        <w:t xml:space="preserve">Budget Paper No. 5, Chapter 4 </w:t>
      </w:r>
      <w:r w:rsidRPr="00CE36DA">
        <w:rPr>
          <w:i/>
          <w:iCs/>
        </w:rPr>
        <w:t>State revenue</w:t>
      </w:r>
      <w:r>
        <w:t xml:space="preserve"> contains further details of expected movements in the major categories of general government revenue.</w:t>
      </w:r>
    </w:p>
    <w:p w14:paraId="4E432A8B" w14:textId="77777777" w:rsidR="00346FC5" w:rsidRDefault="00346FC5" w:rsidP="00346FC5">
      <w:pPr>
        <w:pStyle w:val="Heading20"/>
      </w:pPr>
      <w:r>
        <w:t>Expenses outlook</w:t>
      </w:r>
    </w:p>
    <w:p w14:paraId="01C403AC" w14:textId="77777777" w:rsidR="00346FC5" w:rsidRDefault="00346FC5" w:rsidP="00346FC5">
      <w:r w:rsidRPr="00152891">
        <w:t xml:space="preserve">Total </w:t>
      </w:r>
      <w:r>
        <w:t>expenses</w:t>
      </w:r>
      <w:r w:rsidRPr="00152891">
        <w:t xml:space="preserve"> for the general government sector are forecast to </w:t>
      </w:r>
      <w:r>
        <w:t>reach $93.3 billion in 2023</w:t>
      </w:r>
      <w:r>
        <w:noBreakHyphen/>
        <w:t>24 and increase by an average of 1.9 per cent a year over the forward estimates to $98.7 billion in 2026-27.</w:t>
      </w:r>
    </w:p>
    <w:p w14:paraId="57CD838C" w14:textId="77777777" w:rsidR="00346FC5" w:rsidRDefault="00346FC5" w:rsidP="00346FC5">
      <w:r>
        <w:t>Moderation of expenditure growth over the forward estimates supports the Government’s fiscal strategy to achieve an operating surplus by 2025-26 and beyond.</w:t>
      </w:r>
    </w:p>
    <w:p w14:paraId="023C7632" w14:textId="77777777" w:rsidR="00346FC5" w:rsidRDefault="00346FC5" w:rsidP="007B1F83">
      <w:pPr>
        <w:pStyle w:val="ListBullet"/>
      </w:pPr>
      <w:r>
        <w:t>Employee expenses (including superannuation) are forecast to be $39.8 billion in 2023-24. Average growth over the forward estimates of 2.7 per cent a year is forecast, consistent with the requirements of service delivery and enterprise bargaining agreements.</w:t>
      </w:r>
    </w:p>
    <w:p w14:paraId="648F0898" w14:textId="77777777" w:rsidR="00346FC5" w:rsidRDefault="00346FC5" w:rsidP="007B1F83">
      <w:pPr>
        <w:pStyle w:val="ListBullet"/>
      </w:pPr>
      <w:r>
        <w:t xml:space="preserve">Depreciation expense is forecast to grow to $4.9 billion in 2023-24 and by an average </w:t>
      </w:r>
      <w:r w:rsidRPr="008E08F0">
        <w:t xml:space="preserve">of </w:t>
      </w:r>
      <w:r w:rsidRPr="00110EEC">
        <w:t>4.3</w:t>
      </w:r>
      <w:r w:rsidRPr="008E08F0">
        <w:t xml:space="preserve"> per</w:t>
      </w:r>
      <w:r>
        <w:t xml:space="preserve"> cent a year over the forward estimates to $5.</w:t>
      </w:r>
      <w:r w:rsidRPr="00110EEC">
        <w:t>6</w:t>
      </w:r>
      <w:r>
        <w:t xml:space="preserve"> billion by 2026-27. Growth in depreciation is broadly in line with continuing high levels of investment in infrastructure.</w:t>
      </w:r>
    </w:p>
    <w:p w14:paraId="5E49A468" w14:textId="77777777" w:rsidR="00346FC5" w:rsidRDefault="00346FC5" w:rsidP="007B1F83">
      <w:pPr>
        <w:pStyle w:val="ListBullet"/>
      </w:pPr>
      <w:r>
        <w:t>Interest expense is forecast to grow to $5.</w:t>
      </w:r>
      <w:r w:rsidRPr="00110EEC">
        <w:t>6</w:t>
      </w:r>
      <w:r>
        <w:t xml:space="preserve"> billion in 2023-24, and to $8.</w:t>
      </w:r>
      <w:r w:rsidRPr="00110EEC">
        <w:t>0</w:t>
      </w:r>
      <w:r>
        <w:t xml:space="preserve"> billion by 2026</w:t>
      </w:r>
      <w:r>
        <w:noBreakHyphen/>
        <w:t>27, as the Government increases borrowings to continue significant levels of infrastructure investment under Victoria’s Big Build. Interest expense as a share of total revenue is expected to average 7.1 per cent a year over the budget and forward estimates.</w:t>
      </w:r>
    </w:p>
    <w:p w14:paraId="4A351DEB" w14:textId="77777777" w:rsidR="00346FC5" w:rsidRDefault="00346FC5" w:rsidP="007B1F83">
      <w:pPr>
        <w:pStyle w:val="ListBullet"/>
      </w:pPr>
      <w:r>
        <w:t>Grant expenses are forecast to fall to $17.</w:t>
      </w:r>
      <w:r w:rsidRPr="00110EEC">
        <w:t>0</w:t>
      </w:r>
      <w:r>
        <w:t xml:space="preserve"> billion in 2023-24</w:t>
      </w:r>
      <w:r w:rsidRPr="00110EEC">
        <w:t>, largely reflecting the tapering of pandemic support initiatives over the previous years.</w:t>
      </w:r>
      <w:r>
        <w:t xml:space="preserve"> Grant expenses are then expected to decline further by an average of 1.</w:t>
      </w:r>
      <w:r w:rsidRPr="00110EEC">
        <w:t>3 per cent a year over the forward estimates.</w:t>
      </w:r>
    </w:p>
    <w:p w14:paraId="72C9AF0A" w14:textId="77777777" w:rsidR="00346FC5" w:rsidRDefault="00346FC5" w:rsidP="007B1F83">
      <w:pPr>
        <w:pStyle w:val="ListBullet"/>
      </w:pPr>
      <w:r>
        <w:t>Other operating expenses are forecast to fall to $26.1 billion in 2023</w:t>
      </w:r>
      <w:r>
        <w:noBreakHyphen/>
        <w:t>24 as expenditure commitments attributable to the pandemic response reduce.</w:t>
      </w:r>
      <w:r w:rsidRPr="00110EEC">
        <w:t xml:space="preserve"> Other operating expenses are then expected to decline further by an average of 0.5 per cent a year over the forward estimates.</w:t>
      </w:r>
    </w:p>
    <w:p w14:paraId="3E4CF756" w14:textId="77777777" w:rsidR="00346FC5" w:rsidRDefault="00346FC5" w:rsidP="00346FC5">
      <w:r>
        <w:t xml:space="preserve">Budget Paper No. 5, Chapter 1 </w:t>
      </w:r>
      <w:r w:rsidRPr="00562D09">
        <w:rPr>
          <w:i/>
          <w:iCs/>
        </w:rPr>
        <w:t>Estimated Financial Statements for the general government sector</w:t>
      </w:r>
      <w:r>
        <w:t xml:space="preserve"> contains further details of </w:t>
      </w:r>
      <w:r w:rsidRPr="00A36F5E">
        <w:t xml:space="preserve">major components of expenditure incurred by the </w:t>
      </w:r>
      <w:r>
        <w:t>s</w:t>
      </w:r>
      <w:r w:rsidRPr="00A36F5E">
        <w:t>tate towards the delivery of services</w:t>
      </w:r>
      <w:r>
        <w:t>.</w:t>
      </w:r>
    </w:p>
    <w:p w14:paraId="29B97CE1" w14:textId="77777777" w:rsidR="00346FC5" w:rsidRDefault="00346FC5" w:rsidP="00346FC5">
      <w:pPr>
        <w:pStyle w:val="Heading20"/>
        <w:pageBreakBefore/>
      </w:pPr>
      <w:r>
        <w:t>Reconciliation of estimates with PEBU</w:t>
      </w:r>
    </w:p>
    <w:p w14:paraId="4BF88706" w14:textId="77777777" w:rsidR="00346FC5" w:rsidRDefault="00346FC5" w:rsidP="00346FC5">
      <w:r>
        <w:t xml:space="preserve">Relative to PEBU, the net result from transactions has been revised down by $0.4 billion in 2023-24, down by $0.4 billion in 2024-25 and up by $0.2 billion in 2025-26 (Table 4.3). </w:t>
      </w:r>
    </w:p>
    <w:p w14:paraId="1860CF5E" w14:textId="77777777" w:rsidR="00346FC5" w:rsidRDefault="00346FC5" w:rsidP="00346FC5">
      <w:pPr>
        <w:pStyle w:val="TableHeading"/>
      </w:pPr>
      <w:r w:rsidRPr="00CE36DA">
        <w:t xml:space="preserve">Table 4.3: </w:t>
      </w:r>
      <w:r w:rsidRPr="00CE36DA">
        <w:tab/>
        <w:t xml:space="preserve">Reconciliation of estimates </w:t>
      </w:r>
      <w:r>
        <w:t>with</w:t>
      </w:r>
      <w:r w:rsidRPr="00CE36DA">
        <w:t xml:space="preserve"> </w:t>
      </w:r>
      <w:r>
        <w:t>PEBU</w:t>
      </w:r>
      <w:r w:rsidRPr="00CE36DA">
        <w:t xml:space="preserve"> </w:t>
      </w:r>
      <w:r w:rsidRPr="00CE36DA">
        <w:rPr>
          <w:vertAlign w:val="superscript"/>
        </w:rPr>
        <w:t>(a)</w:t>
      </w:r>
      <w:r w:rsidRPr="00CE36DA">
        <w:tab/>
        <w:t>($ million)</w:t>
      </w:r>
    </w:p>
    <w:tbl>
      <w:tblPr>
        <w:tblStyle w:val="DTFTableNumeric"/>
        <w:tblW w:w="7710" w:type="dxa"/>
        <w:tblLayout w:type="fixed"/>
        <w:tblLook w:val="06A0" w:firstRow="1" w:lastRow="0" w:firstColumn="1" w:lastColumn="0" w:noHBand="1" w:noVBand="1"/>
        <w:tblDescription w:val="Type:DtfTable|Workbook:https://vicgov.sharepoint.com/sites/msteams_12cfc2/BP2/Chapter%204/Link_BP2-Chapter4.xlsx|Table:ReconciliationOfEstimates|MergedHeadingRow:1"/>
      </w:tblPr>
      <w:tblGrid>
        <w:gridCol w:w="5328"/>
        <w:gridCol w:w="794"/>
        <w:gridCol w:w="794"/>
        <w:gridCol w:w="794"/>
      </w:tblGrid>
      <w:tr w:rsidR="00346FC5" w14:paraId="2DA67CF3" w14:textId="77777777" w:rsidTr="009835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28" w:type="dxa"/>
            <w:tcBorders>
              <w:top w:val="single" w:sz="0" w:space="0" w:color="auto"/>
              <w:bottom w:val="single" w:sz="12" w:space="0" w:color="auto"/>
            </w:tcBorders>
          </w:tcPr>
          <w:p w14:paraId="550008FD" w14:textId="77777777" w:rsidR="00346FC5" w:rsidRDefault="00346FC5" w:rsidP="0098354D">
            <w:pPr>
              <w:keepNext/>
            </w:pPr>
          </w:p>
        </w:tc>
        <w:tc>
          <w:tcPr>
            <w:tcW w:w="794" w:type="dxa"/>
            <w:tcBorders>
              <w:top w:val="single" w:sz="0" w:space="0" w:color="auto"/>
              <w:bottom w:val="single" w:sz="12" w:space="0" w:color="auto"/>
            </w:tcBorders>
          </w:tcPr>
          <w:p w14:paraId="7D65A274"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Borders>
              <w:top w:val="single" w:sz="0" w:space="0" w:color="auto"/>
              <w:bottom w:val="single" w:sz="12" w:space="0" w:color="auto"/>
            </w:tcBorders>
          </w:tcPr>
          <w:p w14:paraId="3F164675"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Borders>
              <w:top w:val="single" w:sz="0" w:space="0" w:color="auto"/>
              <w:bottom w:val="single" w:sz="12" w:space="0" w:color="auto"/>
            </w:tcBorders>
          </w:tcPr>
          <w:p w14:paraId="5499DC55"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r>
      <w:tr w:rsidR="00346FC5" w14:paraId="32CFF98E" w14:textId="77777777" w:rsidTr="0098354D">
        <w:tc>
          <w:tcPr>
            <w:cnfStyle w:val="001000000000" w:firstRow="0" w:lastRow="0" w:firstColumn="1" w:lastColumn="0" w:oddVBand="0" w:evenVBand="0" w:oddHBand="0" w:evenHBand="0" w:firstRowFirstColumn="0" w:firstRowLastColumn="0" w:lastRowFirstColumn="0" w:lastRowLastColumn="0"/>
            <w:tcW w:w="5328" w:type="dxa"/>
          </w:tcPr>
          <w:p w14:paraId="67144879" w14:textId="77777777" w:rsidR="00346FC5" w:rsidRDefault="00346FC5" w:rsidP="0098354D">
            <w:r>
              <w:rPr>
                <w:b/>
              </w:rPr>
              <w:t xml:space="preserve">Net result from transactions: </w:t>
            </w:r>
            <w:r>
              <w:rPr>
                <w:b/>
                <w:i/>
              </w:rPr>
              <w:t>PEBU</w:t>
            </w:r>
          </w:p>
        </w:tc>
        <w:tc>
          <w:tcPr>
            <w:tcW w:w="794" w:type="dxa"/>
          </w:tcPr>
          <w:p w14:paraId="102D2DC4"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(3 615)</w:t>
            </w:r>
          </w:p>
        </w:tc>
        <w:tc>
          <w:tcPr>
            <w:tcW w:w="794" w:type="dxa"/>
          </w:tcPr>
          <w:p w14:paraId="30416995"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(639)</w:t>
            </w:r>
          </w:p>
        </w:tc>
        <w:tc>
          <w:tcPr>
            <w:tcW w:w="794" w:type="dxa"/>
          </w:tcPr>
          <w:p w14:paraId="587C4781"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870</w:t>
            </w:r>
          </w:p>
        </w:tc>
      </w:tr>
      <w:tr w:rsidR="00346FC5" w14:paraId="6D1834B8" w14:textId="77777777" w:rsidTr="0098354D">
        <w:tc>
          <w:tcPr>
            <w:cnfStyle w:val="001000000000" w:firstRow="0" w:lastRow="0" w:firstColumn="1" w:lastColumn="0" w:oddVBand="0" w:evenVBand="0" w:oddHBand="0" w:evenHBand="0" w:firstRowFirstColumn="0" w:firstRowLastColumn="0" w:lastRowFirstColumn="0" w:lastRowLastColumn="0"/>
            <w:tcW w:w="5328" w:type="dxa"/>
          </w:tcPr>
          <w:p w14:paraId="6FA58052" w14:textId="77777777" w:rsidR="00346FC5" w:rsidRDefault="00346FC5" w:rsidP="0098354D">
            <w:r>
              <w:rPr>
                <w:b/>
              </w:rPr>
              <w:t>Policy variations</w:t>
            </w:r>
          </w:p>
        </w:tc>
        <w:tc>
          <w:tcPr>
            <w:tcW w:w="794" w:type="dxa"/>
          </w:tcPr>
          <w:p w14:paraId="3B38AB6C"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08151BCA"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2CD7C7C9"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14:paraId="097F8C94" w14:textId="77777777" w:rsidTr="0098354D">
        <w:tc>
          <w:tcPr>
            <w:cnfStyle w:val="001000000000" w:firstRow="0" w:lastRow="0" w:firstColumn="1" w:lastColumn="0" w:oddVBand="0" w:evenVBand="0" w:oddHBand="0" w:evenHBand="0" w:firstRowFirstColumn="0" w:firstRowLastColumn="0" w:lastRowFirstColumn="0" w:lastRowLastColumn="0"/>
            <w:tcW w:w="5328" w:type="dxa"/>
          </w:tcPr>
          <w:p w14:paraId="54AB7AB7" w14:textId="77777777" w:rsidR="00346FC5" w:rsidRDefault="00346FC5" w:rsidP="0098354D">
            <w:r>
              <w:t xml:space="preserve">     Revenue policy initiatives</w:t>
            </w:r>
          </w:p>
        </w:tc>
        <w:tc>
          <w:tcPr>
            <w:tcW w:w="794" w:type="dxa"/>
            <w:tcBorders>
              <w:bottom w:val="nil"/>
            </w:tcBorders>
          </w:tcPr>
          <w:p w14:paraId="518FB2B2"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2 264</w:t>
            </w:r>
          </w:p>
        </w:tc>
        <w:tc>
          <w:tcPr>
            <w:tcW w:w="794" w:type="dxa"/>
            <w:tcBorders>
              <w:bottom w:val="nil"/>
            </w:tcBorders>
          </w:tcPr>
          <w:p w14:paraId="10C725F1"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2 669</w:t>
            </w:r>
          </w:p>
        </w:tc>
        <w:tc>
          <w:tcPr>
            <w:tcW w:w="794" w:type="dxa"/>
            <w:tcBorders>
              <w:bottom w:val="nil"/>
            </w:tcBorders>
          </w:tcPr>
          <w:p w14:paraId="430748C5"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2 648</w:t>
            </w:r>
          </w:p>
        </w:tc>
      </w:tr>
      <w:tr w:rsidR="00346FC5" w14:paraId="20A98C9D" w14:textId="77777777" w:rsidTr="0098354D">
        <w:tc>
          <w:tcPr>
            <w:cnfStyle w:val="001000000000" w:firstRow="0" w:lastRow="0" w:firstColumn="1" w:lastColumn="0" w:oddVBand="0" w:evenVBand="0" w:oddHBand="0" w:evenHBand="0" w:firstRowFirstColumn="0" w:firstRowLastColumn="0" w:lastRowFirstColumn="0" w:lastRowLastColumn="0"/>
            <w:tcW w:w="5328" w:type="dxa"/>
          </w:tcPr>
          <w:p w14:paraId="7D40C987" w14:textId="77777777" w:rsidR="00346FC5" w:rsidRDefault="00346FC5" w:rsidP="0098354D">
            <w:r>
              <w:t xml:space="preserve">     Output policy initiatives </w:t>
            </w:r>
            <w:r>
              <w:rPr>
                <w:vertAlign w:val="superscript"/>
              </w:rPr>
              <w:t>(b)</w:t>
            </w:r>
          </w:p>
        </w:tc>
        <w:tc>
          <w:tcPr>
            <w:tcW w:w="794" w:type="dxa"/>
            <w:tcBorders>
              <w:bottom w:val="single" w:sz="4" w:space="0" w:color="auto"/>
            </w:tcBorders>
          </w:tcPr>
          <w:p w14:paraId="39802FFD"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(4 432)</w:t>
            </w:r>
          </w:p>
        </w:tc>
        <w:tc>
          <w:tcPr>
            <w:tcW w:w="794" w:type="dxa"/>
            <w:tcBorders>
              <w:bottom w:val="single" w:sz="4" w:space="0" w:color="auto"/>
            </w:tcBorders>
          </w:tcPr>
          <w:p w14:paraId="05BDBEC7"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(2 261)</w:t>
            </w:r>
          </w:p>
        </w:tc>
        <w:tc>
          <w:tcPr>
            <w:tcW w:w="794" w:type="dxa"/>
            <w:tcBorders>
              <w:bottom w:val="single" w:sz="4" w:space="0" w:color="auto"/>
            </w:tcBorders>
          </w:tcPr>
          <w:p w14:paraId="5B4C7ECE"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(2 268)</w:t>
            </w:r>
          </w:p>
        </w:tc>
      </w:tr>
      <w:tr w:rsidR="00346FC5" w14:paraId="342FE3C4" w14:textId="77777777" w:rsidTr="0098354D">
        <w:tc>
          <w:tcPr>
            <w:cnfStyle w:val="001000000000" w:firstRow="0" w:lastRow="0" w:firstColumn="1" w:lastColumn="0" w:oddVBand="0" w:evenVBand="0" w:oddHBand="0" w:evenHBand="0" w:firstRowFirstColumn="0" w:firstRowLastColumn="0" w:lastRowFirstColumn="0" w:lastRowLastColumn="0"/>
            <w:tcW w:w="5328" w:type="dxa"/>
          </w:tcPr>
          <w:p w14:paraId="23842C78" w14:textId="77777777" w:rsidR="00346FC5" w:rsidRDefault="00346FC5" w:rsidP="0098354D"/>
        </w:tc>
        <w:tc>
          <w:tcPr>
            <w:tcW w:w="794" w:type="dxa"/>
            <w:tcBorders>
              <w:top w:val="single" w:sz="4" w:space="0" w:color="auto"/>
            </w:tcBorders>
          </w:tcPr>
          <w:p w14:paraId="20AAAB5F"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(2 167)</w:t>
            </w:r>
          </w:p>
        </w:tc>
        <w:tc>
          <w:tcPr>
            <w:tcW w:w="794" w:type="dxa"/>
            <w:tcBorders>
              <w:top w:val="single" w:sz="4" w:space="0" w:color="auto"/>
            </w:tcBorders>
          </w:tcPr>
          <w:p w14:paraId="4E7D22B1"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408</w:t>
            </w:r>
          </w:p>
        </w:tc>
        <w:tc>
          <w:tcPr>
            <w:tcW w:w="794" w:type="dxa"/>
            <w:tcBorders>
              <w:top w:val="single" w:sz="4" w:space="0" w:color="auto"/>
            </w:tcBorders>
          </w:tcPr>
          <w:p w14:paraId="31A8CF92"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381</w:t>
            </w:r>
          </w:p>
        </w:tc>
      </w:tr>
      <w:tr w:rsidR="00346FC5" w14:paraId="027001D0" w14:textId="77777777" w:rsidTr="0098354D">
        <w:tc>
          <w:tcPr>
            <w:cnfStyle w:val="001000000000" w:firstRow="0" w:lastRow="0" w:firstColumn="1" w:lastColumn="0" w:oddVBand="0" w:evenVBand="0" w:oddHBand="0" w:evenHBand="0" w:firstRowFirstColumn="0" w:firstRowLastColumn="0" w:lastRowFirstColumn="0" w:lastRowLastColumn="0"/>
            <w:tcW w:w="5328" w:type="dxa"/>
          </w:tcPr>
          <w:p w14:paraId="2C4193DF" w14:textId="77777777" w:rsidR="00346FC5" w:rsidRDefault="00346FC5" w:rsidP="0098354D">
            <w:r>
              <w:rPr>
                <w:b/>
              </w:rPr>
              <w:t>Economic/demographic variations</w:t>
            </w:r>
          </w:p>
        </w:tc>
        <w:tc>
          <w:tcPr>
            <w:tcW w:w="794" w:type="dxa"/>
          </w:tcPr>
          <w:p w14:paraId="6AD2984B"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2C295D9F"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49F977A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14:paraId="65223BE1" w14:textId="77777777" w:rsidTr="0098354D">
        <w:tc>
          <w:tcPr>
            <w:cnfStyle w:val="001000000000" w:firstRow="0" w:lastRow="0" w:firstColumn="1" w:lastColumn="0" w:oddVBand="0" w:evenVBand="0" w:oddHBand="0" w:evenHBand="0" w:firstRowFirstColumn="0" w:firstRowLastColumn="0" w:lastRowFirstColumn="0" w:lastRowLastColumn="0"/>
            <w:tcW w:w="5328" w:type="dxa"/>
          </w:tcPr>
          <w:p w14:paraId="1E022842" w14:textId="77777777" w:rsidR="00346FC5" w:rsidRDefault="00346FC5" w:rsidP="0098354D">
            <w:r>
              <w:t xml:space="preserve">     Taxation</w:t>
            </w:r>
          </w:p>
        </w:tc>
        <w:tc>
          <w:tcPr>
            <w:tcW w:w="794" w:type="dxa"/>
            <w:tcBorders>
              <w:bottom w:val="nil"/>
            </w:tcBorders>
          </w:tcPr>
          <w:p w14:paraId="53CF3F73"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(228)</w:t>
            </w:r>
          </w:p>
        </w:tc>
        <w:tc>
          <w:tcPr>
            <w:tcW w:w="794" w:type="dxa"/>
            <w:tcBorders>
              <w:bottom w:val="nil"/>
            </w:tcBorders>
          </w:tcPr>
          <w:p w14:paraId="50C1F698"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23</w:t>
            </w:r>
          </w:p>
        </w:tc>
        <w:tc>
          <w:tcPr>
            <w:tcW w:w="794" w:type="dxa"/>
            <w:tcBorders>
              <w:bottom w:val="nil"/>
            </w:tcBorders>
          </w:tcPr>
          <w:p w14:paraId="3C1DFA90"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133</w:t>
            </w:r>
          </w:p>
        </w:tc>
      </w:tr>
      <w:tr w:rsidR="00346FC5" w14:paraId="07EB1772" w14:textId="77777777" w:rsidTr="0098354D">
        <w:tc>
          <w:tcPr>
            <w:cnfStyle w:val="001000000000" w:firstRow="0" w:lastRow="0" w:firstColumn="1" w:lastColumn="0" w:oddVBand="0" w:evenVBand="0" w:oddHBand="0" w:evenHBand="0" w:firstRowFirstColumn="0" w:firstRowLastColumn="0" w:lastRowFirstColumn="0" w:lastRowLastColumn="0"/>
            <w:tcW w:w="5328" w:type="dxa"/>
          </w:tcPr>
          <w:p w14:paraId="6D601135" w14:textId="77777777" w:rsidR="00346FC5" w:rsidRDefault="00346FC5" w:rsidP="0098354D">
            <w:r>
              <w:t xml:space="preserve">     Investment income </w:t>
            </w:r>
            <w:r>
              <w:rPr>
                <w:vertAlign w:val="superscript"/>
              </w:rPr>
              <w:t>(c)</w:t>
            </w:r>
          </w:p>
        </w:tc>
        <w:tc>
          <w:tcPr>
            <w:tcW w:w="794" w:type="dxa"/>
            <w:tcBorders>
              <w:bottom w:val="single" w:sz="4" w:space="0" w:color="auto"/>
            </w:tcBorders>
          </w:tcPr>
          <w:p w14:paraId="198122BB"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443</w:t>
            </w:r>
          </w:p>
        </w:tc>
        <w:tc>
          <w:tcPr>
            <w:tcW w:w="794" w:type="dxa"/>
            <w:tcBorders>
              <w:bottom w:val="single" w:sz="4" w:space="0" w:color="auto"/>
            </w:tcBorders>
          </w:tcPr>
          <w:p w14:paraId="0A1E18CF"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93</w:t>
            </w:r>
          </w:p>
        </w:tc>
        <w:tc>
          <w:tcPr>
            <w:tcW w:w="794" w:type="dxa"/>
            <w:tcBorders>
              <w:bottom w:val="single" w:sz="4" w:space="0" w:color="auto"/>
            </w:tcBorders>
          </w:tcPr>
          <w:p w14:paraId="3FAA6B81"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110</w:t>
            </w:r>
          </w:p>
        </w:tc>
      </w:tr>
      <w:tr w:rsidR="00346FC5" w14:paraId="184DCE7C" w14:textId="77777777" w:rsidTr="0098354D">
        <w:tc>
          <w:tcPr>
            <w:cnfStyle w:val="001000000000" w:firstRow="0" w:lastRow="0" w:firstColumn="1" w:lastColumn="0" w:oddVBand="0" w:evenVBand="0" w:oddHBand="0" w:evenHBand="0" w:firstRowFirstColumn="0" w:firstRowLastColumn="0" w:lastRowFirstColumn="0" w:lastRowLastColumn="0"/>
            <w:tcW w:w="5328" w:type="dxa"/>
          </w:tcPr>
          <w:p w14:paraId="60EF3340" w14:textId="77777777" w:rsidR="00346FC5" w:rsidRDefault="00346FC5" w:rsidP="0098354D"/>
        </w:tc>
        <w:tc>
          <w:tcPr>
            <w:tcW w:w="794" w:type="dxa"/>
            <w:tcBorders>
              <w:top w:val="single" w:sz="4" w:space="0" w:color="auto"/>
            </w:tcBorders>
          </w:tcPr>
          <w:p w14:paraId="538DF8FD"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215</w:t>
            </w:r>
          </w:p>
        </w:tc>
        <w:tc>
          <w:tcPr>
            <w:tcW w:w="794" w:type="dxa"/>
            <w:tcBorders>
              <w:top w:val="single" w:sz="4" w:space="0" w:color="auto"/>
            </w:tcBorders>
          </w:tcPr>
          <w:p w14:paraId="0895DA7B"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117</w:t>
            </w:r>
          </w:p>
        </w:tc>
        <w:tc>
          <w:tcPr>
            <w:tcW w:w="794" w:type="dxa"/>
            <w:tcBorders>
              <w:top w:val="single" w:sz="4" w:space="0" w:color="auto"/>
            </w:tcBorders>
          </w:tcPr>
          <w:p w14:paraId="77EB489E"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243</w:t>
            </w:r>
          </w:p>
        </w:tc>
      </w:tr>
      <w:tr w:rsidR="00346FC5" w14:paraId="4D8DCC3E" w14:textId="77777777" w:rsidTr="0098354D">
        <w:tc>
          <w:tcPr>
            <w:cnfStyle w:val="001000000000" w:firstRow="0" w:lastRow="0" w:firstColumn="1" w:lastColumn="0" w:oddVBand="0" w:evenVBand="0" w:oddHBand="0" w:evenHBand="0" w:firstRowFirstColumn="0" w:firstRowLastColumn="0" w:lastRowFirstColumn="0" w:lastRowLastColumn="0"/>
            <w:tcW w:w="5328" w:type="dxa"/>
          </w:tcPr>
          <w:p w14:paraId="7BF732E6" w14:textId="77777777" w:rsidR="00346FC5" w:rsidRDefault="00346FC5" w:rsidP="0098354D">
            <w:r>
              <w:rPr>
                <w:b/>
              </w:rPr>
              <w:t>Commonwealth grant variations</w:t>
            </w:r>
          </w:p>
        </w:tc>
        <w:tc>
          <w:tcPr>
            <w:tcW w:w="794" w:type="dxa"/>
          </w:tcPr>
          <w:p w14:paraId="5568A92D"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2B2EF47F"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43667B1C"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14:paraId="29D26744" w14:textId="77777777" w:rsidTr="0098354D">
        <w:tc>
          <w:tcPr>
            <w:cnfStyle w:val="001000000000" w:firstRow="0" w:lastRow="0" w:firstColumn="1" w:lastColumn="0" w:oddVBand="0" w:evenVBand="0" w:oddHBand="0" w:evenHBand="0" w:firstRowFirstColumn="0" w:firstRowLastColumn="0" w:lastRowFirstColumn="0" w:lastRowLastColumn="0"/>
            <w:tcW w:w="5328" w:type="dxa"/>
          </w:tcPr>
          <w:p w14:paraId="53E15604" w14:textId="77777777" w:rsidR="00346FC5" w:rsidRDefault="00346FC5" w:rsidP="0098354D">
            <w:r>
              <w:t xml:space="preserve">     General purpose grants</w:t>
            </w:r>
          </w:p>
        </w:tc>
        <w:tc>
          <w:tcPr>
            <w:tcW w:w="794" w:type="dxa"/>
            <w:tcBorders>
              <w:bottom w:val="nil"/>
            </w:tcBorders>
          </w:tcPr>
          <w:p w14:paraId="06ADBC1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954</w:t>
            </w:r>
          </w:p>
        </w:tc>
        <w:tc>
          <w:tcPr>
            <w:tcW w:w="794" w:type="dxa"/>
            <w:tcBorders>
              <w:bottom w:val="nil"/>
            </w:tcBorders>
          </w:tcPr>
          <w:p w14:paraId="5215494B"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1 074</w:t>
            </w:r>
          </w:p>
        </w:tc>
        <w:tc>
          <w:tcPr>
            <w:tcW w:w="794" w:type="dxa"/>
            <w:tcBorders>
              <w:bottom w:val="nil"/>
            </w:tcBorders>
          </w:tcPr>
          <w:p w14:paraId="15A9B005"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1 307</w:t>
            </w:r>
          </w:p>
        </w:tc>
      </w:tr>
      <w:tr w:rsidR="00346FC5" w14:paraId="1B32CF7B" w14:textId="77777777" w:rsidTr="0098354D">
        <w:tc>
          <w:tcPr>
            <w:cnfStyle w:val="001000000000" w:firstRow="0" w:lastRow="0" w:firstColumn="1" w:lastColumn="0" w:oddVBand="0" w:evenVBand="0" w:oddHBand="0" w:evenHBand="0" w:firstRowFirstColumn="0" w:firstRowLastColumn="0" w:lastRowFirstColumn="0" w:lastRowLastColumn="0"/>
            <w:tcW w:w="5328" w:type="dxa"/>
          </w:tcPr>
          <w:p w14:paraId="07D05F11" w14:textId="77777777" w:rsidR="00346FC5" w:rsidRDefault="00346FC5" w:rsidP="0098354D">
            <w:r>
              <w:t xml:space="preserve">     Specific purpose grants </w:t>
            </w:r>
            <w:r>
              <w:rPr>
                <w:vertAlign w:val="superscript"/>
              </w:rPr>
              <w:t>(d)</w:t>
            </w:r>
          </w:p>
        </w:tc>
        <w:tc>
          <w:tcPr>
            <w:tcW w:w="794" w:type="dxa"/>
            <w:tcBorders>
              <w:bottom w:val="single" w:sz="4" w:space="0" w:color="auto"/>
            </w:tcBorders>
          </w:tcPr>
          <w:p w14:paraId="5FDBCDF7"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(402)</w:t>
            </w:r>
          </w:p>
        </w:tc>
        <w:tc>
          <w:tcPr>
            <w:tcW w:w="794" w:type="dxa"/>
            <w:tcBorders>
              <w:bottom w:val="single" w:sz="4" w:space="0" w:color="auto"/>
            </w:tcBorders>
          </w:tcPr>
          <w:p w14:paraId="0E795ED1"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(823)</w:t>
            </w:r>
          </w:p>
        </w:tc>
        <w:tc>
          <w:tcPr>
            <w:tcW w:w="794" w:type="dxa"/>
            <w:tcBorders>
              <w:bottom w:val="single" w:sz="4" w:space="0" w:color="auto"/>
            </w:tcBorders>
          </w:tcPr>
          <w:p w14:paraId="6137227C"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(970)</w:t>
            </w:r>
          </w:p>
        </w:tc>
      </w:tr>
      <w:tr w:rsidR="00346FC5" w14:paraId="6757A2EC" w14:textId="77777777" w:rsidTr="0098354D">
        <w:tc>
          <w:tcPr>
            <w:cnfStyle w:val="001000000000" w:firstRow="0" w:lastRow="0" w:firstColumn="1" w:lastColumn="0" w:oddVBand="0" w:evenVBand="0" w:oddHBand="0" w:evenHBand="0" w:firstRowFirstColumn="0" w:firstRowLastColumn="0" w:lastRowFirstColumn="0" w:lastRowLastColumn="0"/>
            <w:tcW w:w="5328" w:type="dxa"/>
          </w:tcPr>
          <w:p w14:paraId="074E72C3" w14:textId="77777777" w:rsidR="00346FC5" w:rsidRDefault="00346FC5" w:rsidP="0098354D"/>
        </w:tc>
        <w:tc>
          <w:tcPr>
            <w:tcW w:w="794" w:type="dxa"/>
            <w:tcBorders>
              <w:top w:val="single" w:sz="4" w:space="0" w:color="auto"/>
            </w:tcBorders>
          </w:tcPr>
          <w:p w14:paraId="6795447B"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552</w:t>
            </w:r>
          </w:p>
        </w:tc>
        <w:tc>
          <w:tcPr>
            <w:tcW w:w="794" w:type="dxa"/>
            <w:tcBorders>
              <w:top w:val="single" w:sz="4" w:space="0" w:color="auto"/>
            </w:tcBorders>
          </w:tcPr>
          <w:p w14:paraId="647111E0"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251</w:t>
            </w:r>
          </w:p>
        </w:tc>
        <w:tc>
          <w:tcPr>
            <w:tcW w:w="794" w:type="dxa"/>
            <w:tcBorders>
              <w:top w:val="single" w:sz="4" w:space="0" w:color="auto"/>
            </w:tcBorders>
          </w:tcPr>
          <w:p w14:paraId="60C7AD7E"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337</w:t>
            </w:r>
          </w:p>
        </w:tc>
      </w:tr>
      <w:tr w:rsidR="00346FC5" w14:paraId="3E95C17C" w14:textId="77777777" w:rsidTr="0098354D">
        <w:tc>
          <w:tcPr>
            <w:cnfStyle w:val="001000000000" w:firstRow="0" w:lastRow="0" w:firstColumn="1" w:lastColumn="0" w:oddVBand="0" w:evenVBand="0" w:oddHBand="0" w:evenHBand="0" w:firstRowFirstColumn="0" w:firstRowLastColumn="0" w:lastRowFirstColumn="0" w:lastRowLastColumn="0"/>
            <w:tcW w:w="5328" w:type="dxa"/>
          </w:tcPr>
          <w:p w14:paraId="28122402" w14:textId="77777777" w:rsidR="00346FC5" w:rsidRDefault="00346FC5" w:rsidP="0098354D">
            <w:r>
              <w:rPr>
                <w:b/>
              </w:rPr>
              <w:t>Administrative variations</w:t>
            </w:r>
          </w:p>
        </w:tc>
        <w:tc>
          <w:tcPr>
            <w:tcW w:w="794" w:type="dxa"/>
          </w:tcPr>
          <w:p w14:paraId="5AFC2642"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1654A16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47C07D5A"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14:paraId="1927AE68" w14:textId="77777777" w:rsidTr="0098354D">
        <w:tc>
          <w:tcPr>
            <w:cnfStyle w:val="001000000000" w:firstRow="0" w:lastRow="0" w:firstColumn="1" w:lastColumn="0" w:oddVBand="0" w:evenVBand="0" w:oddHBand="0" w:evenHBand="0" w:firstRowFirstColumn="0" w:firstRowLastColumn="0" w:lastRowFirstColumn="0" w:lastRowLastColumn="0"/>
            <w:tcW w:w="5328" w:type="dxa"/>
          </w:tcPr>
          <w:p w14:paraId="122C7915" w14:textId="77777777" w:rsidR="00346FC5" w:rsidRDefault="00346FC5" w:rsidP="0098354D">
            <w:r>
              <w:t xml:space="preserve">     Contingency offset for new policy initiatives </w:t>
            </w:r>
            <w:r>
              <w:rPr>
                <w:vertAlign w:val="superscript"/>
              </w:rPr>
              <w:t>(e)</w:t>
            </w:r>
          </w:p>
        </w:tc>
        <w:tc>
          <w:tcPr>
            <w:tcW w:w="794" w:type="dxa"/>
            <w:tcBorders>
              <w:bottom w:val="nil"/>
            </w:tcBorders>
          </w:tcPr>
          <w:p w14:paraId="4F2DD599"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400</w:t>
            </w:r>
          </w:p>
        </w:tc>
        <w:tc>
          <w:tcPr>
            <w:tcW w:w="794" w:type="dxa"/>
            <w:tcBorders>
              <w:bottom w:val="nil"/>
            </w:tcBorders>
          </w:tcPr>
          <w:p w14:paraId="2C68268D"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700</w:t>
            </w:r>
          </w:p>
        </w:tc>
        <w:tc>
          <w:tcPr>
            <w:tcW w:w="794" w:type="dxa"/>
            <w:tcBorders>
              <w:bottom w:val="nil"/>
            </w:tcBorders>
          </w:tcPr>
          <w:p w14:paraId="329BAC24"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1 100</w:t>
            </w:r>
          </w:p>
        </w:tc>
      </w:tr>
      <w:tr w:rsidR="00346FC5" w14:paraId="506CEF30" w14:textId="77777777" w:rsidTr="0098354D">
        <w:tc>
          <w:tcPr>
            <w:cnfStyle w:val="001000000000" w:firstRow="0" w:lastRow="0" w:firstColumn="1" w:lastColumn="0" w:oddVBand="0" w:evenVBand="0" w:oddHBand="0" w:evenHBand="0" w:firstRowFirstColumn="0" w:firstRowLastColumn="0" w:lastRowFirstColumn="0" w:lastRowLastColumn="0"/>
            <w:tcW w:w="5328" w:type="dxa"/>
          </w:tcPr>
          <w:p w14:paraId="225A90A4" w14:textId="77777777" w:rsidR="00346FC5" w:rsidRDefault="00346FC5" w:rsidP="0098354D">
            <w:r>
              <w:t xml:space="preserve">     Other administrative variations</w:t>
            </w:r>
          </w:p>
        </w:tc>
        <w:tc>
          <w:tcPr>
            <w:tcW w:w="794" w:type="dxa"/>
            <w:tcBorders>
              <w:bottom w:val="single" w:sz="4" w:space="0" w:color="auto"/>
            </w:tcBorders>
          </w:tcPr>
          <w:p w14:paraId="076BBAA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598</w:t>
            </w:r>
          </w:p>
        </w:tc>
        <w:tc>
          <w:tcPr>
            <w:tcW w:w="794" w:type="dxa"/>
            <w:tcBorders>
              <w:bottom w:val="single" w:sz="4" w:space="0" w:color="auto"/>
            </w:tcBorders>
          </w:tcPr>
          <w:p w14:paraId="4AE42854"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(1 897)</w:t>
            </w:r>
          </w:p>
        </w:tc>
        <w:tc>
          <w:tcPr>
            <w:tcW w:w="794" w:type="dxa"/>
            <w:tcBorders>
              <w:bottom w:val="single" w:sz="4" w:space="0" w:color="auto"/>
            </w:tcBorders>
          </w:tcPr>
          <w:p w14:paraId="2DEBF6EF"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(1 892)</w:t>
            </w:r>
          </w:p>
        </w:tc>
      </w:tr>
      <w:tr w:rsidR="00346FC5" w14:paraId="38AB6017" w14:textId="77777777" w:rsidTr="0098354D">
        <w:tc>
          <w:tcPr>
            <w:cnfStyle w:val="001000000000" w:firstRow="0" w:lastRow="0" w:firstColumn="1" w:lastColumn="0" w:oddVBand="0" w:evenVBand="0" w:oddHBand="0" w:evenHBand="0" w:firstRowFirstColumn="0" w:firstRowLastColumn="0" w:lastRowFirstColumn="0" w:lastRowLastColumn="0"/>
            <w:tcW w:w="5328" w:type="dxa"/>
          </w:tcPr>
          <w:p w14:paraId="7E20DF66" w14:textId="77777777" w:rsidR="00346FC5" w:rsidRDefault="00346FC5" w:rsidP="0098354D"/>
        </w:tc>
        <w:tc>
          <w:tcPr>
            <w:tcW w:w="794" w:type="dxa"/>
            <w:tcBorders>
              <w:top w:val="single" w:sz="4" w:space="0" w:color="auto"/>
            </w:tcBorders>
          </w:tcPr>
          <w:p w14:paraId="4E27398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998</w:t>
            </w:r>
          </w:p>
        </w:tc>
        <w:tc>
          <w:tcPr>
            <w:tcW w:w="794" w:type="dxa"/>
            <w:tcBorders>
              <w:top w:val="single" w:sz="4" w:space="0" w:color="auto"/>
            </w:tcBorders>
          </w:tcPr>
          <w:p w14:paraId="51D6B20E"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(1 197)</w:t>
            </w:r>
          </w:p>
        </w:tc>
        <w:tc>
          <w:tcPr>
            <w:tcW w:w="794" w:type="dxa"/>
            <w:tcBorders>
              <w:top w:val="single" w:sz="4" w:space="0" w:color="auto"/>
            </w:tcBorders>
          </w:tcPr>
          <w:p w14:paraId="34799DE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(792)</w:t>
            </w:r>
          </w:p>
        </w:tc>
      </w:tr>
      <w:tr w:rsidR="00346FC5" w14:paraId="3E62AD66" w14:textId="77777777" w:rsidTr="0098354D">
        <w:trPr>
          <w:trHeight w:hRule="exact" w:val="113"/>
        </w:trPr>
        <w:tc>
          <w:tcPr>
            <w:cnfStyle w:val="001000000000" w:firstRow="0" w:lastRow="0" w:firstColumn="1" w:lastColumn="0" w:oddVBand="0" w:evenVBand="0" w:oddHBand="0" w:evenHBand="0" w:firstRowFirstColumn="0" w:firstRowLastColumn="0" w:lastRowFirstColumn="0" w:lastRowLastColumn="0"/>
            <w:tcW w:w="5328" w:type="dxa"/>
          </w:tcPr>
          <w:p w14:paraId="21921C89" w14:textId="77777777" w:rsidR="00346FC5" w:rsidRDefault="00346FC5" w:rsidP="0098354D"/>
        </w:tc>
        <w:tc>
          <w:tcPr>
            <w:tcW w:w="794" w:type="dxa"/>
          </w:tcPr>
          <w:p w14:paraId="7D5D86DD"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080BB6FD"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4477AE33"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14:paraId="43EFA9BB" w14:textId="77777777" w:rsidTr="0098354D">
        <w:tc>
          <w:tcPr>
            <w:cnfStyle w:val="001000000000" w:firstRow="0" w:lastRow="0" w:firstColumn="1" w:lastColumn="0" w:oddVBand="0" w:evenVBand="0" w:oddHBand="0" w:evenHBand="0" w:firstRowFirstColumn="0" w:firstRowLastColumn="0" w:lastRowFirstColumn="0" w:lastRowLastColumn="0"/>
            <w:tcW w:w="5328" w:type="dxa"/>
            <w:tcBorders>
              <w:bottom w:val="single" w:sz="6" w:space="0" w:color="auto"/>
            </w:tcBorders>
          </w:tcPr>
          <w:p w14:paraId="6AA2F7D8" w14:textId="77777777" w:rsidR="00346FC5" w:rsidRDefault="00346FC5" w:rsidP="0098354D">
            <w:r>
              <w:rPr>
                <w:b/>
              </w:rPr>
              <w:t xml:space="preserve">Total variation since </w:t>
            </w:r>
            <w:r>
              <w:rPr>
                <w:b/>
                <w:i/>
              </w:rPr>
              <w:t>PEBU</w:t>
            </w:r>
          </w:p>
        </w:tc>
        <w:tc>
          <w:tcPr>
            <w:tcW w:w="794" w:type="dxa"/>
            <w:tcBorders>
              <w:bottom w:val="single" w:sz="6" w:space="0" w:color="auto"/>
            </w:tcBorders>
          </w:tcPr>
          <w:p w14:paraId="090B18DA"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(402)</w:t>
            </w:r>
          </w:p>
        </w:tc>
        <w:tc>
          <w:tcPr>
            <w:tcW w:w="794" w:type="dxa"/>
            <w:tcBorders>
              <w:bottom w:val="single" w:sz="6" w:space="0" w:color="auto"/>
            </w:tcBorders>
          </w:tcPr>
          <w:p w14:paraId="09C50E95"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(421)</w:t>
            </w:r>
          </w:p>
        </w:tc>
        <w:tc>
          <w:tcPr>
            <w:tcW w:w="794" w:type="dxa"/>
            <w:tcBorders>
              <w:bottom w:val="single" w:sz="6" w:space="0" w:color="auto"/>
            </w:tcBorders>
          </w:tcPr>
          <w:p w14:paraId="67CD241F"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169</w:t>
            </w:r>
          </w:p>
        </w:tc>
      </w:tr>
      <w:tr w:rsidR="00346FC5" w14:paraId="307D29D2" w14:textId="77777777" w:rsidTr="0098354D">
        <w:tc>
          <w:tcPr>
            <w:cnfStyle w:val="001000000000" w:firstRow="0" w:lastRow="0" w:firstColumn="1" w:lastColumn="0" w:oddVBand="0" w:evenVBand="0" w:oddHBand="0" w:evenHBand="0" w:firstRowFirstColumn="0" w:firstRowLastColumn="0" w:lastRowFirstColumn="0" w:lastRowLastColumn="0"/>
            <w:tcW w:w="5328" w:type="dxa"/>
            <w:tcBorders>
              <w:top w:val="single" w:sz="6" w:space="0" w:color="auto"/>
              <w:bottom w:val="single" w:sz="12" w:space="0" w:color="auto"/>
            </w:tcBorders>
          </w:tcPr>
          <w:p w14:paraId="5C4F370F" w14:textId="77777777" w:rsidR="00346FC5" w:rsidRDefault="00346FC5" w:rsidP="0098354D">
            <w:r>
              <w:rPr>
                <w:b/>
              </w:rPr>
              <w:t xml:space="preserve">Net result from transactions: </w:t>
            </w:r>
            <w:r>
              <w:rPr>
                <w:b/>
                <w:i/>
              </w:rPr>
              <w:t>2023</w:t>
            </w:r>
            <w:r>
              <w:rPr>
                <w:b/>
                <w:i/>
              </w:rPr>
              <w:noBreakHyphen/>
              <w:t>24 Budget</w:t>
            </w:r>
          </w:p>
        </w:tc>
        <w:tc>
          <w:tcPr>
            <w:tcW w:w="794" w:type="dxa"/>
            <w:tcBorders>
              <w:top w:val="single" w:sz="6" w:space="0" w:color="auto"/>
              <w:bottom w:val="single" w:sz="12" w:space="0" w:color="auto"/>
            </w:tcBorders>
          </w:tcPr>
          <w:p w14:paraId="66002944"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(4 017)</w:t>
            </w:r>
          </w:p>
        </w:tc>
        <w:tc>
          <w:tcPr>
            <w:tcW w:w="794" w:type="dxa"/>
            <w:tcBorders>
              <w:top w:val="single" w:sz="6" w:space="0" w:color="auto"/>
              <w:bottom w:val="single" w:sz="12" w:space="0" w:color="auto"/>
            </w:tcBorders>
          </w:tcPr>
          <w:p w14:paraId="2F3C0858"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(1 060)</w:t>
            </w:r>
          </w:p>
        </w:tc>
        <w:tc>
          <w:tcPr>
            <w:tcW w:w="794" w:type="dxa"/>
            <w:tcBorders>
              <w:top w:val="single" w:sz="6" w:space="0" w:color="auto"/>
              <w:bottom w:val="single" w:sz="12" w:space="0" w:color="auto"/>
            </w:tcBorders>
          </w:tcPr>
          <w:p w14:paraId="2D18EE5D"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1 039</w:t>
            </w:r>
          </w:p>
        </w:tc>
      </w:tr>
    </w:tbl>
    <w:p w14:paraId="4CBA346E" w14:textId="77777777" w:rsidR="00346FC5" w:rsidRDefault="00346FC5" w:rsidP="00346FC5">
      <w:pPr>
        <w:pStyle w:val="Note"/>
      </w:pPr>
      <w:r>
        <w:t>Notes:</w:t>
      </w:r>
    </w:p>
    <w:p w14:paraId="1E7A4351" w14:textId="77777777" w:rsidR="00346FC5" w:rsidRDefault="00346FC5" w:rsidP="00346FC5">
      <w:pPr>
        <w:pStyle w:val="Note"/>
      </w:pPr>
      <w:r>
        <w:t xml:space="preserve">(a) </w:t>
      </w:r>
      <w:r>
        <w:tab/>
        <w:t>Figures in this table are subject to rounding to the nearest million and may not add up to totals.</w:t>
      </w:r>
    </w:p>
    <w:p w14:paraId="53754EB8" w14:textId="77777777" w:rsidR="00346FC5" w:rsidRDefault="00346FC5" w:rsidP="00346FC5">
      <w:pPr>
        <w:pStyle w:val="Note"/>
      </w:pPr>
      <w:r>
        <w:t>(b)</w:t>
      </w:r>
      <w:r>
        <w:tab/>
        <w:t xml:space="preserve">This is represented in Table 4.4 as the </w:t>
      </w:r>
      <w:r w:rsidRPr="00CE36DA">
        <w:rPr>
          <w:i w:val="0"/>
          <w:iCs/>
        </w:rPr>
        <w:t>202</w:t>
      </w:r>
      <w:r>
        <w:rPr>
          <w:i w:val="0"/>
          <w:iCs/>
        </w:rPr>
        <w:t>3</w:t>
      </w:r>
      <w:r w:rsidRPr="00CE36DA">
        <w:rPr>
          <w:i w:val="0"/>
          <w:iCs/>
        </w:rPr>
        <w:t>-2</w:t>
      </w:r>
      <w:r>
        <w:rPr>
          <w:i w:val="0"/>
          <w:iCs/>
        </w:rPr>
        <w:t>4</w:t>
      </w:r>
      <w:r w:rsidRPr="00CE36DA">
        <w:rPr>
          <w:i w:val="0"/>
          <w:iCs/>
        </w:rPr>
        <w:t xml:space="preserve"> Budget</w:t>
      </w:r>
      <w:r>
        <w:t xml:space="preserve"> output policy initiatives.</w:t>
      </w:r>
    </w:p>
    <w:p w14:paraId="5659CFF2" w14:textId="77777777" w:rsidR="00346FC5" w:rsidRDefault="00346FC5" w:rsidP="00346FC5">
      <w:pPr>
        <w:pStyle w:val="Note"/>
      </w:pPr>
      <w:r>
        <w:t>(c)</w:t>
      </w:r>
      <w:r>
        <w:tab/>
        <w:t xml:space="preserve">Comprises dividends and income tax and rate equivalent revenue. </w:t>
      </w:r>
    </w:p>
    <w:p w14:paraId="4E8B4E5B" w14:textId="77777777" w:rsidR="00346FC5" w:rsidRDefault="00346FC5" w:rsidP="00346FC5">
      <w:pPr>
        <w:pStyle w:val="Note"/>
      </w:pPr>
      <w:r>
        <w:t>(d)</w:t>
      </w:r>
      <w:r>
        <w:tab/>
        <w:t xml:space="preserve">Reflects the change in grant revenue as per Note 1.2.4 of Budget Paper No. 5, Chapter 1 </w:t>
      </w:r>
      <w:r w:rsidRPr="00CE36DA">
        <w:rPr>
          <w:i w:val="0"/>
          <w:iCs/>
        </w:rPr>
        <w:t>Estimated Financial Statements for the general government sector</w:t>
      </w:r>
      <w:r>
        <w:t xml:space="preserve"> less associated expense movements.</w:t>
      </w:r>
    </w:p>
    <w:p w14:paraId="5149D1EC" w14:textId="77777777" w:rsidR="00346FC5" w:rsidRDefault="00346FC5" w:rsidP="00346FC5">
      <w:pPr>
        <w:pStyle w:val="Note"/>
      </w:pPr>
      <w:r>
        <w:t>(e)</w:t>
      </w:r>
      <w:r>
        <w:tab/>
        <w:t xml:space="preserve">Represents releases from the funding not allocated to specific purposes contingency associated with </w:t>
      </w:r>
      <w:r w:rsidRPr="00CE36DA">
        <w:rPr>
          <w:i w:val="0"/>
          <w:iCs/>
        </w:rPr>
        <w:t>202</w:t>
      </w:r>
      <w:r>
        <w:rPr>
          <w:i w:val="0"/>
          <w:iCs/>
        </w:rPr>
        <w:t>3</w:t>
      </w:r>
      <w:r w:rsidRPr="00CE36DA">
        <w:rPr>
          <w:i w:val="0"/>
          <w:iCs/>
        </w:rPr>
        <w:t>-2</w:t>
      </w:r>
      <w:r>
        <w:rPr>
          <w:i w:val="0"/>
          <w:iCs/>
        </w:rPr>
        <w:t>4</w:t>
      </w:r>
      <w:r w:rsidRPr="00CE36DA">
        <w:rPr>
          <w:i w:val="0"/>
          <w:iCs/>
        </w:rPr>
        <w:t xml:space="preserve"> Budget</w:t>
      </w:r>
      <w:r>
        <w:t xml:space="preserve"> new output initiatives. Further information on total output contingencies can be found at Note 1.3.5 of Budget Paper No. 5, Chapter 1 </w:t>
      </w:r>
      <w:r w:rsidRPr="00CE36DA">
        <w:rPr>
          <w:i w:val="0"/>
          <w:iCs/>
        </w:rPr>
        <w:t>Estimated Financial Statements for the general government sector</w:t>
      </w:r>
      <w:r>
        <w:t>.</w:t>
      </w:r>
    </w:p>
    <w:p w14:paraId="180734E9" w14:textId="77777777" w:rsidR="00346FC5" w:rsidRDefault="00346FC5" w:rsidP="00346FC5">
      <w:pPr>
        <w:pStyle w:val="Heading30"/>
        <w:pageBreakBefore/>
      </w:pPr>
      <w:r>
        <w:t>Policy variations</w:t>
      </w:r>
    </w:p>
    <w:p w14:paraId="678590E1" w14:textId="77777777" w:rsidR="00346FC5" w:rsidRDefault="00346FC5" w:rsidP="00346FC5">
      <w:r>
        <w:t>Policy variations reflect specific initiatives by the Government that have a fiscal impact and are related to a new policy or represent a change in the Government’s existing policy position since PEBU.</w:t>
      </w:r>
    </w:p>
    <w:p w14:paraId="0A13F776" w14:textId="77777777" w:rsidR="00346FC5" w:rsidRDefault="00346FC5" w:rsidP="00346FC5">
      <w:r w:rsidRPr="00F53F54">
        <w:t xml:space="preserve">The </w:t>
      </w:r>
      <w:r w:rsidRPr="00F53F54">
        <w:rPr>
          <w:i/>
          <w:iCs/>
        </w:rPr>
        <w:t>2023</w:t>
      </w:r>
      <w:r w:rsidRPr="00F53F54">
        <w:rPr>
          <w:i/>
          <w:iCs/>
        </w:rPr>
        <w:noBreakHyphen/>
        <w:t>24 Budget</w:t>
      </w:r>
      <w:r w:rsidRPr="00F53F54">
        <w:t xml:space="preserve"> funds $1</w:t>
      </w:r>
      <w:r>
        <w:t>5.4</w:t>
      </w:r>
      <w:r w:rsidRPr="00F53F54">
        <w:t xml:space="preserve"> billion in new output initiatives over the five years to 2026</w:t>
      </w:r>
      <w:r w:rsidRPr="00F53F54">
        <w:rPr>
          <w:rFonts w:ascii="Times New Roman" w:hAnsi="Times New Roman" w:cs="Times New Roman"/>
        </w:rPr>
        <w:t>‑</w:t>
      </w:r>
      <w:r w:rsidRPr="00F53F54">
        <w:t>27</w:t>
      </w:r>
      <w:r w:rsidRPr="00981C4E">
        <w:t xml:space="preserve"> </w:t>
      </w:r>
      <w:r w:rsidRPr="00E90BAC">
        <w:t xml:space="preserve">which includes implementation of the Government’s election commitments outlined in </w:t>
      </w:r>
      <w:r w:rsidRPr="00EF103A">
        <w:t>LFS</w:t>
      </w:r>
      <w:r w:rsidRPr="00F53F54">
        <w:t>. Table 4.4 shows the impact of the new output initiatives in this budget from 202</w:t>
      </w:r>
      <w:r>
        <w:t>3</w:t>
      </w:r>
      <w:r w:rsidRPr="00F53F54">
        <w:t>-2</w:t>
      </w:r>
      <w:r>
        <w:t>4 to 2026-27</w:t>
      </w:r>
      <w:r w:rsidRPr="00F53F54">
        <w:t>.</w:t>
      </w:r>
    </w:p>
    <w:p w14:paraId="3B0916AD" w14:textId="08BF375C" w:rsidR="00346FC5" w:rsidRDefault="00346FC5" w:rsidP="00346FC5">
      <w:r>
        <w:t>Details of specific new output and revenue policy initiatives are contained in Budget Paper</w:t>
      </w:r>
      <w:r w:rsidR="0033262F">
        <w:t> </w:t>
      </w:r>
      <w:r>
        <w:t xml:space="preserve">No. 3, Chapter 1 </w:t>
      </w:r>
      <w:r w:rsidRPr="00CE36DA">
        <w:rPr>
          <w:i/>
          <w:iCs/>
        </w:rPr>
        <w:t>Output, asset investment, savings and revenue initiatives</w:t>
      </w:r>
      <w:r>
        <w:t>.</w:t>
      </w:r>
    </w:p>
    <w:p w14:paraId="66B7B626" w14:textId="77777777" w:rsidR="00346FC5" w:rsidRDefault="00346FC5" w:rsidP="00346FC5">
      <w:pPr>
        <w:pStyle w:val="TableHeading"/>
      </w:pPr>
      <w:r>
        <w:t xml:space="preserve">Table 4.4: </w:t>
      </w:r>
      <w:r>
        <w:tab/>
        <w:t xml:space="preserve">Net impact of the </w:t>
      </w:r>
      <w:r w:rsidRPr="00CE36DA">
        <w:rPr>
          <w:i/>
          <w:iCs w:val="0"/>
        </w:rPr>
        <w:t>202</w:t>
      </w:r>
      <w:r>
        <w:rPr>
          <w:i/>
          <w:iCs w:val="0"/>
        </w:rPr>
        <w:t>3</w:t>
      </w:r>
      <w:r w:rsidRPr="00CE36DA">
        <w:rPr>
          <w:i/>
          <w:iCs w:val="0"/>
        </w:rPr>
        <w:t>-2</w:t>
      </w:r>
      <w:r>
        <w:rPr>
          <w:i/>
          <w:iCs w:val="0"/>
        </w:rPr>
        <w:t>4</w:t>
      </w:r>
      <w:r w:rsidRPr="00CE36DA">
        <w:rPr>
          <w:i/>
          <w:iCs w:val="0"/>
        </w:rPr>
        <w:t xml:space="preserve"> Budget</w:t>
      </w:r>
      <w:r>
        <w:t xml:space="preserve"> new output initiatives </w:t>
      </w:r>
      <w:r w:rsidRPr="00CE36DA">
        <w:rPr>
          <w:vertAlign w:val="superscript"/>
        </w:rPr>
        <w:t>(a)</w:t>
      </w:r>
      <w:r>
        <w:tab/>
        <w:t>($ million)</w:t>
      </w:r>
    </w:p>
    <w:tbl>
      <w:tblPr>
        <w:tblStyle w:val="DTFTableNumeric"/>
        <w:tblW w:w="7710" w:type="dxa"/>
        <w:tblLayout w:type="fixed"/>
        <w:tblLook w:val="06A0" w:firstRow="1" w:lastRow="0" w:firstColumn="1" w:lastColumn="0" w:noHBand="1" w:noVBand="1"/>
        <w:tblDescription w:val="Type:DtfTable|Workbook:https://vicgov.sharepoint.com/sites/msteams_12cfc2/BP2/Chapter%204/Link_BP2-Chapter4.xlsx|Table:NetImpactOfNewInitiatives|MergedHeadingRow:1"/>
      </w:tblPr>
      <w:tblGrid>
        <w:gridCol w:w="4534"/>
        <w:gridCol w:w="794"/>
        <w:gridCol w:w="794"/>
        <w:gridCol w:w="794"/>
        <w:gridCol w:w="794"/>
      </w:tblGrid>
      <w:tr w:rsidR="00346FC5" w14:paraId="2D4A9F78" w14:textId="77777777" w:rsidTr="009835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30D3BEB3" w14:textId="77777777" w:rsidR="00346FC5" w:rsidRDefault="00346FC5" w:rsidP="0098354D">
            <w:pPr>
              <w:keepNext/>
            </w:pPr>
          </w:p>
        </w:tc>
        <w:tc>
          <w:tcPr>
            <w:tcW w:w="794" w:type="dxa"/>
          </w:tcPr>
          <w:p w14:paraId="4647AC46"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46A8CBB3"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549B7CCD"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6C0F9817"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346FC5" w14:paraId="73640C41" w14:textId="77777777" w:rsidTr="0098354D">
        <w:tc>
          <w:tcPr>
            <w:cnfStyle w:val="001000000000" w:firstRow="0" w:lastRow="0" w:firstColumn="1" w:lastColumn="0" w:oddVBand="0" w:evenVBand="0" w:oddHBand="0" w:evenHBand="0" w:firstRowFirstColumn="0" w:firstRowLastColumn="0" w:lastRowFirstColumn="0" w:lastRowLastColumn="0"/>
            <w:tcW w:w="4534" w:type="dxa"/>
          </w:tcPr>
          <w:p w14:paraId="22D494D7" w14:textId="77777777" w:rsidR="00346FC5" w:rsidRDefault="00346FC5" w:rsidP="0098354D">
            <w:r>
              <w:rPr>
                <w:b/>
              </w:rPr>
              <w:t>New output initiatives</w:t>
            </w:r>
          </w:p>
        </w:tc>
        <w:tc>
          <w:tcPr>
            <w:tcW w:w="794" w:type="dxa"/>
          </w:tcPr>
          <w:p w14:paraId="505EB234"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4 787</w:t>
            </w:r>
          </w:p>
        </w:tc>
        <w:tc>
          <w:tcPr>
            <w:tcW w:w="794" w:type="dxa"/>
          </w:tcPr>
          <w:p w14:paraId="5BE7544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3 085</w:t>
            </w:r>
          </w:p>
        </w:tc>
        <w:tc>
          <w:tcPr>
            <w:tcW w:w="794" w:type="dxa"/>
          </w:tcPr>
          <w:p w14:paraId="5498E409"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2 474</w:t>
            </w:r>
          </w:p>
        </w:tc>
        <w:tc>
          <w:tcPr>
            <w:tcW w:w="794" w:type="dxa"/>
          </w:tcPr>
          <w:p w14:paraId="0871089C"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3 045</w:t>
            </w:r>
          </w:p>
        </w:tc>
      </w:tr>
      <w:tr w:rsidR="00346FC5" w14:paraId="5A41C088" w14:textId="77777777" w:rsidTr="0098354D">
        <w:tc>
          <w:tcPr>
            <w:cnfStyle w:val="001000000000" w:firstRow="0" w:lastRow="0" w:firstColumn="1" w:lastColumn="0" w:oddVBand="0" w:evenVBand="0" w:oddHBand="0" w:evenHBand="0" w:firstRowFirstColumn="0" w:firstRowLastColumn="0" w:lastRowFirstColumn="0" w:lastRowLastColumn="0"/>
            <w:tcW w:w="4534" w:type="dxa"/>
          </w:tcPr>
          <w:p w14:paraId="603713AB" w14:textId="77777777" w:rsidR="00346FC5" w:rsidRDefault="00346FC5" w:rsidP="0098354D">
            <w:r>
              <w:t>Less:</w:t>
            </w:r>
          </w:p>
        </w:tc>
        <w:tc>
          <w:tcPr>
            <w:tcW w:w="794" w:type="dxa"/>
          </w:tcPr>
          <w:p w14:paraId="3BFA8347"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148B13D0"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3683BDF2"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771ACD45"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14:paraId="76B21174" w14:textId="77777777" w:rsidTr="0098354D">
        <w:tc>
          <w:tcPr>
            <w:cnfStyle w:val="001000000000" w:firstRow="0" w:lastRow="0" w:firstColumn="1" w:lastColumn="0" w:oddVBand="0" w:evenVBand="0" w:oddHBand="0" w:evenHBand="0" w:firstRowFirstColumn="0" w:firstRowLastColumn="0" w:lastRowFirstColumn="0" w:lastRowLastColumn="0"/>
            <w:tcW w:w="4534" w:type="dxa"/>
          </w:tcPr>
          <w:p w14:paraId="278413F9" w14:textId="77777777" w:rsidR="00346FC5" w:rsidRDefault="00346FC5" w:rsidP="0098354D">
            <w:r>
              <w:t xml:space="preserve">      Reprioritisations and revenue offsets </w:t>
            </w:r>
            <w:r>
              <w:rPr>
                <w:vertAlign w:val="superscript"/>
              </w:rPr>
              <w:t>(b)</w:t>
            </w:r>
          </w:p>
        </w:tc>
        <w:tc>
          <w:tcPr>
            <w:tcW w:w="794" w:type="dxa"/>
          </w:tcPr>
          <w:p w14:paraId="10FF06E2"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561</w:t>
            </w:r>
          </w:p>
        </w:tc>
        <w:tc>
          <w:tcPr>
            <w:tcW w:w="794" w:type="dxa"/>
          </w:tcPr>
          <w:p w14:paraId="22B7D442"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529</w:t>
            </w:r>
          </w:p>
        </w:tc>
        <w:tc>
          <w:tcPr>
            <w:tcW w:w="794" w:type="dxa"/>
          </w:tcPr>
          <w:p w14:paraId="0156BEBF"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487</w:t>
            </w:r>
          </w:p>
        </w:tc>
        <w:tc>
          <w:tcPr>
            <w:tcW w:w="794" w:type="dxa"/>
          </w:tcPr>
          <w:p w14:paraId="77E065E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489</w:t>
            </w:r>
          </w:p>
        </w:tc>
      </w:tr>
      <w:tr w:rsidR="00346FC5" w14:paraId="57104A1D" w14:textId="77777777" w:rsidTr="0098354D">
        <w:tc>
          <w:tcPr>
            <w:cnfStyle w:val="001000000000" w:firstRow="0" w:lastRow="0" w:firstColumn="1" w:lastColumn="0" w:oddVBand="0" w:evenVBand="0" w:oddHBand="0" w:evenHBand="0" w:firstRowFirstColumn="0" w:firstRowLastColumn="0" w:lastRowFirstColumn="0" w:lastRowLastColumn="0"/>
            <w:tcW w:w="4534" w:type="dxa"/>
          </w:tcPr>
          <w:p w14:paraId="28547FE9" w14:textId="77777777" w:rsidR="00346FC5" w:rsidRDefault="00346FC5" w:rsidP="0098354D">
            <w:r>
              <w:t xml:space="preserve">      Adjustments </w:t>
            </w:r>
            <w:r>
              <w:rPr>
                <w:vertAlign w:val="superscript"/>
              </w:rPr>
              <w:t>(c)</w:t>
            </w:r>
          </w:p>
        </w:tc>
        <w:tc>
          <w:tcPr>
            <w:tcW w:w="794" w:type="dxa"/>
          </w:tcPr>
          <w:p w14:paraId="4CBBCF5B"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(513)</w:t>
            </w:r>
          </w:p>
        </w:tc>
        <w:tc>
          <w:tcPr>
            <w:tcW w:w="794" w:type="dxa"/>
          </w:tcPr>
          <w:p w14:paraId="5C0EBB5C"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(383)</w:t>
            </w:r>
          </w:p>
        </w:tc>
        <w:tc>
          <w:tcPr>
            <w:tcW w:w="794" w:type="dxa"/>
          </w:tcPr>
          <w:p w14:paraId="3C36A871"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(1 041)</w:t>
            </w:r>
          </w:p>
        </w:tc>
        <w:tc>
          <w:tcPr>
            <w:tcW w:w="794" w:type="dxa"/>
          </w:tcPr>
          <w:p w14:paraId="17E8BFBC"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(900)</w:t>
            </w:r>
          </w:p>
        </w:tc>
      </w:tr>
      <w:tr w:rsidR="00346FC5" w14:paraId="7979FCB7" w14:textId="77777777" w:rsidTr="0098354D">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26F82AEE" w14:textId="77777777" w:rsidR="00346FC5" w:rsidRDefault="00346FC5" w:rsidP="0098354D">
            <w:r>
              <w:t xml:space="preserve">      Savings </w:t>
            </w:r>
            <w:r>
              <w:rPr>
                <w:vertAlign w:val="superscript"/>
              </w:rPr>
              <w:t>(d)</w:t>
            </w:r>
          </w:p>
        </w:tc>
        <w:tc>
          <w:tcPr>
            <w:tcW w:w="794" w:type="dxa"/>
            <w:tcBorders>
              <w:bottom w:val="single" w:sz="6" w:space="0" w:color="auto"/>
            </w:tcBorders>
          </w:tcPr>
          <w:p w14:paraId="1993B19F"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307</w:t>
            </w:r>
          </w:p>
        </w:tc>
        <w:tc>
          <w:tcPr>
            <w:tcW w:w="794" w:type="dxa"/>
            <w:tcBorders>
              <w:bottom w:val="single" w:sz="6" w:space="0" w:color="auto"/>
            </w:tcBorders>
          </w:tcPr>
          <w:p w14:paraId="5211ED5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679</w:t>
            </w:r>
          </w:p>
        </w:tc>
        <w:tc>
          <w:tcPr>
            <w:tcW w:w="794" w:type="dxa"/>
            <w:tcBorders>
              <w:bottom w:val="single" w:sz="6" w:space="0" w:color="auto"/>
            </w:tcBorders>
          </w:tcPr>
          <w:p w14:paraId="14CAEE83"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760</w:t>
            </w:r>
          </w:p>
        </w:tc>
        <w:tc>
          <w:tcPr>
            <w:tcW w:w="794" w:type="dxa"/>
            <w:tcBorders>
              <w:bottom w:val="single" w:sz="6" w:space="0" w:color="auto"/>
            </w:tcBorders>
          </w:tcPr>
          <w:p w14:paraId="482CCB24"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823</w:t>
            </w:r>
          </w:p>
        </w:tc>
      </w:tr>
      <w:tr w:rsidR="00346FC5" w14:paraId="0EA5443F" w14:textId="77777777" w:rsidTr="0098354D">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6" w:space="0" w:color="auto"/>
            </w:tcBorders>
          </w:tcPr>
          <w:p w14:paraId="57E0F41C" w14:textId="77777777" w:rsidR="00346FC5" w:rsidRDefault="00346FC5" w:rsidP="0098354D">
            <w:r>
              <w:rPr>
                <w:b/>
                <w:i/>
              </w:rPr>
              <w:t>2023</w:t>
            </w:r>
            <w:r>
              <w:rPr>
                <w:b/>
                <w:i/>
              </w:rPr>
              <w:noBreakHyphen/>
              <w:t>24 Budget</w:t>
            </w:r>
            <w:r>
              <w:rPr>
                <w:b/>
              </w:rPr>
              <w:t xml:space="preserve"> output policy initiatives</w:t>
            </w:r>
          </w:p>
        </w:tc>
        <w:tc>
          <w:tcPr>
            <w:tcW w:w="794" w:type="dxa"/>
            <w:tcBorders>
              <w:top w:val="single" w:sz="6" w:space="0" w:color="auto"/>
              <w:bottom w:val="single" w:sz="6" w:space="0" w:color="auto"/>
            </w:tcBorders>
          </w:tcPr>
          <w:p w14:paraId="6C01CB48"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4 432</w:t>
            </w:r>
          </w:p>
        </w:tc>
        <w:tc>
          <w:tcPr>
            <w:tcW w:w="794" w:type="dxa"/>
            <w:tcBorders>
              <w:top w:val="single" w:sz="6" w:space="0" w:color="auto"/>
              <w:bottom w:val="single" w:sz="6" w:space="0" w:color="auto"/>
            </w:tcBorders>
          </w:tcPr>
          <w:p w14:paraId="1BE085B1"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2 261</w:t>
            </w:r>
          </w:p>
        </w:tc>
        <w:tc>
          <w:tcPr>
            <w:tcW w:w="794" w:type="dxa"/>
            <w:tcBorders>
              <w:top w:val="single" w:sz="6" w:space="0" w:color="auto"/>
              <w:bottom w:val="single" w:sz="6" w:space="0" w:color="auto"/>
            </w:tcBorders>
          </w:tcPr>
          <w:p w14:paraId="0F758695"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2 268</w:t>
            </w:r>
          </w:p>
        </w:tc>
        <w:tc>
          <w:tcPr>
            <w:tcW w:w="794" w:type="dxa"/>
            <w:tcBorders>
              <w:top w:val="single" w:sz="6" w:space="0" w:color="auto"/>
              <w:bottom w:val="single" w:sz="6" w:space="0" w:color="auto"/>
            </w:tcBorders>
          </w:tcPr>
          <w:p w14:paraId="2AB8CD35"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2 632</w:t>
            </w:r>
          </w:p>
        </w:tc>
      </w:tr>
      <w:tr w:rsidR="00346FC5" w14:paraId="497E8012" w14:textId="77777777" w:rsidTr="0098354D">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6" w:space="0" w:color="auto"/>
            </w:tcBorders>
          </w:tcPr>
          <w:p w14:paraId="7537DE21" w14:textId="77777777" w:rsidR="00346FC5" w:rsidRDefault="00346FC5" w:rsidP="0098354D">
            <w:r>
              <w:t xml:space="preserve">Less: contingency offset for new policy </w:t>
            </w:r>
            <w:r>
              <w:rPr>
                <w:vertAlign w:val="superscript"/>
              </w:rPr>
              <w:t>(e)</w:t>
            </w:r>
          </w:p>
        </w:tc>
        <w:tc>
          <w:tcPr>
            <w:tcW w:w="794" w:type="dxa"/>
            <w:tcBorders>
              <w:top w:val="single" w:sz="6" w:space="0" w:color="auto"/>
              <w:bottom w:val="single" w:sz="6" w:space="0" w:color="auto"/>
            </w:tcBorders>
          </w:tcPr>
          <w:p w14:paraId="7B518F7F"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400</w:t>
            </w:r>
          </w:p>
        </w:tc>
        <w:tc>
          <w:tcPr>
            <w:tcW w:w="794" w:type="dxa"/>
            <w:tcBorders>
              <w:top w:val="single" w:sz="6" w:space="0" w:color="auto"/>
              <w:bottom w:val="single" w:sz="6" w:space="0" w:color="auto"/>
            </w:tcBorders>
          </w:tcPr>
          <w:p w14:paraId="02FAF08E"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700</w:t>
            </w:r>
          </w:p>
        </w:tc>
        <w:tc>
          <w:tcPr>
            <w:tcW w:w="794" w:type="dxa"/>
            <w:tcBorders>
              <w:top w:val="single" w:sz="6" w:space="0" w:color="auto"/>
              <w:bottom w:val="single" w:sz="6" w:space="0" w:color="auto"/>
            </w:tcBorders>
          </w:tcPr>
          <w:p w14:paraId="6FEB1CF9"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1 100</w:t>
            </w:r>
          </w:p>
        </w:tc>
        <w:tc>
          <w:tcPr>
            <w:tcW w:w="794" w:type="dxa"/>
            <w:tcBorders>
              <w:top w:val="single" w:sz="6" w:space="0" w:color="auto"/>
              <w:bottom w:val="single" w:sz="6" w:space="0" w:color="auto"/>
            </w:tcBorders>
          </w:tcPr>
          <w:p w14:paraId="29C36ECD"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400</w:t>
            </w:r>
          </w:p>
        </w:tc>
      </w:tr>
      <w:tr w:rsidR="00346FC5" w14:paraId="5694C711" w14:textId="77777777" w:rsidTr="0098354D">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150404F7" w14:textId="77777777" w:rsidR="00346FC5" w:rsidRDefault="00346FC5" w:rsidP="0098354D">
            <w:r>
              <w:rPr>
                <w:b/>
              </w:rPr>
              <w:t>Net impact</w:t>
            </w:r>
          </w:p>
        </w:tc>
        <w:tc>
          <w:tcPr>
            <w:tcW w:w="794" w:type="dxa"/>
            <w:tcBorders>
              <w:top w:val="single" w:sz="6" w:space="0" w:color="auto"/>
              <w:bottom w:val="single" w:sz="12" w:space="0" w:color="auto"/>
            </w:tcBorders>
          </w:tcPr>
          <w:p w14:paraId="563F23B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4 032</w:t>
            </w:r>
          </w:p>
        </w:tc>
        <w:tc>
          <w:tcPr>
            <w:tcW w:w="794" w:type="dxa"/>
            <w:tcBorders>
              <w:top w:val="single" w:sz="6" w:space="0" w:color="auto"/>
              <w:bottom w:val="single" w:sz="12" w:space="0" w:color="auto"/>
            </w:tcBorders>
          </w:tcPr>
          <w:p w14:paraId="4F49EEDC"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1 561</w:t>
            </w:r>
          </w:p>
        </w:tc>
        <w:tc>
          <w:tcPr>
            <w:tcW w:w="794" w:type="dxa"/>
            <w:tcBorders>
              <w:top w:val="single" w:sz="6" w:space="0" w:color="auto"/>
              <w:bottom w:val="single" w:sz="12" w:space="0" w:color="auto"/>
            </w:tcBorders>
          </w:tcPr>
          <w:p w14:paraId="625D3D6B"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1 168</w:t>
            </w:r>
          </w:p>
        </w:tc>
        <w:tc>
          <w:tcPr>
            <w:tcW w:w="794" w:type="dxa"/>
            <w:tcBorders>
              <w:top w:val="single" w:sz="6" w:space="0" w:color="auto"/>
              <w:bottom w:val="single" w:sz="12" w:space="0" w:color="auto"/>
            </w:tcBorders>
          </w:tcPr>
          <w:p w14:paraId="2E0A275C"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2 232</w:t>
            </w:r>
          </w:p>
        </w:tc>
      </w:tr>
    </w:tbl>
    <w:p w14:paraId="24A5BE6E" w14:textId="77777777" w:rsidR="00346FC5" w:rsidRDefault="00346FC5" w:rsidP="00346FC5">
      <w:pPr>
        <w:pStyle w:val="Note"/>
      </w:pPr>
      <w:r>
        <w:t>Notes:</w:t>
      </w:r>
    </w:p>
    <w:p w14:paraId="058740FB" w14:textId="77777777" w:rsidR="00346FC5" w:rsidRDefault="00346FC5" w:rsidP="00346FC5">
      <w:pPr>
        <w:pStyle w:val="Note"/>
      </w:pPr>
      <w:r>
        <w:t>(a)</w:t>
      </w:r>
      <w:r>
        <w:tab/>
        <w:t>Figures in this table are subject to rounding to the nearest million and may not add up to totals.</w:t>
      </w:r>
    </w:p>
    <w:p w14:paraId="30D48772" w14:textId="77777777" w:rsidR="00346FC5" w:rsidRDefault="00346FC5" w:rsidP="00346FC5">
      <w:pPr>
        <w:pStyle w:val="Note"/>
      </w:pPr>
      <w:r>
        <w:t>(b)</w:t>
      </w:r>
      <w:r>
        <w:tab/>
        <w:t>This includes the reprioritisation of resources previously allocated to departments and revenue offsets.</w:t>
      </w:r>
    </w:p>
    <w:p w14:paraId="645CE4F9" w14:textId="77777777" w:rsidR="00346FC5" w:rsidRDefault="00346FC5" w:rsidP="00346FC5">
      <w:pPr>
        <w:pStyle w:val="Note"/>
      </w:pPr>
      <w:r>
        <w:t>(c)</w:t>
      </w:r>
      <w:r>
        <w:tab/>
        <w:t>Primarily incorporates the net impact of the specific creation and release of contingencies held for decisions made but not yet allocated.</w:t>
      </w:r>
    </w:p>
    <w:p w14:paraId="5AC90603" w14:textId="77777777" w:rsidR="00346FC5" w:rsidRPr="000B3706" w:rsidRDefault="00346FC5" w:rsidP="00346FC5">
      <w:pPr>
        <w:pStyle w:val="Note"/>
      </w:pPr>
      <w:r>
        <w:t>(d)</w:t>
      </w:r>
      <w:r>
        <w:tab/>
        <w:t>Includes output savings only.</w:t>
      </w:r>
    </w:p>
    <w:p w14:paraId="6CF88DF5" w14:textId="77777777" w:rsidR="00346FC5" w:rsidRDefault="00346FC5" w:rsidP="00346FC5">
      <w:pPr>
        <w:pStyle w:val="Note"/>
      </w:pPr>
      <w:r>
        <w:t>(e)</w:t>
      </w:r>
      <w:r>
        <w:tab/>
        <w:t xml:space="preserve">Represents releases from the funding not allocated to specific purposes contingency associated with </w:t>
      </w:r>
      <w:r w:rsidRPr="00292098">
        <w:rPr>
          <w:i w:val="0"/>
        </w:rPr>
        <w:t>202</w:t>
      </w:r>
      <w:r>
        <w:rPr>
          <w:i w:val="0"/>
        </w:rPr>
        <w:t>3-24</w:t>
      </w:r>
      <w:r w:rsidRPr="00292098">
        <w:rPr>
          <w:i w:val="0"/>
        </w:rPr>
        <w:t xml:space="preserve"> Budget</w:t>
      </w:r>
      <w:r>
        <w:t xml:space="preserve"> new output initiatives. Further information on total output contingencies can be found at Note 1.3.5 of Budget Paper No. 5, Chapter 1 </w:t>
      </w:r>
      <w:r w:rsidRPr="0040435D">
        <w:rPr>
          <w:i w:val="0"/>
        </w:rPr>
        <w:t>Estimated Financial Statements for the general government sector</w:t>
      </w:r>
      <w:r>
        <w:t xml:space="preserve">. </w:t>
      </w:r>
    </w:p>
    <w:p w14:paraId="166AED49" w14:textId="77777777" w:rsidR="00346FC5" w:rsidRDefault="00346FC5" w:rsidP="00346FC5">
      <w:pPr>
        <w:pStyle w:val="Heading30"/>
      </w:pPr>
      <w:r>
        <w:t xml:space="preserve">Economic and demographic variations </w:t>
      </w:r>
    </w:p>
    <w:p w14:paraId="1F1DD7F9" w14:textId="77777777" w:rsidR="00346FC5" w:rsidRPr="00080227" w:rsidRDefault="00346FC5" w:rsidP="00346FC5">
      <w:r w:rsidRPr="00080227">
        <w:t xml:space="preserve">Since </w:t>
      </w:r>
      <w:r>
        <w:t>PEBU</w:t>
      </w:r>
      <w:r w:rsidRPr="00080227">
        <w:t xml:space="preserve">, Victoria’s taxation revenue has been revised </w:t>
      </w:r>
      <w:r>
        <w:t>down by $0.2 billion in 2023-24, and up slightly in 2024-25 and 2025-26, largely due to a fall in land transfer duty offset by an increase in payroll tax and land tax</w:t>
      </w:r>
      <w:r w:rsidRPr="00080227">
        <w:t>.</w:t>
      </w:r>
    </w:p>
    <w:p w14:paraId="56F325C0" w14:textId="77777777" w:rsidR="00346FC5" w:rsidRDefault="00346FC5" w:rsidP="00346FC5">
      <w:pPr>
        <w:pStyle w:val="Heading30"/>
      </w:pPr>
      <w:r>
        <w:t>Commonwealth grants variations</w:t>
      </w:r>
    </w:p>
    <w:p w14:paraId="48FC1CBA" w14:textId="76B9AFCA" w:rsidR="00346FC5" w:rsidRDefault="00346FC5" w:rsidP="00346FC5">
      <w:r w:rsidRPr="00323DDE">
        <w:t>Commonwealth general purpose grants (or GST grants) have been revised up by $</w:t>
      </w:r>
      <w:r>
        <w:t>1.0 b</w:t>
      </w:r>
      <w:r w:rsidRPr="00323DDE">
        <w:t>illion in 2023-24, $1</w:t>
      </w:r>
      <w:r>
        <w:t>.1</w:t>
      </w:r>
      <w:r w:rsidRPr="00323DDE">
        <w:t xml:space="preserve"> </w:t>
      </w:r>
      <w:r>
        <w:t>b</w:t>
      </w:r>
      <w:r w:rsidRPr="00323DDE">
        <w:t>illion in 2024-25, and $1</w:t>
      </w:r>
      <w:r>
        <w:t>.3 b</w:t>
      </w:r>
      <w:r w:rsidRPr="00323DDE">
        <w:t>illion in 2025-26</w:t>
      </w:r>
      <w:r w:rsidRPr="00400ADD">
        <w:t xml:space="preserve"> </w:t>
      </w:r>
      <w:r w:rsidRPr="00323DDE">
        <w:t xml:space="preserve">compared </w:t>
      </w:r>
      <w:r>
        <w:t>with</w:t>
      </w:r>
      <w:r w:rsidR="0033262F">
        <w:t> </w:t>
      </w:r>
      <w:r>
        <w:t>PEBU</w:t>
      </w:r>
      <w:r w:rsidRPr="00323DDE">
        <w:t xml:space="preserve">. </w:t>
      </w:r>
      <w:r w:rsidRPr="00284758">
        <w:t xml:space="preserve">Forecasts for the national GST pool have been upgraded, principally reflecting elevated receipts to March 2023. The outlook for Victoria’s GST sharing relativity has improved from PEBU after accounting for new data in the Commonwealth Grants Commission’s </w:t>
      </w:r>
      <w:r w:rsidRPr="00D75CD4">
        <w:rPr>
          <w:i/>
          <w:iCs/>
        </w:rPr>
        <w:t xml:space="preserve">GST Revenue Sharing Relativities </w:t>
      </w:r>
      <w:r>
        <w:rPr>
          <w:i/>
          <w:iCs/>
        </w:rPr>
        <w:t xml:space="preserve">– </w:t>
      </w:r>
      <w:r w:rsidRPr="00D75CD4">
        <w:rPr>
          <w:i/>
          <w:iCs/>
        </w:rPr>
        <w:t>2023 Update</w:t>
      </w:r>
      <w:r w:rsidRPr="00284758">
        <w:t>, and ongoing strength in commodity prices.</w:t>
      </w:r>
    </w:p>
    <w:p w14:paraId="0AE6ED95" w14:textId="77777777" w:rsidR="00346FC5" w:rsidRPr="00323DDE" w:rsidRDefault="00346FC5" w:rsidP="00346FC5">
      <w:r>
        <w:t>Net changes to specific purpose grants have decreased the operating result by an average of $0.7 billion a year from 2023-24 to 2025-26 compared with PEBU. The movements primarily reflect the state’s rephasing of some existing infrastructure grant revenue expected from the Commonwealth to match state capital expenditure profiles.</w:t>
      </w:r>
    </w:p>
    <w:p w14:paraId="583510B8" w14:textId="77777777" w:rsidR="00346FC5" w:rsidRDefault="00346FC5" w:rsidP="00346FC5">
      <w:pPr>
        <w:pStyle w:val="Heading30"/>
      </w:pPr>
      <w:r>
        <w:t>Administrative variations</w:t>
      </w:r>
    </w:p>
    <w:p w14:paraId="06CF4767" w14:textId="77777777" w:rsidR="00346FC5" w:rsidRPr="00DE2633" w:rsidRDefault="00346FC5" w:rsidP="00346FC5">
      <w:r w:rsidRPr="00DE2633">
        <w:t>Other administrative variations are expected to increase the operating result by $</w:t>
      </w:r>
      <w:r>
        <w:t>0.6</w:t>
      </w:r>
      <w:r w:rsidRPr="00DE2633">
        <w:t xml:space="preserve"> billion in </w:t>
      </w:r>
      <w:r>
        <w:t xml:space="preserve">2023-24 and decrease it by </w:t>
      </w:r>
      <w:r w:rsidRPr="00323DDE">
        <w:t>$1</w:t>
      </w:r>
      <w:r>
        <w:t>.9</w:t>
      </w:r>
      <w:r w:rsidRPr="00323DDE">
        <w:t xml:space="preserve"> </w:t>
      </w:r>
      <w:r>
        <w:t>b</w:t>
      </w:r>
      <w:r w:rsidRPr="00323DDE">
        <w:t>illion in 2024-25 and $</w:t>
      </w:r>
      <w:r>
        <w:t>1.9 b</w:t>
      </w:r>
      <w:r w:rsidRPr="00323DDE">
        <w:t>illion in 2025-26</w:t>
      </w:r>
      <w:r w:rsidRPr="00400ADD">
        <w:t xml:space="preserve"> </w:t>
      </w:r>
      <w:r w:rsidRPr="00323DDE">
        <w:t xml:space="preserve">compared </w:t>
      </w:r>
      <w:r>
        <w:t>with</w:t>
      </w:r>
      <w:r w:rsidRPr="00323DDE">
        <w:t xml:space="preserve"> </w:t>
      </w:r>
      <w:r>
        <w:t>PEBU</w:t>
      </w:r>
      <w:r w:rsidRPr="00323DDE">
        <w:t>.</w:t>
      </w:r>
      <w:r w:rsidRPr="00DE2633">
        <w:t xml:space="preserve"> The variations since </w:t>
      </w:r>
      <w:r>
        <w:t>PEBU</w:t>
      </w:r>
      <w:r w:rsidRPr="00DE2633">
        <w:t xml:space="preserve"> include:</w:t>
      </w:r>
    </w:p>
    <w:p w14:paraId="58F2E4C0" w14:textId="77777777" w:rsidR="00346FC5" w:rsidRPr="00DE2633" w:rsidRDefault="00346FC5" w:rsidP="007B1F83">
      <w:pPr>
        <w:pStyle w:val="ListBullet"/>
      </w:pPr>
      <w:r w:rsidRPr="00DE2633">
        <w:t xml:space="preserve">adjustments to the provisions for decisions made but not yet allocated that are outlined in Note 1.3.5 of Budget Paper No. 5, Chapter 1 </w:t>
      </w:r>
      <w:r w:rsidRPr="00DE2633">
        <w:rPr>
          <w:i/>
          <w:iCs/>
        </w:rPr>
        <w:t>Estimated Financial Statements for the general government sector</w:t>
      </w:r>
    </w:p>
    <w:p w14:paraId="793E8BA3" w14:textId="77777777" w:rsidR="00346FC5" w:rsidRPr="00DE2633" w:rsidRDefault="00346FC5" w:rsidP="007B1F83">
      <w:pPr>
        <w:pStyle w:val="ListBullet"/>
      </w:pPr>
      <w:r>
        <w:t>adjustments to the expected profile of grants from the public financial corporations (PFC) sector</w:t>
      </w:r>
    </w:p>
    <w:p w14:paraId="6F7FF003" w14:textId="77777777" w:rsidR="00346FC5" w:rsidRDefault="00346FC5" w:rsidP="007B1F83">
      <w:pPr>
        <w:pStyle w:val="ListBullet"/>
        <w:numPr>
          <w:ilvl w:val="0"/>
          <w:numId w:val="19"/>
        </w:numPr>
        <w:tabs>
          <w:tab w:val="clear" w:pos="720"/>
        </w:tabs>
        <w:ind w:left="340" w:hanging="340"/>
      </w:pPr>
      <w:r w:rsidRPr="00184FEA">
        <w:t>an increase in the net superannuation interest expense on the state’s defined benefit superannuation liability from 2023-24 due to the combined impact of changes in valuation assumptions and the deferral of superannuation top-up payments</w:t>
      </w:r>
    </w:p>
    <w:p w14:paraId="1A27906A" w14:textId="77777777" w:rsidR="00346FC5" w:rsidRDefault="00346FC5" w:rsidP="007B1F83">
      <w:pPr>
        <w:pStyle w:val="ListBullet"/>
      </w:pPr>
      <w:r w:rsidRPr="00123D1D">
        <w:t xml:space="preserve">a decrease in interest expense since </w:t>
      </w:r>
      <w:r>
        <w:t>PEBU</w:t>
      </w:r>
      <w:r w:rsidRPr="00123D1D">
        <w:t xml:space="preserve"> mainly due to a broader decline in </w:t>
      </w:r>
      <w:r>
        <w:t xml:space="preserve">the Treasury Corporation of Victoria (TCV) </w:t>
      </w:r>
      <w:r w:rsidRPr="00123D1D">
        <w:t>bond yield</w:t>
      </w:r>
      <w:r>
        <w:t>s</w:t>
      </w:r>
      <w:r w:rsidRPr="00123D1D">
        <w:t xml:space="preserve"> as markets factor in </w:t>
      </w:r>
      <w:r>
        <w:t xml:space="preserve">the impact of domestic </w:t>
      </w:r>
      <w:r w:rsidRPr="00123D1D">
        <w:t>and</w:t>
      </w:r>
      <w:r w:rsidRPr="00123D1D" w:rsidDel="00994F81">
        <w:t xml:space="preserve"> </w:t>
      </w:r>
      <w:r w:rsidRPr="00123D1D">
        <w:t>global monetary tightening cycles</w:t>
      </w:r>
      <w:r w:rsidRPr="00123D1D" w:rsidDel="00092B37">
        <w:t xml:space="preserve"> </w:t>
      </w:r>
      <w:r w:rsidRPr="00123D1D">
        <w:t>on the economy</w:t>
      </w:r>
      <w:r>
        <w:t>.</w:t>
      </w:r>
    </w:p>
    <w:p w14:paraId="7ADBE694" w14:textId="77777777" w:rsidR="00346FC5" w:rsidRPr="00656E08" w:rsidRDefault="00346FC5" w:rsidP="00346FC5">
      <w:pPr>
        <w:pStyle w:val="Heading20"/>
      </w:pPr>
      <w:r w:rsidRPr="00656E08">
        <w:t>Capital expenditure</w:t>
      </w:r>
    </w:p>
    <w:p w14:paraId="6129C52F" w14:textId="77777777" w:rsidR="00346FC5" w:rsidRDefault="00346FC5" w:rsidP="00346FC5">
      <w:r>
        <w:t xml:space="preserve">Government infrastructure investment (GII), which measures investment funded by the Government and estimated private sector construction related expenditure on public private partnership projects, is expected to average $19.6 billion a year over the budget and forward estimates. </w:t>
      </w:r>
    </w:p>
    <w:p w14:paraId="1A7E7B03" w14:textId="77777777" w:rsidR="00346FC5" w:rsidRDefault="00346FC5" w:rsidP="00346FC5">
      <w:r>
        <w:t>This includes investments in health, housing, education, transport and cultural precincts, as well as major productivity-enhancing projects such as North East Link, Metro Tunnel, West Gate Tunnel, Suburban Rail Loop and Level Crossing Removal Program.</w:t>
      </w:r>
    </w:p>
    <w:p w14:paraId="0141DAE4" w14:textId="77777777" w:rsidR="00346FC5" w:rsidRDefault="00346FC5" w:rsidP="00346FC5">
      <w:r w:rsidRPr="00C205F6">
        <w:t xml:space="preserve">The Government continues to deliver capital investments aimed at supporting jobs and improving productivity and the quality of public service delivery. New investment focuses on delivering the Government’s election commitments alongside existing projects. </w:t>
      </w:r>
    </w:p>
    <w:p w14:paraId="5677042A" w14:textId="77777777" w:rsidR="00346FC5" w:rsidRDefault="00346FC5" w:rsidP="00346FC5">
      <w:r>
        <w:t xml:space="preserve">Further information on the Government’s infrastructure investment, and how it will support jobs and the economy, is available in Budget Paper No. 4, Chapter 1 </w:t>
      </w:r>
      <w:r w:rsidRPr="00397DDD">
        <w:rPr>
          <w:i/>
        </w:rPr>
        <w:t>State Capital Program 2023-24</w:t>
      </w:r>
      <w:r>
        <w:rPr>
          <w:i/>
          <w:iCs/>
        </w:rPr>
        <w:t>.</w:t>
      </w:r>
    </w:p>
    <w:p w14:paraId="2EE7A6F6" w14:textId="77777777" w:rsidR="00346FC5" w:rsidRDefault="00346FC5" w:rsidP="00346FC5">
      <w:r>
        <w:t xml:space="preserve">Budget Paper No. 3, Chapter 1 </w:t>
      </w:r>
      <w:r w:rsidRPr="00CE36DA">
        <w:rPr>
          <w:i/>
          <w:iCs/>
        </w:rPr>
        <w:t>Output, asset investment, savings and revenue initiatives</w:t>
      </w:r>
      <w:r>
        <w:t xml:space="preserve"> provides details of new individual asset initiatives committed since PEBU.</w:t>
      </w:r>
    </w:p>
    <w:p w14:paraId="07FCF94C" w14:textId="77777777" w:rsidR="00346FC5" w:rsidRPr="006517A2" w:rsidRDefault="00346FC5" w:rsidP="00346FC5">
      <w:pPr>
        <w:pStyle w:val="TableHeading"/>
      </w:pPr>
      <w:r w:rsidRPr="002D7ED4">
        <w:t>Chart 4.1:</w:t>
      </w:r>
      <w:r w:rsidRPr="002D7ED4">
        <w:tab/>
        <w:t xml:space="preserve">Government infrastructure investment </w:t>
      </w:r>
      <w:r w:rsidRPr="002D7ED4">
        <w:rPr>
          <w:vertAlign w:val="superscript"/>
        </w:rPr>
        <w:t>(a)(b)(c)</w:t>
      </w:r>
    </w:p>
    <w:p w14:paraId="0EF4887E" w14:textId="77777777" w:rsidR="00346FC5" w:rsidRDefault="00346FC5" w:rsidP="00346FC5">
      <w:r>
        <w:rPr>
          <w:noProof/>
        </w:rPr>
        <w:drawing>
          <wp:inline distT="0" distB="0" distL="0" distR="0" wp14:anchorId="6A82930C" wp14:editId="1EE71534">
            <wp:extent cx="4896485" cy="2707005"/>
            <wp:effectExtent l="0" t="0" r="0" b="0"/>
            <wp:docPr id="20" name="Chart 20">
              <a:extLst xmlns:a="http://schemas.openxmlformats.org/drawingml/2006/main">
                <a:ext uri="{FF2B5EF4-FFF2-40B4-BE49-F238E27FC236}">
                  <a16:creationId xmlns:a16="http://schemas.microsoft.com/office/drawing/2014/main" id="{45912A28-BC50-4895-9004-7CE96FF91F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624FFDF" w14:textId="77777777" w:rsidR="00346FC5" w:rsidRDefault="00346FC5" w:rsidP="00346FC5">
      <w:pPr>
        <w:pStyle w:val="Note"/>
      </w:pPr>
      <w:r>
        <w:t>Notes:</w:t>
      </w:r>
    </w:p>
    <w:p w14:paraId="6478ED65" w14:textId="77777777" w:rsidR="00346FC5" w:rsidRDefault="00346FC5" w:rsidP="00346FC5">
      <w:pPr>
        <w:pStyle w:val="Note"/>
      </w:pPr>
      <w:r>
        <w:t>(a)</w:t>
      </w:r>
      <w:r>
        <w:tab/>
        <w:t>Includes general government net infrastructure investment and the estimated cash flows for public private partnership projects.</w:t>
      </w:r>
    </w:p>
    <w:p w14:paraId="0E381E4D" w14:textId="77777777" w:rsidR="00346FC5" w:rsidRDefault="00346FC5" w:rsidP="00346FC5">
      <w:pPr>
        <w:pStyle w:val="Note"/>
      </w:pPr>
      <w:r>
        <w:t>(b)</w:t>
      </w:r>
      <w:r>
        <w:tab/>
        <w:t>Includes the estimated private sector construction-related expenditure associated with the North East Link held in the PNFC sector.</w:t>
      </w:r>
    </w:p>
    <w:p w14:paraId="19EF24F3" w14:textId="77777777" w:rsidR="00346FC5" w:rsidRDefault="00346FC5" w:rsidP="00346FC5">
      <w:pPr>
        <w:pStyle w:val="Note"/>
      </w:pPr>
      <w:r>
        <w:t>(c)</w:t>
      </w:r>
      <w:r>
        <w:tab/>
        <w:t>Excludes the impact of the medium-term lease over the operations of the Port of Melbourne and the divestment of Victoria’s share of Snowy Hydro Limited.</w:t>
      </w:r>
    </w:p>
    <w:p w14:paraId="066941DE" w14:textId="77777777" w:rsidR="00346FC5" w:rsidRDefault="00346FC5" w:rsidP="00346FC5">
      <w:pPr>
        <w:pStyle w:val="Heading20"/>
      </w:pPr>
      <w:r>
        <w:t>Net debt</w:t>
      </w:r>
    </w:p>
    <w:p w14:paraId="0F108EFC" w14:textId="77777777" w:rsidR="00346FC5" w:rsidRDefault="00346FC5" w:rsidP="00346FC5">
      <w:r>
        <w:t>Net debt is projected to be $116.7 billion at June 2023 and is forecast to increase to $162.2 billion by June 2026. This is an improvement of $3.7 billion compared with the</w:t>
      </w:r>
      <w:r>
        <w:rPr>
          <w:color w:val="000000" w:themeColor="text1"/>
        </w:rPr>
        <w:t xml:space="preserve"> forecast in PEBU. Net debt is then forecast to be </w:t>
      </w:r>
      <w:r>
        <w:t>$171.4 billion by June 2027.</w:t>
      </w:r>
    </w:p>
    <w:p w14:paraId="094A08E8" w14:textId="77777777" w:rsidR="00346FC5" w:rsidRDefault="00346FC5" w:rsidP="00346FC5">
      <w:r>
        <w:t>As a proportion of GSP, net debt is projected to increase from 20.6 per cent in June 2023 to 24.5 per cent by June 2027.</w:t>
      </w:r>
    </w:p>
    <w:p w14:paraId="784457F6" w14:textId="77777777" w:rsidR="00346FC5" w:rsidRDefault="00346FC5" w:rsidP="00346FC5">
      <w:r>
        <w:t xml:space="preserve">Expenditure in response to the COVID-19 pandemic over the past three years was targeted to allow required services and economic support to assist recovery while maintaining steps two and three of the fiscal strategy. </w:t>
      </w:r>
    </w:p>
    <w:p w14:paraId="70EF7498" w14:textId="77777777" w:rsidR="00346FC5" w:rsidRDefault="00346FC5" w:rsidP="00346FC5">
      <w:r>
        <w:t>Throughout the pandemic, the Government prioritised the use of its balance sheet to support the Victorian community and economy. This approach was consistent with stimulus approaches elsewhere in Australia and around the world.</w:t>
      </w:r>
    </w:p>
    <w:p w14:paraId="2D58F1B7" w14:textId="77777777" w:rsidR="00346FC5" w:rsidRDefault="00346FC5" w:rsidP="00346FC5">
      <w:r>
        <w:t>Stabilising net debt as a percentage of GSP – the last step in the Government’s fiscal strategy – is an important medium-term objective for the Government. Chart 4.2 outlines the movements in general government net debt levels and the net debt to GSP ratio since 2010-11. It highlights the impact of the pandemic with debt rising across the three years from 2019-20.</w:t>
      </w:r>
    </w:p>
    <w:p w14:paraId="483DD51E" w14:textId="77777777" w:rsidR="00346FC5" w:rsidRDefault="00346FC5" w:rsidP="00346FC5">
      <w:r>
        <w:t xml:space="preserve">While net debt to GSP is still projected to rise over the forward estimates, the rate of growth has slowed and is expected to stabilise over the medium term. </w:t>
      </w:r>
    </w:p>
    <w:p w14:paraId="0725BF5C" w14:textId="77777777" w:rsidR="00346FC5" w:rsidRDefault="00346FC5" w:rsidP="00346FC5">
      <w:pPr>
        <w:pStyle w:val="TableHeading"/>
      </w:pPr>
      <w:r>
        <w:t>Chart 4.2:</w:t>
      </w:r>
      <w:r>
        <w:tab/>
        <w:t>General government net debt to GSP</w:t>
      </w:r>
    </w:p>
    <w:p w14:paraId="4E2AEFA2" w14:textId="77777777" w:rsidR="00346FC5" w:rsidRDefault="00346FC5" w:rsidP="00346FC5">
      <w:r>
        <w:rPr>
          <w:noProof/>
        </w:rPr>
        <w:drawing>
          <wp:inline distT="0" distB="0" distL="0" distR="0" wp14:anchorId="516A5FF0" wp14:editId="222539F8">
            <wp:extent cx="4896485" cy="2449830"/>
            <wp:effectExtent l="0" t="0" r="0" b="7620"/>
            <wp:docPr id="21" name="Chart 21">
              <a:extLst xmlns:a="http://schemas.openxmlformats.org/drawingml/2006/main">
                <a:ext uri="{FF2B5EF4-FFF2-40B4-BE49-F238E27FC236}">
                  <a16:creationId xmlns:a16="http://schemas.microsoft.com/office/drawing/2014/main" id="{C2C43899-5FD9-4DFC-80A9-416720BFA9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037F111" w14:textId="77777777" w:rsidR="00346FC5" w:rsidRDefault="00346FC5" w:rsidP="00346FC5"/>
    <w:p w14:paraId="5D28037F" w14:textId="77777777" w:rsidR="00346FC5" w:rsidRPr="00161B96" w:rsidRDefault="00346FC5" w:rsidP="00346FC5">
      <w:pPr>
        <w:rPr>
          <w:color w:val="000000"/>
        </w:rPr>
      </w:pPr>
      <w:r w:rsidRPr="00161B96">
        <w:rPr>
          <w:color w:val="000000"/>
        </w:rPr>
        <w:t xml:space="preserve">With the economy in a strong position, the </w:t>
      </w:r>
      <w:r>
        <w:rPr>
          <w:color w:val="000000"/>
        </w:rPr>
        <w:t>i</w:t>
      </w:r>
      <w:r w:rsidRPr="00161B96">
        <w:rPr>
          <w:color w:val="000000"/>
        </w:rPr>
        <w:t>mplementation</w:t>
      </w:r>
      <w:r>
        <w:rPr>
          <w:color w:val="000000"/>
        </w:rPr>
        <w:t xml:space="preserve"> </w:t>
      </w:r>
      <w:r w:rsidRPr="00161B96">
        <w:rPr>
          <w:color w:val="000000"/>
        </w:rPr>
        <w:t xml:space="preserve">of </w:t>
      </w:r>
      <w:r>
        <w:rPr>
          <w:color w:val="000000"/>
        </w:rPr>
        <w:t>the</w:t>
      </w:r>
      <w:r w:rsidRPr="00161B96">
        <w:rPr>
          <w:color w:val="000000"/>
        </w:rPr>
        <w:t xml:space="preserve"> new COVID Debt Repayment Pla</w:t>
      </w:r>
      <w:r>
        <w:rPr>
          <w:color w:val="000000"/>
        </w:rPr>
        <w:t>n</w:t>
      </w:r>
      <w:r w:rsidRPr="00161B96">
        <w:rPr>
          <w:color w:val="000000"/>
        </w:rPr>
        <w:t xml:space="preserve"> </w:t>
      </w:r>
      <w:r>
        <w:rPr>
          <w:color w:val="000000"/>
        </w:rPr>
        <w:t>is designed to</w:t>
      </w:r>
      <w:r w:rsidRPr="00161B96">
        <w:rPr>
          <w:color w:val="000000"/>
        </w:rPr>
        <w:t xml:space="preserve"> take the next step in </w:t>
      </w:r>
      <w:r>
        <w:rPr>
          <w:color w:val="000000"/>
        </w:rPr>
        <w:t>improving</w:t>
      </w:r>
      <w:r w:rsidRPr="00161B96">
        <w:rPr>
          <w:color w:val="000000"/>
        </w:rPr>
        <w:t xml:space="preserve"> the </w:t>
      </w:r>
      <w:r>
        <w:rPr>
          <w:color w:val="000000"/>
        </w:rPr>
        <w:t>s</w:t>
      </w:r>
      <w:r w:rsidRPr="00161B96">
        <w:rPr>
          <w:color w:val="000000"/>
        </w:rPr>
        <w:t>tate’s</w:t>
      </w:r>
      <w:r>
        <w:rPr>
          <w:color w:val="000000"/>
        </w:rPr>
        <w:t xml:space="preserve"> </w:t>
      </w:r>
      <w:r w:rsidRPr="00161B96">
        <w:rPr>
          <w:color w:val="000000"/>
        </w:rPr>
        <w:t>financial position.</w:t>
      </w:r>
      <w:r>
        <w:rPr>
          <w:color w:val="000000"/>
        </w:rPr>
        <w:t xml:space="preserve"> </w:t>
      </w:r>
      <w:r w:rsidRPr="008B2798">
        <w:rPr>
          <w:color w:val="000000"/>
        </w:rPr>
        <w:t xml:space="preserve">The </w:t>
      </w:r>
      <w:r>
        <w:rPr>
          <w:color w:val="000000"/>
        </w:rPr>
        <w:t xml:space="preserve">plan </w:t>
      </w:r>
      <w:r w:rsidRPr="008B2798">
        <w:rPr>
          <w:color w:val="000000"/>
        </w:rPr>
        <w:t>recognises that the COVID debt was</w:t>
      </w:r>
      <w:r>
        <w:rPr>
          <w:color w:val="000000"/>
        </w:rPr>
        <w:t xml:space="preserve"> </w:t>
      </w:r>
      <w:r w:rsidRPr="008B2798">
        <w:rPr>
          <w:color w:val="000000"/>
        </w:rPr>
        <w:t>incurred for essential short</w:t>
      </w:r>
      <w:r>
        <w:rPr>
          <w:color w:val="000000"/>
        </w:rPr>
        <w:noBreakHyphen/>
      </w:r>
      <w:r w:rsidRPr="008B2798">
        <w:rPr>
          <w:color w:val="000000"/>
        </w:rPr>
        <w:t>term emergency response measures that involved one-off</w:t>
      </w:r>
      <w:r>
        <w:rPr>
          <w:color w:val="000000"/>
        </w:rPr>
        <w:t xml:space="preserve"> </w:t>
      </w:r>
      <w:r w:rsidRPr="008B2798">
        <w:rPr>
          <w:color w:val="000000"/>
        </w:rPr>
        <w:t xml:space="preserve">expenditure. By offsetting the </w:t>
      </w:r>
      <w:r>
        <w:rPr>
          <w:color w:val="000000"/>
        </w:rPr>
        <w:t xml:space="preserve">impact of </w:t>
      </w:r>
      <w:r w:rsidRPr="008B2798">
        <w:rPr>
          <w:color w:val="000000"/>
        </w:rPr>
        <w:t>COVID debt</w:t>
      </w:r>
      <w:r>
        <w:rPr>
          <w:color w:val="000000"/>
        </w:rPr>
        <w:t>,</w:t>
      </w:r>
      <w:r w:rsidRPr="008B2798">
        <w:rPr>
          <w:color w:val="000000"/>
        </w:rPr>
        <w:t xml:space="preserve"> the plan ensures the budgetary impact of such one-off expenditures will be</w:t>
      </w:r>
      <w:r>
        <w:rPr>
          <w:color w:val="000000"/>
        </w:rPr>
        <w:t xml:space="preserve"> </w:t>
      </w:r>
      <w:r w:rsidRPr="008B2798">
        <w:rPr>
          <w:color w:val="000000"/>
        </w:rPr>
        <w:t>balanced over the longer-term budgetary and economic cycle. Once completed, the plan</w:t>
      </w:r>
      <w:r>
        <w:rPr>
          <w:color w:val="000000"/>
        </w:rPr>
        <w:t xml:space="preserve"> </w:t>
      </w:r>
      <w:r w:rsidRPr="008B2798">
        <w:rPr>
          <w:color w:val="000000"/>
        </w:rPr>
        <w:t>will mean that the state’s balance sheet is returned to investments that generate productive</w:t>
      </w:r>
      <w:r>
        <w:rPr>
          <w:color w:val="000000"/>
        </w:rPr>
        <w:t xml:space="preserve"> </w:t>
      </w:r>
      <w:r w:rsidRPr="008B2798">
        <w:rPr>
          <w:color w:val="000000"/>
        </w:rPr>
        <w:t>capacity</w:t>
      </w:r>
      <w:r>
        <w:rPr>
          <w:color w:val="000000"/>
        </w:rPr>
        <w:t xml:space="preserve"> e</w:t>
      </w:r>
      <w:r w:rsidRPr="008B2798">
        <w:rPr>
          <w:color w:val="000000"/>
        </w:rPr>
        <w:t>nhancing infrastructure and programs, which produce long-term economic and</w:t>
      </w:r>
      <w:r>
        <w:rPr>
          <w:color w:val="000000"/>
        </w:rPr>
        <w:t xml:space="preserve"> </w:t>
      </w:r>
      <w:r w:rsidRPr="008B2798">
        <w:rPr>
          <w:color w:val="000000"/>
        </w:rPr>
        <w:t>financial benefits to the state.</w:t>
      </w:r>
    </w:p>
    <w:p w14:paraId="631B15AC" w14:textId="452DC334" w:rsidR="00346FC5" w:rsidRPr="008624F4" w:rsidRDefault="00346FC5" w:rsidP="00346FC5">
      <w:pPr>
        <w:rPr>
          <w:color w:val="000000"/>
        </w:rPr>
      </w:pPr>
      <w:r w:rsidRPr="008624F4">
        <w:t>The Victorian Fu</w:t>
      </w:r>
      <w:r w:rsidRPr="008624F4">
        <w:rPr>
          <w:color w:val="000000"/>
        </w:rPr>
        <w:t xml:space="preserve">ture Fund (the Fund) was established by the Government to </w:t>
      </w:r>
      <w:r>
        <w:rPr>
          <w:color w:val="000000"/>
        </w:rPr>
        <w:t>support the</w:t>
      </w:r>
      <w:r w:rsidR="0033262F">
        <w:rPr>
          <w:color w:val="000000"/>
        </w:rPr>
        <w:t> </w:t>
      </w:r>
      <w:r>
        <w:rPr>
          <w:color w:val="000000"/>
        </w:rPr>
        <w:t>state’s debt stabilisation strategy</w:t>
      </w:r>
      <w:r w:rsidRPr="008624F4">
        <w:rPr>
          <w:color w:val="000000"/>
        </w:rPr>
        <w:t xml:space="preserve">. It was established using proceeds from the VicRoads Modernisation Joint Venture and will initially serve </w:t>
      </w:r>
      <w:r>
        <w:rPr>
          <w:color w:val="000000"/>
        </w:rPr>
        <w:t>to</w:t>
      </w:r>
      <w:r w:rsidRPr="008624F4">
        <w:rPr>
          <w:color w:val="000000"/>
        </w:rPr>
        <w:t xml:space="preserve"> offset </w:t>
      </w:r>
      <w:r>
        <w:rPr>
          <w:color w:val="000000"/>
        </w:rPr>
        <w:t>the impact of</w:t>
      </w:r>
      <w:r w:rsidRPr="008624F4">
        <w:rPr>
          <w:color w:val="000000"/>
        </w:rPr>
        <w:t xml:space="preserve"> </w:t>
      </w:r>
      <w:r>
        <w:rPr>
          <w:color w:val="000000"/>
        </w:rPr>
        <w:t xml:space="preserve">the </w:t>
      </w:r>
      <w:r w:rsidRPr="008624F4">
        <w:rPr>
          <w:color w:val="000000"/>
        </w:rPr>
        <w:t xml:space="preserve">COVID debt. </w:t>
      </w:r>
    </w:p>
    <w:p w14:paraId="211B4EF6" w14:textId="77777777" w:rsidR="00346FC5" w:rsidRPr="008624F4" w:rsidRDefault="00346FC5" w:rsidP="00346FC5">
      <w:pPr>
        <w:rPr>
          <w:strike/>
          <w:color w:val="000000"/>
        </w:rPr>
      </w:pPr>
      <w:r w:rsidRPr="008624F4">
        <w:rPr>
          <w:color w:val="000000"/>
        </w:rPr>
        <w:t xml:space="preserve">The Fund will be managed by the VFMC, the </w:t>
      </w:r>
      <w:r>
        <w:rPr>
          <w:color w:val="000000"/>
        </w:rPr>
        <w:t>s</w:t>
      </w:r>
      <w:r w:rsidRPr="008624F4">
        <w:rPr>
          <w:color w:val="000000"/>
        </w:rPr>
        <w:t xml:space="preserve">tate’s specialist investment agency, by implementing a diversified investment strategy designed to deliver returns that exceed the savings that would otherwise have been achieved. These excess returns </w:t>
      </w:r>
      <w:r>
        <w:rPr>
          <w:color w:val="000000"/>
        </w:rPr>
        <w:t>are expected to</w:t>
      </w:r>
      <w:r w:rsidRPr="008624F4">
        <w:rPr>
          <w:color w:val="000000"/>
        </w:rPr>
        <w:t xml:space="preserve">, over time, improve the </w:t>
      </w:r>
      <w:r>
        <w:rPr>
          <w:color w:val="000000"/>
        </w:rPr>
        <w:t>s</w:t>
      </w:r>
      <w:r w:rsidRPr="008624F4">
        <w:rPr>
          <w:color w:val="000000"/>
        </w:rPr>
        <w:t>tate’s operating result and net debt position.</w:t>
      </w:r>
    </w:p>
    <w:p w14:paraId="2FB1074A" w14:textId="77777777" w:rsidR="00346FC5" w:rsidRPr="00F02CB1" w:rsidRDefault="00346FC5" w:rsidP="00346FC5">
      <w:pPr>
        <w:rPr>
          <w:color w:val="000000"/>
        </w:rPr>
      </w:pPr>
      <w:r w:rsidRPr="008624F4">
        <w:rPr>
          <w:color w:val="000000"/>
        </w:rPr>
        <w:t>The investment returns from the Fund will be quarantined and returned to the Fund so that its balance will grow over time. Further investments will be allocated to the Fund in the future through proceeds from designated government land sales and a proportion of future budget surpluses once net debt stabilises. The Fund is projected to have a balance of around $12.0 billion by the end of the forward estimates.</w:t>
      </w:r>
    </w:p>
    <w:p w14:paraId="35716625" w14:textId="77777777" w:rsidR="00346FC5" w:rsidRDefault="00346FC5" w:rsidP="00346FC5">
      <w:pPr>
        <w:pageBreakBefore/>
      </w:pPr>
      <w:r>
        <w:t xml:space="preserve">The application of cash resources for the general government sector (as shown in Table 4.5) outlines the annual movements in net debt. </w:t>
      </w:r>
    </w:p>
    <w:p w14:paraId="5A685F20" w14:textId="77777777" w:rsidR="00346FC5" w:rsidRDefault="00346FC5" w:rsidP="00346FC5">
      <w:pPr>
        <w:pStyle w:val="TableHeading"/>
      </w:pPr>
      <w:r>
        <w:t xml:space="preserve">Table 4.5: </w:t>
      </w:r>
      <w:r>
        <w:tab/>
        <w:t xml:space="preserve">Application of cash resources for the general government sector </w:t>
      </w:r>
      <w:r w:rsidRPr="00445886">
        <w:rPr>
          <w:vertAlign w:val="superscript"/>
        </w:rPr>
        <w:t>(a)</w:t>
      </w:r>
      <w:r>
        <w:t xml:space="preserve"> </w:t>
      </w:r>
      <w:r>
        <w:tab/>
        <w:t>($ million)</w:t>
      </w:r>
    </w:p>
    <w:tbl>
      <w:tblPr>
        <w:tblStyle w:val="DTFTableNumeric"/>
        <w:tblW w:w="7710" w:type="dxa"/>
        <w:tblLayout w:type="fixed"/>
        <w:tblLook w:val="06A0" w:firstRow="1" w:lastRow="0" w:firstColumn="1" w:lastColumn="0" w:noHBand="1" w:noVBand="1"/>
        <w:tblDescription w:val="Type:DtfTable|Workbook:https://vicgov.sharepoint.com/sites/msteams_12cfc2/BP2/Chapter%204/Link_BP2-Chapter4.xlsx|Table:GG_ApplicationOfCashResources|MergedHeadingRow:1"/>
      </w:tblPr>
      <w:tblGrid>
        <w:gridCol w:w="2946"/>
        <w:gridCol w:w="794"/>
        <w:gridCol w:w="794"/>
        <w:gridCol w:w="794"/>
        <w:gridCol w:w="794"/>
        <w:gridCol w:w="794"/>
        <w:gridCol w:w="794"/>
      </w:tblGrid>
      <w:tr w:rsidR="00346FC5" w14:paraId="240B6476" w14:textId="77777777" w:rsidTr="009835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46" w:type="dxa"/>
          </w:tcPr>
          <w:p w14:paraId="7116259D" w14:textId="77777777" w:rsidR="00346FC5" w:rsidRDefault="00346FC5" w:rsidP="0098354D">
            <w:pPr>
              <w:keepNext/>
            </w:pPr>
          </w:p>
        </w:tc>
        <w:tc>
          <w:tcPr>
            <w:tcW w:w="794" w:type="dxa"/>
          </w:tcPr>
          <w:p w14:paraId="79ADF3D0"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2021</w:t>
            </w:r>
            <w:r>
              <w:noBreakHyphen/>
              <w:t>22</w:t>
            </w:r>
            <w:r>
              <w:br/>
              <w:t>actual</w:t>
            </w:r>
          </w:p>
        </w:tc>
        <w:tc>
          <w:tcPr>
            <w:tcW w:w="794" w:type="dxa"/>
          </w:tcPr>
          <w:p w14:paraId="216F7577"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2022</w:t>
            </w:r>
            <w:r>
              <w:noBreakHyphen/>
              <w:t>23</w:t>
            </w:r>
            <w:r>
              <w:br/>
              <w:t>revised</w:t>
            </w:r>
          </w:p>
        </w:tc>
        <w:tc>
          <w:tcPr>
            <w:tcW w:w="794" w:type="dxa"/>
          </w:tcPr>
          <w:p w14:paraId="4BFA164B"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2023</w:t>
            </w:r>
            <w:r>
              <w:noBreakHyphen/>
              <w:t>24</w:t>
            </w:r>
            <w:r>
              <w:br/>
              <w:t>budget</w:t>
            </w:r>
          </w:p>
        </w:tc>
        <w:tc>
          <w:tcPr>
            <w:tcW w:w="794" w:type="dxa"/>
          </w:tcPr>
          <w:p w14:paraId="543620B3"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2024</w:t>
            </w:r>
            <w:r>
              <w:noBreakHyphen/>
              <w:t>25</w:t>
            </w:r>
            <w:r>
              <w:br/>
              <w:t>estimate</w:t>
            </w:r>
          </w:p>
        </w:tc>
        <w:tc>
          <w:tcPr>
            <w:tcW w:w="794" w:type="dxa"/>
          </w:tcPr>
          <w:p w14:paraId="3B914A9E"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2025</w:t>
            </w:r>
            <w:r>
              <w:noBreakHyphen/>
              <w:t>26</w:t>
            </w:r>
            <w:r>
              <w:br/>
              <w:t>estimate</w:t>
            </w:r>
          </w:p>
        </w:tc>
        <w:tc>
          <w:tcPr>
            <w:tcW w:w="794" w:type="dxa"/>
          </w:tcPr>
          <w:p w14:paraId="4FE87633" w14:textId="77777777" w:rsidR="00346FC5" w:rsidRDefault="00346FC5" w:rsidP="0098354D">
            <w:pPr>
              <w:keepNext/>
              <w:cnfStyle w:val="100000000000" w:firstRow="1" w:lastRow="0" w:firstColumn="0" w:lastColumn="0" w:oddVBand="0" w:evenVBand="0" w:oddHBand="0" w:evenHBand="0" w:firstRowFirstColumn="0" w:firstRowLastColumn="0" w:lastRowFirstColumn="0" w:lastRowLastColumn="0"/>
            </w:pPr>
            <w:r>
              <w:t>2026</w:t>
            </w:r>
            <w:r>
              <w:noBreakHyphen/>
              <w:t>27</w:t>
            </w:r>
            <w:r>
              <w:br/>
              <w:t>estimate</w:t>
            </w:r>
          </w:p>
        </w:tc>
      </w:tr>
      <w:tr w:rsidR="00346FC5" w14:paraId="518AF17D"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6419C5DA" w14:textId="77777777" w:rsidR="00346FC5" w:rsidRDefault="00346FC5" w:rsidP="0098354D">
            <w:r>
              <w:rPr>
                <w:b/>
              </w:rPr>
              <w:t>Net result from transactions</w:t>
            </w:r>
          </w:p>
        </w:tc>
        <w:tc>
          <w:tcPr>
            <w:tcW w:w="794" w:type="dxa"/>
          </w:tcPr>
          <w:p w14:paraId="4BC824DF"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(13 791)</w:t>
            </w:r>
          </w:p>
        </w:tc>
        <w:tc>
          <w:tcPr>
            <w:tcW w:w="794" w:type="dxa"/>
          </w:tcPr>
          <w:p w14:paraId="583B4F55"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(10 326)</w:t>
            </w:r>
          </w:p>
        </w:tc>
        <w:tc>
          <w:tcPr>
            <w:tcW w:w="794" w:type="dxa"/>
          </w:tcPr>
          <w:p w14:paraId="765F654A"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(4 017)</w:t>
            </w:r>
          </w:p>
        </w:tc>
        <w:tc>
          <w:tcPr>
            <w:tcW w:w="794" w:type="dxa"/>
          </w:tcPr>
          <w:p w14:paraId="44BDB9EC"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(1 060)</w:t>
            </w:r>
          </w:p>
        </w:tc>
        <w:tc>
          <w:tcPr>
            <w:tcW w:w="794" w:type="dxa"/>
          </w:tcPr>
          <w:p w14:paraId="3D927E42"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1 039</w:t>
            </w:r>
          </w:p>
        </w:tc>
        <w:tc>
          <w:tcPr>
            <w:tcW w:w="794" w:type="dxa"/>
          </w:tcPr>
          <w:p w14:paraId="3802768E"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1 204</w:t>
            </w:r>
          </w:p>
        </w:tc>
      </w:tr>
      <w:tr w:rsidR="00346FC5" w14:paraId="4A5F6994"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5A5F2253" w14:textId="77777777" w:rsidR="00346FC5" w:rsidRDefault="00346FC5" w:rsidP="0098354D">
            <w:r>
              <w:t xml:space="preserve">Add back: Operating cash flows not recognised in the net operating balance </w:t>
            </w:r>
            <w:r>
              <w:rPr>
                <w:vertAlign w:val="superscript"/>
              </w:rPr>
              <w:t>(b)</w:t>
            </w:r>
          </w:p>
        </w:tc>
        <w:tc>
          <w:tcPr>
            <w:tcW w:w="794" w:type="dxa"/>
            <w:tcBorders>
              <w:bottom w:val="single" w:sz="6" w:space="0" w:color="auto"/>
            </w:tcBorders>
          </w:tcPr>
          <w:p w14:paraId="0EB4A2CC"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4 934</w:t>
            </w:r>
          </w:p>
        </w:tc>
        <w:tc>
          <w:tcPr>
            <w:tcW w:w="794" w:type="dxa"/>
            <w:tcBorders>
              <w:bottom w:val="single" w:sz="6" w:space="0" w:color="auto"/>
            </w:tcBorders>
          </w:tcPr>
          <w:p w14:paraId="42D61B04"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13 219</w:t>
            </w:r>
          </w:p>
        </w:tc>
        <w:tc>
          <w:tcPr>
            <w:tcW w:w="794" w:type="dxa"/>
            <w:tcBorders>
              <w:bottom w:val="single" w:sz="6" w:space="0" w:color="auto"/>
            </w:tcBorders>
          </w:tcPr>
          <w:p w14:paraId="2AD7370E"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4 846</w:t>
            </w:r>
          </w:p>
        </w:tc>
        <w:tc>
          <w:tcPr>
            <w:tcW w:w="794" w:type="dxa"/>
            <w:tcBorders>
              <w:bottom w:val="single" w:sz="6" w:space="0" w:color="auto"/>
            </w:tcBorders>
          </w:tcPr>
          <w:p w14:paraId="1D67DC52"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5 321</w:t>
            </w:r>
          </w:p>
        </w:tc>
        <w:tc>
          <w:tcPr>
            <w:tcW w:w="794" w:type="dxa"/>
            <w:tcBorders>
              <w:bottom w:val="single" w:sz="6" w:space="0" w:color="auto"/>
            </w:tcBorders>
          </w:tcPr>
          <w:p w14:paraId="347BED29"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5 491</w:t>
            </w:r>
          </w:p>
        </w:tc>
        <w:tc>
          <w:tcPr>
            <w:tcW w:w="794" w:type="dxa"/>
            <w:tcBorders>
              <w:bottom w:val="single" w:sz="6" w:space="0" w:color="auto"/>
            </w:tcBorders>
          </w:tcPr>
          <w:p w14:paraId="114620A7"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5 274</w:t>
            </w:r>
          </w:p>
        </w:tc>
      </w:tr>
      <w:tr w:rsidR="00346FC5" w14:paraId="17FBE841"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6" w:space="0" w:color="auto"/>
            </w:tcBorders>
          </w:tcPr>
          <w:p w14:paraId="49623479" w14:textId="77777777" w:rsidR="00346FC5" w:rsidRDefault="00346FC5" w:rsidP="0098354D">
            <w:r>
              <w:rPr>
                <w:b/>
              </w:rPr>
              <w:t>Net cash flows from operating activities</w:t>
            </w:r>
          </w:p>
        </w:tc>
        <w:tc>
          <w:tcPr>
            <w:tcW w:w="794" w:type="dxa"/>
            <w:tcBorders>
              <w:top w:val="single" w:sz="6" w:space="0" w:color="auto"/>
              <w:bottom w:val="single" w:sz="6" w:space="0" w:color="auto"/>
            </w:tcBorders>
          </w:tcPr>
          <w:p w14:paraId="5783DA6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(8 857)</w:t>
            </w:r>
          </w:p>
        </w:tc>
        <w:tc>
          <w:tcPr>
            <w:tcW w:w="794" w:type="dxa"/>
            <w:tcBorders>
              <w:top w:val="single" w:sz="6" w:space="0" w:color="auto"/>
              <w:bottom w:val="single" w:sz="6" w:space="0" w:color="auto"/>
            </w:tcBorders>
          </w:tcPr>
          <w:p w14:paraId="785E7017"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2 892</w:t>
            </w:r>
          </w:p>
        </w:tc>
        <w:tc>
          <w:tcPr>
            <w:tcW w:w="794" w:type="dxa"/>
            <w:tcBorders>
              <w:top w:val="single" w:sz="6" w:space="0" w:color="auto"/>
              <w:bottom w:val="single" w:sz="6" w:space="0" w:color="auto"/>
            </w:tcBorders>
          </w:tcPr>
          <w:p w14:paraId="59FF17EB"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829</w:t>
            </w:r>
          </w:p>
        </w:tc>
        <w:tc>
          <w:tcPr>
            <w:tcW w:w="794" w:type="dxa"/>
            <w:tcBorders>
              <w:top w:val="single" w:sz="6" w:space="0" w:color="auto"/>
              <w:bottom w:val="single" w:sz="6" w:space="0" w:color="auto"/>
            </w:tcBorders>
          </w:tcPr>
          <w:p w14:paraId="2A456C10"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4 261</w:t>
            </w:r>
          </w:p>
        </w:tc>
        <w:tc>
          <w:tcPr>
            <w:tcW w:w="794" w:type="dxa"/>
            <w:tcBorders>
              <w:top w:val="single" w:sz="6" w:space="0" w:color="auto"/>
              <w:bottom w:val="single" w:sz="6" w:space="0" w:color="auto"/>
            </w:tcBorders>
          </w:tcPr>
          <w:p w14:paraId="444F658C"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6 530</w:t>
            </w:r>
          </w:p>
        </w:tc>
        <w:tc>
          <w:tcPr>
            <w:tcW w:w="794" w:type="dxa"/>
            <w:tcBorders>
              <w:top w:val="single" w:sz="6" w:space="0" w:color="auto"/>
              <w:bottom w:val="single" w:sz="6" w:space="0" w:color="auto"/>
            </w:tcBorders>
          </w:tcPr>
          <w:p w14:paraId="34F78D7E"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6 478</w:t>
            </w:r>
          </w:p>
        </w:tc>
      </w:tr>
      <w:tr w:rsidR="00346FC5" w14:paraId="7A3196EC"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6" w:space="0" w:color="auto"/>
            </w:tcBorders>
          </w:tcPr>
          <w:p w14:paraId="3609B20C" w14:textId="77777777" w:rsidR="00346FC5" w:rsidRDefault="00346FC5" w:rsidP="0098354D">
            <w:r>
              <w:rPr>
                <w:b/>
              </w:rPr>
              <w:t xml:space="preserve">Less: Total net investment in fixed assets </w:t>
            </w:r>
            <w:r>
              <w:rPr>
                <w:b/>
                <w:vertAlign w:val="superscript"/>
              </w:rPr>
              <w:t>(c)</w:t>
            </w:r>
          </w:p>
        </w:tc>
        <w:tc>
          <w:tcPr>
            <w:tcW w:w="794" w:type="dxa"/>
            <w:tcBorders>
              <w:top w:val="single" w:sz="6" w:space="0" w:color="auto"/>
              <w:bottom w:val="single" w:sz="6" w:space="0" w:color="auto"/>
            </w:tcBorders>
          </w:tcPr>
          <w:p w14:paraId="2D00452F"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14 845</w:t>
            </w:r>
          </w:p>
        </w:tc>
        <w:tc>
          <w:tcPr>
            <w:tcW w:w="794" w:type="dxa"/>
            <w:tcBorders>
              <w:top w:val="single" w:sz="6" w:space="0" w:color="auto"/>
              <w:bottom w:val="single" w:sz="6" w:space="0" w:color="auto"/>
            </w:tcBorders>
          </w:tcPr>
          <w:p w14:paraId="7E6AF935"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17 929</w:t>
            </w:r>
          </w:p>
        </w:tc>
        <w:tc>
          <w:tcPr>
            <w:tcW w:w="794" w:type="dxa"/>
            <w:tcBorders>
              <w:top w:val="single" w:sz="6" w:space="0" w:color="auto"/>
              <w:bottom w:val="single" w:sz="6" w:space="0" w:color="auto"/>
            </w:tcBorders>
          </w:tcPr>
          <w:p w14:paraId="68E75DFD"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18 750</w:t>
            </w:r>
          </w:p>
        </w:tc>
        <w:tc>
          <w:tcPr>
            <w:tcW w:w="794" w:type="dxa"/>
            <w:tcBorders>
              <w:top w:val="single" w:sz="6" w:space="0" w:color="auto"/>
              <w:bottom w:val="single" w:sz="6" w:space="0" w:color="auto"/>
            </w:tcBorders>
          </w:tcPr>
          <w:p w14:paraId="0F0D96F1"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18 998</w:t>
            </w:r>
          </w:p>
        </w:tc>
        <w:tc>
          <w:tcPr>
            <w:tcW w:w="794" w:type="dxa"/>
            <w:tcBorders>
              <w:top w:val="single" w:sz="6" w:space="0" w:color="auto"/>
              <w:bottom w:val="single" w:sz="6" w:space="0" w:color="auto"/>
            </w:tcBorders>
          </w:tcPr>
          <w:p w14:paraId="176461D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17 300</w:t>
            </w:r>
          </w:p>
        </w:tc>
        <w:tc>
          <w:tcPr>
            <w:tcW w:w="794" w:type="dxa"/>
            <w:tcBorders>
              <w:top w:val="single" w:sz="6" w:space="0" w:color="auto"/>
              <w:bottom w:val="single" w:sz="6" w:space="0" w:color="auto"/>
            </w:tcBorders>
          </w:tcPr>
          <w:p w14:paraId="010A10C2"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15 874</w:t>
            </w:r>
          </w:p>
        </w:tc>
      </w:tr>
      <w:tr w:rsidR="00346FC5" w14:paraId="0DDED624"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6" w:space="0" w:color="auto"/>
            </w:tcBorders>
          </w:tcPr>
          <w:p w14:paraId="5B77E1A2" w14:textId="77777777" w:rsidR="00346FC5" w:rsidRDefault="00346FC5" w:rsidP="0098354D">
            <w:r>
              <w:rPr>
                <w:b/>
              </w:rPr>
              <w:t>Surplus/(deficit) of cash from operations after funding net investment in fixed assets</w:t>
            </w:r>
          </w:p>
        </w:tc>
        <w:tc>
          <w:tcPr>
            <w:tcW w:w="794" w:type="dxa"/>
            <w:tcBorders>
              <w:top w:val="single" w:sz="6" w:space="0" w:color="auto"/>
              <w:bottom w:val="single" w:sz="6" w:space="0" w:color="auto"/>
            </w:tcBorders>
          </w:tcPr>
          <w:p w14:paraId="2117D9A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(23 702)</w:t>
            </w:r>
          </w:p>
        </w:tc>
        <w:tc>
          <w:tcPr>
            <w:tcW w:w="794" w:type="dxa"/>
            <w:tcBorders>
              <w:top w:val="single" w:sz="6" w:space="0" w:color="auto"/>
              <w:bottom w:val="single" w:sz="6" w:space="0" w:color="auto"/>
            </w:tcBorders>
          </w:tcPr>
          <w:p w14:paraId="2B0567F5"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(15 037)</w:t>
            </w:r>
          </w:p>
        </w:tc>
        <w:tc>
          <w:tcPr>
            <w:tcW w:w="794" w:type="dxa"/>
            <w:tcBorders>
              <w:top w:val="single" w:sz="6" w:space="0" w:color="auto"/>
              <w:bottom w:val="single" w:sz="6" w:space="0" w:color="auto"/>
            </w:tcBorders>
          </w:tcPr>
          <w:p w14:paraId="0971F3C1"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(17 921)</w:t>
            </w:r>
          </w:p>
        </w:tc>
        <w:tc>
          <w:tcPr>
            <w:tcW w:w="794" w:type="dxa"/>
            <w:tcBorders>
              <w:top w:val="single" w:sz="6" w:space="0" w:color="auto"/>
              <w:bottom w:val="single" w:sz="6" w:space="0" w:color="auto"/>
            </w:tcBorders>
          </w:tcPr>
          <w:p w14:paraId="73A0ED1B"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(14 737)</w:t>
            </w:r>
          </w:p>
        </w:tc>
        <w:tc>
          <w:tcPr>
            <w:tcW w:w="794" w:type="dxa"/>
            <w:tcBorders>
              <w:top w:val="single" w:sz="6" w:space="0" w:color="auto"/>
              <w:bottom w:val="single" w:sz="6" w:space="0" w:color="auto"/>
            </w:tcBorders>
          </w:tcPr>
          <w:p w14:paraId="7FB5154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(10 770)</w:t>
            </w:r>
          </w:p>
        </w:tc>
        <w:tc>
          <w:tcPr>
            <w:tcW w:w="794" w:type="dxa"/>
            <w:tcBorders>
              <w:top w:val="single" w:sz="6" w:space="0" w:color="auto"/>
              <w:bottom w:val="single" w:sz="6" w:space="0" w:color="auto"/>
            </w:tcBorders>
          </w:tcPr>
          <w:p w14:paraId="60FE10FE"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(9 396)</w:t>
            </w:r>
          </w:p>
        </w:tc>
      </w:tr>
      <w:tr w:rsidR="00346FC5" w14:paraId="62F3010C"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tcBorders>
          </w:tcPr>
          <w:p w14:paraId="38C9CBD7" w14:textId="77777777" w:rsidR="00346FC5" w:rsidRDefault="00346FC5" w:rsidP="0098354D">
            <w:r>
              <w:t>Less:</w:t>
            </w:r>
          </w:p>
        </w:tc>
        <w:tc>
          <w:tcPr>
            <w:tcW w:w="794" w:type="dxa"/>
            <w:tcBorders>
              <w:top w:val="single" w:sz="6" w:space="0" w:color="auto"/>
            </w:tcBorders>
          </w:tcPr>
          <w:p w14:paraId="309DC9C1"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051B201"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9268F61"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7574CDC"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B2C7ED9"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50B0607"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14:paraId="125E30BD"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1F7C26A4" w14:textId="77777777" w:rsidR="00346FC5" w:rsidRDefault="00346FC5" w:rsidP="0098354D">
            <w:r>
              <w:t xml:space="preserve">     Leases and service concession arrangements </w:t>
            </w:r>
            <w:r>
              <w:rPr>
                <w:vertAlign w:val="superscript"/>
              </w:rPr>
              <w:t>(d)</w:t>
            </w:r>
          </w:p>
        </w:tc>
        <w:tc>
          <w:tcPr>
            <w:tcW w:w="794" w:type="dxa"/>
          </w:tcPr>
          <w:p w14:paraId="78E3300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2 447</w:t>
            </w:r>
          </w:p>
        </w:tc>
        <w:tc>
          <w:tcPr>
            <w:tcW w:w="794" w:type="dxa"/>
          </w:tcPr>
          <w:p w14:paraId="3EB65D33"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2 388</w:t>
            </w:r>
          </w:p>
        </w:tc>
        <w:tc>
          <w:tcPr>
            <w:tcW w:w="794" w:type="dxa"/>
          </w:tcPr>
          <w:p w14:paraId="752253A7"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2 450</w:t>
            </w:r>
          </w:p>
        </w:tc>
        <w:tc>
          <w:tcPr>
            <w:tcW w:w="794" w:type="dxa"/>
          </w:tcPr>
          <w:p w14:paraId="40F01D9C"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963</w:t>
            </w:r>
          </w:p>
        </w:tc>
        <w:tc>
          <w:tcPr>
            <w:tcW w:w="794" w:type="dxa"/>
          </w:tcPr>
          <w:p w14:paraId="56ACD1E5"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437</w:t>
            </w:r>
          </w:p>
        </w:tc>
        <w:tc>
          <w:tcPr>
            <w:tcW w:w="794" w:type="dxa"/>
          </w:tcPr>
          <w:p w14:paraId="3EFD316E"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149</w:t>
            </w:r>
          </w:p>
        </w:tc>
      </w:tr>
      <w:tr w:rsidR="00346FC5" w14:paraId="0BABE5F4"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42808C17" w14:textId="77777777" w:rsidR="00346FC5" w:rsidRDefault="00346FC5" w:rsidP="0098354D">
            <w:r>
              <w:t xml:space="preserve">     Other movements</w:t>
            </w:r>
          </w:p>
        </w:tc>
        <w:tc>
          <w:tcPr>
            <w:tcW w:w="794" w:type="dxa"/>
            <w:tcBorders>
              <w:bottom w:val="single" w:sz="6" w:space="0" w:color="auto"/>
            </w:tcBorders>
          </w:tcPr>
          <w:p w14:paraId="588B287E"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1 094</w:t>
            </w:r>
          </w:p>
        </w:tc>
        <w:tc>
          <w:tcPr>
            <w:tcW w:w="794" w:type="dxa"/>
            <w:tcBorders>
              <w:bottom w:val="single" w:sz="6" w:space="0" w:color="auto"/>
            </w:tcBorders>
          </w:tcPr>
          <w:p w14:paraId="6D9D5751"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(700)</w:t>
            </w:r>
          </w:p>
        </w:tc>
        <w:tc>
          <w:tcPr>
            <w:tcW w:w="794" w:type="dxa"/>
            <w:tcBorders>
              <w:bottom w:val="single" w:sz="6" w:space="0" w:color="auto"/>
            </w:tcBorders>
          </w:tcPr>
          <w:p w14:paraId="482BADB2"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(1 653)</w:t>
            </w:r>
          </w:p>
        </w:tc>
        <w:tc>
          <w:tcPr>
            <w:tcW w:w="794" w:type="dxa"/>
            <w:tcBorders>
              <w:bottom w:val="single" w:sz="6" w:space="0" w:color="auto"/>
            </w:tcBorders>
          </w:tcPr>
          <w:p w14:paraId="4EB3557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70</w:t>
            </w:r>
          </w:p>
        </w:tc>
        <w:tc>
          <w:tcPr>
            <w:tcW w:w="794" w:type="dxa"/>
            <w:tcBorders>
              <w:bottom w:val="single" w:sz="6" w:space="0" w:color="auto"/>
            </w:tcBorders>
          </w:tcPr>
          <w:p w14:paraId="50E27ADD"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(186)</w:t>
            </w:r>
          </w:p>
        </w:tc>
        <w:tc>
          <w:tcPr>
            <w:tcW w:w="794" w:type="dxa"/>
            <w:tcBorders>
              <w:bottom w:val="single" w:sz="6" w:space="0" w:color="auto"/>
            </w:tcBorders>
          </w:tcPr>
          <w:p w14:paraId="1B9058D0"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t>(313)</w:t>
            </w:r>
          </w:p>
        </w:tc>
      </w:tr>
      <w:tr w:rsidR="00346FC5" w14:paraId="2B3E137C"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12" w:space="0" w:color="auto"/>
            </w:tcBorders>
          </w:tcPr>
          <w:p w14:paraId="5CA17291" w14:textId="77777777" w:rsidR="00346FC5" w:rsidRDefault="00346FC5" w:rsidP="0098354D">
            <w:r>
              <w:rPr>
                <w:b/>
              </w:rPr>
              <w:t>Decrease/(increase) in net debt</w:t>
            </w:r>
          </w:p>
        </w:tc>
        <w:tc>
          <w:tcPr>
            <w:tcW w:w="794" w:type="dxa"/>
            <w:tcBorders>
              <w:top w:val="single" w:sz="6" w:space="0" w:color="auto"/>
              <w:bottom w:val="single" w:sz="12" w:space="0" w:color="auto"/>
            </w:tcBorders>
          </w:tcPr>
          <w:p w14:paraId="38B515F8"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(27 244)</w:t>
            </w:r>
          </w:p>
        </w:tc>
        <w:tc>
          <w:tcPr>
            <w:tcW w:w="794" w:type="dxa"/>
            <w:tcBorders>
              <w:top w:val="single" w:sz="6" w:space="0" w:color="auto"/>
              <w:bottom w:val="single" w:sz="12" w:space="0" w:color="auto"/>
            </w:tcBorders>
          </w:tcPr>
          <w:p w14:paraId="16189726"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(16 725)</w:t>
            </w:r>
          </w:p>
        </w:tc>
        <w:tc>
          <w:tcPr>
            <w:tcW w:w="794" w:type="dxa"/>
            <w:tcBorders>
              <w:top w:val="single" w:sz="6" w:space="0" w:color="auto"/>
              <w:bottom w:val="single" w:sz="12" w:space="0" w:color="auto"/>
            </w:tcBorders>
          </w:tcPr>
          <w:p w14:paraId="486B4E4B"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(18 718)</w:t>
            </w:r>
          </w:p>
        </w:tc>
        <w:tc>
          <w:tcPr>
            <w:tcW w:w="794" w:type="dxa"/>
            <w:tcBorders>
              <w:top w:val="single" w:sz="6" w:space="0" w:color="auto"/>
              <w:bottom w:val="single" w:sz="12" w:space="0" w:color="auto"/>
            </w:tcBorders>
          </w:tcPr>
          <w:p w14:paraId="57A763A5"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(15 770)</w:t>
            </w:r>
          </w:p>
        </w:tc>
        <w:tc>
          <w:tcPr>
            <w:tcW w:w="794" w:type="dxa"/>
            <w:tcBorders>
              <w:top w:val="single" w:sz="6" w:space="0" w:color="auto"/>
              <w:bottom w:val="single" w:sz="12" w:space="0" w:color="auto"/>
            </w:tcBorders>
          </w:tcPr>
          <w:p w14:paraId="4BA686F5"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(11 020)</w:t>
            </w:r>
          </w:p>
        </w:tc>
        <w:tc>
          <w:tcPr>
            <w:tcW w:w="794" w:type="dxa"/>
            <w:tcBorders>
              <w:top w:val="single" w:sz="6" w:space="0" w:color="auto"/>
              <w:bottom w:val="single" w:sz="12" w:space="0" w:color="auto"/>
            </w:tcBorders>
          </w:tcPr>
          <w:p w14:paraId="4E9452EC" w14:textId="77777777" w:rsidR="00346FC5" w:rsidRDefault="00346FC5" w:rsidP="0098354D">
            <w:pPr>
              <w:cnfStyle w:val="000000000000" w:firstRow="0" w:lastRow="0" w:firstColumn="0" w:lastColumn="0" w:oddVBand="0" w:evenVBand="0" w:oddHBand="0" w:evenHBand="0" w:firstRowFirstColumn="0" w:firstRowLastColumn="0" w:lastRowFirstColumn="0" w:lastRowLastColumn="0"/>
            </w:pPr>
            <w:r>
              <w:rPr>
                <w:b/>
              </w:rPr>
              <w:t>(9 231)</w:t>
            </w:r>
          </w:p>
        </w:tc>
      </w:tr>
    </w:tbl>
    <w:p w14:paraId="077E372B" w14:textId="77777777" w:rsidR="00346FC5" w:rsidRDefault="00346FC5" w:rsidP="00346FC5">
      <w:pPr>
        <w:pStyle w:val="Note"/>
      </w:pPr>
      <w:r>
        <w:t>Notes:</w:t>
      </w:r>
    </w:p>
    <w:p w14:paraId="10172C2A" w14:textId="77777777" w:rsidR="00346FC5" w:rsidRDefault="00346FC5" w:rsidP="00346FC5">
      <w:pPr>
        <w:pStyle w:val="Note"/>
      </w:pPr>
      <w:r>
        <w:t xml:space="preserve">(a) </w:t>
      </w:r>
      <w:r>
        <w:tab/>
        <w:t>Figures in this table are subject to rounding to the nearest million and may not add up to totals.</w:t>
      </w:r>
    </w:p>
    <w:p w14:paraId="6405FBEE" w14:textId="77777777" w:rsidR="00346FC5" w:rsidRDefault="00346FC5" w:rsidP="00346FC5">
      <w:pPr>
        <w:pStyle w:val="Note"/>
      </w:pPr>
      <w:r>
        <w:t xml:space="preserve">(b) </w:t>
      </w:r>
      <w:r>
        <w:tab/>
        <w:t>Includes depreciation, prepayments and movements in the superannuation liability and liability of employee benefits for the year, and the progressive unwinding of the grant of a right to the operator liability.</w:t>
      </w:r>
    </w:p>
    <w:p w14:paraId="549ECDE6" w14:textId="77777777" w:rsidR="00346FC5" w:rsidRDefault="00346FC5" w:rsidP="00346FC5">
      <w:pPr>
        <w:pStyle w:val="Note"/>
      </w:pPr>
      <w:r>
        <w:t xml:space="preserve">(c) </w:t>
      </w:r>
      <w:r>
        <w:tab/>
        <w:t>Includes total purchases of plant, property and equipment, and net capital contributions to other sectors of government net of proceeds from asset sales.</w:t>
      </w:r>
    </w:p>
    <w:p w14:paraId="6B4DD4BB" w14:textId="77777777" w:rsidR="00346FC5" w:rsidRDefault="00346FC5" w:rsidP="00346FC5">
      <w:pPr>
        <w:pStyle w:val="Note"/>
      </w:pPr>
      <w:r>
        <w:t>(d)</w:t>
      </w:r>
      <w:r>
        <w:tab/>
        <w:t xml:space="preserve">Includes most operating leases which are now required to be recognised as lease liabilities. It also includes the financial liabilities relating to public private partnership projects including the High Capacity Metro Trains, the Metro Tunnel, the new Footscray Hospital, the Frankston Hospital Redevelopment and the Western Roads Upgrade. </w:t>
      </w:r>
    </w:p>
    <w:p w14:paraId="23E70485" w14:textId="77777777" w:rsidR="00346FC5" w:rsidRDefault="00346FC5" w:rsidP="00346FC5">
      <w:pPr>
        <w:pStyle w:val="Heading20"/>
      </w:pPr>
      <w:r>
        <w:t>Unfunded superannuation liability</w:t>
      </w:r>
    </w:p>
    <w:p w14:paraId="70A51C15" w14:textId="77777777" w:rsidR="00346FC5" w:rsidRDefault="00346FC5" w:rsidP="00346FC5">
      <w:r>
        <w:t xml:space="preserve">The Government is on track to fully fund the state’s unfunded superannuation liability by 2035. Note 1.6.3 of Budget Paper No. 5, Chapter 1 </w:t>
      </w:r>
      <w:r w:rsidRPr="00820D7A">
        <w:rPr>
          <w:i/>
          <w:iCs/>
        </w:rPr>
        <w:t>Estimated Financial Statements for the general government sector</w:t>
      </w:r>
      <w:r>
        <w:t xml:space="preserve"> shows information on the reported superannuation liability.</w:t>
      </w:r>
    </w:p>
    <w:p w14:paraId="0933538F" w14:textId="77777777" w:rsidR="00346FC5" w:rsidRDefault="00346FC5" w:rsidP="00346FC5">
      <w:pPr>
        <w:pStyle w:val="Heading10"/>
      </w:pPr>
      <w:bookmarkStart w:id="62" w:name="_Toc135331255"/>
      <w:r>
        <w:t>Fiscal risks</w:t>
      </w:r>
      <w:bookmarkEnd w:id="62"/>
    </w:p>
    <w:p w14:paraId="1119473B" w14:textId="77777777" w:rsidR="00346FC5" w:rsidRDefault="00346FC5" w:rsidP="00346FC5">
      <w:r>
        <w:t xml:space="preserve">This section discusses a number of risks which, if realised, are likely to impact on the state’s financial position and budget outcomes. </w:t>
      </w:r>
    </w:p>
    <w:p w14:paraId="11CE5158" w14:textId="1AAE920C" w:rsidR="00346FC5" w:rsidRDefault="00346FC5" w:rsidP="00346FC5">
      <w:r>
        <w:t>Details of specific contingent assets and liabilities, defined as possible assets or liabilities that arise from past events whose existence will be confirmed only by the occurrence or non-occurrence of one or more uncertain future events not wholly within the control of</w:t>
      </w:r>
      <w:r w:rsidR="0033262F">
        <w:t> </w:t>
      </w:r>
      <w:r>
        <w:t xml:space="preserve">the entity, are contained within Budget Paper No. 5, Chapter 6 </w:t>
      </w:r>
      <w:r w:rsidRPr="00820D7A">
        <w:rPr>
          <w:i/>
          <w:iCs/>
        </w:rPr>
        <w:t>Contingent assets and contingent liabilities</w:t>
      </w:r>
      <w:r>
        <w:t>.</w:t>
      </w:r>
    </w:p>
    <w:p w14:paraId="33134535" w14:textId="77777777" w:rsidR="00346FC5" w:rsidRDefault="00346FC5" w:rsidP="00346FC5">
      <w:pPr>
        <w:pStyle w:val="Heading20"/>
      </w:pPr>
      <w:r>
        <w:t>General fiscal risks</w:t>
      </w:r>
    </w:p>
    <w:p w14:paraId="0552CA7D" w14:textId="77777777" w:rsidR="00346FC5" w:rsidRPr="006D54AA" w:rsidRDefault="00346FC5" w:rsidP="00346FC5">
      <w:pPr>
        <w:keepNext/>
      </w:pPr>
      <w:r w:rsidRPr="006D54AA">
        <w:t>Risks to Victoria’s economic outlook remain elevated and the forecasts are subject to uncertainty.</w:t>
      </w:r>
    </w:p>
    <w:p w14:paraId="542ED4C8" w14:textId="77777777" w:rsidR="00346FC5" w:rsidRPr="006D54AA" w:rsidRDefault="00346FC5" w:rsidP="00346FC5">
      <w:r w:rsidRPr="006D54AA">
        <w:t xml:space="preserve">A key risk is the outlook for inflation, both domestically and globally. </w:t>
      </w:r>
      <w:r>
        <w:t xml:space="preserve">While inflation is expected to moderate, it remains relatively </w:t>
      </w:r>
      <w:r w:rsidRPr="006D54AA">
        <w:t xml:space="preserve">high and there is uncertainty about how persistent this will be, with implications for the Reserve Bank of Australia’s monetary policy as well as that </w:t>
      </w:r>
      <w:r>
        <w:t>of</w:t>
      </w:r>
      <w:r w:rsidRPr="006D54AA">
        <w:t xml:space="preserve"> other major central banks. The extent to which monetary policy needs to respond to high inflation has implications for economic activity and employment growth. A related uncertainty is how much further wages growth will increase amid an ongoing tight labour market.</w:t>
      </w:r>
    </w:p>
    <w:p w14:paraId="23A5DF6A" w14:textId="77777777" w:rsidR="00346FC5" w:rsidRPr="006D54AA" w:rsidRDefault="00346FC5" w:rsidP="00346FC5">
      <w:r w:rsidRPr="006D54AA">
        <w:t>Another uncertainty is the outlook for the global economy. Global risks remain tilted to the downside, as high inflation and global monetary tightening weigh on prospects for economic growth. Further, conflict continues between Russia and Ukraine, which has the potential to further destabilise energy prices</w:t>
      </w:r>
      <w:r>
        <w:t>.</w:t>
      </w:r>
      <w:r w:rsidRPr="006D54AA">
        <w:t xml:space="preserve"> </w:t>
      </w:r>
      <w:r>
        <w:t>G</w:t>
      </w:r>
      <w:r w:rsidRPr="006D54AA">
        <w:t>eopolitical tensions</w:t>
      </w:r>
      <w:r>
        <w:t xml:space="preserve"> in multiple regions, including the Asia Pacific and Europe, also continue to contribute to uncertainty</w:t>
      </w:r>
      <w:r w:rsidRPr="006D54AA">
        <w:t>. Weaker global growth would slow demand for Victoria’s goods and services exports. </w:t>
      </w:r>
    </w:p>
    <w:p w14:paraId="2D78A86C" w14:textId="77777777" w:rsidR="00346FC5" w:rsidRPr="00142770" w:rsidRDefault="00346FC5" w:rsidP="00346FC5">
      <w:r w:rsidRPr="00142770">
        <w:t xml:space="preserve">The Government’s forecast revenues, expenses and borrowings are predicated on a series of assumptions, including those related to the global </w:t>
      </w:r>
      <w:r>
        <w:t>economy</w:t>
      </w:r>
      <w:r w:rsidRPr="00142770">
        <w:t xml:space="preserve">. If these assumptions do not eventuate, the actual financial outcomes may differ from the Government’s current budget. </w:t>
      </w:r>
    </w:p>
    <w:p w14:paraId="08E1F295" w14:textId="77777777" w:rsidR="00346FC5" w:rsidRPr="00142770" w:rsidRDefault="00346FC5" w:rsidP="00346FC5">
      <w:r>
        <w:t>Appendix A</w:t>
      </w:r>
      <w:r w:rsidRPr="00142770">
        <w:t xml:space="preserve"> </w:t>
      </w:r>
      <w:r w:rsidRPr="00142770">
        <w:rPr>
          <w:i/>
        </w:rPr>
        <w:t>Sensitivity analysis</w:t>
      </w:r>
      <w:r w:rsidRPr="00142770">
        <w:t xml:space="preserve"> contains information on the impact of variations in the macroeconomic outlook on the Government’s key fiscal aggregates. This includes a scenario of a downturn in Victorian and Australian economies, driven by a greater than expected slowdown in consumer spending and weaker investment.</w:t>
      </w:r>
    </w:p>
    <w:p w14:paraId="5F23EC35" w14:textId="77777777" w:rsidR="00346FC5" w:rsidRPr="00E7007D" w:rsidRDefault="00346FC5" w:rsidP="00346FC5">
      <w:r w:rsidRPr="006D54AA">
        <w:t>Further detail on the economic outlook and risks to the outlook is included in Chapter</w:t>
      </w:r>
      <w:r>
        <w:t> </w:t>
      </w:r>
      <w:r w:rsidRPr="006D54AA">
        <w:t>2</w:t>
      </w:r>
      <w:r>
        <w:t> </w:t>
      </w:r>
      <w:r w:rsidRPr="00142770">
        <w:rPr>
          <w:i/>
          <w:iCs/>
        </w:rPr>
        <w:t xml:space="preserve">Economic </w:t>
      </w:r>
      <w:r>
        <w:rPr>
          <w:i/>
          <w:iCs/>
        </w:rPr>
        <w:t>c</w:t>
      </w:r>
      <w:r w:rsidRPr="00142770">
        <w:rPr>
          <w:i/>
          <w:iCs/>
        </w:rPr>
        <w:t>ontext</w:t>
      </w:r>
      <w:r w:rsidRPr="006D54AA">
        <w:t>.</w:t>
      </w:r>
    </w:p>
    <w:p w14:paraId="0029A24C" w14:textId="77777777" w:rsidR="00346FC5" w:rsidRDefault="00346FC5" w:rsidP="00346FC5">
      <w:pPr>
        <w:pStyle w:val="Heading30"/>
      </w:pPr>
      <w:r>
        <w:t>State taxes</w:t>
      </w:r>
    </w:p>
    <w:p w14:paraId="5843E672" w14:textId="77777777" w:rsidR="00346FC5" w:rsidRPr="00ED6826" w:rsidRDefault="00346FC5" w:rsidP="00346FC5">
      <w:r w:rsidRPr="00ED6826">
        <w:t>State tax forecasts are primarily modelled on the relationships between taxation revenue and projected economic variables. As a result, the main source of uncertainty to state taxation estimates is unforeseen changes in the economic outlook.</w:t>
      </w:r>
    </w:p>
    <w:p w14:paraId="3FEC7D08" w14:textId="77777777" w:rsidR="00346FC5" w:rsidRPr="00ED6826" w:rsidRDefault="00346FC5" w:rsidP="00346FC5">
      <w:r w:rsidRPr="00ED6826">
        <w:t>Risks to Victoria’s revenue outlook remain el</w:t>
      </w:r>
      <w:r>
        <w:t>ev</w:t>
      </w:r>
      <w:r w:rsidRPr="00ED6826">
        <w:t xml:space="preserve">ated. </w:t>
      </w:r>
      <w:r>
        <w:t>D</w:t>
      </w:r>
      <w:r w:rsidRPr="00ED6826">
        <w:t>omestic and global inflation</w:t>
      </w:r>
      <w:r>
        <w:t xml:space="preserve"> and the potential for further interest rate increases</w:t>
      </w:r>
      <w:r w:rsidRPr="00ED6826">
        <w:t xml:space="preserve"> will weigh on consumers’ real incomes </w:t>
      </w:r>
      <w:r>
        <w:t>and may put further</w:t>
      </w:r>
      <w:r w:rsidRPr="00ED6826">
        <w:t xml:space="preserve"> downward pressure on consumption.</w:t>
      </w:r>
    </w:p>
    <w:p w14:paraId="6E85670F" w14:textId="77777777" w:rsidR="00346FC5" w:rsidRDefault="00346FC5" w:rsidP="00346FC5">
      <w:r w:rsidRPr="00ED6826">
        <w:t>In contrast, Victoria’s labour market conditions have been strong over the past year, with unemployment rates below 4 per cent for the first time since 1974. Stronger employment and higher than expected wages growth could bolster household income and larger savings buffers provide an upside risk that consumer spending, in aggregate, holds up better than expected over the coming year.</w:t>
      </w:r>
    </w:p>
    <w:p w14:paraId="0ECF8B69" w14:textId="77777777" w:rsidR="00346FC5" w:rsidRPr="003E0A75" w:rsidRDefault="00346FC5" w:rsidP="00346FC5">
      <w:pPr>
        <w:pStyle w:val="Heading30"/>
      </w:pPr>
      <w:r w:rsidRPr="003E0A75">
        <w:t>Property-</w:t>
      </w:r>
      <w:r>
        <w:t>r</w:t>
      </w:r>
      <w:r w:rsidRPr="003E0A75">
        <w:t xml:space="preserve">elated </w:t>
      </w:r>
      <w:r>
        <w:t>t</w:t>
      </w:r>
      <w:r w:rsidRPr="003E0A75">
        <w:t>axes</w:t>
      </w:r>
    </w:p>
    <w:p w14:paraId="4B23F06B" w14:textId="77777777" w:rsidR="00346FC5" w:rsidRPr="003E0A75" w:rsidRDefault="00346FC5" w:rsidP="00346FC5">
      <w:r w:rsidRPr="003E0A75">
        <w:t>Revenue from property</w:t>
      </w:r>
      <w:r>
        <w:t>-</w:t>
      </w:r>
      <w:r w:rsidRPr="003E0A75">
        <w:t xml:space="preserve">based taxes, such as land tax and land transfer duty, is subject to unique risks and historically has been volatile as property markets can exhibit large cycles typically related to changes in interest rates and/or changes in sentiment. </w:t>
      </w:r>
    </w:p>
    <w:p w14:paraId="3CCB1855" w14:textId="77777777" w:rsidR="00346FC5" w:rsidRPr="003E0A75" w:rsidRDefault="00346FC5" w:rsidP="00346FC5">
      <w:r w:rsidRPr="003E0A75">
        <w:t xml:space="preserve">Property-related taxes face significant uncertainty due to market conditions. Higher borrowing costs and persistent subdued sentiment in the market have led to a decline in the dwelling price forecast. While labour market conditions and strong rental </w:t>
      </w:r>
      <w:r>
        <w:t xml:space="preserve">price </w:t>
      </w:r>
      <w:r w:rsidRPr="003E0A75">
        <w:t>growth provide support for the property market, tight credit conditions are expected to be the dominant force throughout 2023 and present a risk to revenue from land transfer duty in the near term. Although a recovery in transaction volumes is expected toward the end of 2023, uncertainty in property market prices and volumes present a risk to revenue.</w:t>
      </w:r>
    </w:p>
    <w:p w14:paraId="56713817" w14:textId="77777777" w:rsidR="00346FC5" w:rsidRPr="003E0A75" w:rsidRDefault="00346FC5" w:rsidP="00346FC5">
      <w:r w:rsidRPr="00712924">
        <w:t>Relatively low levels of activity in the residential property market in recent quarters have supported dwelling prices, and residential land valuations. There is uncertainty about how prices for residential property will evolve as transaction volumes recover, which will affect the trajectory for future land revaluations.</w:t>
      </w:r>
    </w:p>
    <w:p w14:paraId="5081A192" w14:textId="77777777" w:rsidR="00346FC5" w:rsidRPr="003E0A75" w:rsidRDefault="00346FC5" w:rsidP="00346FC5">
      <w:r w:rsidRPr="003E0A75">
        <w:t xml:space="preserve">In non-residential land valuations, the industrial sector has shown resilience </w:t>
      </w:r>
      <w:r>
        <w:t>during</w:t>
      </w:r>
      <w:r w:rsidRPr="003E0A75">
        <w:t xml:space="preserve"> 2022, supported by continued demand for warehousing and distribution sites, while commercial land valuation growth is expected to remain positive, although uncertainty in growth expectations of retail, office and hotel sectors remains a key risk in the near term.</w:t>
      </w:r>
    </w:p>
    <w:p w14:paraId="1820485D" w14:textId="77777777" w:rsidR="00346FC5" w:rsidRPr="000E4262" w:rsidRDefault="00346FC5" w:rsidP="00346FC5">
      <w:pPr>
        <w:pStyle w:val="Heading30"/>
      </w:pPr>
      <w:r w:rsidRPr="000E4262">
        <w:t>Interest expenses</w:t>
      </w:r>
    </w:p>
    <w:p w14:paraId="2984E7F6" w14:textId="77777777" w:rsidR="00346FC5" w:rsidRDefault="00346FC5" w:rsidP="00346FC5">
      <w:r>
        <w:t xml:space="preserve">The state’s debt portfolio is made up predominantly of fixed interest debt which means that most of the interest expense on existing debt is not exposed to movements in interest rates. However, approximately 10 per cent of this debt matures each year and must be refinanced at the current market interest rate. The interest expense on the refinancing along with new borrowings and a small proportion of floating rate notes in the portfolio are subject to changes in interest rates. </w:t>
      </w:r>
    </w:p>
    <w:p w14:paraId="6AC3897A" w14:textId="77777777" w:rsidR="00346FC5" w:rsidRDefault="00346FC5" w:rsidP="00346FC5">
      <w:r>
        <w:t>The interest rate forecasts used in the estimates for interest expenses are based on the forward interest rates that are derived from the yield curve for the TCV bonds that are traded in financial markets. Currently the TCV yield curve is upward sloping, implying that future interest rates will be higher than current interest rates. Consequently, the interest expense estimates assume that the average interest rate on new and refinanced borrowings will increase over time.</w:t>
      </w:r>
    </w:p>
    <w:p w14:paraId="6A7E079A" w14:textId="77777777" w:rsidR="00346FC5" w:rsidRDefault="00346FC5" w:rsidP="00346FC5">
      <w:pPr>
        <w:pStyle w:val="Heading30"/>
      </w:pPr>
      <w:r>
        <w:t>Employee expenses</w:t>
      </w:r>
    </w:p>
    <w:p w14:paraId="7FF68991" w14:textId="3B423FE8" w:rsidR="00346FC5" w:rsidRDefault="00346FC5" w:rsidP="0033262F">
      <w:pPr>
        <w:ind w:right="241"/>
      </w:pPr>
      <w:r>
        <w:t xml:space="preserve">Employee expenses are the state’s largest expense. Two important determinants of employee expenses are wages growth and the number of employees. Wages growth is primarily driven by enterprise bargaining agreements, which are subject to the Government’s Wages Policy. This has recently been adjusted to better reflect the current economic context, </w:t>
      </w:r>
      <w:r w:rsidRPr="00572EEA">
        <w:t>allowing a 3 per cent per annum increase to wages (up from 1.5</w:t>
      </w:r>
      <w:r w:rsidR="0033262F">
        <w:t> </w:t>
      </w:r>
      <w:r w:rsidRPr="00572EEA">
        <w:t>per</w:t>
      </w:r>
      <w:r w:rsidR="0033262F">
        <w:t> </w:t>
      </w:r>
      <w:r w:rsidRPr="00572EEA">
        <w:t>cent)</w:t>
      </w:r>
      <w:r>
        <w:t xml:space="preserve">, plus a limited cash payment. Other factors contributing to projected employee expenses include the anticipated composition and profile of the workforce. </w:t>
      </w:r>
    </w:p>
    <w:p w14:paraId="30086BB9" w14:textId="77777777" w:rsidR="00346FC5" w:rsidRDefault="00346FC5" w:rsidP="00346FC5">
      <w:pPr>
        <w:pStyle w:val="Heading30"/>
      </w:pPr>
      <w:r>
        <w:t>Demand for government services</w:t>
      </w:r>
    </w:p>
    <w:p w14:paraId="4E196F59" w14:textId="77777777" w:rsidR="00346FC5" w:rsidRDefault="00346FC5" w:rsidP="00346FC5">
      <w:r>
        <w:t xml:space="preserve">Another key uncertainty is whether growth in demand for government services will exceed or be lower than current projections. This can occur, for example, as a result of higher than forecast population growth or expenditure in response to unforeseen events such as natural disasters, including bushfires and floods. </w:t>
      </w:r>
    </w:p>
    <w:p w14:paraId="40D18CB0" w14:textId="77777777" w:rsidR="00346FC5" w:rsidRDefault="00346FC5" w:rsidP="00346FC5">
      <w:r>
        <w:t>The estimates incorporate contingency provisions to mitigate the impact of expenditure risks that may be realised during the next four years. The contingency provisions are sized to allow for the likely growth in Victoria’s population and the derived increased demand for government services.</w:t>
      </w:r>
    </w:p>
    <w:p w14:paraId="420F103B" w14:textId="77777777" w:rsidR="00346FC5" w:rsidRDefault="00346FC5" w:rsidP="00346FC5">
      <w:r>
        <w:t xml:space="preserve">Note 1.3.5 and Note 1.3.6 of Budget Paper No. 5, Chapter 1 </w:t>
      </w:r>
      <w:r w:rsidRPr="00361761">
        <w:rPr>
          <w:i/>
          <w:iCs/>
        </w:rPr>
        <w:t>Estimated Financial Statements for the general government sector</w:t>
      </w:r>
      <w:r>
        <w:t xml:space="preserve"> discloses general government output and asset contingencies not allocated to departments.</w:t>
      </w:r>
    </w:p>
    <w:p w14:paraId="56EE8E89" w14:textId="77777777" w:rsidR="00346FC5" w:rsidRDefault="00346FC5" w:rsidP="00346FC5">
      <w:pPr>
        <w:pStyle w:val="Heading30"/>
      </w:pPr>
      <w:r>
        <w:t>Capital program risks</w:t>
      </w:r>
    </w:p>
    <w:p w14:paraId="18DEF537" w14:textId="77777777" w:rsidR="00346FC5" w:rsidRDefault="00346FC5" w:rsidP="00346FC5">
      <w:r>
        <w:t xml:space="preserve">The Government continues to deliver capital investments aimed at supporting jobs and improving productivity and the quality of public service delivery. New investments focus on the Government’s election commitments alongside existing projects in delivery. </w:t>
      </w:r>
      <w:r w:rsidRPr="00825E54">
        <w:t xml:space="preserve"> </w:t>
      </w:r>
      <w:r w:rsidRPr="00657881">
        <w:t>Over the forward estimates, the capital program will begin to return towards pre</w:t>
      </w:r>
      <w:r>
        <w:noBreakHyphen/>
      </w:r>
      <w:r w:rsidRPr="00657881">
        <w:t>COVID levels.</w:t>
      </w:r>
    </w:p>
    <w:p w14:paraId="3C71F17C" w14:textId="77777777" w:rsidR="00346FC5" w:rsidRDefault="00346FC5" w:rsidP="00346FC5">
      <w:r>
        <w:t xml:space="preserve">Victoria’s Big Build coincides with a period of unprecedented growth in construction across Victoria and nationally. The high level of demand for skills and resources is placing significant pressure on the construction market and supply chain, resulting in capacity challenges and escalation in the price of materials and labour. </w:t>
      </w:r>
      <w:r w:rsidRPr="00CC446D">
        <w:t xml:space="preserve"> The Government is implementing strategies to respond to market constraints. Initiatives such as free TAFE</w:t>
      </w:r>
      <w:r>
        <w:t>,</w:t>
      </w:r>
      <w:r w:rsidRPr="00CC446D">
        <w:t xml:space="preserve"> Big Build apprenticeships and wider use of modern construction methods such as offsite and modular construction seek to improve productivity and address skills shortages.</w:t>
      </w:r>
    </w:p>
    <w:p w14:paraId="7A49E5DB" w14:textId="77777777" w:rsidR="00346FC5" w:rsidRDefault="00346FC5" w:rsidP="00346FC5">
      <w:pPr>
        <w:pStyle w:val="Heading20"/>
      </w:pPr>
      <w:r>
        <w:t>Specific fiscal risks</w:t>
      </w:r>
    </w:p>
    <w:p w14:paraId="0003EB2A" w14:textId="77777777" w:rsidR="00346FC5" w:rsidRDefault="00346FC5" w:rsidP="00346FC5">
      <w:pPr>
        <w:pStyle w:val="Heading30"/>
      </w:pPr>
      <w:r>
        <w:t>Commonwealth schools funding</w:t>
      </w:r>
    </w:p>
    <w:p w14:paraId="31614D40" w14:textId="77777777" w:rsidR="00346FC5" w:rsidRPr="00AC5038" w:rsidRDefault="00346FC5" w:rsidP="00346FC5">
      <w:r>
        <w:t xml:space="preserve">In June 2017, the Commonwealth Government passed amendments to the </w:t>
      </w:r>
      <w:r w:rsidRPr="003E2F9A">
        <w:rPr>
          <w:i/>
          <w:iCs/>
        </w:rPr>
        <w:t>Australian Education Act 2013</w:t>
      </w:r>
      <w:r w:rsidRPr="003E2F9A">
        <w:t xml:space="preserve"> </w:t>
      </w:r>
      <w:r>
        <w:t>to implement a new national school funding model. In mid-2019, Victoria signed the National School Reform Agreement and an accompanying bilateral agreement, which will nominally expire on 31 December 2024 following a one-year extension. Estimates of funding required to acquit the Schooling Resource Standard target each year are subject to indexation and based on student number and profile projections. Expenditure targets are finalised towards the end of, or after, each school year based on actual student data, plus national price indexes, creating a risk that the Victorian and Commonwealth targets differ from the funding allocated that year.</w:t>
      </w:r>
    </w:p>
    <w:p w14:paraId="7CDD636B" w14:textId="77777777" w:rsidR="00346FC5" w:rsidRPr="00CB5280" w:rsidRDefault="00346FC5" w:rsidP="00346FC5">
      <w:pPr>
        <w:pStyle w:val="Heading30"/>
      </w:pPr>
      <w:r w:rsidRPr="00CB5280">
        <w:t>Commonwealth health funding</w:t>
      </w:r>
    </w:p>
    <w:p w14:paraId="543BFF5C" w14:textId="03F51E26" w:rsidR="00346FC5" w:rsidRDefault="00346FC5" w:rsidP="00346FC5">
      <w:r>
        <w:t>Under the 2020-25 Addendum to the National Health Reform Agreement (NHRA), the</w:t>
      </w:r>
      <w:r w:rsidR="0033262F">
        <w:t> </w:t>
      </w:r>
      <w:r>
        <w:t>Commonwealth co-funds public hospitals by contributing 45 per cent of the cost of</w:t>
      </w:r>
      <w:r w:rsidR="008139D0">
        <w:t> </w:t>
      </w:r>
      <w:r>
        <w:t>eligible activity, with the Commonwealth’s contribution capped at a growth rate of 6.5</w:t>
      </w:r>
      <w:r w:rsidR="0033262F">
        <w:t> </w:t>
      </w:r>
      <w:r>
        <w:t>per</w:t>
      </w:r>
      <w:r w:rsidR="0033262F">
        <w:t> </w:t>
      </w:r>
      <w:r>
        <w:t xml:space="preserve">cent compared with the previous year’s contribution. </w:t>
      </w:r>
    </w:p>
    <w:p w14:paraId="1CC05BD8" w14:textId="77777777" w:rsidR="00346FC5" w:rsidRDefault="00346FC5" w:rsidP="00346FC5">
      <w:r>
        <w:t xml:space="preserve">Victoria’s public hospitals continue to experience significant cost pressures due to COVID-19, including the costs of furloughing staff, personal protective equipment, and broad infection control measures. Previously, additional costs related to COVID-19 were shared between the Commonwealth and states and territories under the National Partnership on COVID-19 Response. </w:t>
      </w:r>
    </w:p>
    <w:p w14:paraId="1A9024C5" w14:textId="222AC623" w:rsidR="00346FC5" w:rsidRDefault="00346FC5" w:rsidP="00346FC5">
      <w:r>
        <w:t>With the ceasing of the National Partnership agreement on 31 December 2022, the Commonwealth’s contributions to COVID-19 cost pressures are limited to annual price increases as determined by the I</w:t>
      </w:r>
      <w:r w:rsidRPr="00C81BC3">
        <w:t>ndependent Health and Aged Care Pricing Authority</w:t>
      </w:r>
      <w:r>
        <w:t xml:space="preserve"> (IHACPA). </w:t>
      </w:r>
      <w:bookmarkStart w:id="63" w:name="_Hlk133403380"/>
      <w:r w:rsidRPr="0081773F">
        <w:t>IHACPA has made</w:t>
      </w:r>
      <w:r>
        <w:t xml:space="preserve"> </w:t>
      </w:r>
      <w:r w:rsidRPr="0081773F">
        <w:t>assumptions to determine the National Efficient Price (NEP). These assumptions may dampen the true costs of healthcare delivery, increasing</w:t>
      </w:r>
      <w:r>
        <w:t xml:space="preserve"> the risk that Commonwealth funding will not be sufficient to meet the 45 per cent share of COVID-19 costs.</w:t>
      </w:r>
      <w:bookmarkEnd w:id="63"/>
      <w:r>
        <w:t xml:space="preserve"> Further, should any large-scale public health response be required for</w:t>
      </w:r>
      <w:r w:rsidR="008139D0">
        <w:t> </w:t>
      </w:r>
      <w:r>
        <w:t>a future COVID-19 outbreak, there is currently no funding mechanism for the Commonwealth to contribute to the response.</w:t>
      </w:r>
    </w:p>
    <w:p w14:paraId="26DF4EFE" w14:textId="77777777" w:rsidR="00346FC5" w:rsidRDefault="00346FC5" w:rsidP="00346FC5">
      <w:pPr>
        <w:pStyle w:val="Heading30"/>
        <w:rPr>
          <w:b w:val="0"/>
          <w:bCs/>
        </w:rPr>
      </w:pPr>
      <w:r w:rsidRPr="000E6DEF">
        <w:t>Victorian contribution to disability funding</w:t>
      </w:r>
    </w:p>
    <w:p w14:paraId="5FE62D4E" w14:textId="40E8D431" w:rsidR="00346FC5" w:rsidRDefault="00346FC5" w:rsidP="00346FC5">
      <w:r w:rsidRPr="00193B4F">
        <w:t xml:space="preserve">The </w:t>
      </w:r>
      <w:r>
        <w:t>b</w:t>
      </w:r>
      <w:r w:rsidRPr="00193B4F">
        <w:t xml:space="preserve">ilateral </w:t>
      </w:r>
      <w:r>
        <w:t>a</w:t>
      </w:r>
      <w:r w:rsidRPr="00193B4F">
        <w:t>greement</w:t>
      </w:r>
      <w:r>
        <w:t xml:space="preserve"> outlining Victoria’s contribution to the National Disability Insurance Scheme (NDIS)</w:t>
      </w:r>
      <w:r w:rsidRPr="00193B4F">
        <w:t xml:space="preserve"> nominally expires in July</w:t>
      </w:r>
      <w:r>
        <w:t> </w:t>
      </w:r>
      <w:r w:rsidRPr="00193B4F">
        <w:t>2023.</w:t>
      </w:r>
      <w:r w:rsidRPr="009726B6">
        <w:t xml:space="preserve"> </w:t>
      </w:r>
      <w:r>
        <w:t>Under the agreement, Victoria’s contributions have been indexed at 4 per cent annually since the agreement commenced in</w:t>
      </w:r>
      <w:r w:rsidR="008139D0">
        <w:t> </w:t>
      </w:r>
      <w:r>
        <w:t>July 2019, with a total contribution of $2.9 billion in 2022</w:t>
      </w:r>
      <w:r>
        <w:noBreakHyphen/>
        <w:t xml:space="preserve">23. </w:t>
      </w:r>
      <w:r w:rsidRPr="00D33DB5">
        <w:t xml:space="preserve">Negotiation of the new </w:t>
      </w:r>
      <w:r>
        <w:t xml:space="preserve">bilateral agreement is expected to commence </w:t>
      </w:r>
      <w:r w:rsidRPr="00B15AC5">
        <w:t>at the conclusion of the current NDIS Review (expected around October 2023).</w:t>
      </w:r>
      <w:r w:rsidRPr="001E6AF7">
        <w:t xml:space="preserve"> Further, the Commonwealth has indicated that it may not continue reimbursing states and territories from 2024-25 for their NDIS costs under the National Partnership on DisabilityCare Australia Fund (DCAF) Payments. Under this National Partnership, Victoria</w:t>
      </w:r>
      <w:r>
        <w:t>’</w:t>
      </w:r>
      <w:r w:rsidRPr="001E6AF7">
        <w:t xml:space="preserve">s payment from the Commonwealth </w:t>
      </w:r>
      <w:r>
        <w:t>will be</w:t>
      </w:r>
      <w:r w:rsidRPr="001E6AF7">
        <w:t xml:space="preserve"> $28</w:t>
      </w:r>
      <w:r>
        <w:t>0</w:t>
      </w:r>
      <w:r w:rsidRPr="001E6AF7">
        <w:t xml:space="preserve"> million in 2023-24. Both the </w:t>
      </w:r>
      <w:r>
        <w:t>b</w:t>
      </w:r>
      <w:r w:rsidRPr="001E6AF7">
        <w:t xml:space="preserve">ilateral </w:t>
      </w:r>
      <w:r>
        <w:t>a</w:t>
      </w:r>
      <w:r w:rsidRPr="001E6AF7">
        <w:t>greement and continuation of the DCAF payment</w:t>
      </w:r>
      <w:r>
        <w:t>s</w:t>
      </w:r>
      <w:r w:rsidRPr="001E6AF7">
        <w:t xml:space="preserve"> are contingent on the outcomes of the NDIS Review currently underway.</w:t>
      </w:r>
    </w:p>
    <w:p w14:paraId="1C64EAAC" w14:textId="77777777" w:rsidR="00346FC5" w:rsidRDefault="00346FC5" w:rsidP="00346FC5">
      <w:pPr>
        <w:pStyle w:val="Heading30"/>
      </w:pPr>
      <w:r>
        <w:t>Victoria’s GST revenue</w:t>
      </w:r>
    </w:p>
    <w:p w14:paraId="668B7A16" w14:textId="77777777" w:rsidR="00346FC5" w:rsidRPr="0085227D" w:rsidRDefault="00346FC5" w:rsidP="00346FC5">
      <w:r w:rsidRPr="0085227D">
        <w:t>Victoria’s GST revenue is broadly determined by three key factors:</w:t>
      </w:r>
    </w:p>
    <w:p w14:paraId="0FD78147" w14:textId="77777777" w:rsidR="00346FC5" w:rsidRPr="0085227D" w:rsidRDefault="00346FC5" w:rsidP="007B1F83">
      <w:pPr>
        <w:pStyle w:val="ListBullet"/>
      </w:pPr>
      <w:r w:rsidRPr="0085227D">
        <w:t>the amount of GST collected by the Commonwealth (the national GST pool)</w:t>
      </w:r>
    </w:p>
    <w:p w14:paraId="598727C1" w14:textId="77777777" w:rsidR="00346FC5" w:rsidRPr="0085227D" w:rsidRDefault="00346FC5" w:rsidP="007B1F83">
      <w:pPr>
        <w:pStyle w:val="ListBullet"/>
      </w:pPr>
      <w:r w:rsidRPr="0085227D">
        <w:t>Victoria’s GST relativity</w:t>
      </w:r>
    </w:p>
    <w:p w14:paraId="310D0256" w14:textId="77777777" w:rsidR="00346FC5" w:rsidRPr="0085227D" w:rsidRDefault="00346FC5" w:rsidP="007B1F83">
      <w:pPr>
        <w:pStyle w:val="ListBullet"/>
      </w:pPr>
      <w:r w:rsidRPr="0085227D">
        <w:t>Victoria’s share of the national population.</w:t>
      </w:r>
    </w:p>
    <w:p w14:paraId="5B1F744F" w14:textId="77777777" w:rsidR="00346FC5" w:rsidRPr="0085227D" w:rsidRDefault="00346FC5" w:rsidP="00346FC5">
      <w:pPr>
        <w:pStyle w:val="Heading4"/>
      </w:pPr>
      <w:r w:rsidRPr="0085227D">
        <w:t>National GST pool</w:t>
      </w:r>
    </w:p>
    <w:p w14:paraId="60BDD716" w14:textId="77777777" w:rsidR="00346FC5" w:rsidRPr="0085227D" w:rsidRDefault="00346FC5" w:rsidP="00346FC5">
      <w:r w:rsidRPr="0085227D">
        <w:t>The outlook for the national GST pool has improved following the rebound in calendar year 2022 as the economy recovered from the pandemic. The key risk to the profile is the uncertainty of high inflation and the current monetary tightening cycle. Ongoing high inflation could lead to further rises in interest rates or delay monetary easing. This would weigh on the disposable income of households further than expected and impact aggregate spending which would slow the growth in the GST pool. Further uncertainty in the national GST pool forecast is driven by changes in spending patterns during COVID. The proportion of consumption subject to GST rose during COVID, against the trend pre-COVID. There is heightened uncertainty about the persistence of this pattern. </w:t>
      </w:r>
    </w:p>
    <w:p w14:paraId="6DF13F68" w14:textId="77777777" w:rsidR="00346FC5" w:rsidRPr="0085227D" w:rsidRDefault="00346FC5" w:rsidP="00346FC5">
      <w:pPr>
        <w:pStyle w:val="Heading4"/>
      </w:pPr>
      <w:r w:rsidRPr="0085227D">
        <w:t>GST relativities</w:t>
      </w:r>
    </w:p>
    <w:p w14:paraId="5B1A5F82" w14:textId="77777777" w:rsidR="00346FC5" w:rsidRPr="0085227D" w:rsidRDefault="00346FC5" w:rsidP="00346FC5">
      <w:r w:rsidRPr="0085227D">
        <w:t>The national GST pool is shared between states and territories based on relativities determined annually by the Commonwealth Treasurer, which are informed by the recommendations of the Commonwealth Grants Commission. </w:t>
      </w:r>
    </w:p>
    <w:p w14:paraId="1DCED944" w14:textId="77777777" w:rsidR="00346FC5" w:rsidRPr="0085227D" w:rsidRDefault="00346FC5" w:rsidP="008139D0">
      <w:pPr>
        <w:ind w:right="151"/>
      </w:pPr>
      <w:r w:rsidRPr="0085227D">
        <w:t>These relativities are based on the relative fiscal capacity of each jurisdiction and are influenced by differences in revenue bases and costs of delivering services. Relativities are sensitive to a broad range of factors, including demographics, infrastructure needs, developments in property markets and global commodity prices (particularly for iron ore, thermal coal and coking coal). Uncertainty in these factors pose risks for Victoria’s GST revenue.</w:t>
      </w:r>
    </w:p>
    <w:p w14:paraId="2371D3C8" w14:textId="77777777" w:rsidR="00346FC5" w:rsidRPr="0085227D" w:rsidRDefault="00346FC5" w:rsidP="00346FC5">
      <w:pPr>
        <w:pStyle w:val="Heading4"/>
      </w:pPr>
      <w:r w:rsidRPr="0085227D">
        <w:t>Population</w:t>
      </w:r>
    </w:p>
    <w:p w14:paraId="60D65D78" w14:textId="77777777" w:rsidR="00346FC5" w:rsidRPr="0085227D" w:rsidRDefault="00346FC5" w:rsidP="00346FC5">
      <w:r w:rsidRPr="0085227D">
        <w:t xml:space="preserve">In the early stages of the COVID-19 pandemic, Victoria’s national population share decreased due to a net outflow of Victorian residents to other states and restrictions on overseas migration. Victoria’s population </w:t>
      </w:r>
      <w:r>
        <w:t>share</w:t>
      </w:r>
      <w:r w:rsidRPr="0085227D">
        <w:t xml:space="preserve"> projections are subject to </w:t>
      </w:r>
      <w:r>
        <w:t>uncertainty</w:t>
      </w:r>
      <w:r w:rsidRPr="0085227D">
        <w:t xml:space="preserve"> as interstate and overseas migration </w:t>
      </w:r>
      <w:r>
        <w:t>patterns evolve.</w:t>
      </w:r>
    </w:p>
    <w:p w14:paraId="1ACCBF2E" w14:textId="77777777" w:rsidR="00346FC5" w:rsidRDefault="00346FC5" w:rsidP="00346FC5">
      <w:r w:rsidRPr="0085227D">
        <w:t xml:space="preserve">Additionally, there is further uncertainty as net international migration has begun to increase in Australia. Victoria has traditionally received </w:t>
      </w:r>
      <w:r>
        <w:t xml:space="preserve">more </w:t>
      </w:r>
      <w:r w:rsidRPr="0085227D">
        <w:t xml:space="preserve">international migration than its population share and this is likely to </w:t>
      </w:r>
      <w:r>
        <w:t>increase</w:t>
      </w:r>
      <w:r w:rsidRPr="0085227D">
        <w:t xml:space="preserve"> Victoria’s population growth compared </w:t>
      </w:r>
      <w:r>
        <w:t>with</w:t>
      </w:r>
      <w:r w:rsidRPr="0085227D">
        <w:t xml:space="preserve"> other states. If Victoria’s population growth is higher than forecast compared </w:t>
      </w:r>
      <w:r>
        <w:t>with</w:t>
      </w:r>
      <w:r w:rsidRPr="0085227D">
        <w:t xml:space="preserve"> other states, then Victoria’s share of GST could increase. Conversely, should other states have higher population growth than expected compared with Victoria</w:t>
      </w:r>
      <w:r>
        <w:t>,</w:t>
      </w:r>
      <w:r w:rsidRPr="0085227D">
        <w:t xml:space="preserve"> this could negatively affect Victoria’s GST revenue.</w:t>
      </w:r>
    </w:p>
    <w:p w14:paraId="3BCF017B" w14:textId="77777777" w:rsidR="00346FC5" w:rsidRPr="00CC5B4E" w:rsidRDefault="00346FC5" w:rsidP="007B1F83">
      <w:pPr>
        <w:pStyle w:val="Heading4"/>
        <w:pageBreakBefore/>
      </w:pPr>
      <w:r w:rsidRPr="00CC5B4E">
        <w:t>Commonwealth no</w:t>
      </w:r>
      <w:r>
        <w:t>-</w:t>
      </w:r>
      <w:r w:rsidRPr="00CC5B4E">
        <w:t>worse</w:t>
      </w:r>
      <w:r>
        <w:t>-</w:t>
      </w:r>
      <w:r w:rsidRPr="00CC5B4E">
        <w:t>off guarantee for GST entitlement</w:t>
      </w:r>
    </w:p>
    <w:p w14:paraId="0F78A740" w14:textId="77777777" w:rsidR="00346FC5" w:rsidRPr="0085227D" w:rsidRDefault="00346FC5" w:rsidP="00346FC5">
      <w:r w:rsidRPr="0085227D">
        <w:t xml:space="preserve">In 2018, the Commonwealth </w:t>
      </w:r>
      <w:r>
        <w:t>changed the GST distribution system, introducing</w:t>
      </w:r>
      <w:r w:rsidRPr="0085227D">
        <w:t>: </w:t>
      </w:r>
    </w:p>
    <w:p w14:paraId="22B4F461" w14:textId="77777777" w:rsidR="00346FC5" w:rsidRDefault="00346FC5" w:rsidP="007B1F83">
      <w:pPr>
        <w:pStyle w:val="ListBullet"/>
      </w:pPr>
      <w:r>
        <w:t xml:space="preserve">a minimum GST revenue sharing relativity (relativity floor) of 0.70 commencing in 2019-20, supported by transition payments from the Commonwealth and facilitated within the GST distribution from 2022-23, rising to 0.75 from 2024-25 </w:t>
      </w:r>
    </w:p>
    <w:p w14:paraId="130FF493" w14:textId="77777777" w:rsidR="00346FC5" w:rsidRDefault="00346FC5" w:rsidP="007B1F83">
      <w:pPr>
        <w:pStyle w:val="ListBullet"/>
        <w:numPr>
          <w:ilvl w:val="0"/>
          <w:numId w:val="19"/>
        </w:numPr>
        <w:tabs>
          <w:tab w:val="clear" w:pos="720"/>
        </w:tabs>
        <w:ind w:left="340" w:hanging="340"/>
      </w:pPr>
      <w:r>
        <w:t>a small, permanent boost to the GST revenue pool from 2021-22, funded from additional Commonwealth funding</w:t>
      </w:r>
    </w:p>
    <w:p w14:paraId="66265BE1" w14:textId="77777777" w:rsidR="00346FC5" w:rsidRDefault="00346FC5" w:rsidP="007B1F83">
      <w:pPr>
        <w:pStyle w:val="ListBullet"/>
      </w:pPr>
      <w:r>
        <w:t xml:space="preserve">the transition of the GST distribution system from full equalisation (so called equalising to the strongest state) to ‘reasonable’ equalisation, based upon the fiscal capacity of the stronger of New South Wales or Victoria.  </w:t>
      </w:r>
    </w:p>
    <w:p w14:paraId="689FB495" w14:textId="0C2DCBE0" w:rsidR="00346FC5" w:rsidRDefault="00346FC5" w:rsidP="008139D0">
      <w:pPr>
        <w:ind w:right="61"/>
      </w:pPr>
      <w:r w:rsidRPr="0085227D">
        <w:t xml:space="preserve">During </w:t>
      </w:r>
      <w:r>
        <w:t>a</w:t>
      </w:r>
      <w:r w:rsidRPr="0085227D">
        <w:t xml:space="preserve"> six</w:t>
      </w:r>
      <w:r>
        <w:t>-year</w:t>
      </w:r>
      <w:r w:rsidRPr="0085227D">
        <w:t xml:space="preserve"> transition period </w:t>
      </w:r>
      <w:r>
        <w:t>commencing</w:t>
      </w:r>
      <w:r w:rsidRPr="0085227D">
        <w:t xml:space="preserve"> in 2021</w:t>
      </w:r>
      <w:r>
        <w:t>-</w:t>
      </w:r>
      <w:r w:rsidRPr="0085227D">
        <w:t xml:space="preserve">22, each state </w:t>
      </w:r>
      <w:r>
        <w:t>and</w:t>
      </w:r>
      <w:r w:rsidRPr="0085227D">
        <w:t xml:space="preserve"> territory is entitled to receive additional Commonwealth financial assistance to ensure it is no worse off compared to its GST entitlement had full equalisation been maintained. The no</w:t>
      </w:r>
      <w:r w:rsidR="008139D0">
        <w:noBreakHyphen/>
      </w:r>
      <w:r w:rsidRPr="0085227D">
        <w:t>worse</w:t>
      </w:r>
      <w:r w:rsidR="008139D0">
        <w:noBreakHyphen/>
      </w:r>
      <w:r w:rsidRPr="0085227D">
        <w:t xml:space="preserve">off guarantee is only legislated until the end of the transition period in </w:t>
      </w:r>
      <w:r>
        <w:t>2026-27, posing</w:t>
      </w:r>
      <w:r w:rsidRPr="0085227D">
        <w:t xml:space="preserve"> a fiscal risk to states and </w:t>
      </w:r>
      <w:r w:rsidRPr="00F81182">
        <w:t xml:space="preserve">territories. </w:t>
      </w:r>
      <w:r w:rsidRPr="0063080D">
        <w:t xml:space="preserve">The Commonwealth’s </w:t>
      </w:r>
      <w:r w:rsidRPr="009C3EA5">
        <w:rPr>
          <w:i/>
          <w:iCs/>
        </w:rPr>
        <w:t>2023-24 Budget</w:t>
      </w:r>
      <w:r w:rsidRPr="0063080D">
        <w:t xml:space="preserve"> indicates that without the guarantee, Victoria would lose $7.0 billion over the years 2022</w:t>
      </w:r>
      <w:r w:rsidRPr="0063080D">
        <w:noBreakHyphen/>
        <w:t>23 to 2026-27.</w:t>
      </w:r>
      <w:r w:rsidRPr="00F81182">
        <w:t xml:space="preserve"> </w:t>
      </w:r>
      <w:r w:rsidRPr="00072915">
        <w:t xml:space="preserve">Actual impacts may be greater than reported in the Commonwealth’s budget as it is based on the </w:t>
      </w:r>
      <w:r>
        <w:t xml:space="preserve">simplistic </w:t>
      </w:r>
      <w:r w:rsidRPr="00072915">
        <w:t>assumption that its estimates of no-worse-off payments are reduced by 50 per cent in 202</w:t>
      </w:r>
      <w:r w:rsidRPr="001C55B7">
        <w:t>6</w:t>
      </w:r>
      <w:r w:rsidRPr="00072915">
        <w:t>-2</w:t>
      </w:r>
      <w:r w:rsidRPr="001C55B7">
        <w:t>7</w:t>
      </w:r>
      <w:r w:rsidRPr="00072915">
        <w:t>.</w:t>
      </w:r>
      <w:r w:rsidRPr="00F81182">
        <w:t xml:space="preserve"> </w:t>
      </w:r>
    </w:p>
    <w:p w14:paraId="51DF9CE8" w14:textId="77777777" w:rsidR="00346FC5" w:rsidRDefault="00346FC5" w:rsidP="00346FC5">
      <w:r>
        <w:t xml:space="preserve">Further information on the potential impact of a failure to extend the no-worse-off guarantee is presented in Box 4.3 of </w:t>
      </w:r>
      <w:r w:rsidRPr="0085227D">
        <w:t>Budget Paper No.</w:t>
      </w:r>
      <w:r>
        <w:t xml:space="preserve"> </w:t>
      </w:r>
      <w:r w:rsidRPr="0085227D">
        <w:t xml:space="preserve">5, Chapter 4 </w:t>
      </w:r>
      <w:r w:rsidRPr="009932E6">
        <w:rPr>
          <w:i/>
        </w:rPr>
        <w:t xml:space="preserve">State </w:t>
      </w:r>
      <w:r w:rsidRPr="009932E6">
        <w:rPr>
          <w:i/>
          <w:iCs/>
        </w:rPr>
        <w:t>revenue</w:t>
      </w:r>
      <w:r w:rsidDel="00D90F8D">
        <w:t>.</w:t>
      </w:r>
    </w:p>
    <w:p w14:paraId="0A9355E3" w14:textId="77777777" w:rsidR="00346FC5" w:rsidRDefault="00346FC5" w:rsidP="00346FC5">
      <w:r>
        <w:t>Victoria continues</w:t>
      </w:r>
      <w:r w:rsidRPr="0085227D">
        <w:t xml:space="preserve"> to work with other state governments and the Commonwealth to ensure Victoria receives its fair share of GST.</w:t>
      </w:r>
    </w:p>
    <w:p w14:paraId="5152A4A1" w14:textId="77777777" w:rsidR="00346FC5" w:rsidRPr="00113094" w:rsidRDefault="00346FC5" w:rsidP="00346FC5"/>
    <w:p w14:paraId="369F6C10" w14:textId="77777777" w:rsidR="00346FC5" w:rsidRDefault="00346FC5" w:rsidP="00DC479B">
      <w:pPr>
        <w:sectPr w:rsidR="00346FC5" w:rsidSect="00346FC5">
          <w:footerReference w:type="even" r:id="rId48"/>
          <w:footerReference w:type="default" r:id="rId49"/>
          <w:type w:val="oddPage"/>
          <w:pgSz w:w="9979" w:h="14175" w:code="34"/>
          <w:pgMar w:top="1134" w:right="1134" w:bottom="1134" w:left="1134" w:header="624" w:footer="567" w:gutter="0"/>
          <w:cols w:space="708"/>
          <w:docGrid w:linePitch="360"/>
        </w:sectPr>
      </w:pPr>
    </w:p>
    <w:p w14:paraId="4D3B49BE" w14:textId="77777777" w:rsidR="00346FC5" w:rsidRPr="00351630" w:rsidRDefault="00346FC5" w:rsidP="00346FC5">
      <w:pPr>
        <w:pStyle w:val="ChapterHeading"/>
      </w:pPr>
      <w:bookmarkStart w:id="64" w:name="_Toc135331256"/>
      <w:r w:rsidRPr="00351630">
        <w:t>Chapter 5 – Position and outlook of the broader public sector</w:t>
      </w:r>
      <w:bookmarkEnd w:id="64"/>
    </w:p>
    <w:p w14:paraId="7688D17E" w14:textId="77777777" w:rsidR="00346FC5" w:rsidRPr="00351630" w:rsidRDefault="00346FC5" w:rsidP="007B1F83">
      <w:pPr>
        <w:pStyle w:val="ShadedBoxBullet"/>
      </w:pPr>
      <w:r w:rsidRPr="00351630">
        <w:t>The net result from transactions of the public non-financial corporation (PNFC) sector is expected to improve from a deficit of $295 million in 2023-24 to a surplus of $114</w:t>
      </w:r>
      <w:r w:rsidRPr="00351630">
        <w:rPr>
          <w:rFonts w:ascii="Times New Roman" w:hAnsi="Times New Roman" w:cs="Times New Roman"/>
        </w:rPr>
        <w:t> </w:t>
      </w:r>
      <w:r w:rsidRPr="00351630">
        <w:t>million in 2026-27. Once non-cash items, such as depreciation and movements in liabilities for employee benefits are removed, the operating cash flow surplus of the PNFC sector is expected to average $1.6 billion a year over the budget and forward estimates period.</w:t>
      </w:r>
    </w:p>
    <w:p w14:paraId="79D9B5F2" w14:textId="633CA1DD" w:rsidR="00346FC5" w:rsidRPr="00351630" w:rsidRDefault="00346FC5" w:rsidP="007B1F83">
      <w:pPr>
        <w:pStyle w:val="ShadedBoxBullet"/>
      </w:pPr>
      <w:r w:rsidRPr="00351630">
        <w:t>The net result from transactions of the non</w:t>
      </w:r>
      <w:r w:rsidRPr="00351630">
        <w:noBreakHyphen/>
        <w:t>financial public sector (NFPS), which includes both the general government and the PNFC sectors, is expected to improve from a deficit of $5.5 billion in 2023-24 to a deficit of $109 million by 2026-27. This</w:t>
      </w:r>
      <w:r w:rsidR="008139D0">
        <w:t> </w:t>
      </w:r>
      <w:r w:rsidRPr="00351630">
        <w:t>improvement is primarily driven by the general government sector, for which revenues are expected to grow faster than expenses over the budget and forward estimates.</w:t>
      </w:r>
    </w:p>
    <w:p w14:paraId="302609C3" w14:textId="1D6D575F" w:rsidR="00346FC5" w:rsidRPr="00351630" w:rsidRDefault="00346FC5" w:rsidP="007B1F83">
      <w:pPr>
        <w:pStyle w:val="ShadedBoxBullet"/>
      </w:pPr>
      <w:r w:rsidRPr="00351630">
        <w:t>The net result from transactions of the public financial corporation (PFC) sector is expected to remain stable over the budget and forward estimates, with an average deficit of $3 billion a year, while the net result for this sector is expected to average a deficit of $862 million a year. The net result is significantly more favourable than the net result from transactions due to other economic flows which primarily relate to unrealised capital gains on the investments held by the State</w:t>
      </w:r>
      <w:r>
        <w:t>’</w:t>
      </w:r>
      <w:r w:rsidRPr="00351630">
        <w:t>s insurance agencies and</w:t>
      </w:r>
      <w:r w:rsidR="008139D0">
        <w:t> </w:t>
      </w:r>
      <w:r w:rsidRPr="00351630">
        <w:t>movements in deferred tax assets.</w:t>
      </w:r>
    </w:p>
    <w:p w14:paraId="3E5159A1" w14:textId="77777777" w:rsidR="00346FC5" w:rsidRPr="00351630" w:rsidRDefault="00346FC5" w:rsidP="007B1F83">
      <w:pPr>
        <w:pStyle w:val="ShadedBoxBullet"/>
      </w:pPr>
      <w:r w:rsidRPr="00351630">
        <w:t>The net result from transactions of the State of Victoria, which combines the general government, PNFC and PFC sectors, is projected to improve from a deficit of $9.2 billion in 2023-24 to a deficit of $3.3 billion in 2026</w:t>
      </w:r>
      <w:r w:rsidRPr="00351630">
        <w:noBreakHyphen/>
        <w:t>27.</w:t>
      </w:r>
    </w:p>
    <w:p w14:paraId="51E83C85" w14:textId="77777777" w:rsidR="00346FC5" w:rsidRPr="00351630" w:rsidRDefault="00346FC5" w:rsidP="007B1F83">
      <w:pPr>
        <w:pStyle w:val="ShadedBoxBullet"/>
      </w:pPr>
      <w:r w:rsidRPr="00351630">
        <w:t>A range of savings and efficiency initiatives will be implemented by the PNFC and PFC sectors. Any distributions to government from individual entities, which can take the form of dividends, capital repatriations, grants, or reduced funding, will be progressively implemented from 2023-24.</w:t>
      </w:r>
    </w:p>
    <w:p w14:paraId="55669BA6" w14:textId="77777777" w:rsidR="00346FC5" w:rsidRPr="00351630" w:rsidRDefault="00346FC5" w:rsidP="007B1F83">
      <w:pPr>
        <w:pStyle w:val="ShadedBoxBullet"/>
      </w:pPr>
      <w:r w:rsidRPr="00351630">
        <w:t xml:space="preserve">As a proportion of gross state product (GSP), NFPS net debt is estimated to average </w:t>
      </w:r>
      <w:r w:rsidRPr="00351630" w:rsidDel="003D3AD1">
        <w:t>28.</w:t>
      </w:r>
      <w:r w:rsidRPr="00351630">
        <w:t>4 per cent over the budget and forward estimates.</w:t>
      </w:r>
    </w:p>
    <w:p w14:paraId="5C6E0745" w14:textId="77777777" w:rsidR="00346FC5" w:rsidRPr="00351630" w:rsidRDefault="00346FC5" w:rsidP="00346FC5">
      <w:pPr>
        <w:keepLines w:val="0"/>
      </w:pPr>
    </w:p>
    <w:p w14:paraId="0419C55A" w14:textId="77777777" w:rsidR="00346FC5" w:rsidRPr="00351630" w:rsidRDefault="00346FC5" w:rsidP="00346FC5">
      <w:pPr>
        <w:keepNext/>
      </w:pPr>
      <w:r w:rsidRPr="00351630">
        <w:t>This chapter provides an overview of the activities of the broader public sector, comprising:</w:t>
      </w:r>
    </w:p>
    <w:p w14:paraId="6BB4B4A8" w14:textId="7360477A" w:rsidR="00346FC5" w:rsidRPr="00351630" w:rsidRDefault="00346FC5" w:rsidP="008139D0">
      <w:pPr>
        <w:pStyle w:val="ListBullet"/>
        <w:keepNext/>
        <w:numPr>
          <w:ilvl w:val="0"/>
          <w:numId w:val="21"/>
        </w:numPr>
        <w:ind w:right="61"/>
      </w:pPr>
      <w:r w:rsidRPr="00351630">
        <w:t>the NFPS, which consolidates the general government and the PNFC sectors. The</w:t>
      </w:r>
      <w:r w:rsidR="008139D0">
        <w:t> </w:t>
      </w:r>
      <w:r w:rsidRPr="00351630">
        <w:t xml:space="preserve">general government sector is discussed in Chapter 4 </w:t>
      </w:r>
      <w:r w:rsidRPr="00351630">
        <w:rPr>
          <w:i/>
        </w:rPr>
        <w:t>Budget position and outlook</w:t>
      </w:r>
      <w:r w:rsidRPr="00351630">
        <w:t>. The</w:t>
      </w:r>
      <w:r w:rsidR="008139D0">
        <w:t> </w:t>
      </w:r>
      <w:r w:rsidRPr="00351630">
        <w:t>PNFC sector comprises a wide range of entities that provide services that are primarily funded by user charges and fees. The main services provided by PNFCs include water, housing, and transport</w:t>
      </w:r>
    </w:p>
    <w:p w14:paraId="0E837C42" w14:textId="77777777" w:rsidR="00346FC5" w:rsidRPr="00351630" w:rsidRDefault="00346FC5" w:rsidP="007B1F83">
      <w:pPr>
        <w:pStyle w:val="ListBullet"/>
        <w:ind w:left="284" w:hanging="284"/>
      </w:pPr>
      <w:r w:rsidRPr="00351630">
        <w:t>the State of Victoria, which consolidates the NFPS and the PFC sector. PFCs can be categorised into two broad types: those that provide services to the general public and businesses (such as WorkSafe Victoria, the Transport Accident Commission, Breakthrough Victoria and State Trustees Limited), and those that predominantly provide financial services to other government entities (such as the Victorian Funds Management Corporation, Treasury Corporation of Victoria (TCV) and the Victorian Managed Insurance Authority).</w:t>
      </w:r>
    </w:p>
    <w:p w14:paraId="6542A0C1" w14:textId="77777777" w:rsidR="00346FC5" w:rsidRPr="00351630" w:rsidRDefault="00346FC5" w:rsidP="008139D0">
      <w:pPr>
        <w:spacing w:after="120"/>
        <w:ind w:right="-115"/>
      </w:pPr>
      <w:r w:rsidRPr="00351630">
        <w:t>The following chart shows the relationship between the various sectors of the State and indicates the relevant tables that disclose the data on these sectors within this budget paper.</w:t>
      </w:r>
    </w:p>
    <w:p w14:paraId="481DEF78" w14:textId="77777777" w:rsidR="00346FC5" w:rsidRPr="00351630" w:rsidRDefault="00346FC5" w:rsidP="008139D0">
      <w:pPr>
        <w:keepLines w:val="0"/>
        <w:spacing w:before="240"/>
      </w:pPr>
      <w:r w:rsidRPr="00351630">
        <w:rPr>
          <w:noProof/>
        </w:rPr>
        <mc:AlternateContent>
          <mc:Choice Requires="wpc">
            <w:drawing>
              <wp:inline distT="0" distB="0" distL="0" distR="0" wp14:anchorId="6ABECABC" wp14:editId="34748B5A">
                <wp:extent cx="4961890" cy="2884170"/>
                <wp:effectExtent l="0" t="0" r="0" b="0"/>
                <wp:docPr id="31" name="Canvas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Rectangle 4"/>
                        <wps:cNvSpPr>
                          <a:spLocks noChangeArrowheads="1"/>
                        </wps:cNvSpPr>
                        <wps:spPr bwMode="auto">
                          <a:xfrm>
                            <a:off x="2315342" y="0"/>
                            <a:ext cx="1144021" cy="611042"/>
                          </a:xfrm>
                          <a:prstGeom prst="rect">
                            <a:avLst/>
                          </a:prstGeom>
                          <a:solidFill>
                            <a:schemeClr val="bg2">
                              <a:lumMod val="100000"/>
                              <a:lumOff val="0"/>
                            </a:schemeClr>
                          </a:solidFill>
                          <a:ln w="12700">
                            <a:solidFill>
                              <a:schemeClr val="bg1">
                                <a:lumMod val="50000"/>
                                <a:lumOff val="0"/>
                              </a:schemeClr>
                            </a:solidFill>
                            <a:miter lim="800000"/>
                            <a:headEnd/>
                            <a:tailEnd/>
                          </a:ln>
                        </wps:spPr>
                        <wps:txbx>
                          <w:txbxContent>
                            <w:p w14:paraId="4E4EE0E1" w14:textId="77777777" w:rsidR="00346FC5" w:rsidRDefault="00346FC5" w:rsidP="00346FC5">
                              <w:pPr>
                                <w:spacing w:before="0"/>
                                <w:jc w:val="center"/>
                                <w:rPr>
                                  <w:rFonts w:asciiTheme="majorHAnsi" w:hAnsiTheme="majorHAnsi"/>
                                  <w:color w:val="171717" w:themeColor="background2" w:themeShade="1A"/>
                                  <w:sz w:val="18"/>
                                  <w:szCs w:val="18"/>
                                </w:rPr>
                              </w:pPr>
                              <w:r>
                                <w:rPr>
                                  <w:rFonts w:asciiTheme="majorHAnsi" w:hAnsiTheme="majorHAnsi"/>
                                  <w:b/>
                                  <w:bCs/>
                                  <w:color w:val="171717" w:themeColor="background2" w:themeShade="1A"/>
                                  <w:kern w:val="24"/>
                                  <w:sz w:val="18"/>
                                  <w:szCs w:val="18"/>
                                </w:rPr>
                                <w:t>State of Victoria</w:t>
                              </w:r>
                            </w:p>
                            <w:p w14:paraId="4315EA89" w14:textId="77777777" w:rsidR="00346FC5" w:rsidRDefault="00346FC5" w:rsidP="00346FC5">
                              <w:pPr>
                                <w:spacing w:before="0"/>
                                <w:jc w:val="center"/>
                                <w:rPr>
                                  <w:rFonts w:asciiTheme="majorHAnsi" w:hAnsiTheme="majorHAnsi"/>
                                  <w:color w:val="171717" w:themeColor="background2" w:themeShade="1A"/>
                                  <w:sz w:val="18"/>
                                  <w:szCs w:val="18"/>
                                </w:rPr>
                              </w:pPr>
                              <w:r>
                                <w:rPr>
                                  <w:rFonts w:asciiTheme="majorHAnsi" w:hAnsiTheme="majorHAnsi"/>
                                  <w:color w:val="171717" w:themeColor="background2" w:themeShade="1A"/>
                                  <w:kern w:val="24"/>
                                  <w:sz w:val="18"/>
                                  <w:szCs w:val="18"/>
                                </w:rPr>
                                <w:t>Tables 5.9 and 5.10</w:t>
                              </w:r>
                            </w:p>
                          </w:txbxContent>
                        </wps:txbx>
                        <wps:bodyPr rot="0" vert="horz" wrap="square" lIns="91440" tIns="45720" rIns="91440" bIns="45720" anchor="ctr" anchorCtr="0" upright="1">
                          <a:noAutofit/>
                        </wps:bodyPr>
                      </wps:wsp>
                      <wps:wsp>
                        <wps:cNvPr id="23" name="Rectangle 5"/>
                        <wps:cNvSpPr>
                          <a:spLocks noChangeArrowheads="1"/>
                        </wps:cNvSpPr>
                        <wps:spPr bwMode="auto">
                          <a:xfrm>
                            <a:off x="2988861" y="996832"/>
                            <a:ext cx="1669224" cy="640249"/>
                          </a:xfrm>
                          <a:prstGeom prst="rect">
                            <a:avLst/>
                          </a:prstGeom>
                          <a:solidFill>
                            <a:schemeClr val="bg2">
                              <a:lumMod val="100000"/>
                              <a:lumOff val="0"/>
                            </a:schemeClr>
                          </a:solidFill>
                          <a:ln w="12700">
                            <a:solidFill>
                              <a:schemeClr val="bg1">
                                <a:lumMod val="50000"/>
                                <a:lumOff val="0"/>
                              </a:schemeClr>
                            </a:solidFill>
                            <a:miter lim="800000"/>
                            <a:headEnd/>
                            <a:tailEnd/>
                          </a:ln>
                        </wps:spPr>
                        <wps:txbx>
                          <w:txbxContent>
                            <w:p w14:paraId="58FA9C5A" w14:textId="77777777" w:rsidR="00346FC5" w:rsidRDefault="00346FC5" w:rsidP="00346FC5">
                              <w:pPr>
                                <w:spacing w:before="0"/>
                                <w:jc w:val="center"/>
                                <w:rPr>
                                  <w:rFonts w:asciiTheme="majorHAnsi" w:hAnsiTheme="majorHAnsi"/>
                                  <w:color w:val="171717" w:themeColor="background2" w:themeShade="1A"/>
                                  <w:sz w:val="18"/>
                                  <w:szCs w:val="18"/>
                                </w:rPr>
                              </w:pPr>
                              <w:r>
                                <w:rPr>
                                  <w:rFonts w:asciiTheme="majorHAnsi" w:hAnsiTheme="majorHAnsi"/>
                                  <w:b/>
                                  <w:bCs/>
                                  <w:color w:val="171717" w:themeColor="background2" w:themeShade="1A"/>
                                  <w:sz w:val="18"/>
                                  <w:szCs w:val="18"/>
                                </w:rPr>
                                <w:t xml:space="preserve">Public financial </w:t>
                              </w:r>
                              <w:r>
                                <w:rPr>
                                  <w:rFonts w:asciiTheme="majorHAnsi" w:hAnsiTheme="majorHAnsi"/>
                                  <w:b/>
                                  <w:bCs/>
                                  <w:color w:val="171717" w:themeColor="background2" w:themeShade="1A"/>
                                  <w:sz w:val="18"/>
                                  <w:szCs w:val="18"/>
                                </w:rPr>
                                <w:br/>
                                <w:t>corporations sector</w:t>
                              </w:r>
                            </w:p>
                            <w:p w14:paraId="214D206F" w14:textId="77777777" w:rsidR="00346FC5" w:rsidRDefault="00346FC5" w:rsidP="00346FC5">
                              <w:pPr>
                                <w:spacing w:before="0"/>
                                <w:jc w:val="center"/>
                                <w:rPr>
                                  <w:rFonts w:asciiTheme="majorHAnsi" w:hAnsiTheme="majorHAnsi"/>
                                  <w:color w:val="171717" w:themeColor="background2" w:themeShade="1A"/>
                                  <w:sz w:val="18"/>
                                  <w:szCs w:val="18"/>
                                </w:rPr>
                              </w:pPr>
                              <w:r>
                                <w:rPr>
                                  <w:rFonts w:asciiTheme="majorHAnsi" w:hAnsiTheme="majorHAnsi"/>
                                  <w:color w:val="171717" w:themeColor="background2" w:themeShade="1A"/>
                                  <w:kern w:val="24"/>
                                  <w:sz w:val="18"/>
                                  <w:szCs w:val="18"/>
                                </w:rPr>
                                <w:t>Tables 5.7 and 5.8</w:t>
                              </w:r>
                            </w:p>
                          </w:txbxContent>
                        </wps:txbx>
                        <wps:bodyPr rot="0" vert="horz" wrap="square" lIns="91440" tIns="45720" rIns="91440" bIns="45720" anchor="ctr" anchorCtr="0" upright="1">
                          <a:noAutofit/>
                        </wps:bodyPr>
                      </wps:wsp>
                      <wps:wsp>
                        <wps:cNvPr id="24" name="Rectangle 6"/>
                        <wps:cNvSpPr>
                          <a:spLocks noChangeArrowheads="1"/>
                        </wps:cNvSpPr>
                        <wps:spPr bwMode="auto">
                          <a:xfrm>
                            <a:off x="0" y="2145398"/>
                            <a:ext cx="1286923" cy="671956"/>
                          </a:xfrm>
                          <a:prstGeom prst="rect">
                            <a:avLst/>
                          </a:prstGeom>
                          <a:solidFill>
                            <a:schemeClr val="bg2">
                              <a:lumMod val="100000"/>
                              <a:lumOff val="0"/>
                            </a:schemeClr>
                          </a:solidFill>
                          <a:ln w="12700">
                            <a:solidFill>
                              <a:schemeClr val="bg1">
                                <a:lumMod val="50000"/>
                                <a:lumOff val="0"/>
                              </a:schemeClr>
                            </a:solidFill>
                            <a:miter lim="800000"/>
                            <a:headEnd/>
                            <a:tailEnd/>
                          </a:ln>
                        </wps:spPr>
                        <wps:txbx>
                          <w:txbxContent>
                            <w:p w14:paraId="4720B9D1" w14:textId="77777777" w:rsidR="00346FC5" w:rsidRDefault="00346FC5" w:rsidP="00346FC5">
                              <w:pPr>
                                <w:spacing w:before="0"/>
                                <w:jc w:val="center"/>
                                <w:rPr>
                                  <w:rFonts w:asciiTheme="majorHAnsi" w:hAnsiTheme="majorHAnsi"/>
                                  <w:color w:val="171717" w:themeColor="background2" w:themeShade="1A"/>
                                  <w:sz w:val="18"/>
                                  <w:szCs w:val="18"/>
                                </w:rPr>
                              </w:pPr>
                              <w:r>
                                <w:rPr>
                                  <w:rFonts w:asciiTheme="majorHAnsi" w:hAnsiTheme="majorHAnsi"/>
                                  <w:b/>
                                  <w:bCs/>
                                  <w:color w:val="171717" w:themeColor="background2" w:themeShade="1A"/>
                                  <w:kern w:val="24"/>
                                  <w:sz w:val="18"/>
                                  <w:szCs w:val="18"/>
                                </w:rPr>
                                <w:t xml:space="preserve">General </w:t>
                              </w:r>
                              <w:r>
                                <w:rPr>
                                  <w:rFonts w:asciiTheme="majorHAnsi" w:hAnsiTheme="majorHAnsi"/>
                                  <w:b/>
                                  <w:bCs/>
                                  <w:color w:val="171717" w:themeColor="background2" w:themeShade="1A"/>
                                  <w:kern w:val="24"/>
                                  <w:sz w:val="18"/>
                                  <w:szCs w:val="18"/>
                                </w:rPr>
                                <w:br/>
                                <w:t>government sector</w:t>
                              </w:r>
                            </w:p>
                            <w:p w14:paraId="4D85512E" w14:textId="77777777" w:rsidR="00346FC5" w:rsidRDefault="00346FC5" w:rsidP="00346FC5">
                              <w:pPr>
                                <w:spacing w:before="0"/>
                                <w:jc w:val="center"/>
                                <w:rPr>
                                  <w:rFonts w:asciiTheme="majorHAnsi" w:hAnsiTheme="majorHAnsi"/>
                                  <w:color w:val="171717" w:themeColor="background2" w:themeShade="1A"/>
                                  <w:sz w:val="18"/>
                                  <w:szCs w:val="18"/>
                                </w:rPr>
                              </w:pPr>
                              <w:r>
                                <w:rPr>
                                  <w:rFonts w:asciiTheme="majorHAnsi" w:hAnsiTheme="majorHAnsi"/>
                                  <w:color w:val="171717" w:themeColor="background2" w:themeShade="1A"/>
                                  <w:kern w:val="24"/>
                                  <w:sz w:val="18"/>
                                  <w:szCs w:val="18"/>
                                </w:rPr>
                                <w:t>Tables 4.1 to 4.5</w:t>
                              </w:r>
                            </w:p>
                          </w:txbxContent>
                        </wps:txbx>
                        <wps:bodyPr rot="0" vert="horz" wrap="square" lIns="91440" tIns="45720" rIns="91440" bIns="45720" anchor="ctr" anchorCtr="0" upright="1">
                          <a:noAutofit/>
                        </wps:bodyPr>
                      </wps:wsp>
                      <wps:wsp>
                        <wps:cNvPr id="25" name="Rectangle 7"/>
                        <wps:cNvSpPr>
                          <a:spLocks noChangeArrowheads="1"/>
                        </wps:cNvSpPr>
                        <wps:spPr bwMode="auto">
                          <a:xfrm>
                            <a:off x="2250941" y="2145398"/>
                            <a:ext cx="1570432" cy="671956"/>
                          </a:xfrm>
                          <a:prstGeom prst="rect">
                            <a:avLst/>
                          </a:prstGeom>
                          <a:solidFill>
                            <a:schemeClr val="bg2">
                              <a:lumMod val="100000"/>
                              <a:lumOff val="0"/>
                            </a:schemeClr>
                          </a:solidFill>
                          <a:ln w="12700">
                            <a:solidFill>
                              <a:schemeClr val="bg1">
                                <a:lumMod val="50000"/>
                                <a:lumOff val="0"/>
                              </a:schemeClr>
                            </a:solidFill>
                            <a:miter lim="800000"/>
                            <a:headEnd/>
                            <a:tailEnd/>
                          </a:ln>
                        </wps:spPr>
                        <wps:txbx>
                          <w:txbxContent>
                            <w:p w14:paraId="19043182" w14:textId="77777777" w:rsidR="00346FC5" w:rsidRDefault="00346FC5" w:rsidP="00346FC5">
                              <w:pPr>
                                <w:spacing w:before="0"/>
                                <w:jc w:val="center"/>
                                <w:rPr>
                                  <w:rFonts w:asciiTheme="majorHAnsi" w:hAnsiTheme="majorHAnsi"/>
                                  <w:color w:val="171717" w:themeColor="background2" w:themeShade="1A"/>
                                  <w:sz w:val="18"/>
                                  <w:szCs w:val="18"/>
                                </w:rPr>
                              </w:pPr>
                              <w:r>
                                <w:rPr>
                                  <w:rFonts w:asciiTheme="majorHAnsi" w:hAnsiTheme="majorHAnsi"/>
                                  <w:b/>
                                  <w:bCs/>
                                  <w:color w:val="171717" w:themeColor="background2" w:themeShade="1A"/>
                                  <w:kern w:val="24"/>
                                  <w:sz w:val="18"/>
                                  <w:szCs w:val="18"/>
                                </w:rPr>
                                <w:t>Public non</w:t>
                              </w:r>
                              <w:r>
                                <w:rPr>
                                  <w:rFonts w:asciiTheme="majorHAnsi" w:hAnsiTheme="majorHAnsi"/>
                                  <w:b/>
                                  <w:bCs/>
                                  <w:color w:val="171717" w:themeColor="background2" w:themeShade="1A"/>
                                  <w:kern w:val="24"/>
                                  <w:sz w:val="18"/>
                                  <w:szCs w:val="18"/>
                                </w:rPr>
                                <w:noBreakHyphen/>
                                <w:t>financial corporations sector</w:t>
                              </w:r>
                            </w:p>
                            <w:p w14:paraId="50EC1541" w14:textId="77777777" w:rsidR="00346FC5" w:rsidRDefault="00346FC5" w:rsidP="00346FC5">
                              <w:pPr>
                                <w:spacing w:before="0"/>
                                <w:jc w:val="center"/>
                                <w:rPr>
                                  <w:rFonts w:asciiTheme="majorHAnsi" w:hAnsiTheme="majorHAnsi"/>
                                  <w:color w:val="171717" w:themeColor="background2" w:themeShade="1A"/>
                                  <w:sz w:val="18"/>
                                  <w:szCs w:val="18"/>
                                </w:rPr>
                              </w:pPr>
                              <w:r>
                                <w:rPr>
                                  <w:rFonts w:asciiTheme="majorHAnsi" w:hAnsiTheme="majorHAnsi"/>
                                  <w:color w:val="171717" w:themeColor="background2" w:themeShade="1A"/>
                                  <w:kern w:val="24"/>
                                  <w:sz w:val="18"/>
                                  <w:szCs w:val="18"/>
                                </w:rPr>
                                <w:t>Tables 5.1 and 5.2</w:t>
                              </w:r>
                            </w:p>
                          </w:txbxContent>
                        </wps:txbx>
                        <wps:bodyPr rot="0" vert="horz" wrap="square" lIns="91440" tIns="45720" rIns="91440" bIns="45720" anchor="ctr" anchorCtr="0" upright="1">
                          <a:noAutofit/>
                        </wps:bodyPr>
                      </wps:wsp>
                      <wps:wsp>
                        <wps:cNvPr id="26" name="Straight Connector 12"/>
                        <wps:cNvCnPr>
                          <a:cxnSpLocks noChangeShapeType="1"/>
                        </wps:cNvCnPr>
                        <wps:spPr bwMode="auto">
                          <a:xfrm rot="16200000" flipH="1">
                            <a:off x="2086487" y="1337633"/>
                            <a:ext cx="476611" cy="1139021"/>
                          </a:xfrm>
                          <a:prstGeom prst="bentConnector3">
                            <a:avLst>
                              <a:gd name="adj1" fmla="val 50000"/>
                            </a:avLst>
                          </a:prstGeom>
                          <a:noFill/>
                          <a:ln w="12700">
                            <a:solidFill>
                              <a:schemeClr val="bg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7" name="Rectangle 9"/>
                        <wps:cNvSpPr>
                          <a:spLocks noChangeArrowheads="1"/>
                        </wps:cNvSpPr>
                        <wps:spPr bwMode="auto">
                          <a:xfrm>
                            <a:off x="1111820" y="996832"/>
                            <a:ext cx="1286923" cy="671956"/>
                          </a:xfrm>
                          <a:prstGeom prst="rect">
                            <a:avLst/>
                          </a:prstGeom>
                          <a:solidFill>
                            <a:schemeClr val="bg2">
                              <a:lumMod val="100000"/>
                              <a:lumOff val="0"/>
                            </a:schemeClr>
                          </a:solidFill>
                          <a:ln w="12700">
                            <a:solidFill>
                              <a:schemeClr val="bg1">
                                <a:lumMod val="50000"/>
                                <a:lumOff val="0"/>
                              </a:schemeClr>
                            </a:solidFill>
                            <a:miter lim="800000"/>
                            <a:headEnd/>
                            <a:tailEnd/>
                          </a:ln>
                        </wps:spPr>
                        <wps:txbx>
                          <w:txbxContent>
                            <w:p w14:paraId="4B081DEB" w14:textId="77777777" w:rsidR="00346FC5" w:rsidRDefault="00346FC5" w:rsidP="00346FC5">
                              <w:pPr>
                                <w:spacing w:before="0"/>
                                <w:jc w:val="center"/>
                                <w:rPr>
                                  <w:rFonts w:asciiTheme="majorHAnsi" w:hAnsiTheme="majorHAnsi"/>
                                  <w:color w:val="171717" w:themeColor="background2" w:themeShade="1A"/>
                                  <w:sz w:val="18"/>
                                  <w:szCs w:val="18"/>
                                </w:rPr>
                              </w:pPr>
                              <w:r>
                                <w:rPr>
                                  <w:rFonts w:asciiTheme="majorHAnsi" w:hAnsiTheme="majorHAnsi"/>
                                  <w:b/>
                                  <w:bCs/>
                                  <w:color w:val="171717" w:themeColor="background2" w:themeShade="1A"/>
                                  <w:kern w:val="24"/>
                                  <w:sz w:val="18"/>
                                  <w:szCs w:val="18"/>
                                </w:rPr>
                                <w:t>Non</w:t>
                              </w:r>
                              <w:r>
                                <w:rPr>
                                  <w:rFonts w:asciiTheme="majorHAnsi" w:hAnsiTheme="majorHAnsi"/>
                                  <w:b/>
                                  <w:bCs/>
                                  <w:color w:val="171717" w:themeColor="background2" w:themeShade="1A"/>
                                  <w:kern w:val="24"/>
                                  <w:sz w:val="18"/>
                                  <w:szCs w:val="18"/>
                                </w:rPr>
                                <w:noBreakHyphen/>
                                <w:t xml:space="preserve">financial </w:t>
                              </w:r>
                              <w:r>
                                <w:rPr>
                                  <w:rFonts w:asciiTheme="majorHAnsi" w:hAnsiTheme="majorHAnsi"/>
                                  <w:b/>
                                  <w:bCs/>
                                  <w:color w:val="171717" w:themeColor="background2" w:themeShade="1A"/>
                                  <w:kern w:val="24"/>
                                  <w:sz w:val="18"/>
                                  <w:szCs w:val="18"/>
                                </w:rPr>
                                <w:br/>
                                <w:t>public sector</w:t>
                              </w:r>
                            </w:p>
                            <w:p w14:paraId="11709B43" w14:textId="77777777" w:rsidR="00346FC5" w:rsidRDefault="00346FC5" w:rsidP="00346FC5">
                              <w:pPr>
                                <w:spacing w:before="0"/>
                                <w:jc w:val="center"/>
                                <w:rPr>
                                  <w:rFonts w:asciiTheme="majorHAnsi" w:hAnsiTheme="majorHAnsi"/>
                                  <w:color w:val="171717" w:themeColor="background2" w:themeShade="1A"/>
                                  <w:kern w:val="24"/>
                                  <w:sz w:val="18"/>
                                  <w:szCs w:val="18"/>
                                </w:rPr>
                              </w:pPr>
                              <w:r>
                                <w:rPr>
                                  <w:rFonts w:asciiTheme="majorHAnsi" w:hAnsiTheme="majorHAnsi"/>
                                  <w:color w:val="171717" w:themeColor="background2" w:themeShade="1A"/>
                                  <w:kern w:val="24"/>
                                  <w:sz w:val="18"/>
                                  <w:szCs w:val="18"/>
                                </w:rPr>
                                <w:t>Tables 5.3 to 5.6</w:t>
                              </w:r>
                            </w:p>
                          </w:txbxContent>
                        </wps:txbx>
                        <wps:bodyPr rot="0" vert="horz" wrap="square" lIns="91440" tIns="45720" rIns="91440" bIns="45720" anchor="ctr" anchorCtr="0" upright="1">
                          <a:noAutofit/>
                        </wps:bodyPr>
                      </wps:wsp>
                      <wps:wsp>
                        <wps:cNvPr id="28" name="Straight Connector 12"/>
                        <wps:cNvCnPr>
                          <a:cxnSpLocks noChangeShapeType="1"/>
                        </wps:cNvCnPr>
                        <wps:spPr bwMode="auto">
                          <a:xfrm rot="5400000">
                            <a:off x="2128397" y="237977"/>
                            <a:ext cx="385790" cy="1132021"/>
                          </a:xfrm>
                          <a:prstGeom prst="bentConnector3">
                            <a:avLst>
                              <a:gd name="adj1" fmla="val 50000"/>
                            </a:avLst>
                          </a:prstGeom>
                          <a:noFill/>
                          <a:ln w="12700">
                            <a:solidFill>
                              <a:schemeClr val="bg1">
                                <a:lumMod val="50000"/>
                                <a:lumOff val="0"/>
                              </a:schemeClr>
                            </a:solidFill>
                            <a:miter lim="800000"/>
                            <a:headEnd type="stealth" w="med" len="med"/>
                            <a:tailEnd/>
                          </a:ln>
                          <a:extLst>
                            <a:ext uri="{909E8E84-426E-40DD-AFC4-6F175D3DCCD1}">
                              <a14:hiddenFill xmlns:a14="http://schemas.microsoft.com/office/drawing/2010/main">
                                <a:noFill/>
                              </a14:hiddenFill>
                            </a:ext>
                          </a:extLst>
                        </wps:spPr>
                        <wps:bodyPr/>
                      </wps:wsp>
                      <wps:wsp>
                        <wps:cNvPr id="29" name="Straight Connector 12"/>
                        <wps:cNvCnPr>
                          <a:cxnSpLocks noChangeShapeType="1"/>
                        </wps:cNvCnPr>
                        <wps:spPr bwMode="auto">
                          <a:xfrm rot="16200000" flipH="1">
                            <a:off x="3259718" y="238677"/>
                            <a:ext cx="385790" cy="1130621"/>
                          </a:xfrm>
                          <a:prstGeom prst="bentConnector3">
                            <a:avLst>
                              <a:gd name="adj1" fmla="val 50000"/>
                            </a:avLst>
                          </a:prstGeom>
                          <a:noFill/>
                          <a:ln w="12700">
                            <a:solidFill>
                              <a:schemeClr val="bg1">
                                <a:lumMod val="50000"/>
                                <a:lumOff val="0"/>
                              </a:schemeClr>
                            </a:solidFill>
                            <a:miter lim="800000"/>
                            <a:headEnd type="stealth" w="med" len="med"/>
                            <a:tailEnd/>
                          </a:ln>
                          <a:extLst>
                            <a:ext uri="{909E8E84-426E-40DD-AFC4-6F175D3DCCD1}">
                              <a14:hiddenFill xmlns:a14="http://schemas.microsoft.com/office/drawing/2010/main">
                                <a:noFill/>
                              </a14:hiddenFill>
                            </a:ext>
                          </a:extLst>
                        </wps:spPr>
                        <wps:bodyPr/>
                      </wps:wsp>
                      <wps:wsp>
                        <wps:cNvPr id="30" name="Straight Connector 12"/>
                        <wps:cNvCnPr>
                          <a:cxnSpLocks noChangeShapeType="1"/>
                        </wps:cNvCnPr>
                        <wps:spPr bwMode="auto">
                          <a:xfrm rot="5400000">
                            <a:off x="961066" y="1351133"/>
                            <a:ext cx="476611" cy="1111920"/>
                          </a:xfrm>
                          <a:prstGeom prst="bentConnector3">
                            <a:avLst>
                              <a:gd name="adj1" fmla="val 50000"/>
                            </a:avLst>
                          </a:prstGeom>
                          <a:noFill/>
                          <a:ln w="12700">
                            <a:solidFill>
                              <a:schemeClr val="bg1">
                                <a:lumMod val="50000"/>
                                <a:lumOff val="0"/>
                              </a:schemeClr>
                            </a:solidFill>
                            <a:miter lim="800000"/>
                            <a:headEnd type="stealth" w="med" len="med"/>
                            <a:tailEnd type="none" w="med" len="lg"/>
                          </a:ln>
                          <a:extLst>
                            <a:ext uri="{909E8E84-426E-40DD-AFC4-6F175D3DCCD1}">
                              <a14:hiddenFill xmlns:a14="http://schemas.microsoft.com/office/drawing/2010/main">
                                <a:noFill/>
                              </a14:hiddenFill>
                            </a:ext>
                          </a:extLst>
                        </wps:spPr>
                        <wps:bodyPr/>
                      </wps:wsp>
                    </wpc:wpc>
                  </a:graphicData>
                </a:graphic>
              </wp:inline>
            </w:drawing>
          </mc:Choice>
          <mc:Fallback>
            <w:pict>
              <v:group w14:anchorId="6ABECABC" id="Canvas 31" o:spid="_x0000_s1026" editas="canvas" style="width:390.7pt;height:227.1pt;mso-position-horizontal-relative:char;mso-position-vertical-relative:line" coordsize="49618,28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BfggQAAMwcAAAOAAAAZHJzL2Uyb0RvYy54bWzsWV1v2zYUfR+w/0DofbWobxlRisJdtwHd&#10;VizdD6AlytYmkRrJxE5//Q5J23G+kS5LW0B+kEWJIi957zm8hzx5vR16csGV7qSoAvoqDAgXtWw6&#10;saqCPz+++6EIiDZMNKyXglfBJdfB69PvvzvZjHMeybXsG64IGhF6vhmrYG3MOJ/NdL3mA9Ov5MgF&#10;XrZSDcygqFazRrENWh/6WRSG2WwjVTMqWXOt8fStfxmcuvbbltfm97bV3JC+CmCbcVflrkt7nZ2e&#10;sPlKsXHd1Tsz2GdYMbBOoNNDU2+ZYeRcdbeaGrpaSS1b86qWw0y2bVdzNwaMhoY3RrNg4oJpN5ga&#10;s7M3EHfP2O5yZe0W8l3X95iNGVqf22f2fwP/cDzcjPCOHg9+0v+t/7M1G7kblp7Xv118UKRrqiCK&#10;AiLYgCD5A25jYtVzklgH2d5R7Wz8oKypenwv6781EXKxRi3+Rim5WXPWwCpq62MIRx/YgsanZLn5&#10;VTZonZ0b6Xy1bdVgG4QXyBb9xzSNExhxeQgMvjWkxitKkySMaEBqvMsoDVHNdsTm+zZGpc1PXA7E&#10;3lSBwghcH+zivTa+6r6KG4Psu8bOuCvYYOeLXpELhjBdriL3aX8+wGD/jIb256MVzxHT/rl7BDMc&#10;XmwTzih93HovyAYjiHJ8/3jX9FbX6Wf3PHQG2O67oQqKI/utq34UDSaFzQ3ren+PQfRi5zvrLu92&#10;s11uUdH6cCmbS3hRSY9hcA5u1lJ9CsgG+K0C/c85Uzwg/S8CkVBalwHwrpCkeYSCOn6zPH7DRI2m&#10;qqA2KiC+sDCeJs5H1a3W6MtPjZBvED9t55x6ZdfOcoDkpdAS30ZL+pJoKYuiyAAJIKIssyJ2iGDz&#10;A2SyrIyiZAcZoCcpJ8h4IngArM8EGcenjguvInRCzn6dQVDeXGeyF0QOiAiYiWiSxmXhKf0AmqgA&#10;aoBst87ktEydYdM68+AK95ygcSw2gQZZgJ2Eo+QsvQ2a/AVBE0VpWCZ+ubkbOmkeJliEJug8JTl8&#10;TujE+3CYMrXr0Mn20DkzitlckiykEFAIUhF6IBxgbSG8wqm34uyGyHGS6ePlCP1yTeP4TyxW79c4&#10;fuWnGfQyfgFp+278eZ/P7sVPWGRJkbulicZxnsXOnVf5XJJnED4eXpTGpZVDPp25RwItuTCHccZO&#10;VjgxZNP+VbNbgVnzF9pshx6iG+KHHMQGlrxdbdwdK6eDULV64RtWNh4kdgat815QN8DHN7Mfl5nv&#10;+P7/VtkUv8KKsft0w5QCWYQ8UeQ/J48f9lwmHr/O49jK9Mj5ojyeJp7GbZTsyZtGRVx68o7ivMxd&#10;ZnbF3XGR5iUgZ1UFuDuauPveXSli3BqrDWe9WWNrqQoG3mBTiWN7296BsR/ftvpi5F5+FSH6cKoR&#10;R2mZU4DJquC4yB6J1jCbMo379lC/7WiNQUlfJ6GWGQ0zpO2WL+MUlPlgMkxpiYRmSobv3OZ/Uoju&#10;KgscFd6g3n61m+A7DgnuYFt3ioUTLHccsjves2dyx2WXel8dQp7+CwAA//8DAFBLAwQUAAYACAAA&#10;ACEAo3Wosd0AAAAFAQAADwAAAGRycy9kb3ducmV2LnhtbEyPwU7DMBBE70j8g7VI3KjTKKVtGqdC&#10;oBw4cGgD4rqJlyQ0Xkex26Z/j+FSLiuNZjTzNttOphcnGl1nWcF8FoEgrq3uuFHwXhYPKxDOI2vs&#10;LZOCCznY5rc3GabannlHp71vRChhl6KC1vshldLVLRl0MzsQB+/LjgZ9kGMj9YjnUG56GUfRozTY&#10;cVhocaDnlurD/mgUFOWuLPpF/Pb58VK8Vnjo1t/Li1L3d9PTBoSnyV/D8Isf0CEPTJU9snaiVxAe&#10;8X83eMvVPAFRKUgWSQwyz+R/+vwHAAD//wMAUEsBAi0AFAAGAAgAAAAhALaDOJL+AAAA4QEAABMA&#10;AAAAAAAAAAAAAAAAAAAAAFtDb250ZW50X1R5cGVzXS54bWxQSwECLQAUAAYACAAAACEAOP0h/9YA&#10;AACUAQAACwAAAAAAAAAAAAAAAAAvAQAAX3JlbHMvLnJlbHNQSwECLQAUAAYACAAAACEARBHgX4IE&#10;AADMHAAADgAAAAAAAAAAAAAAAAAuAgAAZHJzL2Uyb0RvYy54bWxQSwECLQAUAAYACAAAACEAo3Wo&#10;sd0AAAAFAQAADwAAAAAAAAAAAAAAAADcBgAAZHJzL2Rvd25yZXYueG1sUEsFBgAAAAAEAAQA8wAA&#10;AO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618;height:28841;visibility:visible;mso-wrap-style:square">
                  <v:fill o:detectmouseclick="t"/>
                  <v:path o:connecttype="none"/>
                </v:shape>
                <v:rect id="Rectangle 4" o:spid="_x0000_s1028" style="position:absolute;left:23153;width:11440;height:6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6TxQAAANsAAAAPAAAAZHJzL2Rvd25yZXYueG1sRI9Pa8JA&#10;FMTvQr/D8gq9NZsGKxqzSi0WehHxD+31mX0modm3Ibsx8du7QsHjMDO/YbLlYGpxodZVlhW8RTEI&#10;4tzqigsFx8PX6xSE88gaa8uk4EoOlounUYaptj3v6LL3hQgQdikqKL1vUildXpJBF9mGOHhn2xr0&#10;QbaF1C32AW5qmcTxRBqsOCyU2NBnSfnfvjMKTt3a+NnPYfXeFL/j2WZ17jvcKvXyPHzMQXga/CP8&#10;3/7WCpIE7l/CD5CLGwAAAP//AwBQSwECLQAUAAYACAAAACEA2+H2y+4AAACFAQAAEwAAAAAAAAAA&#10;AAAAAAAAAAAAW0NvbnRlbnRfVHlwZXNdLnhtbFBLAQItABQABgAIAAAAIQBa9CxbvwAAABUBAAAL&#10;AAAAAAAAAAAAAAAAAB8BAABfcmVscy8ucmVsc1BLAQItABQABgAIAAAAIQAhQ+6TxQAAANsAAAAP&#10;AAAAAAAAAAAAAAAAAAcCAABkcnMvZG93bnJldi54bWxQSwUGAAAAAAMAAwC3AAAA+QIAAAAA&#10;" fillcolor="#e7e6e6 [3214]" strokecolor="#7f7f7f [1612]" strokeweight="1pt">
                  <v:textbox>
                    <w:txbxContent>
                      <w:p w14:paraId="4E4EE0E1" w14:textId="77777777" w:rsidR="00346FC5" w:rsidRDefault="00346FC5" w:rsidP="00346FC5">
                        <w:pPr>
                          <w:spacing w:before="0"/>
                          <w:jc w:val="center"/>
                          <w:rPr>
                            <w:rFonts w:asciiTheme="majorHAnsi" w:hAnsiTheme="majorHAnsi"/>
                            <w:color w:val="171717" w:themeColor="background2" w:themeShade="1A"/>
                            <w:sz w:val="18"/>
                            <w:szCs w:val="18"/>
                          </w:rPr>
                        </w:pPr>
                        <w:r>
                          <w:rPr>
                            <w:rFonts w:asciiTheme="majorHAnsi" w:hAnsiTheme="majorHAnsi"/>
                            <w:b/>
                            <w:bCs/>
                            <w:color w:val="171717" w:themeColor="background2" w:themeShade="1A"/>
                            <w:kern w:val="24"/>
                            <w:sz w:val="18"/>
                            <w:szCs w:val="18"/>
                          </w:rPr>
                          <w:t>State of Victoria</w:t>
                        </w:r>
                      </w:p>
                      <w:p w14:paraId="4315EA89" w14:textId="77777777" w:rsidR="00346FC5" w:rsidRDefault="00346FC5" w:rsidP="00346FC5">
                        <w:pPr>
                          <w:spacing w:before="0"/>
                          <w:jc w:val="center"/>
                          <w:rPr>
                            <w:rFonts w:asciiTheme="majorHAnsi" w:hAnsiTheme="majorHAnsi"/>
                            <w:color w:val="171717" w:themeColor="background2" w:themeShade="1A"/>
                            <w:sz w:val="18"/>
                            <w:szCs w:val="18"/>
                          </w:rPr>
                        </w:pPr>
                        <w:r>
                          <w:rPr>
                            <w:rFonts w:asciiTheme="majorHAnsi" w:hAnsiTheme="majorHAnsi"/>
                            <w:color w:val="171717" w:themeColor="background2" w:themeShade="1A"/>
                            <w:kern w:val="24"/>
                            <w:sz w:val="18"/>
                            <w:szCs w:val="18"/>
                          </w:rPr>
                          <w:t>Tables 5.9 and 5.10</w:t>
                        </w:r>
                      </w:p>
                    </w:txbxContent>
                  </v:textbox>
                </v:rect>
                <v:rect id="Rectangle 5" o:spid="_x0000_s1029" style="position:absolute;left:29888;top:9968;width:16692;height:6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0sIxAAAANsAAAAPAAAAZHJzL2Rvd25yZXYueG1sRI9Ba8JA&#10;FITvgv9heUJvuqmtpUmzipYWvJRSFb0+s88kmH0bshsT/31XEDwOM/MNky56U4kLNa60rOB5EoEg&#10;zqwuOVew236P30E4j6yxskwKruRgMR8OUky07fiPLhufiwBhl6CCwvs6kdJlBRl0E1sTB+9kG4M+&#10;yCaXusEuwE0lp1H0Jg2WHBYKrOmzoOy8aY2CY/tlfLzfrmZ1fniNf1anrsVfpZ5G/fIDhKfeP8L3&#10;9lormL7A7Uv4AXL+DwAA//8DAFBLAQItABQABgAIAAAAIQDb4fbL7gAAAIUBAAATAAAAAAAAAAAA&#10;AAAAAAAAAABbQ29udGVudF9UeXBlc10ueG1sUEsBAi0AFAAGAAgAAAAhAFr0LFu/AAAAFQEAAAsA&#10;AAAAAAAAAAAAAAAAHwEAAF9yZWxzLy5yZWxzUEsBAi0AFAAGAAgAAAAhAE4PSwjEAAAA2wAAAA8A&#10;AAAAAAAAAAAAAAAABwIAAGRycy9kb3ducmV2LnhtbFBLBQYAAAAAAwADALcAAAD4AgAAAAA=&#10;" fillcolor="#e7e6e6 [3214]" strokecolor="#7f7f7f [1612]" strokeweight="1pt">
                  <v:textbox>
                    <w:txbxContent>
                      <w:p w14:paraId="58FA9C5A" w14:textId="77777777" w:rsidR="00346FC5" w:rsidRDefault="00346FC5" w:rsidP="00346FC5">
                        <w:pPr>
                          <w:spacing w:before="0"/>
                          <w:jc w:val="center"/>
                          <w:rPr>
                            <w:rFonts w:asciiTheme="majorHAnsi" w:hAnsiTheme="majorHAnsi"/>
                            <w:color w:val="171717" w:themeColor="background2" w:themeShade="1A"/>
                            <w:sz w:val="18"/>
                            <w:szCs w:val="18"/>
                          </w:rPr>
                        </w:pPr>
                        <w:r>
                          <w:rPr>
                            <w:rFonts w:asciiTheme="majorHAnsi" w:hAnsiTheme="majorHAnsi"/>
                            <w:b/>
                            <w:bCs/>
                            <w:color w:val="171717" w:themeColor="background2" w:themeShade="1A"/>
                            <w:sz w:val="18"/>
                            <w:szCs w:val="18"/>
                          </w:rPr>
                          <w:t xml:space="preserve">Public financial </w:t>
                        </w:r>
                        <w:r>
                          <w:rPr>
                            <w:rFonts w:asciiTheme="majorHAnsi" w:hAnsiTheme="majorHAnsi"/>
                            <w:b/>
                            <w:bCs/>
                            <w:color w:val="171717" w:themeColor="background2" w:themeShade="1A"/>
                            <w:sz w:val="18"/>
                            <w:szCs w:val="18"/>
                          </w:rPr>
                          <w:br/>
                          <w:t>corporations sector</w:t>
                        </w:r>
                      </w:p>
                      <w:p w14:paraId="214D206F" w14:textId="77777777" w:rsidR="00346FC5" w:rsidRDefault="00346FC5" w:rsidP="00346FC5">
                        <w:pPr>
                          <w:spacing w:before="0"/>
                          <w:jc w:val="center"/>
                          <w:rPr>
                            <w:rFonts w:asciiTheme="majorHAnsi" w:hAnsiTheme="majorHAnsi"/>
                            <w:color w:val="171717" w:themeColor="background2" w:themeShade="1A"/>
                            <w:sz w:val="18"/>
                            <w:szCs w:val="18"/>
                          </w:rPr>
                        </w:pPr>
                        <w:r>
                          <w:rPr>
                            <w:rFonts w:asciiTheme="majorHAnsi" w:hAnsiTheme="majorHAnsi"/>
                            <w:color w:val="171717" w:themeColor="background2" w:themeShade="1A"/>
                            <w:kern w:val="24"/>
                            <w:sz w:val="18"/>
                            <w:szCs w:val="18"/>
                          </w:rPr>
                          <w:t>Tables 5.7 and 5.8</w:t>
                        </w:r>
                      </w:p>
                    </w:txbxContent>
                  </v:textbox>
                </v:rect>
                <v:rect id="Rectangle 6" o:spid="_x0000_s1030" style="position:absolute;top:21453;width:12869;height:6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tN8wwAAANsAAAAPAAAAZHJzL2Rvd25yZXYueG1sRI9Bi8Iw&#10;FITvC/6H8ARvmioqWo2iywpeRNRl9/q2ebbF5qU0qa3/3gjCHoeZ+YZZrltTiDtVLresYDiIQBAn&#10;VuecKvi+7PozEM4jaywsk4IHOVivOh9LjLVt+ET3s09FgLCLUUHmfRlL6ZKMDLqBLYmDd7WVQR9k&#10;lUpdYRPgppCjKJpKgzmHhQxL+swouZ1ro+Cv/jJ+/nPZTsr0dzw/bK9NjUelet12swDhqfX/4Xd7&#10;rxWMxvD6En6AXD0BAAD//wMAUEsBAi0AFAAGAAgAAAAhANvh9svuAAAAhQEAABMAAAAAAAAAAAAA&#10;AAAAAAAAAFtDb250ZW50X1R5cGVzXS54bWxQSwECLQAUAAYACAAAACEAWvQsW78AAAAVAQAACwAA&#10;AAAAAAAAAAAAAAAfAQAAX3JlbHMvLnJlbHNQSwECLQAUAAYACAAAACEAwebTfMMAAADbAAAADwAA&#10;AAAAAAAAAAAAAAAHAgAAZHJzL2Rvd25yZXYueG1sUEsFBgAAAAADAAMAtwAAAPcCAAAAAA==&#10;" fillcolor="#e7e6e6 [3214]" strokecolor="#7f7f7f [1612]" strokeweight="1pt">
                  <v:textbox>
                    <w:txbxContent>
                      <w:p w14:paraId="4720B9D1" w14:textId="77777777" w:rsidR="00346FC5" w:rsidRDefault="00346FC5" w:rsidP="00346FC5">
                        <w:pPr>
                          <w:spacing w:before="0"/>
                          <w:jc w:val="center"/>
                          <w:rPr>
                            <w:rFonts w:asciiTheme="majorHAnsi" w:hAnsiTheme="majorHAnsi"/>
                            <w:color w:val="171717" w:themeColor="background2" w:themeShade="1A"/>
                            <w:sz w:val="18"/>
                            <w:szCs w:val="18"/>
                          </w:rPr>
                        </w:pPr>
                        <w:r>
                          <w:rPr>
                            <w:rFonts w:asciiTheme="majorHAnsi" w:hAnsiTheme="majorHAnsi"/>
                            <w:b/>
                            <w:bCs/>
                            <w:color w:val="171717" w:themeColor="background2" w:themeShade="1A"/>
                            <w:kern w:val="24"/>
                            <w:sz w:val="18"/>
                            <w:szCs w:val="18"/>
                          </w:rPr>
                          <w:t xml:space="preserve">General </w:t>
                        </w:r>
                        <w:r>
                          <w:rPr>
                            <w:rFonts w:asciiTheme="majorHAnsi" w:hAnsiTheme="majorHAnsi"/>
                            <w:b/>
                            <w:bCs/>
                            <w:color w:val="171717" w:themeColor="background2" w:themeShade="1A"/>
                            <w:kern w:val="24"/>
                            <w:sz w:val="18"/>
                            <w:szCs w:val="18"/>
                          </w:rPr>
                          <w:br/>
                          <w:t>government sector</w:t>
                        </w:r>
                      </w:p>
                      <w:p w14:paraId="4D85512E" w14:textId="77777777" w:rsidR="00346FC5" w:rsidRDefault="00346FC5" w:rsidP="00346FC5">
                        <w:pPr>
                          <w:spacing w:before="0"/>
                          <w:jc w:val="center"/>
                          <w:rPr>
                            <w:rFonts w:asciiTheme="majorHAnsi" w:hAnsiTheme="majorHAnsi"/>
                            <w:color w:val="171717" w:themeColor="background2" w:themeShade="1A"/>
                            <w:sz w:val="18"/>
                            <w:szCs w:val="18"/>
                          </w:rPr>
                        </w:pPr>
                        <w:r>
                          <w:rPr>
                            <w:rFonts w:asciiTheme="majorHAnsi" w:hAnsiTheme="majorHAnsi"/>
                            <w:color w:val="171717" w:themeColor="background2" w:themeShade="1A"/>
                            <w:kern w:val="24"/>
                            <w:sz w:val="18"/>
                            <w:szCs w:val="18"/>
                          </w:rPr>
                          <w:t>Tables 4.1 to 4.5</w:t>
                        </w:r>
                      </w:p>
                    </w:txbxContent>
                  </v:textbox>
                </v:rect>
                <v:rect id="Rectangle 7" o:spid="_x0000_s1031" style="position:absolute;left:22509;top:21453;width:15704;height:6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nbnwwAAANsAAAAPAAAAZHJzL2Rvd25yZXYueG1sRI9Bi8Iw&#10;FITvC/6H8ARvmiq6rNUouqzgRZZV0euzebbF5qU0qa3/3gjCHoeZ+YaZL1tTiDtVLresYDiIQBAn&#10;VuecKjgeNv0vEM4jaywsk4IHOVguOh9zjLVt+I/ue5+KAGEXo4LM+zKW0iUZGXQDWxIH72orgz7I&#10;KpW6wibATSFHUfQpDeYcFjIs6Tuj5LavjYJL/WP89HRYT8r0PJ7u1temxl+let12NQPhqfX/4Xd7&#10;qxWMJvD6En6AXDwBAAD//wMAUEsBAi0AFAAGAAgAAAAhANvh9svuAAAAhQEAABMAAAAAAAAAAAAA&#10;AAAAAAAAAFtDb250ZW50X1R5cGVzXS54bWxQSwECLQAUAAYACAAAACEAWvQsW78AAAAVAQAACwAA&#10;AAAAAAAAAAAAAAAfAQAAX3JlbHMvLnJlbHNQSwECLQAUAAYACAAAACEArqp258MAAADbAAAADwAA&#10;AAAAAAAAAAAAAAAHAgAAZHJzL2Rvd25yZXYueG1sUEsFBgAAAAADAAMAtwAAAPcCAAAAAA==&#10;" fillcolor="#e7e6e6 [3214]" strokecolor="#7f7f7f [1612]" strokeweight="1pt">
                  <v:textbox>
                    <w:txbxContent>
                      <w:p w14:paraId="19043182" w14:textId="77777777" w:rsidR="00346FC5" w:rsidRDefault="00346FC5" w:rsidP="00346FC5">
                        <w:pPr>
                          <w:spacing w:before="0"/>
                          <w:jc w:val="center"/>
                          <w:rPr>
                            <w:rFonts w:asciiTheme="majorHAnsi" w:hAnsiTheme="majorHAnsi"/>
                            <w:color w:val="171717" w:themeColor="background2" w:themeShade="1A"/>
                            <w:sz w:val="18"/>
                            <w:szCs w:val="18"/>
                          </w:rPr>
                        </w:pPr>
                        <w:r>
                          <w:rPr>
                            <w:rFonts w:asciiTheme="majorHAnsi" w:hAnsiTheme="majorHAnsi"/>
                            <w:b/>
                            <w:bCs/>
                            <w:color w:val="171717" w:themeColor="background2" w:themeShade="1A"/>
                            <w:kern w:val="24"/>
                            <w:sz w:val="18"/>
                            <w:szCs w:val="18"/>
                          </w:rPr>
                          <w:t>Public non</w:t>
                        </w:r>
                        <w:r>
                          <w:rPr>
                            <w:rFonts w:asciiTheme="majorHAnsi" w:hAnsiTheme="majorHAnsi"/>
                            <w:b/>
                            <w:bCs/>
                            <w:color w:val="171717" w:themeColor="background2" w:themeShade="1A"/>
                            <w:kern w:val="24"/>
                            <w:sz w:val="18"/>
                            <w:szCs w:val="18"/>
                          </w:rPr>
                          <w:noBreakHyphen/>
                          <w:t>financial corporations sector</w:t>
                        </w:r>
                      </w:p>
                      <w:p w14:paraId="50EC1541" w14:textId="77777777" w:rsidR="00346FC5" w:rsidRDefault="00346FC5" w:rsidP="00346FC5">
                        <w:pPr>
                          <w:spacing w:before="0"/>
                          <w:jc w:val="center"/>
                          <w:rPr>
                            <w:rFonts w:asciiTheme="majorHAnsi" w:hAnsiTheme="majorHAnsi"/>
                            <w:color w:val="171717" w:themeColor="background2" w:themeShade="1A"/>
                            <w:sz w:val="18"/>
                            <w:szCs w:val="18"/>
                          </w:rPr>
                        </w:pPr>
                        <w:r>
                          <w:rPr>
                            <w:rFonts w:asciiTheme="majorHAnsi" w:hAnsiTheme="majorHAnsi"/>
                            <w:color w:val="171717" w:themeColor="background2" w:themeShade="1A"/>
                            <w:kern w:val="24"/>
                            <w:sz w:val="18"/>
                            <w:szCs w:val="18"/>
                          </w:rPr>
                          <w:t>Tables 5.1 and 5.2</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Connector 12" o:spid="_x0000_s1032" type="#_x0000_t34" style="position:absolute;left:20865;top:13375;width:4766;height:1139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M9axAAAANsAAAAPAAAAZHJzL2Rvd25yZXYueG1sRI9Ba4NA&#10;FITvhf6H5RVyq2skSGPdhBKwlB4CiTn0+HBf1NR9a92tmn/fDQR6HGbmGybfzqYTIw2utaxgGcUg&#10;iCurW64VnMri+QWE88gaO8uk4EoOtpvHhxwzbSc+0Hj0tQgQdhkqaLzvMyld1ZBBF9meOHhnOxj0&#10;QQ611ANOAW46mcRxKg22HBYa7GnXUPV9/DUKUl6W0+X96wfHfcHlZ31dr8adUoun+e0VhKfZ/4fv&#10;7Q+tIEnh9iX8ALn5AwAA//8DAFBLAQItABQABgAIAAAAIQDb4fbL7gAAAIUBAAATAAAAAAAAAAAA&#10;AAAAAAAAAABbQ29udGVudF9UeXBlc10ueG1sUEsBAi0AFAAGAAgAAAAhAFr0LFu/AAAAFQEAAAsA&#10;AAAAAAAAAAAAAAAAHwEAAF9yZWxzLy5yZWxzUEsBAi0AFAAGAAgAAAAhAGnMz1rEAAAA2wAAAA8A&#10;AAAAAAAAAAAAAAAABwIAAGRycy9kb3ducmV2LnhtbFBLBQYAAAAAAwADALcAAAD4AgAAAAA=&#10;" strokecolor="#7f7f7f [1612]" strokeweight="1pt"/>
                <v:rect id="Rectangle 9" o:spid="_x0000_s1033" style="position:absolute;left:11118;top:9968;width:12869;height: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E0LxAAAANsAAAAPAAAAZHJzL2Rvd25yZXYueG1sRI9Ba8JA&#10;FITvgv9heUJvuqm0tkmzipYWvJRSFb0+s88kmH0bshsT/31XEDwOM/MNky56U4kLNa60rOB5EoEg&#10;zqwuOVew236P30E4j6yxskwKruRgMR8OUky07fiPLhufiwBhl6CCwvs6kdJlBRl0E1sTB+9kG4M+&#10;yCaXusEuwE0lp1E0kwZLDgsF1vRZUHbetEbBsf0yPt5vV691fniJf1anrsVfpZ5G/fIDhKfeP8L3&#10;9lormL7B7Uv4AXL+DwAA//8DAFBLAQItABQABgAIAAAAIQDb4fbL7gAAAIUBAAATAAAAAAAAAAAA&#10;AAAAAAAAAABbQ29udGVudF9UeXBlc10ueG1sUEsBAi0AFAAGAAgAAAAhAFr0LFu/AAAAFQEAAAsA&#10;AAAAAAAAAAAAAAAAHwEAAF9yZWxzLy5yZWxzUEsBAi0AFAAGAAgAAAAhADE0TQvEAAAA2wAAAA8A&#10;AAAAAAAAAAAAAAAABwIAAGRycy9kb3ducmV2LnhtbFBLBQYAAAAAAwADALcAAAD4AgAAAAA=&#10;" fillcolor="#e7e6e6 [3214]" strokecolor="#7f7f7f [1612]" strokeweight="1pt">
                  <v:textbox>
                    <w:txbxContent>
                      <w:p w14:paraId="4B081DEB" w14:textId="77777777" w:rsidR="00346FC5" w:rsidRDefault="00346FC5" w:rsidP="00346FC5">
                        <w:pPr>
                          <w:spacing w:before="0"/>
                          <w:jc w:val="center"/>
                          <w:rPr>
                            <w:rFonts w:asciiTheme="majorHAnsi" w:hAnsiTheme="majorHAnsi"/>
                            <w:color w:val="171717" w:themeColor="background2" w:themeShade="1A"/>
                            <w:sz w:val="18"/>
                            <w:szCs w:val="18"/>
                          </w:rPr>
                        </w:pPr>
                        <w:r>
                          <w:rPr>
                            <w:rFonts w:asciiTheme="majorHAnsi" w:hAnsiTheme="majorHAnsi"/>
                            <w:b/>
                            <w:bCs/>
                            <w:color w:val="171717" w:themeColor="background2" w:themeShade="1A"/>
                            <w:kern w:val="24"/>
                            <w:sz w:val="18"/>
                            <w:szCs w:val="18"/>
                          </w:rPr>
                          <w:t>Non</w:t>
                        </w:r>
                        <w:r>
                          <w:rPr>
                            <w:rFonts w:asciiTheme="majorHAnsi" w:hAnsiTheme="majorHAnsi"/>
                            <w:b/>
                            <w:bCs/>
                            <w:color w:val="171717" w:themeColor="background2" w:themeShade="1A"/>
                            <w:kern w:val="24"/>
                            <w:sz w:val="18"/>
                            <w:szCs w:val="18"/>
                          </w:rPr>
                          <w:noBreakHyphen/>
                          <w:t xml:space="preserve">financial </w:t>
                        </w:r>
                        <w:r>
                          <w:rPr>
                            <w:rFonts w:asciiTheme="majorHAnsi" w:hAnsiTheme="majorHAnsi"/>
                            <w:b/>
                            <w:bCs/>
                            <w:color w:val="171717" w:themeColor="background2" w:themeShade="1A"/>
                            <w:kern w:val="24"/>
                            <w:sz w:val="18"/>
                            <w:szCs w:val="18"/>
                          </w:rPr>
                          <w:br/>
                          <w:t>public sector</w:t>
                        </w:r>
                      </w:p>
                      <w:p w14:paraId="11709B43" w14:textId="77777777" w:rsidR="00346FC5" w:rsidRDefault="00346FC5" w:rsidP="00346FC5">
                        <w:pPr>
                          <w:spacing w:before="0"/>
                          <w:jc w:val="center"/>
                          <w:rPr>
                            <w:rFonts w:asciiTheme="majorHAnsi" w:hAnsiTheme="majorHAnsi"/>
                            <w:color w:val="171717" w:themeColor="background2" w:themeShade="1A"/>
                            <w:kern w:val="24"/>
                            <w:sz w:val="18"/>
                            <w:szCs w:val="18"/>
                          </w:rPr>
                        </w:pPr>
                        <w:r>
                          <w:rPr>
                            <w:rFonts w:asciiTheme="majorHAnsi" w:hAnsiTheme="majorHAnsi"/>
                            <w:color w:val="171717" w:themeColor="background2" w:themeShade="1A"/>
                            <w:kern w:val="24"/>
                            <w:sz w:val="18"/>
                            <w:szCs w:val="18"/>
                          </w:rPr>
                          <w:t>Tables 5.3 to 5.6</w:t>
                        </w:r>
                      </w:p>
                    </w:txbxContent>
                  </v:textbox>
                </v:rect>
                <v:shape id="Straight Connector 12" o:spid="_x0000_s1034" type="#_x0000_t34" style="position:absolute;left:21284;top:2378;width:3858;height:1132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IpvwAAANsAAAAPAAAAZHJzL2Rvd25yZXYueG1sRE+7bsIw&#10;FN0r8Q/WRWIrDgyoBBwEVSOxdOA1sF3FNw8RX5vYkPTv8VCJ8ei815vBtOJJnW8sK5hNExDEhdUN&#10;VwrOp/zzC4QPyBpby6TgjzxsstHHGlNtez7Q8xgqEUPYp6igDsGlUvqiJoN+ah1x5ErbGQwRdpXU&#10;HfYx3LRyniQLabDh2FCjo++aitvxYRRcfvPlz7V35nTPrzuX6/IijVRqMh62KxCBhvAW/7v3WsE8&#10;jo1f4g+Q2QsAAP//AwBQSwECLQAUAAYACAAAACEA2+H2y+4AAACFAQAAEwAAAAAAAAAAAAAAAAAA&#10;AAAAW0NvbnRlbnRfVHlwZXNdLnhtbFBLAQItABQABgAIAAAAIQBa9CxbvwAAABUBAAALAAAAAAAA&#10;AAAAAAAAAB8BAABfcmVscy8ucmVsc1BLAQItABQABgAIAAAAIQCttbIpvwAAANsAAAAPAAAAAAAA&#10;AAAAAAAAAAcCAABkcnMvZG93bnJldi54bWxQSwUGAAAAAAMAAwC3AAAA8wIAAAAA&#10;" strokecolor="#7f7f7f [1612]" strokeweight="1pt">
                  <v:stroke startarrow="classic"/>
                </v:shape>
                <v:shape id="Straight Connector 12" o:spid="_x0000_s1035" type="#_x0000_t34" style="position:absolute;left:32597;top:2386;width:3858;height:1130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tYSxAAAANsAAAAPAAAAZHJzL2Rvd25yZXYueG1sRI9PawIx&#10;FMTvBb9DeIK3mtWDratRRFoQPHX14PG5eftHNy9hE3fXfvqmUOhxmJnfMOvtYBrRUetrywpm0wQE&#10;cW51zaWC8+nz9R2ED8gaG8uk4EketpvRyxpTbXv+oi4LpYgQ9ikqqEJwqZQ+r8ign1pHHL3CtgZD&#10;lG0pdYt9hJtGzpNkIQ3WHBcqdLSvKL9nD6Pgcip6fGvOV3d7fnxL9yiy+tgpNRkPuxWIQEP4D/+1&#10;D1rBfAm/X+IPkJsfAAAA//8DAFBLAQItABQABgAIAAAAIQDb4fbL7gAAAIUBAAATAAAAAAAAAAAA&#10;AAAAAAAAAABbQ29udGVudF9UeXBlc10ueG1sUEsBAi0AFAAGAAgAAAAhAFr0LFu/AAAAFQEAAAsA&#10;AAAAAAAAAAAAAAAAHwEAAF9yZWxzLy5yZWxzUEsBAi0AFAAGAAgAAAAhAPQm1hLEAAAA2wAAAA8A&#10;AAAAAAAAAAAAAAAABwIAAGRycy9kb3ducmV2LnhtbFBLBQYAAAAAAwADALcAAAD4AgAAAAA=&#10;" strokecolor="#7f7f7f [1612]" strokeweight="1pt">
                  <v:stroke startarrow="classic"/>
                </v:shape>
                <v:shape id="Straight Connector 12" o:spid="_x0000_s1036" type="#_x0000_t34" style="position:absolute;left:9611;top:13510;width:4766;height:11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iK9vgAAANsAAAAPAAAAZHJzL2Rvd25yZXYueG1sRE9Ni8Iw&#10;EL0L+x/CLHizqSuI2zWKLgh6tMqCt6GZTUubSWliW/+9OQgeH+97vR1tI3rqfOVYwTxJQRAXTlds&#10;FFwvh9kKhA/IGhvHpOBBHrabj8kaM+0GPlOfByNiCPsMFZQhtJmUvijJok9cSxy5f9dZDBF2RuoO&#10;hxhuG/mVpktpseLYUGJLvyUVdX63CvLbXp9Pe+oft9rk5s8O9XdvlJp+jrsfEIHG8Ba/3EetYBHX&#10;xy/xB8jNEwAA//8DAFBLAQItABQABgAIAAAAIQDb4fbL7gAAAIUBAAATAAAAAAAAAAAAAAAAAAAA&#10;AABbQ29udGVudF9UeXBlc10ueG1sUEsBAi0AFAAGAAgAAAAhAFr0LFu/AAAAFQEAAAsAAAAAAAAA&#10;AAAAAAAAHwEAAF9yZWxzLy5yZWxzUEsBAi0AFAAGAAgAAAAhAFrWIr2+AAAA2wAAAA8AAAAAAAAA&#10;AAAAAAAABwIAAGRycy9kb3ducmV2LnhtbFBLBQYAAAAAAwADALcAAADyAgAAAAA=&#10;" strokecolor="#7f7f7f [1612]" strokeweight="1pt">
                  <v:stroke startarrow="classic" endarrowlength="long"/>
                </v:shape>
                <w10:anchorlock/>
              </v:group>
            </w:pict>
          </mc:Fallback>
        </mc:AlternateContent>
      </w:r>
    </w:p>
    <w:p w14:paraId="3F78A2E3" w14:textId="22057D28" w:rsidR="00346FC5" w:rsidRPr="00351630" w:rsidRDefault="00346FC5" w:rsidP="00346FC5">
      <w:pPr>
        <w:pStyle w:val="Heading10"/>
        <w:pageBreakBefore/>
      </w:pPr>
      <w:bookmarkStart w:id="65" w:name="_Toc135331257"/>
      <w:r w:rsidRPr="00351630">
        <w:t>Public non-financial corporation</w:t>
      </w:r>
      <w:r w:rsidR="007B1F83">
        <w:t>s</w:t>
      </w:r>
      <w:r w:rsidRPr="00351630">
        <w:t xml:space="preserve"> sector</w:t>
      </w:r>
      <w:bookmarkEnd w:id="65"/>
    </w:p>
    <w:p w14:paraId="120DC592" w14:textId="77777777" w:rsidR="00346FC5" w:rsidRPr="00351630" w:rsidRDefault="00346FC5" w:rsidP="00346FC5">
      <w:r w:rsidRPr="00351630">
        <w:t xml:space="preserve">Tables 5.1 and 5.2 summarise the operating statement and financial position for the PNFC sector. A comprehensive operating statement and balance sheet are presented in Budget Paper No. 5, Chapter 2 </w:t>
      </w:r>
      <w:r w:rsidRPr="00351630">
        <w:rPr>
          <w:i/>
        </w:rPr>
        <w:t>Supplementary uniform presentation framework tables</w:t>
      </w:r>
      <w:r w:rsidRPr="00351630">
        <w:t xml:space="preserve">. </w:t>
      </w:r>
    </w:p>
    <w:p w14:paraId="3561231E" w14:textId="77777777" w:rsidR="00346FC5" w:rsidRPr="00351630" w:rsidRDefault="00346FC5" w:rsidP="00346FC5">
      <w:pPr>
        <w:pStyle w:val="TableHeading"/>
        <w:spacing w:before="180"/>
        <w:ind w:left="1140" w:hanging="1140"/>
      </w:pPr>
      <w:r w:rsidRPr="00351630">
        <w:t xml:space="preserve">Table 5.1: </w:t>
      </w:r>
      <w:r w:rsidRPr="00351630">
        <w:tab/>
      </w:r>
      <w:r w:rsidRPr="00351630">
        <w:rPr>
          <w:szCs w:val="22"/>
        </w:rPr>
        <w:t xml:space="preserve">Summary operating statement for the PNFC sector </w:t>
      </w:r>
      <w:r w:rsidRPr="00351630">
        <w:rPr>
          <w:szCs w:val="22"/>
          <w:vertAlign w:val="superscript"/>
        </w:rPr>
        <w:t>(a)</w:t>
      </w:r>
      <w:r w:rsidRPr="00351630">
        <w:rPr>
          <w:szCs w:val="22"/>
          <w:vertAlign w:val="superscript"/>
        </w:rPr>
        <w:tab/>
      </w:r>
      <w:r w:rsidRPr="00351630">
        <w:t>($ million)</w:t>
      </w:r>
    </w:p>
    <w:tbl>
      <w:tblPr>
        <w:tblStyle w:val="DTFTableNumeric"/>
        <w:tblW w:w="7710" w:type="dxa"/>
        <w:tblLayout w:type="fixed"/>
        <w:tblLook w:val="06A0" w:firstRow="1" w:lastRow="0" w:firstColumn="1" w:lastColumn="0" w:noHBand="1" w:noVBand="1"/>
        <w:tblDescription w:val="Type:DtfTable|Workbook:https://vicgov.sharepoint.com/sites/msteams_12cfc2/BP2/Chapter%205/Link_BP2-Chapter5.xlsx|Table:PNFC_OS|MergedHeadingRow:1"/>
      </w:tblPr>
      <w:tblGrid>
        <w:gridCol w:w="2946"/>
        <w:gridCol w:w="794"/>
        <w:gridCol w:w="794"/>
        <w:gridCol w:w="794"/>
        <w:gridCol w:w="794"/>
        <w:gridCol w:w="794"/>
        <w:gridCol w:w="794"/>
      </w:tblGrid>
      <w:tr w:rsidR="00346FC5" w:rsidRPr="00351630" w14:paraId="765E531C" w14:textId="77777777" w:rsidTr="009835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46" w:type="dxa"/>
          </w:tcPr>
          <w:p w14:paraId="6A8D0EC3" w14:textId="77777777" w:rsidR="00346FC5" w:rsidRPr="00351630" w:rsidRDefault="00346FC5" w:rsidP="0098354D">
            <w:pPr>
              <w:keepNext/>
            </w:pPr>
          </w:p>
        </w:tc>
        <w:tc>
          <w:tcPr>
            <w:tcW w:w="794" w:type="dxa"/>
          </w:tcPr>
          <w:p w14:paraId="407C3903"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2021</w:t>
            </w:r>
            <w:r w:rsidRPr="00351630">
              <w:noBreakHyphen/>
              <w:t>22</w:t>
            </w:r>
            <w:r w:rsidRPr="00351630">
              <w:br/>
              <w:t>actual</w:t>
            </w:r>
          </w:p>
        </w:tc>
        <w:tc>
          <w:tcPr>
            <w:tcW w:w="794" w:type="dxa"/>
          </w:tcPr>
          <w:p w14:paraId="78A410B0"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2022</w:t>
            </w:r>
            <w:r w:rsidRPr="00351630">
              <w:noBreakHyphen/>
              <w:t>23</w:t>
            </w:r>
            <w:r w:rsidRPr="00351630">
              <w:br/>
              <w:t>revised</w:t>
            </w:r>
          </w:p>
        </w:tc>
        <w:tc>
          <w:tcPr>
            <w:tcW w:w="794" w:type="dxa"/>
          </w:tcPr>
          <w:p w14:paraId="49211FA8"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2023</w:t>
            </w:r>
            <w:r w:rsidRPr="00351630">
              <w:noBreakHyphen/>
              <w:t>24</w:t>
            </w:r>
            <w:r w:rsidRPr="00351630">
              <w:br/>
              <w:t>budget</w:t>
            </w:r>
          </w:p>
        </w:tc>
        <w:tc>
          <w:tcPr>
            <w:tcW w:w="794" w:type="dxa"/>
          </w:tcPr>
          <w:p w14:paraId="16C84348"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2024</w:t>
            </w:r>
            <w:r w:rsidRPr="00351630">
              <w:noBreakHyphen/>
              <w:t>25</w:t>
            </w:r>
            <w:r w:rsidRPr="00351630">
              <w:br/>
              <w:t>estimate</w:t>
            </w:r>
          </w:p>
        </w:tc>
        <w:tc>
          <w:tcPr>
            <w:tcW w:w="794" w:type="dxa"/>
          </w:tcPr>
          <w:p w14:paraId="1BC9CD11"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2025</w:t>
            </w:r>
            <w:r w:rsidRPr="00351630">
              <w:noBreakHyphen/>
              <w:t>26</w:t>
            </w:r>
            <w:r w:rsidRPr="00351630">
              <w:br/>
              <w:t>estimate</w:t>
            </w:r>
          </w:p>
        </w:tc>
        <w:tc>
          <w:tcPr>
            <w:tcW w:w="794" w:type="dxa"/>
          </w:tcPr>
          <w:p w14:paraId="27CCC996"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2026</w:t>
            </w:r>
            <w:r w:rsidRPr="00351630">
              <w:noBreakHyphen/>
              <w:t>27</w:t>
            </w:r>
            <w:r w:rsidRPr="00351630">
              <w:br/>
              <w:t>estimate</w:t>
            </w:r>
          </w:p>
        </w:tc>
      </w:tr>
      <w:tr w:rsidR="00346FC5" w:rsidRPr="00351630" w14:paraId="7685988D"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1BA74E4A" w14:textId="77777777" w:rsidR="00346FC5" w:rsidRPr="00351630" w:rsidRDefault="00346FC5" w:rsidP="0098354D">
            <w:r w:rsidRPr="00351630">
              <w:rPr>
                <w:b/>
              </w:rPr>
              <w:t>Revenue and income from transactions</w:t>
            </w:r>
          </w:p>
        </w:tc>
        <w:tc>
          <w:tcPr>
            <w:tcW w:w="794" w:type="dxa"/>
          </w:tcPr>
          <w:p w14:paraId="7C731CC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6723414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4E8D068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133F736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043B2FE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6DA88F1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rsidRPr="00351630" w14:paraId="19F16E60"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7E3A5287" w14:textId="77777777" w:rsidR="00346FC5" w:rsidRPr="00351630" w:rsidRDefault="00346FC5" w:rsidP="0098354D">
            <w:r w:rsidRPr="00351630">
              <w:t>Interest income</w:t>
            </w:r>
          </w:p>
        </w:tc>
        <w:tc>
          <w:tcPr>
            <w:tcW w:w="794" w:type="dxa"/>
          </w:tcPr>
          <w:p w14:paraId="1E7D083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10</w:t>
            </w:r>
          </w:p>
        </w:tc>
        <w:tc>
          <w:tcPr>
            <w:tcW w:w="794" w:type="dxa"/>
          </w:tcPr>
          <w:p w14:paraId="3DB20E7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112</w:t>
            </w:r>
          </w:p>
        </w:tc>
        <w:tc>
          <w:tcPr>
            <w:tcW w:w="794" w:type="dxa"/>
          </w:tcPr>
          <w:p w14:paraId="72E199D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125</w:t>
            </w:r>
          </w:p>
        </w:tc>
        <w:tc>
          <w:tcPr>
            <w:tcW w:w="794" w:type="dxa"/>
          </w:tcPr>
          <w:p w14:paraId="53D77FD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93</w:t>
            </w:r>
          </w:p>
        </w:tc>
        <w:tc>
          <w:tcPr>
            <w:tcW w:w="794" w:type="dxa"/>
          </w:tcPr>
          <w:p w14:paraId="0D4FE72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91</w:t>
            </w:r>
          </w:p>
        </w:tc>
        <w:tc>
          <w:tcPr>
            <w:tcW w:w="794" w:type="dxa"/>
          </w:tcPr>
          <w:p w14:paraId="4D643FD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91</w:t>
            </w:r>
          </w:p>
        </w:tc>
      </w:tr>
      <w:tr w:rsidR="00346FC5" w:rsidRPr="00351630" w14:paraId="61DA8DD0"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5E2421DB" w14:textId="77777777" w:rsidR="00346FC5" w:rsidRPr="00351630" w:rsidRDefault="00346FC5" w:rsidP="0098354D">
            <w:r w:rsidRPr="00351630">
              <w:t>Dividend income</w:t>
            </w:r>
          </w:p>
        </w:tc>
        <w:tc>
          <w:tcPr>
            <w:tcW w:w="794" w:type="dxa"/>
          </w:tcPr>
          <w:p w14:paraId="2B33A54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51</w:t>
            </w:r>
          </w:p>
        </w:tc>
        <w:tc>
          <w:tcPr>
            <w:tcW w:w="794" w:type="dxa"/>
          </w:tcPr>
          <w:p w14:paraId="7757682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32</w:t>
            </w:r>
          </w:p>
        </w:tc>
        <w:tc>
          <w:tcPr>
            <w:tcW w:w="794" w:type="dxa"/>
          </w:tcPr>
          <w:p w14:paraId="6F43B38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32</w:t>
            </w:r>
          </w:p>
        </w:tc>
        <w:tc>
          <w:tcPr>
            <w:tcW w:w="794" w:type="dxa"/>
          </w:tcPr>
          <w:p w14:paraId="134C0D2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33</w:t>
            </w:r>
          </w:p>
        </w:tc>
        <w:tc>
          <w:tcPr>
            <w:tcW w:w="794" w:type="dxa"/>
          </w:tcPr>
          <w:p w14:paraId="67A15E6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33</w:t>
            </w:r>
          </w:p>
        </w:tc>
        <w:tc>
          <w:tcPr>
            <w:tcW w:w="794" w:type="dxa"/>
          </w:tcPr>
          <w:p w14:paraId="34B0132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33</w:t>
            </w:r>
          </w:p>
        </w:tc>
      </w:tr>
      <w:tr w:rsidR="00346FC5" w:rsidRPr="00351630" w14:paraId="53E8ABA0"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187F4094" w14:textId="77777777" w:rsidR="00346FC5" w:rsidRPr="00351630" w:rsidRDefault="00346FC5" w:rsidP="0098354D">
            <w:r w:rsidRPr="00351630">
              <w:t>Sales of goods and services</w:t>
            </w:r>
          </w:p>
        </w:tc>
        <w:tc>
          <w:tcPr>
            <w:tcW w:w="794" w:type="dxa"/>
          </w:tcPr>
          <w:p w14:paraId="64DD235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6 823</w:t>
            </w:r>
          </w:p>
        </w:tc>
        <w:tc>
          <w:tcPr>
            <w:tcW w:w="794" w:type="dxa"/>
          </w:tcPr>
          <w:p w14:paraId="12A1959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7 245</w:t>
            </w:r>
          </w:p>
        </w:tc>
        <w:tc>
          <w:tcPr>
            <w:tcW w:w="794" w:type="dxa"/>
          </w:tcPr>
          <w:p w14:paraId="5BF4017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7 361</w:t>
            </w:r>
          </w:p>
        </w:tc>
        <w:tc>
          <w:tcPr>
            <w:tcW w:w="794" w:type="dxa"/>
          </w:tcPr>
          <w:p w14:paraId="3AEA177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7 795</w:t>
            </w:r>
          </w:p>
        </w:tc>
        <w:tc>
          <w:tcPr>
            <w:tcW w:w="794" w:type="dxa"/>
          </w:tcPr>
          <w:p w14:paraId="4193F2A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7 940</w:t>
            </w:r>
          </w:p>
        </w:tc>
        <w:tc>
          <w:tcPr>
            <w:tcW w:w="794" w:type="dxa"/>
          </w:tcPr>
          <w:p w14:paraId="63D094C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8 115</w:t>
            </w:r>
          </w:p>
        </w:tc>
      </w:tr>
      <w:tr w:rsidR="00346FC5" w:rsidRPr="00351630" w14:paraId="7BC8B548"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200CF357" w14:textId="77777777" w:rsidR="00346FC5" w:rsidRPr="00351630" w:rsidRDefault="00346FC5" w:rsidP="0098354D">
            <w:r w:rsidRPr="00351630">
              <w:t>Grants</w:t>
            </w:r>
          </w:p>
        </w:tc>
        <w:tc>
          <w:tcPr>
            <w:tcW w:w="794" w:type="dxa"/>
          </w:tcPr>
          <w:p w14:paraId="2BE01EC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3 009</w:t>
            </w:r>
          </w:p>
        </w:tc>
        <w:tc>
          <w:tcPr>
            <w:tcW w:w="794" w:type="dxa"/>
          </w:tcPr>
          <w:p w14:paraId="5008BD4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2 458</w:t>
            </w:r>
          </w:p>
        </w:tc>
        <w:tc>
          <w:tcPr>
            <w:tcW w:w="794" w:type="dxa"/>
          </w:tcPr>
          <w:p w14:paraId="7A51836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2 013</w:t>
            </w:r>
          </w:p>
        </w:tc>
        <w:tc>
          <w:tcPr>
            <w:tcW w:w="794" w:type="dxa"/>
          </w:tcPr>
          <w:p w14:paraId="242C403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1 558</w:t>
            </w:r>
          </w:p>
        </w:tc>
        <w:tc>
          <w:tcPr>
            <w:tcW w:w="794" w:type="dxa"/>
          </w:tcPr>
          <w:p w14:paraId="50A7963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1 545</w:t>
            </w:r>
          </w:p>
        </w:tc>
        <w:tc>
          <w:tcPr>
            <w:tcW w:w="794" w:type="dxa"/>
          </w:tcPr>
          <w:p w14:paraId="483A332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1 509</w:t>
            </w:r>
          </w:p>
        </w:tc>
      </w:tr>
      <w:tr w:rsidR="00346FC5" w:rsidRPr="00351630" w14:paraId="51713E19"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5DDF76C0" w14:textId="77777777" w:rsidR="00346FC5" w:rsidRPr="00351630" w:rsidRDefault="00346FC5" w:rsidP="0098354D">
            <w:r w:rsidRPr="00351630">
              <w:t>Other revenue and income</w:t>
            </w:r>
          </w:p>
        </w:tc>
        <w:tc>
          <w:tcPr>
            <w:tcW w:w="794" w:type="dxa"/>
            <w:tcBorders>
              <w:bottom w:val="single" w:sz="6" w:space="0" w:color="auto"/>
            </w:tcBorders>
          </w:tcPr>
          <w:p w14:paraId="60DB9DA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810</w:t>
            </w:r>
          </w:p>
        </w:tc>
        <w:tc>
          <w:tcPr>
            <w:tcW w:w="794" w:type="dxa"/>
            <w:tcBorders>
              <w:bottom w:val="single" w:sz="6" w:space="0" w:color="auto"/>
            </w:tcBorders>
          </w:tcPr>
          <w:p w14:paraId="643C242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743</w:t>
            </w:r>
          </w:p>
        </w:tc>
        <w:tc>
          <w:tcPr>
            <w:tcW w:w="794" w:type="dxa"/>
            <w:tcBorders>
              <w:bottom w:val="single" w:sz="6" w:space="0" w:color="auto"/>
            </w:tcBorders>
          </w:tcPr>
          <w:p w14:paraId="7244ACA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715</w:t>
            </w:r>
          </w:p>
        </w:tc>
        <w:tc>
          <w:tcPr>
            <w:tcW w:w="794" w:type="dxa"/>
            <w:tcBorders>
              <w:bottom w:val="single" w:sz="6" w:space="0" w:color="auto"/>
            </w:tcBorders>
          </w:tcPr>
          <w:p w14:paraId="4F9FBE5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717</w:t>
            </w:r>
          </w:p>
        </w:tc>
        <w:tc>
          <w:tcPr>
            <w:tcW w:w="794" w:type="dxa"/>
            <w:tcBorders>
              <w:bottom w:val="single" w:sz="6" w:space="0" w:color="auto"/>
            </w:tcBorders>
          </w:tcPr>
          <w:p w14:paraId="3E55A9E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740</w:t>
            </w:r>
          </w:p>
        </w:tc>
        <w:tc>
          <w:tcPr>
            <w:tcW w:w="794" w:type="dxa"/>
            <w:tcBorders>
              <w:bottom w:val="single" w:sz="6" w:space="0" w:color="auto"/>
            </w:tcBorders>
          </w:tcPr>
          <w:p w14:paraId="7763F9C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766</w:t>
            </w:r>
          </w:p>
        </w:tc>
      </w:tr>
      <w:tr w:rsidR="00346FC5" w:rsidRPr="00351630" w14:paraId="6C08090B"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tcBorders>
          </w:tcPr>
          <w:p w14:paraId="00682EF6" w14:textId="77777777" w:rsidR="00346FC5" w:rsidRPr="00351630" w:rsidRDefault="00346FC5" w:rsidP="0098354D">
            <w:r w:rsidRPr="00351630">
              <w:rPr>
                <w:b/>
              </w:rPr>
              <w:t>Total revenue and income from transactions</w:t>
            </w:r>
          </w:p>
        </w:tc>
        <w:tc>
          <w:tcPr>
            <w:tcW w:w="794" w:type="dxa"/>
            <w:tcBorders>
              <w:top w:val="single" w:sz="6" w:space="0" w:color="auto"/>
            </w:tcBorders>
          </w:tcPr>
          <w:p w14:paraId="37DE39B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10 703</w:t>
            </w:r>
          </w:p>
        </w:tc>
        <w:tc>
          <w:tcPr>
            <w:tcW w:w="794" w:type="dxa"/>
            <w:tcBorders>
              <w:top w:val="single" w:sz="6" w:space="0" w:color="auto"/>
            </w:tcBorders>
          </w:tcPr>
          <w:p w14:paraId="635994C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10 589</w:t>
            </w:r>
          </w:p>
        </w:tc>
        <w:tc>
          <w:tcPr>
            <w:tcW w:w="794" w:type="dxa"/>
            <w:tcBorders>
              <w:top w:val="single" w:sz="6" w:space="0" w:color="auto"/>
            </w:tcBorders>
          </w:tcPr>
          <w:p w14:paraId="7EAD4FF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10 246</w:t>
            </w:r>
          </w:p>
        </w:tc>
        <w:tc>
          <w:tcPr>
            <w:tcW w:w="794" w:type="dxa"/>
            <w:tcBorders>
              <w:top w:val="single" w:sz="6" w:space="0" w:color="auto"/>
            </w:tcBorders>
          </w:tcPr>
          <w:p w14:paraId="59E2718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10 195</w:t>
            </w:r>
          </w:p>
        </w:tc>
        <w:tc>
          <w:tcPr>
            <w:tcW w:w="794" w:type="dxa"/>
            <w:tcBorders>
              <w:top w:val="single" w:sz="6" w:space="0" w:color="auto"/>
            </w:tcBorders>
          </w:tcPr>
          <w:p w14:paraId="5F293E8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10 349</w:t>
            </w:r>
          </w:p>
        </w:tc>
        <w:tc>
          <w:tcPr>
            <w:tcW w:w="794" w:type="dxa"/>
            <w:tcBorders>
              <w:top w:val="single" w:sz="6" w:space="0" w:color="auto"/>
            </w:tcBorders>
          </w:tcPr>
          <w:p w14:paraId="4C51752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10 516</w:t>
            </w:r>
          </w:p>
        </w:tc>
      </w:tr>
      <w:tr w:rsidR="00346FC5" w:rsidRPr="00351630" w14:paraId="6EE15A34"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0B4FEDD3" w14:textId="77777777" w:rsidR="00346FC5" w:rsidRPr="00351630" w:rsidRDefault="00346FC5" w:rsidP="0098354D">
            <w:r w:rsidRPr="00351630">
              <w:rPr>
                <w:i/>
              </w:rPr>
              <w:t>% change</w:t>
            </w:r>
          </w:p>
        </w:tc>
        <w:tc>
          <w:tcPr>
            <w:tcW w:w="794" w:type="dxa"/>
          </w:tcPr>
          <w:p w14:paraId="146370D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noBreakHyphen/>
              <w:t>15.1</w:t>
            </w:r>
          </w:p>
        </w:tc>
        <w:tc>
          <w:tcPr>
            <w:tcW w:w="794" w:type="dxa"/>
          </w:tcPr>
          <w:p w14:paraId="45EC18D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noBreakHyphen/>
              <w:t>1.1</w:t>
            </w:r>
          </w:p>
        </w:tc>
        <w:tc>
          <w:tcPr>
            <w:tcW w:w="794" w:type="dxa"/>
          </w:tcPr>
          <w:p w14:paraId="0D81767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noBreakHyphen/>
              <w:t>3.2</w:t>
            </w:r>
          </w:p>
        </w:tc>
        <w:tc>
          <w:tcPr>
            <w:tcW w:w="794" w:type="dxa"/>
          </w:tcPr>
          <w:p w14:paraId="3AAAEAA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noBreakHyphen/>
              <w:t>0.5</w:t>
            </w:r>
          </w:p>
        </w:tc>
        <w:tc>
          <w:tcPr>
            <w:tcW w:w="794" w:type="dxa"/>
          </w:tcPr>
          <w:p w14:paraId="49F8FBA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1.5</w:t>
            </w:r>
          </w:p>
        </w:tc>
        <w:tc>
          <w:tcPr>
            <w:tcW w:w="794" w:type="dxa"/>
          </w:tcPr>
          <w:p w14:paraId="6FDC3B7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1.6</w:t>
            </w:r>
          </w:p>
        </w:tc>
      </w:tr>
      <w:tr w:rsidR="00346FC5" w:rsidRPr="00351630" w14:paraId="1772D74D"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564E7C58" w14:textId="77777777" w:rsidR="00346FC5" w:rsidRPr="00351630" w:rsidRDefault="00346FC5" w:rsidP="0098354D">
            <w:r w:rsidRPr="00351630">
              <w:rPr>
                <w:b/>
              </w:rPr>
              <w:t>Expenses from transactions</w:t>
            </w:r>
          </w:p>
        </w:tc>
        <w:tc>
          <w:tcPr>
            <w:tcW w:w="794" w:type="dxa"/>
          </w:tcPr>
          <w:p w14:paraId="1C0514C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09FA39A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5F83B4E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5AC0FDC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38D59E8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762F80F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rsidRPr="00351630" w14:paraId="695B4E59"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2BBA638A" w14:textId="77777777" w:rsidR="00346FC5" w:rsidRPr="00351630" w:rsidRDefault="00346FC5" w:rsidP="0098354D">
            <w:r w:rsidRPr="00351630">
              <w:t>Employee expenses</w:t>
            </w:r>
          </w:p>
        </w:tc>
        <w:tc>
          <w:tcPr>
            <w:tcW w:w="794" w:type="dxa"/>
          </w:tcPr>
          <w:p w14:paraId="2889725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1 593</w:t>
            </w:r>
          </w:p>
        </w:tc>
        <w:tc>
          <w:tcPr>
            <w:tcW w:w="794" w:type="dxa"/>
          </w:tcPr>
          <w:p w14:paraId="3BF31DF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1 736</w:t>
            </w:r>
          </w:p>
        </w:tc>
        <w:tc>
          <w:tcPr>
            <w:tcW w:w="794" w:type="dxa"/>
          </w:tcPr>
          <w:p w14:paraId="78D22BD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1 701</w:t>
            </w:r>
          </w:p>
        </w:tc>
        <w:tc>
          <w:tcPr>
            <w:tcW w:w="794" w:type="dxa"/>
          </w:tcPr>
          <w:p w14:paraId="31E94C3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1 637</w:t>
            </w:r>
          </w:p>
        </w:tc>
        <w:tc>
          <w:tcPr>
            <w:tcW w:w="794" w:type="dxa"/>
          </w:tcPr>
          <w:p w14:paraId="5E1CF9B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1 594</w:t>
            </w:r>
          </w:p>
        </w:tc>
        <w:tc>
          <w:tcPr>
            <w:tcW w:w="794" w:type="dxa"/>
          </w:tcPr>
          <w:p w14:paraId="18A4123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1 628</w:t>
            </w:r>
          </w:p>
        </w:tc>
      </w:tr>
      <w:tr w:rsidR="00346FC5" w:rsidRPr="00351630" w14:paraId="63A36B82"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6ED99707" w14:textId="77777777" w:rsidR="00346FC5" w:rsidRPr="00351630" w:rsidRDefault="00346FC5" w:rsidP="0098354D">
            <w:r w:rsidRPr="00351630">
              <w:t xml:space="preserve">Superannuation </w:t>
            </w:r>
            <w:r w:rsidRPr="00351630">
              <w:rPr>
                <w:vertAlign w:val="superscript"/>
              </w:rPr>
              <w:t>(b)</w:t>
            </w:r>
          </w:p>
        </w:tc>
        <w:tc>
          <w:tcPr>
            <w:tcW w:w="794" w:type="dxa"/>
          </w:tcPr>
          <w:p w14:paraId="2C83DA8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156</w:t>
            </w:r>
          </w:p>
        </w:tc>
        <w:tc>
          <w:tcPr>
            <w:tcW w:w="794" w:type="dxa"/>
          </w:tcPr>
          <w:p w14:paraId="596472E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163</w:t>
            </w:r>
          </w:p>
        </w:tc>
        <w:tc>
          <w:tcPr>
            <w:tcW w:w="794" w:type="dxa"/>
          </w:tcPr>
          <w:p w14:paraId="7D9897F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168</w:t>
            </w:r>
          </w:p>
        </w:tc>
        <w:tc>
          <w:tcPr>
            <w:tcW w:w="794" w:type="dxa"/>
          </w:tcPr>
          <w:p w14:paraId="620A408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175</w:t>
            </w:r>
          </w:p>
        </w:tc>
        <w:tc>
          <w:tcPr>
            <w:tcW w:w="794" w:type="dxa"/>
          </w:tcPr>
          <w:p w14:paraId="3E5A99F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183</w:t>
            </w:r>
          </w:p>
        </w:tc>
        <w:tc>
          <w:tcPr>
            <w:tcW w:w="794" w:type="dxa"/>
          </w:tcPr>
          <w:p w14:paraId="34D17C8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188</w:t>
            </w:r>
          </w:p>
        </w:tc>
      </w:tr>
      <w:tr w:rsidR="00346FC5" w:rsidRPr="00351630" w14:paraId="51613132"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0F604EF8" w14:textId="77777777" w:rsidR="00346FC5" w:rsidRPr="00351630" w:rsidRDefault="00346FC5" w:rsidP="0098354D">
            <w:r w:rsidRPr="00351630">
              <w:t>Depreciation</w:t>
            </w:r>
          </w:p>
        </w:tc>
        <w:tc>
          <w:tcPr>
            <w:tcW w:w="794" w:type="dxa"/>
          </w:tcPr>
          <w:p w14:paraId="7CC2336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1 938</w:t>
            </w:r>
          </w:p>
        </w:tc>
        <w:tc>
          <w:tcPr>
            <w:tcW w:w="794" w:type="dxa"/>
          </w:tcPr>
          <w:p w14:paraId="413B79F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1 934</w:t>
            </w:r>
          </w:p>
        </w:tc>
        <w:tc>
          <w:tcPr>
            <w:tcW w:w="794" w:type="dxa"/>
          </w:tcPr>
          <w:p w14:paraId="21C300B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2 006</w:t>
            </w:r>
          </w:p>
        </w:tc>
        <w:tc>
          <w:tcPr>
            <w:tcW w:w="794" w:type="dxa"/>
          </w:tcPr>
          <w:p w14:paraId="50FFAD0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2 079</w:t>
            </w:r>
          </w:p>
        </w:tc>
        <w:tc>
          <w:tcPr>
            <w:tcW w:w="794" w:type="dxa"/>
          </w:tcPr>
          <w:p w14:paraId="7B9E782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2 138</w:t>
            </w:r>
          </w:p>
        </w:tc>
        <w:tc>
          <w:tcPr>
            <w:tcW w:w="794" w:type="dxa"/>
          </w:tcPr>
          <w:p w14:paraId="0974655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2 260</w:t>
            </w:r>
          </w:p>
        </w:tc>
      </w:tr>
      <w:tr w:rsidR="00346FC5" w:rsidRPr="00351630" w14:paraId="19D0312E"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18A91C8A" w14:textId="77777777" w:rsidR="00346FC5" w:rsidRPr="00351630" w:rsidRDefault="00346FC5" w:rsidP="0098354D">
            <w:r w:rsidRPr="00351630">
              <w:t>Interest expense</w:t>
            </w:r>
          </w:p>
        </w:tc>
        <w:tc>
          <w:tcPr>
            <w:tcW w:w="794" w:type="dxa"/>
          </w:tcPr>
          <w:p w14:paraId="2AB897A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804</w:t>
            </w:r>
          </w:p>
        </w:tc>
        <w:tc>
          <w:tcPr>
            <w:tcW w:w="794" w:type="dxa"/>
          </w:tcPr>
          <w:p w14:paraId="069E9A0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868</w:t>
            </w:r>
          </w:p>
        </w:tc>
        <w:tc>
          <w:tcPr>
            <w:tcW w:w="794" w:type="dxa"/>
          </w:tcPr>
          <w:p w14:paraId="0D8755B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984</w:t>
            </w:r>
          </w:p>
        </w:tc>
        <w:tc>
          <w:tcPr>
            <w:tcW w:w="794" w:type="dxa"/>
          </w:tcPr>
          <w:p w14:paraId="1BEFDAD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1 084</w:t>
            </w:r>
          </w:p>
        </w:tc>
        <w:tc>
          <w:tcPr>
            <w:tcW w:w="794" w:type="dxa"/>
          </w:tcPr>
          <w:p w14:paraId="5BAA6A8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1 157</w:t>
            </w:r>
          </w:p>
        </w:tc>
        <w:tc>
          <w:tcPr>
            <w:tcW w:w="794" w:type="dxa"/>
          </w:tcPr>
          <w:p w14:paraId="33C4A3E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1 228</w:t>
            </w:r>
          </w:p>
        </w:tc>
      </w:tr>
      <w:tr w:rsidR="00346FC5" w:rsidRPr="00351630" w14:paraId="7CFDE745"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62FB72E6" w14:textId="77777777" w:rsidR="00346FC5" w:rsidRPr="00351630" w:rsidRDefault="00346FC5" w:rsidP="0098354D">
            <w:r w:rsidRPr="00351630">
              <w:t>Grant expense</w:t>
            </w:r>
          </w:p>
        </w:tc>
        <w:tc>
          <w:tcPr>
            <w:tcW w:w="794" w:type="dxa"/>
          </w:tcPr>
          <w:p w14:paraId="6373BC7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527</w:t>
            </w:r>
          </w:p>
        </w:tc>
        <w:tc>
          <w:tcPr>
            <w:tcW w:w="794" w:type="dxa"/>
          </w:tcPr>
          <w:p w14:paraId="6A11218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657</w:t>
            </w:r>
          </w:p>
        </w:tc>
        <w:tc>
          <w:tcPr>
            <w:tcW w:w="794" w:type="dxa"/>
          </w:tcPr>
          <w:p w14:paraId="2E410AA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460</w:t>
            </w:r>
          </w:p>
        </w:tc>
        <w:tc>
          <w:tcPr>
            <w:tcW w:w="794" w:type="dxa"/>
          </w:tcPr>
          <w:p w14:paraId="10422F6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382</w:t>
            </w:r>
          </w:p>
        </w:tc>
        <w:tc>
          <w:tcPr>
            <w:tcW w:w="794" w:type="dxa"/>
          </w:tcPr>
          <w:p w14:paraId="5621B65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326</w:t>
            </w:r>
          </w:p>
        </w:tc>
        <w:tc>
          <w:tcPr>
            <w:tcW w:w="794" w:type="dxa"/>
          </w:tcPr>
          <w:p w14:paraId="665C463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327</w:t>
            </w:r>
          </w:p>
        </w:tc>
      </w:tr>
      <w:tr w:rsidR="00346FC5" w:rsidRPr="00351630" w14:paraId="2BB1E4C3"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339E2C9E" w14:textId="77777777" w:rsidR="00346FC5" w:rsidRPr="00351630" w:rsidRDefault="00346FC5" w:rsidP="0098354D">
            <w:r w:rsidRPr="00351630">
              <w:t>Other operating expenses</w:t>
            </w:r>
          </w:p>
        </w:tc>
        <w:tc>
          <w:tcPr>
            <w:tcW w:w="794" w:type="dxa"/>
          </w:tcPr>
          <w:p w14:paraId="5622684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4 739</w:t>
            </w:r>
          </w:p>
        </w:tc>
        <w:tc>
          <w:tcPr>
            <w:tcW w:w="794" w:type="dxa"/>
          </w:tcPr>
          <w:p w14:paraId="0106BB6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5 181</w:t>
            </w:r>
          </w:p>
        </w:tc>
        <w:tc>
          <w:tcPr>
            <w:tcW w:w="794" w:type="dxa"/>
          </w:tcPr>
          <w:p w14:paraId="7A4FB82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4 970</w:t>
            </w:r>
          </w:p>
        </w:tc>
        <w:tc>
          <w:tcPr>
            <w:tcW w:w="794" w:type="dxa"/>
          </w:tcPr>
          <w:p w14:paraId="5F57AAC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4 522</w:t>
            </w:r>
          </w:p>
        </w:tc>
        <w:tc>
          <w:tcPr>
            <w:tcW w:w="794" w:type="dxa"/>
          </w:tcPr>
          <w:p w14:paraId="41402D3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4 545</w:t>
            </w:r>
          </w:p>
        </w:tc>
        <w:tc>
          <w:tcPr>
            <w:tcW w:w="794" w:type="dxa"/>
          </w:tcPr>
          <w:p w14:paraId="5612D63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4 517</w:t>
            </w:r>
          </w:p>
        </w:tc>
      </w:tr>
      <w:tr w:rsidR="00346FC5" w:rsidRPr="00351630" w14:paraId="3F4B4EE1"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62A1D751" w14:textId="77777777" w:rsidR="00346FC5" w:rsidRPr="00351630" w:rsidRDefault="00346FC5" w:rsidP="0098354D">
            <w:r w:rsidRPr="00351630">
              <w:t>Other property expenses</w:t>
            </w:r>
          </w:p>
        </w:tc>
        <w:tc>
          <w:tcPr>
            <w:tcW w:w="794" w:type="dxa"/>
          </w:tcPr>
          <w:p w14:paraId="75CE2D6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233</w:t>
            </w:r>
          </w:p>
        </w:tc>
        <w:tc>
          <w:tcPr>
            <w:tcW w:w="794" w:type="dxa"/>
          </w:tcPr>
          <w:p w14:paraId="01B055E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222</w:t>
            </w:r>
          </w:p>
        </w:tc>
        <w:tc>
          <w:tcPr>
            <w:tcW w:w="794" w:type="dxa"/>
          </w:tcPr>
          <w:p w14:paraId="64DC736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252</w:t>
            </w:r>
          </w:p>
        </w:tc>
        <w:tc>
          <w:tcPr>
            <w:tcW w:w="794" w:type="dxa"/>
          </w:tcPr>
          <w:p w14:paraId="78452E1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251</w:t>
            </w:r>
          </w:p>
        </w:tc>
        <w:tc>
          <w:tcPr>
            <w:tcW w:w="794" w:type="dxa"/>
          </w:tcPr>
          <w:p w14:paraId="1106CF4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259</w:t>
            </w:r>
          </w:p>
        </w:tc>
        <w:tc>
          <w:tcPr>
            <w:tcW w:w="794" w:type="dxa"/>
          </w:tcPr>
          <w:p w14:paraId="4D4A87D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255</w:t>
            </w:r>
          </w:p>
        </w:tc>
      </w:tr>
      <w:tr w:rsidR="00346FC5" w:rsidRPr="00351630" w14:paraId="33DA413B"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471DD18C" w14:textId="77777777" w:rsidR="00346FC5" w:rsidRPr="00351630" w:rsidRDefault="00346FC5" w:rsidP="0098354D">
            <w:r w:rsidRPr="00351630">
              <w:rPr>
                <w:b/>
              </w:rPr>
              <w:t>Total expenses from transactions</w:t>
            </w:r>
          </w:p>
        </w:tc>
        <w:tc>
          <w:tcPr>
            <w:tcW w:w="794" w:type="dxa"/>
          </w:tcPr>
          <w:p w14:paraId="5DFCD07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9 989</w:t>
            </w:r>
          </w:p>
        </w:tc>
        <w:tc>
          <w:tcPr>
            <w:tcW w:w="794" w:type="dxa"/>
          </w:tcPr>
          <w:p w14:paraId="46D6083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10 761</w:t>
            </w:r>
          </w:p>
        </w:tc>
        <w:tc>
          <w:tcPr>
            <w:tcW w:w="794" w:type="dxa"/>
          </w:tcPr>
          <w:p w14:paraId="1C0645E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10 541</w:t>
            </w:r>
          </w:p>
        </w:tc>
        <w:tc>
          <w:tcPr>
            <w:tcW w:w="794" w:type="dxa"/>
          </w:tcPr>
          <w:p w14:paraId="37B3940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10 132</w:t>
            </w:r>
          </w:p>
        </w:tc>
        <w:tc>
          <w:tcPr>
            <w:tcW w:w="794" w:type="dxa"/>
          </w:tcPr>
          <w:p w14:paraId="7F43328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10 202</w:t>
            </w:r>
          </w:p>
        </w:tc>
        <w:tc>
          <w:tcPr>
            <w:tcW w:w="794" w:type="dxa"/>
          </w:tcPr>
          <w:p w14:paraId="4FF6384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10 402</w:t>
            </w:r>
          </w:p>
        </w:tc>
      </w:tr>
      <w:tr w:rsidR="00346FC5" w:rsidRPr="00351630" w14:paraId="3F42A8C5"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57053FCF" w14:textId="77777777" w:rsidR="00346FC5" w:rsidRPr="00351630" w:rsidRDefault="00346FC5" w:rsidP="0098354D">
            <w:r w:rsidRPr="00351630">
              <w:rPr>
                <w:i/>
              </w:rPr>
              <w:t>% change</w:t>
            </w:r>
          </w:p>
        </w:tc>
        <w:tc>
          <w:tcPr>
            <w:tcW w:w="794" w:type="dxa"/>
            <w:tcBorders>
              <w:bottom w:val="single" w:sz="6" w:space="0" w:color="auto"/>
            </w:tcBorders>
          </w:tcPr>
          <w:p w14:paraId="7F6DDE0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noBreakHyphen/>
              <w:t>15.9</w:t>
            </w:r>
          </w:p>
        </w:tc>
        <w:tc>
          <w:tcPr>
            <w:tcW w:w="794" w:type="dxa"/>
            <w:tcBorders>
              <w:bottom w:val="single" w:sz="6" w:space="0" w:color="auto"/>
            </w:tcBorders>
          </w:tcPr>
          <w:p w14:paraId="34ECDAF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7.7</w:t>
            </w:r>
          </w:p>
        </w:tc>
        <w:tc>
          <w:tcPr>
            <w:tcW w:w="794" w:type="dxa"/>
            <w:tcBorders>
              <w:bottom w:val="single" w:sz="6" w:space="0" w:color="auto"/>
            </w:tcBorders>
          </w:tcPr>
          <w:p w14:paraId="7D97FBD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noBreakHyphen/>
              <w:t>2.0</w:t>
            </w:r>
          </w:p>
        </w:tc>
        <w:tc>
          <w:tcPr>
            <w:tcW w:w="794" w:type="dxa"/>
            <w:tcBorders>
              <w:bottom w:val="single" w:sz="6" w:space="0" w:color="auto"/>
            </w:tcBorders>
          </w:tcPr>
          <w:p w14:paraId="4AA501A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noBreakHyphen/>
              <w:t>3.9</w:t>
            </w:r>
          </w:p>
        </w:tc>
        <w:tc>
          <w:tcPr>
            <w:tcW w:w="794" w:type="dxa"/>
            <w:tcBorders>
              <w:bottom w:val="single" w:sz="6" w:space="0" w:color="auto"/>
            </w:tcBorders>
          </w:tcPr>
          <w:p w14:paraId="373C630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0.7</w:t>
            </w:r>
          </w:p>
        </w:tc>
        <w:tc>
          <w:tcPr>
            <w:tcW w:w="794" w:type="dxa"/>
            <w:tcBorders>
              <w:bottom w:val="single" w:sz="6" w:space="0" w:color="auto"/>
            </w:tcBorders>
          </w:tcPr>
          <w:p w14:paraId="22AF6F0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2.0</w:t>
            </w:r>
          </w:p>
        </w:tc>
      </w:tr>
      <w:tr w:rsidR="00346FC5" w:rsidRPr="00351630" w14:paraId="63792F85"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6" w:space="0" w:color="auto"/>
            </w:tcBorders>
          </w:tcPr>
          <w:p w14:paraId="7B516FDE" w14:textId="77777777" w:rsidR="00346FC5" w:rsidRPr="00351630" w:rsidRDefault="00346FC5" w:rsidP="0098354D">
            <w:r w:rsidRPr="00351630">
              <w:rPr>
                <w:b/>
              </w:rPr>
              <w:t>Net result from transactions</w:t>
            </w:r>
          </w:p>
        </w:tc>
        <w:tc>
          <w:tcPr>
            <w:tcW w:w="794" w:type="dxa"/>
            <w:tcBorders>
              <w:top w:val="single" w:sz="6" w:space="0" w:color="auto"/>
              <w:bottom w:val="single" w:sz="6" w:space="0" w:color="auto"/>
            </w:tcBorders>
          </w:tcPr>
          <w:p w14:paraId="7E3DA3D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714</w:t>
            </w:r>
          </w:p>
        </w:tc>
        <w:tc>
          <w:tcPr>
            <w:tcW w:w="794" w:type="dxa"/>
            <w:tcBorders>
              <w:top w:val="single" w:sz="6" w:space="0" w:color="auto"/>
              <w:bottom w:val="single" w:sz="6" w:space="0" w:color="auto"/>
            </w:tcBorders>
          </w:tcPr>
          <w:p w14:paraId="1DC3434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(172)</w:t>
            </w:r>
          </w:p>
        </w:tc>
        <w:tc>
          <w:tcPr>
            <w:tcW w:w="794" w:type="dxa"/>
            <w:tcBorders>
              <w:top w:val="single" w:sz="6" w:space="0" w:color="auto"/>
              <w:bottom w:val="single" w:sz="6" w:space="0" w:color="auto"/>
            </w:tcBorders>
          </w:tcPr>
          <w:p w14:paraId="66F7C77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(295)</w:t>
            </w:r>
          </w:p>
        </w:tc>
        <w:tc>
          <w:tcPr>
            <w:tcW w:w="794" w:type="dxa"/>
            <w:tcBorders>
              <w:top w:val="single" w:sz="6" w:space="0" w:color="auto"/>
              <w:bottom w:val="single" w:sz="6" w:space="0" w:color="auto"/>
            </w:tcBorders>
          </w:tcPr>
          <w:p w14:paraId="4AACED1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62</w:t>
            </w:r>
          </w:p>
        </w:tc>
        <w:tc>
          <w:tcPr>
            <w:tcW w:w="794" w:type="dxa"/>
            <w:tcBorders>
              <w:top w:val="single" w:sz="6" w:space="0" w:color="auto"/>
              <w:bottom w:val="single" w:sz="6" w:space="0" w:color="auto"/>
            </w:tcBorders>
          </w:tcPr>
          <w:p w14:paraId="670F52C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147</w:t>
            </w:r>
          </w:p>
        </w:tc>
        <w:tc>
          <w:tcPr>
            <w:tcW w:w="794" w:type="dxa"/>
            <w:tcBorders>
              <w:top w:val="single" w:sz="6" w:space="0" w:color="auto"/>
              <w:bottom w:val="single" w:sz="6" w:space="0" w:color="auto"/>
            </w:tcBorders>
          </w:tcPr>
          <w:p w14:paraId="51E89A6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114</w:t>
            </w:r>
          </w:p>
        </w:tc>
      </w:tr>
      <w:tr w:rsidR="00346FC5" w:rsidRPr="00351630" w14:paraId="45980DDB"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6" w:space="0" w:color="auto"/>
            </w:tcBorders>
          </w:tcPr>
          <w:p w14:paraId="3B20FF0C" w14:textId="77777777" w:rsidR="00346FC5" w:rsidRPr="00351630" w:rsidRDefault="00346FC5" w:rsidP="0098354D">
            <w:r w:rsidRPr="00351630">
              <w:t>Total other economic flows included in net result</w:t>
            </w:r>
          </w:p>
        </w:tc>
        <w:tc>
          <w:tcPr>
            <w:tcW w:w="794" w:type="dxa"/>
            <w:tcBorders>
              <w:top w:val="single" w:sz="6" w:space="0" w:color="auto"/>
              <w:bottom w:val="single" w:sz="6" w:space="0" w:color="auto"/>
            </w:tcBorders>
          </w:tcPr>
          <w:p w14:paraId="7BE5414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(2 934)</w:t>
            </w:r>
          </w:p>
        </w:tc>
        <w:tc>
          <w:tcPr>
            <w:tcW w:w="794" w:type="dxa"/>
            <w:tcBorders>
              <w:top w:val="single" w:sz="6" w:space="0" w:color="auto"/>
              <w:bottom w:val="single" w:sz="6" w:space="0" w:color="auto"/>
            </w:tcBorders>
          </w:tcPr>
          <w:p w14:paraId="250548E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(1 194)</w:t>
            </w:r>
          </w:p>
        </w:tc>
        <w:tc>
          <w:tcPr>
            <w:tcW w:w="794" w:type="dxa"/>
            <w:tcBorders>
              <w:top w:val="single" w:sz="6" w:space="0" w:color="auto"/>
              <w:bottom w:val="single" w:sz="6" w:space="0" w:color="auto"/>
            </w:tcBorders>
          </w:tcPr>
          <w:p w14:paraId="56CAD48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(5 580)</w:t>
            </w:r>
          </w:p>
        </w:tc>
        <w:tc>
          <w:tcPr>
            <w:tcW w:w="794" w:type="dxa"/>
            <w:tcBorders>
              <w:top w:val="single" w:sz="6" w:space="0" w:color="auto"/>
              <w:bottom w:val="single" w:sz="6" w:space="0" w:color="auto"/>
            </w:tcBorders>
          </w:tcPr>
          <w:p w14:paraId="3E474C1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(6 378)</w:t>
            </w:r>
          </w:p>
        </w:tc>
        <w:tc>
          <w:tcPr>
            <w:tcW w:w="794" w:type="dxa"/>
            <w:tcBorders>
              <w:top w:val="single" w:sz="6" w:space="0" w:color="auto"/>
              <w:bottom w:val="single" w:sz="6" w:space="0" w:color="auto"/>
            </w:tcBorders>
          </w:tcPr>
          <w:p w14:paraId="503F693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(14 068)</w:t>
            </w:r>
          </w:p>
        </w:tc>
        <w:tc>
          <w:tcPr>
            <w:tcW w:w="794" w:type="dxa"/>
            <w:tcBorders>
              <w:top w:val="single" w:sz="6" w:space="0" w:color="auto"/>
              <w:bottom w:val="single" w:sz="6" w:space="0" w:color="auto"/>
            </w:tcBorders>
          </w:tcPr>
          <w:p w14:paraId="2BB4792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(3 411)</w:t>
            </w:r>
          </w:p>
        </w:tc>
      </w:tr>
      <w:tr w:rsidR="00346FC5" w:rsidRPr="00351630" w14:paraId="13C56D20"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12" w:space="0" w:color="auto"/>
            </w:tcBorders>
          </w:tcPr>
          <w:p w14:paraId="755851BD" w14:textId="77777777" w:rsidR="00346FC5" w:rsidRPr="00351630" w:rsidRDefault="00346FC5" w:rsidP="0098354D">
            <w:r w:rsidRPr="00351630">
              <w:rPr>
                <w:b/>
              </w:rPr>
              <w:t>Net result</w:t>
            </w:r>
          </w:p>
        </w:tc>
        <w:tc>
          <w:tcPr>
            <w:tcW w:w="794" w:type="dxa"/>
            <w:tcBorders>
              <w:top w:val="single" w:sz="6" w:space="0" w:color="auto"/>
              <w:bottom w:val="single" w:sz="12" w:space="0" w:color="auto"/>
            </w:tcBorders>
          </w:tcPr>
          <w:p w14:paraId="5844AEE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(2 220)</w:t>
            </w:r>
          </w:p>
        </w:tc>
        <w:tc>
          <w:tcPr>
            <w:tcW w:w="794" w:type="dxa"/>
            <w:tcBorders>
              <w:top w:val="single" w:sz="6" w:space="0" w:color="auto"/>
              <w:bottom w:val="single" w:sz="12" w:space="0" w:color="auto"/>
            </w:tcBorders>
          </w:tcPr>
          <w:p w14:paraId="5DF7B04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(1 366)</w:t>
            </w:r>
          </w:p>
        </w:tc>
        <w:tc>
          <w:tcPr>
            <w:tcW w:w="794" w:type="dxa"/>
            <w:tcBorders>
              <w:top w:val="single" w:sz="6" w:space="0" w:color="auto"/>
              <w:bottom w:val="single" w:sz="12" w:space="0" w:color="auto"/>
            </w:tcBorders>
          </w:tcPr>
          <w:p w14:paraId="0231BEF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(5 875)</w:t>
            </w:r>
          </w:p>
        </w:tc>
        <w:tc>
          <w:tcPr>
            <w:tcW w:w="794" w:type="dxa"/>
            <w:tcBorders>
              <w:top w:val="single" w:sz="6" w:space="0" w:color="auto"/>
              <w:bottom w:val="single" w:sz="12" w:space="0" w:color="auto"/>
            </w:tcBorders>
          </w:tcPr>
          <w:p w14:paraId="49783EF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(6 315)</w:t>
            </w:r>
          </w:p>
        </w:tc>
        <w:tc>
          <w:tcPr>
            <w:tcW w:w="794" w:type="dxa"/>
            <w:tcBorders>
              <w:top w:val="single" w:sz="6" w:space="0" w:color="auto"/>
              <w:bottom w:val="single" w:sz="12" w:space="0" w:color="auto"/>
            </w:tcBorders>
          </w:tcPr>
          <w:p w14:paraId="25150BF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(13 921)</w:t>
            </w:r>
          </w:p>
        </w:tc>
        <w:tc>
          <w:tcPr>
            <w:tcW w:w="794" w:type="dxa"/>
            <w:tcBorders>
              <w:top w:val="single" w:sz="6" w:space="0" w:color="auto"/>
              <w:bottom w:val="single" w:sz="12" w:space="0" w:color="auto"/>
            </w:tcBorders>
          </w:tcPr>
          <w:p w14:paraId="3377BE1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(3 297)</w:t>
            </w:r>
          </w:p>
        </w:tc>
      </w:tr>
    </w:tbl>
    <w:p w14:paraId="17F83181" w14:textId="77777777" w:rsidR="00346FC5" w:rsidRPr="00351630" w:rsidRDefault="00346FC5" w:rsidP="00346FC5">
      <w:pPr>
        <w:pStyle w:val="Note"/>
      </w:pPr>
      <w:r w:rsidRPr="00351630">
        <w:t>Notes:</w:t>
      </w:r>
    </w:p>
    <w:p w14:paraId="278FE347" w14:textId="77777777" w:rsidR="00346FC5" w:rsidRPr="00351630" w:rsidRDefault="00346FC5" w:rsidP="00346FC5">
      <w:pPr>
        <w:pStyle w:val="Note"/>
      </w:pPr>
      <w:r w:rsidRPr="00351630">
        <w:t>(a)</w:t>
      </w:r>
      <w:r w:rsidRPr="00351630">
        <w:tab/>
        <w:t xml:space="preserve">This is a summary operating statement. The comprehensive operating statement is presented in Budget Paper No. 5, Chapter 2 </w:t>
      </w:r>
      <w:r w:rsidRPr="008139D0">
        <w:rPr>
          <w:i w:val="0"/>
          <w:iCs/>
        </w:rPr>
        <w:t>Supplementary uniform presentation framework tables</w:t>
      </w:r>
      <w:r w:rsidRPr="00351630">
        <w:t xml:space="preserve">. Figures in this table are subject to rounding to the nearest million and may not add up to totals. </w:t>
      </w:r>
    </w:p>
    <w:p w14:paraId="560EE439" w14:textId="77777777" w:rsidR="00346FC5" w:rsidRPr="00351630" w:rsidRDefault="00346FC5" w:rsidP="00346FC5">
      <w:pPr>
        <w:pStyle w:val="Note"/>
      </w:pPr>
      <w:r w:rsidRPr="00351630">
        <w:t>(b)</w:t>
      </w:r>
      <w:r w:rsidRPr="00351630">
        <w:tab/>
        <w:t>Comprises superannuation interest expense and other superannuation expenses.</w:t>
      </w:r>
    </w:p>
    <w:p w14:paraId="145638D9" w14:textId="77777777" w:rsidR="00346FC5" w:rsidRPr="00351630" w:rsidRDefault="00346FC5" w:rsidP="00346FC5"/>
    <w:p w14:paraId="4ACFA403" w14:textId="77777777" w:rsidR="00346FC5" w:rsidRPr="00351630" w:rsidRDefault="00346FC5" w:rsidP="00346FC5">
      <w:r w:rsidRPr="00351630">
        <w:t>PNFC sector total revenue and income from transactions is forecast to remain stable, slowly rising over the budget and forward estimates. This is primarily driven by the progressive increase in sales of goods and services, property sales forecast by Development Victoria and improved revenue estimates for the water authorities. Higher sales of goods and services is offset by reduced grants received for Homes Victoria.</w:t>
      </w:r>
    </w:p>
    <w:p w14:paraId="1AD3F65C" w14:textId="03A2F958" w:rsidR="00346FC5" w:rsidRPr="00351630" w:rsidRDefault="00346FC5" w:rsidP="00346FC5">
      <w:r w:rsidRPr="00351630">
        <w:t>PNFC sector total expenses from transactions is also forecast to remain largely stable over</w:t>
      </w:r>
      <w:r w:rsidR="008139D0">
        <w:t> </w:t>
      </w:r>
      <w:r w:rsidRPr="00351630">
        <w:t xml:space="preserve">the budget and forward estimates period. </w:t>
      </w:r>
    </w:p>
    <w:p w14:paraId="509EF725" w14:textId="77777777" w:rsidR="00346FC5" w:rsidRPr="00351630" w:rsidRDefault="00346FC5" w:rsidP="00346FC5">
      <w:pPr>
        <w:rPr>
          <w:rFonts w:ascii="Garamond" w:hAnsi="Garamond" w:cs="Segoe UI"/>
        </w:rPr>
      </w:pPr>
      <w:r w:rsidRPr="00351630">
        <w:rPr>
          <w:rFonts w:ascii="Garamond" w:hAnsi="Garamond" w:cs="Segoe UI"/>
        </w:rPr>
        <w:t>Overall, the net result from transactions of the PNFC sector is projected to improve from a deficit of $295 million in 2023-24 to a surplus of $114 million in 2026-27. This reflects the sector</w:t>
      </w:r>
      <w:r>
        <w:rPr>
          <w:rFonts w:ascii="Garamond" w:hAnsi="Garamond" w:cs="Segoe UI"/>
        </w:rPr>
        <w:t>’</w:t>
      </w:r>
      <w:r w:rsidRPr="00351630">
        <w:rPr>
          <w:rFonts w:ascii="Garamond" w:hAnsi="Garamond" w:cs="Segoe UI"/>
        </w:rPr>
        <w:t>s and broader economy</w:t>
      </w:r>
      <w:r>
        <w:rPr>
          <w:rFonts w:ascii="Garamond" w:hAnsi="Garamond" w:cs="Segoe UI"/>
        </w:rPr>
        <w:t>’</w:t>
      </w:r>
      <w:r w:rsidRPr="00351630">
        <w:rPr>
          <w:rFonts w:ascii="Garamond" w:hAnsi="Garamond" w:cs="Segoe UI"/>
        </w:rPr>
        <w:t>s recovery from the peak of the COVID-19 pandemic. On average, over the budget and forward estimates, metropolitan water authorities are projected to report an average surplus of $346 million a year.</w:t>
      </w:r>
    </w:p>
    <w:p w14:paraId="7D7C2A78" w14:textId="77777777" w:rsidR="00346FC5" w:rsidRPr="00351630" w:rsidRDefault="00346FC5" w:rsidP="00346FC5">
      <w:pPr>
        <w:rPr>
          <w:rFonts w:ascii="Garamond" w:hAnsi="Garamond" w:cs="Segoe UI"/>
        </w:rPr>
      </w:pPr>
      <w:r w:rsidRPr="00351630">
        <w:t xml:space="preserve">Other economic flows for the PNFC sector largely reflect the derecognition of the rail assets under AASB 16 Leases at nominal value. </w:t>
      </w:r>
      <w:r w:rsidRPr="00351630">
        <w:rPr>
          <w:rStyle w:val="ui-provider"/>
        </w:rPr>
        <w:t xml:space="preserve">Budget Paper No. 5, Chapter 1 </w:t>
      </w:r>
      <w:r w:rsidRPr="00351630">
        <w:rPr>
          <w:rStyle w:val="ui-provider"/>
          <w:iCs/>
        </w:rPr>
        <w:t xml:space="preserve">Estimated Financial Statements </w:t>
      </w:r>
      <w:r w:rsidRPr="00351630">
        <w:rPr>
          <w:rStyle w:val="ui-provider"/>
        </w:rPr>
        <w:t>contains more information on this arrangement. </w:t>
      </w:r>
      <w:r w:rsidRPr="00351630">
        <w:t xml:space="preserve">Other economic flows are expected to be </w:t>
      </w:r>
      <w:r w:rsidRPr="00351630">
        <w:rPr>
          <w:rFonts w:ascii="Garamond" w:hAnsi="Garamond" w:cs="Segoe UI"/>
        </w:rPr>
        <w:t>negative $5.6</w:t>
      </w:r>
      <w:r w:rsidRPr="00351630">
        <w:t> </w:t>
      </w:r>
      <w:r w:rsidRPr="00351630">
        <w:rPr>
          <w:rFonts w:ascii="Garamond" w:hAnsi="Garamond" w:cs="Segoe UI"/>
        </w:rPr>
        <w:t>billion in 2023-24 before improving to $3.4 billion in 2026</w:t>
      </w:r>
      <w:r w:rsidRPr="00351630">
        <w:t>‑</w:t>
      </w:r>
      <w:r w:rsidRPr="00351630">
        <w:rPr>
          <w:rFonts w:ascii="Garamond" w:hAnsi="Garamond" w:cs="Segoe UI"/>
        </w:rPr>
        <w:t>27. Over the budget and forward estimates, other economic flows are expected to average a negative $7.4 billion a year.</w:t>
      </w:r>
    </w:p>
    <w:p w14:paraId="1F762A3E" w14:textId="77777777" w:rsidR="00346FC5" w:rsidRPr="00351630" w:rsidRDefault="00346FC5" w:rsidP="00346FC5">
      <w:pPr>
        <w:pStyle w:val="TableHeading"/>
      </w:pPr>
      <w:r w:rsidRPr="00351630">
        <w:t xml:space="preserve">Table 5.2: </w:t>
      </w:r>
      <w:r w:rsidRPr="00351630">
        <w:tab/>
        <w:t xml:space="preserve">Financial position of the PNFC sector </w:t>
      </w:r>
      <w:r w:rsidRPr="00351630">
        <w:rPr>
          <w:vertAlign w:val="superscript"/>
        </w:rPr>
        <w:t>(a)</w:t>
      </w:r>
      <w:r w:rsidRPr="00351630">
        <w:rPr>
          <w:vertAlign w:val="superscript"/>
        </w:rPr>
        <w:tab/>
      </w:r>
      <w:r w:rsidRPr="00351630">
        <w:t>($ billion)</w:t>
      </w:r>
    </w:p>
    <w:tbl>
      <w:tblPr>
        <w:tblStyle w:val="DTFTableNumeric"/>
        <w:tblW w:w="7710" w:type="dxa"/>
        <w:tblLayout w:type="fixed"/>
        <w:tblLook w:val="06A0" w:firstRow="1" w:lastRow="0" w:firstColumn="1" w:lastColumn="0" w:noHBand="1" w:noVBand="1"/>
        <w:tblDescription w:val="Type:DtfTable|Workbook:https://vicgov.sharepoint.com/sites/msteams_12cfc2/BP2/Chapter%205/Link_BP2-Chapter5.xlsx|Table:PNFC_BS|MergedHeadingRow:1"/>
      </w:tblPr>
      <w:tblGrid>
        <w:gridCol w:w="2946"/>
        <w:gridCol w:w="794"/>
        <w:gridCol w:w="794"/>
        <w:gridCol w:w="794"/>
        <w:gridCol w:w="794"/>
        <w:gridCol w:w="794"/>
        <w:gridCol w:w="794"/>
      </w:tblGrid>
      <w:tr w:rsidR="00346FC5" w:rsidRPr="00351630" w14:paraId="7181A9DA" w14:textId="77777777" w:rsidTr="009835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46" w:type="dxa"/>
          </w:tcPr>
          <w:p w14:paraId="133F4EB0" w14:textId="77777777" w:rsidR="00346FC5" w:rsidRPr="00351630" w:rsidRDefault="00346FC5" w:rsidP="0098354D">
            <w:pPr>
              <w:keepNext/>
            </w:pPr>
          </w:p>
        </w:tc>
        <w:tc>
          <w:tcPr>
            <w:tcW w:w="794" w:type="dxa"/>
          </w:tcPr>
          <w:p w14:paraId="7EBA7852"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2021</w:t>
            </w:r>
            <w:r w:rsidRPr="00351630">
              <w:noBreakHyphen/>
              <w:t>22</w:t>
            </w:r>
            <w:r w:rsidRPr="00351630">
              <w:br/>
              <w:t>actual</w:t>
            </w:r>
          </w:p>
        </w:tc>
        <w:tc>
          <w:tcPr>
            <w:tcW w:w="794" w:type="dxa"/>
          </w:tcPr>
          <w:p w14:paraId="52A6DF71"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2022</w:t>
            </w:r>
            <w:r w:rsidRPr="00351630">
              <w:noBreakHyphen/>
              <w:t>23</w:t>
            </w:r>
            <w:r w:rsidRPr="00351630">
              <w:br/>
              <w:t>revised</w:t>
            </w:r>
          </w:p>
        </w:tc>
        <w:tc>
          <w:tcPr>
            <w:tcW w:w="794" w:type="dxa"/>
          </w:tcPr>
          <w:p w14:paraId="66D6E36A"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2023</w:t>
            </w:r>
            <w:r w:rsidRPr="00351630">
              <w:noBreakHyphen/>
              <w:t>24</w:t>
            </w:r>
            <w:r w:rsidRPr="00351630">
              <w:br/>
              <w:t>budget</w:t>
            </w:r>
          </w:p>
        </w:tc>
        <w:tc>
          <w:tcPr>
            <w:tcW w:w="794" w:type="dxa"/>
          </w:tcPr>
          <w:p w14:paraId="5CDF52E4"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2024</w:t>
            </w:r>
            <w:r w:rsidRPr="00351630">
              <w:noBreakHyphen/>
              <w:t>25</w:t>
            </w:r>
            <w:r w:rsidRPr="00351630">
              <w:br/>
              <w:t>estimate</w:t>
            </w:r>
          </w:p>
        </w:tc>
        <w:tc>
          <w:tcPr>
            <w:tcW w:w="794" w:type="dxa"/>
          </w:tcPr>
          <w:p w14:paraId="7E7BD88E"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2025</w:t>
            </w:r>
            <w:r w:rsidRPr="00351630">
              <w:noBreakHyphen/>
              <w:t>26</w:t>
            </w:r>
            <w:r w:rsidRPr="00351630">
              <w:br/>
              <w:t>estimate</w:t>
            </w:r>
          </w:p>
        </w:tc>
        <w:tc>
          <w:tcPr>
            <w:tcW w:w="794" w:type="dxa"/>
          </w:tcPr>
          <w:p w14:paraId="702FB6B8"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2026</w:t>
            </w:r>
            <w:r w:rsidRPr="00351630">
              <w:noBreakHyphen/>
              <w:t>27</w:t>
            </w:r>
            <w:r w:rsidRPr="00351630">
              <w:br/>
              <w:t>estimate</w:t>
            </w:r>
          </w:p>
        </w:tc>
      </w:tr>
      <w:tr w:rsidR="00346FC5" w:rsidRPr="00351630" w14:paraId="627A5D53"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165DF786" w14:textId="77777777" w:rsidR="00346FC5" w:rsidRPr="00351630" w:rsidRDefault="00346FC5" w:rsidP="0098354D">
            <w:r w:rsidRPr="00351630">
              <w:rPr>
                <w:b/>
              </w:rPr>
              <w:t>Assets</w:t>
            </w:r>
          </w:p>
        </w:tc>
        <w:tc>
          <w:tcPr>
            <w:tcW w:w="794" w:type="dxa"/>
          </w:tcPr>
          <w:p w14:paraId="2DED95B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0E96472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3633A42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762DBDA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53D21DD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3ED091E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rsidRPr="00351630" w14:paraId="0B4B4BCC"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0B5B3683" w14:textId="77777777" w:rsidR="00346FC5" w:rsidRPr="00351630" w:rsidRDefault="00346FC5" w:rsidP="0098354D">
            <w:r w:rsidRPr="00351630">
              <w:t>Total financial assets</w:t>
            </w:r>
            <w:r w:rsidRPr="00351630">
              <w:rPr>
                <w:vertAlign w:val="superscript"/>
              </w:rPr>
              <w:t xml:space="preserve"> (b)</w:t>
            </w:r>
          </w:p>
        </w:tc>
        <w:tc>
          <w:tcPr>
            <w:tcW w:w="794" w:type="dxa"/>
          </w:tcPr>
          <w:p w14:paraId="4546EEA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4.9</w:t>
            </w:r>
          </w:p>
        </w:tc>
        <w:tc>
          <w:tcPr>
            <w:tcW w:w="794" w:type="dxa"/>
          </w:tcPr>
          <w:p w14:paraId="4D3E0C7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3.7</w:t>
            </w:r>
          </w:p>
        </w:tc>
        <w:tc>
          <w:tcPr>
            <w:tcW w:w="794" w:type="dxa"/>
          </w:tcPr>
          <w:p w14:paraId="60718AA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3.3</w:t>
            </w:r>
          </w:p>
        </w:tc>
        <w:tc>
          <w:tcPr>
            <w:tcW w:w="794" w:type="dxa"/>
          </w:tcPr>
          <w:p w14:paraId="7EE1C6F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3.1</w:t>
            </w:r>
          </w:p>
        </w:tc>
        <w:tc>
          <w:tcPr>
            <w:tcW w:w="794" w:type="dxa"/>
          </w:tcPr>
          <w:p w14:paraId="369AF3C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3.2</w:t>
            </w:r>
          </w:p>
        </w:tc>
        <w:tc>
          <w:tcPr>
            <w:tcW w:w="794" w:type="dxa"/>
          </w:tcPr>
          <w:p w14:paraId="71880C4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3.3</w:t>
            </w:r>
          </w:p>
        </w:tc>
      </w:tr>
      <w:tr w:rsidR="00346FC5" w:rsidRPr="00351630" w14:paraId="3EE16DDD"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62A7827C" w14:textId="77777777" w:rsidR="00346FC5" w:rsidRPr="00351630" w:rsidRDefault="00346FC5" w:rsidP="0098354D">
            <w:r w:rsidRPr="00351630">
              <w:t>Total non</w:t>
            </w:r>
            <w:r w:rsidRPr="00351630">
              <w:noBreakHyphen/>
              <w:t>financial assets</w:t>
            </w:r>
            <w:r w:rsidRPr="00351630">
              <w:rPr>
                <w:vertAlign w:val="superscript"/>
              </w:rPr>
              <w:t xml:space="preserve"> (c)</w:t>
            </w:r>
          </w:p>
        </w:tc>
        <w:tc>
          <w:tcPr>
            <w:tcW w:w="794" w:type="dxa"/>
            <w:tcBorders>
              <w:bottom w:val="single" w:sz="6" w:space="0" w:color="auto"/>
            </w:tcBorders>
          </w:tcPr>
          <w:p w14:paraId="4F45C3C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113.9</w:t>
            </w:r>
          </w:p>
        </w:tc>
        <w:tc>
          <w:tcPr>
            <w:tcW w:w="794" w:type="dxa"/>
            <w:tcBorders>
              <w:bottom w:val="single" w:sz="6" w:space="0" w:color="auto"/>
            </w:tcBorders>
          </w:tcPr>
          <w:p w14:paraId="4274CFB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119.8</w:t>
            </w:r>
          </w:p>
        </w:tc>
        <w:tc>
          <w:tcPr>
            <w:tcW w:w="794" w:type="dxa"/>
            <w:tcBorders>
              <w:bottom w:val="single" w:sz="6" w:space="0" w:color="auto"/>
            </w:tcBorders>
          </w:tcPr>
          <w:p w14:paraId="16513CD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126.0</w:t>
            </w:r>
          </w:p>
        </w:tc>
        <w:tc>
          <w:tcPr>
            <w:tcW w:w="794" w:type="dxa"/>
            <w:tcBorders>
              <w:bottom w:val="single" w:sz="6" w:space="0" w:color="auto"/>
            </w:tcBorders>
          </w:tcPr>
          <w:p w14:paraId="459858D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131.7</w:t>
            </w:r>
          </w:p>
        </w:tc>
        <w:tc>
          <w:tcPr>
            <w:tcW w:w="794" w:type="dxa"/>
            <w:tcBorders>
              <w:bottom w:val="single" w:sz="6" w:space="0" w:color="auto"/>
            </w:tcBorders>
          </w:tcPr>
          <w:p w14:paraId="00948A7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137.7</w:t>
            </w:r>
          </w:p>
        </w:tc>
        <w:tc>
          <w:tcPr>
            <w:tcW w:w="794" w:type="dxa"/>
            <w:tcBorders>
              <w:bottom w:val="single" w:sz="6" w:space="0" w:color="auto"/>
            </w:tcBorders>
          </w:tcPr>
          <w:p w14:paraId="5D91D69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142.6</w:t>
            </w:r>
          </w:p>
        </w:tc>
      </w:tr>
      <w:tr w:rsidR="00346FC5" w:rsidRPr="00351630" w14:paraId="45E38967"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tcBorders>
          </w:tcPr>
          <w:p w14:paraId="69409FE2" w14:textId="77777777" w:rsidR="00346FC5" w:rsidRPr="00351630" w:rsidRDefault="00346FC5" w:rsidP="0098354D">
            <w:r w:rsidRPr="00351630">
              <w:rPr>
                <w:b/>
              </w:rPr>
              <w:t>Total assets</w:t>
            </w:r>
          </w:p>
        </w:tc>
        <w:tc>
          <w:tcPr>
            <w:tcW w:w="794" w:type="dxa"/>
            <w:tcBorders>
              <w:top w:val="single" w:sz="6" w:space="0" w:color="auto"/>
            </w:tcBorders>
          </w:tcPr>
          <w:p w14:paraId="6F4290D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118.7</w:t>
            </w:r>
          </w:p>
        </w:tc>
        <w:tc>
          <w:tcPr>
            <w:tcW w:w="794" w:type="dxa"/>
            <w:tcBorders>
              <w:top w:val="single" w:sz="6" w:space="0" w:color="auto"/>
            </w:tcBorders>
          </w:tcPr>
          <w:p w14:paraId="67BA9B7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123.5</w:t>
            </w:r>
          </w:p>
        </w:tc>
        <w:tc>
          <w:tcPr>
            <w:tcW w:w="794" w:type="dxa"/>
            <w:tcBorders>
              <w:top w:val="single" w:sz="6" w:space="0" w:color="auto"/>
            </w:tcBorders>
          </w:tcPr>
          <w:p w14:paraId="7CEAC95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129.3</w:t>
            </w:r>
          </w:p>
        </w:tc>
        <w:tc>
          <w:tcPr>
            <w:tcW w:w="794" w:type="dxa"/>
            <w:tcBorders>
              <w:top w:val="single" w:sz="6" w:space="0" w:color="auto"/>
            </w:tcBorders>
          </w:tcPr>
          <w:p w14:paraId="563A254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134.8</w:t>
            </w:r>
          </w:p>
        </w:tc>
        <w:tc>
          <w:tcPr>
            <w:tcW w:w="794" w:type="dxa"/>
            <w:tcBorders>
              <w:top w:val="single" w:sz="6" w:space="0" w:color="auto"/>
            </w:tcBorders>
          </w:tcPr>
          <w:p w14:paraId="0FB4202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140.9</w:t>
            </w:r>
          </w:p>
        </w:tc>
        <w:tc>
          <w:tcPr>
            <w:tcW w:w="794" w:type="dxa"/>
            <w:tcBorders>
              <w:top w:val="single" w:sz="6" w:space="0" w:color="auto"/>
            </w:tcBorders>
          </w:tcPr>
          <w:p w14:paraId="0C4172F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145.9</w:t>
            </w:r>
          </w:p>
        </w:tc>
      </w:tr>
      <w:tr w:rsidR="00346FC5" w:rsidRPr="00351630" w14:paraId="05C2BC5C"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451B05F1" w14:textId="77777777" w:rsidR="00346FC5" w:rsidRPr="00351630" w:rsidRDefault="00346FC5" w:rsidP="0098354D">
            <w:r w:rsidRPr="00351630">
              <w:rPr>
                <w:b/>
              </w:rPr>
              <w:t>Liabilities</w:t>
            </w:r>
          </w:p>
        </w:tc>
        <w:tc>
          <w:tcPr>
            <w:tcW w:w="794" w:type="dxa"/>
          </w:tcPr>
          <w:p w14:paraId="38BFBA0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2E4F8ED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3D274C6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27AA1EA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44659D7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0957BB8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rsidRPr="00351630" w14:paraId="5296766B"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1AC0C860" w14:textId="77777777" w:rsidR="00346FC5" w:rsidRPr="00351630" w:rsidRDefault="00346FC5" w:rsidP="0098354D">
            <w:r w:rsidRPr="00351630">
              <w:t>Borrowings</w:t>
            </w:r>
          </w:p>
        </w:tc>
        <w:tc>
          <w:tcPr>
            <w:tcW w:w="794" w:type="dxa"/>
          </w:tcPr>
          <w:p w14:paraId="70D3D22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19.3</w:t>
            </w:r>
          </w:p>
        </w:tc>
        <w:tc>
          <w:tcPr>
            <w:tcW w:w="794" w:type="dxa"/>
          </w:tcPr>
          <w:p w14:paraId="0931323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22.2</w:t>
            </w:r>
          </w:p>
        </w:tc>
        <w:tc>
          <w:tcPr>
            <w:tcW w:w="794" w:type="dxa"/>
          </w:tcPr>
          <w:p w14:paraId="3F60A6D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24.8</w:t>
            </w:r>
          </w:p>
        </w:tc>
        <w:tc>
          <w:tcPr>
            <w:tcW w:w="794" w:type="dxa"/>
          </w:tcPr>
          <w:p w14:paraId="79ECB8A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27.1</w:t>
            </w:r>
          </w:p>
        </w:tc>
        <w:tc>
          <w:tcPr>
            <w:tcW w:w="794" w:type="dxa"/>
          </w:tcPr>
          <w:p w14:paraId="0973D96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29.1</w:t>
            </w:r>
          </w:p>
        </w:tc>
        <w:tc>
          <w:tcPr>
            <w:tcW w:w="794" w:type="dxa"/>
          </w:tcPr>
          <w:p w14:paraId="3C66E61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31.7</w:t>
            </w:r>
          </w:p>
        </w:tc>
      </w:tr>
      <w:tr w:rsidR="00346FC5" w:rsidRPr="00351630" w14:paraId="352D4C28"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7149D430" w14:textId="77777777" w:rsidR="00346FC5" w:rsidRPr="00351630" w:rsidRDefault="00346FC5" w:rsidP="0098354D">
            <w:r w:rsidRPr="00351630">
              <w:t>Other provisions</w:t>
            </w:r>
          </w:p>
        </w:tc>
        <w:tc>
          <w:tcPr>
            <w:tcW w:w="794" w:type="dxa"/>
          </w:tcPr>
          <w:p w14:paraId="385E362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9.7</w:t>
            </w:r>
          </w:p>
        </w:tc>
        <w:tc>
          <w:tcPr>
            <w:tcW w:w="794" w:type="dxa"/>
          </w:tcPr>
          <w:p w14:paraId="1150C57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9.6</w:t>
            </w:r>
          </w:p>
        </w:tc>
        <w:tc>
          <w:tcPr>
            <w:tcW w:w="794" w:type="dxa"/>
          </w:tcPr>
          <w:p w14:paraId="62B5639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9.5</w:t>
            </w:r>
          </w:p>
        </w:tc>
        <w:tc>
          <w:tcPr>
            <w:tcW w:w="794" w:type="dxa"/>
          </w:tcPr>
          <w:p w14:paraId="63BB6D0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9.4</w:t>
            </w:r>
          </w:p>
        </w:tc>
        <w:tc>
          <w:tcPr>
            <w:tcW w:w="794" w:type="dxa"/>
          </w:tcPr>
          <w:p w14:paraId="2851999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9.7</w:t>
            </w:r>
          </w:p>
        </w:tc>
        <w:tc>
          <w:tcPr>
            <w:tcW w:w="794" w:type="dxa"/>
          </w:tcPr>
          <w:p w14:paraId="5D7D90E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9.6</w:t>
            </w:r>
          </w:p>
        </w:tc>
      </w:tr>
      <w:tr w:rsidR="00346FC5" w:rsidRPr="00351630" w14:paraId="41683A32"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25CF6AA2" w14:textId="77777777" w:rsidR="00346FC5" w:rsidRPr="00351630" w:rsidRDefault="00346FC5" w:rsidP="0098354D">
            <w:r w:rsidRPr="00351630">
              <w:t xml:space="preserve">Other liabilities </w:t>
            </w:r>
            <w:r w:rsidRPr="00351630">
              <w:rPr>
                <w:vertAlign w:val="superscript"/>
              </w:rPr>
              <w:t>(d)</w:t>
            </w:r>
          </w:p>
        </w:tc>
        <w:tc>
          <w:tcPr>
            <w:tcW w:w="794" w:type="dxa"/>
            <w:tcBorders>
              <w:bottom w:val="single" w:sz="6" w:space="0" w:color="auto"/>
            </w:tcBorders>
          </w:tcPr>
          <w:p w14:paraId="213A830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12.0</w:t>
            </w:r>
          </w:p>
        </w:tc>
        <w:tc>
          <w:tcPr>
            <w:tcW w:w="794" w:type="dxa"/>
            <w:tcBorders>
              <w:bottom w:val="single" w:sz="6" w:space="0" w:color="auto"/>
            </w:tcBorders>
          </w:tcPr>
          <w:p w14:paraId="5CC048A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12.1</w:t>
            </w:r>
          </w:p>
        </w:tc>
        <w:tc>
          <w:tcPr>
            <w:tcW w:w="794" w:type="dxa"/>
            <w:tcBorders>
              <w:bottom w:val="single" w:sz="6" w:space="0" w:color="auto"/>
            </w:tcBorders>
          </w:tcPr>
          <w:p w14:paraId="57B0FF1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13.6</w:t>
            </w:r>
          </w:p>
        </w:tc>
        <w:tc>
          <w:tcPr>
            <w:tcW w:w="794" w:type="dxa"/>
            <w:tcBorders>
              <w:bottom w:val="single" w:sz="6" w:space="0" w:color="auto"/>
            </w:tcBorders>
          </w:tcPr>
          <w:p w14:paraId="3C372B4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13.5</w:t>
            </w:r>
          </w:p>
        </w:tc>
        <w:tc>
          <w:tcPr>
            <w:tcW w:w="794" w:type="dxa"/>
            <w:tcBorders>
              <w:bottom w:val="single" w:sz="6" w:space="0" w:color="auto"/>
            </w:tcBorders>
          </w:tcPr>
          <w:p w14:paraId="2B847B1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13.4</w:t>
            </w:r>
          </w:p>
        </w:tc>
        <w:tc>
          <w:tcPr>
            <w:tcW w:w="794" w:type="dxa"/>
            <w:tcBorders>
              <w:bottom w:val="single" w:sz="6" w:space="0" w:color="auto"/>
            </w:tcBorders>
          </w:tcPr>
          <w:p w14:paraId="1474017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13.5</w:t>
            </w:r>
          </w:p>
        </w:tc>
      </w:tr>
      <w:tr w:rsidR="00346FC5" w:rsidRPr="00351630" w14:paraId="05462333"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6" w:space="0" w:color="auto"/>
            </w:tcBorders>
          </w:tcPr>
          <w:p w14:paraId="568D6A74" w14:textId="77777777" w:rsidR="00346FC5" w:rsidRPr="00351630" w:rsidRDefault="00346FC5" w:rsidP="0098354D">
            <w:r w:rsidRPr="00351630">
              <w:rPr>
                <w:b/>
              </w:rPr>
              <w:t>Total liabilities</w:t>
            </w:r>
          </w:p>
        </w:tc>
        <w:tc>
          <w:tcPr>
            <w:tcW w:w="794" w:type="dxa"/>
            <w:tcBorders>
              <w:top w:val="single" w:sz="6" w:space="0" w:color="auto"/>
              <w:bottom w:val="single" w:sz="6" w:space="0" w:color="auto"/>
            </w:tcBorders>
          </w:tcPr>
          <w:p w14:paraId="0A39B94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41.0</w:t>
            </w:r>
          </w:p>
        </w:tc>
        <w:tc>
          <w:tcPr>
            <w:tcW w:w="794" w:type="dxa"/>
            <w:tcBorders>
              <w:top w:val="single" w:sz="6" w:space="0" w:color="auto"/>
              <w:bottom w:val="single" w:sz="6" w:space="0" w:color="auto"/>
            </w:tcBorders>
          </w:tcPr>
          <w:p w14:paraId="6385000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43.9</w:t>
            </w:r>
          </w:p>
        </w:tc>
        <w:tc>
          <w:tcPr>
            <w:tcW w:w="794" w:type="dxa"/>
            <w:tcBorders>
              <w:top w:val="single" w:sz="6" w:space="0" w:color="auto"/>
              <w:bottom w:val="single" w:sz="6" w:space="0" w:color="auto"/>
            </w:tcBorders>
          </w:tcPr>
          <w:p w14:paraId="005DF6D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47.9</w:t>
            </w:r>
          </w:p>
        </w:tc>
        <w:tc>
          <w:tcPr>
            <w:tcW w:w="794" w:type="dxa"/>
            <w:tcBorders>
              <w:top w:val="single" w:sz="6" w:space="0" w:color="auto"/>
              <w:bottom w:val="single" w:sz="6" w:space="0" w:color="auto"/>
            </w:tcBorders>
          </w:tcPr>
          <w:p w14:paraId="2FD34CB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49.9</w:t>
            </w:r>
          </w:p>
        </w:tc>
        <w:tc>
          <w:tcPr>
            <w:tcW w:w="794" w:type="dxa"/>
            <w:tcBorders>
              <w:top w:val="single" w:sz="6" w:space="0" w:color="auto"/>
              <w:bottom w:val="single" w:sz="6" w:space="0" w:color="auto"/>
            </w:tcBorders>
          </w:tcPr>
          <w:p w14:paraId="5833655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52.2</w:t>
            </w:r>
          </w:p>
        </w:tc>
        <w:tc>
          <w:tcPr>
            <w:tcW w:w="794" w:type="dxa"/>
            <w:tcBorders>
              <w:top w:val="single" w:sz="6" w:space="0" w:color="auto"/>
              <w:bottom w:val="single" w:sz="6" w:space="0" w:color="auto"/>
            </w:tcBorders>
          </w:tcPr>
          <w:p w14:paraId="46C4C1A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54.8</w:t>
            </w:r>
          </w:p>
        </w:tc>
      </w:tr>
      <w:tr w:rsidR="00346FC5" w:rsidRPr="00351630" w14:paraId="04EA8E6D"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12" w:space="0" w:color="auto"/>
            </w:tcBorders>
          </w:tcPr>
          <w:p w14:paraId="6EC114D8" w14:textId="77777777" w:rsidR="00346FC5" w:rsidRPr="00351630" w:rsidRDefault="00346FC5" w:rsidP="0098354D">
            <w:r w:rsidRPr="00351630">
              <w:rPr>
                <w:b/>
              </w:rPr>
              <w:t>Net assets</w:t>
            </w:r>
          </w:p>
        </w:tc>
        <w:tc>
          <w:tcPr>
            <w:tcW w:w="794" w:type="dxa"/>
            <w:tcBorders>
              <w:top w:val="single" w:sz="6" w:space="0" w:color="auto"/>
              <w:bottom w:val="single" w:sz="12" w:space="0" w:color="auto"/>
            </w:tcBorders>
          </w:tcPr>
          <w:p w14:paraId="0049A0F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77.7</w:t>
            </w:r>
          </w:p>
        </w:tc>
        <w:tc>
          <w:tcPr>
            <w:tcW w:w="794" w:type="dxa"/>
            <w:tcBorders>
              <w:top w:val="single" w:sz="6" w:space="0" w:color="auto"/>
              <w:bottom w:val="single" w:sz="12" w:space="0" w:color="auto"/>
            </w:tcBorders>
          </w:tcPr>
          <w:p w14:paraId="23B0552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79.5</w:t>
            </w:r>
          </w:p>
        </w:tc>
        <w:tc>
          <w:tcPr>
            <w:tcW w:w="794" w:type="dxa"/>
            <w:tcBorders>
              <w:top w:val="single" w:sz="6" w:space="0" w:color="auto"/>
              <w:bottom w:val="single" w:sz="12" w:space="0" w:color="auto"/>
            </w:tcBorders>
          </w:tcPr>
          <w:p w14:paraId="3EBEBE7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81.4</w:t>
            </w:r>
          </w:p>
        </w:tc>
        <w:tc>
          <w:tcPr>
            <w:tcW w:w="794" w:type="dxa"/>
            <w:tcBorders>
              <w:top w:val="single" w:sz="6" w:space="0" w:color="auto"/>
              <w:bottom w:val="single" w:sz="12" w:space="0" w:color="auto"/>
            </w:tcBorders>
          </w:tcPr>
          <w:p w14:paraId="369CA2A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84.9</w:t>
            </w:r>
          </w:p>
        </w:tc>
        <w:tc>
          <w:tcPr>
            <w:tcW w:w="794" w:type="dxa"/>
            <w:tcBorders>
              <w:top w:val="single" w:sz="6" w:space="0" w:color="auto"/>
              <w:bottom w:val="single" w:sz="12" w:space="0" w:color="auto"/>
            </w:tcBorders>
          </w:tcPr>
          <w:p w14:paraId="3219DEC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88.7</w:t>
            </w:r>
          </w:p>
        </w:tc>
        <w:tc>
          <w:tcPr>
            <w:tcW w:w="794" w:type="dxa"/>
            <w:tcBorders>
              <w:top w:val="single" w:sz="6" w:space="0" w:color="auto"/>
              <w:bottom w:val="single" w:sz="12" w:space="0" w:color="auto"/>
            </w:tcBorders>
          </w:tcPr>
          <w:p w14:paraId="2585466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91.1</w:t>
            </w:r>
          </w:p>
        </w:tc>
      </w:tr>
    </w:tbl>
    <w:p w14:paraId="35669722" w14:textId="77777777" w:rsidR="00346FC5" w:rsidRPr="00351630" w:rsidRDefault="00346FC5" w:rsidP="00346FC5">
      <w:pPr>
        <w:pStyle w:val="Note"/>
      </w:pPr>
      <w:r w:rsidRPr="00351630">
        <w:t>Notes:</w:t>
      </w:r>
    </w:p>
    <w:p w14:paraId="3BC0BB49" w14:textId="77777777" w:rsidR="00346FC5" w:rsidRPr="00351630" w:rsidRDefault="00346FC5" w:rsidP="00346FC5">
      <w:pPr>
        <w:pStyle w:val="Note"/>
      </w:pPr>
      <w:r w:rsidRPr="00351630">
        <w:t>(a)</w:t>
      </w:r>
      <w:r w:rsidRPr="00351630">
        <w:tab/>
        <w:t>Figures in this table are subject to rounding to the nearest million and may not add up to totals.</w:t>
      </w:r>
    </w:p>
    <w:p w14:paraId="6BDDA161" w14:textId="77777777" w:rsidR="00346FC5" w:rsidRPr="00351630" w:rsidRDefault="00346FC5" w:rsidP="00346FC5">
      <w:pPr>
        <w:pStyle w:val="Note"/>
      </w:pPr>
      <w:r w:rsidRPr="00351630">
        <w:t>(b)</w:t>
      </w:r>
      <w:r w:rsidRPr="00351630">
        <w:tab/>
        <w:t>Financial assets include cash and deposits, advances paid, investments, loans and placements, receivables, and investments accounted for using the equity method.</w:t>
      </w:r>
    </w:p>
    <w:p w14:paraId="3084F97B" w14:textId="77777777" w:rsidR="00346FC5" w:rsidRPr="00351630" w:rsidRDefault="00346FC5" w:rsidP="00346FC5">
      <w:pPr>
        <w:pStyle w:val="Note"/>
      </w:pPr>
      <w:r w:rsidRPr="00351630">
        <w:t>(c)</w:t>
      </w:r>
      <w:r w:rsidRPr="00351630">
        <w:tab/>
        <w:t>Land, buildings, infrastructure, plant and equipment, and other non</w:t>
      </w:r>
      <w:r w:rsidRPr="00351630">
        <w:noBreakHyphen/>
        <w:t>financial assets.</w:t>
      </w:r>
    </w:p>
    <w:p w14:paraId="7863A53E" w14:textId="77777777" w:rsidR="00346FC5" w:rsidRPr="00351630" w:rsidRDefault="00346FC5" w:rsidP="00346FC5">
      <w:pPr>
        <w:pStyle w:val="Note"/>
      </w:pPr>
      <w:r w:rsidRPr="00351630">
        <w:t>(d)</w:t>
      </w:r>
      <w:r w:rsidRPr="00351630">
        <w:tab/>
        <w:t xml:space="preserve">Other liabilities consist of payables, employee benefits, deposits held and advances received. </w:t>
      </w:r>
    </w:p>
    <w:p w14:paraId="21C73941" w14:textId="77777777" w:rsidR="00346FC5" w:rsidRPr="00351630" w:rsidRDefault="00346FC5" w:rsidP="00346FC5">
      <w:pPr>
        <w:spacing w:before="80"/>
        <w:ind w:right="56"/>
      </w:pPr>
    </w:p>
    <w:p w14:paraId="72EC44A8" w14:textId="3D7810CE" w:rsidR="00346FC5" w:rsidRPr="00351630" w:rsidRDefault="00346FC5" w:rsidP="00346FC5">
      <w:r w:rsidRPr="00351630">
        <w:t>The PNFC sector is projected to report a net asset position of $81.4 billion in 2023-24, before increasing to $91.1 billion in 2026-27. This is primarily due to capital investment to be undertaken by the metro water authorities, the State Tolling Corporation and Homes Victoria. The increase in total assets is partly offset by an increase in borrowings to fund a</w:t>
      </w:r>
      <w:r w:rsidR="008139D0">
        <w:t> </w:t>
      </w:r>
      <w:r w:rsidRPr="00351630">
        <w:t>high proportion of the capital works to be undertaken by the water authorities and progressive recognition of the service concession liability for the State Tolling Corporation as part of the North East Link project.</w:t>
      </w:r>
    </w:p>
    <w:p w14:paraId="6D12DD43" w14:textId="77777777" w:rsidR="00346FC5" w:rsidRPr="00351630" w:rsidRDefault="00346FC5" w:rsidP="00346FC5">
      <w:pPr>
        <w:keepLines w:val="0"/>
        <w:rPr>
          <w:rFonts w:asciiTheme="majorHAnsi" w:eastAsiaTheme="majorEastAsia" w:hAnsiTheme="majorHAnsi" w:cstheme="majorBidi"/>
          <w:b/>
          <w:caps/>
          <w:sz w:val="27"/>
          <w:szCs w:val="32"/>
        </w:rPr>
      </w:pPr>
      <w:bookmarkStart w:id="66" w:name="_Toc71709742"/>
      <w:bookmarkStart w:id="67" w:name="_Toc101972160"/>
      <w:r w:rsidRPr="00351630">
        <w:br w:type="page"/>
      </w:r>
    </w:p>
    <w:p w14:paraId="07BF337A" w14:textId="6F4056F3" w:rsidR="00346FC5" w:rsidRPr="00346FC5" w:rsidRDefault="00346FC5" w:rsidP="00346FC5">
      <w:pPr>
        <w:pStyle w:val="Heading10"/>
      </w:pPr>
      <w:bookmarkStart w:id="68" w:name="_Toc135331258"/>
      <w:r w:rsidRPr="00346FC5">
        <w:t>Non-financial public sector</w:t>
      </w:r>
      <w:bookmarkEnd w:id="66"/>
      <w:bookmarkEnd w:id="67"/>
      <w:bookmarkEnd w:id="68"/>
    </w:p>
    <w:p w14:paraId="4D268498" w14:textId="77777777" w:rsidR="00346FC5" w:rsidRPr="00351630" w:rsidRDefault="00346FC5" w:rsidP="00346FC5">
      <w:r w:rsidRPr="00351630">
        <w:t>This section provides a summary of the key performance indicators for the NFPS by combining the PNFC sector and the general government sector, noting that adjustments are made for transactions between the two sectors.</w:t>
      </w:r>
    </w:p>
    <w:p w14:paraId="59B99AAD" w14:textId="77777777" w:rsidR="00346FC5" w:rsidRPr="00351630" w:rsidRDefault="00346FC5" w:rsidP="00346FC5">
      <w:r w:rsidRPr="00351630">
        <w:t>The net result from transactions of the NFPS is forecast to be a deficit of $</w:t>
      </w:r>
      <w:r w:rsidRPr="00351630" w:rsidDel="000D372C">
        <w:t>5.</w:t>
      </w:r>
      <w:r w:rsidRPr="00351630">
        <w:t>5 billion in 2023-24, improving to a deficit of $109 million in 2026-27. This improvement is largely driven by the general government sector for which the net result from transactions is forecast to improve from a deficit of $4 billion in 2023-24 to a surplus of $1.2 billion in 2026-27 due to revenue, on average, growing at a faster rate than expenditure over the budget and forward estimates.</w:t>
      </w:r>
    </w:p>
    <w:p w14:paraId="406FC86C" w14:textId="77777777" w:rsidR="00346FC5" w:rsidRPr="00351630" w:rsidRDefault="00346FC5" w:rsidP="00346FC5">
      <w:pPr>
        <w:pStyle w:val="TableHeading"/>
        <w:ind w:left="1140" w:hanging="1140"/>
      </w:pPr>
      <w:r w:rsidRPr="00351630">
        <w:t xml:space="preserve">Table 5.3: </w:t>
      </w:r>
      <w:r w:rsidRPr="00351630">
        <w:tab/>
        <w:t xml:space="preserve">Summary operating statement for the non-financial public sector </w:t>
      </w:r>
      <w:r w:rsidRPr="00351630">
        <w:rPr>
          <w:vertAlign w:val="superscript"/>
        </w:rPr>
        <w:t>(a)</w:t>
      </w:r>
      <w:r w:rsidRPr="00351630">
        <w:tab/>
        <w:t>($ million)</w:t>
      </w:r>
    </w:p>
    <w:tbl>
      <w:tblPr>
        <w:tblStyle w:val="DTFTableNumeric"/>
        <w:tblW w:w="7710" w:type="dxa"/>
        <w:tblLayout w:type="fixed"/>
        <w:tblLook w:val="06A0" w:firstRow="1" w:lastRow="0" w:firstColumn="1" w:lastColumn="0" w:noHBand="1" w:noVBand="1"/>
        <w:tblDescription w:val="Type:DtfTable|Workbook:https://vicgov.sharepoint.com/sites/msteams_12cfc2/BP2/Chapter%205/Link_BP2-Chapter5.xlsx|Table:NFPS_OS|MergedHeadingRow:1"/>
      </w:tblPr>
      <w:tblGrid>
        <w:gridCol w:w="2946"/>
        <w:gridCol w:w="794"/>
        <w:gridCol w:w="794"/>
        <w:gridCol w:w="794"/>
        <w:gridCol w:w="794"/>
        <w:gridCol w:w="794"/>
        <w:gridCol w:w="794"/>
      </w:tblGrid>
      <w:tr w:rsidR="00346FC5" w:rsidRPr="00351630" w14:paraId="3986ECA8" w14:textId="77777777" w:rsidTr="009835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46" w:type="dxa"/>
          </w:tcPr>
          <w:p w14:paraId="1B68AE74" w14:textId="77777777" w:rsidR="00346FC5" w:rsidRPr="00351630" w:rsidRDefault="00346FC5" w:rsidP="0098354D">
            <w:pPr>
              <w:keepNext/>
            </w:pPr>
          </w:p>
        </w:tc>
        <w:tc>
          <w:tcPr>
            <w:tcW w:w="794" w:type="dxa"/>
          </w:tcPr>
          <w:p w14:paraId="19F95C1A"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2021</w:t>
            </w:r>
            <w:r w:rsidRPr="00351630">
              <w:noBreakHyphen/>
              <w:t>22</w:t>
            </w:r>
            <w:r w:rsidRPr="00351630">
              <w:br/>
              <w:t>actual</w:t>
            </w:r>
          </w:p>
        </w:tc>
        <w:tc>
          <w:tcPr>
            <w:tcW w:w="794" w:type="dxa"/>
          </w:tcPr>
          <w:p w14:paraId="0E4F219F"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2022</w:t>
            </w:r>
            <w:r w:rsidRPr="00351630">
              <w:noBreakHyphen/>
              <w:t>23</w:t>
            </w:r>
            <w:r w:rsidRPr="00351630">
              <w:br/>
              <w:t>revised</w:t>
            </w:r>
          </w:p>
        </w:tc>
        <w:tc>
          <w:tcPr>
            <w:tcW w:w="794" w:type="dxa"/>
          </w:tcPr>
          <w:p w14:paraId="0CC991E1"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2023</w:t>
            </w:r>
            <w:r w:rsidRPr="00351630">
              <w:noBreakHyphen/>
              <w:t>24</w:t>
            </w:r>
            <w:r w:rsidRPr="00351630">
              <w:br/>
              <w:t>budget</w:t>
            </w:r>
          </w:p>
        </w:tc>
        <w:tc>
          <w:tcPr>
            <w:tcW w:w="794" w:type="dxa"/>
          </w:tcPr>
          <w:p w14:paraId="2BEE124C"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2024</w:t>
            </w:r>
            <w:r w:rsidRPr="00351630">
              <w:noBreakHyphen/>
              <w:t>25</w:t>
            </w:r>
            <w:r w:rsidRPr="00351630">
              <w:br/>
              <w:t>estimate</w:t>
            </w:r>
          </w:p>
        </w:tc>
        <w:tc>
          <w:tcPr>
            <w:tcW w:w="794" w:type="dxa"/>
          </w:tcPr>
          <w:p w14:paraId="6740B1DE"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2025</w:t>
            </w:r>
            <w:r w:rsidRPr="00351630">
              <w:noBreakHyphen/>
              <w:t>26</w:t>
            </w:r>
            <w:r w:rsidRPr="00351630">
              <w:br/>
              <w:t>estimate</w:t>
            </w:r>
          </w:p>
        </w:tc>
        <w:tc>
          <w:tcPr>
            <w:tcW w:w="794" w:type="dxa"/>
          </w:tcPr>
          <w:p w14:paraId="37F47DB2"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2026</w:t>
            </w:r>
            <w:r w:rsidRPr="00351630">
              <w:noBreakHyphen/>
              <w:t>27</w:t>
            </w:r>
            <w:r w:rsidRPr="00351630">
              <w:br/>
              <w:t>estimate</w:t>
            </w:r>
          </w:p>
        </w:tc>
      </w:tr>
      <w:tr w:rsidR="00346FC5" w:rsidRPr="00351630" w14:paraId="484CE5FA"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0831BE74" w14:textId="77777777" w:rsidR="00346FC5" w:rsidRPr="00351630" w:rsidRDefault="00346FC5" w:rsidP="0098354D">
            <w:r w:rsidRPr="00351630">
              <w:rPr>
                <w:b/>
              </w:rPr>
              <w:t>Revenue and income from transactions</w:t>
            </w:r>
          </w:p>
        </w:tc>
        <w:tc>
          <w:tcPr>
            <w:tcW w:w="794" w:type="dxa"/>
          </w:tcPr>
          <w:p w14:paraId="77641E5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56EBC96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2E9AC62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02B03CB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3E1689C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01AF975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rsidRPr="00351630" w14:paraId="2CC6DB9D"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491F82B6" w14:textId="77777777" w:rsidR="00346FC5" w:rsidRPr="00351630" w:rsidRDefault="00346FC5" w:rsidP="0098354D">
            <w:r w:rsidRPr="00351630">
              <w:t>Taxation</w:t>
            </w:r>
          </w:p>
        </w:tc>
        <w:tc>
          <w:tcPr>
            <w:tcW w:w="794" w:type="dxa"/>
          </w:tcPr>
          <w:p w14:paraId="58E6574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30 099</w:t>
            </w:r>
          </w:p>
        </w:tc>
        <w:tc>
          <w:tcPr>
            <w:tcW w:w="794" w:type="dxa"/>
          </w:tcPr>
          <w:p w14:paraId="17AE625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31 043</w:t>
            </w:r>
          </w:p>
        </w:tc>
        <w:tc>
          <w:tcPr>
            <w:tcW w:w="794" w:type="dxa"/>
          </w:tcPr>
          <w:p w14:paraId="17FF2B2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34 407</w:t>
            </w:r>
          </w:p>
        </w:tc>
        <w:tc>
          <w:tcPr>
            <w:tcW w:w="794" w:type="dxa"/>
          </w:tcPr>
          <w:p w14:paraId="33281E1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36 374</w:t>
            </w:r>
          </w:p>
        </w:tc>
        <w:tc>
          <w:tcPr>
            <w:tcW w:w="794" w:type="dxa"/>
          </w:tcPr>
          <w:p w14:paraId="2517096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38 174</w:t>
            </w:r>
          </w:p>
        </w:tc>
        <w:tc>
          <w:tcPr>
            <w:tcW w:w="794" w:type="dxa"/>
          </w:tcPr>
          <w:p w14:paraId="7FD1C03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40 044</w:t>
            </w:r>
          </w:p>
        </w:tc>
      </w:tr>
      <w:tr w:rsidR="00346FC5" w:rsidRPr="00351630" w14:paraId="216EE0EE"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63E3D858" w14:textId="77777777" w:rsidR="00346FC5" w:rsidRPr="00351630" w:rsidRDefault="00346FC5" w:rsidP="0098354D">
            <w:r w:rsidRPr="00351630">
              <w:t xml:space="preserve">Dividends, income tax equivalent and interest </w:t>
            </w:r>
            <w:r w:rsidRPr="00351630">
              <w:rPr>
                <w:vertAlign w:val="superscript"/>
              </w:rPr>
              <w:t>(b)</w:t>
            </w:r>
          </w:p>
        </w:tc>
        <w:tc>
          <w:tcPr>
            <w:tcW w:w="794" w:type="dxa"/>
          </w:tcPr>
          <w:p w14:paraId="36EF9EA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728</w:t>
            </w:r>
          </w:p>
        </w:tc>
        <w:tc>
          <w:tcPr>
            <w:tcW w:w="794" w:type="dxa"/>
          </w:tcPr>
          <w:p w14:paraId="21A6621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1 414</w:t>
            </w:r>
          </w:p>
        </w:tc>
        <w:tc>
          <w:tcPr>
            <w:tcW w:w="794" w:type="dxa"/>
          </w:tcPr>
          <w:p w14:paraId="070D8B4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2 054</w:t>
            </w:r>
          </w:p>
        </w:tc>
        <w:tc>
          <w:tcPr>
            <w:tcW w:w="794" w:type="dxa"/>
          </w:tcPr>
          <w:p w14:paraId="2DA61AB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1 255</w:t>
            </w:r>
          </w:p>
        </w:tc>
        <w:tc>
          <w:tcPr>
            <w:tcW w:w="794" w:type="dxa"/>
          </w:tcPr>
          <w:p w14:paraId="585B76C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1 390</w:t>
            </w:r>
          </w:p>
        </w:tc>
        <w:tc>
          <w:tcPr>
            <w:tcW w:w="794" w:type="dxa"/>
          </w:tcPr>
          <w:p w14:paraId="47E7C49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1 455</w:t>
            </w:r>
          </w:p>
        </w:tc>
      </w:tr>
      <w:tr w:rsidR="00346FC5" w:rsidRPr="00351630" w14:paraId="3C668219"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35B7C3C8" w14:textId="77777777" w:rsidR="00346FC5" w:rsidRPr="00351630" w:rsidRDefault="00346FC5" w:rsidP="0098354D">
            <w:r w:rsidRPr="00351630">
              <w:t>Sales of goods and services</w:t>
            </w:r>
          </w:p>
        </w:tc>
        <w:tc>
          <w:tcPr>
            <w:tcW w:w="794" w:type="dxa"/>
          </w:tcPr>
          <w:p w14:paraId="65DEA7C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11 976</w:t>
            </w:r>
          </w:p>
        </w:tc>
        <w:tc>
          <w:tcPr>
            <w:tcW w:w="794" w:type="dxa"/>
          </w:tcPr>
          <w:p w14:paraId="29D721C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13 049</w:t>
            </w:r>
          </w:p>
        </w:tc>
        <w:tc>
          <w:tcPr>
            <w:tcW w:w="794" w:type="dxa"/>
          </w:tcPr>
          <w:p w14:paraId="3D37E11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13 165</w:t>
            </w:r>
          </w:p>
        </w:tc>
        <w:tc>
          <w:tcPr>
            <w:tcW w:w="794" w:type="dxa"/>
          </w:tcPr>
          <w:p w14:paraId="23C38E6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13 924</w:t>
            </w:r>
          </w:p>
        </w:tc>
        <w:tc>
          <w:tcPr>
            <w:tcW w:w="794" w:type="dxa"/>
          </w:tcPr>
          <w:p w14:paraId="203B6EE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14 038</w:t>
            </w:r>
          </w:p>
        </w:tc>
        <w:tc>
          <w:tcPr>
            <w:tcW w:w="794" w:type="dxa"/>
          </w:tcPr>
          <w:p w14:paraId="231A20B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14 266</w:t>
            </w:r>
          </w:p>
        </w:tc>
      </w:tr>
      <w:tr w:rsidR="00346FC5" w:rsidRPr="00351630" w14:paraId="4609BAEC"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4399BC98" w14:textId="77777777" w:rsidR="00346FC5" w:rsidRPr="00351630" w:rsidRDefault="00346FC5" w:rsidP="0098354D">
            <w:r w:rsidRPr="00351630">
              <w:t>Grants</w:t>
            </w:r>
          </w:p>
        </w:tc>
        <w:tc>
          <w:tcPr>
            <w:tcW w:w="794" w:type="dxa"/>
          </w:tcPr>
          <w:p w14:paraId="7BE4DFF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41 818</w:t>
            </w:r>
          </w:p>
        </w:tc>
        <w:tc>
          <w:tcPr>
            <w:tcW w:w="794" w:type="dxa"/>
          </w:tcPr>
          <w:p w14:paraId="167020C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39 790</w:t>
            </w:r>
          </w:p>
        </w:tc>
        <w:tc>
          <w:tcPr>
            <w:tcW w:w="794" w:type="dxa"/>
          </w:tcPr>
          <w:p w14:paraId="66A55DD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41 724</w:t>
            </w:r>
          </w:p>
        </w:tc>
        <w:tc>
          <w:tcPr>
            <w:tcW w:w="794" w:type="dxa"/>
          </w:tcPr>
          <w:p w14:paraId="710EA14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43 172</w:t>
            </w:r>
          </w:p>
        </w:tc>
        <w:tc>
          <w:tcPr>
            <w:tcW w:w="794" w:type="dxa"/>
          </w:tcPr>
          <w:p w14:paraId="594E114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45 819</w:t>
            </w:r>
          </w:p>
        </w:tc>
        <w:tc>
          <w:tcPr>
            <w:tcW w:w="794" w:type="dxa"/>
          </w:tcPr>
          <w:p w14:paraId="22F9038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46 695</w:t>
            </w:r>
          </w:p>
        </w:tc>
      </w:tr>
      <w:tr w:rsidR="00346FC5" w:rsidRPr="00351630" w14:paraId="13F22F6E"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7E54B7E3" w14:textId="77777777" w:rsidR="00346FC5" w:rsidRPr="00351630" w:rsidRDefault="00346FC5" w:rsidP="0098354D">
            <w:r w:rsidRPr="00351630">
              <w:t>Other revenue and income</w:t>
            </w:r>
          </w:p>
        </w:tc>
        <w:tc>
          <w:tcPr>
            <w:tcW w:w="794" w:type="dxa"/>
            <w:tcBorders>
              <w:bottom w:val="single" w:sz="6" w:space="0" w:color="auto"/>
            </w:tcBorders>
          </w:tcPr>
          <w:p w14:paraId="131F7C9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4 396</w:t>
            </w:r>
          </w:p>
        </w:tc>
        <w:tc>
          <w:tcPr>
            <w:tcW w:w="794" w:type="dxa"/>
            <w:tcBorders>
              <w:bottom w:val="single" w:sz="6" w:space="0" w:color="auto"/>
            </w:tcBorders>
          </w:tcPr>
          <w:p w14:paraId="39FBBA3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4 151</w:t>
            </w:r>
          </w:p>
        </w:tc>
        <w:tc>
          <w:tcPr>
            <w:tcW w:w="794" w:type="dxa"/>
            <w:tcBorders>
              <w:bottom w:val="single" w:sz="6" w:space="0" w:color="auto"/>
            </w:tcBorders>
          </w:tcPr>
          <w:p w14:paraId="0924D35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4 277</w:t>
            </w:r>
          </w:p>
        </w:tc>
        <w:tc>
          <w:tcPr>
            <w:tcW w:w="794" w:type="dxa"/>
            <w:tcBorders>
              <w:bottom w:val="single" w:sz="6" w:space="0" w:color="auto"/>
            </w:tcBorders>
          </w:tcPr>
          <w:p w14:paraId="64CD4D6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3 966</w:t>
            </w:r>
          </w:p>
        </w:tc>
        <w:tc>
          <w:tcPr>
            <w:tcW w:w="794" w:type="dxa"/>
            <w:tcBorders>
              <w:bottom w:val="single" w:sz="6" w:space="0" w:color="auto"/>
            </w:tcBorders>
          </w:tcPr>
          <w:p w14:paraId="331F789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4 066</w:t>
            </w:r>
          </w:p>
        </w:tc>
        <w:tc>
          <w:tcPr>
            <w:tcW w:w="794" w:type="dxa"/>
            <w:tcBorders>
              <w:bottom w:val="single" w:sz="6" w:space="0" w:color="auto"/>
            </w:tcBorders>
          </w:tcPr>
          <w:p w14:paraId="5961B1E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4 613</w:t>
            </w:r>
          </w:p>
        </w:tc>
      </w:tr>
      <w:tr w:rsidR="00346FC5" w:rsidRPr="00351630" w14:paraId="10938F96"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tcBorders>
          </w:tcPr>
          <w:p w14:paraId="4D1239E5" w14:textId="77777777" w:rsidR="00346FC5" w:rsidRPr="00351630" w:rsidRDefault="00346FC5" w:rsidP="0098354D">
            <w:r w:rsidRPr="00351630">
              <w:rPr>
                <w:b/>
              </w:rPr>
              <w:t>Total revenue and income from transactions</w:t>
            </w:r>
          </w:p>
        </w:tc>
        <w:tc>
          <w:tcPr>
            <w:tcW w:w="794" w:type="dxa"/>
            <w:tcBorders>
              <w:top w:val="single" w:sz="6" w:space="0" w:color="auto"/>
            </w:tcBorders>
          </w:tcPr>
          <w:p w14:paraId="4F43E31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89 018</w:t>
            </w:r>
          </w:p>
        </w:tc>
        <w:tc>
          <w:tcPr>
            <w:tcW w:w="794" w:type="dxa"/>
            <w:tcBorders>
              <w:top w:val="single" w:sz="6" w:space="0" w:color="auto"/>
            </w:tcBorders>
          </w:tcPr>
          <w:p w14:paraId="7A6C3F4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89 447</w:t>
            </w:r>
          </w:p>
        </w:tc>
        <w:tc>
          <w:tcPr>
            <w:tcW w:w="794" w:type="dxa"/>
            <w:tcBorders>
              <w:top w:val="single" w:sz="6" w:space="0" w:color="auto"/>
            </w:tcBorders>
          </w:tcPr>
          <w:p w14:paraId="25C450A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95 627</w:t>
            </w:r>
          </w:p>
        </w:tc>
        <w:tc>
          <w:tcPr>
            <w:tcW w:w="794" w:type="dxa"/>
            <w:tcBorders>
              <w:top w:val="single" w:sz="6" w:space="0" w:color="auto"/>
            </w:tcBorders>
          </w:tcPr>
          <w:p w14:paraId="7757B43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98 691</w:t>
            </w:r>
          </w:p>
        </w:tc>
        <w:tc>
          <w:tcPr>
            <w:tcW w:w="794" w:type="dxa"/>
            <w:tcBorders>
              <w:top w:val="single" w:sz="6" w:space="0" w:color="auto"/>
            </w:tcBorders>
          </w:tcPr>
          <w:p w14:paraId="7AA9AB1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103 487</w:t>
            </w:r>
          </w:p>
        </w:tc>
        <w:tc>
          <w:tcPr>
            <w:tcW w:w="794" w:type="dxa"/>
            <w:tcBorders>
              <w:top w:val="single" w:sz="6" w:space="0" w:color="auto"/>
            </w:tcBorders>
          </w:tcPr>
          <w:p w14:paraId="5A15C78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107 072</w:t>
            </w:r>
          </w:p>
        </w:tc>
      </w:tr>
      <w:tr w:rsidR="00346FC5" w:rsidRPr="00351630" w14:paraId="0B911F61"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07F81A4E" w14:textId="77777777" w:rsidR="00346FC5" w:rsidRPr="00351630" w:rsidRDefault="00346FC5" w:rsidP="0098354D">
            <w:r w:rsidRPr="00351630">
              <w:rPr>
                <w:i/>
              </w:rPr>
              <w:t>% change</w:t>
            </w:r>
          </w:p>
        </w:tc>
        <w:tc>
          <w:tcPr>
            <w:tcW w:w="794" w:type="dxa"/>
          </w:tcPr>
          <w:p w14:paraId="5415C74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17.5</w:t>
            </w:r>
          </w:p>
        </w:tc>
        <w:tc>
          <w:tcPr>
            <w:tcW w:w="794" w:type="dxa"/>
          </w:tcPr>
          <w:p w14:paraId="628AB75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0.5</w:t>
            </w:r>
          </w:p>
        </w:tc>
        <w:tc>
          <w:tcPr>
            <w:tcW w:w="794" w:type="dxa"/>
          </w:tcPr>
          <w:p w14:paraId="7EA7BE6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6.9</w:t>
            </w:r>
          </w:p>
        </w:tc>
        <w:tc>
          <w:tcPr>
            <w:tcW w:w="794" w:type="dxa"/>
          </w:tcPr>
          <w:p w14:paraId="0440215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3.2</w:t>
            </w:r>
          </w:p>
        </w:tc>
        <w:tc>
          <w:tcPr>
            <w:tcW w:w="794" w:type="dxa"/>
          </w:tcPr>
          <w:p w14:paraId="2B4B581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4.9</w:t>
            </w:r>
          </w:p>
        </w:tc>
        <w:tc>
          <w:tcPr>
            <w:tcW w:w="794" w:type="dxa"/>
          </w:tcPr>
          <w:p w14:paraId="047EB27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3.5</w:t>
            </w:r>
          </w:p>
        </w:tc>
      </w:tr>
      <w:tr w:rsidR="00346FC5" w:rsidRPr="00351630" w14:paraId="27048283"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596D7CCA" w14:textId="77777777" w:rsidR="00346FC5" w:rsidRPr="00351630" w:rsidRDefault="00346FC5" w:rsidP="0098354D">
            <w:r w:rsidRPr="00351630">
              <w:rPr>
                <w:b/>
              </w:rPr>
              <w:t>Expenses from transactions</w:t>
            </w:r>
          </w:p>
        </w:tc>
        <w:tc>
          <w:tcPr>
            <w:tcW w:w="794" w:type="dxa"/>
          </w:tcPr>
          <w:p w14:paraId="5859463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73E6CCD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784C7A4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28FB64C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4F56440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3B7C34D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rsidRPr="00351630" w14:paraId="6F5EA0FE"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730FA3F8" w14:textId="77777777" w:rsidR="00346FC5" w:rsidRPr="00351630" w:rsidRDefault="00346FC5" w:rsidP="0098354D">
            <w:r w:rsidRPr="00351630">
              <w:t>Employee expenses</w:t>
            </w:r>
          </w:p>
        </w:tc>
        <w:tc>
          <w:tcPr>
            <w:tcW w:w="794" w:type="dxa"/>
          </w:tcPr>
          <w:p w14:paraId="3A124CC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33 759</w:t>
            </w:r>
          </w:p>
        </w:tc>
        <w:tc>
          <w:tcPr>
            <w:tcW w:w="794" w:type="dxa"/>
          </w:tcPr>
          <w:p w14:paraId="6B17D5C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35 500</w:t>
            </w:r>
          </w:p>
        </w:tc>
        <w:tc>
          <w:tcPr>
            <w:tcW w:w="794" w:type="dxa"/>
          </w:tcPr>
          <w:p w14:paraId="0C71976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36 896</w:t>
            </w:r>
          </w:p>
        </w:tc>
        <w:tc>
          <w:tcPr>
            <w:tcW w:w="794" w:type="dxa"/>
          </w:tcPr>
          <w:p w14:paraId="7CC9146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37 478</w:t>
            </w:r>
          </w:p>
        </w:tc>
        <w:tc>
          <w:tcPr>
            <w:tcW w:w="794" w:type="dxa"/>
          </w:tcPr>
          <w:p w14:paraId="49211ED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38 487</w:t>
            </w:r>
          </w:p>
        </w:tc>
        <w:tc>
          <w:tcPr>
            <w:tcW w:w="794" w:type="dxa"/>
          </w:tcPr>
          <w:p w14:paraId="16A9138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39 808</w:t>
            </w:r>
          </w:p>
        </w:tc>
      </w:tr>
      <w:tr w:rsidR="00346FC5" w:rsidRPr="00351630" w14:paraId="17C7C4F3"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1C531BA6" w14:textId="77777777" w:rsidR="00346FC5" w:rsidRPr="00351630" w:rsidRDefault="00346FC5" w:rsidP="0098354D">
            <w:r w:rsidRPr="00351630">
              <w:t xml:space="preserve">Superannuation </w:t>
            </w:r>
            <w:r w:rsidRPr="00351630">
              <w:rPr>
                <w:vertAlign w:val="superscript"/>
              </w:rPr>
              <w:t>(c)</w:t>
            </w:r>
          </w:p>
        </w:tc>
        <w:tc>
          <w:tcPr>
            <w:tcW w:w="794" w:type="dxa"/>
          </w:tcPr>
          <w:p w14:paraId="3B586E0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4 548</w:t>
            </w:r>
          </w:p>
        </w:tc>
        <w:tc>
          <w:tcPr>
            <w:tcW w:w="794" w:type="dxa"/>
          </w:tcPr>
          <w:p w14:paraId="4A8190E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4 341</w:t>
            </w:r>
          </w:p>
        </w:tc>
        <w:tc>
          <w:tcPr>
            <w:tcW w:w="794" w:type="dxa"/>
          </w:tcPr>
          <w:p w14:paraId="67A1CF8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4 657</w:t>
            </w:r>
          </w:p>
        </w:tc>
        <w:tc>
          <w:tcPr>
            <w:tcW w:w="794" w:type="dxa"/>
          </w:tcPr>
          <w:p w14:paraId="45A267E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4 767</w:t>
            </w:r>
          </w:p>
        </w:tc>
        <w:tc>
          <w:tcPr>
            <w:tcW w:w="794" w:type="dxa"/>
          </w:tcPr>
          <w:p w14:paraId="02799D5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4 846</w:t>
            </w:r>
          </w:p>
        </w:tc>
        <w:tc>
          <w:tcPr>
            <w:tcW w:w="794" w:type="dxa"/>
          </w:tcPr>
          <w:p w14:paraId="0E957C2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5 039</w:t>
            </w:r>
          </w:p>
        </w:tc>
      </w:tr>
      <w:tr w:rsidR="00346FC5" w:rsidRPr="00351630" w14:paraId="3DE28B18"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65DB6947" w14:textId="77777777" w:rsidR="00346FC5" w:rsidRPr="00351630" w:rsidRDefault="00346FC5" w:rsidP="0098354D">
            <w:r w:rsidRPr="00351630">
              <w:t>Depreciation</w:t>
            </w:r>
          </w:p>
        </w:tc>
        <w:tc>
          <w:tcPr>
            <w:tcW w:w="794" w:type="dxa"/>
          </w:tcPr>
          <w:p w14:paraId="2D62C22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7 116</w:t>
            </w:r>
          </w:p>
        </w:tc>
        <w:tc>
          <w:tcPr>
            <w:tcW w:w="794" w:type="dxa"/>
          </w:tcPr>
          <w:p w14:paraId="40C01C1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7 666</w:t>
            </w:r>
          </w:p>
        </w:tc>
        <w:tc>
          <w:tcPr>
            <w:tcW w:w="794" w:type="dxa"/>
          </w:tcPr>
          <w:p w14:paraId="2501FC0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7 866</w:t>
            </w:r>
          </w:p>
        </w:tc>
        <w:tc>
          <w:tcPr>
            <w:tcW w:w="794" w:type="dxa"/>
          </w:tcPr>
          <w:p w14:paraId="582EDE2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8 214</w:t>
            </w:r>
          </w:p>
        </w:tc>
        <w:tc>
          <w:tcPr>
            <w:tcW w:w="794" w:type="dxa"/>
          </w:tcPr>
          <w:p w14:paraId="190C714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8 684</w:t>
            </w:r>
          </w:p>
        </w:tc>
        <w:tc>
          <w:tcPr>
            <w:tcW w:w="794" w:type="dxa"/>
          </w:tcPr>
          <w:p w14:paraId="0D63849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9 010</w:t>
            </w:r>
          </w:p>
        </w:tc>
      </w:tr>
      <w:tr w:rsidR="00346FC5" w:rsidRPr="00351630" w14:paraId="657072E5"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36FEE353" w14:textId="77777777" w:rsidR="00346FC5" w:rsidRPr="00351630" w:rsidRDefault="00346FC5" w:rsidP="0098354D">
            <w:r w:rsidRPr="00351630">
              <w:t>Interest expense</w:t>
            </w:r>
          </w:p>
        </w:tc>
        <w:tc>
          <w:tcPr>
            <w:tcW w:w="794" w:type="dxa"/>
          </w:tcPr>
          <w:p w14:paraId="6B63A53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3 259</w:t>
            </w:r>
          </w:p>
        </w:tc>
        <w:tc>
          <w:tcPr>
            <w:tcW w:w="794" w:type="dxa"/>
          </w:tcPr>
          <w:p w14:paraId="68C531E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4 428</w:t>
            </w:r>
          </w:p>
        </w:tc>
        <w:tc>
          <w:tcPr>
            <w:tcW w:w="794" w:type="dxa"/>
          </w:tcPr>
          <w:p w14:paraId="701924F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5 979</w:t>
            </w:r>
          </w:p>
        </w:tc>
        <w:tc>
          <w:tcPr>
            <w:tcW w:w="794" w:type="dxa"/>
          </w:tcPr>
          <w:p w14:paraId="0FAB153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6 790</w:t>
            </w:r>
          </w:p>
        </w:tc>
        <w:tc>
          <w:tcPr>
            <w:tcW w:w="794" w:type="dxa"/>
          </w:tcPr>
          <w:p w14:paraId="31595C3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7 744</w:t>
            </w:r>
          </w:p>
        </w:tc>
        <w:tc>
          <w:tcPr>
            <w:tcW w:w="794" w:type="dxa"/>
          </w:tcPr>
          <w:p w14:paraId="4C3341C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8 650</w:t>
            </w:r>
          </w:p>
        </w:tc>
      </w:tr>
      <w:tr w:rsidR="00346FC5" w:rsidRPr="00351630" w14:paraId="5D5D7F97"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25F4AD16" w14:textId="77777777" w:rsidR="00346FC5" w:rsidRPr="00351630" w:rsidRDefault="00346FC5" w:rsidP="0098354D">
            <w:r w:rsidRPr="00351630">
              <w:t>Grant expense</w:t>
            </w:r>
          </w:p>
        </w:tc>
        <w:tc>
          <w:tcPr>
            <w:tcW w:w="794" w:type="dxa"/>
          </w:tcPr>
          <w:p w14:paraId="36A0DC1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22 421</w:t>
            </w:r>
          </w:p>
        </w:tc>
        <w:tc>
          <w:tcPr>
            <w:tcW w:w="794" w:type="dxa"/>
          </w:tcPr>
          <w:p w14:paraId="54273F0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16 951</w:t>
            </w:r>
          </w:p>
        </w:tc>
        <w:tc>
          <w:tcPr>
            <w:tcW w:w="794" w:type="dxa"/>
          </w:tcPr>
          <w:p w14:paraId="00AAF5D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15 153</w:t>
            </w:r>
          </w:p>
        </w:tc>
        <w:tc>
          <w:tcPr>
            <w:tcW w:w="794" w:type="dxa"/>
          </w:tcPr>
          <w:p w14:paraId="39A63FA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14 748</w:t>
            </w:r>
          </w:p>
        </w:tc>
        <w:tc>
          <w:tcPr>
            <w:tcW w:w="794" w:type="dxa"/>
          </w:tcPr>
          <w:p w14:paraId="39E5B26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14 803</w:t>
            </w:r>
          </w:p>
        </w:tc>
        <w:tc>
          <w:tcPr>
            <w:tcW w:w="794" w:type="dxa"/>
          </w:tcPr>
          <w:p w14:paraId="3BF9131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14 828</w:t>
            </w:r>
          </w:p>
        </w:tc>
      </w:tr>
      <w:tr w:rsidR="00346FC5" w:rsidRPr="00351630" w14:paraId="5E097D79"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66F4ACD4" w14:textId="77777777" w:rsidR="00346FC5" w:rsidRPr="00351630" w:rsidRDefault="00346FC5" w:rsidP="0098354D">
            <w:r w:rsidRPr="00351630">
              <w:t>Other operating expenses</w:t>
            </w:r>
          </w:p>
        </w:tc>
        <w:tc>
          <w:tcPr>
            <w:tcW w:w="794" w:type="dxa"/>
          </w:tcPr>
          <w:p w14:paraId="53972D3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31 987</w:t>
            </w:r>
          </w:p>
        </w:tc>
        <w:tc>
          <w:tcPr>
            <w:tcW w:w="794" w:type="dxa"/>
          </w:tcPr>
          <w:p w14:paraId="69AE558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32 091</w:t>
            </w:r>
          </w:p>
        </w:tc>
        <w:tc>
          <w:tcPr>
            <w:tcW w:w="794" w:type="dxa"/>
          </w:tcPr>
          <w:p w14:paraId="6014A90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30 542</w:t>
            </w:r>
          </w:p>
        </w:tc>
        <w:tc>
          <w:tcPr>
            <w:tcW w:w="794" w:type="dxa"/>
          </w:tcPr>
          <w:p w14:paraId="13A59B8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28 977</w:t>
            </w:r>
          </w:p>
        </w:tc>
        <w:tc>
          <w:tcPr>
            <w:tcW w:w="794" w:type="dxa"/>
          </w:tcPr>
          <w:p w14:paraId="534D75E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29 165</w:t>
            </w:r>
          </w:p>
        </w:tc>
        <w:tc>
          <w:tcPr>
            <w:tcW w:w="794" w:type="dxa"/>
          </w:tcPr>
          <w:p w14:paraId="5DB0ADD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29 845</w:t>
            </w:r>
          </w:p>
        </w:tc>
      </w:tr>
      <w:tr w:rsidR="00346FC5" w:rsidRPr="00351630" w14:paraId="627A3FFD"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2D1F7488" w14:textId="77777777" w:rsidR="00346FC5" w:rsidRPr="00351630" w:rsidRDefault="00346FC5" w:rsidP="0098354D">
            <w:r w:rsidRPr="00351630">
              <w:rPr>
                <w:b/>
              </w:rPr>
              <w:t>Total expenses from transactions</w:t>
            </w:r>
          </w:p>
        </w:tc>
        <w:tc>
          <w:tcPr>
            <w:tcW w:w="794" w:type="dxa"/>
          </w:tcPr>
          <w:p w14:paraId="2AC65CA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103 091</w:t>
            </w:r>
          </w:p>
        </w:tc>
        <w:tc>
          <w:tcPr>
            <w:tcW w:w="794" w:type="dxa"/>
          </w:tcPr>
          <w:p w14:paraId="16DC2A1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100 977</w:t>
            </w:r>
          </w:p>
        </w:tc>
        <w:tc>
          <w:tcPr>
            <w:tcW w:w="794" w:type="dxa"/>
          </w:tcPr>
          <w:p w14:paraId="17475E2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101 093</w:t>
            </w:r>
          </w:p>
        </w:tc>
        <w:tc>
          <w:tcPr>
            <w:tcW w:w="794" w:type="dxa"/>
          </w:tcPr>
          <w:p w14:paraId="27F458B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100 973</w:t>
            </w:r>
          </w:p>
        </w:tc>
        <w:tc>
          <w:tcPr>
            <w:tcW w:w="794" w:type="dxa"/>
          </w:tcPr>
          <w:p w14:paraId="63FCF83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103 730</w:t>
            </w:r>
          </w:p>
        </w:tc>
        <w:tc>
          <w:tcPr>
            <w:tcW w:w="794" w:type="dxa"/>
          </w:tcPr>
          <w:p w14:paraId="7ACB409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107 180</w:t>
            </w:r>
          </w:p>
        </w:tc>
      </w:tr>
      <w:tr w:rsidR="00346FC5" w:rsidRPr="00351630" w14:paraId="59F80C71"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06F5CA6B" w14:textId="77777777" w:rsidR="00346FC5" w:rsidRPr="00351630" w:rsidRDefault="00346FC5" w:rsidP="0098354D">
            <w:r w:rsidRPr="00351630">
              <w:rPr>
                <w:i/>
              </w:rPr>
              <w:t>% change</w:t>
            </w:r>
          </w:p>
        </w:tc>
        <w:tc>
          <w:tcPr>
            <w:tcW w:w="794" w:type="dxa"/>
            <w:tcBorders>
              <w:bottom w:val="single" w:sz="6" w:space="0" w:color="auto"/>
            </w:tcBorders>
          </w:tcPr>
          <w:p w14:paraId="1E6327D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12.4</w:t>
            </w:r>
          </w:p>
        </w:tc>
        <w:tc>
          <w:tcPr>
            <w:tcW w:w="794" w:type="dxa"/>
            <w:tcBorders>
              <w:bottom w:val="single" w:sz="6" w:space="0" w:color="auto"/>
            </w:tcBorders>
          </w:tcPr>
          <w:p w14:paraId="5CFD1D9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noBreakHyphen/>
              <w:t>2.1</w:t>
            </w:r>
          </w:p>
        </w:tc>
        <w:tc>
          <w:tcPr>
            <w:tcW w:w="794" w:type="dxa"/>
            <w:tcBorders>
              <w:bottom w:val="single" w:sz="6" w:space="0" w:color="auto"/>
            </w:tcBorders>
          </w:tcPr>
          <w:p w14:paraId="75649DD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0.1</w:t>
            </w:r>
          </w:p>
        </w:tc>
        <w:tc>
          <w:tcPr>
            <w:tcW w:w="794" w:type="dxa"/>
            <w:tcBorders>
              <w:bottom w:val="single" w:sz="6" w:space="0" w:color="auto"/>
            </w:tcBorders>
          </w:tcPr>
          <w:p w14:paraId="3009251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noBreakHyphen/>
              <w:t>0.1</w:t>
            </w:r>
          </w:p>
        </w:tc>
        <w:tc>
          <w:tcPr>
            <w:tcW w:w="794" w:type="dxa"/>
            <w:tcBorders>
              <w:bottom w:val="single" w:sz="6" w:space="0" w:color="auto"/>
            </w:tcBorders>
          </w:tcPr>
          <w:p w14:paraId="69E0BC4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2.7</w:t>
            </w:r>
          </w:p>
        </w:tc>
        <w:tc>
          <w:tcPr>
            <w:tcW w:w="794" w:type="dxa"/>
            <w:tcBorders>
              <w:bottom w:val="single" w:sz="6" w:space="0" w:color="auto"/>
            </w:tcBorders>
          </w:tcPr>
          <w:p w14:paraId="6DA47A6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3.3</w:t>
            </w:r>
          </w:p>
        </w:tc>
      </w:tr>
      <w:tr w:rsidR="00346FC5" w:rsidRPr="00351630" w14:paraId="14055097"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6" w:space="0" w:color="auto"/>
            </w:tcBorders>
          </w:tcPr>
          <w:p w14:paraId="1C023B39" w14:textId="77777777" w:rsidR="00346FC5" w:rsidRPr="00351630" w:rsidRDefault="00346FC5" w:rsidP="0098354D">
            <w:r w:rsidRPr="00351630">
              <w:rPr>
                <w:b/>
              </w:rPr>
              <w:t>Net result from transactions</w:t>
            </w:r>
          </w:p>
        </w:tc>
        <w:tc>
          <w:tcPr>
            <w:tcW w:w="794" w:type="dxa"/>
            <w:tcBorders>
              <w:top w:val="single" w:sz="6" w:space="0" w:color="auto"/>
              <w:bottom w:val="single" w:sz="6" w:space="0" w:color="auto"/>
            </w:tcBorders>
          </w:tcPr>
          <w:p w14:paraId="1CA6A9F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(14 073)</w:t>
            </w:r>
          </w:p>
        </w:tc>
        <w:tc>
          <w:tcPr>
            <w:tcW w:w="794" w:type="dxa"/>
            <w:tcBorders>
              <w:top w:val="single" w:sz="6" w:space="0" w:color="auto"/>
              <w:bottom w:val="single" w:sz="6" w:space="0" w:color="auto"/>
            </w:tcBorders>
          </w:tcPr>
          <w:p w14:paraId="40D31B4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(11 530)</w:t>
            </w:r>
          </w:p>
        </w:tc>
        <w:tc>
          <w:tcPr>
            <w:tcW w:w="794" w:type="dxa"/>
            <w:tcBorders>
              <w:top w:val="single" w:sz="6" w:space="0" w:color="auto"/>
              <w:bottom w:val="single" w:sz="6" w:space="0" w:color="auto"/>
            </w:tcBorders>
          </w:tcPr>
          <w:p w14:paraId="7DCB707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(5 466)</w:t>
            </w:r>
          </w:p>
        </w:tc>
        <w:tc>
          <w:tcPr>
            <w:tcW w:w="794" w:type="dxa"/>
            <w:tcBorders>
              <w:top w:val="single" w:sz="6" w:space="0" w:color="auto"/>
              <w:bottom w:val="single" w:sz="6" w:space="0" w:color="auto"/>
            </w:tcBorders>
          </w:tcPr>
          <w:p w14:paraId="00A6DCC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(2 282)</w:t>
            </w:r>
          </w:p>
        </w:tc>
        <w:tc>
          <w:tcPr>
            <w:tcW w:w="794" w:type="dxa"/>
            <w:tcBorders>
              <w:top w:val="single" w:sz="6" w:space="0" w:color="auto"/>
              <w:bottom w:val="single" w:sz="6" w:space="0" w:color="auto"/>
            </w:tcBorders>
          </w:tcPr>
          <w:p w14:paraId="1C716E4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(243)</w:t>
            </w:r>
          </w:p>
        </w:tc>
        <w:tc>
          <w:tcPr>
            <w:tcW w:w="794" w:type="dxa"/>
            <w:tcBorders>
              <w:top w:val="single" w:sz="6" w:space="0" w:color="auto"/>
              <w:bottom w:val="single" w:sz="6" w:space="0" w:color="auto"/>
            </w:tcBorders>
          </w:tcPr>
          <w:p w14:paraId="46A0706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(109)</w:t>
            </w:r>
          </w:p>
        </w:tc>
      </w:tr>
      <w:tr w:rsidR="00346FC5" w:rsidRPr="00351630" w14:paraId="2DE542C4"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6" w:space="0" w:color="auto"/>
            </w:tcBorders>
          </w:tcPr>
          <w:p w14:paraId="2AF163F5" w14:textId="77777777" w:rsidR="00346FC5" w:rsidRPr="00351630" w:rsidRDefault="00346FC5" w:rsidP="0098354D">
            <w:r w:rsidRPr="00351630">
              <w:t>Total other economic flows included in net result</w:t>
            </w:r>
          </w:p>
        </w:tc>
        <w:tc>
          <w:tcPr>
            <w:tcW w:w="794" w:type="dxa"/>
            <w:tcBorders>
              <w:top w:val="single" w:sz="6" w:space="0" w:color="auto"/>
              <w:bottom w:val="single" w:sz="6" w:space="0" w:color="auto"/>
            </w:tcBorders>
          </w:tcPr>
          <w:p w14:paraId="0994833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(903)</w:t>
            </w:r>
          </w:p>
        </w:tc>
        <w:tc>
          <w:tcPr>
            <w:tcW w:w="794" w:type="dxa"/>
            <w:tcBorders>
              <w:top w:val="single" w:sz="6" w:space="0" w:color="auto"/>
              <w:bottom w:val="single" w:sz="6" w:space="0" w:color="auto"/>
            </w:tcBorders>
          </w:tcPr>
          <w:p w14:paraId="217A032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(256)</w:t>
            </w:r>
          </w:p>
        </w:tc>
        <w:tc>
          <w:tcPr>
            <w:tcW w:w="794" w:type="dxa"/>
            <w:tcBorders>
              <w:top w:val="single" w:sz="6" w:space="0" w:color="auto"/>
              <w:bottom w:val="single" w:sz="6" w:space="0" w:color="auto"/>
            </w:tcBorders>
          </w:tcPr>
          <w:p w14:paraId="60D8083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(393)</w:t>
            </w:r>
          </w:p>
        </w:tc>
        <w:tc>
          <w:tcPr>
            <w:tcW w:w="794" w:type="dxa"/>
            <w:tcBorders>
              <w:top w:val="single" w:sz="6" w:space="0" w:color="auto"/>
              <w:bottom w:val="single" w:sz="6" w:space="0" w:color="auto"/>
            </w:tcBorders>
          </w:tcPr>
          <w:p w14:paraId="5AC1363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(334)</w:t>
            </w:r>
          </w:p>
        </w:tc>
        <w:tc>
          <w:tcPr>
            <w:tcW w:w="794" w:type="dxa"/>
            <w:tcBorders>
              <w:top w:val="single" w:sz="6" w:space="0" w:color="auto"/>
              <w:bottom w:val="single" w:sz="6" w:space="0" w:color="auto"/>
            </w:tcBorders>
          </w:tcPr>
          <w:p w14:paraId="414AF52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35</w:t>
            </w:r>
          </w:p>
        </w:tc>
        <w:tc>
          <w:tcPr>
            <w:tcW w:w="794" w:type="dxa"/>
            <w:tcBorders>
              <w:top w:val="single" w:sz="6" w:space="0" w:color="auto"/>
              <w:bottom w:val="single" w:sz="6" w:space="0" w:color="auto"/>
            </w:tcBorders>
          </w:tcPr>
          <w:p w14:paraId="73AC23C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(231)</w:t>
            </w:r>
          </w:p>
        </w:tc>
      </w:tr>
      <w:tr w:rsidR="00346FC5" w:rsidRPr="00351630" w14:paraId="1A10B112"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12" w:space="0" w:color="auto"/>
            </w:tcBorders>
          </w:tcPr>
          <w:p w14:paraId="4F3F18F7" w14:textId="77777777" w:rsidR="00346FC5" w:rsidRPr="00351630" w:rsidRDefault="00346FC5" w:rsidP="0098354D">
            <w:r w:rsidRPr="00351630">
              <w:rPr>
                <w:b/>
              </w:rPr>
              <w:t>Net result</w:t>
            </w:r>
          </w:p>
        </w:tc>
        <w:tc>
          <w:tcPr>
            <w:tcW w:w="794" w:type="dxa"/>
            <w:tcBorders>
              <w:top w:val="single" w:sz="6" w:space="0" w:color="auto"/>
              <w:bottom w:val="single" w:sz="12" w:space="0" w:color="auto"/>
            </w:tcBorders>
          </w:tcPr>
          <w:p w14:paraId="42ADABA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(14 976)</w:t>
            </w:r>
          </w:p>
        </w:tc>
        <w:tc>
          <w:tcPr>
            <w:tcW w:w="794" w:type="dxa"/>
            <w:tcBorders>
              <w:top w:val="single" w:sz="6" w:space="0" w:color="auto"/>
              <w:bottom w:val="single" w:sz="12" w:space="0" w:color="auto"/>
            </w:tcBorders>
          </w:tcPr>
          <w:p w14:paraId="1B9FCD9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(11 786)</w:t>
            </w:r>
          </w:p>
        </w:tc>
        <w:tc>
          <w:tcPr>
            <w:tcW w:w="794" w:type="dxa"/>
            <w:tcBorders>
              <w:top w:val="single" w:sz="6" w:space="0" w:color="auto"/>
              <w:bottom w:val="single" w:sz="12" w:space="0" w:color="auto"/>
            </w:tcBorders>
          </w:tcPr>
          <w:p w14:paraId="5C9DCC4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(5 859)</w:t>
            </w:r>
          </w:p>
        </w:tc>
        <w:tc>
          <w:tcPr>
            <w:tcW w:w="794" w:type="dxa"/>
            <w:tcBorders>
              <w:top w:val="single" w:sz="6" w:space="0" w:color="auto"/>
              <w:bottom w:val="single" w:sz="12" w:space="0" w:color="auto"/>
            </w:tcBorders>
          </w:tcPr>
          <w:p w14:paraId="2CB1A34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(2 616)</w:t>
            </w:r>
          </w:p>
        </w:tc>
        <w:tc>
          <w:tcPr>
            <w:tcW w:w="794" w:type="dxa"/>
            <w:tcBorders>
              <w:top w:val="single" w:sz="6" w:space="0" w:color="auto"/>
              <w:bottom w:val="single" w:sz="12" w:space="0" w:color="auto"/>
            </w:tcBorders>
          </w:tcPr>
          <w:p w14:paraId="35D156B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(208)</w:t>
            </w:r>
          </w:p>
        </w:tc>
        <w:tc>
          <w:tcPr>
            <w:tcW w:w="794" w:type="dxa"/>
            <w:tcBorders>
              <w:top w:val="single" w:sz="6" w:space="0" w:color="auto"/>
              <w:bottom w:val="single" w:sz="12" w:space="0" w:color="auto"/>
            </w:tcBorders>
          </w:tcPr>
          <w:p w14:paraId="3AF9BE9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(340)</w:t>
            </w:r>
          </w:p>
        </w:tc>
      </w:tr>
    </w:tbl>
    <w:p w14:paraId="0D65C4B4" w14:textId="77777777" w:rsidR="00346FC5" w:rsidRPr="00351630" w:rsidRDefault="00346FC5" w:rsidP="00346FC5">
      <w:pPr>
        <w:pStyle w:val="Note"/>
      </w:pPr>
      <w:r w:rsidRPr="00351630">
        <w:t>Notes:</w:t>
      </w:r>
    </w:p>
    <w:p w14:paraId="1437D39B" w14:textId="77777777" w:rsidR="00346FC5" w:rsidRPr="00351630" w:rsidRDefault="00346FC5" w:rsidP="00346FC5">
      <w:pPr>
        <w:pStyle w:val="Note"/>
      </w:pPr>
      <w:r w:rsidRPr="00351630">
        <w:t xml:space="preserve">(a) </w:t>
      </w:r>
      <w:r w:rsidRPr="00351630">
        <w:tab/>
        <w:t xml:space="preserve">This is a summary operating statement. The comprehensive operating statement is presented in Budget Paper No. 5, Chapter 2 </w:t>
      </w:r>
      <w:r w:rsidRPr="00351630">
        <w:rPr>
          <w:i w:val="0"/>
        </w:rPr>
        <w:t>Supplementary uniform presentation framework tables</w:t>
      </w:r>
      <w:r w:rsidRPr="00351630">
        <w:t>. Figures in this table are subject to rounding to the nearest million and may not add up to totals.</w:t>
      </w:r>
    </w:p>
    <w:p w14:paraId="3CBDAD36" w14:textId="77777777" w:rsidR="00346FC5" w:rsidRPr="00351630" w:rsidRDefault="00346FC5" w:rsidP="00346FC5">
      <w:pPr>
        <w:pStyle w:val="Note"/>
      </w:pPr>
      <w:r w:rsidRPr="00351630">
        <w:t>(b)</w:t>
      </w:r>
      <w:r w:rsidRPr="00351630">
        <w:tab/>
        <w:t>Comprises dividends, income tax and rate equivalent revenue and interest.</w:t>
      </w:r>
    </w:p>
    <w:p w14:paraId="53AACA88" w14:textId="77777777" w:rsidR="00346FC5" w:rsidRPr="00351630" w:rsidRDefault="00346FC5" w:rsidP="00346FC5">
      <w:pPr>
        <w:pStyle w:val="Note"/>
      </w:pPr>
      <w:r w:rsidRPr="00351630">
        <w:t>(c)</w:t>
      </w:r>
      <w:r w:rsidRPr="00351630">
        <w:tab/>
        <w:t>Comprises superannuation interest expense and other superannuation expenses.</w:t>
      </w:r>
    </w:p>
    <w:p w14:paraId="5A289C0C" w14:textId="77777777" w:rsidR="00346FC5" w:rsidRPr="00351630" w:rsidRDefault="00346FC5" w:rsidP="00346FC5">
      <w:pPr>
        <w:pStyle w:val="Heading20"/>
        <w:spacing w:before="180"/>
      </w:pPr>
      <w:bookmarkStart w:id="69" w:name="_Toc481160577"/>
      <w:r w:rsidRPr="00351630">
        <w:t>Application of cash resources</w:t>
      </w:r>
      <w:bookmarkEnd w:id="69"/>
    </w:p>
    <w:p w14:paraId="62F74DA0" w14:textId="77777777" w:rsidR="00346FC5" w:rsidRPr="00351630" w:rsidRDefault="00346FC5" w:rsidP="00346FC5">
      <w:r w:rsidRPr="00351630">
        <w:t xml:space="preserve">Table 5.4 shows the net cash flows from operating activities of the NFPS is projected to increase from a surplus of $1.6 billion in 2023-24 to a surplus of $8.1 billion by 2026-27. This is aligned with the fiscal strategy first set out by the Government in the </w:t>
      </w:r>
      <w:r w:rsidRPr="00351630">
        <w:rPr>
          <w:i/>
          <w:iCs/>
        </w:rPr>
        <w:t>2020</w:t>
      </w:r>
      <w:r w:rsidRPr="00351630">
        <w:rPr>
          <w:i/>
          <w:iCs/>
        </w:rPr>
        <w:noBreakHyphen/>
        <w:t xml:space="preserve">21 Budget </w:t>
      </w:r>
      <w:r w:rsidRPr="00351630">
        <w:t xml:space="preserve">and discussed in Chapter 4 </w:t>
      </w:r>
      <w:r w:rsidRPr="00351630">
        <w:rPr>
          <w:i/>
          <w:iCs/>
        </w:rPr>
        <w:t>Budget position and outlook</w:t>
      </w:r>
      <w:r w:rsidRPr="00351630">
        <w:t>. The surplus net cash flows from operating activities fund 7.2 per cent of the projected net investment in fixed assets in 2023-24 with this expected to increase to 42.3 per cent by 2026</w:t>
      </w:r>
      <w:r w:rsidRPr="00351630">
        <w:noBreakHyphen/>
        <w:t xml:space="preserve">27. The remaining investment in fixed assets is largely funded by borrowings. </w:t>
      </w:r>
    </w:p>
    <w:p w14:paraId="4469E817" w14:textId="4CBB1A0C" w:rsidR="00346FC5" w:rsidRPr="00351630" w:rsidRDefault="00346FC5" w:rsidP="00346FC5">
      <w:r w:rsidRPr="00351630">
        <w:rPr>
          <w:rFonts w:ascii="Garamond" w:eastAsia="Times New Roman" w:hAnsi="Garamond" w:cs="Segoe UI"/>
          <w:lang w:eastAsia="en-AU"/>
        </w:rPr>
        <w:t>Overall, once non-cash items, such as depreciation, are removed the PNFC sector is projected to record an average operating cash flow surplus of $1.6</w:t>
      </w:r>
      <w:r w:rsidRPr="00351630">
        <w:rPr>
          <w:rFonts w:ascii="Times New Roman" w:eastAsia="Times New Roman" w:hAnsi="Times New Roman" w:cs="Times New Roman"/>
          <w:lang w:eastAsia="en-AU"/>
        </w:rPr>
        <w:t> </w:t>
      </w:r>
      <w:r w:rsidRPr="00351630">
        <w:rPr>
          <w:rFonts w:ascii="Garamond" w:eastAsia="Times New Roman" w:hAnsi="Garamond" w:cs="Segoe UI"/>
          <w:lang w:eastAsia="en-AU"/>
        </w:rPr>
        <w:t>billion a year over the</w:t>
      </w:r>
      <w:r w:rsidR="008139D0">
        <w:rPr>
          <w:rFonts w:ascii="Garamond" w:eastAsia="Times New Roman" w:hAnsi="Garamond" w:cs="Segoe UI"/>
          <w:lang w:eastAsia="en-AU"/>
        </w:rPr>
        <w:t> </w:t>
      </w:r>
      <w:r w:rsidRPr="00351630">
        <w:rPr>
          <w:rFonts w:ascii="Garamond" w:eastAsia="Times New Roman" w:hAnsi="Garamond" w:cs="Segoe UI"/>
          <w:lang w:eastAsia="en-AU"/>
        </w:rPr>
        <w:t>budget and forward estimates. The metropolitan water authorities are the primary contributors to this surplus.</w:t>
      </w:r>
    </w:p>
    <w:p w14:paraId="2DF98296" w14:textId="77777777" w:rsidR="00346FC5" w:rsidRPr="00351630" w:rsidRDefault="00346FC5" w:rsidP="00346FC5">
      <w:pPr>
        <w:pStyle w:val="TableHeading"/>
        <w:spacing w:before="200"/>
      </w:pPr>
      <w:r w:rsidRPr="00351630">
        <w:t>Table 5.4:</w:t>
      </w:r>
      <w:r w:rsidRPr="00351630">
        <w:tab/>
        <w:t>Application of cash resources for the non-financial public sector</w:t>
      </w:r>
      <w:r w:rsidRPr="00351630">
        <w:rPr>
          <w:vertAlign w:val="superscript"/>
        </w:rPr>
        <w:t xml:space="preserve"> (a) </w:t>
      </w:r>
      <w:r w:rsidRPr="00351630">
        <w:tab/>
        <w:t>($ million)</w:t>
      </w:r>
    </w:p>
    <w:tbl>
      <w:tblPr>
        <w:tblStyle w:val="DTFTableNumeric"/>
        <w:tblW w:w="7710" w:type="dxa"/>
        <w:tblLayout w:type="fixed"/>
        <w:tblLook w:val="06A0" w:firstRow="1" w:lastRow="0" w:firstColumn="1" w:lastColumn="0" w:noHBand="1" w:noVBand="1"/>
        <w:tblDescription w:val="Type:DtfTable|Workbook:https://vicgov.sharepoint.com/sites/msteams_12cfc2/BP2/Chapter%205/Link_BP2-Chapter5.xlsx|Table:NFPS_AppCash|MergedHeadingRow:1"/>
      </w:tblPr>
      <w:tblGrid>
        <w:gridCol w:w="2946"/>
        <w:gridCol w:w="794"/>
        <w:gridCol w:w="794"/>
        <w:gridCol w:w="794"/>
        <w:gridCol w:w="794"/>
        <w:gridCol w:w="794"/>
        <w:gridCol w:w="794"/>
      </w:tblGrid>
      <w:tr w:rsidR="00346FC5" w:rsidRPr="00351630" w14:paraId="17AA63A2" w14:textId="77777777" w:rsidTr="009835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tcBorders>
          </w:tcPr>
          <w:p w14:paraId="5813923A" w14:textId="77777777" w:rsidR="00346FC5" w:rsidRPr="00351630" w:rsidRDefault="00346FC5" w:rsidP="0098354D">
            <w:pPr>
              <w:keepNext/>
            </w:pPr>
          </w:p>
        </w:tc>
        <w:tc>
          <w:tcPr>
            <w:tcW w:w="794" w:type="dxa"/>
            <w:tcBorders>
              <w:top w:val="single" w:sz="6" w:space="0" w:color="auto"/>
            </w:tcBorders>
          </w:tcPr>
          <w:p w14:paraId="01DD9DD4"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2021</w:t>
            </w:r>
            <w:r w:rsidRPr="00351630">
              <w:noBreakHyphen/>
              <w:t>22</w:t>
            </w:r>
            <w:r w:rsidRPr="00351630">
              <w:br/>
              <w:t>actual</w:t>
            </w:r>
          </w:p>
        </w:tc>
        <w:tc>
          <w:tcPr>
            <w:tcW w:w="794" w:type="dxa"/>
            <w:tcBorders>
              <w:top w:val="single" w:sz="6" w:space="0" w:color="auto"/>
            </w:tcBorders>
          </w:tcPr>
          <w:p w14:paraId="2DFC90EE"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2022</w:t>
            </w:r>
            <w:r w:rsidRPr="00351630">
              <w:noBreakHyphen/>
              <w:t>23</w:t>
            </w:r>
            <w:r w:rsidRPr="00351630">
              <w:br/>
              <w:t>revised</w:t>
            </w:r>
          </w:p>
        </w:tc>
        <w:tc>
          <w:tcPr>
            <w:tcW w:w="794" w:type="dxa"/>
            <w:tcBorders>
              <w:top w:val="single" w:sz="6" w:space="0" w:color="auto"/>
            </w:tcBorders>
          </w:tcPr>
          <w:p w14:paraId="4D50B5CE"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2023</w:t>
            </w:r>
            <w:r w:rsidRPr="00351630">
              <w:noBreakHyphen/>
              <w:t>24</w:t>
            </w:r>
            <w:r w:rsidRPr="00351630">
              <w:br/>
              <w:t>budget</w:t>
            </w:r>
          </w:p>
        </w:tc>
        <w:tc>
          <w:tcPr>
            <w:tcW w:w="794" w:type="dxa"/>
            <w:tcBorders>
              <w:top w:val="single" w:sz="6" w:space="0" w:color="auto"/>
            </w:tcBorders>
          </w:tcPr>
          <w:p w14:paraId="2C5B8B49"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2024</w:t>
            </w:r>
            <w:r w:rsidRPr="00351630">
              <w:noBreakHyphen/>
              <w:t>25</w:t>
            </w:r>
            <w:r w:rsidRPr="00351630">
              <w:br/>
              <w:t>estimate</w:t>
            </w:r>
          </w:p>
        </w:tc>
        <w:tc>
          <w:tcPr>
            <w:tcW w:w="794" w:type="dxa"/>
            <w:tcBorders>
              <w:top w:val="single" w:sz="6" w:space="0" w:color="auto"/>
            </w:tcBorders>
          </w:tcPr>
          <w:p w14:paraId="4EFB3521"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2025</w:t>
            </w:r>
            <w:r w:rsidRPr="00351630">
              <w:noBreakHyphen/>
              <w:t>26</w:t>
            </w:r>
            <w:r w:rsidRPr="00351630">
              <w:br/>
              <w:t>estimate</w:t>
            </w:r>
          </w:p>
        </w:tc>
        <w:tc>
          <w:tcPr>
            <w:tcW w:w="794" w:type="dxa"/>
            <w:tcBorders>
              <w:top w:val="single" w:sz="6" w:space="0" w:color="auto"/>
            </w:tcBorders>
          </w:tcPr>
          <w:p w14:paraId="16320304"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2026</w:t>
            </w:r>
            <w:r w:rsidRPr="00351630">
              <w:noBreakHyphen/>
              <w:t>27</w:t>
            </w:r>
            <w:r w:rsidRPr="00351630">
              <w:br/>
              <w:t>estimate</w:t>
            </w:r>
          </w:p>
        </w:tc>
      </w:tr>
      <w:tr w:rsidR="00346FC5" w:rsidRPr="00351630" w14:paraId="0B3518D3"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7EBCF3A6" w14:textId="77777777" w:rsidR="00346FC5" w:rsidRPr="00351630" w:rsidRDefault="00346FC5" w:rsidP="0098354D">
            <w:r w:rsidRPr="00351630">
              <w:t>Net result from transactions</w:t>
            </w:r>
          </w:p>
        </w:tc>
        <w:tc>
          <w:tcPr>
            <w:tcW w:w="794" w:type="dxa"/>
          </w:tcPr>
          <w:p w14:paraId="31DC112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(14 073)</w:t>
            </w:r>
          </w:p>
        </w:tc>
        <w:tc>
          <w:tcPr>
            <w:tcW w:w="794" w:type="dxa"/>
          </w:tcPr>
          <w:p w14:paraId="628BDE8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(11 530)</w:t>
            </w:r>
          </w:p>
        </w:tc>
        <w:tc>
          <w:tcPr>
            <w:tcW w:w="794" w:type="dxa"/>
          </w:tcPr>
          <w:p w14:paraId="2AE4286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(5 466)</w:t>
            </w:r>
          </w:p>
        </w:tc>
        <w:tc>
          <w:tcPr>
            <w:tcW w:w="794" w:type="dxa"/>
          </w:tcPr>
          <w:p w14:paraId="0DEE9E9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(2 282)</w:t>
            </w:r>
          </w:p>
        </w:tc>
        <w:tc>
          <w:tcPr>
            <w:tcW w:w="794" w:type="dxa"/>
          </w:tcPr>
          <w:p w14:paraId="16477A1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(243)</w:t>
            </w:r>
          </w:p>
        </w:tc>
        <w:tc>
          <w:tcPr>
            <w:tcW w:w="794" w:type="dxa"/>
          </w:tcPr>
          <w:p w14:paraId="4F22F59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(109)</w:t>
            </w:r>
          </w:p>
        </w:tc>
      </w:tr>
      <w:tr w:rsidR="00346FC5" w:rsidRPr="00351630" w14:paraId="68E3F4C8"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0F05FE25" w14:textId="77777777" w:rsidR="00346FC5" w:rsidRPr="00351630" w:rsidRDefault="00346FC5" w:rsidP="0098354D">
            <w:r w:rsidRPr="00351630">
              <w:t xml:space="preserve">Add back: operating cash flows not recognised in the net operating balance </w:t>
            </w:r>
            <w:r w:rsidRPr="00351630">
              <w:rPr>
                <w:vertAlign w:val="superscript"/>
              </w:rPr>
              <w:t>(b)</w:t>
            </w:r>
          </w:p>
        </w:tc>
        <w:tc>
          <w:tcPr>
            <w:tcW w:w="794" w:type="dxa"/>
            <w:tcBorders>
              <w:bottom w:val="single" w:sz="6" w:space="0" w:color="auto"/>
            </w:tcBorders>
          </w:tcPr>
          <w:p w14:paraId="73F37A5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7 158</w:t>
            </w:r>
          </w:p>
        </w:tc>
        <w:tc>
          <w:tcPr>
            <w:tcW w:w="794" w:type="dxa"/>
            <w:tcBorders>
              <w:bottom w:val="single" w:sz="6" w:space="0" w:color="auto"/>
            </w:tcBorders>
          </w:tcPr>
          <w:p w14:paraId="5EA9AF4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15 948</w:t>
            </w:r>
          </w:p>
        </w:tc>
        <w:tc>
          <w:tcPr>
            <w:tcW w:w="794" w:type="dxa"/>
            <w:tcBorders>
              <w:bottom w:val="single" w:sz="6" w:space="0" w:color="auto"/>
            </w:tcBorders>
          </w:tcPr>
          <w:p w14:paraId="2EB615E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7 114</w:t>
            </w:r>
          </w:p>
        </w:tc>
        <w:tc>
          <w:tcPr>
            <w:tcW w:w="794" w:type="dxa"/>
            <w:tcBorders>
              <w:bottom w:val="single" w:sz="6" w:space="0" w:color="auto"/>
            </w:tcBorders>
          </w:tcPr>
          <w:p w14:paraId="1A721F7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7 921</w:t>
            </w:r>
          </w:p>
        </w:tc>
        <w:tc>
          <w:tcPr>
            <w:tcW w:w="794" w:type="dxa"/>
            <w:tcBorders>
              <w:bottom w:val="single" w:sz="6" w:space="0" w:color="auto"/>
            </w:tcBorders>
          </w:tcPr>
          <w:p w14:paraId="272E2A6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8 266</w:t>
            </w:r>
          </w:p>
        </w:tc>
        <w:tc>
          <w:tcPr>
            <w:tcW w:w="794" w:type="dxa"/>
            <w:tcBorders>
              <w:bottom w:val="single" w:sz="6" w:space="0" w:color="auto"/>
            </w:tcBorders>
          </w:tcPr>
          <w:p w14:paraId="311E0CF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8 246</w:t>
            </w:r>
          </w:p>
        </w:tc>
      </w:tr>
      <w:tr w:rsidR="00346FC5" w:rsidRPr="00351630" w14:paraId="4AC81ED6"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6" w:space="0" w:color="auto"/>
            </w:tcBorders>
          </w:tcPr>
          <w:p w14:paraId="0C329E6F" w14:textId="77777777" w:rsidR="00346FC5" w:rsidRPr="00351630" w:rsidRDefault="00346FC5" w:rsidP="0098354D">
            <w:r w:rsidRPr="00351630">
              <w:rPr>
                <w:b/>
              </w:rPr>
              <w:t>Net cash flows from operating activities</w:t>
            </w:r>
          </w:p>
        </w:tc>
        <w:tc>
          <w:tcPr>
            <w:tcW w:w="794" w:type="dxa"/>
            <w:tcBorders>
              <w:top w:val="single" w:sz="6" w:space="0" w:color="auto"/>
              <w:bottom w:val="single" w:sz="6" w:space="0" w:color="auto"/>
            </w:tcBorders>
          </w:tcPr>
          <w:p w14:paraId="0CF4D2E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(6 915)</w:t>
            </w:r>
          </w:p>
        </w:tc>
        <w:tc>
          <w:tcPr>
            <w:tcW w:w="794" w:type="dxa"/>
            <w:tcBorders>
              <w:top w:val="single" w:sz="6" w:space="0" w:color="auto"/>
              <w:bottom w:val="single" w:sz="6" w:space="0" w:color="auto"/>
            </w:tcBorders>
          </w:tcPr>
          <w:p w14:paraId="274AD15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4 418</w:t>
            </w:r>
          </w:p>
        </w:tc>
        <w:tc>
          <w:tcPr>
            <w:tcW w:w="794" w:type="dxa"/>
            <w:tcBorders>
              <w:top w:val="single" w:sz="6" w:space="0" w:color="auto"/>
              <w:bottom w:val="single" w:sz="6" w:space="0" w:color="auto"/>
            </w:tcBorders>
          </w:tcPr>
          <w:p w14:paraId="7C4CC02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1 648</w:t>
            </w:r>
          </w:p>
        </w:tc>
        <w:tc>
          <w:tcPr>
            <w:tcW w:w="794" w:type="dxa"/>
            <w:tcBorders>
              <w:top w:val="single" w:sz="6" w:space="0" w:color="auto"/>
              <w:bottom w:val="single" w:sz="6" w:space="0" w:color="auto"/>
            </w:tcBorders>
          </w:tcPr>
          <w:p w14:paraId="27748D0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5 639</w:t>
            </w:r>
          </w:p>
        </w:tc>
        <w:tc>
          <w:tcPr>
            <w:tcW w:w="794" w:type="dxa"/>
            <w:tcBorders>
              <w:top w:val="single" w:sz="6" w:space="0" w:color="auto"/>
              <w:bottom w:val="single" w:sz="6" w:space="0" w:color="auto"/>
            </w:tcBorders>
          </w:tcPr>
          <w:p w14:paraId="3D5439B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8 024</w:t>
            </w:r>
          </w:p>
        </w:tc>
        <w:tc>
          <w:tcPr>
            <w:tcW w:w="794" w:type="dxa"/>
            <w:tcBorders>
              <w:top w:val="single" w:sz="6" w:space="0" w:color="auto"/>
              <w:bottom w:val="single" w:sz="6" w:space="0" w:color="auto"/>
            </w:tcBorders>
          </w:tcPr>
          <w:p w14:paraId="6336DCF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8 138</w:t>
            </w:r>
          </w:p>
        </w:tc>
      </w:tr>
      <w:tr w:rsidR="00346FC5" w:rsidRPr="00351630" w14:paraId="65825972"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7A53E489" w14:textId="77777777" w:rsidR="00346FC5" w:rsidRPr="00351630" w:rsidRDefault="00346FC5" w:rsidP="0098354D">
            <w:r w:rsidRPr="00351630">
              <w:rPr>
                <w:b/>
              </w:rPr>
              <w:t xml:space="preserve">Less: Total net investment in fixed assets </w:t>
            </w:r>
            <w:r w:rsidRPr="00351630">
              <w:rPr>
                <w:b/>
                <w:vertAlign w:val="superscript"/>
              </w:rPr>
              <w:t>(c)</w:t>
            </w:r>
          </w:p>
        </w:tc>
        <w:tc>
          <w:tcPr>
            <w:tcW w:w="794" w:type="dxa"/>
            <w:tcBorders>
              <w:bottom w:val="single" w:sz="6" w:space="0" w:color="auto"/>
            </w:tcBorders>
          </w:tcPr>
          <w:p w14:paraId="7F73521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18 274</w:t>
            </w:r>
          </w:p>
        </w:tc>
        <w:tc>
          <w:tcPr>
            <w:tcW w:w="794" w:type="dxa"/>
            <w:tcBorders>
              <w:bottom w:val="single" w:sz="6" w:space="0" w:color="auto"/>
            </w:tcBorders>
          </w:tcPr>
          <w:p w14:paraId="0620C24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22 211</w:t>
            </w:r>
          </w:p>
        </w:tc>
        <w:tc>
          <w:tcPr>
            <w:tcW w:w="794" w:type="dxa"/>
            <w:tcBorders>
              <w:bottom w:val="single" w:sz="6" w:space="0" w:color="auto"/>
            </w:tcBorders>
          </w:tcPr>
          <w:p w14:paraId="31C9DEC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22 747</w:t>
            </w:r>
          </w:p>
        </w:tc>
        <w:tc>
          <w:tcPr>
            <w:tcW w:w="794" w:type="dxa"/>
            <w:tcBorders>
              <w:bottom w:val="single" w:sz="6" w:space="0" w:color="auto"/>
            </w:tcBorders>
          </w:tcPr>
          <w:p w14:paraId="28737E7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22 712</w:t>
            </w:r>
          </w:p>
        </w:tc>
        <w:tc>
          <w:tcPr>
            <w:tcW w:w="794" w:type="dxa"/>
            <w:tcBorders>
              <w:bottom w:val="single" w:sz="6" w:space="0" w:color="auto"/>
            </w:tcBorders>
          </w:tcPr>
          <w:p w14:paraId="71C7415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20 269</w:t>
            </w:r>
          </w:p>
        </w:tc>
        <w:tc>
          <w:tcPr>
            <w:tcW w:w="794" w:type="dxa"/>
            <w:tcBorders>
              <w:bottom w:val="single" w:sz="6" w:space="0" w:color="auto"/>
            </w:tcBorders>
          </w:tcPr>
          <w:p w14:paraId="04239E7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19 216</w:t>
            </w:r>
          </w:p>
        </w:tc>
      </w:tr>
      <w:tr w:rsidR="00346FC5" w:rsidRPr="00351630" w14:paraId="13DC7EFC"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6" w:space="0" w:color="auto"/>
            </w:tcBorders>
          </w:tcPr>
          <w:p w14:paraId="54AE690B" w14:textId="77777777" w:rsidR="00346FC5" w:rsidRPr="00351630" w:rsidRDefault="00346FC5" w:rsidP="0098354D">
            <w:r w:rsidRPr="00351630">
              <w:rPr>
                <w:b/>
              </w:rPr>
              <w:t>Surplus/(deficit) of cash from operations after funding net investments in fixed assets</w:t>
            </w:r>
          </w:p>
        </w:tc>
        <w:tc>
          <w:tcPr>
            <w:tcW w:w="794" w:type="dxa"/>
            <w:tcBorders>
              <w:top w:val="single" w:sz="6" w:space="0" w:color="auto"/>
              <w:bottom w:val="single" w:sz="6" w:space="0" w:color="auto"/>
            </w:tcBorders>
          </w:tcPr>
          <w:p w14:paraId="4200A3C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(25 189)</w:t>
            </w:r>
          </w:p>
        </w:tc>
        <w:tc>
          <w:tcPr>
            <w:tcW w:w="794" w:type="dxa"/>
            <w:tcBorders>
              <w:top w:val="single" w:sz="6" w:space="0" w:color="auto"/>
              <w:bottom w:val="single" w:sz="6" w:space="0" w:color="auto"/>
            </w:tcBorders>
          </w:tcPr>
          <w:p w14:paraId="2D98393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(17 793)</w:t>
            </w:r>
          </w:p>
        </w:tc>
        <w:tc>
          <w:tcPr>
            <w:tcW w:w="794" w:type="dxa"/>
            <w:tcBorders>
              <w:top w:val="single" w:sz="6" w:space="0" w:color="auto"/>
              <w:bottom w:val="single" w:sz="6" w:space="0" w:color="auto"/>
            </w:tcBorders>
          </w:tcPr>
          <w:p w14:paraId="43D82C6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(21 099)</w:t>
            </w:r>
          </w:p>
        </w:tc>
        <w:tc>
          <w:tcPr>
            <w:tcW w:w="794" w:type="dxa"/>
            <w:tcBorders>
              <w:top w:val="single" w:sz="6" w:space="0" w:color="auto"/>
              <w:bottom w:val="single" w:sz="6" w:space="0" w:color="auto"/>
            </w:tcBorders>
          </w:tcPr>
          <w:p w14:paraId="572D40F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(17 073)</w:t>
            </w:r>
          </w:p>
        </w:tc>
        <w:tc>
          <w:tcPr>
            <w:tcW w:w="794" w:type="dxa"/>
            <w:tcBorders>
              <w:top w:val="single" w:sz="6" w:space="0" w:color="auto"/>
              <w:bottom w:val="single" w:sz="6" w:space="0" w:color="auto"/>
            </w:tcBorders>
          </w:tcPr>
          <w:p w14:paraId="7E21343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(12 245)</w:t>
            </w:r>
          </w:p>
        </w:tc>
        <w:tc>
          <w:tcPr>
            <w:tcW w:w="794" w:type="dxa"/>
            <w:tcBorders>
              <w:top w:val="single" w:sz="6" w:space="0" w:color="auto"/>
              <w:bottom w:val="single" w:sz="6" w:space="0" w:color="auto"/>
            </w:tcBorders>
          </w:tcPr>
          <w:p w14:paraId="5ADE0E6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(11 078)</w:t>
            </w:r>
          </w:p>
        </w:tc>
      </w:tr>
      <w:tr w:rsidR="00346FC5" w:rsidRPr="00351630" w14:paraId="10CA5499"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tcBorders>
          </w:tcPr>
          <w:p w14:paraId="0D00480A" w14:textId="77777777" w:rsidR="00346FC5" w:rsidRPr="00351630" w:rsidRDefault="00346FC5" w:rsidP="0098354D">
            <w:r w:rsidRPr="00351630">
              <w:t>Less:</w:t>
            </w:r>
          </w:p>
        </w:tc>
        <w:tc>
          <w:tcPr>
            <w:tcW w:w="794" w:type="dxa"/>
            <w:tcBorders>
              <w:top w:val="single" w:sz="6" w:space="0" w:color="auto"/>
            </w:tcBorders>
          </w:tcPr>
          <w:p w14:paraId="5ED86DD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FFAB28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F9F2A8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82F35D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63146C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B76348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rsidRPr="00351630" w14:paraId="4B1DC30B"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3D1C297B" w14:textId="77777777" w:rsidR="00346FC5" w:rsidRPr="00351630" w:rsidRDefault="00346FC5" w:rsidP="0098354D">
            <w:r w:rsidRPr="00351630">
              <w:t xml:space="preserve">Leases and service concession arrangements </w:t>
            </w:r>
            <w:r w:rsidRPr="00351630">
              <w:rPr>
                <w:vertAlign w:val="superscript"/>
              </w:rPr>
              <w:t>(d)</w:t>
            </w:r>
          </w:p>
        </w:tc>
        <w:tc>
          <w:tcPr>
            <w:tcW w:w="794" w:type="dxa"/>
          </w:tcPr>
          <w:p w14:paraId="7C701A7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3 027</w:t>
            </w:r>
          </w:p>
        </w:tc>
        <w:tc>
          <w:tcPr>
            <w:tcW w:w="794" w:type="dxa"/>
          </w:tcPr>
          <w:p w14:paraId="73B5203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3 466</w:t>
            </w:r>
          </w:p>
        </w:tc>
        <w:tc>
          <w:tcPr>
            <w:tcW w:w="794" w:type="dxa"/>
          </w:tcPr>
          <w:p w14:paraId="06A128D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2 566</w:t>
            </w:r>
          </w:p>
        </w:tc>
        <w:tc>
          <w:tcPr>
            <w:tcW w:w="794" w:type="dxa"/>
          </w:tcPr>
          <w:p w14:paraId="6FA93BC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1 241</w:t>
            </w:r>
          </w:p>
        </w:tc>
        <w:tc>
          <w:tcPr>
            <w:tcW w:w="794" w:type="dxa"/>
          </w:tcPr>
          <w:p w14:paraId="4A67933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1 044</w:t>
            </w:r>
          </w:p>
        </w:tc>
        <w:tc>
          <w:tcPr>
            <w:tcW w:w="794" w:type="dxa"/>
          </w:tcPr>
          <w:p w14:paraId="028889D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1 022</w:t>
            </w:r>
          </w:p>
        </w:tc>
      </w:tr>
      <w:tr w:rsidR="00346FC5" w:rsidRPr="00351630" w14:paraId="054B5F34"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4FD05C15" w14:textId="77777777" w:rsidR="00346FC5" w:rsidRPr="00351630" w:rsidRDefault="00346FC5" w:rsidP="0098354D">
            <w:r w:rsidRPr="00351630">
              <w:t>Other movements</w:t>
            </w:r>
          </w:p>
        </w:tc>
        <w:tc>
          <w:tcPr>
            <w:tcW w:w="794" w:type="dxa"/>
            <w:tcBorders>
              <w:bottom w:val="single" w:sz="6" w:space="0" w:color="auto"/>
            </w:tcBorders>
          </w:tcPr>
          <w:p w14:paraId="07696F5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(225)</w:t>
            </w:r>
          </w:p>
        </w:tc>
        <w:tc>
          <w:tcPr>
            <w:tcW w:w="794" w:type="dxa"/>
            <w:tcBorders>
              <w:bottom w:val="single" w:sz="6" w:space="0" w:color="auto"/>
            </w:tcBorders>
          </w:tcPr>
          <w:p w14:paraId="72E2258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(336)</w:t>
            </w:r>
          </w:p>
        </w:tc>
        <w:tc>
          <w:tcPr>
            <w:tcW w:w="794" w:type="dxa"/>
            <w:tcBorders>
              <w:bottom w:val="single" w:sz="6" w:space="0" w:color="auto"/>
            </w:tcBorders>
          </w:tcPr>
          <w:p w14:paraId="68C7086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374</w:t>
            </w:r>
          </w:p>
        </w:tc>
        <w:tc>
          <w:tcPr>
            <w:tcW w:w="794" w:type="dxa"/>
            <w:tcBorders>
              <w:bottom w:val="single" w:sz="6" w:space="0" w:color="auto"/>
            </w:tcBorders>
          </w:tcPr>
          <w:p w14:paraId="369A5F9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152</w:t>
            </w:r>
          </w:p>
        </w:tc>
        <w:tc>
          <w:tcPr>
            <w:tcW w:w="794" w:type="dxa"/>
            <w:tcBorders>
              <w:bottom w:val="single" w:sz="6" w:space="0" w:color="auto"/>
            </w:tcBorders>
          </w:tcPr>
          <w:p w14:paraId="5B50F2B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(100)</w:t>
            </w:r>
          </w:p>
        </w:tc>
        <w:tc>
          <w:tcPr>
            <w:tcW w:w="794" w:type="dxa"/>
            <w:tcBorders>
              <w:bottom w:val="single" w:sz="6" w:space="0" w:color="auto"/>
            </w:tcBorders>
          </w:tcPr>
          <w:p w14:paraId="4B7C942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(261)</w:t>
            </w:r>
          </w:p>
        </w:tc>
      </w:tr>
      <w:tr w:rsidR="00346FC5" w:rsidRPr="00351630" w14:paraId="6D1C85F6"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12" w:space="0" w:color="auto"/>
            </w:tcBorders>
          </w:tcPr>
          <w:p w14:paraId="378FFD9F" w14:textId="77777777" w:rsidR="00346FC5" w:rsidRPr="00351630" w:rsidRDefault="00346FC5" w:rsidP="0098354D">
            <w:r w:rsidRPr="00351630">
              <w:rPr>
                <w:b/>
              </w:rPr>
              <w:t>Decrease/(increase) in net debt</w:t>
            </w:r>
          </w:p>
        </w:tc>
        <w:tc>
          <w:tcPr>
            <w:tcW w:w="794" w:type="dxa"/>
            <w:tcBorders>
              <w:top w:val="single" w:sz="6" w:space="0" w:color="auto"/>
              <w:bottom w:val="single" w:sz="12" w:space="0" w:color="auto"/>
            </w:tcBorders>
          </w:tcPr>
          <w:p w14:paraId="2A018B4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(27 991)</w:t>
            </w:r>
          </w:p>
        </w:tc>
        <w:tc>
          <w:tcPr>
            <w:tcW w:w="794" w:type="dxa"/>
            <w:tcBorders>
              <w:top w:val="single" w:sz="6" w:space="0" w:color="auto"/>
              <w:bottom w:val="single" w:sz="12" w:space="0" w:color="auto"/>
            </w:tcBorders>
          </w:tcPr>
          <w:p w14:paraId="1849572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(20 924)</w:t>
            </w:r>
          </w:p>
        </w:tc>
        <w:tc>
          <w:tcPr>
            <w:tcW w:w="794" w:type="dxa"/>
            <w:tcBorders>
              <w:top w:val="single" w:sz="6" w:space="0" w:color="auto"/>
              <w:bottom w:val="single" w:sz="12" w:space="0" w:color="auto"/>
            </w:tcBorders>
          </w:tcPr>
          <w:p w14:paraId="50A1084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(24 039)</w:t>
            </w:r>
          </w:p>
        </w:tc>
        <w:tc>
          <w:tcPr>
            <w:tcW w:w="794" w:type="dxa"/>
            <w:tcBorders>
              <w:top w:val="single" w:sz="6" w:space="0" w:color="auto"/>
              <w:bottom w:val="single" w:sz="12" w:space="0" w:color="auto"/>
            </w:tcBorders>
          </w:tcPr>
          <w:p w14:paraId="4CC82DF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(18 466)</w:t>
            </w:r>
          </w:p>
        </w:tc>
        <w:tc>
          <w:tcPr>
            <w:tcW w:w="794" w:type="dxa"/>
            <w:tcBorders>
              <w:top w:val="single" w:sz="6" w:space="0" w:color="auto"/>
              <w:bottom w:val="single" w:sz="12" w:space="0" w:color="auto"/>
            </w:tcBorders>
          </w:tcPr>
          <w:p w14:paraId="36992FB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(13 189)</w:t>
            </w:r>
          </w:p>
        </w:tc>
        <w:tc>
          <w:tcPr>
            <w:tcW w:w="794" w:type="dxa"/>
            <w:tcBorders>
              <w:top w:val="single" w:sz="6" w:space="0" w:color="auto"/>
              <w:bottom w:val="single" w:sz="12" w:space="0" w:color="auto"/>
            </w:tcBorders>
          </w:tcPr>
          <w:p w14:paraId="2DC802B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(11 839)</w:t>
            </w:r>
          </w:p>
        </w:tc>
      </w:tr>
    </w:tbl>
    <w:p w14:paraId="7A4C0EA6" w14:textId="77777777" w:rsidR="00346FC5" w:rsidRPr="00351630" w:rsidRDefault="00346FC5" w:rsidP="00346FC5">
      <w:pPr>
        <w:pStyle w:val="Note"/>
      </w:pPr>
      <w:r w:rsidRPr="00351630">
        <w:t>Notes:</w:t>
      </w:r>
    </w:p>
    <w:p w14:paraId="52DADFE1" w14:textId="77777777" w:rsidR="00346FC5" w:rsidRPr="00351630" w:rsidRDefault="00346FC5" w:rsidP="007B1F83">
      <w:pPr>
        <w:pStyle w:val="Note"/>
        <w:numPr>
          <w:ilvl w:val="0"/>
          <w:numId w:val="22"/>
        </w:numPr>
        <w:tabs>
          <w:tab w:val="clear" w:pos="284"/>
        </w:tabs>
        <w:spacing w:before="20"/>
      </w:pPr>
      <w:bookmarkStart w:id="70" w:name="_Hlk71195535"/>
      <w:r w:rsidRPr="00351630">
        <w:t>Figures in this table are subject to rounding to the nearest million and may not add up to totals.</w:t>
      </w:r>
    </w:p>
    <w:bookmarkEnd w:id="70"/>
    <w:p w14:paraId="31CB9208" w14:textId="77777777" w:rsidR="00346FC5" w:rsidRPr="00351630" w:rsidRDefault="00346FC5" w:rsidP="007B1F83">
      <w:pPr>
        <w:pStyle w:val="Note"/>
        <w:numPr>
          <w:ilvl w:val="0"/>
          <w:numId w:val="22"/>
        </w:numPr>
        <w:tabs>
          <w:tab w:val="clear" w:pos="284"/>
        </w:tabs>
        <w:spacing w:before="20"/>
      </w:pPr>
      <w:r w:rsidRPr="00351630">
        <w:t>Includes depreciation, prepayments and movements in the superannuation liability and liability of employee benefits for the year, and the progressive unwinding of the grant of a right to the operator liability.</w:t>
      </w:r>
    </w:p>
    <w:p w14:paraId="69AE07D5" w14:textId="77777777" w:rsidR="00346FC5" w:rsidRPr="00351630" w:rsidRDefault="00346FC5" w:rsidP="007B1F83">
      <w:pPr>
        <w:pStyle w:val="Note"/>
        <w:numPr>
          <w:ilvl w:val="0"/>
          <w:numId w:val="22"/>
        </w:numPr>
        <w:tabs>
          <w:tab w:val="clear" w:pos="284"/>
        </w:tabs>
        <w:spacing w:before="20"/>
      </w:pPr>
      <w:r w:rsidRPr="00351630">
        <w:t>Includes total purchases of plant, property and equipment, and capital contributions to other sectors of government net of proceeds from asset sales.</w:t>
      </w:r>
    </w:p>
    <w:p w14:paraId="546F68CB" w14:textId="77777777" w:rsidR="00346FC5" w:rsidRPr="00351630" w:rsidRDefault="00346FC5" w:rsidP="007B1F83">
      <w:pPr>
        <w:pStyle w:val="Note"/>
        <w:numPr>
          <w:ilvl w:val="0"/>
          <w:numId w:val="22"/>
        </w:numPr>
        <w:tabs>
          <w:tab w:val="clear" w:pos="284"/>
        </w:tabs>
        <w:spacing w:before="20"/>
      </w:pPr>
      <w:r w:rsidRPr="00351630">
        <w:t xml:space="preserve">Includes most operating leases which are now required to be recognised as lease liabilities. It also includes financial liabilities relating to public private partnerships including the High Capacity Metro Trains, the Metro Tunnel, the new Footscray Hospital, the Frankston Hospital Redevelopment, the Western Roads Upgrade, </w:t>
      </w:r>
      <w:bookmarkStart w:id="71" w:name="_Hlk134594018"/>
      <w:r w:rsidRPr="00351630">
        <w:t>North East Link – Primary Package (Tunnels)</w:t>
      </w:r>
      <w:bookmarkEnd w:id="71"/>
      <w:r w:rsidRPr="00351630">
        <w:t>, and the Homes Victoria Ground Lease Model Projects 1 and 2.</w:t>
      </w:r>
      <w:bookmarkStart w:id="72" w:name="_Toc481160578"/>
    </w:p>
    <w:p w14:paraId="51141B99" w14:textId="77777777" w:rsidR="00346FC5" w:rsidRPr="00351630" w:rsidRDefault="00346FC5" w:rsidP="00346FC5">
      <w:pPr>
        <w:keepLines w:val="0"/>
        <w:rPr>
          <w:rFonts w:asciiTheme="majorHAnsi" w:eastAsiaTheme="majorEastAsia" w:hAnsiTheme="majorHAnsi" w:cstheme="majorBidi"/>
          <w:b/>
          <w:sz w:val="27"/>
          <w:szCs w:val="26"/>
        </w:rPr>
      </w:pPr>
      <w:bookmarkStart w:id="73" w:name="_Hlk100048227"/>
      <w:r w:rsidRPr="00351630">
        <w:br w:type="page"/>
      </w:r>
    </w:p>
    <w:p w14:paraId="0B738CFC" w14:textId="77777777" w:rsidR="00346FC5" w:rsidRPr="00351630" w:rsidRDefault="00346FC5" w:rsidP="00346FC5">
      <w:pPr>
        <w:pStyle w:val="Heading20"/>
        <w:spacing w:before="180"/>
      </w:pPr>
      <w:r w:rsidRPr="00351630">
        <w:t>Infrastructure</w:t>
      </w:r>
      <w:bookmarkEnd w:id="72"/>
    </w:p>
    <w:p w14:paraId="6AF44F33" w14:textId="77777777" w:rsidR="00346FC5" w:rsidRPr="00351630" w:rsidRDefault="00346FC5" w:rsidP="00346FC5">
      <w:pPr>
        <w:keepNext/>
        <w:spacing w:before="60"/>
      </w:pPr>
      <w:r w:rsidRPr="00351630">
        <w:t xml:space="preserve">Table 5.4 also provides estimates of the net investment in fixed assets which represents investments in infrastructure that are not funded by the NFPS operating surplus or the proceeds of fixed asset sales. The total net investment in fixed assets by the NFPS is projected to average $21.2 billion a year over the budget and forward estimates. </w:t>
      </w:r>
    </w:p>
    <w:p w14:paraId="398F4573" w14:textId="77777777" w:rsidR="00346FC5" w:rsidRPr="00351630" w:rsidRDefault="00346FC5" w:rsidP="00346FC5">
      <w:pPr>
        <w:keepNext/>
      </w:pPr>
      <w:bookmarkStart w:id="74" w:name="_Hlk69892406"/>
      <w:r w:rsidRPr="00351630">
        <w:t xml:space="preserve">In addition to infrastructure projects under development in the general government sector, as outlined in Budget Paper No. 4, Chapter 2 </w:t>
      </w:r>
      <w:r w:rsidRPr="00351630">
        <w:rPr>
          <w:i/>
          <w:iCs/>
        </w:rPr>
        <w:t>General government capital program</w:t>
      </w:r>
      <w:r w:rsidRPr="00351630">
        <w:t>, the main infrastructure projects in the PNFC sector, are:</w:t>
      </w:r>
    </w:p>
    <w:p w14:paraId="4868123C" w14:textId="77777777" w:rsidR="00346FC5" w:rsidRPr="00351630" w:rsidRDefault="00346FC5" w:rsidP="007B1F83">
      <w:pPr>
        <w:pStyle w:val="ListBullet"/>
      </w:pPr>
      <w:bookmarkStart w:id="75" w:name="_Hlk70538638"/>
      <w:r w:rsidRPr="00351630">
        <w:t xml:space="preserve">investment in transport infrastructure and rolling stock to meet patronage growth and improve network performance. </w:t>
      </w:r>
      <w:bookmarkEnd w:id="75"/>
      <w:r w:rsidRPr="00351630">
        <w:rPr>
          <w:rFonts w:ascii="Garamond" w:eastAsia="Times New Roman" w:hAnsi="Garamond" w:cs="Segoe UI"/>
          <w:lang w:eastAsia="en-AU"/>
        </w:rPr>
        <w:t>This includes the new regional and metropolitan trains, Next Generation Trams, Metro Tunnel infrastructure works and stabling and maintenance facilities for rolling stock</w:t>
      </w:r>
    </w:p>
    <w:p w14:paraId="5B90703F" w14:textId="77777777" w:rsidR="00346FC5" w:rsidRPr="00351630" w:rsidRDefault="00346FC5" w:rsidP="007B1F83">
      <w:pPr>
        <w:pStyle w:val="ListBullet"/>
      </w:pPr>
      <w:r w:rsidRPr="00351630">
        <w:t>investment to deliver the North East Link – Primary Package (Tunnels) by the State Tolling Corporation</w:t>
      </w:r>
      <w:bookmarkStart w:id="76" w:name="_Hlk70516858"/>
      <w:bookmarkStart w:id="77" w:name="_Toc449123071"/>
    </w:p>
    <w:p w14:paraId="4F2F02AB" w14:textId="77777777" w:rsidR="00346FC5" w:rsidRPr="00351630" w:rsidRDefault="00346FC5" w:rsidP="007B1F83">
      <w:pPr>
        <w:pStyle w:val="ListBullet"/>
        <w:rPr>
          <w:rFonts w:ascii="Garamond" w:hAnsi="Garamond" w:cs="Segoe UI"/>
        </w:rPr>
      </w:pPr>
      <w:r w:rsidRPr="00351630">
        <w:rPr>
          <w:rFonts w:ascii="Garamond" w:hAnsi="Garamond" w:cs="Segoe UI"/>
        </w:rPr>
        <w:t>various water and sewer related infrastructure projects, such as the Western Treatment Plant 5W NRP Project, Water for a growing North, Rollout of digital water meters, South Melbourne Sewerage Capacity Upgrade, and upgrade to the Gisborne Recycled Water Plant and the Goulburn Murray Water</w:t>
      </w:r>
      <w:r>
        <w:rPr>
          <w:rFonts w:ascii="Garamond" w:hAnsi="Garamond" w:cs="Segoe UI"/>
        </w:rPr>
        <w:t>’</w:t>
      </w:r>
      <w:r w:rsidRPr="00351630">
        <w:rPr>
          <w:rFonts w:ascii="Garamond" w:hAnsi="Garamond" w:cs="Segoe UI"/>
        </w:rPr>
        <w:t>s Water Efficiency project.</w:t>
      </w:r>
    </w:p>
    <w:bookmarkEnd w:id="76"/>
    <w:p w14:paraId="59863588" w14:textId="77777777" w:rsidR="00346FC5" w:rsidRPr="00351630" w:rsidRDefault="00346FC5" w:rsidP="00346FC5">
      <w:r w:rsidRPr="00351630">
        <w:t xml:space="preserve">Further details on these projects are contained in Budget Paper No. 4, Chapter 3 </w:t>
      </w:r>
      <w:r w:rsidRPr="00351630">
        <w:rPr>
          <w:i/>
          <w:iCs/>
        </w:rPr>
        <w:t>Public non</w:t>
      </w:r>
      <w:r w:rsidRPr="00351630">
        <w:rPr>
          <w:i/>
          <w:iCs/>
        </w:rPr>
        <w:noBreakHyphen/>
        <w:t>financial corporations capital program</w:t>
      </w:r>
      <w:r w:rsidRPr="00351630">
        <w:t>.</w:t>
      </w:r>
    </w:p>
    <w:bookmarkEnd w:id="74"/>
    <w:p w14:paraId="0CC09354" w14:textId="77777777" w:rsidR="00346FC5" w:rsidRPr="00351630" w:rsidRDefault="00346FC5" w:rsidP="00346FC5">
      <w:pPr>
        <w:keepNext/>
        <w:tabs>
          <w:tab w:val="right" w:pos="9582"/>
        </w:tabs>
        <w:spacing w:before="240"/>
        <w:outlineLvl w:val="1"/>
        <w:rPr>
          <w:rFonts w:asciiTheme="majorHAnsi" w:eastAsiaTheme="majorEastAsia" w:hAnsiTheme="majorHAnsi" w:cstheme="majorBidi"/>
          <w:b/>
          <w:spacing w:val="-2"/>
          <w:sz w:val="26"/>
          <w:szCs w:val="26"/>
        </w:rPr>
      </w:pPr>
      <w:r w:rsidRPr="00351630">
        <w:rPr>
          <w:rFonts w:asciiTheme="majorHAnsi" w:eastAsiaTheme="majorEastAsia" w:hAnsiTheme="majorHAnsi" w:cstheme="majorBidi"/>
          <w:b/>
          <w:spacing w:val="-2"/>
          <w:sz w:val="26"/>
          <w:szCs w:val="26"/>
        </w:rPr>
        <w:t>Non</w:t>
      </w:r>
      <w:r w:rsidRPr="00351630">
        <w:rPr>
          <w:rFonts w:asciiTheme="majorHAnsi" w:eastAsiaTheme="majorEastAsia" w:hAnsiTheme="majorHAnsi" w:cstheme="majorBidi"/>
          <w:b/>
          <w:bCs/>
          <w:spacing w:val="-2"/>
          <w:sz w:val="26"/>
          <w:szCs w:val="26"/>
        </w:rPr>
        <w:t>-</w:t>
      </w:r>
      <w:r w:rsidRPr="00351630">
        <w:rPr>
          <w:rFonts w:asciiTheme="majorHAnsi" w:eastAsiaTheme="majorEastAsia" w:hAnsiTheme="majorHAnsi" w:cstheme="majorBidi"/>
          <w:b/>
          <w:spacing w:val="-2"/>
          <w:sz w:val="26"/>
          <w:szCs w:val="26"/>
        </w:rPr>
        <w:t xml:space="preserve">financial public sector net debt </w:t>
      </w:r>
      <w:bookmarkEnd w:id="73"/>
      <w:r w:rsidRPr="00351630">
        <w:rPr>
          <w:rFonts w:asciiTheme="majorHAnsi" w:eastAsiaTheme="majorEastAsia" w:hAnsiTheme="majorHAnsi" w:cstheme="majorBidi"/>
          <w:b/>
          <w:spacing w:val="-2"/>
          <w:sz w:val="26"/>
          <w:szCs w:val="26"/>
        </w:rPr>
        <w:t>and net financial liabilities</w:t>
      </w:r>
      <w:bookmarkEnd w:id="77"/>
    </w:p>
    <w:p w14:paraId="52E0A6BA" w14:textId="77777777" w:rsidR="00346FC5" w:rsidRPr="00351630" w:rsidRDefault="00346FC5" w:rsidP="00346FC5">
      <w:pPr>
        <w:keepNext/>
        <w:ind w:right="-94"/>
      </w:pPr>
      <w:r w:rsidRPr="00351630">
        <w:t xml:space="preserve">Table 5.5 details the NFPS net debt and superannuation liabilities. It shows that net debt is expected to increase from $161.4 billion at 30 June 2024 to $204.9 billion by 30 June 2027. As a proportion of GSP, NFPS net debt is expected to increase from </w:t>
      </w:r>
      <w:r w:rsidRPr="00351630" w:rsidDel="00FE6C91">
        <w:t>26.</w:t>
      </w:r>
      <w:r w:rsidRPr="00351630">
        <w:t>9 per cent at 30 June 2024 to 29.2 per cent at 30 June 2027. The increase in net debt is predominately due to additional borrowings required by the general government sector to fund the State</w:t>
      </w:r>
      <w:r>
        <w:t>’</w:t>
      </w:r>
      <w:r w:rsidRPr="00351630">
        <w:t>s infrastructure investment program.</w:t>
      </w:r>
    </w:p>
    <w:p w14:paraId="0F6903AB" w14:textId="77777777" w:rsidR="00346FC5" w:rsidRPr="00351630" w:rsidRDefault="00346FC5" w:rsidP="00346FC5">
      <w:r w:rsidRPr="00351630">
        <w:t>The NFPS superannuation liability, which primarily resides in the general government sector</w:t>
      </w:r>
      <w:r w:rsidRPr="00351630" w:rsidDel="00E376D9">
        <w:t xml:space="preserve"> </w:t>
      </w:r>
      <w:r w:rsidRPr="00351630">
        <w:t>and relates to the former State Superannuation Fund, is projected to increase over the budget and forward estimates. The key drivers of this increase are discussed in the State of Victoria section of this chapter.</w:t>
      </w:r>
    </w:p>
    <w:p w14:paraId="4ABE5F48" w14:textId="77777777" w:rsidR="00346FC5" w:rsidRPr="00351630" w:rsidRDefault="00346FC5" w:rsidP="00346FC5">
      <w:r w:rsidRPr="00351630">
        <w:t xml:space="preserve">Overall, the net financial liabilities to GSP ratio is projected to increase from 37.1 per cent in 2023-24 to </w:t>
      </w:r>
      <w:r w:rsidRPr="00351630" w:rsidDel="001B6F97">
        <w:t>37.</w:t>
      </w:r>
      <w:r w:rsidRPr="00351630">
        <w:t>7 per cent in 2026-27.</w:t>
      </w:r>
    </w:p>
    <w:p w14:paraId="045A34C9" w14:textId="77777777" w:rsidR="00346FC5" w:rsidRPr="00351630" w:rsidRDefault="00346FC5" w:rsidP="00346FC5">
      <w:pPr>
        <w:pStyle w:val="TableHeading"/>
        <w:pageBreakBefore/>
        <w:ind w:left="1138" w:hanging="1138"/>
      </w:pPr>
      <w:r w:rsidRPr="00351630">
        <w:t xml:space="preserve">Table 5.5: </w:t>
      </w:r>
      <w:r w:rsidRPr="00351630">
        <w:tab/>
        <w:t xml:space="preserve">Non-financial public sector net debt and net financial liabilities </w:t>
      </w:r>
      <w:r w:rsidRPr="00351630">
        <w:rPr>
          <w:vertAlign w:val="superscript"/>
        </w:rPr>
        <w:t>(a)</w:t>
      </w:r>
      <w:r w:rsidRPr="00351630">
        <w:tab/>
        <w:t>($ billion)</w:t>
      </w:r>
    </w:p>
    <w:tbl>
      <w:tblPr>
        <w:tblStyle w:val="DTFTableNumeric"/>
        <w:tblW w:w="7710" w:type="dxa"/>
        <w:tblLayout w:type="fixed"/>
        <w:tblLook w:val="06A0" w:firstRow="1" w:lastRow="0" w:firstColumn="1" w:lastColumn="0" w:noHBand="1" w:noVBand="1"/>
        <w:tblDescription w:val="Type:DtfTable|Workbook:https://vicgov.sharepoint.com/sites/msteams_12cfc2/BP2/Chapter%205/Link_BP2-Chapter5.xlsx|Table:NFPS_NetDebt|MergedHeadingRow:1"/>
      </w:tblPr>
      <w:tblGrid>
        <w:gridCol w:w="2946"/>
        <w:gridCol w:w="794"/>
        <w:gridCol w:w="794"/>
        <w:gridCol w:w="794"/>
        <w:gridCol w:w="794"/>
        <w:gridCol w:w="794"/>
        <w:gridCol w:w="794"/>
      </w:tblGrid>
      <w:tr w:rsidR="00346FC5" w:rsidRPr="00351630" w14:paraId="0A9D7161" w14:textId="77777777" w:rsidTr="009835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46" w:type="dxa"/>
          </w:tcPr>
          <w:p w14:paraId="13A7BE84" w14:textId="77777777" w:rsidR="00346FC5" w:rsidRPr="00351630" w:rsidRDefault="00346FC5" w:rsidP="0098354D">
            <w:pPr>
              <w:keepNext/>
            </w:pPr>
          </w:p>
        </w:tc>
        <w:tc>
          <w:tcPr>
            <w:tcW w:w="794" w:type="dxa"/>
          </w:tcPr>
          <w:p w14:paraId="254489F9"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2021</w:t>
            </w:r>
            <w:r w:rsidRPr="00351630">
              <w:noBreakHyphen/>
              <w:t>22</w:t>
            </w:r>
            <w:r w:rsidRPr="00351630">
              <w:br/>
              <w:t>actual</w:t>
            </w:r>
          </w:p>
        </w:tc>
        <w:tc>
          <w:tcPr>
            <w:tcW w:w="794" w:type="dxa"/>
          </w:tcPr>
          <w:p w14:paraId="516DDBE4"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2022</w:t>
            </w:r>
            <w:r w:rsidRPr="00351630">
              <w:noBreakHyphen/>
              <w:t>23</w:t>
            </w:r>
            <w:r w:rsidRPr="00351630">
              <w:br/>
              <w:t>revised</w:t>
            </w:r>
          </w:p>
        </w:tc>
        <w:tc>
          <w:tcPr>
            <w:tcW w:w="794" w:type="dxa"/>
          </w:tcPr>
          <w:p w14:paraId="7E9989C6"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2023</w:t>
            </w:r>
            <w:r w:rsidRPr="00351630">
              <w:noBreakHyphen/>
              <w:t>24</w:t>
            </w:r>
            <w:r w:rsidRPr="00351630">
              <w:br/>
              <w:t>budget</w:t>
            </w:r>
          </w:p>
        </w:tc>
        <w:tc>
          <w:tcPr>
            <w:tcW w:w="794" w:type="dxa"/>
          </w:tcPr>
          <w:p w14:paraId="634769DD"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2024</w:t>
            </w:r>
            <w:r w:rsidRPr="00351630">
              <w:noBreakHyphen/>
              <w:t>25</w:t>
            </w:r>
            <w:r w:rsidRPr="00351630">
              <w:br/>
              <w:t>estimate</w:t>
            </w:r>
          </w:p>
        </w:tc>
        <w:tc>
          <w:tcPr>
            <w:tcW w:w="794" w:type="dxa"/>
          </w:tcPr>
          <w:p w14:paraId="45B523B8"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2025</w:t>
            </w:r>
            <w:r w:rsidRPr="00351630">
              <w:noBreakHyphen/>
              <w:t>26</w:t>
            </w:r>
            <w:r w:rsidRPr="00351630">
              <w:br/>
              <w:t>estimate</w:t>
            </w:r>
          </w:p>
        </w:tc>
        <w:tc>
          <w:tcPr>
            <w:tcW w:w="794" w:type="dxa"/>
          </w:tcPr>
          <w:p w14:paraId="51281AEA"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2026</w:t>
            </w:r>
            <w:r w:rsidRPr="00351630">
              <w:noBreakHyphen/>
              <w:t>27</w:t>
            </w:r>
            <w:r w:rsidRPr="00351630">
              <w:br/>
              <w:t>estimate</w:t>
            </w:r>
          </w:p>
        </w:tc>
      </w:tr>
      <w:tr w:rsidR="00346FC5" w:rsidRPr="00351630" w14:paraId="033B1574"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55135F11" w14:textId="77777777" w:rsidR="00346FC5" w:rsidRPr="00351630" w:rsidRDefault="00346FC5" w:rsidP="0098354D">
            <w:r w:rsidRPr="00351630">
              <w:rPr>
                <w:b/>
              </w:rPr>
              <w:t>Assets</w:t>
            </w:r>
          </w:p>
        </w:tc>
        <w:tc>
          <w:tcPr>
            <w:tcW w:w="794" w:type="dxa"/>
          </w:tcPr>
          <w:p w14:paraId="6332FE4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36526B6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12EEEDF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732BE24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759413C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4CC6D73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rsidRPr="00351630" w14:paraId="3B022CE6"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0CB2A6A9" w14:textId="77777777" w:rsidR="00346FC5" w:rsidRPr="00351630" w:rsidRDefault="00346FC5" w:rsidP="0098354D">
            <w:r w:rsidRPr="00351630">
              <w:t>Cash and deposits</w:t>
            </w:r>
          </w:p>
        </w:tc>
        <w:tc>
          <w:tcPr>
            <w:tcW w:w="794" w:type="dxa"/>
          </w:tcPr>
          <w:p w14:paraId="3CB0589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12.8</w:t>
            </w:r>
          </w:p>
        </w:tc>
        <w:tc>
          <w:tcPr>
            <w:tcW w:w="794" w:type="dxa"/>
          </w:tcPr>
          <w:p w14:paraId="5444913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21.0</w:t>
            </w:r>
          </w:p>
        </w:tc>
        <w:tc>
          <w:tcPr>
            <w:tcW w:w="794" w:type="dxa"/>
          </w:tcPr>
          <w:p w14:paraId="65839DC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13.0</w:t>
            </w:r>
          </w:p>
        </w:tc>
        <w:tc>
          <w:tcPr>
            <w:tcW w:w="794" w:type="dxa"/>
          </w:tcPr>
          <w:p w14:paraId="0548E15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13.6</w:t>
            </w:r>
          </w:p>
        </w:tc>
        <w:tc>
          <w:tcPr>
            <w:tcW w:w="794" w:type="dxa"/>
          </w:tcPr>
          <w:p w14:paraId="57F99EB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14.4</w:t>
            </w:r>
          </w:p>
        </w:tc>
        <w:tc>
          <w:tcPr>
            <w:tcW w:w="794" w:type="dxa"/>
          </w:tcPr>
          <w:p w14:paraId="1E4AEA1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15.2</w:t>
            </w:r>
          </w:p>
        </w:tc>
      </w:tr>
      <w:tr w:rsidR="00346FC5" w:rsidRPr="00351630" w14:paraId="21655075"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5D813929" w14:textId="77777777" w:rsidR="00346FC5" w:rsidRPr="00351630" w:rsidRDefault="00346FC5" w:rsidP="0098354D">
            <w:r w:rsidRPr="00351630">
              <w:t>Advances paid</w:t>
            </w:r>
          </w:p>
        </w:tc>
        <w:tc>
          <w:tcPr>
            <w:tcW w:w="794" w:type="dxa"/>
          </w:tcPr>
          <w:p w14:paraId="417AD04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0.6</w:t>
            </w:r>
          </w:p>
        </w:tc>
        <w:tc>
          <w:tcPr>
            <w:tcW w:w="794" w:type="dxa"/>
          </w:tcPr>
          <w:p w14:paraId="1F9533B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1.1</w:t>
            </w:r>
          </w:p>
        </w:tc>
        <w:tc>
          <w:tcPr>
            <w:tcW w:w="794" w:type="dxa"/>
          </w:tcPr>
          <w:p w14:paraId="39ED0FD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0.8</w:t>
            </w:r>
          </w:p>
        </w:tc>
        <w:tc>
          <w:tcPr>
            <w:tcW w:w="794" w:type="dxa"/>
          </w:tcPr>
          <w:p w14:paraId="5684FB8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0.7</w:t>
            </w:r>
          </w:p>
        </w:tc>
        <w:tc>
          <w:tcPr>
            <w:tcW w:w="794" w:type="dxa"/>
          </w:tcPr>
          <w:p w14:paraId="46B236C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0.6</w:t>
            </w:r>
          </w:p>
        </w:tc>
        <w:tc>
          <w:tcPr>
            <w:tcW w:w="794" w:type="dxa"/>
          </w:tcPr>
          <w:p w14:paraId="3DEBFD6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0.6</w:t>
            </w:r>
          </w:p>
        </w:tc>
      </w:tr>
      <w:tr w:rsidR="00346FC5" w:rsidRPr="00351630" w14:paraId="2246D076"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46CC4B88" w14:textId="77777777" w:rsidR="00346FC5" w:rsidRPr="00351630" w:rsidRDefault="00346FC5" w:rsidP="0098354D">
            <w:r w:rsidRPr="00351630">
              <w:t>Investments, loans and placements</w:t>
            </w:r>
          </w:p>
        </w:tc>
        <w:tc>
          <w:tcPr>
            <w:tcW w:w="794" w:type="dxa"/>
            <w:tcBorders>
              <w:bottom w:val="single" w:sz="6" w:space="0" w:color="auto"/>
            </w:tcBorders>
          </w:tcPr>
          <w:p w14:paraId="267A6EA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4.2</w:t>
            </w:r>
          </w:p>
        </w:tc>
        <w:tc>
          <w:tcPr>
            <w:tcW w:w="794" w:type="dxa"/>
            <w:tcBorders>
              <w:bottom w:val="single" w:sz="6" w:space="0" w:color="auto"/>
            </w:tcBorders>
          </w:tcPr>
          <w:p w14:paraId="41F3089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5.2</w:t>
            </w:r>
          </w:p>
        </w:tc>
        <w:tc>
          <w:tcPr>
            <w:tcW w:w="794" w:type="dxa"/>
            <w:tcBorders>
              <w:bottom w:val="single" w:sz="6" w:space="0" w:color="auto"/>
            </w:tcBorders>
          </w:tcPr>
          <w:p w14:paraId="239DEE4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14.7</w:t>
            </w:r>
          </w:p>
        </w:tc>
        <w:tc>
          <w:tcPr>
            <w:tcW w:w="794" w:type="dxa"/>
            <w:tcBorders>
              <w:bottom w:val="single" w:sz="6" w:space="0" w:color="auto"/>
            </w:tcBorders>
          </w:tcPr>
          <w:p w14:paraId="7CCB476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16.2</w:t>
            </w:r>
          </w:p>
        </w:tc>
        <w:tc>
          <w:tcPr>
            <w:tcW w:w="794" w:type="dxa"/>
            <w:tcBorders>
              <w:bottom w:val="single" w:sz="6" w:space="0" w:color="auto"/>
            </w:tcBorders>
          </w:tcPr>
          <w:p w14:paraId="1D7F0EF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18.1</w:t>
            </w:r>
          </w:p>
        </w:tc>
        <w:tc>
          <w:tcPr>
            <w:tcW w:w="794" w:type="dxa"/>
            <w:tcBorders>
              <w:bottom w:val="single" w:sz="6" w:space="0" w:color="auto"/>
            </w:tcBorders>
          </w:tcPr>
          <w:p w14:paraId="2E6CE2D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20.3</w:t>
            </w:r>
          </w:p>
        </w:tc>
      </w:tr>
      <w:tr w:rsidR="00346FC5" w:rsidRPr="00351630" w14:paraId="728830F3"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tcBorders>
          </w:tcPr>
          <w:p w14:paraId="11B7F27F" w14:textId="77777777" w:rsidR="00346FC5" w:rsidRPr="00351630" w:rsidRDefault="00346FC5" w:rsidP="0098354D">
            <w:r w:rsidRPr="00351630">
              <w:rPr>
                <w:b/>
              </w:rPr>
              <w:t>Total</w:t>
            </w:r>
          </w:p>
        </w:tc>
        <w:tc>
          <w:tcPr>
            <w:tcW w:w="794" w:type="dxa"/>
            <w:tcBorders>
              <w:top w:val="single" w:sz="6" w:space="0" w:color="auto"/>
            </w:tcBorders>
          </w:tcPr>
          <w:p w14:paraId="58DEAB6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17.6</w:t>
            </w:r>
          </w:p>
        </w:tc>
        <w:tc>
          <w:tcPr>
            <w:tcW w:w="794" w:type="dxa"/>
            <w:tcBorders>
              <w:top w:val="single" w:sz="6" w:space="0" w:color="auto"/>
            </w:tcBorders>
          </w:tcPr>
          <w:p w14:paraId="71619FB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27.3</w:t>
            </w:r>
          </w:p>
        </w:tc>
        <w:tc>
          <w:tcPr>
            <w:tcW w:w="794" w:type="dxa"/>
            <w:tcBorders>
              <w:top w:val="single" w:sz="6" w:space="0" w:color="auto"/>
            </w:tcBorders>
          </w:tcPr>
          <w:p w14:paraId="493A57B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28.6</w:t>
            </w:r>
          </w:p>
        </w:tc>
        <w:tc>
          <w:tcPr>
            <w:tcW w:w="794" w:type="dxa"/>
            <w:tcBorders>
              <w:top w:val="single" w:sz="6" w:space="0" w:color="auto"/>
            </w:tcBorders>
          </w:tcPr>
          <w:p w14:paraId="5E443F6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30.5</w:t>
            </w:r>
          </w:p>
        </w:tc>
        <w:tc>
          <w:tcPr>
            <w:tcW w:w="794" w:type="dxa"/>
            <w:tcBorders>
              <w:top w:val="single" w:sz="6" w:space="0" w:color="auto"/>
            </w:tcBorders>
          </w:tcPr>
          <w:p w14:paraId="7B42360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33.1</w:t>
            </w:r>
          </w:p>
        </w:tc>
        <w:tc>
          <w:tcPr>
            <w:tcW w:w="794" w:type="dxa"/>
            <w:tcBorders>
              <w:top w:val="single" w:sz="6" w:space="0" w:color="auto"/>
            </w:tcBorders>
          </w:tcPr>
          <w:p w14:paraId="361F86E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36.1</w:t>
            </w:r>
          </w:p>
        </w:tc>
      </w:tr>
      <w:tr w:rsidR="00346FC5" w:rsidRPr="00351630" w14:paraId="41C67965"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6DCAC7F8" w14:textId="77777777" w:rsidR="00346FC5" w:rsidRPr="00351630" w:rsidRDefault="00346FC5" w:rsidP="0098354D">
            <w:r w:rsidRPr="00351630">
              <w:rPr>
                <w:b/>
              </w:rPr>
              <w:t>Liabilities</w:t>
            </w:r>
          </w:p>
        </w:tc>
        <w:tc>
          <w:tcPr>
            <w:tcW w:w="794" w:type="dxa"/>
          </w:tcPr>
          <w:p w14:paraId="1766724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503BBB8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1E9615C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7ECEC7D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5DD64F3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01A8BF7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rsidRPr="00351630" w14:paraId="755A073A"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762BFBDE" w14:textId="77777777" w:rsidR="00346FC5" w:rsidRPr="00351630" w:rsidRDefault="00346FC5" w:rsidP="0098354D">
            <w:r w:rsidRPr="00351630">
              <w:t>Deposits held and advances received</w:t>
            </w:r>
          </w:p>
        </w:tc>
        <w:tc>
          <w:tcPr>
            <w:tcW w:w="794" w:type="dxa"/>
          </w:tcPr>
          <w:p w14:paraId="106A79B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1.6</w:t>
            </w:r>
          </w:p>
        </w:tc>
        <w:tc>
          <w:tcPr>
            <w:tcW w:w="794" w:type="dxa"/>
          </w:tcPr>
          <w:p w14:paraId="5FCB79D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1.6</w:t>
            </w:r>
          </w:p>
        </w:tc>
        <w:tc>
          <w:tcPr>
            <w:tcW w:w="794" w:type="dxa"/>
          </w:tcPr>
          <w:p w14:paraId="1C0E986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1.6</w:t>
            </w:r>
          </w:p>
        </w:tc>
        <w:tc>
          <w:tcPr>
            <w:tcW w:w="794" w:type="dxa"/>
          </w:tcPr>
          <w:p w14:paraId="76F8A89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1.6</w:t>
            </w:r>
          </w:p>
        </w:tc>
        <w:tc>
          <w:tcPr>
            <w:tcW w:w="794" w:type="dxa"/>
          </w:tcPr>
          <w:p w14:paraId="3C6788A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1.6</w:t>
            </w:r>
          </w:p>
        </w:tc>
        <w:tc>
          <w:tcPr>
            <w:tcW w:w="794" w:type="dxa"/>
          </w:tcPr>
          <w:p w14:paraId="6AF2880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1.6</w:t>
            </w:r>
          </w:p>
        </w:tc>
      </w:tr>
      <w:tr w:rsidR="00346FC5" w:rsidRPr="00351630" w14:paraId="191A138B"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19D43861" w14:textId="77777777" w:rsidR="00346FC5" w:rsidRPr="00351630" w:rsidRDefault="00346FC5" w:rsidP="0098354D">
            <w:r w:rsidRPr="00351630">
              <w:t>Borrowings</w:t>
            </w:r>
          </w:p>
        </w:tc>
        <w:tc>
          <w:tcPr>
            <w:tcW w:w="794" w:type="dxa"/>
            <w:tcBorders>
              <w:bottom w:val="single" w:sz="6" w:space="0" w:color="auto"/>
            </w:tcBorders>
          </w:tcPr>
          <w:p w14:paraId="7D83A1E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132.5</w:t>
            </w:r>
          </w:p>
        </w:tc>
        <w:tc>
          <w:tcPr>
            <w:tcW w:w="794" w:type="dxa"/>
            <w:tcBorders>
              <w:bottom w:val="single" w:sz="6" w:space="0" w:color="auto"/>
            </w:tcBorders>
          </w:tcPr>
          <w:p w14:paraId="3DE6EB6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163.0</w:t>
            </w:r>
          </w:p>
        </w:tc>
        <w:tc>
          <w:tcPr>
            <w:tcW w:w="794" w:type="dxa"/>
            <w:tcBorders>
              <w:bottom w:val="single" w:sz="6" w:space="0" w:color="auto"/>
            </w:tcBorders>
          </w:tcPr>
          <w:p w14:paraId="5EE1387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188.3</w:t>
            </w:r>
          </w:p>
        </w:tc>
        <w:tc>
          <w:tcPr>
            <w:tcW w:w="794" w:type="dxa"/>
            <w:tcBorders>
              <w:bottom w:val="single" w:sz="6" w:space="0" w:color="auto"/>
            </w:tcBorders>
          </w:tcPr>
          <w:p w14:paraId="013FFE9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208.8</w:t>
            </w:r>
          </w:p>
        </w:tc>
        <w:tc>
          <w:tcPr>
            <w:tcW w:w="794" w:type="dxa"/>
            <w:tcBorders>
              <w:bottom w:val="single" w:sz="6" w:space="0" w:color="auto"/>
            </w:tcBorders>
          </w:tcPr>
          <w:p w14:paraId="0F173DD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224.6</w:t>
            </w:r>
          </w:p>
        </w:tc>
        <w:tc>
          <w:tcPr>
            <w:tcW w:w="794" w:type="dxa"/>
            <w:tcBorders>
              <w:bottom w:val="single" w:sz="6" w:space="0" w:color="auto"/>
            </w:tcBorders>
          </w:tcPr>
          <w:p w14:paraId="09ABA65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239.5</w:t>
            </w:r>
          </w:p>
        </w:tc>
      </w:tr>
      <w:tr w:rsidR="00346FC5" w:rsidRPr="00351630" w14:paraId="406EAFF3"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tcBorders>
          </w:tcPr>
          <w:p w14:paraId="186C7DD9" w14:textId="77777777" w:rsidR="00346FC5" w:rsidRPr="00351630" w:rsidRDefault="00346FC5" w:rsidP="0098354D">
            <w:r w:rsidRPr="00351630">
              <w:rPr>
                <w:b/>
              </w:rPr>
              <w:t>Total</w:t>
            </w:r>
          </w:p>
        </w:tc>
        <w:tc>
          <w:tcPr>
            <w:tcW w:w="794" w:type="dxa"/>
            <w:tcBorders>
              <w:top w:val="single" w:sz="6" w:space="0" w:color="auto"/>
            </w:tcBorders>
          </w:tcPr>
          <w:p w14:paraId="1524AE7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134.1</w:t>
            </w:r>
          </w:p>
        </w:tc>
        <w:tc>
          <w:tcPr>
            <w:tcW w:w="794" w:type="dxa"/>
            <w:tcBorders>
              <w:top w:val="single" w:sz="6" w:space="0" w:color="auto"/>
            </w:tcBorders>
          </w:tcPr>
          <w:p w14:paraId="3B459EA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164.6</w:t>
            </w:r>
          </w:p>
        </w:tc>
        <w:tc>
          <w:tcPr>
            <w:tcW w:w="794" w:type="dxa"/>
            <w:tcBorders>
              <w:top w:val="single" w:sz="6" w:space="0" w:color="auto"/>
            </w:tcBorders>
          </w:tcPr>
          <w:p w14:paraId="78E51EB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189.9</w:t>
            </w:r>
          </w:p>
        </w:tc>
        <w:tc>
          <w:tcPr>
            <w:tcW w:w="794" w:type="dxa"/>
            <w:tcBorders>
              <w:top w:val="single" w:sz="6" w:space="0" w:color="auto"/>
            </w:tcBorders>
          </w:tcPr>
          <w:p w14:paraId="08D815C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210.4</w:t>
            </w:r>
          </w:p>
        </w:tc>
        <w:tc>
          <w:tcPr>
            <w:tcW w:w="794" w:type="dxa"/>
            <w:tcBorders>
              <w:top w:val="single" w:sz="6" w:space="0" w:color="auto"/>
            </w:tcBorders>
          </w:tcPr>
          <w:p w14:paraId="64C7DE8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226.1</w:t>
            </w:r>
          </w:p>
        </w:tc>
        <w:tc>
          <w:tcPr>
            <w:tcW w:w="794" w:type="dxa"/>
            <w:tcBorders>
              <w:top w:val="single" w:sz="6" w:space="0" w:color="auto"/>
            </w:tcBorders>
          </w:tcPr>
          <w:p w14:paraId="62B121E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241.0</w:t>
            </w:r>
          </w:p>
        </w:tc>
      </w:tr>
      <w:tr w:rsidR="00346FC5" w:rsidRPr="00351630" w14:paraId="328B49A0"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7160E1FA" w14:textId="77777777" w:rsidR="00346FC5" w:rsidRPr="00351630" w:rsidRDefault="00346FC5" w:rsidP="0098354D">
            <w:r w:rsidRPr="00351630">
              <w:rPr>
                <w:b/>
              </w:rPr>
              <w:t xml:space="preserve">Net debt </w:t>
            </w:r>
            <w:r w:rsidRPr="00351630">
              <w:rPr>
                <w:b/>
                <w:vertAlign w:val="superscript"/>
              </w:rPr>
              <w:t>(b)</w:t>
            </w:r>
          </w:p>
        </w:tc>
        <w:tc>
          <w:tcPr>
            <w:tcW w:w="794" w:type="dxa"/>
          </w:tcPr>
          <w:p w14:paraId="2CCA38D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116.4</w:t>
            </w:r>
          </w:p>
        </w:tc>
        <w:tc>
          <w:tcPr>
            <w:tcW w:w="794" w:type="dxa"/>
          </w:tcPr>
          <w:p w14:paraId="64F293A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137.4</w:t>
            </w:r>
          </w:p>
        </w:tc>
        <w:tc>
          <w:tcPr>
            <w:tcW w:w="794" w:type="dxa"/>
          </w:tcPr>
          <w:p w14:paraId="49172C7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161.4</w:t>
            </w:r>
          </w:p>
        </w:tc>
        <w:tc>
          <w:tcPr>
            <w:tcW w:w="794" w:type="dxa"/>
          </w:tcPr>
          <w:p w14:paraId="1911669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179.9</w:t>
            </w:r>
          </w:p>
        </w:tc>
        <w:tc>
          <w:tcPr>
            <w:tcW w:w="794" w:type="dxa"/>
          </w:tcPr>
          <w:p w14:paraId="4B99596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193.0</w:t>
            </w:r>
          </w:p>
        </w:tc>
        <w:tc>
          <w:tcPr>
            <w:tcW w:w="794" w:type="dxa"/>
          </w:tcPr>
          <w:p w14:paraId="550817F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204.9</w:t>
            </w:r>
          </w:p>
        </w:tc>
      </w:tr>
      <w:tr w:rsidR="00346FC5" w:rsidRPr="00351630" w14:paraId="637CEEF8"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24944722" w14:textId="77777777" w:rsidR="00346FC5" w:rsidRPr="00351630" w:rsidRDefault="00346FC5" w:rsidP="0098354D">
            <w:r w:rsidRPr="00351630">
              <w:t>Superannuation liability</w:t>
            </w:r>
          </w:p>
        </w:tc>
        <w:tc>
          <w:tcPr>
            <w:tcW w:w="794" w:type="dxa"/>
            <w:tcBorders>
              <w:bottom w:val="single" w:sz="6" w:space="0" w:color="auto"/>
            </w:tcBorders>
          </w:tcPr>
          <w:p w14:paraId="6779AC2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19.8</w:t>
            </w:r>
          </w:p>
        </w:tc>
        <w:tc>
          <w:tcPr>
            <w:tcW w:w="794" w:type="dxa"/>
            <w:tcBorders>
              <w:bottom w:val="single" w:sz="6" w:space="0" w:color="auto"/>
            </w:tcBorders>
          </w:tcPr>
          <w:p w14:paraId="41CF4FD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21.8</w:t>
            </w:r>
          </w:p>
        </w:tc>
        <w:tc>
          <w:tcPr>
            <w:tcW w:w="794" w:type="dxa"/>
            <w:tcBorders>
              <w:bottom w:val="single" w:sz="6" w:space="0" w:color="auto"/>
            </w:tcBorders>
          </w:tcPr>
          <w:p w14:paraId="4936602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21.9</w:t>
            </w:r>
          </w:p>
        </w:tc>
        <w:tc>
          <w:tcPr>
            <w:tcW w:w="794" w:type="dxa"/>
            <w:tcBorders>
              <w:bottom w:val="single" w:sz="6" w:space="0" w:color="auto"/>
            </w:tcBorders>
          </w:tcPr>
          <w:p w14:paraId="4614178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21.9</w:t>
            </w:r>
          </w:p>
        </w:tc>
        <w:tc>
          <w:tcPr>
            <w:tcW w:w="794" w:type="dxa"/>
            <w:tcBorders>
              <w:bottom w:val="single" w:sz="6" w:space="0" w:color="auto"/>
            </w:tcBorders>
          </w:tcPr>
          <w:p w14:paraId="0BD781F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22.2</w:t>
            </w:r>
          </w:p>
        </w:tc>
        <w:tc>
          <w:tcPr>
            <w:tcW w:w="794" w:type="dxa"/>
            <w:tcBorders>
              <w:bottom w:val="single" w:sz="6" w:space="0" w:color="auto"/>
            </w:tcBorders>
          </w:tcPr>
          <w:p w14:paraId="65A0C39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22.4</w:t>
            </w:r>
          </w:p>
        </w:tc>
      </w:tr>
      <w:tr w:rsidR="00346FC5" w:rsidRPr="00351630" w14:paraId="0900E8E8"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tcBorders>
          </w:tcPr>
          <w:p w14:paraId="4AE87BE1" w14:textId="77777777" w:rsidR="00346FC5" w:rsidRPr="00351630" w:rsidRDefault="00346FC5" w:rsidP="0098354D">
            <w:r w:rsidRPr="00351630">
              <w:rPr>
                <w:b/>
              </w:rPr>
              <w:t>Net debt plus superannuation liability</w:t>
            </w:r>
          </w:p>
        </w:tc>
        <w:tc>
          <w:tcPr>
            <w:tcW w:w="794" w:type="dxa"/>
            <w:tcBorders>
              <w:top w:val="single" w:sz="6" w:space="0" w:color="auto"/>
            </w:tcBorders>
          </w:tcPr>
          <w:p w14:paraId="53E5542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136.2</w:t>
            </w:r>
          </w:p>
        </w:tc>
        <w:tc>
          <w:tcPr>
            <w:tcW w:w="794" w:type="dxa"/>
            <w:tcBorders>
              <w:top w:val="single" w:sz="6" w:space="0" w:color="auto"/>
            </w:tcBorders>
          </w:tcPr>
          <w:p w14:paraId="1FD97DB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159.1</w:t>
            </w:r>
          </w:p>
        </w:tc>
        <w:tc>
          <w:tcPr>
            <w:tcW w:w="794" w:type="dxa"/>
            <w:tcBorders>
              <w:top w:val="single" w:sz="6" w:space="0" w:color="auto"/>
            </w:tcBorders>
          </w:tcPr>
          <w:p w14:paraId="75B77A8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183.3</w:t>
            </w:r>
          </w:p>
        </w:tc>
        <w:tc>
          <w:tcPr>
            <w:tcW w:w="794" w:type="dxa"/>
            <w:tcBorders>
              <w:top w:val="single" w:sz="6" w:space="0" w:color="auto"/>
            </w:tcBorders>
          </w:tcPr>
          <w:p w14:paraId="1AE4E36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201.8</w:t>
            </w:r>
          </w:p>
        </w:tc>
        <w:tc>
          <w:tcPr>
            <w:tcW w:w="794" w:type="dxa"/>
            <w:tcBorders>
              <w:top w:val="single" w:sz="6" w:space="0" w:color="auto"/>
            </w:tcBorders>
          </w:tcPr>
          <w:p w14:paraId="59F526E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215.3</w:t>
            </w:r>
          </w:p>
        </w:tc>
        <w:tc>
          <w:tcPr>
            <w:tcW w:w="794" w:type="dxa"/>
            <w:tcBorders>
              <w:top w:val="single" w:sz="6" w:space="0" w:color="auto"/>
            </w:tcBorders>
          </w:tcPr>
          <w:p w14:paraId="2CE2847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227.3</w:t>
            </w:r>
          </w:p>
        </w:tc>
      </w:tr>
      <w:tr w:rsidR="00346FC5" w:rsidRPr="00351630" w14:paraId="13A7CE7F"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02F3C2AF" w14:textId="77777777" w:rsidR="00346FC5" w:rsidRPr="00351630" w:rsidRDefault="00346FC5" w:rsidP="0098354D">
            <w:r w:rsidRPr="00351630">
              <w:t xml:space="preserve">Other liabilities (net) </w:t>
            </w:r>
            <w:r w:rsidRPr="00351630">
              <w:rPr>
                <w:vertAlign w:val="superscript"/>
              </w:rPr>
              <w:t>(c)</w:t>
            </w:r>
          </w:p>
        </w:tc>
        <w:tc>
          <w:tcPr>
            <w:tcW w:w="794" w:type="dxa"/>
            <w:tcBorders>
              <w:bottom w:val="single" w:sz="6" w:space="0" w:color="auto"/>
            </w:tcBorders>
          </w:tcPr>
          <w:p w14:paraId="5C80621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30.7</w:t>
            </w:r>
          </w:p>
        </w:tc>
        <w:tc>
          <w:tcPr>
            <w:tcW w:w="794" w:type="dxa"/>
            <w:tcBorders>
              <w:bottom w:val="single" w:sz="6" w:space="0" w:color="auto"/>
            </w:tcBorders>
          </w:tcPr>
          <w:p w14:paraId="444077E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39.6</w:t>
            </w:r>
          </w:p>
        </w:tc>
        <w:tc>
          <w:tcPr>
            <w:tcW w:w="794" w:type="dxa"/>
            <w:tcBorders>
              <w:bottom w:val="single" w:sz="6" w:space="0" w:color="auto"/>
            </w:tcBorders>
          </w:tcPr>
          <w:p w14:paraId="7845D94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39.0</w:t>
            </w:r>
          </w:p>
        </w:tc>
        <w:tc>
          <w:tcPr>
            <w:tcW w:w="794" w:type="dxa"/>
            <w:tcBorders>
              <w:bottom w:val="single" w:sz="6" w:space="0" w:color="auto"/>
            </w:tcBorders>
          </w:tcPr>
          <w:p w14:paraId="2AAE31C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38.1</w:t>
            </w:r>
          </w:p>
        </w:tc>
        <w:tc>
          <w:tcPr>
            <w:tcW w:w="794" w:type="dxa"/>
            <w:tcBorders>
              <w:bottom w:val="single" w:sz="6" w:space="0" w:color="auto"/>
            </w:tcBorders>
          </w:tcPr>
          <w:p w14:paraId="77B8217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37.6</w:t>
            </w:r>
          </w:p>
        </w:tc>
        <w:tc>
          <w:tcPr>
            <w:tcW w:w="794" w:type="dxa"/>
            <w:tcBorders>
              <w:bottom w:val="single" w:sz="6" w:space="0" w:color="auto"/>
            </w:tcBorders>
          </w:tcPr>
          <w:p w14:paraId="6DE8B65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36.8</w:t>
            </w:r>
          </w:p>
        </w:tc>
      </w:tr>
      <w:tr w:rsidR="00346FC5" w:rsidRPr="00351630" w14:paraId="6EDB2384"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6" w:space="0" w:color="auto"/>
            </w:tcBorders>
          </w:tcPr>
          <w:p w14:paraId="27A99C1B" w14:textId="77777777" w:rsidR="00346FC5" w:rsidRPr="00351630" w:rsidRDefault="00346FC5" w:rsidP="0098354D">
            <w:r w:rsidRPr="00351630">
              <w:rPr>
                <w:b/>
              </w:rPr>
              <w:t xml:space="preserve">Net financial liabilities </w:t>
            </w:r>
            <w:r w:rsidRPr="00351630">
              <w:rPr>
                <w:b/>
                <w:vertAlign w:val="superscript"/>
              </w:rPr>
              <w:t>(d)</w:t>
            </w:r>
          </w:p>
        </w:tc>
        <w:tc>
          <w:tcPr>
            <w:tcW w:w="794" w:type="dxa"/>
            <w:tcBorders>
              <w:top w:val="single" w:sz="6" w:space="0" w:color="auto"/>
              <w:bottom w:val="single" w:sz="6" w:space="0" w:color="auto"/>
            </w:tcBorders>
          </w:tcPr>
          <w:p w14:paraId="30D6739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166.9</w:t>
            </w:r>
          </w:p>
        </w:tc>
        <w:tc>
          <w:tcPr>
            <w:tcW w:w="794" w:type="dxa"/>
            <w:tcBorders>
              <w:top w:val="single" w:sz="6" w:space="0" w:color="auto"/>
              <w:bottom w:val="single" w:sz="6" w:space="0" w:color="auto"/>
            </w:tcBorders>
          </w:tcPr>
          <w:p w14:paraId="2E1DB2D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198.7</w:t>
            </w:r>
          </w:p>
        </w:tc>
        <w:tc>
          <w:tcPr>
            <w:tcW w:w="794" w:type="dxa"/>
            <w:tcBorders>
              <w:top w:val="single" w:sz="6" w:space="0" w:color="auto"/>
              <w:bottom w:val="single" w:sz="6" w:space="0" w:color="auto"/>
            </w:tcBorders>
          </w:tcPr>
          <w:p w14:paraId="4462980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222.3</w:t>
            </w:r>
          </w:p>
        </w:tc>
        <w:tc>
          <w:tcPr>
            <w:tcW w:w="794" w:type="dxa"/>
            <w:tcBorders>
              <w:top w:val="single" w:sz="6" w:space="0" w:color="auto"/>
              <w:bottom w:val="single" w:sz="6" w:space="0" w:color="auto"/>
            </w:tcBorders>
          </w:tcPr>
          <w:p w14:paraId="1570228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239.9</w:t>
            </w:r>
          </w:p>
        </w:tc>
        <w:tc>
          <w:tcPr>
            <w:tcW w:w="794" w:type="dxa"/>
            <w:tcBorders>
              <w:top w:val="single" w:sz="6" w:space="0" w:color="auto"/>
              <w:bottom w:val="single" w:sz="6" w:space="0" w:color="auto"/>
            </w:tcBorders>
          </w:tcPr>
          <w:p w14:paraId="09E9A64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252.8</w:t>
            </w:r>
          </w:p>
        </w:tc>
        <w:tc>
          <w:tcPr>
            <w:tcW w:w="794" w:type="dxa"/>
            <w:tcBorders>
              <w:top w:val="single" w:sz="6" w:space="0" w:color="auto"/>
              <w:bottom w:val="single" w:sz="6" w:space="0" w:color="auto"/>
            </w:tcBorders>
          </w:tcPr>
          <w:p w14:paraId="639BE63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264.1</w:t>
            </w:r>
          </w:p>
        </w:tc>
      </w:tr>
      <w:tr w:rsidR="00346FC5" w:rsidRPr="00351630" w14:paraId="36B797F6"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tcBorders>
          </w:tcPr>
          <w:p w14:paraId="67EE7BDB" w14:textId="77777777" w:rsidR="00346FC5" w:rsidRPr="00351630" w:rsidRDefault="00346FC5" w:rsidP="0098354D"/>
        </w:tc>
        <w:tc>
          <w:tcPr>
            <w:tcW w:w="4764" w:type="dxa"/>
            <w:gridSpan w:val="6"/>
            <w:tcBorders>
              <w:top w:val="single" w:sz="6" w:space="0" w:color="auto"/>
            </w:tcBorders>
          </w:tcPr>
          <w:p w14:paraId="431278F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(per cent)</w:t>
            </w:r>
          </w:p>
        </w:tc>
      </w:tr>
      <w:tr w:rsidR="00346FC5" w:rsidRPr="00351630" w14:paraId="5EF0EA72"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3C4D985A" w14:textId="77777777" w:rsidR="00346FC5" w:rsidRPr="00351630" w:rsidRDefault="00346FC5" w:rsidP="0098354D">
            <w:r w:rsidRPr="00351630">
              <w:t xml:space="preserve">Net debt to GSP </w:t>
            </w:r>
            <w:r w:rsidRPr="00351630">
              <w:rPr>
                <w:vertAlign w:val="superscript"/>
              </w:rPr>
              <w:t>(e)</w:t>
            </w:r>
          </w:p>
        </w:tc>
        <w:tc>
          <w:tcPr>
            <w:tcW w:w="794" w:type="dxa"/>
          </w:tcPr>
          <w:p w14:paraId="07DA825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22.6</w:t>
            </w:r>
          </w:p>
        </w:tc>
        <w:tc>
          <w:tcPr>
            <w:tcW w:w="794" w:type="dxa"/>
          </w:tcPr>
          <w:p w14:paraId="64C6648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24.2</w:t>
            </w:r>
          </w:p>
        </w:tc>
        <w:tc>
          <w:tcPr>
            <w:tcW w:w="794" w:type="dxa"/>
          </w:tcPr>
          <w:p w14:paraId="2A0B2F4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26.9</w:t>
            </w:r>
          </w:p>
        </w:tc>
        <w:tc>
          <w:tcPr>
            <w:tcW w:w="794" w:type="dxa"/>
          </w:tcPr>
          <w:p w14:paraId="0A20FB3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28.5</w:t>
            </w:r>
          </w:p>
        </w:tc>
        <w:tc>
          <w:tcPr>
            <w:tcW w:w="794" w:type="dxa"/>
          </w:tcPr>
          <w:p w14:paraId="2E52AA6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29.0</w:t>
            </w:r>
          </w:p>
        </w:tc>
        <w:tc>
          <w:tcPr>
            <w:tcW w:w="794" w:type="dxa"/>
          </w:tcPr>
          <w:p w14:paraId="345FEC1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29.2</w:t>
            </w:r>
          </w:p>
        </w:tc>
      </w:tr>
      <w:tr w:rsidR="00346FC5" w:rsidRPr="00351630" w14:paraId="28755E8B"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5B5F0B2D" w14:textId="77777777" w:rsidR="00346FC5" w:rsidRPr="00351630" w:rsidRDefault="00346FC5" w:rsidP="0098354D">
            <w:r w:rsidRPr="00351630">
              <w:t xml:space="preserve">Net debt plus superannuation liability to GSP </w:t>
            </w:r>
            <w:r w:rsidRPr="00351630">
              <w:rPr>
                <w:vertAlign w:val="superscript"/>
              </w:rPr>
              <w:t>(e)</w:t>
            </w:r>
          </w:p>
        </w:tc>
        <w:tc>
          <w:tcPr>
            <w:tcW w:w="794" w:type="dxa"/>
          </w:tcPr>
          <w:p w14:paraId="683CAF8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26.4</w:t>
            </w:r>
          </w:p>
        </w:tc>
        <w:tc>
          <w:tcPr>
            <w:tcW w:w="794" w:type="dxa"/>
          </w:tcPr>
          <w:p w14:paraId="7B27141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28.1</w:t>
            </w:r>
          </w:p>
        </w:tc>
        <w:tc>
          <w:tcPr>
            <w:tcW w:w="794" w:type="dxa"/>
          </w:tcPr>
          <w:p w14:paraId="253A200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30.6</w:t>
            </w:r>
          </w:p>
        </w:tc>
        <w:tc>
          <w:tcPr>
            <w:tcW w:w="794" w:type="dxa"/>
          </w:tcPr>
          <w:p w14:paraId="41EB819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31.9</w:t>
            </w:r>
          </w:p>
        </w:tc>
        <w:tc>
          <w:tcPr>
            <w:tcW w:w="794" w:type="dxa"/>
          </w:tcPr>
          <w:p w14:paraId="02D7378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32.4</w:t>
            </w:r>
          </w:p>
        </w:tc>
        <w:tc>
          <w:tcPr>
            <w:tcW w:w="794" w:type="dxa"/>
          </w:tcPr>
          <w:p w14:paraId="157AF0D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32.4</w:t>
            </w:r>
          </w:p>
        </w:tc>
      </w:tr>
      <w:tr w:rsidR="00346FC5" w:rsidRPr="00351630" w14:paraId="11A4709B"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39B8B218" w14:textId="77777777" w:rsidR="00346FC5" w:rsidRPr="00351630" w:rsidRDefault="00346FC5" w:rsidP="0098354D">
            <w:r w:rsidRPr="00351630">
              <w:t xml:space="preserve">Net financial liabilities to GSP </w:t>
            </w:r>
            <w:r w:rsidRPr="00351630">
              <w:rPr>
                <w:vertAlign w:val="superscript"/>
              </w:rPr>
              <w:t>(e)</w:t>
            </w:r>
          </w:p>
        </w:tc>
        <w:tc>
          <w:tcPr>
            <w:tcW w:w="794" w:type="dxa"/>
          </w:tcPr>
          <w:p w14:paraId="7D95140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32.4</w:t>
            </w:r>
          </w:p>
        </w:tc>
        <w:tc>
          <w:tcPr>
            <w:tcW w:w="794" w:type="dxa"/>
          </w:tcPr>
          <w:p w14:paraId="5B2DBA5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35.1</w:t>
            </w:r>
          </w:p>
        </w:tc>
        <w:tc>
          <w:tcPr>
            <w:tcW w:w="794" w:type="dxa"/>
          </w:tcPr>
          <w:p w14:paraId="0453649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37.1</w:t>
            </w:r>
          </w:p>
        </w:tc>
        <w:tc>
          <w:tcPr>
            <w:tcW w:w="794" w:type="dxa"/>
          </w:tcPr>
          <w:p w14:paraId="0E47CB4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38.0</w:t>
            </w:r>
          </w:p>
        </w:tc>
        <w:tc>
          <w:tcPr>
            <w:tcW w:w="794" w:type="dxa"/>
          </w:tcPr>
          <w:p w14:paraId="734E406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38.0</w:t>
            </w:r>
          </w:p>
        </w:tc>
        <w:tc>
          <w:tcPr>
            <w:tcW w:w="794" w:type="dxa"/>
          </w:tcPr>
          <w:p w14:paraId="1C089E0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37.7</w:t>
            </w:r>
          </w:p>
        </w:tc>
      </w:tr>
      <w:tr w:rsidR="00346FC5" w:rsidRPr="00351630" w14:paraId="29E59492"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12" w:space="0" w:color="auto"/>
            </w:tcBorders>
          </w:tcPr>
          <w:p w14:paraId="6C80A4E6" w14:textId="77777777" w:rsidR="00346FC5" w:rsidRPr="00351630" w:rsidRDefault="00346FC5" w:rsidP="0098354D">
            <w:r w:rsidRPr="00351630">
              <w:t xml:space="preserve">Net debt plus superannuation liability to revenue </w:t>
            </w:r>
            <w:r w:rsidRPr="00351630">
              <w:rPr>
                <w:vertAlign w:val="superscript"/>
              </w:rPr>
              <w:t>(f)</w:t>
            </w:r>
          </w:p>
        </w:tc>
        <w:tc>
          <w:tcPr>
            <w:tcW w:w="794" w:type="dxa"/>
            <w:tcBorders>
              <w:bottom w:val="single" w:sz="12" w:space="0" w:color="auto"/>
            </w:tcBorders>
          </w:tcPr>
          <w:p w14:paraId="1E430D6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153.0</w:t>
            </w:r>
          </w:p>
        </w:tc>
        <w:tc>
          <w:tcPr>
            <w:tcW w:w="794" w:type="dxa"/>
            <w:tcBorders>
              <w:bottom w:val="single" w:sz="12" w:space="0" w:color="auto"/>
            </w:tcBorders>
          </w:tcPr>
          <w:p w14:paraId="0D66206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177.9</w:t>
            </w:r>
          </w:p>
        </w:tc>
        <w:tc>
          <w:tcPr>
            <w:tcW w:w="794" w:type="dxa"/>
            <w:tcBorders>
              <w:bottom w:val="single" w:sz="12" w:space="0" w:color="auto"/>
            </w:tcBorders>
          </w:tcPr>
          <w:p w14:paraId="21F4FBA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191.7</w:t>
            </w:r>
          </w:p>
        </w:tc>
        <w:tc>
          <w:tcPr>
            <w:tcW w:w="794" w:type="dxa"/>
            <w:tcBorders>
              <w:bottom w:val="single" w:sz="12" w:space="0" w:color="auto"/>
            </w:tcBorders>
          </w:tcPr>
          <w:p w14:paraId="4E6754B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204.5</w:t>
            </w:r>
          </w:p>
        </w:tc>
        <w:tc>
          <w:tcPr>
            <w:tcW w:w="794" w:type="dxa"/>
            <w:tcBorders>
              <w:bottom w:val="single" w:sz="12" w:space="0" w:color="auto"/>
            </w:tcBorders>
          </w:tcPr>
          <w:p w14:paraId="6D2AC86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208.0</w:t>
            </w:r>
          </w:p>
        </w:tc>
        <w:tc>
          <w:tcPr>
            <w:tcW w:w="794" w:type="dxa"/>
            <w:tcBorders>
              <w:bottom w:val="single" w:sz="12" w:space="0" w:color="auto"/>
            </w:tcBorders>
          </w:tcPr>
          <w:p w14:paraId="1D56E6E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212.2</w:t>
            </w:r>
          </w:p>
        </w:tc>
      </w:tr>
    </w:tbl>
    <w:p w14:paraId="67817EA7" w14:textId="77777777" w:rsidR="00346FC5" w:rsidRPr="00351630" w:rsidRDefault="00346FC5" w:rsidP="00346FC5">
      <w:pPr>
        <w:pStyle w:val="Note"/>
      </w:pPr>
      <w:r w:rsidRPr="00351630">
        <w:t>Notes:</w:t>
      </w:r>
    </w:p>
    <w:p w14:paraId="6DE4AFCC" w14:textId="77777777" w:rsidR="00346FC5" w:rsidRPr="00351630" w:rsidRDefault="00346FC5" w:rsidP="00346FC5">
      <w:pPr>
        <w:pStyle w:val="Note"/>
      </w:pPr>
      <w:r w:rsidRPr="00351630">
        <w:t>(a)</w:t>
      </w:r>
      <w:r w:rsidRPr="00351630">
        <w:tab/>
        <w:t>Figures in this table are subject to rounding to the nearest million and may not add up to totals.</w:t>
      </w:r>
    </w:p>
    <w:p w14:paraId="79390ADC" w14:textId="77777777" w:rsidR="00346FC5" w:rsidRPr="00351630" w:rsidRDefault="00346FC5" w:rsidP="00346FC5">
      <w:pPr>
        <w:pStyle w:val="Note"/>
      </w:pPr>
      <w:r w:rsidRPr="00351630">
        <w:t>(b)</w:t>
      </w:r>
      <w:r w:rsidRPr="00351630">
        <w:tab/>
        <w:t>Net debt is the sum of borrowings, deposits held and advances received less the sum of cash and deposits, advances paid, and investments, loans and placements.</w:t>
      </w:r>
    </w:p>
    <w:p w14:paraId="1C628D8A" w14:textId="77777777" w:rsidR="00346FC5" w:rsidRPr="00351630" w:rsidRDefault="00346FC5" w:rsidP="00346FC5">
      <w:pPr>
        <w:pStyle w:val="Note"/>
      </w:pPr>
      <w:r w:rsidRPr="00351630">
        <w:t>(c)</w:t>
      </w:r>
      <w:r w:rsidRPr="00351630">
        <w:tab/>
        <w:t>Other liabilities include other employee entitlements and provisions and other non</w:t>
      </w:r>
      <w:r w:rsidRPr="00351630">
        <w:noBreakHyphen/>
        <w:t>equity liabilities, less other non</w:t>
      </w:r>
      <w:r w:rsidRPr="00351630">
        <w:noBreakHyphen/>
        <w:t>equity financial assets.</w:t>
      </w:r>
    </w:p>
    <w:p w14:paraId="0BDCA51A" w14:textId="77777777" w:rsidR="00346FC5" w:rsidRPr="00351630" w:rsidRDefault="00346FC5" w:rsidP="00346FC5">
      <w:pPr>
        <w:pStyle w:val="Note"/>
      </w:pPr>
      <w:r w:rsidRPr="00351630">
        <w:t>(d)</w:t>
      </w:r>
      <w:r w:rsidRPr="00351630">
        <w:tab/>
        <w:t>Net financial liabilities is total liabilities less financial assets (excluding investments in other sector entities).</w:t>
      </w:r>
    </w:p>
    <w:p w14:paraId="2AB6923D" w14:textId="77777777" w:rsidR="00346FC5" w:rsidRPr="00351630" w:rsidRDefault="00346FC5" w:rsidP="00346FC5">
      <w:pPr>
        <w:pStyle w:val="Note"/>
      </w:pPr>
      <w:r w:rsidRPr="00351630">
        <w:t>(e)</w:t>
      </w:r>
      <w:r w:rsidRPr="00351630">
        <w:tab/>
        <w:t>The GSP</w:t>
      </w:r>
      <w:r w:rsidRPr="00351630">
        <w:noBreakHyphen/>
        <w:t>based ratios may vary between publications due to revisions to the Australian Bureau of Statistics GSP data.</w:t>
      </w:r>
    </w:p>
    <w:p w14:paraId="3915060D" w14:textId="77777777" w:rsidR="00346FC5" w:rsidRPr="00351630" w:rsidRDefault="00346FC5" w:rsidP="00346FC5">
      <w:pPr>
        <w:pStyle w:val="Note"/>
      </w:pPr>
      <w:r w:rsidRPr="00351630">
        <w:t>(f)</w:t>
      </w:r>
      <w:r w:rsidRPr="00351630">
        <w:tab/>
        <w:t>This is the sum of the NFPS net debt and superannuation liability as a proportion of NFPS total operating revenue.</w:t>
      </w:r>
    </w:p>
    <w:p w14:paraId="7695FD08" w14:textId="77777777" w:rsidR="00346FC5" w:rsidRPr="00351630" w:rsidRDefault="00346FC5" w:rsidP="00346FC5">
      <w:pPr>
        <w:pageBreakBefore/>
      </w:pPr>
      <w:r w:rsidRPr="00351630">
        <w:t xml:space="preserve">Table 5.6 shows several indicators of financial sustainability for the NFPS over the budget and forward estimates. </w:t>
      </w:r>
    </w:p>
    <w:p w14:paraId="731913B7" w14:textId="77777777" w:rsidR="00346FC5" w:rsidRPr="00351630" w:rsidRDefault="00346FC5" w:rsidP="00346FC5">
      <w:r w:rsidRPr="00351630">
        <w:t xml:space="preserve">The operating cash flow surplus to revenue ratio is an indication of the extent to which the cash generated from operations can be used to fund infrastructure. This ratio increases from 1.7 per cent in 2023-24 to </w:t>
      </w:r>
      <w:r w:rsidRPr="00351630" w:rsidDel="003D0E99">
        <w:t>7.</w:t>
      </w:r>
      <w:r w:rsidRPr="00351630">
        <w:t>6 per cent by 2026-27 largely due to the improvement in the general government sector operating cash position.</w:t>
      </w:r>
    </w:p>
    <w:p w14:paraId="24163E68" w14:textId="77777777" w:rsidR="00346FC5" w:rsidRPr="00351630" w:rsidRDefault="00346FC5" w:rsidP="00346FC5">
      <w:r w:rsidRPr="00351630">
        <w:t>The ratio of gross debt to revenue, which indicates the overall debt burden, is estimated to be 198.6 per cent in 2023-24 and increase to 225.1 per cent in 2026-27. The NFPS interest expense to revenue ratio, which is a measure of the state</w:t>
      </w:r>
      <w:r>
        <w:t>’</w:t>
      </w:r>
      <w:r w:rsidRPr="00351630">
        <w:t>s debt service burden, is also expected to increase over the budget and forward estimates period. This increase is driven by increases in debt and the higher interest rate environment.</w:t>
      </w:r>
    </w:p>
    <w:p w14:paraId="0464D70E" w14:textId="77777777" w:rsidR="00346FC5" w:rsidRPr="00351630" w:rsidRDefault="00346FC5" w:rsidP="00346FC5">
      <w:pPr>
        <w:pStyle w:val="TableHeading"/>
      </w:pPr>
      <w:r w:rsidRPr="00351630">
        <w:t xml:space="preserve">Table 5.6: </w:t>
      </w:r>
      <w:r w:rsidRPr="00351630">
        <w:tab/>
        <w:t>Indicators of financial sustainability for the non-financial public sector</w:t>
      </w:r>
    </w:p>
    <w:p w14:paraId="2B9ADB33" w14:textId="77777777" w:rsidR="00346FC5" w:rsidRPr="00351630" w:rsidRDefault="00346FC5" w:rsidP="00346FC5">
      <w:pPr>
        <w:pStyle w:val="TableHeading"/>
      </w:pPr>
      <w:r w:rsidRPr="00351630">
        <w:tab/>
      </w:r>
      <w:r w:rsidRPr="00351630">
        <w:tab/>
        <w:t>(per cent)</w:t>
      </w:r>
    </w:p>
    <w:tbl>
      <w:tblPr>
        <w:tblStyle w:val="DTFTableNumeric"/>
        <w:tblW w:w="7710" w:type="dxa"/>
        <w:tblLayout w:type="fixed"/>
        <w:tblLook w:val="06A0" w:firstRow="1" w:lastRow="0" w:firstColumn="1" w:lastColumn="0" w:noHBand="1" w:noVBand="1"/>
        <w:tblDescription w:val="Type:DtfTable|Workbook:https://vicgov.sharepoint.com/sites/msteams_12cfc2/BP2/Chapter%205/Link_BP2-Chapter5.xlsx|Table:NFPS_FinSus|MergedHeadingRow:1"/>
      </w:tblPr>
      <w:tblGrid>
        <w:gridCol w:w="2946"/>
        <w:gridCol w:w="794"/>
        <w:gridCol w:w="794"/>
        <w:gridCol w:w="794"/>
        <w:gridCol w:w="794"/>
        <w:gridCol w:w="794"/>
        <w:gridCol w:w="794"/>
      </w:tblGrid>
      <w:tr w:rsidR="00346FC5" w:rsidRPr="00351630" w14:paraId="53606D00" w14:textId="77777777" w:rsidTr="009835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46" w:type="dxa"/>
          </w:tcPr>
          <w:p w14:paraId="6ED80652" w14:textId="77777777" w:rsidR="00346FC5" w:rsidRPr="00351630" w:rsidRDefault="00346FC5" w:rsidP="0098354D">
            <w:pPr>
              <w:keepNext/>
            </w:pPr>
          </w:p>
        </w:tc>
        <w:tc>
          <w:tcPr>
            <w:tcW w:w="794" w:type="dxa"/>
          </w:tcPr>
          <w:p w14:paraId="70776CF9"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2021</w:t>
            </w:r>
            <w:r w:rsidRPr="00351630">
              <w:noBreakHyphen/>
              <w:t>22</w:t>
            </w:r>
            <w:r w:rsidRPr="00351630">
              <w:br/>
              <w:t>actual</w:t>
            </w:r>
          </w:p>
        </w:tc>
        <w:tc>
          <w:tcPr>
            <w:tcW w:w="794" w:type="dxa"/>
          </w:tcPr>
          <w:p w14:paraId="309C8FF5"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2022</w:t>
            </w:r>
            <w:r w:rsidRPr="00351630">
              <w:noBreakHyphen/>
              <w:t>23</w:t>
            </w:r>
            <w:r w:rsidRPr="00351630">
              <w:br/>
              <w:t>revised</w:t>
            </w:r>
          </w:p>
        </w:tc>
        <w:tc>
          <w:tcPr>
            <w:tcW w:w="794" w:type="dxa"/>
          </w:tcPr>
          <w:p w14:paraId="014B7B75"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2023</w:t>
            </w:r>
            <w:r w:rsidRPr="00351630">
              <w:noBreakHyphen/>
              <w:t>24</w:t>
            </w:r>
            <w:r w:rsidRPr="00351630">
              <w:br/>
              <w:t>budget</w:t>
            </w:r>
          </w:p>
        </w:tc>
        <w:tc>
          <w:tcPr>
            <w:tcW w:w="794" w:type="dxa"/>
          </w:tcPr>
          <w:p w14:paraId="47CBD5A0"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2024</w:t>
            </w:r>
            <w:r w:rsidRPr="00351630">
              <w:noBreakHyphen/>
              <w:t>25</w:t>
            </w:r>
            <w:r w:rsidRPr="00351630">
              <w:br/>
              <w:t>estimate</w:t>
            </w:r>
          </w:p>
        </w:tc>
        <w:tc>
          <w:tcPr>
            <w:tcW w:w="794" w:type="dxa"/>
          </w:tcPr>
          <w:p w14:paraId="71CF35B6"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2025</w:t>
            </w:r>
            <w:r w:rsidRPr="00351630">
              <w:noBreakHyphen/>
              <w:t>26</w:t>
            </w:r>
            <w:r w:rsidRPr="00351630">
              <w:br/>
              <w:t>estimate</w:t>
            </w:r>
          </w:p>
        </w:tc>
        <w:tc>
          <w:tcPr>
            <w:tcW w:w="794" w:type="dxa"/>
          </w:tcPr>
          <w:p w14:paraId="354C8393"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2026</w:t>
            </w:r>
            <w:r w:rsidRPr="00351630">
              <w:noBreakHyphen/>
              <w:t>27</w:t>
            </w:r>
            <w:r w:rsidRPr="00351630">
              <w:br/>
              <w:t>estimate</w:t>
            </w:r>
          </w:p>
        </w:tc>
      </w:tr>
      <w:tr w:rsidR="00346FC5" w:rsidRPr="00351630" w14:paraId="4C4CEDB0"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35428798" w14:textId="6457C05C" w:rsidR="00346FC5" w:rsidRPr="00351630" w:rsidRDefault="00346FC5" w:rsidP="0098354D">
            <w:r w:rsidRPr="00351630">
              <w:t>Operating cash flow surplus / (deficit) to</w:t>
            </w:r>
            <w:r w:rsidR="008139D0">
              <w:t> </w:t>
            </w:r>
            <w:r w:rsidRPr="00351630">
              <w:t>revenue</w:t>
            </w:r>
          </w:p>
        </w:tc>
        <w:tc>
          <w:tcPr>
            <w:tcW w:w="794" w:type="dxa"/>
          </w:tcPr>
          <w:p w14:paraId="5458AFF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(7.8)</w:t>
            </w:r>
          </w:p>
        </w:tc>
        <w:tc>
          <w:tcPr>
            <w:tcW w:w="794" w:type="dxa"/>
          </w:tcPr>
          <w:p w14:paraId="6963066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4.9</w:t>
            </w:r>
          </w:p>
        </w:tc>
        <w:tc>
          <w:tcPr>
            <w:tcW w:w="794" w:type="dxa"/>
          </w:tcPr>
          <w:p w14:paraId="16F939F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1.7</w:t>
            </w:r>
          </w:p>
        </w:tc>
        <w:tc>
          <w:tcPr>
            <w:tcW w:w="794" w:type="dxa"/>
          </w:tcPr>
          <w:p w14:paraId="72319A6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5.7</w:t>
            </w:r>
          </w:p>
        </w:tc>
        <w:tc>
          <w:tcPr>
            <w:tcW w:w="794" w:type="dxa"/>
          </w:tcPr>
          <w:p w14:paraId="73FE8F2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7.8</w:t>
            </w:r>
          </w:p>
        </w:tc>
        <w:tc>
          <w:tcPr>
            <w:tcW w:w="794" w:type="dxa"/>
          </w:tcPr>
          <w:p w14:paraId="07C5DA1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7.6</w:t>
            </w:r>
          </w:p>
        </w:tc>
      </w:tr>
      <w:tr w:rsidR="00346FC5" w:rsidRPr="00351630" w14:paraId="7DFCE4E8"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3E475566" w14:textId="77777777" w:rsidR="00346FC5" w:rsidRPr="00351630" w:rsidRDefault="00346FC5" w:rsidP="0098354D">
            <w:r w:rsidRPr="00351630">
              <w:t xml:space="preserve">Gross debt to revenue </w:t>
            </w:r>
            <w:r w:rsidRPr="00351630">
              <w:rPr>
                <w:vertAlign w:val="superscript"/>
              </w:rPr>
              <w:t>(a)</w:t>
            </w:r>
          </w:p>
        </w:tc>
        <w:tc>
          <w:tcPr>
            <w:tcW w:w="794" w:type="dxa"/>
          </w:tcPr>
          <w:p w14:paraId="51A4097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150.6</w:t>
            </w:r>
          </w:p>
        </w:tc>
        <w:tc>
          <w:tcPr>
            <w:tcW w:w="794" w:type="dxa"/>
          </w:tcPr>
          <w:p w14:paraId="1D0AF04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184.0</w:t>
            </w:r>
          </w:p>
        </w:tc>
        <w:tc>
          <w:tcPr>
            <w:tcW w:w="794" w:type="dxa"/>
          </w:tcPr>
          <w:p w14:paraId="47B1489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198.6</w:t>
            </w:r>
          </w:p>
        </w:tc>
        <w:tc>
          <w:tcPr>
            <w:tcW w:w="794" w:type="dxa"/>
          </w:tcPr>
          <w:p w14:paraId="773A661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213.2</w:t>
            </w:r>
          </w:p>
        </w:tc>
        <w:tc>
          <w:tcPr>
            <w:tcW w:w="794" w:type="dxa"/>
          </w:tcPr>
          <w:p w14:paraId="166AE0F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218.5</w:t>
            </w:r>
          </w:p>
        </w:tc>
        <w:tc>
          <w:tcPr>
            <w:tcW w:w="794" w:type="dxa"/>
          </w:tcPr>
          <w:p w14:paraId="1D45132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225.1</w:t>
            </w:r>
          </w:p>
        </w:tc>
      </w:tr>
      <w:tr w:rsidR="00346FC5" w:rsidRPr="00351630" w14:paraId="1D60D70B"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12" w:space="0" w:color="auto"/>
            </w:tcBorders>
          </w:tcPr>
          <w:p w14:paraId="69E69064" w14:textId="77777777" w:rsidR="00346FC5" w:rsidRPr="00351630" w:rsidRDefault="00346FC5" w:rsidP="0098354D">
            <w:r w:rsidRPr="00351630">
              <w:t>Interest expense to revenue</w:t>
            </w:r>
          </w:p>
        </w:tc>
        <w:tc>
          <w:tcPr>
            <w:tcW w:w="794" w:type="dxa"/>
            <w:tcBorders>
              <w:bottom w:val="single" w:sz="12" w:space="0" w:color="auto"/>
            </w:tcBorders>
          </w:tcPr>
          <w:p w14:paraId="4D3E2CC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3.7</w:t>
            </w:r>
          </w:p>
        </w:tc>
        <w:tc>
          <w:tcPr>
            <w:tcW w:w="794" w:type="dxa"/>
            <w:tcBorders>
              <w:bottom w:val="single" w:sz="12" w:space="0" w:color="auto"/>
            </w:tcBorders>
          </w:tcPr>
          <w:p w14:paraId="654805E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5.0</w:t>
            </w:r>
          </w:p>
        </w:tc>
        <w:tc>
          <w:tcPr>
            <w:tcW w:w="794" w:type="dxa"/>
            <w:tcBorders>
              <w:bottom w:val="single" w:sz="12" w:space="0" w:color="auto"/>
            </w:tcBorders>
          </w:tcPr>
          <w:p w14:paraId="1717AA0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6.3</w:t>
            </w:r>
          </w:p>
        </w:tc>
        <w:tc>
          <w:tcPr>
            <w:tcW w:w="794" w:type="dxa"/>
            <w:tcBorders>
              <w:bottom w:val="single" w:sz="12" w:space="0" w:color="auto"/>
            </w:tcBorders>
          </w:tcPr>
          <w:p w14:paraId="01E2244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6.9</w:t>
            </w:r>
          </w:p>
        </w:tc>
        <w:tc>
          <w:tcPr>
            <w:tcW w:w="794" w:type="dxa"/>
            <w:tcBorders>
              <w:bottom w:val="single" w:sz="12" w:space="0" w:color="auto"/>
            </w:tcBorders>
          </w:tcPr>
          <w:p w14:paraId="5B96CD4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7.5</w:t>
            </w:r>
          </w:p>
        </w:tc>
        <w:tc>
          <w:tcPr>
            <w:tcW w:w="794" w:type="dxa"/>
            <w:tcBorders>
              <w:bottom w:val="single" w:sz="12" w:space="0" w:color="auto"/>
            </w:tcBorders>
          </w:tcPr>
          <w:p w14:paraId="434DDE9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8.1</w:t>
            </w:r>
          </w:p>
        </w:tc>
      </w:tr>
    </w:tbl>
    <w:p w14:paraId="27267D77" w14:textId="77777777" w:rsidR="00346FC5" w:rsidRPr="00351630" w:rsidRDefault="00346FC5" w:rsidP="00346FC5">
      <w:pPr>
        <w:pStyle w:val="Note"/>
      </w:pPr>
      <w:r w:rsidRPr="00351630">
        <w:t>Note:</w:t>
      </w:r>
    </w:p>
    <w:p w14:paraId="0AA8081D" w14:textId="77777777" w:rsidR="00346FC5" w:rsidRPr="00351630" w:rsidRDefault="00346FC5" w:rsidP="00346FC5">
      <w:pPr>
        <w:pStyle w:val="Note"/>
      </w:pPr>
      <w:r w:rsidRPr="00351630">
        <w:t>(a)</w:t>
      </w:r>
      <w:r w:rsidRPr="00351630">
        <w:tab/>
        <w:t xml:space="preserve">Gross debt includes borrowings, deposits held and advances received. </w:t>
      </w:r>
    </w:p>
    <w:p w14:paraId="6B4BF7C1" w14:textId="479F3708" w:rsidR="00346FC5" w:rsidRPr="007B1F83" w:rsidRDefault="007B1F83" w:rsidP="007B1F83">
      <w:pPr>
        <w:pStyle w:val="Heading10"/>
        <w:pageBreakBefore/>
      </w:pPr>
      <w:bookmarkStart w:id="78" w:name="_Toc135331259"/>
      <w:r w:rsidRPr="007B1F83">
        <w:t>Public financial corporation</w:t>
      </w:r>
      <w:r>
        <w:t>s</w:t>
      </w:r>
      <w:r w:rsidRPr="007B1F83">
        <w:t xml:space="preserve"> sector</w:t>
      </w:r>
      <w:bookmarkEnd w:id="78"/>
    </w:p>
    <w:p w14:paraId="5C6CA24B" w14:textId="77777777" w:rsidR="00346FC5" w:rsidRPr="00351630" w:rsidRDefault="00346FC5" w:rsidP="00346FC5">
      <w:r w:rsidRPr="00351630">
        <w:t xml:space="preserve">Tables 5.7 and 5.8 summarise the operating statement and financial position for the PFC sector. A comprehensive operating statement and balance sheet are presented in Budget Paper No. 5, Chapter 2 </w:t>
      </w:r>
      <w:r w:rsidRPr="00351630">
        <w:rPr>
          <w:i/>
        </w:rPr>
        <w:t>Supplementary uniform presentation framework tables</w:t>
      </w:r>
      <w:r w:rsidRPr="00351630">
        <w:t xml:space="preserve">. </w:t>
      </w:r>
    </w:p>
    <w:p w14:paraId="4E9B08C3" w14:textId="77777777" w:rsidR="00346FC5" w:rsidRPr="00351630" w:rsidRDefault="00346FC5" w:rsidP="00346FC5">
      <w:pPr>
        <w:pStyle w:val="TableHeading"/>
        <w:spacing w:before="180"/>
        <w:ind w:left="1140" w:hanging="1140"/>
      </w:pPr>
      <w:r w:rsidRPr="00351630">
        <w:t xml:space="preserve">Table 5.7: </w:t>
      </w:r>
      <w:r w:rsidRPr="00351630">
        <w:tab/>
      </w:r>
      <w:r w:rsidRPr="00351630">
        <w:rPr>
          <w:szCs w:val="22"/>
        </w:rPr>
        <w:t xml:space="preserve">Summary operating statement for the PFC sector </w:t>
      </w:r>
      <w:r w:rsidRPr="00351630">
        <w:rPr>
          <w:szCs w:val="22"/>
          <w:vertAlign w:val="superscript"/>
        </w:rPr>
        <w:t>(a)</w:t>
      </w:r>
      <w:r w:rsidRPr="00351630">
        <w:rPr>
          <w:szCs w:val="22"/>
          <w:vertAlign w:val="superscript"/>
        </w:rPr>
        <w:tab/>
      </w:r>
      <w:r w:rsidRPr="00351630">
        <w:t>($ million)</w:t>
      </w:r>
    </w:p>
    <w:tbl>
      <w:tblPr>
        <w:tblStyle w:val="DTFTableNumeric"/>
        <w:tblW w:w="7710" w:type="dxa"/>
        <w:tblLayout w:type="fixed"/>
        <w:tblLook w:val="06A0" w:firstRow="1" w:lastRow="0" w:firstColumn="1" w:lastColumn="0" w:noHBand="1" w:noVBand="1"/>
        <w:tblDescription w:val="Type:DtfTable|Workbook:https://vicgov.sharepoint.com/sites/msteams_12cfc2/BP2/Chapter%205/Link_BP2-Chapter5.xlsx|Table:PFC_OS|MergedHeadingRow:1"/>
      </w:tblPr>
      <w:tblGrid>
        <w:gridCol w:w="2946"/>
        <w:gridCol w:w="794"/>
        <w:gridCol w:w="794"/>
        <w:gridCol w:w="794"/>
        <w:gridCol w:w="794"/>
        <w:gridCol w:w="794"/>
        <w:gridCol w:w="794"/>
      </w:tblGrid>
      <w:tr w:rsidR="00346FC5" w:rsidRPr="00351630" w14:paraId="26389B60" w14:textId="77777777" w:rsidTr="009835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46" w:type="dxa"/>
          </w:tcPr>
          <w:p w14:paraId="2CAC01CC" w14:textId="77777777" w:rsidR="00346FC5" w:rsidRPr="00351630" w:rsidRDefault="00346FC5" w:rsidP="0098354D">
            <w:pPr>
              <w:keepNext/>
            </w:pPr>
          </w:p>
        </w:tc>
        <w:tc>
          <w:tcPr>
            <w:tcW w:w="794" w:type="dxa"/>
          </w:tcPr>
          <w:p w14:paraId="5DCDCA98"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2021</w:t>
            </w:r>
            <w:r w:rsidRPr="00351630">
              <w:noBreakHyphen/>
              <w:t>22</w:t>
            </w:r>
            <w:r w:rsidRPr="00351630">
              <w:br/>
              <w:t>actual</w:t>
            </w:r>
          </w:p>
        </w:tc>
        <w:tc>
          <w:tcPr>
            <w:tcW w:w="794" w:type="dxa"/>
          </w:tcPr>
          <w:p w14:paraId="3AE2211B"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2022</w:t>
            </w:r>
            <w:r w:rsidRPr="00351630">
              <w:noBreakHyphen/>
              <w:t>23</w:t>
            </w:r>
            <w:r w:rsidRPr="00351630">
              <w:br/>
              <w:t>revised</w:t>
            </w:r>
          </w:p>
        </w:tc>
        <w:tc>
          <w:tcPr>
            <w:tcW w:w="794" w:type="dxa"/>
          </w:tcPr>
          <w:p w14:paraId="101CD444"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2023</w:t>
            </w:r>
            <w:r w:rsidRPr="00351630">
              <w:noBreakHyphen/>
              <w:t>24</w:t>
            </w:r>
            <w:r w:rsidRPr="00351630">
              <w:br/>
              <w:t>budget</w:t>
            </w:r>
          </w:p>
        </w:tc>
        <w:tc>
          <w:tcPr>
            <w:tcW w:w="794" w:type="dxa"/>
          </w:tcPr>
          <w:p w14:paraId="3D07E4CF"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2024</w:t>
            </w:r>
            <w:r w:rsidRPr="00351630">
              <w:noBreakHyphen/>
              <w:t>25</w:t>
            </w:r>
            <w:r w:rsidRPr="00351630">
              <w:br/>
              <w:t>estimate</w:t>
            </w:r>
          </w:p>
        </w:tc>
        <w:tc>
          <w:tcPr>
            <w:tcW w:w="794" w:type="dxa"/>
          </w:tcPr>
          <w:p w14:paraId="72E1A433"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2025</w:t>
            </w:r>
            <w:r w:rsidRPr="00351630">
              <w:noBreakHyphen/>
              <w:t>26</w:t>
            </w:r>
            <w:r w:rsidRPr="00351630">
              <w:br/>
              <w:t>estimate</w:t>
            </w:r>
          </w:p>
        </w:tc>
        <w:tc>
          <w:tcPr>
            <w:tcW w:w="794" w:type="dxa"/>
          </w:tcPr>
          <w:p w14:paraId="556531E9"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2026</w:t>
            </w:r>
            <w:r w:rsidRPr="00351630">
              <w:noBreakHyphen/>
              <w:t>27</w:t>
            </w:r>
            <w:r w:rsidRPr="00351630">
              <w:br/>
              <w:t>estimate</w:t>
            </w:r>
          </w:p>
        </w:tc>
      </w:tr>
      <w:tr w:rsidR="00346FC5" w:rsidRPr="00351630" w14:paraId="5A644097"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64AD82A5" w14:textId="77777777" w:rsidR="00346FC5" w:rsidRPr="00351630" w:rsidRDefault="00346FC5" w:rsidP="0098354D">
            <w:r w:rsidRPr="00351630">
              <w:rPr>
                <w:b/>
              </w:rPr>
              <w:t>Revenue and income from transactions</w:t>
            </w:r>
          </w:p>
        </w:tc>
        <w:tc>
          <w:tcPr>
            <w:tcW w:w="794" w:type="dxa"/>
          </w:tcPr>
          <w:p w14:paraId="6F79ECC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337E4DC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0F7B05A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7D94347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39AD11B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3F8E8A8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rsidRPr="00351630" w14:paraId="566C1E68"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530ED6DE" w14:textId="77777777" w:rsidR="00346FC5" w:rsidRPr="00351630" w:rsidRDefault="00346FC5" w:rsidP="0098354D">
            <w:r w:rsidRPr="00351630">
              <w:t>Interest income</w:t>
            </w:r>
          </w:p>
        </w:tc>
        <w:tc>
          <w:tcPr>
            <w:tcW w:w="794" w:type="dxa"/>
          </w:tcPr>
          <w:p w14:paraId="7B55DFB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2 473</w:t>
            </w:r>
          </w:p>
        </w:tc>
        <w:tc>
          <w:tcPr>
            <w:tcW w:w="794" w:type="dxa"/>
          </w:tcPr>
          <w:p w14:paraId="2874138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3 695</w:t>
            </w:r>
          </w:p>
        </w:tc>
        <w:tc>
          <w:tcPr>
            <w:tcW w:w="794" w:type="dxa"/>
          </w:tcPr>
          <w:p w14:paraId="081DBD6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5 094</w:t>
            </w:r>
          </w:p>
        </w:tc>
        <w:tc>
          <w:tcPr>
            <w:tcW w:w="794" w:type="dxa"/>
          </w:tcPr>
          <w:p w14:paraId="77F78AA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6 132</w:t>
            </w:r>
          </w:p>
        </w:tc>
        <w:tc>
          <w:tcPr>
            <w:tcW w:w="794" w:type="dxa"/>
          </w:tcPr>
          <w:p w14:paraId="6E8E328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7 125</w:t>
            </w:r>
          </w:p>
        </w:tc>
        <w:tc>
          <w:tcPr>
            <w:tcW w:w="794" w:type="dxa"/>
          </w:tcPr>
          <w:p w14:paraId="60346DF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8 119</w:t>
            </w:r>
          </w:p>
        </w:tc>
      </w:tr>
      <w:tr w:rsidR="00346FC5" w:rsidRPr="00351630" w14:paraId="074B2141"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0CD76F06" w14:textId="77777777" w:rsidR="00346FC5" w:rsidRPr="00351630" w:rsidRDefault="00346FC5" w:rsidP="0098354D">
            <w:r w:rsidRPr="00351630">
              <w:t>Dividend income</w:t>
            </w:r>
          </w:p>
        </w:tc>
        <w:tc>
          <w:tcPr>
            <w:tcW w:w="794" w:type="dxa"/>
          </w:tcPr>
          <w:p w14:paraId="3FCAFA9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3 052</w:t>
            </w:r>
          </w:p>
        </w:tc>
        <w:tc>
          <w:tcPr>
            <w:tcW w:w="794" w:type="dxa"/>
          </w:tcPr>
          <w:p w14:paraId="68FC62A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1 722</w:t>
            </w:r>
          </w:p>
        </w:tc>
        <w:tc>
          <w:tcPr>
            <w:tcW w:w="794" w:type="dxa"/>
          </w:tcPr>
          <w:p w14:paraId="3561547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1 879</w:t>
            </w:r>
          </w:p>
        </w:tc>
        <w:tc>
          <w:tcPr>
            <w:tcW w:w="794" w:type="dxa"/>
          </w:tcPr>
          <w:p w14:paraId="71F1609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2 005</w:t>
            </w:r>
          </w:p>
        </w:tc>
        <w:tc>
          <w:tcPr>
            <w:tcW w:w="794" w:type="dxa"/>
          </w:tcPr>
          <w:p w14:paraId="5413967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2 514</w:t>
            </w:r>
          </w:p>
        </w:tc>
        <w:tc>
          <w:tcPr>
            <w:tcW w:w="794" w:type="dxa"/>
          </w:tcPr>
          <w:p w14:paraId="0E81093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2 696</w:t>
            </w:r>
          </w:p>
        </w:tc>
      </w:tr>
      <w:tr w:rsidR="00346FC5" w:rsidRPr="00351630" w14:paraId="2545B34C"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68477CC6" w14:textId="77777777" w:rsidR="00346FC5" w:rsidRPr="00351630" w:rsidRDefault="00346FC5" w:rsidP="0098354D">
            <w:r w:rsidRPr="00351630">
              <w:t>Sales of goods and services</w:t>
            </w:r>
          </w:p>
        </w:tc>
        <w:tc>
          <w:tcPr>
            <w:tcW w:w="794" w:type="dxa"/>
          </w:tcPr>
          <w:p w14:paraId="198AA0A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5 675</w:t>
            </w:r>
          </w:p>
        </w:tc>
        <w:tc>
          <w:tcPr>
            <w:tcW w:w="794" w:type="dxa"/>
          </w:tcPr>
          <w:p w14:paraId="76430A8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6 120</w:t>
            </w:r>
          </w:p>
        </w:tc>
        <w:tc>
          <w:tcPr>
            <w:tcW w:w="794" w:type="dxa"/>
          </w:tcPr>
          <w:p w14:paraId="04F6C1C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7 793</w:t>
            </w:r>
          </w:p>
        </w:tc>
        <w:tc>
          <w:tcPr>
            <w:tcW w:w="794" w:type="dxa"/>
          </w:tcPr>
          <w:p w14:paraId="097554C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8 133</w:t>
            </w:r>
          </w:p>
        </w:tc>
        <w:tc>
          <w:tcPr>
            <w:tcW w:w="794" w:type="dxa"/>
          </w:tcPr>
          <w:p w14:paraId="7542FDF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8 493</w:t>
            </w:r>
          </w:p>
        </w:tc>
        <w:tc>
          <w:tcPr>
            <w:tcW w:w="794" w:type="dxa"/>
          </w:tcPr>
          <w:p w14:paraId="261596C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8 871</w:t>
            </w:r>
          </w:p>
        </w:tc>
      </w:tr>
      <w:tr w:rsidR="00346FC5" w:rsidRPr="00351630" w14:paraId="2F688B5C"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7DFC3921" w14:textId="77777777" w:rsidR="00346FC5" w:rsidRPr="00351630" w:rsidRDefault="00346FC5" w:rsidP="0098354D">
            <w:r w:rsidRPr="00351630">
              <w:t>Grants</w:t>
            </w:r>
          </w:p>
        </w:tc>
        <w:tc>
          <w:tcPr>
            <w:tcW w:w="794" w:type="dxa"/>
          </w:tcPr>
          <w:p w14:paraId="5028B4F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516</w:t>
            </w:r>
          </w:p>
        </w:tc>
        <w:tc>
          <w:tcPr>
            <w:tcW w:w="794" w:type="dxa"/>
          </w:tcPr>
          <w:p w14:paraId="44B3BCC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377</w:t>
            </w:r>
          </w:p>
        </w:tc>
        <w:tc>
          <w:tcPr>
            <w:tcW w:w="794" w:type="dxa"/>
          </w:tcPr>
          <w:p w14:paraId="3E5CFB1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25</w:t>
            </w:r>
          </w:p>
        </w:tc>
        <w:tc>
          <w:tcPr>
            <w:tcW w:w="794" w:type="dxa"/>
          </w:tcPr>
          <w:p w14:paraId="1019D6C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27</w:t>
            </w:r>
          </w:p>
        </w:tc>
        <w:tc>
          <w:tcPr>
            <w:tcW w:w="794" w:type="dxa"/>
          </w:tcPr>
          <w:p w14:paraId="4A50A0C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29</w:t>
            </w:r>
          </w:p>
        </w:tc>
        <w:tc>
          <w:tcPr>
            <w:tcW w:w="794" w:type="dxa"/>
          </w:tcPr>
          <w:p w14:paraId="1235A78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31</w:t>
            </w:r>
          </w:p>
        </w:tc>
      </w:tr>
      <w:tr w:rsidR="00346FC5" w:rsidRPr="00351630" w14:paraId="532BA415"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58B70D6E" w14:textId="77777777" w:rsidR="00346FC5" w:rsidRPr="00351630" w:rsidRDefault="00346FC5" w:rsidP="0098354D">
            <w:r w:rsidRPr="00351630">
              <w:t>Other revenue and income</w:t>
            </w:r>
          </w:p>
        </w:tc>
        <w:tc>
          <w:tcPr>
            <w:tcW w:w="794" w:type="dxa"/>
            <w:tcBorders>
              <w:bottom w:val="single" w:sz="6" w:space="0" w:color="auto"/>
            </w:tcBorders>
          </w:tcPr>
          <w:p w14:paraId="018B19F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21</w:t>
            </w:r>
          </w:p>
        </w:tc>
        <w:tc>
          <w:tcPr>
            <w:tcW w:w="794" w:type="dxa"/>
            <w:tcBorders>
              <w:bottom w:val="single" w:sz="6" w:space="0" w:color="auto"/>
            </w:tcBorders>
          </w:tcPr>
          <w:p w14:paraId="506FECE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20</w:t>
            </w:r>
          </w:p>
        </w:tc>
        <w:tc>
          <w:tcPr>
            <w:tcW w:w="794" w:type="dxa"/>
            <w:tcBorders>
              <w:bottom w:val="single" w:sz="6" w:space="0" w:color="auto"/>
            </w:tcBorders>
          </w:tcPr>
          <w:p w14:paraId="70DF268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22</w:t>
            </w:r>
          </w:p>
        </w:tc>
        <w:tc>
          <w:tcPr>
            <w:tcW w:w="794" w:type="dxa"/>
            <w:tcBorders>
              <w:bottom w:val="single" w:sz="6" w:space="0" w:color="auto"/>
            </w:tcBorders>
          </w:tcPr>
          <w:p w14:paraId="3BD6674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24</w:t>
            </w:r>
          </w:p>
        </w:tc>
        <w:tc>
          <w:tcPr>
            <w:tcW w:w="794" w:type="dxa"/>
            <w:tcBorders>
              <w:bottom w:val="single" w:sz="6" w:space="0" w:color="auto"/>
            </w:tcBorders>
          </w:tcPr>
          <w:p w14:paraId="2B45056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25</w:t>
            </w:r>
          </w:p>
        </w:tc>
        <w:tc>
          <w:tcPr>
            <w:tcW w:w="794" w:type="dxa"/>
            <w:tcBorders>
              <w:bottom w:val="single" w:sz="6" w:space="0" w:color="auto"/>
            </w:tcBorders>
          </w:tcPr>
          <w:p w14:paraId="11ED2ED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28</w:t>
            </w:r>
          </w:p>
        </w:tc>
      </w:tr>
      <w:tr w:rsidR="00346FC5" w:rsidRPr="00351630" w14:paraId="3FEDFDA4"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tcBorders>
          </w:tcPr>
          <w:p w14:paraId="4C42A4A0" w14:textId="77777777" w:rsidR="00346FC5" w:rsidRPr="00351630" w:rsidRDefault="00346FC5" w:rsidP="0098354D">
            <w:r w:rsidRPr="00351630">
              <w:rPr>
                <w:b/>
              </w:rPr>
              <w:t>Total revenue and income from transactions</w:t>
            </w:r>
          </w:p>
        </w:tc>
        <w:tc>
          <w:tcPr>
            <w:tcW w:w="794" w:type="dxa"/>
            <w:tcBorders>
              <w:top w:val="single" w:sz="6" w:space="0" w:color="auto"/>
            </w:tcBorders>
          </w:tcPr>
          <w:p w14:paraId="33B276A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11 737</w:t>
            </w:r>
          </w:p>
        </w:tc>
        <w:tc>
          <w:tcPr>
            <w:tcW w:w="794" w:type="dxa"/>
            <w:tcBorders>
              <w:top w:val="single" w:sz="6" w:space="0" w:color="auto"/>
            </w:tcBorders>
          </w:tcPr>
          <w:p w14:paraId="607EA70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11 936</w:t>
            </w:r>
          </w:p>
        </w:tc>
        <w:tc>
          <w:tcPr>
            <w:tcW w:w="794" w:type="dxa"/>
            <w:tcBorders>
              <w:top w:val="single" w:sz="6" w:space="0" w:color="auto"/>
            </w:tcBorders>
          </w:tcPr>
          <w:p w14:paraId="75DB9B6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14 813</w:t>
            </w:r>
          </w:p>
        </w:tc>
        <w:tc>
          <w:tcPr>
            <w:tcW w:w="794" w:type="dxa"/>
            <w:tcBorders>
              <w:top w:val="single" w:sz="6" w:space="0" w:color="auto"/>
            </w:tcBorders>
          </w:tcPr>
          <w:p w14:paraId="04E4A32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16 322</w:t>
            </w:r>
          </w:p>
        </w:tc>
        <w:tc>
          <w:tcPr>
            <w:tcW w:w="794" w:type="dxa"/>
            <w:tcBorders>
              <w:top w:val="single" w:sz="6" w:space="0" w:color="auto"/>
            </w:tcBorders>
          </w:tcPr>
          <w:p w14:paraId="525474A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18 186</w:t>
            </w:r>
          </w:p>
        </w:tc>
        <w:tc>
          <w:tcPr>
            <w:tcW w:w="794" w:type="dxa"/>
            <w:tcBorders>
              <w:top w:val="single" w:sz="6" w:space="0" w:color="auto"/>
            </w:tcBorders>
          </w:tcPr>
          <w:p w14:paraId="0D0CD25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19 746</w:t>
            </w:r>
          </w:p>
        </w:tc>
      </w:tr>
      <w:tr w:rsidR="00346FC5" w:rsidRPr="00351630" w14:paraId="7C4AD61A"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28285299" w14:textId="77777777" w:rsidR="00346FC5" w:rsidRPr="00351630" w:rsidRDefault="00346FC5" w:rsidP="0098354D">
            <w:r w:rsidRPr="00351630">
              <w:rPr>
                <w:i/>
              </w:rPr>
              <w:t>% change</w:t>
            </w:r>
          </w:p>
        </w:tc>
        <w:tc>
          <w:tcPr>
            <w:tcW w:w="794" w:type="dxa"/>
          </w:tcPr>
          <w:p w14:paraId="2DF57F2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18.9</w:t>
            </w:r>
          </w:p>
        </w:tc>
        <w:tc>
          <w:tcPr>
            <w:tcW w:w="794" w:type="dxa"/>
          </w:tcPr>
          <w:p w14:paraId="3E1B4D7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1.7</w:t>
            </w:r>
          </w:p>
        </w:tc>
        <w:tc>
          <w:tcPr>
            <w:tcW w:w="794" w:type="dxa"/>
          </w:tcPr>
          <w:p w14:paraId="3877895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24.1</w:t>
            </w:r>
          </w:p>
        </w:tc>
        <w:tc>
          <w:tcPr>
            <w:tcW w:w="794" w:type="dxa"/>
          </w:tcPr>
          <w:p w14:paraId="5CDD013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10.2</w:t>
            </w:r>
          </w:p>
        </w:tc>
        <w:tc>
          <w:tcPr>
            <w:tcW w:w="794" w:type="dxa"/>
          </w:tcPr>
          <w:p w14:paraId="258535D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11.4</w:t>
            </w:r>
          </w:p>
        </w:tc>
        <w:tc>
          <w:tcPr>
            <w:tcW w:w="794" w:type="dxa"/>
          </w:tcPr>
          <w:p w14:paraId="026F20D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8.6</w:t>
            </w:r>
          </w:p>
        </w:tc>
      </w:tr>
      <w:tr w:rsidR="00346FC5" w:rsidRPr="00351630" w14:paraId="0C73091B"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5E049E07" w14:textId="77777777" w:rsidR="00346FC5" w:rsidRPr="00351630" w:rsidRDefault="00346FC5" w:rsidP="0098354D">
            <w:r w:rsidRPr="00351630">
              <w:rPr>
                <w:b/>
              </w:rPr>
              <w:t>Expenses from transactions</w:t>
            </w:r>
          </w:p>
        </w:tc>
        <w:tc>
          <w:tcPr>
            <w:tcW w:w="794" w:type="dxa"/>
          </w:tcPr>
          <w:p w14:paraId="722F69C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1FF8EA9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2B4C051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1E6CD8B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50C3B52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7F08B77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rsidRPr="00351630" w14:paraId="279E1FA0"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3430FF31" w14:textId="77777777" w:rsidR="00346FC5" w:rsidRPr="00351630" w:rsidRDefault="00346FC5" w:rsidP="0098354D">
            <w:r w:rsidRPr="00351630">
              <w:t>Employee expenses</w:t>
            </w:r>
          </w:p>
        </w:tc>
        <w:tc>
          <w:tcPr>
            <w:tcW w:w="794" w:type="dxa"/>
          </w:tcPr>
          <w:p w14:paraId="56BABEF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451</w:t>
            </w:r>
          </w:p>
        </w:tc>
        <w:tc>
          <w:tcPr>
            <w:tcW w:w="794" w:type="dxa"/>
          </w:tcPr>
          <w:p w14:paraId="553DAEA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529</w:t>
            </w:r>
          </w:p>
        </w:tc>
        <w:tc>
          <w:tcPr>
            <w:tcW w:w="794" w:type="dxa"/>
          </w:tcPr>
          <w:p w14:paraId="3A610B3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545</w:t>
            </w:r>
          </w:p>
        </w:tc>
        <w:tc>
          <w:tcPr>
            <w:tcW w:w="794" w:type="dxa"/>
          </w:tcPr>
          <w:p w14:paraId="37F8F83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554</w:t>
            </w:r>
          </w:p>
        </w:tc>
        <w:tc>
          <w:tcPr>
            <w:tcW w:w="794" w:type="dxa"/>
          </w:tcPr>
          <w:p w14:paraId="6556C2F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561</w:t>
            </w:r>
          </w:p>
        </w:tc>
        <w:tc>
          <w:tcPr>
            <w:tcW w:w="794" w:type="dxa"/>
          </w:tcPr>
          <w:p w14:paraId="4C81B8D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574</w:t>
            </w:r>
          </w:p>
        </w:tc>
      </w:tr>
      <w:tr w:rsidR="00346FC5" w:rsidRPr="00351630" w14:paraId="44D695DC"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78300414" w14:textId="77777777" w:rsidR="00346FC5" w:rsidRPr="00351630" w:rsidRDefault="00346FC5" w:rsidP="0098354D">
            <w:r w:rsidRPr="00351630">
              <w:t>Other superannuation</w:t>
            </w:r>
          </w:p>
        </w:tc>
        <w:tc>
          <w:tcPr>
            <w:tcW w:w="794" w:type="dxa"/>
          </w:tcPr>
          <w:p w14:paraId="651973F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41</w:t>
            </w:r>
          </w:p>
        </w:tc>
        <w:tc>
          <w:tcPr>
            <w:tcW w:w="794" w:type="dxa"/>
          </w:tcPr>
          <w:p w14:paraId="1C83B38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50</w:t>
            </w:r>
          </w:p>
        </w:tc>
        <w:tc>
          <w:tcPr>
            <w:tcW w:w="794" w:type="dxa"/>
          </w:tcPr>
          <w:p w14:paraId="038A731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52</w:t>
            </w:r>
          </w:p>
        </w:tc>
        <w:tc>
          <w:tcPr>
            <w:tcW w:w="794" w:type="dxa"/>
          </w:tcPr>
          <w:p w14:paraId="716D422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54</w:t>
            </w:r>
          </w:p>
        </w:tc>
        <w:tc>
          <w:tcPr>
            <w:tcW w:w="794" w:type="dxa"/>
          </w:tcPr>
          <w:p w14:paraId="078F5FA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55</w:t>
            </w:r>
          </w:p>
        </w:tc>
        <w:tc>
          <w:tcPr>
            <w:tcW w:w="794" w:type="dxa"/>
          </w:tcPr>
          <w:p w14:paraId="22557E2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57</w:t>
            </w:r>
          </w:p>
        </w:tc>
      </w:tr>
      <w:tr w:rsidR="00346FC5" w:rsidRPr="00351630" w14:paraId="5CA37479"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773FE904" w14:textId="77777777" w:rsidR="00346FC5" w:rsidRPr="00351630" w:rsidRDefault="00346FC5" w:rsidP="0098354D">
            <w:r w:rsidRPr="00351630">
              <w:t>Depreciation</w:t>
            </w:r>
          </w:p>
        </w:tc>
        <w:tc>
          <w:tcPr>
            <w:tcW w:w="794" w:type="dxa"/>
          </w:tcPr>
          <w:p w14:paraId="69DB455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88</w:t>
            </w:r>
          </w:p>
        </w:tc>
        <w:tc>
          <w:tcPr>
            <w:tcW w:w="794" w:type="dxa"/>
          </w:tcPr>
          <w:p w14:paraId="1BFF593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83</w:t>
            </w:r>
          </w:p>
        </w:tc>
        <w:tc>
          <w:tcPr>
            <w:tcW w:w="794" w:type="dxa"/>
          </w:tcPr>
          <w:p w14:paraId="2E0D970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85</w:t>
            </w:r>
          </w:p>
        </w:tc>
        <w:tc>
          <w:tcPr>
            <w:tcW w:w="794" w:type="dxa"/>
          </w:tcPr>
          <w:p w14:paraId="5A6896E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85</w:t>
            </w:r>
          </w:p>
        </w:tc>
        <w:tc>
          <w:tcPr>
            <w:tcW w:w="794" w:type="dxa"/>
          </w:tcPr>
          <w:p w14:paraId="7972EDB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86</w:t>
            </w:r>
          </w:p>
        </w:tc>
        <w:tc>
          <w:tcPr>
            <w:tcW w:w="794" w:type="dxa"/>
          </w:tcPr>
          <w:p w14:paraId="4915993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86</w:t>
            </w:r>
          </w:p>
        </w:tc>
      </w:tr>
      <w:tr w:rsidR="00346FC5" w:rsidRPr="00351630" w14:paraId="3CED7C66"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05B82738" w14:textId="77777777" w:rsidR="00346FC5" w:rsidRPr="00351630" w:rsidRDefault="00346FC5" w:rsidP="0098354D">
            <w:r w:rsidRPr="00351630">
              <w:t>Interest expense</w:t>
            </w:r>
          </w:p>
        </w:tc>
        <w:tc>
          <w:tcPr>
            <w:tcW w:w="794" w:type="dxa"/>
          </w:tcPr>
          <w:p w14:paraId="04C539F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2 469</w:t>
            </w:r>
          </w:p>
        </w:tc>
        <w:tc>
          <w:tcPr>
            <w:tcW w:w="794" w:type="dxa"/>
          </w:tcPr>
          <w:p w14:paraId="1D4E133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3 379</w:t>
            </w:r>
          </w:p>
        </w:tc>
        <w:tc>
          <w:tcPr>
            <w:tcW w:w="794" w:type="dxa"/>
          </w:tcPr>
          <w:p w14:paraId="57443EA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4 810</w:t>
            </w:r>
          </w:p>
        </w:tc>
        <w:tc>
          <w:tcPr>
            <w:tcW w:w="794" w:type="dxa"/>
          </w:tcPr>
          <w:p w14:paraId="7024A1C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5 872</w:t>
            </w:r>
          </w:p>
        </w:tc>
        <w:tc>
          <w:tcPr>
            <w:tcW w:w="794" w:type="dxa"/>
          </w:tcPr>
          <w:p w14:paraId="485F149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6 844</w:t>
            </w:r>
          </w:p>
        </w:tc>
        <w:tc>
          <w:tcPr>
            <w:tcW w:w="794" w:type="dxa"/>
          </w:tcPr>
          <w:p w14:paraId="02A6328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7 829</w:t>
            </w:r>
          </w:p>
        </w:tc>
      </w:tr>
      <w:tr w:rsidR="00346FC5" w:rsidRPr="00351630" w14:paraId="2B15AAE7"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7DCA2B99" w14:textId="77777777" w:rsidR="00346FC5" w:rsidRPr="00351630" w:rsidRDefault="00346FC5" w:rsidP="0098354D">
            <w:r w:rsidRPr="00351630">
              <w:t>Grant expense</w:t>
            </w:r>
          </w:p>
        </w:tc>
        <w:tc>
          <w:tcPr>
            <w:tcW w:w="794" w:type="dxa"/>
          </w:tcPr>
          <w:p w14:paraId="4FF7758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641</w:t>
            </w:r>
          </w:p>
        </w:tc>
        <w:tc>
          <w:tcPr>
            <w:tcW w:w="794" w:type="dxa"/>
          </w:tcPr>
          <w:p w14:paraId="6365B4D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129</w:t>
            </w:r>
          </w:p>
        </w:tc>
        <w:tc>
          <w:tcPr>
            <w:tcW w:w="794" w:type="dxa"/>
          </w:tcPr>
          <w:p w14:paraId="4FD8217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1 150</w:t>
            </w:r>
          </w:p>
        </w:tc>
        <w:tc>
          <w:tcPr>
            <w:tcW w:w="794" w:type="dxa"/>
          </w:tcPr>
          <w:p w14:paraId="31884E8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583</w:t>
            </w:r>
          </w:p>
        </w:tc>
        <w:tc>
          <w:tcPr>
            <w:tcW w:w="794" w:type="dxa"/>
          </w:tcPr>
          <w:p w14:paraId="553AA19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734</w:t>
            </w:r>
          </w:p>
        </w:tc>
        <w:tc>
          <w:tcPr>
            <w:tcW w:w="794" w:type="dxa"/>
          </w:tcPr>
          <w:p w14:paraId="4556B97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816</w:t>
            </w:r>
          </w:p>
        </w:tc>
      </w:tr>
      <w:tr w:rsidR="00346FC5" w:rsidRPr="00351630" w14:paraId="6B6C01D0"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794A1AE2" w14:textId="77777777" w:rsidR="00346FC5" w:rsidRPr="00351630" w:rsidRDefault="00346FC5" w:rsidP="0098354D">
            <w:r w:rsidRPr="00351630">
              <w:t>Other operating expenses</w:t>
            </w:r>
          </w:p>
        </w:tc>
        <w:tc>
          <w:tcPr>
            <w:tcW w:w="794" w:type="dxa"/>
          </w:tcPr>
          <w:p w14:paraId="2AF64E6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8 746</w:t>
            </w:r>
          </w:p>
        </w:tc>
        <w:tc>
          <w:tcPr>
            <w:tcW w:w="794" w:type="dxa"/>
          </w:tcPr>
          <w:p w14:paraId="462BB56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10 473</w:t>
            </w:r>
          </w:p>
        </w:tc>
        <w:tc>
          <w:tcPr>
            <w:tcW w:w="794" w:type="dxa"/>
          </w:tcPr>
          <w:p w14:paraId="15DA989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11 315</w:t>
            </w:r>
          </w:p>
        </w:tc>
        <w:tc>
          <w:tcPr>
            <w:tcW w:w="794" w:type="dxa"/>
          </w:tcPr>
          <w:p w14:paraId="7E1CBBD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11 948</w:t>
            </w:r>
          </w:p>
        </w:tc>
        <w:tc>
          <w:tcPr>
            <w:tcW w:w="794" w:type="dxa"/>
          </w:tcPr>
          <w:p w14:paraId="2F5ED88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12 730</w:t>
            </w:r>
          </w:p>
        </w:tc>
        <w:tc>
          <w:tcPr>
            <w:tcW w:w="794" w:type="dxa"/>
          </w:tcPr>
          <w:p w14:paraId="64A6BB4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13 484</w:t>
            </w:r>
          </w:p>
        </w:tc>
      </w:tr>
      <w:tr w:rsidR="00346FC5" w:rsidRPr="00351630" w14:paraId="7828BDEF"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298E730A" w14:textId="77777777" w:rsidR="00346FC5" w:rsidRPr="00351630" w:rsidRDefault="00346FC5" w:rsidP="0098354D">
            <w:r w:rsidRPr="00351630">
              <w:t>Other property expenses</w:t>
            </w:r>
          </w:p>
        </w:tc>
        <w:tc>
          <w:tcPr>
            <w:tcW w:w="794" w:type="dxa"/>
          </w:tcPr>
          <w:p w14:paraId="58DFFE7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780</w:t>
            </w:r>
          </w:p>
        </w:tc>
        <w:tc>
          <w:tcPr>
            <w:tcW w:w="794" w:type="dxa"/>
          </w:tcPr>
          <w:p w14:paraId="24318E5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314</w:t>
            </w:r>
          </w:p>
        </w:tc>
        <w:tc>
          <w:tcPr>
            <w:tcW w:w="794" w:type="dxa"/>
          </w:tcPr>
          <w:p w14:paraId="1C2E968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w:t>
            </w:r>
          </w:p>
        </w:tc>
        <w:tc>
          <w:tcPr>
            <w:tcW w:w="794" w:type="dxa"/>
          </w:tcPr>
          <w:p w14:paraId="425129E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9</w:t>
            </w:r>
          </w:p>
        </w:tc>
        <w:tc>
          <w:tcPr>
            <w:tcW w:w="794" w:type="dxa"/>
          </w:tcPr>
          <w:p w14:paraId="3EC18EF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40</w:t>
            </w:r>
          </w:p>
        </w:tc>
        <w:tc>
          <w:tcPr>
            <w:tcW w:w="794" w:type="dxa"/>
          </w:tcPr>
          <w:p w14:paraId="2296398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36</w:t>
            </w:r>
          </w:p>
        </w:tc>
      </w:tr>
      <w:tr w:rsidR="00346FC5" w:rsidRPr="00351630" w14:paraId="74BAEED4"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4E0B833E" w14:textId="77777777" w:rsidR="00346FC5" w:rsidRPr="00351630" w:rsidRDefault="00346FC5" w:rsidP="0098354D">
            <w:r w:rsidRPr="00351630">
              <w:rPr>
                <w:b/>
              </w:rPr>
              <w:t>Total expenses from transactions</w:t>
            </w:r>
          </w:p>
        </w:tc>
        <w:tc>
          <w:tcPr>
            <w:tcW w:w="794" w:type="dxa"/>
          </w:tcPr>
          <w:p w14:paraId="2AB6C07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13 217</w:t>
            </w:r>
          </w:p>
        </w:tc>
        <w:tc>
          <w:tcPr>
            <w:tcW w:w="794" w:type="dxa"/>
          </w:tcPr>
          <w:p w14:paraId="400227A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14 957</w:t>
            </w:r>
          </w:p>
        </w:tc>
        <w:tc>
          <w:tcPr>
            <w:tcW w:w="794" w:type="dxa"/>
          </w:tcPr>
          <w:p w14:paraId="2DB8727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17 965</w:t>
            </w:r>
          </w:p>
        </w:tc>
        <w:tc>
          <w:tcPr>
            <w:tcW w:w="794" w:type="dxa"/>
          </w:tcPr>
          <w:p w14:paraId="180BDA3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19 105</w:t>
            </w:r>
          </w:p>
        </w:tc>
        <w:tc>
          <w:tcPr>
            <w:tcW w:w="794" w:type="dxa"/>
          </w:tcPr>
          <w:p w14:paraId="19BEE5B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21 050</w:t>
            </w:r>
          </w:p>
        </w:tc>
        <w:tc>
          <w:tcPr>
            <w:tcW w:w="794" w:type="dxa"/>
          </w:tcPr>
          <w:p w14:paraId="4B7F7BB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22 881</w:t>
            </w:r>
          </w:p>
        </w:tc>
      </w:tr>
      <w:tr w:rsidR="00346FC5" w:rsidRPr="00351630" w14:paraId="5DE267EA"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42692DCE" w14:textId="77777777" w:rsidR="00346FC5" w:rsidRPr="00351630" w:rsidRDefault="00346FC5" w:rsidP="0098354D">
            <w:r w:rsidRPr="00351630">
              <w:rPr>
                <w:i/>
              </w:rPr>
              <w:t>% change</w:t>
            </w:r>
          </w:p>
        </w:tc>
        <w:tc>
          <w:tcPr>
            <w:tcW w:w="794" w:type="dxa"/>
            <w:tcBorders>
              <w:bottom w:val="single" w:sz="6" w:space="0" w:color="auto"/>
            </w:tcBorders>
          </w:tcPr>
          <w:p w14:paraId="580F1C2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0.3</w:t>
            </w:r>
          </w:p>
        </w:tc>
        <w:tc>
          <w:tcPr>
            <w:tcW w:w="794" w:type="dxa"/>
            <w:tcBorders>
              <w:bottom w:val="single" w:sz="6" w:space="0" w:color="auto"/>
            </w:tcBorders>
          </w:tcPr>
          <w:p w14:paraId="56B8596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13.2</w:t>
            </w:r>
          </w:p>
        </w:tc>
        <w:tc>
          <w:tcPr>
            <w:tcW w:w="794" w:type="dxa"/>
            <w:tcBorders>
              <w:bottom w:val="single" w:sz="6" w:space="0" w:color="auto"/>
            </w:tcBorders>
          </w:tcPr>
          <w:p w14:paraId="794B0F6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20.1</w:t>
            </w:r>
          </w:p>
        </w:tc>
        <w:tc>
          <w:tcPr>
            <w:tcW w:w="794" w:type="dxa"/>
            <w:tcBorders>
              <w:bottom w:val="single" w:sz="6" w:space="0" w:color="auto"/>
            </w:tcBorders>
          </w:tcPr>
          <w:p w14:paraId="4F9A985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6.3</w:t>
            </w:r>
          </w:p>
        </w:tc>
        <w:tc>
          <w:tcPr>
            <w:tcW w:w="794" w:type="dxa"/>
            <w:tcBorders>
              <w:bottom w:val="single" w:sz="6" w:space="0" w:color="auto"/>
            </w:tcBorders>
          </w:tcPr>
          <w:p w14:paraId="78D41F9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10.2</w:t>
            </w:r>
          </w:p>
        </w:tc>
        <w:tc>
          <w:tcPr>
            <w:tcW w:w="794" w:type="dxa"/>
            <w:tcBorders>
              <w:bottom w:val="single" w:sz="6" w:space="0" w:color="auto"/>
            </w:tcBorders>
          </w:tcPr>
          <w:p w14:paraId="7CCCF51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8.7</w:t>
            </w:r>
          </w:p>
        </w:tc>
      </w:tr>
      <w:tr w:rsidR="00346FC5" w:rsidRPr="00351630" w14:paraId="2A70AA33"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6" w:space="0" w:color="auto"/>
            </w:tcBorders>
          </w:tcPr>
          <w:p w14:paraId="51B954A6" w14:textId="77777777" w:rsidR="00346FC5" w:rsidRPr="00351630" w:rsidRDefault="00346FC5" w:rsidP="0098354D">
            <w:r w:rsidRPr="00351630">
              <w:rPr>
                <w:b/>
              </w:rPr>
              <w:t>Net result from transactions</w:t>
            </w:r>
          </w:p>
        </w:tc>
        <w:tc>
          <w:tcPr>
            <w:tcW w:w="794" w:type="dxa"/>
            <w:tcBorders>
              <w:top w:val="single" w:sz="6" w:space="0" w:color="auto"/>
              <w:bottom w:val="single" w:sz="6" w:space="0" w:color="auto"/>
            </w:tcBorders>
          </w:tcPr>
          <w:p w14:paraId="4DF1399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(1 480)</w:t>
            </w:r>
          </w:p>
        </w:tc>
        <w:tc>
          <w:tcPr>
            <w:tcW w:w="794" w:type="dxa"/>
            <w:tcBorders>
              <w:top w:val="single" w:sz="6" w:space="0" w:color="auto"/>
              <w:bottom w:val="single" w:sz="6" w:space="0" w:color="auto"/>
            </w:tcBorders>
          </w:tcPr>
          <w:p w14:paraId="3A3A8B0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(3 022)</w:t>
            </w:r>
          </w:p>
        </w:tc>
        <w:tc>
          <w:tcPr>
            <w:tcW w:w="794" w:type="dxa"/>
            <w:tcBorders>
              <w:top w:val="single" w:sz="6" w:space="0" w:color="auto"/>
              <w:bottom w:val="single" w:sz="6" w:space="0" w:color="auto"/>
            </w:tcBorders>
          </w:tcPr>
          <w:p w14:paraId="72F36D9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(3 152)</w:t>
            </w:r>
          </w:p>
        </w:tc>
        <w:tc>
          <w:tcPr>
            <w:tcW w:w="794" w:type="dxa"/>
            <w:tcBorders>
              <w:top w:val="single" w:sz="6" w:space="0" w:color="auto"/>
              <w:bottom w:val="single" w:sz="6" w:space="0" w:color="auto"/>
            </w:tcBorders>
          </w:tcPr>
          <w:p w14:paraId="7FC03DF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(2 783)</w:t>
            </w:r>
          </w:p>
        </w:tc>
        <w:tc>
          <w:tcPr>
            <w:tcW w:w="794" w:type="dxa"/>
            <w:tcBorders>
              <w:top w:val="single" w:sz="6" w:space="0" w:color="auto"/>
              <w:bottom w:val="single" w:sz="6" w:space="0" w:color="auto"/>
            </w:tcBorders>
          </w:tcPr>
          <w:p w14:paraId="0D159C7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(2 864)</w:t>
            </w:r>
          </w:p>
        </w:tc>
        <w:tc>
          <w:tcPr>
            <w:tcW w:w="794" w:type="dxa"/>
            <w:tcBorders>
              <w:top w:val="single" w:sz="6" w:space="0" w:color="auto"/>
              <w:bottom w:val="single" w:sz="6" w:space="0" w:color="auto"/>
            </w:tcBorders>
          </w:tcPr>
          <w:p w14:paraId="112097E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(3 135)</w:t>
            </w:r>
          </w:p>
        </w:tc>
      </w:tr>
      <w:tr w:rsidR="00346FC5" w:rsidRPr="00351630" w14:paraId="37700E80"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6" w:space="0" w:color="auto"/>
            </w:tcBorders>
          </w:tcPr>
          <w:p w14:paraId="3F3E373A" w14:textId="77777777" w:rsidR="00346FC5" w:rsidRPr="00351630" w:rsidRDefault="00346FC5" w:rsidP="0098354D">
            <w:r w:rsidRPr="00351630">
              <w:t>Total other economic flows included in net result</w:t>
            </w:r>
          </w:p>
        </w:tc>
        <w:tc>
          <w:tcPr>
            <w:tcW w:w="794" w:type="dxa"/>
            <w:tcBorders>
              <w:top w:val="single" w:sz="6" w:space="0" w:color="auto"/>
              <w:bottom w:val="single" w:sz="6" w:space="0" w:color="auto"/>
            </w:tcBorders>
          </w:tcPr>
          <w:p w14:paraId="50D9779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16 936</w:t>
            </w:r>
          </w:p>
        </w:tc>
        <w:tc>
          <w:tcPr>
            <w:tcW w:w="794" w:type="dxa"/>
            <w:tcBorders>
              <w:top w:val="single" w:sz="6" w:space="0" w:color="auto"/>
              <w:bottom w:val="single" w:sz="6" w:space="0" w:color="auto"/>
            </w:tcBorders>
          </w:tcPr>
          <w:p w14:paraId="41CE060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154</w:t>
            </w:r>
          </w:p>
        </w:tc>
        <w:tc>
          <w:tcPr>
            <w:tcW w:w="794" w:type="dxa"/>
            <w:tcBorders>
              <w:top w:val="single" w:sz="6" w:space="0" w:color="auto"/>
              <w:bottom w:val="single" w:sz="6" w:space="0" w:color="auto"/>
            </w:tcBorders>
          </w:tcPr>
          <w:p w14:paraId="17C9B4B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1 808</w:t>
            </w:r>
          </w:p>
        </w:tc>
        <w:tc>
          <w:tcPr>
            <w:tcW w:w="794" w:type="dxa"/>
            <w:tcBorders>
              <w:top w:val="single" w:sz="6" w:space="0" w:color="auto"/>
              <w:bottom w:val="single" w:sz="6" w:space="0" w:color="auto"/>
            </w:tcBorders>
          </w:tcPr>
          <w:p w14:paraId="30260A6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1 966</w:t>
            </w:r>
          </w:p>
        </w:tc>
        <w:tc>
          <w:tcPr>
            <w:tcW w:w="794" w:type="dxa"/>
            <w:tcBorders>
              <w:top w:val="single" w:sz="6" w:space="0" w:color="auto"/>
              <w:bottom w:val="single" w:sz="6" w:space="0" w:color="auto"/>
            </w:tcBorders>
          </w:tcPr>
          <w:p w14:paraId="3E6AB17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2 285</w:t>
            </w:r>
          </w:p>
        </w:tc>
        <w:tc>
          <w:tcPr>
            <w:tcW w:w="794" w:type="dxa"/>
            <w:tcBorders>
              <w:top w:val="single" w:sz="6" w:space="0" w:color="auto"/>
              <w:bottom w:val="single" w:sz="6" w:space="0" w:color="auto"/>
            </w:tcBorders>
          </w:tcPr>
          <w:p w14:paraId="1E261E9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2 427</w:t>
            </w:r>
          </w:p>
        </w:tc>
      </w:tr>
      <w:tr w:rsidR="00346FC5" w:rsidRPr="00351630" w14:paraId="631B0C26"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12" w:space="0" w:color="auto"/>
            </w:tcBorders>
          </w:tcPr>
          <w:p w14:paraId="60E90C34" w14:textId="77777777" w:rsidR="00346FC5" w:rsidRPr="00351630" w:rsidRDefault="00346FC5" w:rsidP="0098354D">
            <w:r w:rsidRPr="00351630">
              <w:rPr>
                <w:b/>
              </w:rPr>
              <w:t>Net result</w:t>
            </w:r>
          </w:p>
        </w:tc>
        <w:tc>
          <w:tcPr>
            <w:tcW w:w="794" w:type="dxa"/>
            <w:tcBorders>
              <w:top w:val="single" w:sz="6" w:space="0" w:color="auto"/>
              <w:bottom w:val="single" w:sz="12" w:space="0" w:color="auto"/>
            </w:tcBorders>
          </w:tcPr>
          <w:p w14:paraId="6786209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15 456</w:t>
            </w:r>
          </w:p>
        </w:tc>
        <w:tc>
          <w:tcPr>
            <w:tcW w:w="794" w:type="dxa"/>
            <w:tcBorders>
              <w:top w:val="single" w:sz="6" w:space="0" w:color="auto"/>
              <w:bottom w:val="single" w:sz="12" w:space="0" w:color="auto"/>
            </w:tcBorders>
          </w:tcPr>
          <w:p w14:paraId="1F9C80A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(2 868)</w:t>
            </w:r>
          </w:p>
        </w:tc>
        <w:tc>
          <w:tcPr>
            <w:tcW w:w="794" w:type="dxa"/>
            <w:tcBorders>
              <w:top w:val="single" w:sz="6" w:space="0" w:color="auto"/>
              <w:bottom w:val="single" w:sz="12" w:space="0" w:color="auto"/>
            </w:tcBorders>
          </w:tcPr>
          <w:p w14:paraId="51FFFA3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(1 344)</w:t>
            </w:r>
          </w:p>
        </w:tc>
        <w:tc>
          <w:tcPr>
            <w:tcW w:w="794" w:type="dxa"/>
            <w:tcBorders>
              <w:top w:val="single" w:sz="6" w:space="0" w:color="auto"/>
              <w:bottom w:val="single" w:sz="12" w:space="0" w:color="auto"/>
            </w:tcBorders>
          </w:tcPr>
          <w:p w14:paraId="642F7D6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(817)</w:t>
            </w:r>
          </w:p>
        </w:tc>
        <w:tc>
          <w:tcPr>
            <w:tcW w:w="794" w:type="dxa"/>
            <w:tcBorders>
              <w:top w:val="single" w:sz="6" w:space="0" w:color="auto"/>
              <w:bottom w:val="single" w:sz="12" w:space="0" w:color="auto"/>
            </w:tcBorders>
          </w:tcPr>
          <w:p w14:paraId="0CEBB03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(579)</w:t>
            </w:r>
          </w:p>
        </w:tc>
        <w:tc>
          <w:tcPr>
            <w:tcW w:w="794" w:type="dxa"/>
            <w:tcBorders>
              <w:top w:val="single" w:sz="6" w:space="0" w:color="auto"/>
              <w:bottom w:val="single" w:sz="12" w:space="0" w:color="auto"/>
            </w:tcBorders>
          </w:tcPr>
          <w:p w14:paraId="48D3095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(709)</w:t>
            </w:r>
          </w:p>
        </w:tc>
      </w:tr>
    </w:tbl>
    <w:p w14:paraId="1FAE0611" w14:textId="77777777" w:rsidR="00346FC5" w:rsidRPr="00351630" w:rsidRDefault="00346FC5" w:rsidP="00346FC5">
      <w:pPr>
        <w:pStyle w:val="Note"/>
      </w:pPr>
      <w:r w:rsidRPr="00351630">
        <w:t>Note:</w:t>
      </w:r>
    </w:p>
    <w:p w14:paraId="722B821B" w14:textId="77777777" w:rsidR="00346FC5" w:rsidRPr="00351630" w:rsidRDefault="00346FC5" w:rsidP="00346FC5">
      <w:pPr>
        <w:pStyle w:val="Note"/>
      </w:pPr>
      <w:r w:rsidRPr="00351630">
        <w:t>(a)</w:t>
      </w:r>
      <w:r w:rsidRPr="00351630">
        <w:tab/>
        <w:t xml:space="preserve">This is a summary operating statement. The comprehensive operating statement is presented in Budget Paper No. 5, Chapter 2 </w:t>
      </w:r>
      <w:r w:rsidRPr="00351630">
        <w:rPr>
          <w:i w:val="0"/>
        </w:rPr>
        <w:t>Supplementary uniform presentation framework tables</w:t>
      </w:r>
      <w:r w:rsidRPr="00351630">
        <w:t xml:space="preserve">. Figures in this table are subject to rounding to the nearest million and may not add up to totals. </w:t>
      </w:r>
    </w:p>
    <w:p w14:paraId="0A2B2E0A" w14:textId="77777777" w:rsidR="00346FC5" w:rsidRPr="00351630" w:rsidRDefault="00346FC5" w:rsidP="00346FC5">
      <w:pPr>
        <w:keepNext/>
      </w:pPr>
      <w:r w:rsidRPr="00351630">
        <w:t xml:space="preserve">Total revenue and income from transactions in the PFC sector is projected to increase by an average of </w:t>
      </w:r>
      <w:r w:rsidRPr="00351630" w:rsidDel="00EE635A">
        <w:t>10.</w:t>
      </w:r>
      <w:r w:rsidRPr="00351630">
        <w:t>1 per cent a year over the forward estimates. These increases are largely due to higher premium revenue, dividend income and realised capital gains for the State</w:t>
      </w:r>
      <w:r>
        <w:t>’</w:t>
      </w:r>
      <w:r w:rsidRPr="00351630">
        <w:t>s insurance agencies, along with increased interest income for TCV. There is a more significant increase in 2023-24, of 24.1 per cent, largely due to WorkSafe</w:t>
      </w:r>
      <w:r>
        <w:t>’</w:t>
      </w:r>
      <w:r w:rsidRPr="00351630">
        <w:t xml:space="preserve">s average premium rate increasing from an average of 1.272 per cent of remuneration in 2022-23 to an average of 1.8 per cent from 2023-24. This impacts income from the sales of goods and services in Table 5.7. </w:t>
      </w:r>
    </w:p>
    <w:p w14:paraId="3591DC39" w14:textId="77777777" w:rsidR="00346FC5" w:rsidRPr="00351630" w:rsidRDefault="00346FC5" w:rsidP="00346FC5">
      <w:r w:rsidRPr="00351630">
        <w:t>PFC sector total expenses from transactions are expected to increase by an average of 11.3 per cent across the budget and forward estimates to $22.9 billion in 2026-27. This increase in expenditure is largely due to increased claims expenses of the State</w:t>
      </w:r>
      <w:r>
        <w:t>’</w:t>
      </w:r>
      <w:r w:rsidRPr="00351630">
        <w:t>s insurance agencies, which are shown in other operating expenses in Table 5.7, and higher interest expenses for TCV.</w:t>
      </w:r>
    </w:p>
    <w:p w14:paraId="37BA3F17" w14:textId="77777777" w:rsidR="00346FC5" w:rsidRPr="00351630" w:rsidRDefault="00346FC5" w:rsidP="00346FC5">
      <w:r w:rsidRPr="00351630">
        <w:t>When combined, these impacts result in the PFC sector</w:t>
      </w:r>
      <w:r>
        <w:t>’</w:t>
      </w:r>
      <w:r w:rsidRPr="00351630">
        <w:t>s net result from transactions improving slightly from a deficit of $3.2 billion in 2023-24 to a deficit of $3.1 billion in 2026-27. However, this excludes some significant drivers of the PFC sector</w:t>
      </w:r>
      <w:r>
        <w:t>’</w:t>
      </w:r>
      <w:r w:rsidRPr="00351630">
        <w:t>s performance. The net result, which includes other economic flows such as capital gains on the investments held by the State</w:t>
      </w:r>
      <w:r>
        <w:t>’</w:t>
      </w:r>
      <w:r w:rsidRPr="00351630">
        <w:t>s insurance agencies, movements in deferred tax assets, and risk margins and claims handling expenses, provides a more meaningful indication of the projected financial strength of the PFC sector. Other economic flows for the PFC sector are expected to average a gain of $</w:t>
      </w:r>
      <w:r w:rsidRPr="00351630" w:rsidDel="003652FD">
        <w:t>2</w:t>
      </w:r>
      <w:r w:rsidRPr="00351630">
        <w:t>.1 billion a year over the budget and forward estimates such that the PFC sector net result averages a deficit of $862 million a year.</w:t>
      </w:r>
    </w:p>
    <w:p w14:paraId="7F131AA9" w14:textId="77777777" w:rsidR="00346FC5" w:rsidRPr="00351630" w:rsidRDefault="00346FC5" w:rsidP="00346FC5">
      <w:r w:rsidRPr="00351630">
        <w:t>In 2021-22 and 2022-23, other economic flows for the PFC sector also include revaluations that reflect actual market movements for the financial year to date. Given recent market movements have had a net favourable impact on the PFC sector, higher gains are currently reported in both periods. The gain or loss that is ultimately reported for 2022-23, and future financial years, will vary in accordance with actual market experience for the year.</w:t>
      </w:r>
    </w:p>
    <w:p w14:paraId="1AF2C646" w14:textId="77777777" w:rsidR="00346FC5" w:rsidRPr="00351630" w:rsidRDefault="00346FC5" w:rsidP="000010D4">
      <w:pPr>
        <w:pStyle w:val="TableHeading"/>
        <w:pageBreakBefore/>
        <w:ind w:left="1022" w:hanging="1022"/>
      </w:pPr>
      <w:r w:rsidRPr="00351630">
        <w:t xml:space="preserve">Table 5.8: </w:t>
      </w:r>
      <w:r w:rsidRPr="00351630">
        <w:tab/>
        <w:t xml:space="preserve">Financial position of the PFC sector </w:t>
      </w:r>
      <w:r w:rsidRPr="00351630">
        <w:rPr>
          <w:vertAlign w:val="superscript"/>
        </w:rPr>
        <w:t>(a)</w:t>
      </w:r>
      <w:r w:rsidRPr="00351630">
        <w:rPr>
          <w:vertAlign w:val="superscript"/>
        </w:rPr>
        <w:tab/>
      </w:r>
      <w:r w:rsidRPr="00351630">
        <w:t>($ billion)</w:t>
      </w:r>
    </w:p>
    <w:tbl>
      <w:tblPr>
        <w:tblStyle w:val="DTFTableNumeric"/>
        <w:tblW w:w="7710" w:type="dxa"/>
        <w:tblLayout w:type="fixed"/>
        <w:tblLook w:val="06A0" w:firstRow="1" w:lastRow="0" w:firstColumn="1" w:lastColumn="0" w:noHBand="1" w:noVBand="1"/>
        <w:tblDescription w:val="Type:DtfTable|Workbook:https://vicgov.sharepoint.com/sites/msteams_12cfc2/BP2/Chapter%205/Link_BP2-Chapter5.xlsx|Table:PFC_BS|MergedHeadingRow:1"/>
      </w:tblPr>
      <w:tblGrid>
        <w:gridCol w:w="2946"/>
        <w:gridCol w:w="794"/>
        <w:gridCol w:w="794"/>
        <w:gridCol w:w="794"/>
        <w:gridCol w:w="794"/>
        <w:gridCol w:w="794"/>
        <w:gridCol w:w="794"/>
      </w:tblGrid>
      <w:tr w:rsidR="00346FC5" w:rsidRPr="00351630" w14:paraId="5CB3BBB7" w14:textId="77777777" w:rsidTr="009835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46" w:type="dxa"/>
          </w:tcPr>
          <w:p w14:paraId="6EAD2F16" w14:textId="77777777" w:rsidR="00346FC5" w:rsidRPr="00351630" w:rsidRDefault="00346FC5" w:rsidP="0098354D">
            <w:pPr>
              <w:keepNext/>
            </w:pPr>
          </w:p>
        </w:tc>
        <w:tc>
          <w:tcPr>
            <w:tcW w:w="794" w:type="dxa"/>
          </w:tcPr>
          <w:p w14:paraId="04F46006"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2021</w:t>
            </w:r>
            <w:r w:rsidRPr="00351630">
              <w:noBreakHyphen/>
              <w:t>22</w:t>
            </w:r>
            <w:r w:rsidRPr="00351630">
              <w:br/>
              <w:t>actual</w:t>
            </w:r>
          </w:p>
        </w:tc>
        <w:tc>
          <w:tcPr>
            <w:tcW w:w="794" w:type="dxa"/>
          </w:tcPr>
          <w:p w14:paraId="2E147191"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2022</w:t>
            </w:r>
            <w:r w:rsidRPr="00351630">
              <w:noBreakHyphen/>
              <w:t>23</w:t>
            </w:r>
            <w:r w:rsidRPr="00351630">
              <w:br/>
              <w:t>revised</w:t>
            </w:r>
          </w:p>
        </w:tc>
        <w:tc>
          <w:tcPr>
            <w:tcW w:w="794" w:type="dxa"/>
          </w:tcPr>
          <w:p w14:paraId="615581AB"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2023</w:t>
            </w:r>
            <w:r w:rsidRPr="00351630">
              <w:noBreakHyphen/>
              <w:t>24</w:t>
            </w:r>
            <w:r w:rsidRPr="00351630">
              <w:br/>
              <w:t>budget</w:t>
            </w:r>
          </w:p>
        </w:tc>
        <w:tc>
          <w:tcPr>
            <w:tcW w:w="794" w:type="dxa"/>
          </w:tcPr>
          <w:p w14:paraId="285C6D97"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2024</w:t>
            </w:r>
            <w:r w:rsidRPr="00351630">
              <w:noBreakHyphen/>
              <w:t>25</w:t>
            </w:r>
            <w:r w:rsidRPr="00351630">
              <w:br/>
              <w:t>estimate</w:t>
            </w:r>
          </w:p>
        </w:tc>
        <w:tc>
          <w:tcPr>
            <w:tcW w:w="794" w:type="dxa"/>
          </w:tcPr>
          <w:p w14:paraId="7CE505FB"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2025</w:t>
            </w:r>
            <w:r w:rsidRPr="00351630">
              <w:noBreakHyphen/>
              <w:t>26</w:t>
            </w:r>
            <w:r w:rsidRPr="00351630">
              <w:br/>
              <w:t>estimate</w:t>
            </w:r>
          </w:p>
        </w:tc>
        <w:tc>
          <w:tcPr>
            <w:tcW w:w="794" w:type="dxa"/>
          </w:tcPr>
          <w:p w14:paraId="79235D00"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2026</w:t>
            </w:r>
            <w:r w:rsidRPr="00351630">
              <w:noBreakHyphen/>
              <w:t>27</w:t>
            </w:r>
            <w:r w:rsidRPr="00351630">
              <w:br/>
              <w:t>estimate</w:t>
            </w:r>
          </w:p>
        </w:tc>
      </w:tr>
      <w:tr w:rsidR="00346FC5" w:rsidRPr="00351630" w14:paraId="706BF4E6"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763538EA" w14:textId="77777777" w:rsidR="00346FC5" w:rsidRPr="00351630" w:rsidRDefault="00346FC5" w:rsidP="0098354D">
            <w:r w:rsidRPr="00351630">
              <w:rPr>
                <w:b/>
              </w:rPr>
              <w:t>Assets</w:t>
            </w:r>
          </w:p>
        </w:tc>
        <w:tc>
          <w:tcPr>
            <w:tcW w:w="794" w:type="dxa"/>
          </w:tcPr>
          <w:p w14:paraId="72D5564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7D5ACF2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1FCA1FC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2830EA1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7790FF9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10AA4D8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rsidRPr="00351630" w14:paraId="4619E503"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789F0DBE" w14:textId="77777777" w:rsidR="00346FC5" w:rsidRPr="00351630" w:rsidRDefault="00346FC5" w:rsidP="0098354D">
            <w:r w:rsidRPr="00351630">
              <w:t>Total financial assets</w:t>
            </w:r>
            <w:r w:rsidRPr="00351630">
              <w:rPr>
                <w:vertAlign w:val="superscript"/>
              </w:rPr>
              <w:t xml:space="preserve"> (b)</w:t>
            </w:r>
          </w:p>
        </w:tc>
        <w:tc>
          <w:tcPr>
            <w:tcW w:w="794" w:type="dxa"/>
          </w:tcPr>
          <w:p w14:paraId="08DF2B5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161.1</w:t>
            </w:r>
          </w:p>
        </w:tc>
        <w:tc>
          <w:tcPr>
            <w:tcW w:w="794" w:type="dxa"/>
          </w:tcPr>
          <w:p w14:paraId="748E38B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192.1</w:t>
            </w:r>
          </w:p>
        </w:tc>
        <w:tc>
          <w:tcPr>
            <w:tcW w:w="794" w:type="dxa"/>
          </w:tcPr>
          <w:p w14:paraId="0F22A05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227.0</w:t>
            </w:r>
          </w:p>
        </w:tc>
        <w:tc>
          <w:tcPr>
            <w:tcW w:w="794" w:type="dxa"/>
          </w:tcPr>
          <w:p w14:paraId="3E6E1E1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251.7</w:t>
            </w:r>
          </w:p>
        </w:tc>
        <w:tc>
          <w:tcPr>
            <w:tcW w:w="794" w:type="dxa"/>
          </w:tcPr>
          <w:p w14:paraId="2186500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272.1</w:t>
            </w:r>
          </w:p>
        </w:tc>
        <w:tc>
          <w:tcPr>
            <w:tcW w:w="794" w:type="dxa"/>
          </w:tcPr>
          <w:p w14:paraId="38B9AC7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290.4</w:t>
            </w:r>
          </w:p>
        </w:tc>
      </w:tr>
      <w:tr w:rsidR="00346FC5" w:rsidRPr="00351630" w14:paraId="4EBAE559"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6A737C21" w14:textId="77777777" w:rsidR="00346FC5" w:rsidRPr="00351630" w:rsidRDefault="00346FC5" w:rsidP="0098354D">
            <w:r w:rsidRPr="00351630">
              <w:t>Total non</w:t>
            </w:r>
            <w:r w:rsidRPr="00351630">
              <w:noBreakHyphen/>
              <w:t>financial assets</w:t>
            </w:r>
            <w:r w:rsidRPr="00351630">
              <w:rPr>
                <w:vertAlign w:val="superscript"/>
              </w:rPr>
              <w:t xml:space="preserve"> (c)</w:t>
            </w:r>
          </w:p>
        </w:tc>
        <w:tc>
          <w:tcPr>
            <w:tcW w:w="794" w:type="dxa"/>
            <w:tcBorders>
              <w:bottom w:val="single" w:sz="6" w:space="0" w:color="auto"/>
            </w:tcBorders>
          </w:tcPr>
          <w:p w14:paraId="6B6DE83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3.8</w:t>
            </w:r>
          </w:p>
        </w:tc>
        <w:tc>
          <w:tcPr>
            <w:tcW w:w="794" w:type="dxa"/>
            <w:tcBorders>
              <w:bottom w:val="single" w:sz="6" w:space="0" w:color="auto"/>
            </w:tcBorders>
          </w:tcPr>
          <w:p w14:paraId="7273355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4.1</w:t>
            </w:r>
          </w:p>
        </w:tc>
        <w:tc>
          <w:tcPr>
            <w:tcW w:w="794" w:type="dxa"/>
            <w:tcBorders>
              <w:bottom w:val="single" w:sz="6" w:space="0" w:color="auto"/>
            </w:tcBorders>
          </w:tcPr>
          <w:p w14:paraId="48D31C7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4.2</w:t>
            </w:r>
          </w:p>
        </w:tc>
        <w:tc>
          <w:tcPr>
            <w:tcW w:w="794" w:type="dxa"/>
            <w:tcBorders>
              <w:bottom w:val="single" w:sz="6" w:space="0" w:color="auto"/>
            </w:tcBorders>
          </w:tcPr>
          <w:p w14:paraId="65F78F1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4.4</w:t>
            </w:r>
          </w:p>
        </w:tc>
        <w:tc>
          <w:tcPr>
            <w:tcW w:w="794" w:type="dxa"/>
            <w:tcBorders>
              <w:bottom w:val="single" w:sz="6" w:space="0" w:color="auto"/>
            </w:tcBorders>
          </w:tcPr>
          <w:p w14:paraId="6539565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4.4</w:t>
            </w:r>
          </w:p>
        </w:tc>
        <w:tc>
          <w:tcPr>
            <w:tcW w:w="794" w:type="dxa"/>
            <w:tcBorders>
              <w:bottom w:val="single" w:sz="6" w:space="0" w:color="auto"/>
            </w:tcBorders>
          </w:tcPr>
          <w:p w14:paraId="63B26AD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4.4</w:t>
            </w:r>
          </w:p>
        </w:tc>
      </w:tr>
      <w:tr w:rsidR="00346FC5" w:rsidRPr="00351630" w14:paraId="5365F29C"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tcBorders>
          </w:tcPr>
          <w:p w14:paraId="72FD563B" w14:textId="77777777" w:rsidR="00346FC5" w:rsidRPr="00351630" w:rsidRDefault="00346FC5" w:rsidP="0098354D">
            <w:r w:rsidRPr="00351630">
              <w:rPr>
                <w:b/>
              </w:rPr>
              <w:t>Total assets</w:t>
            </w:r>
          </w:p>
        </w:tc>
        <w:tc>
          <w:tcPr>
            <w:tcW w:w="794" w:type="dxa"/>
            <w:tcBorders>
              <w:top w:val="single" w:sz="6" w:space="0" w:color="auto"/>
            </w:tcBorders>
          </w:tcPr>
          <w:p w14:paraId="7BE1F98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164.9</w:t>
            </w:r>
          </w:p>
        </w:tc>
        <w:tc>
          <w:tcPr>
            <w:tcW w:w="794" w:type="dxa"/>
            <w:tcBorders>
              <w:top w:val="single" w:sz="6" w:space="0" w:color="auto"/>
            </w:tcBorders>
          </w:tcPr>
          <w:p w14:paraId="272EF06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196.2</w:t>
            </w:r>
          </w:p>
        </w:tc>
        <w:tc>
          <w:tcPr>
            <w:tcW w:w="794" w:type="dxa"/>
            <w:tcBorders>
              <w:top w:val="single" w:sz="6" w:space="0" w:color="auto"/>
            </w:tcBorders>
          </w:tcPr>
          <w:p w14:paraId="4EC8C3E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231.2</w:t>
            </w:r>
          </w:p>
        </w:tc>
        <w:tc>
          <w:tcPr>
            <w:tcW w:w="794" w:type="dxa"/>
            <w:tcBorders>
              <w:top w:val="single" w:sz="6" w:space="0" w:color="auto"/>
            </w:tcBorders>
          </w:tcPr>
          <w:p w14:paraId="0711639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256.1</w:t>
            </w:r>
          </w:p>
        </w:tc>
        <w:tc>
          <w:tcPr>
            <w:tcW w:w="794" w:type="dxa"/>
            <w:tcBorders>
              <w:top w:val="single" w:sz="6" w:space="0" w:color="auto"/>
            </w:tcBorders>
          </w:tcPr>
          <w:p w14:paraId="41277C4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276.4</w:t>
            </w:r>
          </w:p>
        </w:tc>
        <w:tc>
          <w:tcPr>
            <w:tcW w:w="794" w:type="dxa"/>
            <w:tcBorders>
              <w:top w:val="single" w:sz="6" w:space="0" w:color="auto"/>
            </w:tcBorders>
          </w:tcPr>
          <w:p w14:paraId="22D7FF3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294.8</w:t>
            </w:r>
          </w:p>
        </w:tc>
      </w:tr>
      <w:tr w:rsidR="00346FC5" w:rsidRPr="00351630" w14:paraId="26AAEEB3"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09193586" w14:textId="77777777" w:rsidR="00346FC5" w:rsidRPr="00351630" w:rsidRDefault="00346FC5" w:rsidP="0098354D">
            <w:r w:rsidRPr="00351630">
              <w:rPr>
                <w:b/>
              </w:rPr>
              <w:t>Liabilities</w:t>
            </w:r>
          </w:p>
        </w:tc>
        <w:tc>
          <w:tcPr>
            <w:tcW w:w="794" w:type="dxa"/>
          </w:tcPr>
          <w:p w14:paraId="272709E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1FB3D3E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50D5683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260ACB6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072A4A0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7C676C1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rsidRPr="00351630" w14:paraId="0EFF6BCC"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069406FF" w14:textId="77777777" w:rsidR="00346FC5" w:rsidRPr="00351630" w:rsidRDefault="00346FC5" w:rsidP="0098354D">
            <w:r w:rsidRPr="00351630">
              <w:t>Borrowings</w:t>
            </w:r>
          </w:p>
        </w:tc>
        <w:tc>
          <w:tcPr>
            <w:tcW w:w="794" w:type="dxa"/>
          </w:tcPr>
          <w:p w14:paraId="77DD206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107.3</w:t>
            </w:r>
          </w:p>
        </w:tc>
        <w:tc>
          <w:tcPr>
            <w:tcW w:w="794" w:type="dxa"/>
          </w:tcPr>
          <w:p w14:paraId="7931F3D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139.7</w:t>
            </w:r>
          </w:p>
        </w:tc>
        <w:tc>
          <w:tcPr>
            <w:tcW w:w="794" w:type="dxa"/>
          </w:tcPr>
          <w:p w14:paraId="0C64CE9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173.6</w:t>
            </w:r>
          </w:p>
        </w:tc>
        <w:tc>
          <w:tcPr>
            <w:tcW w:w="794" w:type="dxa"/>
          </w:tcPr>
          <w:p w14:paraId="1256029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195.8</w:t>
            </w:r>
          </w:p>
        </w:tc>
        <w:tc>
          <w:tcPr>
            <w:tcW w:w="794" w:type="dxa"/>
          </w:tcPr>
          <w:p w14:paraId="08AF551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213.1</w:t>
            </w:r>
          </w:p>
        </w:tc>
        <w:tc>
          <w:tcPr>
            <w:tcW w:w="794" w:type="dxa"/>
          </w:tcPr>
          <w:p w14:paraId="4960508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228.1</w:t>
            </w:r>
          </w:p>
        </w:tc>
      </w:tr>
      <w:tr w:rsidR="00346FC5" w:rsidRPr="00351630" w14:paraId="32D1167C"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77D72F86" w14:textId="77777777" w:rsidR="00346FC5" w:rsidRPr="00351630" w:rsidRDefault="00346FC5" w:rsidP="0098354D">
            <w:r w:rsidRPr="00351630">
              <w:t>Other provisions</w:t>
            </w:r>
          </w:p>
        </w:tc>
        <w:tc>
          <w:tcPr>
            <w:tcW w:w="794" w:type="dxa"/>
          </w:tcPr>
          <w:p w14:paraId="15470D4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44.6</w:t>
            </w:r>
          </w:p>
        </w:tc>
        <w:tc>
          <w:tcPr>
            <w:tcW w:w="794" w:type="dxa"/>
          </w:tcPr>
          <w:p w14:paraId="61D568A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46.3</w:t>
            </w:r>
          </w:p>
        </w:tc>
        <w:tc>
          <w:tcPr>
            <w:tcW w:w="794" w:type="dxa"/>
          </w:tcPr>
          <w:p w14:paraId="531DE02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49.5</w:t>
            </w:r>
          </w:p>
        </w:tc>
        <w:tc>
          <w:tcPr>
            <w:tcW w:w="794" w:type="dxa"/>
          </w:tcPr>
          <w:p w14:paraId="3C2C5B0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52.9</w:t>
            </w:r>
          </w:p>
        </w:tc>
        <w:tc>
          <w:tcPr>
            <w:tcW w:w="794" w:type="dxa"/>
          </w:tcPr>
          <w:p w14:paraId="0CAD243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56.6</w:t>
            </w:r>
          </w:p>
        </w:tc>
        <w:tc>
          <w:tcPr>
            <w:tcW w:w="794" w:type="dxa"/>
          </w:tcPr>
          <w:p w14:paraId="6953117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60.4</w:t>
            </w:r>
          </w:p>
        </w:tc>
      </w:tr>
      <w:tr w:rsidR="00346FC5" w:rsidRPr="00351630" w14:paraId="32C40F16"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1A58653F" w14:textId="77777777" w:rsidR="00346FC5" w:rsidRPr="00351630" w:rsidRDefault="00346FC5" w:rsidP="0098354D">
            <w:r w:rsidRPr="00351630">
              <w:t>Other liabilities</w:t>
            </w:r>
            <w:r w:rsidRPr="00351630">
              <w:rPr>
                <w:vertAlign w:val="superscript"/>
              </w:rPr>
              <w:t xml:space="preserve"> (d)</w:t>
            </w:r>
          </w:p>
        </w:tc>
        <w:tc>
          <w:tcPr>
            <w:tcW w:w="794" w:type="dxa"/>
            <w:tcBorders>
              <w:bottom w:val="single" w:sz="6" w:space="0" w:color="auto"/>
            </w:tcBorders>
          </w:tcPr>
          <w:p w14:paraId="4C30DF5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3.1</w:t>
            </w:r>
          </w:p>
        </w:tc>
        <w:tc>
          <w:tcPr>
            <w:tcW w:w="794" w:type="dxa"/>
            <w:tcBorders>
              <w:bottom w:val="single" w:sz="6" w:space="0" w:color="auto"/>
            </w:tcBorders>
          </w:tcPr>
          <w:p w14:paraId="09F4714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3.0</w:t>
            </w:r>
          </w:p>
        </w:tc>
        <w:tc>
          <w:tcPr>
            <w:tcW w:w="794" w:type="dxa"/>
            <w:tcBorders>
              <w:bottom w:val="single" w:sz="6" w:space="0" w:color="auto"/>
            </w:tcBorders>
          </w:tcPr>
          <w:p w14:paraId="01A9BF5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2.6</w:t>
            </w:r>
          </w:p>
        </w:tc>
        <w:tc>
          <w:tcPr>
            <w:tcW w:w="794" w:type="dxa"/>
            <w:tcBorders>
              <w:bottom w:val="single" w:sz="6" w:space="0" w:color="auto"/>
            </w:tcBorders>
          </w:tcPr>
          <w:p w14:paraId="681EB96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2.6</w:t>
            </w:r>
          </w:p>
        </w:tc>
        <w:tc>
          <w:tcPr>
            <w:tcW w:w="794" w:type="dxa"/>
            <w:tcBorders>
              <w:bottom w:val="single" w:sz="6" w:space="0" w:color="auto"/>
            </w:tcBorders>
          </w:tcPr>
          <w:p w14:paraId="7DBACEB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2.6</w:t>
            </w:r>
          </w:p>
        </w:tc>
        <w:tc>
          <w:tcPr>
            <w:tcW w:w="794" w:type="dxa"/>
            <w:tcBorders>
              <w:bottom w:val="single" w:sz="6" w:space="0" w:color="auto"/>
            </w:tcBorders>
          </w:tcPr>
          <w:p w14:paraId="0298962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2.6</w:t>
            </w:r>
          </w:p>
        </w:tc>
      </w:tr>
      <w:tr w:rsidR="00346FC5" w:rsidRPr="00351630" w14:paraId="5151391F"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6" w:space="0" w:color="auto"/>
            </w:tcBorders>
          </w:tcPr>
          <w:p w14:paraId="26838115" w14:textId="77777777" w:rsidR="00346FC5" w:rsidRPr="00351630" w:rsidRDefault="00346FC5" w:rsidP="0098354D">
            <w:r w:rsidRPr="00351630">
              <w:rPr>
                <w:b/>
              </w:rPr>
              <w:t>Total liabilities</w:t>
            </w:r>
          </w:p>
        </w:tc>
        <w:tc>
          <w:tcPr>
            <w:tcW w:w="794" w:type="dxa"/>
            <w:tcBorders>
              <w:top w:val="single" w:sz="6" w:space="0" w:color="auto"/>
              <w:bottom w:val="single" w:sz="6" w:space="0" w:color="auto"/>
            </w:tcBorders>
          </w:tcPr>
          <w:p w14:paraId="1DFBD50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155.0</w:t>
            </w:r>
          </w:p>
        </w:tc>
        <w:tc>
          <w:tcPr>
            <w:tcW w:w="794" w:type="dxa"/>
            <w:tcBorders>
              <w:top w:val="single" w:sz="6" w:space="0" w:color="auto"/>
              <w:bottom w:val="single" w:sz="6" w:space="0" w:color="auto"/>
            </w:tcBorders>
          </w:tcPr>
          <w:p w14:paraId="6129261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188.9</w:t>
            </w:r>
          </w:p>
        </w:tc>
        <w:tc>
          <w:tcPr>
            <w:tcW w:w="794" w:type="dxa"/>
            <w:tcBorders>
              <w:top w:val="single" w:sz="6" w:space="0" w:color="auto"/>
              <w:bottom w:val="single" w:sz="6" w:space="0" w:color="auto"/>
            </w:tcBorders>
          </w:tcPr>
          <w:p w14:paraId="02A64BE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225.7</w:t>
            </w:r>
          </w:p>
        </w:tc>
        <w:tc>
          <w:tcPr>
            <w:tcW w:w="794" w:type="dxa"/>
            <w:tcBorders>
              <w:top w:val="single" w:sz="6" w:space="0" w:color="auto"/>
              <w:bottom w:val="single" w:sz="6" w:space="0" w:color="auto"/>
            </w:tcBorders>
          </w:tcPr>
          <w:p w14:paraId="40BB45D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251.3</w:t>
            </w:r>
          </w:p>
        </w:tc>
        <w:tc>
          <w:tcPr>
            <w:tcW w:w="794" w:type="dxa"/>
            <w:tcBorders>
              <w:top w:val="single" w:sz="6" w:space="0" w:color="auto"/>
              <w:bottom w:val="single" w:sz="6" w:space="0" w:color="auto"/>
            </w:tcBorders>
          </w:tcPr>
          <w:p w14:paraId="6B744B2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272.2</w:t>
            </w:r>
          </w:p>
        </w:tc>
        <w:tc>
          <w:tcPr>
            <w:tcW w:w="794" w:type="dxa"/>
            <w:tcBorders>
              <w:top w:val="single" w:sz="6" w:space="0" w:color="auto"/>
              <w:bottom w:val="single" w:sz="6" w:space="0" w:color="auto"/>
            </w:tcBorders>
          </w:tcPr>
          <w:p w14:paraId="6773675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291.1</w:t>
            </w:r>
          </w:p>
        </w:tc>
      </w:tr>
      <w:tr w:rsidR="00346FC5" w:rsidRPr="00351630" w14:paraId="77E9B8EA"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12" w:space="0" w:color="auto"/>
            </w:tcBorders>
          </w:tcPr>
          <w:p w14:paraId="3409280A" w14:textId="77777777" w:rsidR="00346FC5" w:rsidRPr="00351630" w:rsidRDefault="00346FC5" w:rsidP="0098354D">
            <w:r w:rsidRPr="00351630">
              <w:rPr>
                <w:b/>
              </w:rPr>
              <w:t>Net assets</w:t>
            </w:r>
          </w:p>
        </w:tc>
        <w:tc>
          <w:tcPr>
            <w:tcW w:w="794" w:type="dxa"/>
            <w:tcBorders>
              <w:top w:val="single" w:sz="6" w:space="0" w:color="auto"/>
              <w:bottom w:val="single" w:sz="12" w:space="0" w:color="auto"/>
            </w:tcBorders>
          </w:tcPr>
          <w:p w14:paraId="5E51CFF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9.9</w:t>
            </w:r>
          </w:p>
        </w:tc>
        <w:tc>
          <w:tcPr>
            <w:tcW w:w="794" w:type="dxa"/>
            <w:tcBorders>
              <w:top w:val="single" w:sz="6" w:space="0" w:color="auto"/>
              <w:bottom w:val="single" w:sz="12" w:space="0" w:color="auto"/>
            </w:tcBorders>
          </w:tcPr>
          <w:p w14:paraId="03A30EE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7.3</w:t>
            </w:r>
          </w:p>
        </w:tc>
        <w:tc>
          <w:tcPr>
            <w:tcW w:w="794" w:type="dxa"/>
            <w:tcBorders>
              <w:top w:val="single" w:sz="6" w:space="0" w:color="auto"/>
              <w:bottom w:val="single" w:sz="12" w:space="0" w:color="auto"/>
            </w:tcBorders>
          </w:tcPr>
          <w:p w14:paraId="217F1F7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5.5</w:t>
            </w:r>
          </w:p>
        </w:tc>
        <w:tc>
          <w:tcPr>
            <w:tcW w:w="794" w:type="dxa"/>
            <w:tcBorders>
              <w:top w:val="single" w:sz="6" w:space="0" w:color="auto"/>
              <w:bottom w:val="single" w:sz="12" w:space="0" w:color="auto"/>
            </w:tcBorders>
          </w:tcPr>
          <w:p w14:paraId="24E6DB8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4.7</w:t>
            </w:r>
          </w:p>
        </w:tc>
        <w:tc>
          <w:tcPr>
            <w:tcW w:w="794" w:type="dxa"/>
            <w:tcBorders>
              <w:top w:val="single" w:sz="6" w:space="0" w:color="auto"/>
              <w:bottom w:val="single" w:sz="12" w:space="0" w:color="auto"/>
            </w:tcBorders>
          </w:tcPr>
          <w:p w14:paraId="4780352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4.2</w:t>
            </w:r>
          </w:p>
        </w:tc>
        <w:tc>
          <w:tcPr>
            <w:tcW w:w="794" w:type="dxa"/>
            <w:tcBorders>
              <w:top w:val="single" w:sz="6" w:space="0" w:color="auto"/>
              <w:bottom w:val="single" w:sz="12" w:space="0" w:color="auto"/>
            </w:tcBorders>
          </w:tcPr>
          <w:p w14:paraId="1C8365E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3.7</w:t>
            </w:r>
          </w:p>
        </w:tc>
      </w:tr>
    </w:tbl>
    <w:p w14:paraId="5C67F353" w14:textId="77777777" w:rsidR="00346FC5" w:rsidRPr="00351630" w:rsidRDefault="00346FC5" w:rsidP="00346FC5">
      <w:pPr>
        <w:pStyle w:val="Note"/>
      </w:pPr>
      <w:r w:rsidRPr="00351630">
        <w:t>Notes:</w:t>
      </w:r>
    </w:p>
    <w:p w14:paraId="1AEE9CFC" w14:textId="77777777" w:rsidR="00346FC5" w:rsidRPr="00351630" w:rsidRDefault="00346FC5" w:rsidP="00346FC5">
      <w:pPr>
        <w:pStyle w:val="Note"/>
      </w:pPr>
      <w:r w:rsidRPr="00351630">
        <w:t>(a)</w:t>
      </w:r>
      <w:r w:rsidRPr="00351630">
        <w:tab/>
        <w:t>Figures in this table are subject to rounding to the nearest million and may not add up to totals.</w:t>
      </w:r>
    </w:p>
    <w:p w14:paraId="4F091D41" w14:textId="77777777" w:rsidR="00346FC5" w:rsidRPr="00351630" w:rsidRDefault="00346FC5" w:rsidP="00346FC5">
      <w:pPr>
        <w:pStyle w:val="Note"/>
      </w:pPr>
      <w:r w:rsidRPr="00351630">
        <w:t>(b)</w:t>
      </w:r>
      <w:r w:rsidRPr="00351630">
        <w:tab/>
        <w:t>Financial assets include cash and deposits, advances paid, investments, loans and placements, receivables, and investments accounted for using the equity method.</w:t>
      </w:r>
    </w:p>
    <w:p w14:paraId="2BB418D0" w14:textId="77777777" w:rsidR="00346FC5" w:rsidRPr="00351630" w:rsidRDefault="00346FC5" w:rsidP="00346FC5">
      <w:pPr>
        <w:pStyle w:val="Note"/>
      </w:pPr>
      <w:r w:rsidRPr="00351630">
        <w:t>(c)</w:t>
      </w:r>
      <w:r w:rsidRPr="00351630">
        <w:tab/>
        <w:t>Land, buildings, infrastructure, plant and equipment, and other non</w:t>
      </w:r>
      <w:r w:rsidRPr="00351630">
        <w:noBreakHyphen/>
        <w:t>financial assets.</w:t>
      </w:r>
    </w:p>
    <w:p w14:paraId="3728A101" w14:textId="77777777" w:rsidR="00346FC5" w:rsidRPr="00351630" w:rsidRDefault="00346FC5" w:rsidP="00346FC5">
      <w:pPr>
        <w:pStyle w:val="Note"/>
      </w:pPr>
      <w:r w:rsidRPr="00351630">
        <w:t>(d)</w:t>
      </w:r>
      <w:r w:rsidRPr="00351630">
        <w:tab/>
        <w:t xml:space="preserve">Other liabilities consist of payables, employee benefits, deposits held and advances received. </w:t>
      </w:r>
    </w:p>
    <w:p w14:paraId="2CB57B1B" w14:textId="77777777" w:rsidR="00346FC5" w:rsidRPr="00351630" w:rsidRDefault="00346FC5" w:rsidP="00346FC5">
      <w:pPr>
        <w:keepNext/>
      </w:pPr>
      <w:r w:rsidRPr="00351630">
        <w:t>The PFC sector is projected to report a net asset position of $5.5 billion in 2023</w:t>
      </w:r>
      <w:r w:rsidRPr="00351630">
        <w:noBreakHyphen/>
        <w:t>24 with this decreasing, by an average of $590 million a year, to $</w:t>
      </w:r>
      <w:r w:rsidRPr="00351630" w:rsidDel="001E6120">
        <w:t>3.</w:t>
      </w:r>
      <w:r w:rsidRPr="00351630">
        <w:t>7 billion in 2026-27. This reduction is primarily driven by increases in TCV</w:t>
      </w:r>
      <w:r>
        <w:t>’</w:t>
      </w:r>
      <w:r w:rsidRPr="00351630">
        <w:t>s borrowings and the outstanding claims liabilities of the State</w:t>
      </w:r>
      <w:r>
        <w:t>’</w:t>
      </w:r>
      <w:r w:rsidRPr="00351630">
        <w:t>s insurance agencies, partly offset by increases in TCV</w:t>
      </w:r>
      <w:r>
        <w:t>’</w:t>
      </w:r>
      <w:r w:rsidRPr="00351630">
        <w:t>s loans receivable from the NFPS, increases in deferred tax assets and increases in the cash and investments held by the State</w:t>
      </w:r>
      <w:r>
        <w:t>’</w:t>
      </w:r>
      <w:r w:rsidRPr="00351630">
        <w:t>s insurance agencies, TCV and Breakthrough Victoria.</w:t>
      </w:r>
    </w:p>
    <w:p w14:paraId="4940892F" w14:textId="77777777" w:rsidR="00346FC5" w:rsidRPr="00351630" w:rsidRDefault="00346FC5" w:rsidP="00346FC5">
      <w:r w:rsidRPr="00351630">
        <w:t>The reported net result and net asset position of the PFC sector are impacted by the accounting convention adopted for TCV whereby its fixed interest rate loans to government clients are measured at book value, while its borrowings are reported at market value. This approach enables TCV</w:t>
      </w:r>
      <w:r>
        <w:t>’</w:t>
      </w:r>
      <w:r w:rsidRPr="00351630">
        <w:t>s loans to be consolidated with the borrowings of the general government and the PNFC sectors but, for the PFC sector in isolation, it creates a mismatch between the value of TCV</w:t>
      </w:r>
      <w:r>
        <w:t>’</w:t>
      </w:r>
      <w:r w:rsidRPr="00351630">
        <w:t>s assets (which are at book value) and its liabilities (which are at market value). This difference, which is estimated to be around $8.1 billion at 31 March 2023, is eliminated when TCV</w:t>
      </w:r>
      <w:r>
        <w:t>’</w:t>
      </w:r>
      <w:r w:rsidRPr="00351630">
        <w:t>s loans to government clients are consolidated in the whole of State accounts. Note that in TCV</w:t>
      </w:r>
      <w:r>
        <w:t>’</w:t>
      </w:r>
      <w:r w:rsidRPr="00351630">
        <w:t xml:space="preserve">s own accounts, both assets and liabilities are reported at market value. </w:t>
      </w:r>
    </w:p>
    <w:p w14:paraId="4BDBA9C3" w14:textId="77777777" w:rsidR="00346FC5" w:rsidRPr="00351630" w:rsidRDefault="00346FC5" w:rsidP="00346FC5">
      <w:r w:rsidRPr="00351630">
        <w:t>The PFC sector</w:t>
      </w:r>
      <w:r>
        <w:t>’</w:t>
      </w:r>
      <w:r w:rsidRPr="00351630">
        <w:t>s net asset position is also significantly impacted by changes in Commonwealth Government bond yields which, in accordance with Australian accounting standards, underlie the discount rate used to value the State</w:t>
      </w:r>
      <w:r>
        <w:t>’</w:t>
      </w:r>
      <w:r w:rsidRPr="00351630">
        <w:t>s insurance agencies</w:t>
      </w:r>
      <w:r>
        <w:t>’</w:t>
      </w:r>
      <w:r w:rsidRPr="00351630">
        <w:t xml:space="preserve"> outstanding claims liabilities.</w:t>
      </w:r>
    </w:p>
    <w:p w14:paraId="450C87F0" w14:textId="37EAE508" w:rsidR="00346FC5" w:rsidRPr="007B1F83" w:rsidRDefault="007B1F83" w:rsidP="007B1F83">
      <w:pPr>
        <w:pStyle w:val="Heading10"/>
        <w:pageBreakBefore/>
      </w:pPr>
      <w:bookmarkStart w:id="79" w:name="_Toc135331260"/>
      <w:r w:rsidRPr="007B1F83">
        <w:t>State of Victoria</w:t>
      </w:r>
      <w:bookmarkEnd w:id="79"/>
      <w:r w:rsidRPr="007B1F83">
        <w:t xml:space="preserve"> </w:t>
      </w:r>
    </w:p>
    <w:p w14:paraId="0CC7E3D3" w14:textId="77777777" w:rsidR="00346FC5" w:rsidRPr="00351630" w:rsidRDefault="00346FC5" w:rsidP="00346FC5">
      <w:r w:rsidRPr="00351630">
        <w:t xml:space="preserve">Table 5.9 shows the operating results for the State. The net result from transactions is projected to improve from a deficit of $9.2 billion in 2023-24 to a deficit of $3.3 billion in 2026-27. This improvement is primarily due to general government sector revenues growing faster than expenses over the forward estimates which is explained in Chapter 4 </w:t>
      </w:r>
      <w:r w:rsidRPr="00351630">
        <w:rPr>
          <w:i/>
          <w:iCs/>
        </w:rPr>
        <w:t>Budget position and outlook</w:t>
      </w:r>
      <w:r w:rsidRPr="00351630">
        <w:t>. When other economic flows are included, the state</w:t>
      </w:r>
      <w:r>
        <w:t>’</w:t>
      </w:r>
      <w:r w:rsidRPr="00351630">
        <w:t xml:space="preserve">s net result improves from a deficit of $8.1 billion in 2023-24 to a deficit of $1.2 billion in 2026-27. </w:t>
      </w:r>
    </w:p>
    <w:p w14:paraId="6B7BBCC3" w14:textId="77777777" w:rsidR="00346FC5" w:rsidRPr="00351630" w:rsidRDefault="00346FC5" w:rsidP="00346FC5">
      <w:pPr>
        <w:pStyle w:val="TableHeading"/>
      </w:pPr>
      <w:r w:rsidRPr="00351630">
        <w:t>Table 5.9:</w:t>
      </w:r>
      <w:r w:rsidRPr="00351630">
        <w:tab/>
        <w:t xml:space="preserve">Operating results – State of Victoria </w:t>
      </w:r>
      <w:r w:rsidRPr="00351630">
        <w:rPr>
          <w:vertAlign w:val="superscript"/>
        </w:rPr>
        <w:t>(a)</w:t>
      </w:r>
      <w:r w:rsidRPr="00351630">
        <w:tab/>
        <w:t>($ million)</w:t>
      </w:r>
    </w:p>
    <w:tbl>
      <w:tblPr>
        <w:tblStyle w:val="DTFTableNumeric"/>
        <w:tblW w:w="7710" w:type="dxa"/>
        <w:tblLayout w:type="fixed"/>
        <w:tblLook w:val="06A0" w:firstRow="1" w:lastRow="0" w:firstColumn="1" w:lastColumn="0" w:noHBand="1" w:noVBand="1"/>
        <w:tblDescription w:val="Type:DtfTable|Workbook:https://vicgov.sharepoint.com/sites/msteams_12cfc2/BP2/Chapter%205/Link_BP2-Chapter5.xlsx|Table:WoS_OS|MergedHeadingRow:1"/>
      </w:tblPr>
      <w:tblGrid>
        <w:gridCol w:w="2946"/>
        <w:gridCol w:w="794"/>
        <w:gridCol w:w="794"/>
        <w:gridCol w:w="794"/>
        <w:gridCol w:w="794"/>
        <w:gridCol w:w="794"/>
        <w:gridCol w:w="794"/>
      </w:tblGrid>
      <w:tr w:rsidR="00346FC5" w:rsidRPr="00351630" w14:paraId="2B45BDB1" w14:textId="77777777" w:rsidTr="009835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46" w:type="dxa"/>
          </w:tcPr>
          <w:p w14:paraId="05057E01" w14:textId="77777777" w:rsidR="00346FC5" w:rsidRPr="00351630" w:rsidRDefault="00346FC5" w:rsidP="0098354D">
            <w:pPr>
              <w:keepNext/>
            </w:pPr>
          </w:p>
        </w:tc>
        <w:tc>
          <w:tcPr>
            <w:tcW w:w="794" w:type="dxa"/>
          </w:tcPr>
          <w:p w14:paraId="3EBF94E6"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2021</w:t>
            </w:r>
            <w:r w:rsidRPr="00351630">
              <w:noBreakHyphen/>
              <w:t>22</w:t>
            </w:r>
            <w:r w:rsidRPr="00351630">
              <w:br/>
              <w:t>actual</w:t>
            </w:r>
          </w:p>
        </w:tc>
        <w:tc>
          <w:tcPr>
            <w:tcW w:w="794" w:type="dxa"/>
          </w:tcPr>
          <w:p w14:paraId="56C01FA8"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2022</w:t>
            </w:r>
            <w:r w:rsidRPr="00351630">
              <w:noBreakHyphen/>
              <w:t>23</w:t>
            </w:r>
            <w:r w:rsidRPr="00351630">
              <w:br/>
              <w:t>revised</w:t>
            </w:r>
          </w:p>
        </w:tc>
        <w:tc>
          <w:tcPr>
            <w:tcW w:w="794" w:type="dxa"/>
          </w:tcPr>
          <w:p w14:paraId="238B63A6"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2023</w:t>
            </w:r>
            <w:r w:rsidRPr="00351630">
              <w:noBreakHyphen/>
              <w:t>24</w:t>
            </w:r>
            <w:r w:rsidRPr="00351630">
              <w:br/>
              <w:t>budget</w:t>
            </w:r>
          </w:p>
        </w:tc>
        <w:tc>
          <w:tcPr>
            <w:tcW w:w="794" w:type="dxa"/>
          </w:tcPr>
          <w:p w14:paraId="357A9532"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2024</w:t>
            </w:r>
            <w:r w:rsidRPr="00351630">
              <w:noBreakHyphen/>
              <w:t>25</w:t>
            </w:r>
            <w:r w:rsidRPr="00351630">
              <w:br/>
              <w:t>estimate</w:t>
            </w:r>
          </w:p>
        </w:tc>
        <w:tc>
          <w:tcPr>
            <w:tcW w:w="794" w:type="dxa"/>
          </w:tcPr>
          <w:p w14:paraId="3ABA7A5A"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2025</w:t>
            </w:r>
            <w:r w:rsidRPr="00351630">
              <w:noBreakHyphen/>
              <w:t>26</w:t>
            </w:r>
            <w:r w:rsidRPr="00351630">
              <w:br/>
              <w:t>estimate</w:t>
            </w:r>
          </w:p>
        </w:tc>
        <w:tc>
          <w:tcPr>
            <w:tcW w:w="794" w:type="dxa"/>
          </w:tcPr>
          <w:p w14:paraId="1EF4AAB6"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2026</w:t>
            </w:r>
            <w:r w:rsidRPr="00351630">
              <w:noBreakHyphen/>
              <w:t>27</w:t>
            </w:r>
            <w:r w:rsidRPr="00351630">
              <w:br/>
              <w:t>estimate</w:t>
            </w:r>
          </w:p>
        </w:tc>
      </w:tr>
      <w:tr w:rsidR="00346FC5" w:rsidRPr="00351630" w14:paraId="452F215B"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2D8B0445" w14:textId="77777777" w:rsidR="00346FC5" w:rsidRPr="00351630" w:rsidRDefault="00346FC5" w:rsidP="0098354D">
            <w:r w:rsidRPr="00351630">
              <w:rPr>
                <w:b/>
              </w:rPr>
              <w:t>Revenue and income from transactions</w:t>
            </w:r>
          </w:p>
        </w:tc>
        <w:tc>
          <w:tcPr>
            <w:tcW w:w="794" w:type="dxa"/>
          </w:tcPr>
          <w:p w14:paraId="492FA42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43B96B3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3B542C2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272D921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1A4ADE6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454362B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rsidRPr="00351630" w14:paraId="03483084"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3C1F8B35" w14:textId="77777777" w:rsidR="00346FC5" w:rsidRPr="00351630" w:rsidRDefault="00346FC5" w:rsidP="0098354D">
            <w:r w:rsidRPr="00351630">
              <w:t>Taxation</w:t>
            </w:r>
          </w:p>
        </w:tc>
        <w:tc>
          <w:tcPr>
            <w:tcW w:w="794" w:type="dxa"/>
          </w:tcPr>
          <w:p w14:paraId="212C405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30 080</w:t>
            </w:r>
          </w:p>
        </w:tc>
        <w:tc>
          <w:tcPr>
            <w:tcW w:w="794" w:type="dxa"/>
          </w:tcPr>
          <w:p w14:paraId="39AD9D3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31 019</w:t>
            </w:r>
          </w:p>
        </w:tc>
        <w:tc>
          <w:tcPr>
            <w:tcW w:w="794" w:type="dxa"/>
          </w:tcPr>
          <w:p w14:paraId="5474ABE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34 383</w:t>
            </w:r>
          </w:p>
        </w:tc>
        <w:tc>
          <w:tcPr>
            <w:tcW w:w="794" w:type="dxa"/>
          </w:tcPr>
          <w:p w14:paraId="1AF4B3B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36 350</w:t>
            </w:r>
          </w:p>
        </w:tc>
        <w:tc>
          <w:tcPr>
            <w:tcW w:w="794" w:type="dxa"/>
          </w:tcPr>
          <w:p w14:paraId="389F165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38 149</w:t>
            </w:r>
          </w:p>
        </w:tc>
        <w:tc>
          <w:tcPr>
            <w:tcW w:w="794" w:type="dxa"/>
          </w:tcPr>
          <w:p w14:paraId="4A28336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40 018</w:t>
            </w:r>
          </w:p>
        </w:tc>
      </w:tr>
      <w:tr w:rsidR="00346FC5" w:rsidRPr="00351630" w14:paraId="7B927F59"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0379D960" w14:textId="77777777" w:rsidR="00346FC5" w:rsidRPr="00351630" w:rsidRDefault="00346FC5" w:rsidP="0098354D">
            <w:r w:rsidRPr="00351630">
              <w:t xml:space="preserve">Dividends and interest </w:t>
            </w:r>
            <w:r w:rsidRPr="00351630">
              <w:rPr>
                <w:vertAlign w:val="superscript"/>
              </w:rPr>
              <w:t>(b)</w:t>
            </w:r>
          </w:p>
        </w:tc>
        <w:tc>
          <w:tcPr>
            <w:tcW w:w="794" w:type="dxa"/>
          </w:tcPr>
          <w:p w14:paraId="7494EBC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3 754</w:t>
            </w:r>
          </w:p>
        </w:tc>
        <w:tc>
          <w:tcPr>
            <w:tcW w:w="794" w:type="dxa"/>
          </w:tcPr>
          <w:p w14:paraId="1027039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3 401</w:t>
            </w:r>
          </w:p>
        </w:tc>
        <w:tc>
          <w:tcPr>
            <w:tcW w:w="794" w:type="dxa"/>
          </w:tcPr>
          <w:p w14:paraId="43C1603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3 901</w:t>
            </w:r>
          </w:p>
        </w:tc>
        <w:tc>
          <w:tcPr>
            <w:tcW w:w="794" w:type="dxa"/>
          </w:tcPr>
          <w:p w14:paraId="6C9600B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3 799</w:t>
            </w:r>
          </w:p>
        </w:tc>
        <w:tc>
          <w:tcPr>
            <w:tcW w:w="794" w:type="dxa"/>
          </w:tcPr>
          <w:p w14:paraId="51A55BC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4 493</w:t>
            </w:r>
          </w:p>
        </w:tc>
        <w:tc>
          <w:tcPr>
            <w:tcW w:w="794" w:type="dxa"/>
          </w:tcPr>
          <w:p w14:paraId="4FBF5E5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4 770</w:t>
            </w:r>
          </w:p>
        </w:tc>
      </w:tr>
      <w:tr w:rsidR="00346FC5" w:rsidRPr="00351630" w14:paraId="0F1FAE34"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3E2C7A6F" w14:textId="77777777" w:rsidR="00346FC5" w:rsidRPr="00351630" w:rsidRDefault="00346FC5" w:rsidP="0098354D">
            <w:r w:rsidRPr="00351630">
              <w:t>Sales of goods and services</w:t>
            </w:r>
          </w:p>
        </w:tc>
        <w:tc>
          <w:tcPr>
            <w:tcW w:w="794" w:type="dxa"/>
          </w:tcPr>
          <w:p w14:paraId="4B61CCF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16 462</w:t>
            </w:r>
          </w:p>
        </w:tc>
        <w:tc>
          <w:tcPr>
            <w:tcW w:w="794" w:type="dxa"/>
          </w:tcPr>
          <w:p w14:paraId="0200F50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17 773</w:t>
            </w:r>
          </w:p>
        </w:tc>
        <w:tc>
          <w:tcPr>
            <w:tcW w:w="794" w:type="dxa"/>
          </w:tcPr>
          <w:p w14:paraId="79C3CF9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19 198</w:t>
            </w:r>
          </w:p>
        </w:tc>
        <w:tc>
          <w:tcPr>
            <w:tcW w:w="794" w:type="dxa"/>
          </w:tcPr>
          <w:p w14:paraId="68000F2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20 230</w:t>
            </w:r>
          </w:p>
        </w:tc>
        <w:tc>
          <w:tcPr>
            <w:tcW w:w="794" w:type="dxa"/>
          </w:tcPr>
          <w:p w14:paraId="6553262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20 627</w:t>
            </w:r>
          </w:p>
        </w:tc>
        <w:tc>
          <w:tcPr>
            <w:tcW w:w="794" w:type="dxa"/>
          </w:tcPr>
          <w:p w14:paraId="41EBD38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21 151</w:t>
            </w:r>
          </w:p>
        </w:tc>
      </w:tr>
      <w:tr w:rsidR="00346FC5" w:rsidRPr="00351630" w14:paraId="54069BBC"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4D6ABC88" w14:textId="77777777" w:rsidR="00346FC5" w:rsidRPr="00351630" w:rsidRDefault="00346FC5" w:rsidP="0098354D">
            <w:r w:rsidRPr="00351630">
              <w:t>Grants</w:t>
            </w:r>
          </w:p>
        </w:tc>
        <w:tc>
          <w:tcPr>
            <w:tcW w:w="794" w:type="dxa"/>
          </w:tcPr>
          <w:p w14:paraId="12CF9DB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41 224</w:t>
            </w:r>
          </w:p>
        </w:tc>
        <w:tc>
          <w:tcPr>
            <w:tcW w:w="794" w:type="dxa"/>
          </w:tcPr>
          <w:p w14:paraId="41E2A6C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39 676</w:t>
            </w:r>
          </w:p>
        </w:tc>
        <w:tc>
          <w:tcPr>
            <w:tcW w:w="794" w:type="dxa"/>
          </w:tcPr>
          <w:p w14:paraId="2F24578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40 663</w:t>
            </w:r>
          </w:p>
        </w:tc>
        <w:tc>
          <w:tcPr>
            <w:tcW w:w="794" w:type="dxa"/>
          </w:tcPr>
          <w:p w14:paraId="203F14A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42 682</w:t>
            </w:r>
          </w:p>
        </w:tc>
        <w:tc>
          <w:tcPr>
            <w:tcW w:w="794" w:type="dxa"/>
          </w:tcPr>
          <w:p w14:paraId="2F0874D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45 153</w:t>
            </w:r>
          </w:p>
        </w:tc>
        <w:tc>
          <w:tcPr>
            <w:tcW w:w="794" w:type="dxa"/>
          </w:tcPr>
          <w:p w14:paraId="7276D64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45 868</w:t>
            </w:r>
          </w:p>
        </w:tc>
      </w:tr>
      <w:tr w:rsidR="00346FC5" w:rsidRPr="00351630" w14:paraId="6EE60DA9"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1C915B95" w14:textId="77777777" w:rsidR="00346FC5" w:rsidRPr="00351630" w:rsidRDefault="00346FC5" w:rsidP="0098354D">
            <w:r w:rsidRPr="00351630">
              <w:t>Other revenue and income</w:t>
            </w:r>
          </w:p>
        </w:tc>
        <w:tc>
          <w:tcPr>
            <w:tcW w:w="794" w:type="dxa"/>
            <w:tcBorders>
              <w:bottom w:val="single" w:sz="6" w:space="0" w:color="auto"/>
            </w:tcBorders>
          </w:tcPr>
          <w:p w14:paraId="0F73264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4 417</w:t>
            </w:r>
          </w:p>
        </w:tc>
        <w:tc>
          <w:tcPr>
            <w:tcW w:w="794" w:type="dxa"/>
            <w:tcBorders>
              <w:bottom w:val="single" w:sz="6" w:space="0" w:color="auto"/>
            </w:tcBorders>
          </w:tcPr>
          <w:p w14:paraId="4F8FCEF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4 171</w:t>
            </w:r>
          </w:p>
        </w:tc>
        <w:tc>
          <w:tcPr>
            <w:tcW w:w="794" w:type="dxa"/>
            <w:tcBorders>
              <w:bottom w:val="single" w:sz="6" w:space="0" w:color="auto"/>
            </w:tcBorders>
          </w:tcPr>
          <w:p w14:paraId="5B032EB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4 299</w:t>
            </w:r>
          </w:p>
        </w:tc>
        <w:tc>
          <w:tcPr>
            <w:tcW w:w="794" w:type="dxa"/>
            <w:tcBorders>
              <w:bottom w:val="single" w:sz="6" w:space="0" w:color="auto"/>
            </w:tcBorders>
          </w:tcPr>
          <w:p w14:paraId="24243F0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3 990</w:t>
            </w:r>
          </w:p>
        </w:tc>
        <w:tc>
          <w:tcPr>
            <w:tcW w:w="794" w:type="dxa"/>
            <w:tcBorders>
              <w:bottom w:val="single" w:sz="6" w:space="0" w:color="auto"/>
            </w:tcBorders>
          </w:tcPr>
          <w:p w14:paraId="1D91F45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4 091</w:t>
            </w:r>
          </w:p>
        </w:tc>
        <w:tc>
          <w:tcPr>
            <w:tcW w:w="794" w:type="dxa"/>
            <w:tcBorders>
              <w:bottom w:val="single" w:sz="6" w:space="0" w:color="auto"/>
            </w:tcBorders>
          </w:tcPr>
          <w:p w14:paraId="035855F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4 641</w:t>
            </w:r>
          </w:p>
        </w:tc>
      </w:tr>
      <w:tr w:rsidR="00346FC5" w:rsidRPr="00351630" w14:paraId="170735BA"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tcBorders>
          </w:tcPr>
          <w:p w14:paraId="0AA70A0E" w14:textId="77777777" w:rsidR="00346FC5" w:rsidRPr="00351630" w:rsidRDefault="00346FC5" w:rsidP="0098354D">
            <w:r w:rsidRPr="00351630">
              <w:rPr>
                <w:b/>
              </w:rPr>
              <w:t>Total revenue and income from transactions</w:t>
            </w:r>
          </w:p>
        </w:tc>
        <w:tc>
          <w:tcPr>
            <w:tcW w:w="794" w:type="dxa"/>
            <w:tcBorders>
              <w:top w:val="single" w:sz="6" w:space="0" w:color="auto"/>
            </w:tcBorders>
          </w:tcPr>
          <w:p w14:paraId="45395FB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95 936</w:t>
            </w:r>
          </w:p>
        </w:tc>
        <w:tc>
          <w:tcPr>
            <w:tcW w:w="794" w:type="dxa"/>
            <w:tcBorders>
              <w:top w:val="single" w:sz="6" w:space="0" w:color="auto"/>
            </w:tcBorders>
          </w:tcPr>
          <w:p w14:paraId="451A359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96 040</w:t>
            </w:r>
          </w:p>
        </w:tc>
        <w:tc>
          <w:tcPr>
            <w:tcW w:w="794" w:type="dxa"/>
            <w:tcBorders>
              <w:top w:val="single" w:sz="6" w:space="0" w:color="auto"/>
            </w:tcBorders>
          </w:tcPr>
          <w:p w14:paraId="1986C59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102 443</w:t>
            </w:r>
          </w:p>
        </w:tc>
        <w:tc>
          <w:tcPr>
            <w:tcW w:w="794" w:type="dxa"/>
            <w:tcBorders>
              <w:top w:val="single" w:sz="6" w:space="0" w:color="auto"/>
            </w:tcBorders>
          </w:tcPr>
          <w:p w14:paraId="6256DC4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107 052</w:t>
            </w:r>
          </w:p>
        </w:tc>
        <w:tc>
          <w:tcPr>
            <w:tcW w:w="794" w:type="dxa"/>
            <w:tcBorders>
              <w:top w:val="single" w:sz="6" w:space="0" w:color="auto"/>
            </w:tcBorders>
          </w:tcPr>
          <w:p w14:paraId="394CEF3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112 514</w:t>
            </w:r>
          </w:p>
        </w:tc>
        <w:tc>
          <w:tcPr>
            <w:tcW w:w="794" w:type="dxa"/>
            <w:tcBorders>
              <w:top w:val="single" w:sz="6" w:space="0" w:color="auto"/>
            </w:tcBorders>
          </w:tcPr>
          <w:p w14:paraId="578150D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116 448</w:t>
            </w:r>
          </w:p>
        </w:tc>
      </w:tr>
      <w:tr w:rsidR="00346FC5" w:rsidRPr="00351630" w14:paraId="291A4840"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0AA4F073" w14:textId="77777777" w:rsidR="00346FC5" w:rsidRPr="00351630" w:rsidRDefault="00346FC5" w:rsidP="0098354D">
            <w:r w:rsidRPr="00351630">
              <w:rPr>
                <w:i/>
              </w:rPr>
              <w:t>% change</w:t>
            </w:r>
          </w:p>
        </w:tc>
        <w:tc>
          <w:tcPr>
            <w:tcW w:w="794" w:type="dxa"/>
          </w:tcPr>
          <w:p w14:paraId="74A9110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17.3</w:t>
            </w:r>
          </w:p>
        </w:tc>
        <w:tc>
          <w:tcPr>
            <w:tcW w:w="794" w:type="dxa"/>
          </w:tcPr>
          <w:p w14:paraId="14FEAAD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0.1</w:t>
            </w:r>
          </w:p>
        </w:tc>
        <w:tc>
          <w:tcPr>
            <w:tcW w:w="794" w:type="dxa"/>
          </w:tcPr>
          <w:p w14:paraId="08ED7CB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6.7</w:t>
            </w:r>
          </w:p>
        </w:tc>
        <w:tc>
          <w:tcPr>
            <w:tcW w:w="794" w:type="dxa"/>
          </w:tcPr>
          <w:p w14:paraId="19D5195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4.5</w:t>
            </w:r>
          </w:p>
        </w:tc>
        <w:tc>
          <w:tcPr>
            <w:tcW w:w="794" w:type="dxa"/>
          </w:tcPr>
          <w:p w14:paraId="1F3A21A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5.1</w:t>
            </w:r>
          </w:p>
        </w:tc>
        <w:tc>
          <w:tcPr>
            <w:tcW w:w="794" w:type="dxa"/>
          </w:tcPr>
          <w:p w14:paraId="1429F7F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3.5</w:t>
            </w:r>
          </w:p>
        </w:tc>
      </w:tr>
      <w:tr w:rsidR="00346FC5" w:rsidRPr="00351630" w14:paraId="34ABA39F"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70527558" w14:textId="77777777" w:rsidR="00346FC5" w:rsidRPr="00351630" w:rsidRDefault="00346FC5" w:rsidP="0098354D">
            <w:r w:rsidRPr="00351630">
              <w:rPr>
                <w:b/>
              </w:rPr>
              <w:t>Expenses from transactions</w:t>
            </w:r>
          </w:p>
        </w:tc>
        <w:tc>
          <w:tcPr>
            <w:tcW w:w="794" w:type="dxa"/>
          </w:tcPr>
          <w:p w14:paraId="266CB6B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33AA6D2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2C2AA03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7A50AA5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03A4392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4E30795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rsidRPr="00351630" w14:paraId="70D1B201"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37B0DA43" w14:textId="77777777" w:rsidR="00346FC5" w:rsidRPr="00351630" w:rsidRDefault="00346FC5" w:rsidP="0098354D">
            <w:r w:rsidRPr="00351630">
              <w:t>Employee expenses</w:t>
            </w:r>
          </w:p>
        </w:tc>
        <w:tc>
          <w:tcPr>
            <w:tcW w:w="794" w:type="dxa"/>
          </w:tcPr>
          <w:p w14:paraId="16B20B7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33 638</w:t>
            </w:r>
          </w:p>
        </w:tc>
        <w:tc>
          <w:tcPr>
            <w:tcW w:w="794" w:type="dxa"/>
          </w:tcPr>
          <w:p w14:paraId="476EA6E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35 486</w:t>
            </w:r>
          </w:p>
        </w:tc>
        <w:tc>
          <w:tcPr>
            <w:tcW w:w="794" w:type="dxa"/>
          </w:tcPr>
          <w:p w14:paraId="7B04C69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36 623</w:t>
            </w:r>
          </w:p>
        </w:tc>
        <w:tc>
          <w:tcPr>
            <w:tcW w:w="794" w:type="dxa"/>
          </w:tcPr>
          <w:p w14:paraId="0144CD8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37 199</w:t>
            </w:r>
          </w:p>
        </w:tc>
        <w:tc>
          <w:tcPr>
            <w:tcW w:w="794" w:type="dxa"/>
          </w:tcPr>
          <w:p w14:paraId="478C9E9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38 197</w:t>
            </w:r>
          </w:p>
        </w:tc>
        <w:tc>
          <w:tcPr>
            <w:tcW w:w="794" w:type="dxa"/>
          </w:tcPr>
          <w:p w14:paraId="78ABC5D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39 512</w:t>
            </w:r>
          </w:p>
        </w:tc>
      </w:tr>
      <w:tr w:rsidR="00346FC5" w:rsidRPr="00351630" w14:paraId="53859C23"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37A6B598" w14:textId="77777777" w:rsidR="00346FC5" w:rsidRPr="00351630" w:rsidRDefault="00346FC5" w:rsidP="0098354D">
            <w:r w:rsidRPr="00351630">
              <w:t xml:space="preserve">Superannuation </w:t>
            </w:r>
            <w:r w:rsidRPr="00351630">
              <w:rPr>
                <w:vertAlign w:val="superscript"/>
              </w:rPr>
              <w:t>(c)</w:t>
            </w:r>
          </w:p>
        </w:tc>
        <w:tc>
          <w:tcPr>
            <w:tcW w:w="794" w:type="dxa"/>
          </w:tcPr>
          <w:p w14:paraId="11914AF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4 589</w:t>
            </w:r>
          </w:p>
        </w:tc>
        <w:tc>
          <w:tcPr>
            <w:tcW w:w="794" w:type="dxa"/>
          </w:tcPr>
          <w:p w14:paraId="0DF652F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4 391</w:t>
            </w:r>
          </w:p>
        </w:tc>
        <w:tc>
          <w:tcPr>
            <w:tcW w:w="794" w:type="dxa"/>
          </w:tcPr>
          <w:p w14:paraId="3DD9375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4 709</w:t>
            </w:r>
          </w:p>
        </w:tc>
        <w:tc>
          <w:tcPr>
            <w:tcW w:w="794" w:type="dxa"/>
          </w:tcPr>
          <w:p w14:paraId="512C5F7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4 820</w:t>
            </w:r>
          </w:p>
        </w:tc>
        <w:tc>
          <w:tcPr>
            <w:tcW w:w="794" w:type="dxa"/>
          </w:tcPr>
          <w:p w14:paraId="2E56484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4 901</w:t>
            </w:r>
          </w:p>
        </w:tc>
        <w:tc>
          <w:tcPr>
            <w:tcW w:w="794" w:type="dxa"/>
          </w:tcPr>
          <w:p w14:paraId="3F2041B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5 096</w:t>
            </w:r>
          </w:p>
        </w:tc>
      </w:tr>
      <w:tr w:rsidR="00346FC5" w:rsidRPr="00351630" w14:paraId="79D1270E"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47C3CD52" w14:textId="77777777" w:rsidR="00346FC5" w:rsidRPr="00351630" w:rsidRDefault="00346FC5" w:rsidP="0098354D">
            <w:r w:rsidRPr="00351630">
              <w:t>Depreciation</w:t>
            </w:r>
          </w:p>
        </w:tc>
        <w:tc>
          <w:tcPr>
            <w:tcW w:w="794" w:type="dxa"/>
          </w:tcPr>
          <w:p w14:paraId="3DA89E2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7 203</w:t>
            </w:r>
          </w:p>
        </w:tc>
        <w:tc>
          <w:tcPr>
            <w:tcW w:w="794" w:type="dxa"/>
          </w:tcPr>
          <w:p w14:paraId="08C71B9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7 749</w:t>
            </w:r>
          </w:p>
        </w:tc>
        <w:tc>
          <w:tcPr>
            <w:tcW w:w="794" w:type="dxa"/>
          </w:tcPr>
          <w:p w14:paraId="5979AA1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7 950</w:t>
            </w:r>
          </w:p>
        </w:tc>
        <w:tc>
          <w:tcPr>
            <w:tcW w:w="794" w:type="dxa"/>
          </w:tcPr>
          <w:p w14:paraId="2B7F56C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8 299</w:t>
            </w:r>
          </w:p>
        </w:tc>
        <w:tc>
          <w:tcPr>
            <w:tcW w:w="794" w:type="dxa"/>
          </w:tcPr>
          <w:p w14:paraId="4F31C88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8 769</w:t>
            </w:r>
          </w:p>
        </w:tc>
        <w:tc>
          <w:tcPr>
            <w:tcW w:w="794" w:type="dxa"/>
          </w:tcPr>
          <w:p w14:paraId="43E66C2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9 096</w:t>
            </w:r>
          </w:p>
        </w:tc>
      </w:tr>
      <w:tr w:rsidR="00346FC5" w:rsidRPr="00351630" w14:paraId="1371832A"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67D43813" w14:textId="77777777" w:rsidR="00346FC5" w:rsidRPr="00351630" w:rsidRDefault="00346FC5" w:rsidP="0098354D">
            <w:r w:rsidRPr="00351630">
              <w:t>Interest expense</w:t>
            </w:r>
          </w:p>
        </w:tc>
        <w:tc>
          <w:tcPr>
            <w:tcW w:w="794" w:type="dxa"/>
          </w:tcPr>
          <w:p w14:paraId="537811A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3 712</w:t>
            </w:r>
          </w:p>
        </w:tc>
        <w:tc>
          <w:tcPr>
            <w:tcW w:w="794" w:type="dxa"/>
          </w:tcPr>
          <w:p w14:paraId="404960C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4 681</w:t>
            </w:r>
          </w:p>
        </w:tc>
        <w:tc>
          <w:tcPr>
            <w:tcW w:w="794" w:type="dxa"/>
          </w:tcPr>
          <w:p w14:paraId="5A134FF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6 287</w:t>
            </w:r>
          </w:p>
        </w:tc>
        <w:tc>
          <w:tcPr>
            <w:tcW w:w="794" w:type="dxa"/>
          </w:tcPr>
          <w:p w14:paraId="31F0B3F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7 142</w:t>
            </w:r>
          </w:p>
        </w:tc>
        <w:tc>
          <w:tcPr>
            <w:tcW w:w="794" w:type="dxa"/>
          </w:tcPr>
          <w:p w14:paraId="7A34EBC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8 124</w:t>
            </w:r>
          </w:p>
        </w:tc>
        <w:tc>
          <w:tcPr>
            <w:tcW w:w="794" w:type="dxa"/>
          </w:tcPr>
          <w:p w14:paraId="5B457A4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9 050</w:t>
            </w:r>
          </w:p>
        </w:tc>
      </w:tr>
      <w:tr w:rsidR="00346FC5" w:rsidRPr="00351630" w14:paraId="2D431D1C"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04C195AA" w14:textId="77777777" w:rsidR="00346FC5" w:rsidRPr="00351630" w:rsidRDefault="00346FC5" w:rsidP="0098354D">
            <w:r w:rsidRPr="00351630">
              <w:t>Grant expense</w:t>
            </w:r>
          </w:p>
        </w:tc>
        <w:tc>
          <w:tcPr>
            <w:tcW w:w="794" w:type="dxa"/>
          </w:tcPr>
          <w:p w14:paraId="11973F1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21 952</w:t>
            </w:r>
          </w:p>
        </w:tc>
        <w:tc>
          <w:tcPr>
            <w:tcW w:w="794" w:type="dxa"/>
          </w:tcPr>
          <w:p w14:paraId="725C7F9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16 607</w:t>
            </w:r>
          </w:p>
        </w:tc>
        <w:tc>
          <w:tcPr>
            <w:tcW w:w="794" w:type="dxa"/>
          </w:tcPr>
          <w:p w14:paraId="6197B81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15 237</w:t>
            </w:r>
          </w:p>
        </w:tc>
        <w:tc>
          <w:tcPr>
            <w:tcW w:w="794" w:type="dxa"/>
          </w:tcPr>
          <w:p w14:paraId="147D59E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14 833</w:t>
            </w:r>
          </w:p>
        </w:tc>
        <w:tc>
          <w:tcPr>
            <w:tcW w:w="794" w:type="dxa"/>
          </w:tcPr>
          <w:p w14:paraId="27EE410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14 862</w:t>
            </w:r>
          </w:p>
        </w:tc>
        <w:tc>
          <w:tcPr>
            <w:tcW w:w="794" w:type="dxa"/>
          </w:tcPr>
          <w:p w14:paraId="7A41115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14 805</w:t>
            </w:r>
          </w:p>
        </w:tc>
      </w:tr>
      <w:tr w:rsidR="00346FC5" w:rsidRPr="00351630" w14:paraId="08F3262F"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02C0813C" w14:textId="77777777" w:rsidR="00346FC5" w:rsidRPr="00351630" w:rsidRDefault="00346FC5" w:rsidP="0098354D">
            <w:r w:rsidRPr="00351630">
              <w:t>Other operating expenses</w:t>
            </w:r>
          </w:p>
        </w:tc>
        <w:tc>
          <w:tcPr>
            <w:tcW w:w="794" w:type="dxa"/>
          </w:tcPr>
          <w:p w14:paraId="2E2A87E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40 097</w:t>
            </w:r>
          </w:p>
        </w:tc>
        <w:tc>
          <w:tcPr>
            <w:tcW w:w="794" w:type="dxa"/>
          </w:tcPr>
          <w:p w14:paraId="30AC901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41 667</w:t>
            </w:r>
          </w:p>
        </w:tc>
        <w:tc>
          <w:tcPr>
            <w:tcW w:w="794" w:type="dxa"/>
          </w:tcPr>
          <w:p w14:paraId="6720DE2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40 872</w:t>
            </w:r>
          </w:p>
        </w:tc>
        <w:tc>
          <w:tcPr>
            <w:tcW w:w="794" w:type="dxa"/>
          </w:tcPr>
          <w:p w14:paraId="72F68A0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39 887</w:t>
            </w:r>
          </w:p>
        </w:tc>
        <w:tc>
          <w:tcPr>
            <w:tcW w:w="794" w:type="dxa"/>
          </w:tcPr>
          <w:p w14:paraId="771A19E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40 797</w:t>
            </w:r>
          </w:p>
        </w:tc>
        <w:tc>
          <w:tcPr>
            <w:tcW w:w="794" w:type="dxa"/>
          </w:tcPr>
          <w:p w14:paraId="3F610B1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42 168</w:t>
            </w:r>
          </w:p>
        </w:tc>
      </w:tr>
      <w:tr w:rsidR="00346FC5" w:rsidRPr="00351630" w14:paraId="4E0411A6"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730C8EB8" w14:textId="77777777" w:rsidR="00346FC5" w:rsidRPr="00351630" w:rsidRDefault="00346FC5" w:rsidP="0098354D">
            <w:r w:rsidRPr="00351630">
              <w:rPr>
                <w:b/>
              </w:rPr>
              <w:t>Total expenses from transactions</w:t>
            </w:r>
          </w:p>
        </w:tc>
        <w:tc>
          <w:tcPr>
            <w:tcW w:w="794" w:type="dxa"/>
          </w:tcPr>
          <w:p w14:paraId="43CC2B2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111 192</w:t>
            </w:r>
          </w:p>
        </w:tc>
        <w:tc>
          <w:tcPr>
            <w:tcW w:w="794" w:type="dxa"/>
          </w:tcPr>
          <w:p w14:paraId="0A9FFF7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110 582</w:t>
            </w:r>
          </w:p>
        </w:tc>
        <w:tc>
          <w:tcPr>
            <w:tcW w:w="794" w:type="dxa"/>
          </w:tcPr>
          <w:p w14:paraId="3719181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111 678</w:t>
            </w:r>
          </w:p>
        </w:tc>
        <w:tc>
          <w:tcPr>
            <w:tcW w:w="794" w:type="dxa"/>
          </w:tcPr>
          <w:p w14:paraId="58BE986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112 181</w:t>
            </w:r>
          </w:p>
        </w:tc>
        <w:tc>
          <w:tcPr>
            <w:tcW w:w="794" w:type="dxa"/>
          </w:tcPr>
          <w:p w14:paraId="22E9840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115 650</w:t>
            </w:r>
          </w:p>
        </w:tc>
        <w:tc>
          <w:tcPr>
            <w:tcW w:w="794" w:type="dxa"/>
          </w:tcPr>
          <w:p w14:paraId="737AEDD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119 727</w:t>
            </w:r>
          </w:p>
        </w:tc>
      </w:tr>
      <w:tr w:rsidR="00346FC5" w:rsidRPr="00351630" w14:paraId="765A5A3A"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0D25E98B" w14:textId="77777777" w:rsidR="00346FC5" w:rsidRPr="00351630" w:rsidRDefault="00346FC5" w:rsidP="0098354D">
            <w:r w:rsidRPr="00351630">
              <w:rPr>
                <w:i/>
              </w:rPr>
              <w:t>% change</w:t>
            </w:r>
          </w:p>
        </w:tc>
        <w:tc>
          <w:tcPr>
            <w:tcW w:w="794" w:type="dxa"/>
            <w:tcBorders>
              <w:bottom w:val="single" w:sz="6" w:space="0" w:color="auto"/>
            </w:tcBorders>
          </w:tcPr>
          <w:p w14:paraId="027D43F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11.1</w:t>
            </w:r>
          </w:p>
        </w:tc>
        <w:tc>
          <w:tcPr>
            <w:tcW w:w="794" w:type="dxa"/>
            <w:tcBorders>
              <w:bottom w:val="single" w:sz="6" w:space="0" w:color="auto"/>
            </w:tcBorders>
          </w:tcPr>
          <w:p w14:paraId="1AA5966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noBreakHyphen/>
              <w:t>0.5</w:t>
            </w:r>
          </w:p>
        </w:tc>
        <w:tc>
          <w:tcPr>
            <w:tcW w:w="794" w:type="dxa"/>
            <w:tcBorders>
              <w:bottom w:val="single" w:sz="6" w:space="0" w:color="auto"/>
            </w:tcBorders>
          </w:tcPr>
          <w:p w14:paraId="5D88ADD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1.0</w:t>
            </w:r>
          </w:p>
        </w:tc>
        <w:tc>
          <w:tcPr>
            <w:tcW w:w="794" w:type="dxa"/>
            <w:tcBorders>
              <w:bottom w:val="single" w:sz="6" w:space="0" w:color="auto"/>
            </w:tcBorders>
          </w:tcPr>
          <w:p w14:paraId="5F80E9B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0.5</w:t>
            </w:r>
          </w:p>
        </w:tc>
        <w:tc>
          <w:tcPr>
            <w:tcW w:w="794" w:type="dxa"/>
            <w:tcBorders>
              <w:bottom w:val="single" w:sz="6" w:space="0" w:color="auto"/>
            </w:tcBorders>
          </w:tcPr>
          <w:p w14:paraId="6F92F38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3.1</w:t>
            </w:r>
          </w:p>
        </w:tc>
        <w:tc>
          <w:tcPr>
            <w:tcW w:w="794" w:type="dxa"/>
            <w:tcBorders>
              <w:bottom w:val="single" w:sz="6" w:space="0" w:color="auto"/>
            </w:tcBorders>
          </w:tcPr>
          <w:p w14:paraId="7396AC3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i/>
              </w:rPr>
              <w:t>3.5</w:t>
            </w:r>
          </w:p>
        </w:tc>
      </w:tr>
      <w:tr w:rsidR="00346FC5" w:rsidRPr="00351630" w14:paraId="03AF4EBF"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6" w:space="0" w:color="auto"/>
            </w:tcBorders>
          </w:tcPr>
          <w:p w14:paraId="03445A96" w14:textId="77777777" w:rsidR="00346FC5" w:rsidRPr="00351630" w:rsidRDefault="00346FC5" w:rsidP="0098354D">
            <w:r w:rsidRPr="00351630">
              <w:rPr>
                <w:b/>
              </w:rPr>
              <w:t>Net result from transactions</w:t>
            </w:r>
          </w:p>
        </w:tc>
        <w:tc>
          <w:tcPr>
            <w:tcW w:w="794" w:type="dxa"/>
            <w:tcBorders>
              <w:top w:val="single" w:sz="6" w:space="0" w:color="auto"/>
              <w:bottom w:val="single" w:sz="6" w:space="0" w:color="auto"/>
            </w:tcBorders>
          </w:tcPr>
          <w:p w14:paraId="7053D52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(15 255)</w:t>
            </w:r>
          </w:p>
        </w:tc>
        <w:tc>
          <w:tcPr>
            <w:tcW w:w="794" w:type="dxa"/>
            <w:tcBorders>
              <w:top w:val="single" w:sz="6" w:space="0" w:color="auto"/>
              <w:bottom w:val="single" w:sz="6" w:space="0" w:color="auto"/>
            </w:tcBorders>
          </w:tcPr>
          <w:p w14:paraId="5B26116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(14 542)</w:t>
            </w:r>
          </w:p>
        </w:tc>
        <w:tc>
          <w:tcPr>
            <w:tcW w:w="794" w:type="dxa"/>
            <w:tcBorders>
              <w:top w:val="single" w:sz="6" w:space="0" w:color="auto"/>
              <w:bottom w:val="single" w:sz="6" w:space="0" w:color="auto"/>
            </w:tcBorders>
          </w:tcPr>
          <w:p w14:paraId="5E76056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(9 234)</w:t>
            </w:r>
          </w:p>
        </w:tc>
        <w:tc>
          <w:tcPr>
            <w:tcW w:w="794" w:type="dxa"/>
            <w:tcBorders>
              <w:top w:val="single" w:sz="6" w:space="0" w:color="auto"/>
              <w:bottom w:val="single" w:sz="6" w:space="0" w:color="auto"/>
            </w:tcBorders>
          </w:tcPr>
          <w:p w14:paraId="70BA966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(5 129)</w:t>
            </w:r>
          </w:p>
        </w:tc>
        <w:tc>
          <w:tcPr>
            <w:tcW w:w="794" w:type="dxa"/>
            <w:tcBorders>
              <w:top w:val="single" w:sz="6" w:space="0" w:color="auto"/>
              <w:bottom w:val="single" w:sz="6" w:space="0" w:color="auto"/>
            </w:tcBorders>
          </w:tcPr>
          <w:p w14:paraId="4129315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(3 136)</w:t>
            </w:r>
          </w:p>
        </w:tc>
        <w:tc>
          <w:tcPr>
            <w:tcW w:w="794" w:type="dxa"/>
            <w:tcBorders>
              <w:top w:val="single" w:sz="6" w:space="0" w:color="auto"/>
              <w:bottom w:val="single" w:sz="6" w:space="0" w:color="auto"/>
            </w:tcBorders>
          </w:tcPr>
          <w:p w14:paraId="6457499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(3 279)</w:t>
            </w:r>
          </w:p>
        </w:tc>
      </w:tr>
      <w:tr w:rsidR="00346FC5" w:rsidRPr="00351630" w14:paraId="4090C814"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6" w:space="0" w:color="auto"/>
            </w:tcBorders>
          </w:tcPr>
          <w:p w14:paraId="776CB8E5" w14:textId="77777777" w:rsidR="00346FC5" w:rsidRPr="00351630" w:rsidRDefault="00346FC5" w:rsidP="0098354D">
            <w:r w:rsidRPr="00351630">
              <w:t>Total other economic flows included in net result</w:t>
            </w:r>
          </w:p>
        </w:tc>
        <w:tc>
          <w:tcPr>
            <w:tcW w:w="794" w:type="dxa"/>
            <w:tcBorders>
              <w:top w:val="single" w:sz="6" w:space="0" w:color="auto"/>
              <w:bottom w:val="single" w:sz="6" w:space="0" w:color="auto"/>
            </w:tcBorders>
          </w:tcPr>
          <w:p w14:paraId="20FE1C4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15 823</w:t>
            </w:r>
          </w:p>
        </w:tc>
        <w:tc>
          <w:tcPr>
            <w:tcW w:w="794" w:type="dxa"/>
            <w:tcBorders>
              <w:top w:val="single" w:sz="6" w:space="0" w:color="auto"/>
              <w:bottom w:val="single" w:sz="6" w:space="0" w:color="auto"/>
            </w:tcBorders>
          </w:tcPr>
          <w:p w14:paraId="4F8FCFF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(491)</w:t>
            </w:r>
          </w:p>
        </w:tc>
        <w:tc>
          <w:tcPr>
            <w:tcW w:w="794" w:type="dxa"/>
            <w:tcBorders>
              <w:top w:val="single" w:sz="6" w:space="0" w:color="auto"/>
              <w:bottom w:val="single" w:sz="6" w:space="0" w:color="auto"/>
            </w:tcBorders>
          </w:tcPr>
          <w:p w14:paraId="5B2B3B4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1 171</w:t>
            </w:r>
          </w:p>
        </w:tc>
        <w:tc>
          <w:tcPr>
            <w:tcW w:w="794" w:type="dxa"/>
            <w:tcBorders>
              <w:top w:val="single" w:sz="6" w:space="0" w:color="auto"/>
              <w:bottom w:val="single" w:sz="6" w:space="0" w:color="auto"/>
            </w:tcBorders>
          </w:tcPr>
          <w:p w14:paraId="248F1F1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1 372</w:t>
            </w:r>
          </w:p>
        </w:tc>
        <w:tc>
          <w:tcPr>
            <w:tcW w:w="794" w:type="dxa"/>
            <w:tcBorders>
              <w:top w:val="single" w:sz="6" w:space="0" w:color="auto"/>
              <w:bottom w:val="single" w:sz="6" w:space="0" w:color="auto"/>
            </w:tcBorders>
          </w:tcPr>
          <w:p w14:paraId="21A8839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2 236</w:t>
            </w:r>
          </w:p>
        </w:tc>
        <w:tc>
          <w:tcPr>
            <w:tcW w:w="794" w:type="dxa"/>
            <w:tcBorders>
              <w:top w:val="single" w:sz="6" w:space="0" w:color="auto"/>
              <w:bottom w:val="single" w:sz="6" w:space="0" w:color="auto"/>
            </w:tcBorders>
          </w:tcPr>
          <w:p w14:paraId="58CCB6E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2 105</w:t>
            </w:r>
          </w:p>
        </w:tc>
      </w:tr>
      <w:tr w:rsidR="00346FC5" w:rsidRPr="00351630" w14:paraId="38E438CC"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12" w:space="0" w:color="auto"/>
            </w:tcBorders>
          </w:tcPr>
          <w:p w14:paraId="0D588827" w14:textId="77777777" w:rsidR="00346FC5" w:rsidRPr="00351630" w:rsidRDefault="00346FC5" w:rsidP="0098354D">
            <w:r w:rsidRPr="00351630">
              <w:rPr>
                <w:b/>
              </w:rPr>
              <w:t>Net result</w:t>
            </w:r>
          </w:p>
        </w:tc>
        <w:tc>
          <w:tcPr>
            <w:tcW w:w="794" w:type="dxa"/>
            <w:tcBorders>
              <w:top w:val="single" w:sz="6" w:space="0" w:color="auto"/>
              <w:bottom w:val="single" w:sz="12" w:space="0" w:color="auto"/>
            </w:tcBorders>
          </w:tcPr>
          <w:p w14:paraId="186BEE5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568</w:t>
            </w:r>
          </w:p>
        </w:tc>
        <w:tc>
          <w:tcPr>
            <w:tcW w:w="794" w:type="dxa"/>
            <w:tcBorders>
              <w:top w:val="single" w:sz="6" w:space="0" w:color="auto"/>
              <w:bottom w:val="single" w:sz="12" w:space="0" w:color="auto"/>
            </w:tcBorders>
          </w:tcPr>
          <w:p w14:paraId="7FA2BBC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(15 033)</w:t>
            </w:r>
          </w:p>
        </w:tc>
        <w:tc>
          <w:tcPr>
            <w:tcW w:w="794" w:type="dxa"/>
            <w:tcBorders>
              <w:top w:val="single" w:sz="6" w:space="0" w:color="auto"/>
              <w:bottom w:val="single" w:sz="12" w:space="0" w:color="auto"/>
            </w:tcBorders>
          </w:tcPr>
          <w:p w14:paraId="210B4C3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(8 064)</w:t>
            </w:r>
          </w:p>
        </w:tc>
        <w:tc>
          <w:tcPr>
            <w:tcW w:w="794" w:type="dxa"/>
            <w:tcBorders>
              <w:top w:val="single" w:sz="6" w:space="0" w:color="auto"/>
              <w:bottom w:val="single" w:sz="12" w:space="0" w:color="auto"/>
            </w:tcBorders>
          </w:tcPr>
          <w:p w14:paraId="4976A79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(3 757)</w:t>
            </w:r>
          </w:p>
        </w:tc>
        <w:tc>
          <w:tcPr>
            <w:tcW w:w="794" w:type="dxa"/>
            <w:tcBorders>
              <w:top w:val="single" w:sz="6" w:space="0" w:color="auto"/>
              <w:bottom w:val="single" w:sz="12" w:space="0" w:color="auto"/>
            </w:tcBorders>
          </w:tcPr>
          <w:p w14:paraId="68079FF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(900)</w:t>
            </w:r>
          </w:p>
        </w:tc>
        <w:tc>
          <w:tcPr>
            <w:tcW w:w="794" w:type="dxa"/>
            <w:tcBorders>
              <w:top w:val="single" w:sz="6" w:space="0" w:color="auto"/>
              <w:bottom w:val="single" w:sz="12" w:space="0" w:color="auto"/>
            </w:tcBorders>
          </w:tcPr>
          <w:p w14:paraId="078FF63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(1 174)</w:t>
            </w:r>
          </w:p>
        </w:tc>
      </w:tr>
    </w:tbl>
    <w:p w14:paraId="2663CE24" w14:textId="77777777" w:rsidR="00346FC5" w:rsidRPr="00351630" w:rsidRDefault="00346FC5" w:rsidP="00346FC5">
      <w:pPr>
        <w:pStyle w:val="Note"/>
      </w:pPr>
      <w:r w:rsidRPr="00351630">
        <w:t>Notes:</w:t>
      </w:r>
    </w:p>
    <w:p w14:paraId="5DE8015C" w14:textId="77777777" w:rsidR="00346FC5" w:rsidRPr="00351630" w:rsidRDefault="00346FC5" w:rsidP="00346FC5">
      <w:pPr>
        <w:pStyle w:val="Note"/>
      </w:pPr>
      <w:r w:rsidRPr="00351630">
        <w:t>(a)</w:t>
      </w:r>
      <w:r w:rsidRPr="00351630">
        <w:tab/>
        <w:t xml:space="preserve">This is a summary operating statement. The comprehensive operating statement is presented in Budget Paper No. 5, Chapter 2 </w:t>
      </w:r>
      <w:r w:rsidRPr="00351630">
        <w:rPr>
          <w:i w:val="0"/>
        </w:rPr>
        <w:t>Supplementary uniform presentation framework tables</w:t>
      </w:r>
      <w:r w:rsidRPr="00351630">
        <w:t>. Figures in this table are subject to rounding to the nearest million and may not add up to totals.</w:t>
      </w:r>
    </w:p>
    <w:p w14:paraId="28890ECC" w14:textId="77777777" w:rsidR="00346FC5" w:rsidRPr="00351630" w:rsidRDefault="00346FC5" w:rsidP="00346FC5">
      <w:pPr>
        <w:pStyle w:val="Note"/>
      </w:pPr>
      <w:r w:rsidRPr="00351630">
        <w:t>(b)</w:t>
      </w:r>
      <w:r w:rsidRPr="00351630">
        <w:tab/>
        <w:t>Comprises dividends and interest.</w:t>
      </w:r>
    </w:p>
    <w:p w14:paraId="2D0982ED" w14:textId="77777777" w:rsidR="00346FC5" w:rsidRPr="00351630" w:rsidRDefault="00346FC5" w:rsidP="00346FC5">
      <w:pPr>
        <w:pStyle w:val="Note"/>
      </w:pPr>
      <w:r w:rsidRPr="00351630">
        <w:t>(c)</w:t>
      </w:r>
      <w:r w:rsidRPr="00351630">
        <w:tab/>
        <w:t>Comprises superannuation interest expense and other superannuation expenses.</w:t>
      </w:r>
    </w:p>
    <w:p w14:paraId="60F07744" w14:textId="77777777" w:rsidR="00346FC5" w:rsidRPr="00351630" w:rsidRDefault="00346FC5" w:rsidP="00346FC5"/>
    <w:p w14:paraId="041C5C40" w14:textId="77777777" w:rsidR="00346FC5" w:rsidRPr="00351630" w:rsidRDefault="00346FC5" w:rsidP="00346FC5">
      <w:pPr>
        <w:pageBreakBefore/>
        <w:ind w:right="-86"/>
      </w:pPr>
      <w:r w:rsidRPr="00351630">
        <w:t>Table 5.10 shows that the state</w:t>
      </w:r>
      <w:r>
        <w:t>’</w:t>
      </w:r>
      <w:r w:rsidRPr="00351630">
        <w:t>s net assets are projected to increase over the budget and forward estimates, from $201.6 billion in 2023-24 to $227.3 billion by 2026-27. While total assets are expected to increase by $90.7 billion over the budget and forward estimates, this is partly offset by a $65 billion increase in liabilities.</w:t>
      </w:r>
    </w:p>
    <w:p w14:paraId="4F0BAFFB" w14:textId="3C73124B" w:rsidR="00346FC5" w:rsidRPr="00351630" w:rsidRDefault="00346FC5" w:rsidP="00346FC5">
      <w:pPr>
        <w:keepNext/>
        <w:ind w:right="-86"/>
      </w:pPr>
      <w:r w:rsidRPr="00351630">
        <w:t>The state</w:t>
      </w:r>
      <w:r>
        <w:t>’</w:t>
      </w:r>
      <w:r w:rsidRPr="00351630">
        <w:t>s financial assets are estimated to increase from $104.1 billion in 2023-24 to $125.3 billion by 2026-27 and non-financial assets, including infrastructure, are estimated to</w:t>
      </w:r>
      <w:r w:rsidR="008139D0">
        <w:t> </w:t>
      </w:r>
      <w:r w:rsidRPr="00351630">
        <w:t>increase from $422.6 billion in 2023-24 to $492.1 billion by 2026-27. Total liabilities are projected to increase from $325.1 billion in 2023-24 to $390.1 billion by 2026</w:t>
      </w:r>
      <w:r w:rsidRPr="00351630">
        <w:noBreakHyphen/>
        <w:t>27, largely due to borrowings increasing from $199.9 billion in 2023-24 to $254.4 billion by 2026</w:t>
      </w:r>
      <w:r w:rsidRPr="00351630">
        <w:noBreakHyphen/>
        <w:t>27.</w:t>
      </w:r>
    </w:p>
    <w:p w14:paraId="0E6B1AE3" w14:textId="77777777" w:rsidR="00346FC5" w:rsidRPr="00351630" w:rsidRDefault="00346FC5" w:rsidP="00346FC5">
      <w:r w:rsidRPr="00351630">
        <w:t>Other liabilities are also projected to increase, from $</w:t>
      </w:r>
      <w:r w:rsidRPr="00351630" w:rsidDel="005A60B2">
        <w:t>101.</w:t>
      </w:r>
      <w:r w:rsidRPr="00351630">
        <w:t>6 billion in 2023-24 to $111.7 billion by 2026-27, largely due to growth in the value of the outstanding claims liabilities reported by the State</w:t>
      </w:r>
      <w:r>
        <w:t>’</w:t>
      </w:r>
      <w:r w:rsidRPr="00351630">
        <w:t>s insurance agencies.</w:t>
      </w:r>
    </w:p>
    <w:p w14:paraId="3DF31CC1" w14:textId="77777777" w:rsidR="00346FC5" w:rsidRPr="00351630" w:rsidRDefault="00346FC5" w:rsidP="00346FC5">
      <w:pPr>
        <w:ind w:right="-227"/>
      </w:pPr>
      <w:r w:rsidRPr="00351630">
        <w:t>The superannuation liability is also projected to increase slightly, from $21.9 billion in 2023</w:t>
      </w:r>
      <w:r w:rsidRPr="00351630">
        <w:noBreakHyphen/>
        <w:t>24 to $22.4 billion in 2026-27. This is mainly due to the value of benefits that are expected to accrue over this period, as reflected in the superannuation expense from transactions, exceeding the sum of expected investment income and employer contributions. The value of benefits accruing over the budget and forward estimates period primarily relate to the current service cost for members of the Emergency Services Defined Benefit Scheme, which remains open to new operational emergency services personnel, and interest expense on the liabilities of the former State Superannuation Fund. This exceeds employer contributions due to the deferral of $3 billion of top-up payments from the State over this period consistent with the Government</w:t>
      </w:r>
      <w:r>
        <w:t>’</w:t>
      </w:r>
      <w:r w:rsidRPr="00351630">
        <w:t xml:space="preserve">s election commitment </w:t>
      </w:r>
      <w:r>
        <w:t>‘</w:t>
      </w:r>
      <w:r w:rsidRPr="00351630">
        <w:t>Defined benefit liability management</w:t>
      </w:r>
      <w:r>
        <w:t>’</w:t>
      </w:r>
      <w:r w:rsidRPr="00351630">
        <w:t xml:space="preserve">, as published in </w:t>
      </w:r>
      <w:r w:rsidRPr="00351630">
        <w:rPr>
          <w:i/>
          <w:iCs/>
        </w:rPr>
        <w:t>Labor</w:t>
      </w:r>
      <w:r>
        <w:rPr>
          <w:i/>
          <w:iCs/>
        </w:rPr>
        <w:t>’</w:t>
      </w:r>
      <w:r w:rsidRPr="00351630">
        <w:rPr>
          <w:i/>
          <w:iCs/>
        </w:rPr>
        <w:t>s Financial Statement 2022</w:t>
      </w:r>
      <w:r w:rsidRPr="00351630">
        <w:t>. This amount will now be paid beyond the forward estimates period while still maintaining the 2035 full funding objective.</w:t>
      </w:r>
    </w:p>
    <w:p w14:paraId="32A2EAFC" w14:textId="77777777" w:rsidR="00346FC5" w:rsidRPr="00351630" w:rsidRDefault="00346FC5" w:rsidP="00346FC5">
      <w:pPr>
        <w:pStyle w:val="TableHeading"/>
      </w:pPr>
      <w:r w:rsidRPr="00351630">
        <w:t xml:space="preserve">Table 5.10: </w:t>
      </w:r>
      <w:r w:rsidRPr="00351630">
        <w:tab/>
        <w:t xml:space="preserve">Financial position of the State of Victoria </w:t>
      </w:r>
      <w:r w:rsidRPr="00351630">
        <w:rPr>
          <w:vertAlign w:val="superscript"/>
        </w:rPr>
        <w:t>(a)</w:t>
      </w:r>
      <w:r w:rsidRPr="00351630">
        <w:rPr>
          <w:vertAlign w:val="superscript"/>
        </w:rPr>
        <w:tab/>
      </w:r>
      <w:r w:rsidRPr="00351630">
        <w:t>($ billion)</w:t>
      </w:r>
    </w:p>
    <w:tbl>
      <w:tblPr>
        <w:tblStyle w:val="DTFTableNumeric"/>
        <w:tblW w:w="7710" w:type="dxa"/>
        <w:tblLayout w:type="fixed"/>
        <w:tblLook w:val="06A0" w:firstRow="1" w:lastRow="0" w:firstColumn="1" w:lastColumn="0" w:noHBand="1" w:noVBand="1"/>
        <w:tblDescription w:val="Type:DtfTable|Workbook:https://vicgov.sharepoint.com/sites/msteams_12cfc2/BP2/Chapter%205/Link_BP2-Chapter5.xlsx|Table:WoS_BS|MergedHeadingRow:1"/>
      </w:tblPr>
      <w:tblGrid>
        <w:gridCol w:w="2946"/>
        <w:gridCol w:w="794"/>
        <w:gridCol w:w="794"/>
        <w:gridCol w:w="794"/>
        <w:gridCol w:w="794"/>
        <w:gridCol w:w="794"/>
        <w:gridCol w:w="794"/>
      </w:tblGrid>
      <w:tr w:rsidR="00346FC5" w:rsidRPr="00351630" w14:paraId="12BF6AAF" w14:textId="77777777" w:rsidTr="009835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46" w:type="dxa"/>
          </w:tcPr>
          <w:p w14:paraId="2F1D9B57" w14:textId="77777777" w:rsidR="00346FC5" w:rsidRPr="00351630" w:rsidRDefault="00346FC5" w:rsidP="0098354D">
            <w:pPr>
              <w:keepNext/>
            </w:pPr>
          </w:p>
        </w:tc>
        <w:tc>
          <w:tcPr>
            <w:tcW w:w="794" w:type="dxa"/>
          </w:tcPr>
          <w:p w14:paraId="1DDD319F"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2021</w:t>
            </w:r>
            <w:r w:rsidRPr="00351630">
              <w:noBreakHyphen/>
              <w:t>22</w:t>
            </w:r>
            <w:r w:rsidRPr="00351630">
              <w:br/>
              <w:t>actual</w:t>
            </w:r>
          </w:p>
        </w:tc>
        <w:tc>
          <w:tcPr>
            <w:tcW w:w="794" w:type="dxa"/>
          </w:tcPr>
          <w:p w14:paraId="49C57282"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2022</w:t>
            </w:r>
            <w:r w:rsidRPr="00351630">
              <w:noBreakHyphen/>
              <w:t>23</w:t>
            </w:r>
            <w:r w:rsidRPr="00351630">
              <w:br/>
              <w:t>revised</w:t>
            </w:r>
          </w:p>
        </w:tc>
        <w:tc>
          <w:tcPr>
            <w:tcW w:w="794" w:type="dxa"/>
          </w:tcPr>
          <w:p w14:paraId="36C6C596"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2023</w:t>
            </w:r>
            <w:r w:rsidRPr="00351630">
              <w:noBreakHyphen/>
              <w:t>24</w:t>
            </w:r>
            <w:r w:rsidRPr="00351630">
              <w:br/>
              <w:t>budget</w:t>
            </w:r>
          </w:p>
        </w:tc>
        <w:tc>
          <w:tcPr>
            <w:tcW w:w="794" w:type="dxa"/>
          </w:tcPr>
          <w:p w14:paraId="0296D59A"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2024</w:t>
            </w:r>
            <w:r w:rsidRPr="00351630">
              <w:noBreakHyphen/>
              <w:t>25</w:t>
            </w:r>
            <w:r w:rsidRPr="00351630">
              <w:br/>
              <w:t>estimate</w:t>
            </w:r>
          </w:p>
        </w:tc>
        <w:tc>
          <w:tcPr>
            <w:tcW w:w="794" w:type="dxa"/>
          </w:tcPr>
          <w:p w14:paraId="6F8D1AB5"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2025</w:t>
            </w:r>
            <w:r w:rsidRPr="00351630">
              <w:noBreakHyphen/>
              <w:t>26</w:t>
            </w:r>
            <w:r w:rsidRPr="00351630">
              <w:br/>
              <w:t>estimate</w:t>
            </w:r>
          </w:p>
        </w:tc>
        <w:tc>
          <w:tcPr>
            <w:tcW w:w="794" w:type="dxa"/>
          </w:tcPr>
          <w:p w14:paraId="13468094" w14:textId="77777777" w:rsidR="00346FC5" w:rsidRPr="00351630" w:rsidRDefault="00346FC5" w:rsidP="0098354D">
            <w:pPr>
              <w:keepNext/>
              <w:cnfStyle w:val="100000000000" w:firstRow="1" w:lastRow="0" w:firstColumn="0" w:lastColumn="0" w:oddVBand="0" w:evenVBand="0" w:oddHBand="0" w:evenHBand="0" w:firstRowFirstColumn="0" w:firstRowLastColumn="0" w:lastRowFirstColumn="0" w:lastRowLastColumn="0"/>
            </w:pPr>
            <w:r w:rsidRPr="00351630">
              <w:t>2026</w:t>
            </w:r>
            <w:r w:rsidRPr="00351630">
              <w:noBreakHyphen/>
              <w:t>27</w:t>
            </w:r>
            <w:r w:rsidRPr="00351630">
              <w:br/>
              <w:t>estimate</w:t>
            </w:r>
          </w:p>
        </w:tc>
      </w:tr>
      <w:tr w:rsidR="00346FC5" w:rsidRPr="00351630" w14:paraId="00BA56F3"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546C88E6" w14:textId="77777777" w:rsidR="00346FC5" w:rsidRPr="00351630" w:rsidRDefault="00346FC5" w:rsidP="0098354D">
            <w:r w:rsidRPr="00351630">
              <w:rPr>
                <w:b/>
              </w:rPr>
              <w:t>Assets</w:t>
            </w:r>
          </w:p>
        </w:tc>
        <w:tc>
          <w:tcPr>
            <w:tcW w:w="794" w:type="dxa"/>
          </w:tcPr>
          <w:p w14:paraId="62CCCAC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658C0B5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489CA4C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3C6B719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00F27AC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715C65C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rsidRPr="00351630" w14:paraId="2C0671E3"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07A64F78" w14:textId="77777777" w:rsidR="00346FC5" w:rsidRPr="00351630" w:rsidRDefault="00346FC5" w:rsidP="0098354D">
            <w:r w:rsidRPr="00351630">
              <w:t>Total financial assets</w:t>
            </w:r>
            <w:r w:rsidRPr="00351630">
              <w:rPr>
                <w:vertAlign w:val="superscript"/>
              </w:rPr>
              <w:t xml:space="preserve"> (b)</w:t>
            </w:r>
          </w:p>
        </w:tc>
        <w:tc>
          <w:tcPr>
            <w:tcW w:w="794" w:type="dxa"/>
          </w:tcPr>
          <w:p w14:paraId="1243620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84.5</w:t>
            </w:r>
          </w:p>
        </w:tc>
        <w:tc>
          <w:tcPr>
            <w:tcW w:w="794" w:type="dxa"/>
          </w:tcPr>
          <w:p w14:paraId="3E1349D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97.3</w:t>
            </w:r>
          </w:p>
        </w:tc>
        <w:tc>
          <w:tcPr>
            <w:tcW w:w="794" w:type="dxa"/>
          </w:tcPr>
          <w:p w14:paraId="0504A94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104.1</w:t>
            </w:r>
          </w:p>
        </w:tc>
        <w:tc>
          <w:tcPr>
            <w:tcW w:w="794" w:type="dxa"/>
          </w:tcPr>
          <w:p w14:paraId="1EDE63E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111.3</w:t>
            </w:r>
          </w:p>
        </w:tc>
        <w:tc>
          <w:tcPr>
            <w:tcW w:w="794" w:type="dxa"/>
          </w:tcPr>
          <w:p w14:paraId="54AC6D3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118.4</w:t>
            </w:r>
          </w:p>
        </w:tc>
        <w:tc>
          <w:tcPr>
            <w:tcW w:w="794" w:type="dxa"/>
          </w:tcPr>
          <w:p w14:paraId="75E6A2F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125.3</w:t>
            </w:r>
          </w:p>
        </w:tc>
      </w:tr>
      <w:tr w:rsidR="00346FC5" w:rsidRPr="00351630" w14:paraId="127E4431"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0E4BE610" w14:textId="77777777" w:rsidR="00346FC5" w:rsidRPr="00351630" w:rsidRDefault="00346FC5" w:rsidP="0098354D">
            <w:r w:rsidRPr="00351630">
              <w:t>Total non</w:t>
            </w:r>
            <w:r w:rsidRPr="00351630">
              <w:noBreakHyphen/>
              <w:t>financial assets</w:t>
            </w:r>
            <w:r w:rsidRPr="00351630">
              <w:rPr>
                <w:vertAlign w:val="superscript"/>
              </w:rPr>
              <w:t xml:space="preserve"> (c)</w:t>
            </w:r>
          </w:p>
        </w:tc>
        <w:tc>
          <w:tcPr>
            <w:tcW w:w="794" w:type="dxa"/>
            <w:tcBorders>
              <w:bottom w:val="single" w:sz="6" w:space="0" w:color="auto"/>
            </w:tcBorders>
          </w:tcPr>
          <w:p w14:paraId="10C5AA1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380.5</w:t>
            </w:r>
          </w:p>
        </w:tc>
        <w:tc>
          <w:tcPr>
            <w:tcW w:w="794" w:type="dxa"/>
            <w:tcBorders>
              <w:bottom w:val="single" w:sz="6" w:space="0" w:color="auto"/>
            </w:tcBorders>
          </w:tcPr>
          <w:p w14:paraId="0A19EEC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403.3</w:t>
            </w:r>
          </w:p>
        </w:tc>
        <w:tc>
          <w:tcPr>
            <w:tcW w:w="794" w:type="dxa"/>
            <w:tcBorders>
              <w:bottom w:val="single" w:sz="6" w:space="0" w:color="auto"/>
            </w:tcBorders>
          </w:tcPr>
          <w:p w14:paraId="1FE9D5E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422.6</w:t>
            </w:r>
          </w:p>
        </w:tc>
        <w:tc>
          <w:tcPr>
            <w:tcW w:w="794" w:type="dxa"/>
            <w:tcBorders>
              <w:bottom w:val="single" w:sz="6" w:space="0" w:color="auto"/>
            </w:tcBorders>
          </w:tcPr>
          <w:p w14:paraId="68C0E78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453.3</w:t>
            </w:r>
          </w:p>
        </w:tc>
        <w:tc>
          <w:tcPr>
            <w:tcW w:w="794" w:type="dxa"/>
            <w:tcBorders>
              <w:bottom w:val="single" w:sz="6" w:space="0" w:color="auto"/>
            </w:tcBorders>
          </w:tcPr>
          <w:p w14:paraId="4B7FC8C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471.0</w:t>
            </w:r>
          </w:p>
        </w:tc>
        <w:tc>
          <w:tcPr>
            <w:tcW w:w="794" w:type="dxa"/>
            <w:tcBorders>
              <w:bottom w:val="single" w:sz="6" w:space="0" w:color="auto"/>
            </w:tcBorders>
          </w:tcPr>
          <w:p w14:paraId="0045D80E"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492.1</w:t>
            </w:r>
          </w:p>
        </w:tc>
      </w:tr>
      <w:tr w:rsidR="00346FC5" w:rsidRPr="00351630" w14:paraId="58000975"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tcBorders>
          </w:tcPr>
          <w:p w14:paraId="110ABAA3" w14:textId="77777777" w:rsidR="00346FC5" w:rsidRPr="00351630" w:rsidRDefault="00346FC5" w:rsidP="0098354D">
            <w:r w:rsidRPr="00351630">
              <w:rPr>
                <w:b/>
              </w:rPr>
              <w:t>Total assets</w:t>
            </w:r>
          </w:p>
        </w:tc>
        <w:tc>
          <w:tcPr>
            <w:tcW w:w="794" w:type="dxa"/>
            <w:tcBorders>
              <w:top w:val="single" w:sz="6" w:space="0" w:color="auto"/>
            </w:tcBorders>
          </w:tcPr>
          <w:p w14:paraId="63A6AED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464.9</w:t>
            </w:r>
          </w:p>
        </w:tc>
        <w:tc>
          <w:tcPr>
            <w:tcW w:w="794" w:type="dxa"/>
            <w:tcBorders>
              <w:top w:val="single" w:sz="6" w:space="0" w:color="auto"/>
            </w:tcBorders>
          </w:tcPr>
          <w:p w14:paraId="0C8EB09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500.6</w:t>
            </w:r>
          </w:p>
        </w:tc>
        <w:tc>
          <w:tcPr>
            <w:tcW w:w="794" w:type="dxa"/>
            <w:tcBorders>
              <w:top w:val="single" w:sz="6" w:space="0" w:color="auto"/>
            </w:tcBorders>
          </w:tcPr>
          <w:p w14:paraId="5919D3F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526.7</w:t>
            </w:r>
          </w:p>
        </w:tc>
        <w:tc>
          <w:tcPr>
            <w:tcW w:w="794" w:type="dxa"/>
            <w:tcBorders>
              <w:top w:val="single" w:sz="6" w:space="0" w:color="auto"/>
            </w:tcBorders>
          </w:tcPr>
          <w:p w14:paraId="4EE5AAA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564.5</w:t>
            </w:r>
          </w:p>
        </w:tc>
        <w:tc>
          <w:tcPr>
            <w:tcW w:w="794" w:type="dxa"/>
            <w:tcBorders>
              <w:top w:val="single" w:sz="6" w:space="0" w:color="auto"/>
            </w:tcBorders>
          </w:tcPr>
          <w:p w14:paraId="5BCFE503"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589.5</w:t>
            </w:r>
          </w:p>
        </w:tc>
        <w:tc>
          <w:tcPr>
            <w:tcW w:w="794" w:type="dxa"/>
            <w:tcBorders>
              <w:top w:val="single" w:sz="6" w:space="0" w:color="auto"/>
            </w:tcBorders>
          </w:tcPr>
          <w:p w14:paraId="51918DF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617.4</w:t>
            </w:r>
          </w:p>
        </w:tc>
      </w:tr>
      <w:tr w:rsidR="00346FC5" w:rsidRPr="00351630" w14:paraId="38650FA0"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1477A759" w14:textId="77777777" w:rsidR="00346FC5" w:rsidRPr="00351630" w:rsidRDefault="00346FC5" w:rsidP="0098354D">
            <w:r w:rsidRPr="00351630">
              <w:rPr>
                <w:b/>
              </w:rPr>
              <w:t>Liabilities</w:t>
            </w:r>
          </w:p>
        </w:tc>
        <w:tc>
          <w:tcPr>
            <w:tcW w:w="794" w:type="dxa"/>
          </w:tcPr>
          <w:p w14:paraId="4D5BACA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50FAE8F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44C8405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5158558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44D6817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c>
          <w:tcPr>
            <w:tcW w:w="794" w:type="dxa"/>
          </w:tcPr>
          <w:p w14:paraId="7431DFD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p>
        </w:tc>
      </w:tr>
      <w:tr w:rsidR="00346FC5" w:rsidRPr="00351630" w14:paraId="782B9338"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181542C5" w14:textId="77777777" w:rsidR="00346FC5" w:rsidRPr="00351630" w:rsidRDefault="00346FC5" w:rsidP="0098354D">
            <w:r w:rsidRPr="00351630">
              <w:t>Superannuation</w:t>
            </w:r>
          </w:p>
        </w:tc>
        <w:tc>
          <w:tcPr>
            <w:tcW w:w="794" w:type="dxa"/>
          </w:tcPr>
          <w:p w14:paraId="02AF4AA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19.8</w:t>
            </w:r>
          </w:p>
        </w:tc>
        <w:tc>
          <w:tcPr>
            <w:tcW w:w="794" w:type="dxa"/>
          </w:tcPr>
          <w:p w14:paraId="19CF75E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21.8</w:t>
            </w:r>
          </w:p>
        </w:tc>
        <w:tc>
          <w:tcPr>
            <w:tcW w:w="794" w:type="dxa"/>
          </w:tcPr>
          <w:p w14:paraId="46EC0B1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21.9</w:t>
            </w:r>
          </w:p>
        </w:tc>
        <w:tc>
          <w:tcPr>
            <w:tcW w:w="794" w:type="dxa"/>
          </w:tcPr>
          <w:p w14:paraId="687199B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21.9</w:t>
            </w:r>
          </w:p>
        </w:tc>
        <w:tc>
          <w:tcPr>
            <w:tcW w:w="794" w:type="dxa"/>
          </w:tcPr>
          <w:p w14:paraId="6921E13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22.2</w:t>
            </w:r>
          </w:p>
        </w:tc>
        <w:tc>
          <w:tcPr>
            <w:tcW w:w="794" w:type="dxa"/>
          </w:tcPr>
          <w:p w14:paraId="53C99A2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22.4</w:t>
            </w:r>
          </w:p>
        </w:tc>
      </w:tr>
      <w:tr w:rsidR="00346FC5" w:rsidRPr="00351630" w14:paraId="3B710747"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3ABBCF5E" w14:textId="77777777" w:rsidR="00346FC5" w:rsidRPr="00351630" w:rsidRDefault="00346FC5" w:rsidP="0098354D">
            <w:r w:rsidRPr="00351630">
              <w:t>Borrowings</w:t>
            </w:r>
          </w:p>
        </w:tc>
        <w:tc>
          <w:tcPr>
            <w:tcW w:w="794" w:type="dxa"/>
          </w:tcPr>
          <w:p w14:paraId="520F251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136.5</w:t>
            </w:r>
          </w:p>
        </w:tc>
        <w:tc>
          <w:tcPr>
            <w:tcW w:w="794" w:type="dxa"/>
          </w:tcPr>
          <w:p w14:paraId="2A0E91F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171.0</w:t>
            </w:r>
          </w:p>
        </w:tc>
        <w:tc>
          <w:tcPr>
            <w:tcW w:w="794" w:type="dxa"/>
          </w:tcPr>
          <w:p w14:paraId="0C02637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199.9</w:t>
            </w:r>
          </w:p>
        </w:tc>
        <w:tc>
          <w:tcPr>
            <w:tcW w:w="794" w:type="dxa"/>
          </w:tcPr>
          <w:p w14:paraId="52AE5838"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222.5</w:t>
            </w:r>
          </w:p>
        </w:tc>
        <w:tc>
          <w:tcPr>
            <w:tcW w:w="794" w:type="dxa"/>
          </w:tcPr>
          <w:p w14:paraId="057B389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239.4</w:t>
            </w:r>
          </w:p>
        </w:tc>
        <w:tc>
          <w:tcPr>
            <w:tcW w:w="794" w:type="dxa"/>
          </w:tcPr>
          <w:p w14:paraId="6336769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254.4</w:t>
            </w:r>
          </w:p>
        </w:tc>
      </w:tr>
      <w:tr w:rsidR="00346FC5" w:rsidRPr="00351630" w14:paraId="0454844C" w14:textId="77777777" w:rsidTr="0098354D">
        <w:tc>
          <w:tcPr>
            <w:cnfStyle w:val="001000000000" w:firstRow="0" w:lastRow="0" w:firstColumn="1" w:lastColumn="0" w:oddVBand="0" w:evenVBand="0" w:oddHBand="0" w:evenHBand="0" w:firstRowFirstColumn="0" w:firstRowLastColumn="0" w:lastRowFirstColumn="0" w:lastRowLastColumn="0"/>
            <w:tcW w:w="2946" w:type="dxa"/>
          </w:tcPr>
          <w:p w14:paraId="7A310901" w14:textId="77777777" w:rsidR="00346FC5" w:rsidRPr="00351630" w:rsidRDefault="00346FC5" w:rsidP="0098354D">
            <w:r w:rsidRPr="00351630">
              <w:t>Deposits held and advances received</w:t>
            </w:r>
          </w:p>
        </w:tc>
        <w:tc>
          <w:tcPr>
            <w:tcW w:w="794" w:type="dxa"/>
          </w:tcPr>
          <w:p w14:paraId="46335FE0"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1.7</w:t>
            </w:r>
          </w:p>
        </w:tc>
        <w:tc>
          <w:tcPr>
            <w:tcW w:w="794" w:type="dxa"/>
          </w:tcPr>
          <w:p w14:paraId="3BF1FF9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1.7</w:t>
            </w:r>
          </w:p>
        </w:tc>
        <w:tc>
          <w:tcPr>
            <w:tcW w:w="794" w:type="dxa"/>
          </w:tcPr>
          <w:p w14:paraId="4DE767A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1.7</w:t>
            </w:r>
          </w:p>
        </w:tc>
        <w:tc>
          <w:tcPr>
            <w:tcW w:w="794" w:type="dxa"/>
          </w:tcPr>
          <w:p w14:paraId="418027B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1.7</w:t>
            </w:r>
          </w:p>
        </w:tc>
        <w:tc>
          <w:tcPr>
            <w:tcW w:w="794" w:type="dxa"/>
          </w:tcPr>
          <w:p w14:paraId="6C7F89B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1.6</w:t>
            </w:r>
          </w:p>
        </w:tc>
        <w:tc>
          <w:tcPr>
            <w:tcW w:w="794" w:type="dxa"/>
          </w:tcPr>
          <w:p w14:paraId="73D3183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1.6</w:t>
            </w:r>
          </w:p>
        </w:tc>
      </w:tr>
      <w:tr w:rsidR="00346FC5" w:rsidRPr="00351630" w14:paraId="42038048"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bottom w:val="single" w:sz="6" w:space="0" w:color="auto"/>
            </w:tcBorders>
          </w:tcPr>
          <w:p w14:paraId="3963FF66" w14:textId="77777777" w:rsidR="00346FC5" w:rsidRPr="00351630" w:rsidRDefault="00346FC5" w:rsidP="0098354D">
            <w:r w:rsidRPr="00351630">
              <w:t xml:space="preserve">Other liabilities </w:t>
            </w:r>
            <w:r w:rsidRPr="00351630">
              <w:rPr>
                <w:vertAlign w:val="superscript"/>
              </w:rPr>
              <w:t>(d)</w:t>
            </w:r>
          </w:p>
        </w:tc>
        <w:tc>
          <w:tcPr>
            <w:tcW w:w="794" w:type="dxa"/>
            <w:tcBorders>
              <w:bottom w:val="single" w:sz="6" w:space="0" w:color="auto"/>
            </w:tcBorders>
          </w:tcPr>
          <w:p w14:paraId="4C49B0D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87.2</w:t>
            </w:r>
          </w:p>
        </w:tc>
        <w:tc>
          <w:tcPr>
            <w:tcW w:w="794" w:type="dxa"/>
            <w:tcBorders>
              <w:bottom w:val="single" w:sz="6" w:space="0" w:color="auto"/>
            </w:tcBorders>
          </w:tcPr>
          <w:p w14:paraId="4211F834"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98.3</w:t>
            </w:r>
          </w:p>
        </w:tc>
        <w:tc>
          <w:tcPr>
            <w:tcW w:w="794" w:type="dxa"/>
            <w:tcBorders>
              <w:bottom w:val="single" w:sz="6" w:space="0" w:color="auto"/>
            </w:tcBorders>
          </w:tcPr>
          <w:p w14:paraId="466BC366"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101.6</w:t>
            </w:r>
          </w:p>
        </w:tc>
        <w:tc>
          <w:tcPr>
            <w:tcW w:w="794" w:type="dxa"/>
            <w:tcBorders>
              <w:bottom w:val="single" w:sz="6" w:space="0" w:color="auto"/>
            </w:tcBorders>
          </w:tcPr>
          <w:p w14:paraId="2F33F819"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104.7</w:t>
            </w:r>
          </w:p>
        </w:tc>
        <w:tc>
          <w:tcPr>
            <w:tcW w:w="794" w:type="dxa"/>
            <w:tcBorders>
              <w:bottom w:val="single" w:sz="6" w:space="0" w:color="auto"/>
            </w:tcBorders>
          </w:tcPr>
          <w:p w14:paraId="77C19AF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108.2</w:t>
            </w:r>
          </w:p>
        </w:tc>
        <w:tc>
          <w:tcPr>
            <w:tcW w:w="794" w:type="dxa"/>
            <w:tcBorders>
              <w:bottom w:val="single" w:sz="6" w:space="0" w:color="auto"/>
            </w:tcBorders>
          </w:tcPr>
          <w:p w14:paraId="5962E54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t>111.7</w:t>
            </w:r>
          </w:p>
        </w:tc>
      </w:tr>
      <w:tr w:rsidR="00346FC5" w:rsidRPr="00351630" w14:paraId="50BCE6A2"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6" w:space="0" w:color="auto"/>
            </w:tcBorders>
          </w:tcPr>
          <w:p w14:paraId="1B5D24AC" w14:textId="77777777" w:rsidR="00346FC5" w:rsidRPr="00351630" w:rsidRDefault="00346FC5" w:rsidP="0098354D">
            <w:r w:rsidRPr="00351630">
              <w:rPr>
                <w:b/>
              </w:rPr>
              <w:t>Total liabilities</w:t>
            </w:r>
          </w:p>
        </w:tc>
        <w:tc>
          <w:tcPr>
            <w:tcW w:w="794" w:type="dxa"/>
            <w:tcBorders>
              <w:top w:val="single" w:sz="6" w:space="0" w:color="auto"/>
              <w:bottom w:val="single" w:sz="6" w:space="0" w:color="auto"/>
            </w:tcBorders>
          </w:tcPr>
          <w:p w14:paraId="5F549E2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245.2</w:t>
            </w:r>
          </w:p>
        </w:tc>
        <w:tc>
          <w:tcPr>
            <w:tcW w:w="794" w:type="dxa"/>
            <w:tcBorders>
              <w:top w:val="single" w:sz="6" w:space="0" w:color="auto"/>
              <w:bottom w:val="single" w:sz="6" w:space="0" w:color="auto"/>
            </w:tcBorders>
          </w:tcPr>
          <w:p w14:paraId="4C43CC1B"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292.8</w:t>
            </w:r>
          </w:p>
        </w:tc>
        <w:tc>
          <w:tcPr>
            <w:tcW w:w="794" w:type="dxa"/>
            <w:tcBorders>
              <w:top w:val="single" w:sz="6" w:space="0" w:color="auto"/>
              <w:bottom w:val="single" w:sz="6" w:space="0" w:color="auto"/>
            </w:tcBorders>
          </w:tcPr>
          <w:p w14:paraId="5FF9F96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325.1</w:t>
            </w:r>
          </w:p>
        </w:tc>
        <w:tc>
          <w:tcPr>
            <w:tcW w:w="794" w:type="dxa"/>
            <w:tcBorders>
              <w:top w:val="single" w:sz="6" w:space="0" w:color="auto"/>
              <w:bottom w:val="single" w:sz="6" w:space="0" w:color="auto"/>
            </w:tcBorders>
          </w:tcPr>
          <w:p w14:paraId="13E1DD35"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350.8</w:t>
            </w:r>
          </w:p>
        </w:tc>
        <w:tc>
          <w:tcPr>
            <w:tcW w:w="794" w:type="dxa"/>
            <w:tcBorders>
              <w:top w:val="single" w:sz="6" w:space="0" w:color="auto"/>
              <w:bottom w:val="single" w:sz="6" w:space="0" w:color="auto"/>
            </w:tcBorders>
          </w:tcPr>
          <w:p w14:paraId="5AEFE63C"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371.4</w:t>
            </w:r>
          </w:p>
        </w:tc>
        <w:tc>
          <w:tcPr>
            <w:tcW w:w="794" w:type="dxa"/>
            <w:tcBorders>
              <w:top w:val="single" w:sz="6" w:space="0" w:color="auto"/>
              <w:bottom w:val="single" w:sz="6" w:space="0" w:color="auto"/>
            </w:tcBorders>
          </w:tcPr>
          <w:p w14:paraId="40607D8A"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390.1</w:t>
            </w:r>
          </w:p>
        </w:tc>
      </w:tr>
      <w:tr w:rsidR="00346FC5" w:rsidRPr="00351630" w14:paraId="174176FB" w14:textId="77777777" w:rsidTr="0098354D">
        <w:tc>
          <w:tcPr>
            <w:cnfStyle w:val="001000000000" w:firstRow="0" w:lastRow="0" w:firstColumn="1" w:lastColumn="0" w:oddVBand="0" w:evenVBand="0" w:oddHBand="0" w:evenHBand="0" w:firstRowFirstColumn="0" w:firstRowLastColumn="0" w:lastRowFirstColumn="0" w:lastRowLastColumn="0"/>
            <w:tcW w:w="2946" w:type="dxa"/>
            <w:tcBorders>
              <w:top w:val="single" w:sz="6" w:space="0" w:color="auto"/>
              <w:bottom w:val="single" w:sz="12" w:space="0" w:color="auto"/>
            </w:tcBorders>
          </w:tcPr>
          <w:p w14:paraId="79E8A3F9" w14:textId="77777777" w:rsidR="00346FC5" w:rsidRPr="00351630" w:rsidRDefault="00346FC5" w:rsidP="0098354D">
            <w:r w:rsidRPr="00351630">
              <w:rPr>
                <w:b/>
              </w:rPr>
              <w:t>Net assets</w:t>
            </w:r>
          </w:p>
        </w:tc>
        <w:tc>
          <w:tcPr>
            <w:tcW w:w="794" w:type="dxa"/>
            <w:tcBorders>
              <w:top w:val="single" w:sz="6" w:space="0" w:color="auto"/>
              <w:bottom w:val="single" w:sz="12" w:space="0" w:color="auto"/>
            </w:tcBorders>
          </w:tcPr>
          <w:p w14:paraId="6CE78077"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219.8</w:t>
            </w:r>
          </w:p>
        </w:tc>
        <w:tc>
          <w:tcPr>
            <w:tcW w:w="794" w:type="dxa"/>
            <w:tcBorders>
              <w:top w:val="single" w:sz="6" w:space="0" w:color="auto"/>
              <w:bottom w:val="single" w:sz="12" w:space="0" w:color="auto"/>
            </w:tcBorders>
          </w:tcPr>
          <w:p w14:paraId="08383C8F"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207.8</w:t>
            </w:r>
          </w:p>
        </w:tc>
        <w:tc>
          <w:tcPr>
            <w:tcW w:w="794" w:type="dxa"/>
            <w:tcBorders>
              <w:top w:val="single" w:sz="6" w:space="0" w:color="auto"/>
              <w:bottom w:val="single" w:sz="12" w:space="0" w:color="auto"/>
            </w:tcBorders>
          </w:tcPr>
          <w:p w14:paraId="70780001"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201.6</w:t>
            </w:r>
          </w:p>
        </w:tc>
        <w:tc>
          <w:tcPr>
            <w:tcW w:w="794" w:type="dxa"/>
            <w:tcBorders>
              <w:top w:val="single" w:sz="6" w:space="0" w:color="auto"/>
              <w:bottom w:val="single" w:sz="12" w:space="0" w:color="auto"/>
            </w:tcBorders>
          </w:tcPr>
          <w:p w14:paraId="46A5203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213.7</w:t>
            </w:r>
          </w:p>
        </w:tc>
        <w:tc>
          <w:tcPr>
            <w:tcW w:w="794" w:type="dxa"/>
            <w:tcBorders>
              <w:top w:val="single" w:sz="6" w:space="0" w:color="auto"/>
              <w:bottom w:val="single" w:sz="12" w:space="0" w:color="auto"/>
            </w:tcBorders>
          </w:tcPr>
          <w:p w14:paraId="47D1057D"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218.0</w:t>
            </w:r>
          </w:p>
        </w:tc>
        <w:tc>
          <w:tcPr>
            <w:tcW w:w="794" w:type="dxa"/>
            <w:tcBorders>
              <w:top w:val="single" w:sz="6" w:space="0" w:color="auto"/>
              <w:bottom w:val="single" w:sz="12" w:space="0" w:color="auto"/>
            </w:tcBorders>
          </w:tcPr>
          <w:p w14:paraId="38CC78C2" w14:textId="77777777" w:rsidR="00346FC5" w:rsidRPr="00351630" w:rsidRDefault="00346FC5" w:rsidP="0098354D">
            <w:pPr>
              <w:cnfStyle w:val="000000000000" w:firstRow="0" w:lastRow="0" w:firstColumn="0" w:lastColumn="0" w:oddVBand="0" w:evenVBand="0" w:oddHBand="0" w:evenHBand="0" w:firstRowFirstColumn="0" w:firstRowLastColumn="0" w:lastRowFirstColumn="0" w:lastRowLastColumn="0"/>
            </w:pPr>
            <w:r w:rsidRPr="00351630">
              <w:rPr>
                <w:b/>
              </w:rPr>
              <w:t>227.3</w:t>
            </w:r>
          </w:p>
        </w:tc>
      </w:tr>
    </w:tbl>
    <w:p w14:paraId="457E401E" w14:textId="77777777" w:rsidR="00346FC5" w:rsidRPr="00351630" w:rsidRDefault="00346FC5" w:rsidP="00346FC5">
      <w:pPr>
        <w:pStyle w:val="Note"/>
      </w:pPr>
      <w:r w:rsidRPr="00351630">
        <w:t>Notes:</w:t>
      </w:r>
    </w:p>
    <w:p w14:paraId="176E9CF0" w14:textId="77777777" w:rsidR="00346FC5" w:rsidRPr="00351630" w:rsidRDefault="00346FC5" w:rsidP="00346FC5">
      <w:pPr>
        <w:pStyle w:val="Note"/>
      </w:pPr>
      <w:r w:rsidRPr="00351630">
        <w:t>(a)</w:t>
      </w:r>
      <w:r w:rsidRPr="00351630">
        <w:tab/>
        <w:t>Figures in this table are subject to rounding to the nearest million and may not add up to totals.</w:t>
      </w:r>
    </w:p>
    <w:p w14:paraId="09875518" w14:textId="77777777" w:rsidR="00346FC5" w:rsidRPr="00351630" w:rsidRDefault="00346FC5" w:rsidP="00346FC5">
      <w:pPr>
        <w:pStyle w:val="Note"/>
      </w:pPr>
      <w:r w:rsidRPr="00351630">
        <w:t>(b)</w:t>
      </w:r>
      <w:r w:rsidRPr="00351630">
        <w:tab/>
        <w:t>Financial assets include cash and deposits, advances paid, investments, loans and placements, receivables, and investments accounted for using the equity method.</w:t>
      </w:r>
    </w:p>
    <w:p w14:paraId="27D82C26" w14:textId="77777777" w:rsidR="00346FC5" w:rsidRPr="00351630" w:rsidRDefault="00346FC5" w:rsidP="00346FC5">
      <w:pPr>
        <w:pStyle w:val="Note"/>
      </w:pPr>
      <w:r w:rsidRPr="00351630">
        <w:t>(c)</w:t>
      </w:r>
      <w:r w:rsidRPr="00351630">
        <w:tab/>
        <w:t>Non</w:t>
      </w:r>
      <w:r w:rsidRPr="00351630">
        <w:noBreakHyphen/>
        <w:t>financial assets include inventories, non</w:t>
      </w:r>
      <w:r w:rsidRPr="00351630">
        <w:noBreakHyphen/>
        <w:t>financial assets held for sale, land, buildings, infrastructure, plant and equipment, and other non</w:t>
      </w:r>
      <w:r w:rsidRPr="00351630">
        <w:noBreakHyphen/>
        <w:t>financial assets.</w:t>
      </w:r>
    </w:p>
    <w:p w14:paraId="2B226AA6" w14:textId="77777777" w:rsidR="00346FC5" w:rsidRDefault="00346FC5" w:rsidP="00346FC5">
      <w:pPr>
        <w:pStyle w:val="Note"/>
      </w:pPr>
      <w:r w:rsidRPr="00351630">
        <w:t>(d)</w:t>
      </w:r>
      <w:r w:rsidRPr="00351630">
        <w:tab/>
        <w:t>Other liabilities consist of payables, employee benefits, contract liabilities and other provisions.</w:t>
      </w:r>
      <w:r>
        <w:t xml:space="preserve"> </w:t>
      </w:r>
    </w:p>
    <w:p w14:paraId="749DA2C3" w14:textId="77777777" w:rsidR="00346FC5" w:rsidRDefault="00346FC5" w:rsidP="00346FC5">
      <w:pPr>
        <w:sectPr w:rsidR="00346FC5" w:rsidSect="00346FC5">
          <w:footerReference w:type="even" r:id="rId50"/>
          <w:footerReference w:type="default" r:id="rId51"/>
          <w:type w:val="oddPage"/>
          <w:pgSz w:w="9979" w:h="14175" w:code="34"/>
          <w:pgMar w:top="1134" w:right="1134" w:bottom="1134" w:left="1134" w:header="624" w:footer="567" w:gutter="0"/>
          <w:cols w:space="708"/>
          <w:docGrid w:linePitch="360"/>
        </w:sectPr>
      </w:pPr>
    </w:p>
    <w:p w14:paraId="2C9F3377" w14:textId="6FC56135" w:rsidR="00346FC5" w:rsidRPr="0084168F" w:rsidRDefault="007B1F83" w:rsidP="00346FC5">
      <w:pPr>
        <w:pStyle w:val="ChapterHeading"/>
      </w:pPr>
      <w:bookmarkStart w:id="80" w:name="_Toc9436040"/>
      <w:bookmarkStart w:id="81" w:name="_Toc135331261"/>
      <w:r w:rsidRPr="007B1F83">
        <w:t>Appendix</w:t>
      </w:r>
      <w:r>
        <w:rPr>
          <w:caps w:val="0"/>
        </w:rPr>
        <w:t xml:space="preserve"> </w:t>
      </w:r>
      <w:r w:rsidR="00346FC5">
        <w:t>A</w:t>
      </w:r>
      <w:r w:rsidR="00346FC5" w:rsidRPr="0084168F">
        <w:t xml:space="preserve"> – Sensitivity analysis</w:t>
      </w:r>
      <w:bookmarkEnd w:id="80"/>
      <w:bookmarkEnd w:id="81"/>
    </w:p>
    <w:p w14:paraId="72862F2C" w14:textId="5DC6C735" w:rsidR="00346FC5" w:rsidRPr="0084168F" w:rsidRDefault="00346FC5" w:rsidP="00346FC5">
      <w:r w:rsidRPr="0084168F">
        <w:t xml:space="preserve">The </w:t>
      </w:r>
      <w:r w:rsidRPr="00F9018B">
        <w:rPr>
          <w:i/>
          <w:iCs/>
        </w:rPr>
        <w:t>2023</w:t>
      </w:r>
      <w:r w:rsidRPr="00F9018B">
        <w:rPr>
          <w:i/>
          <w:iCs/>
        </w:rPr>
        <w:noBreakHyphen/>
        <w:t>24 Budget</w:t>
      </w:r>
      <w:r w:rsidRPr="0084168F">
        <w:t xml:space="preserve"> relies on forecasts and judgements about the economic, operating and</w:t>
      </w:r>
      <w:r w:rsidR="008139D0">
        <w:t> </w:t>
      </w:r>
      <w:r w:rsidRPr="0084168F">
        <w:t>financial conditions for the Victorian general government sector. Uncertainty in these conditions, for example as a result of international developments and other risks to the national economy, may cause the actual results to differ from budget projections</w:t>
      </w:r>
      <w:r>
        <w:t xml:space="preserve">. </w:t>
      </w:r>
    </w:p>
    <w:p w14:paraId="20CCAE1C" w14:textId="77777777" w:rsidR="00346FC5" w:rsidRPr="0084168F" w:rsidRDefault="00346FC5" w:rsidP="008139D0">
      <w:pPr>
        <w:ind w:right="-119"/>
      </w:pPr>
      <w:r w:rsidRPr="0084168F">
        <w:t xml:space="preserve">This sensitivity analysis explores the impacts of variations in the macroeconomic outlook on key fiscal aggregates of the general government sector using two alternative approaches. </w:t>
      </w:r>
    </w:p>
    <w:p w14:paraId="67403D37" w14:textId="77777777" w:rsidR="00346FC5" w:rsidRPr="0084168F" w:rsidRDefault="00346FC5" w:rsidP="00346FC5">
      <w:r w:rsidRPr="0084168F">
        <w:t>The first approach quantifies the fiscal impacts of a scenario involving simultaneous variations in economic parameters that represent key risks to the economic outlook described in Chapter 2 </w:t>
      </w:r>
      <w:r w:rsidRPr="00F9018B">
        <w:rPr>
          <w:i/>
          <w:iCs/>
        </w:rPr>
        <w:t>Economic context</w:t>
      </w:r>
      <w:r w:rsidRPr="0084168F">
        <w:t>. This scenario was selected to cover a plausible shock that could affect Victoria over the budget period, and the modelling takes account of linkages between key international, Australian and Victorian economic aggregates.</w:t>
      </w:r>
    </w:p>
    <w:p w14:paraId="2679470A" w14:textId="77777777" w:rsidR="00346FC5" w:rsidRPr="0084168F" w:rsidRDefault="00346FC5" w:rsidP="00346FC5">
      <w:r w:rsidRPr="0084168F">
        <w:t xml:space="preserve">The modelled outcomes are intended to be used as a guide and care should be exercised in interpreting the results. In particular, economic shocks tend to be idiosyncratic in nature, with the modelled scenario unlikely to completely reflect any future shock that could occur. Departures from this scenario would likely result in different impacts on the budget. Furthermore, the modelled results of the shocks do not incorporate any policy responses to the shocks and their subsequent effects on the economic or fiscal outlook. </w:t>
      </w:r>
    </w:p>
    <w:p w14:paraId="15A71F3B" w14:textId="695E9EDD" w:rsidR="00346FC5" w:rsidRPr="0084168F" w:rsidRDefault="00346FC5" w:rsidP="00346FC5">
      <w:r w:rsidRPr="0084168F">
        <w:t>The second approach considers the fiscal impacts of independent variations in major macroeconomic parameters, holding constant all parameters other than the indicator of interest. This analysis may be useful for assessing the impact on fiscal aggregates of a forecast error in a single economic parameter. In practice, economic variations rarely occur in isolation, and scenario analysis is likely to be more appropriate to illustrate the fiscal impacts of an economic environment materially different from that presented in the</w:t>
      </w:r>
      <w:r w:rsidR="008139D0">
        <w:t> </w:t>
      </w:r>
      <w:r w:rsidRPr="0084168F">
        <w:t>budget papers.</w:t>
      </w:r>
    </w:p>
    <w:p w14:paraId="4765D0AE" w14:textId="77777777" w:rsidR="00346FC5" w:rsidRPr="0084168F" w:rsidRDefault="00346FC5" w:rsidP="00346FC5">
      <w:pPr>
        <w:pStyle w:val="Heading10"/>
        <w:pageBreakBefore/>
      </w:pPr>
      <w:bookmarkStart w:id="82" w:name="_Toc9436041"/>
      <w:bookmarkStart w:id="83" w:name="_Toc135331262"/>
      <w:r w:rsidRPr="0084168F">
        <w:t>Fiscal impacts of variations to the economic outlook</w:t>
      </w:r>
      <w:bookmarkEnd w:id="82"/>
      <w:bookmarkEnd w:id="83"/>
    </w:p>
    <w:p w14:paraId="28039088" w14:textId="4A44AC97" w:rsidR="00346FC5" w:rsidRPr="0084168F" w:rsidRDefault="00346FC5" w:rsidP="00346FC5">
      <w:r w:rsidRPr="0084168F">
        <w:t xml:space="preserve">This scenario component of the sensitivity analysis quantifies a key risk identified in </w:t>
      </w:r>
      <w:bookmarkStart w:id="84" w:name="_Hlk132613631"/>
      <w:r w:rsidRPr="0084168F">
        <w:t>Chapter 2 </w:t>
      </w:r>
      <w:r w:rsidRPr="00F9018B">
        <w:rPr>
          <w:i/>
          <w:iCs/>
        </w:rPr>
        <w:t>Economic context</w:t>
      </w:r>
      <w:r w:rsidRPr="0084168F">
        <w:t xml:space="preserve"> </w:t>
      </w:r>
      <w:bookmarkEnd w:id="84"/>
      <w:r w:rsidRPr="0084168F">
        <w:t>and presents how this risk might affect the state’s economic and</w:t>
      </w:r>
      <w:r w:rsidR="008139D0">
        <w:t> </w:t>
      </w:r>
      <w:r w:rsidRPr="0084168F">
        <w:t xml:space="preserve">fiscal aggregates. </w:t>
      </w:r>
    </w:p>
    <w:p w14:paraId="2BCC8BC5" w14:textId="77777777" w:rsidR="00346FC5" w:rsidRPr="0084168F" w:rsidRDefault="00346FC5" w:rsidP="00346FC5">
      <w:bookmarkStart w:id="85" w:name="_Hlk100137503"/>
      <w:r w:rsidRPr="0084168F">
        <w:t xml:space="preserve">The scenario considers a downturn in Victorian and Australian </w:t>
      </w:r>
      <w:r>
        <w:t xml:space="preserve">aggregate </w:t>
      </w:r>
      <w:r w:rsidRPr="0084168F">
        <w:t xml:space="preserve">demand, partly due to uncertainty around the trajectory for interest rates and inflation. </w:t>
      </w:r>
      <w:bookmarkEnd w:id="85"/>
      <w:r w:rsidRPr="0084168F">
        <w:t xml:space="preserve">In the scenario, risk aversion and falling wealth are assumed to constrain discretionary consumption among households, leading to </w:t>
      </w:r>
      <w:r>
        <w:t xml:space="preserve">a </w:t>
      </w:r>
      <w:r w:rsidRPr="0084168F">
        <w:t xml:space="preserve">higher savings rate. Downward pressure on consumer confidence and consumption also leads to lower utilisation of capital and lower business investment, relative to the base case outlined in Chapter 2 </w:t>
      </w:r>
      <w:r w:rsidRPr="00F9018B">
        <w:rPr>
          <w:i/>
          <w:iCs/>
        </w:rPr>
        <w:t>Economic context</w:t>
      </w:r>
      <w:r w:rsidRPr="0084168F">
        <w:t xml:space="preserve">. </w:t>
      </w:r>
    </w:p>
    <w:p w14:paraId="611AE0A7" w14:textId="77777777" w:rsidR="00346FC5" w:rsidRPr="0084168F" w:rsidRDefault="00346FC5" w:rsidP="00346FC5">
      <w:r w:rsidRPr="0084168F">
        <w:t xml:space="preserve">The economic impacts of the scenario have been modelled using VURMTAX, a computable general equilibrium model developed by the Centre of Policy Studies at Victoria University. The results of the scenario are analysed as a deviation from the ‘business as usual’ base case, which reflects the central economic forecasts outlined in Chapter 2 </w:t>
      </w:r>
      <w:r w:rsidRPr="00F9018B">
        <w:rPr>
          <w:i/>
          <w:iCs/>
        </w:rPr>
        <w:t>Economic context</w:t>
      </w:r>
      <w:r w:rsidRPr="0084168F">
        <w:t>.</w:t>
      </w:r>
    </w:p>
    <w:p w14:paraId="5F294992" w14:textId="77777777" w:rsidR="00346FC5" w:rsidRPr="0084168F" w:rsidRDefault="00346FC5" w:rsidP="00346FC5">
      <w:r w:rsidRPr="0084168F">
        <w:t>The changes in economic variables resulting from the modelled shocks are then mapped into estimated revenue and expenditure impacts using elasticities that describe the historical relationship between fiscal outcomes and major macroeconomic parameters in Table </w:t>
      </w:r>
      <w:r>
        <w:t>A</w:t>
      </w:r>
      <w:r w:rsidRPr="0084168F">
        <w:t>.1.</w:t>
      </w:r>
      <w:r w:rsidRPr="005462C8">
        <w:rPr>
          <w:vertAlign w:val="superscript"/>
        </w:rPr>
        <w:footnoteReference w:id="1"/>
      </w:r>
    </w:p>
    <w:p w14:paraId="4DF85D40" w14:textId="77777777" w:rsidR="00346FC5" w:rsidRPr="0084168F" w:rsidRDefault="00346FC5" w:rsidP="00346FC5">
      <w:pPr>
        <w:pStyle w:val="Heading20"/>
      </w:pPr>
      <w:r w:rsidRPr="0084168F">
        <w:t xml:space="preserve">Scenario: A domestic economic </w:t>
      </w:r>
      <w:r>
        <w:t>slowdown</w:t>
      </w:r>
    </w:p>
    <w:p w14:paraId="4C1E39B7" w14:textId="77777777" w:rsidR="00346FC5" w:rsidRPr="0084168F" w:rsidRDefault="00346FC5" w:rsidP="00346FC5">
      <w:r w:rsidRPr="0084168F">
        <w:t xml:space="preserve">Consumer spending, both in Victoria and nationally, has remained resilient as the economic effects of </w:t>
      </w:r>
      <w:r>
        <w:t xml:space="preserve">the </w:t>
      </w:r>
      <w:r w:rsidRPr="0084168F">
        <w:t>COVID</w:t>
      </w:r>
      <w:r w:rsidRPr="0084168F">
        <w:noBreakHyphen/>
        <w:t>19</w:t>
      </w:r>
      <w:r>
        <w:t xml:space="preserve"> pandemic</w:t>
      </w:r>
      <w:r w:rsidRPr="0084168F">
        <w:t xml:space="preserve"> have unwound, supported by significant savings accumulated by households and businesses during the pandemic. The outlook for household spending is, however, uncertain. While households, in aggregate, are still adding to their savings, high inflation and rising interest rates have caused a decline in household wealth. As discussed in the risks section of Chapter 2 </w:t>
      </w:r>
      <w:r w:rsidRPr="00F9018B">
        <w:rPr>
          <w:i/>
          <w:iCs/>
        </w:rPr>
        <w:t>Economic context</w:t>
      </w:r>
      <w:r w:rsidRPr="0084168F">
        <w:t xml:space="preserve">, declines in real incomes and asset prices, and an increase in risk aversion as higher interest rates cause economic growth and the labour market to soften, may weigh further on income growth and constrain household confidence. </w:t>
      </w:r>
    </w:p>
    <w:p w14:paraId="3E98F6AD" w14:textId="153877DE" w:rsidR="00346FC5" w:rsidRPr="0084168F" w:rsidRDefault="00346FC5" w:rsidP="00346FC5">
      <w:pPr>
        <w:ind w:right="61"/>
      </w:pPr>
      <w:r w:rsidRPr="0084168F">
        <w:t xml:space="preserve">Were this to transpire, households may increase their precautionary savings by </w:t>
      </w:r>
      <w:r>
        <w:t>further</w:t>
      </w:r>
      <w:r w:rsidRPr="0084168F">
        <w:t xml:space="preserve"> limiting their consumption on discretionary goods and services. This would result in a weaker outlook for consumer spending than in the base case. In this environment, business confidence and investment are also likely to be weaker, reflecting lower consumer demand for goods and services. This scenario explores the implications of lower national household and business confidence and spending, which disrupts both </w:t>
      </w:r>
      <w:r>
        <w:t>the</w:t>
      </w:r>
      <w:r w:rsidR="008139D0">
        <w:t> </w:t>
      </w:r>
      <w:r w:rsidRPr="0084168F">
        <w:t>Victorian and Australian economies.</w:t>
      </w:r>
    </w:p>
    <w:p w14:paraId="0D3C127C" w14:textId="77777777" w:rsidR="00346FC5" w:rsidRPr="0084168F" w:rsidRDefault="00346FC5" w:rsidP="00346FC5">
      <w:r w:rsidRPr="0084168F">
        <w:t xml:space="preserve">Lower consumer confidence leads consumers to increase precautionary savings, which weighs on their spending both in Victoria and nationally. In the scenario, household consumption falls by </w:t>
      </w:r>
      <w:r>
        <w:t>0.64</w:t>
      </w:r>
      <w:r w:rsidRPr="0084168F">
        <w:t> per cent relative to the base case</w:t>
      </w:r>
      <w:r>
        <w:t xml:space="preserve"> in 2023-24</w:t>
      </w:r>
      <w:r w:rsidRPr="0084168F">
        <w:t xml:space="preserve">. A fall in business confidence also leads businesses to delay some investment. In the scenario, lower demand results in a reduction in capital utilisation among firms, which is modelled as a decline in the productivity of the capital stock. This lowers the incentive for businesses to invest. This, along with lower business confidence, results in a </w:t>
      </w:r>
      <w:r>
        <w:t>0.68</w:t>
      </w:r>
      <w:r w:rsidRPr="0084168F">
        <w:t xml:space="preserve"> per cent fall in Victorian investment relative to the base case </w:t>
      </w:r>
      <w:r>
        <w:t>in</w:t>
      </w:r>
      <w:r w:rsidRPr="0084168F">
        <w:t xml:space="preserve"> 2023</w:t>
      </w:r>
      <w:r w:rsidRPr="0084168F">
        <w:noBreakHyphen/>
        <w:t>24.</w:t>
      </w:r>
    </w:p>
    <w:p w14:paraId="549DC509" w14:textId="77777777" w:rsidR="00346FC5" w:rsidRPr="0084168F" w:rsidRDefault="00346FC5" w:rsidP="00346FC5">
      <w:r w:rsidRPr="0084168F">
        <w:t>In the scenario, the trade balance improves, as imports, which are influenced by the fall in domestic household consumption and investment, decline by more than exports, which are</w:t>
      </w:r>
      <w:r>
        <w:t xml:space="preserve"> </w:t>
      </w:r>
      <w:r w:rsidRPr="0084168F">
        <w:t xml:space="preserve">supported by foreign demand. This partly offsets the negative impacts on </w:t>
      </w:r>
      <w:r>
        <w:t>gross state product (</w:t>
      </w:r>
      <w:r w:rsidRPr="0084168F">
        <w:t>GSP</w:t>
      </w:r>
      <w:r>
        <w:t>)</w:t>
      </w:r>
      <w:r w:rsidRPr="0084168F">
        <w:t xml:space="preserve"> of the falls in consumption and investment. </w:t>
      </w:r>
    </w:p>
    <w:p w14:paraId="439CC7A1" w14:textId="77777777" w:rsidR="00346FC5" w:rsidRPr="0084168F" w:rsidRDefault="00346FC5" w:rsidP="00346FC5">
      <w:pPr>
        <w:ind w:right="151"/>
      </w:pPr>
      <w:r w:rsidRPr="0084168F">
        <w:t>The shocks to household consumption and investment collectively reduce Victoria’s GSP by 0.</w:t>
      </w:r>
      <w:r w:rsidRPr="000129AF">
        <w:t>48</w:t>
      </w:r>
      <w:r w:rsidRPr="0084168F">
        <w:t> per cent in 2023</w:t>
      </w:r>
      <w:r>
        <w:t>-</w:t>
      </w:r>
      <w:r w:rsidRPr="0084168F">
        <w:t>24, 0.</w:t>
      </w:r>
      <w:r>
        <w:t>35</w:t>
      </w:r>
      <w:r w:rsidRPr="0084168F">
        <w:t> per cent in 202</w:t>
      </w:r>
      <w:r>
        <w:t>4-</w:t>
      </w:r>
      <w:r w:rsidRPr="0084168F">
        <w:t>2</w:t>
      </w:r>
      <w:r>
        <w:t>5</w:t>
      </w:r>
      <w:r w:rsidRPr="0084168F">
        <w:t>, 0.</w:t>
      </w:r>
      <w:r>
        <w:t>13</w:t>
      </w:r>
      <w:r w:rsidRPr="0084168F">
        <w:t> per cent in 202</w:t>
      </w:r>
      <w:r>
        <w:t>5</w:t>
      </w:r>
      <w:r w:rsidRPr="0084168F">
        <w:t>-2</w:t>
      </w:r>
      <w:r>
        <w:t>6</w:t>
      </w:r>
      <w:r w:rsidRPr="0084168F">
        <w:t xml:space="preserve"> and by 0.</w:t>
      </w:r>
      <w:r>
        <w:t>12</w:t>
      </w:r>
      <w:r w:rsidRPr="0084168F">
        <w:t> per cent in 2026</w:t>
      </w:r>
      <w:r w:rsidRPr="0084168F">
        <w:noBreakHyphen/>
        <w:t>27 compared with the base</w:t>
      </w:r>
      <w:r>
        <w:t xml:space="preserve"> </w:t>
      </w:r>
      <w:r w:rsidRPr="0084168F">
        <w:t>case. The peak economic impact occurs in 2023</w:t>
      </w:r>
      <w:r w:rsidRPr="0084168F">
        <w:noBreakHyphen/>
        <w:t>24, when consumer and business confidence effects are assumed to have a significant role in lowering household consumption and business investment (see Chart </w:t>
      </w:r>
      <w:r>
        <w:t>A</w:t>
      </w:r>
      <w:r w:rsidRPr="0084168F">
        <w:t>.</w:t>
      </w:r>
      <w:r>
        <w:t>1</w:t>
      </w:r>
      <w:r w:rsidRPr="0084168F">
        <w:t xml:space="preserve">). Later in the forecast period, as these confidence effects dissipate, consumption and investment largely recover. </w:t>
      </w:r>
    </w:p>
    <w:p w14:paraId="70A351C3" w14:textId="77777777" w:rsidR="00346FC5" w:rsidRPr="0084168F" w:rsidRDefault="00346FC5" w:rsidP="00346FC5">
      <w:r w:rsidRPr="0084168F">
        <w:t xml:space="preserve">Government consumption is assumed to remain unchanged. In the scenario there is no further discretionary fiscal expenditure assumed to occur in response to the shock. In practice, governments and the </w:t>
      </w:r>
      <w:r>
        <w:t>Reserve Bank of Australia (RBA)</w:t>
      </w:r>
      <w:r w:rsidRPr="0084168F">
        <w:t xml:space="preserve"> may intervene to mitigate the shock’s impacts.</w:t>
      </w:r>
    </w:p>
    <w:p w14:paraId="4484A3B8" w14:textId="77777777" w:rsidR="00346FC5" w:rsidRPr="0084168F" w:rsidRDefault="00346FC5" w:rsidP="00346FC5">
      <w:pPr>
        <w:rPr>
          <w:highlight w:val="yellow"/>
        </w:rPr>
      </w:pPr>
      <w:r w:rsidRPr="0084168F">
        <w:t>Subdued domestic activity lowers the demand for labour, with employment 0.</w:t>
      </w:r>
      <w:r>
        <w:t>39</w:t>
      </w:r>
      <w:r w:rsidRPr="0084168F">
        <w:t> per cent lower than the base case in 2023</w:t>
      </w:r>
      <w:r w:rsidRPr="0084168F">
        <w:noBreakHyphen/>
        <w:t xml:space="preserve">24. The unemployment rate is also </w:t>
      </w:r>
      <w:r>
        <w:t>0.36 percentage points</w:t>
      </w:r>
      <w:r w:rsidRPr="0084168F">
        <w:t xml:space="preserve"> higher than in the base case, owing to the higher level of spare capacity in the labour market. This in turn places downward pressure on wages. </w:t>
      </w:r>
      <w:r w:rsidRPr="00DF17DE">
        <w:t>Weaker domestic activity puts downward pressure on consumer prices in the near term, though this is partly offset by a weaker currency that leads to higher import prices.</w:t>
      </w:r>
    </w:p>
    <w:p w14:paraId="2F89A9AE" w14:textId="77777777" w:rsidR="00346FC5" w:rsidRPr="0084168F" w:rsidRDefault="00346FC5" w:rsidP="00346FC5">
      <w:r w:rsidRPr="0084168F">
        <w:t xml:space="preserve">Table </w:t>
      </w:r>
      <w:r>
        <w:t>A</w:t>
      </w:r>
      <w:r w:rsidRPr="0084168F">
        <w:t xml:space="preserve">.1 summarises the economic effects of this shock. </w:t>
      </w:r>
    </w:p>
    <w:p w14:paraId="4F3F37E6" w14:textId="77777777" w:rsidR="00346FC5" w:rsidRPr="0084168F" w:rsidRDefault="00346FC5" w:rsidP="00346FC5">
      <w:pPr>
        <w:pStyle w:val="TableHeading"/>
      </w:pPr>
      <w:r w:rsidRPr="0084168F">
        <w:t xml:space="preserve">Chart </w:t>
      </w:r>
      <w:r>
        <w:t>A</w:t>
      </w:r>
      <w:r w:rsidRPr="0084168F">
        <w:t xml:space="preserve">.1: </w:t>
      </w:r>
      <w:r w:rsidRPr="0084168F">
        <w:tab/>
        <w:t>Scenario impact on select variables</w:t>
      </w:r>
    </w:p>
    <w:p w14:paraId="47505B87" w14:textId="77777777" w:rsidR="00346FC5" w:rsidRPr="0084168F" w:rsidRDefault="00346FC5" w:rsidP="00346FC5">
      <w:pPr>
        <w:pStyle w:val="Source"/>
      </w:pPr>
      <w:r>
        <w:rPr>
          <w:noProof/>
        </w:rPr>
        <w:drawing>
          <wp:inline distT="0" distB="0" distL="0" distR="0" wp14:anchorId="2FD8AA61" wp14:editId="092D9CEA">
            <wp:extent cx="4896485" cy="2908897"/>
            <wp:effectExtent l="0" t="0" r="0" b="6350"/>
            <wp:docPr id="33" name="Chart 33">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70D4363D" w14:textId="77777777" w:rsidR="00346FC5" w:rsidRDefault="00346FC5" w:rsidP="00346FC5"/>
    <w:p w14:paraId="1831A717" w14:textId="77777777" w:rsidR="00346FC5" w:rsidRPr="0084168F" w:rsidRDefault="00346FC5" w:rsidP="00346FC5">
      <w:pPr>
        <w:pStyle w:val="TableHeading"/>
      </w:pPr>
      <w:r w:rsidRPr="0084168F">
        <w:t xml:space="preserve">Table </w:t>
      </w:r>
      <w:r>
        <w:t>A</w:t>
      </w:r>
      <w:r w:rsidRPr="0084168F">
        <w:t>.1:</w:t>
      </w:r>
      <w:r w:rsidRPr="0084168F">
        <w:tab/>
        <w:t xml:space="preserve">Projected economic impact of a domestic economic </w:t>
      </w:r>
      <w:r>
        <w:t>slowdown</w:t>
      </w:r>
      <w:r w:rsidRPr="0084168F">
        <w:t xml:space="preserve"> </w:t>
      </w:r>
      <w:r w:rsidRPr="0027541F">
        <w:rPr>
          <w:vertAlign w:val="superscript"/>
        </w:rPr>
        <w:t>(a)</w:t>
      </w:r>
      <w:r w:rsidRPr="0084168F">
        <w:tab/>
        <w:t>(per cent)</w:t>
      </w:r>
    </w:p>
    <w:tbl>
      <w:tblPr>
        <w:tblStyle w:val="DTFTable"/>
        <w:tblW w:w="7770" w:type="dxa"/>
        <w:tblLayout w:type="fixed"/>
        <w:tblLook w:val="06E0" w:firstRow="1" w:lastRow="1" w:firstColumn="1" w:lastColumn="0" w:noHBand="1" w:noVBand="1"/>
      </w:tblPr>
      <w:tblGrid>
        <w:gridCol w:w="4370"/>
        <w:gridCol w:w="850"/>
        <w:gridCol w:w="850"/>
        <w:gridCol w:w="850"/>
        <w:gridCol w:w="850"/>
      </w:tblGrid>
      <w:tr w:rsidR="00346FC5" w:rsidRPr="001232A3" w14:paraId="4D9B8838" w14:textId="77777777" w:rsidTr="0098354D">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4370" w:type="dxa"/>
            <w:hideMark/>
          </w:tcPr>
          <w:p w14:paraId="43E3EA9B" w14:textId="77777777" w:rsidR="00346FC5" w:rsidRPr="001232A3" w:rsidRDefault="00346FC5" w:rsidP="0098354D">
            <w:pPr>
              <w:keepLines w:val="0"/>
              <w:autoSpaceDE w:val="0"/>
              <w:autoSpaceDN w:val="0"/>
              <w:adjustRightInd w:val="0"/>
              <w:rPr>
                <w:rFonts w:eastAsiaTheme="minorEastAsia" w:cstheme="majorHAnsi"/>
                <w:i w:val="0"/>
                <w:iCs/>
                <w:szCs w:val="17"/>
                <w:lang w:eastAsia="en-AU"/>
              </w:rPr>
            </w:pPr>
          </w:p>
          <w:p w14:paraId="19AC2091" w14:textId="77777777" w:rsidR="00346FC5" w:rsidRPr="001232A3" w:rsidRDefault="00346FC5" w:rsidP="0098354D">
            <w:pPr>
              <w:autoSpaceDE w:val="0"/>
              <w:autoSpaceDN w:val="0"/>
              <w:adjustRightInd w:val="0"/>
              <w:rPr>
                <w:rFonts w:eastAsiaTheme="minorEastAsia" w:cstheme="majorHAnsi"/>
                <w:iCs/>
                <w:szCs w:val="17"/>
                <w:lang w:eastAsia="en-AU"/>
              </w:rPr>
            </w:pPr>
            <w:r w:rsidRPr="001232A3">
              <w:rPr>
                <w:rFonts w:eastAsiaTheme="minorEastAsia" w:cstheme="majorHAnsi"/>
                <w:iCs/>
                <w:szCs w:val="17"/>
                <w:lang w:eastAsia="en-AU"/>
              </w:rPr>
              <w:t xml:space="preserve"> </w:t>
            </w:r>
          </w:p>
        </w:tc>
        <w:tc>
          <w:tcPr>
            <w:tcW w:w="850" w:type="dxa"/>
            <w:hideMark/>
          </w:tcPr>
          <w:p w14:paraId="7B6A0F7F" w14:textId="77777777" w:rsidR="00346FC5" w:rsidRPr="001232A3" w:rsidRDefault="00346FC5" w:rsidP="0098354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szCs w:val="17"/>
                <w:lang w:eastAsia="en-AU"/>
              </w:rPr>
            </w:pPr>
            <w:r w:rsidRPr="001232A3">
              <w:rPr>
                <w:rFonts w:eastAsiaTheme="minorEastAsia" w:cs="Calibri"/>
                <w:iCs/>
                <w:szCs w:val="17"/>
                <w:lang w:eastAsia="en-AU"/>
              </w:rPr>
              <w:t>2023-24</w:t>
            </w:r>
          </w:p>
          <w:p w14:paraId="2EE17D83" w14:textId="77777777" w:rsidR="00346FC5" w:rsidRPr="001232A3" w:rsidRDefault="00346FC5" w:rsidP="0098354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1232A3">
              <w:rPr>
                <w:rFonts w:eastAsiaTheme="minorEastAsia" w:cstheme="majorHAnsi"/>
                <w:iCs/>
                <w:szCs w:val="17"/>
                <w:lang w:eastAsia="en-AU"/>
              </w:rPr>
              <w:t>estimate</w:t>
            </w:r>
          </w:p>
        </w:tc>
        <w:tc>
          <w:tcPr>
            <w:tcW w:w="850" w:type="dxa"/>
          </w:tcPr>
          <w:p w14:paraId="1B98E688" w14:textId="77777777" w:rsidR="00346FC5" w:rsidRPr="001232A3" w:rsidRDefault="00346FC5" w:rsidP="0098354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szCs w:val="17"/>
                <w:lang w:eastAsia="en-AU"/>
              </w:rPr>
            </w:pPr>
            <w:r w:rsidRPr="001232A3">
              <w:rPr>
                <w:rFonts w:eastAsiaTheme="minorEastAsia" w:cs="Calibri"/>
                <w:iCs/>
                <w:szCs w:val="17"/>
                <w:lang w:eastAsia="en-AU"/>
              </w:rPr>
              <w:t>2024-25</w:t>
            </w:r>
          </w:p>
          <w:p w14:paraId="53D09E03" w14:textId="77777777" w:rsidR="00346FC5" w:rsidRPr="001232A3" w:rsidRDefault="00346FC5" w:rsidP="0098354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1232A3">
              <w:rPr>
                <w:rFonts w:eastAsiaTheme="minorEastAsia" w:cstheme="majorHAnsi"/>
                <w:iCs/>
                <w:szCs w:val="17"/>
                <w:lang w:eastAsia="en-AU"/>
              </w:rPr>
              <w:t>estimate</w:t>
            </w:r>
          </w:p>
        </w:tc>
        <w:tc>
          <w:tcPr>
            <w:tcW w:w="850" w:type="dxa"/>
          </w:tcPr>
          <w:p w14:paraId="054AB22F" w14:textId="77777777" w:rsidR="00346FC5" w:rsidRPr="001232A3" w:rsidRDefault="00346FC5" w:rsidP="0098354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szCs w:val="17"/>
                <w:lang w:eastAsia="en-AU"/>
              </w:rPr>
            </w:pPr>
            <w:r w:rsidRPr="001232A3">
              <w:rPr>
                <w:rFonts w:eastAsiaTheme="minorEastAsia" w:cs="Calibri"/>
                <w:iCs/>
                <w:szCs w:val="17"/>
                <w:lang w:eastAsia="en-AU"/>
              </w:rPr>
              <w:t>2025-26</w:t>
            </w:r>
          </w:p>
          <w:p w14:paraId="1DA2676E" w14:textId="77777777" w:rsidR="00346FC5" w:rsidRPr="001232A3" w:rsidRDefault="00346FC5" w:rsidP="0098354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1232A3">
              <w:rPr>
                <w:rFonts w:eastAsiaTheme="minorEastAsia" w:cstheme="majorHAnsi"/>
                <w:iCs/>
                <w:szCs w:val="17"/>
                <w:lang w:eastAsia="en-AU"/>
              </w:rPr>
              <w:t>estimate</w:t>
            </w:r>
          </w:p>
        </w:tc>
        <w:tc>
          <w:tcPr>
            <w:tcW w:w="850" w:type="dxa"/>
          </w:tcPr>
          <w:p w14:paraId="7A669CD5" w14:textId="77777777" w:rsidR="00346FC5" w:rsidRPr="001232A3" w:rsidRDefault="00346FC5" w:rsidP="0098354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Pr>
                <w:rFonts w:eastAsiaTheme="minorEastAsia" w:cstheme="majorHAnsi"/>
                <w:iCs/>
                <w:szCs w:val="17"/>
                <w:lang w:eastAsia="en-AU"/>
              </w:rPr>
              <w:t>2026-27 estimate</w:t>
            </w:r>
          </w:p>
        </w:tc>
      </w:tr>
      <w:tr w:rsidR="00346FC5" w:rsidRPr="003A715D" w14:paraId="28C58BF3" w14:textId="77777777" w:rsidTr="0098354D">
        <w:tc>
          <w:tcPr>
            <w:cnfStyle w:val="001000000000" w:firstRow="0" w:lastRow="0" w:firstColumn="1" w:lastColumn="0" w:oddVBand="0" w:evenVBand="0" w:oddHBand="0" w:evenHBand="0" w:firstRowFirstColumn="0" w:firstRowLastColumn="0" w:lastRowFirstColumn="0" w:lastRowLastColumn="0"/>
            <w:tcW w:w="4370" w:type="dxa"/>
            <w:hideMark/>
          </w:tcPr>
          <w:p w14:paraId="62C5BB76" w14:textId="77777777" w:rsidR="00346FC5" w:rsidRPr="003A715D" w:rsidRDefault="00346FC5" w:rsidP="0098354D">
            <w:pPr>
              <w:keepLines w:val="0"/>
              <w:autoSpaceDE w:val="0"/>
              <w:autoSpaceDN w:val="0"/>
              <w:adjustRightInd w:val="0"/>
              <w:rPr>
                <w:rFonts w:eastAsiaTheme="minorEastAsia" w:cstheme="majorHAnsi"/>
                <w:szCs w:val="17"/>
                <w:lang w:eastAsia="en-AU"/>
              </w:rPr>
            </w:pPr>
            <w:r w:rsidRPr="003A715D">
              <w:rPr>
                <w:rFonts w:eastAsiaTheme="minorEastAsia" w:cstheme="majorHAnsi"/>
                <w:szCs w:val="17"/>
                <w:lang w:eastAsia="en-AU"/>
              </w:rPr>
              <w:t>Real GSP</w:t>
            </w:r>
          </w:p>
        </w:tc>
        <w:tc>
          <w:tcPr>
            <w:tcW w:w="850" w:type="dxa"/>
          </w:tcPr>
          <w:p w14:paraId="56B58604" w14:textId="77777777" w:rsidR="00346FC5" w:rsidRPr="003A715D" w:rsidRDefault="00346FC5" w:rsidP="0098354D">
            <w:pPr>
              <w:cnfStyle w:val="000000000000" w:firstRow="0" w:lastRow="0" w:firstColumn="0" w:lastColumn="0" w:oddVBand="0" w:evenVBand="0" w:oddHBand="0" w:evenHBand="0" w:firstRowFirstColumn="0" w:firstRowLastColumn="0" w:lastRowFirstColumn="0" w:lastRowLastColumn="0"/>
              <w:rPr>
                <w:szCs w:val="17"/>
              </w:rPr>
            </w:pPr>
            <w:r>
              <w:rPr>
                <w:szCs w:val="17"/>
              </w:rPr>
              <w:t>(0.48)</w:t>
            </w:r>
          </w:p>
        </w:tc>
        <w:tc>
          <w:tcPr>
            <w:tcW w:w="850" w:type="dxa"/>
          </w:tcPr>
          <w:p w14:paraId="0CE333BA" w14:textId="77777777" w:rsidR="00346FC5" w:rsidRPr="003A715D" w:rsidRDefault="00346FC5" w:rsidP="0098354D">
            <w:pPr>
              <w:cnfStyle w:val="000000000000" w:firstRow="0" w:lastRow="0" w:firstColumn="0" w:lastColumn="0" w:oddVBand="0" w:evenVBand="0" w:oddHBand="0" w:evenHBand="0" w:firstRowFirstColumn="0" w:firstRowLastColumn="0" w:lastRowFirstColumn="0" w:lastRowLastColumn="0"/>
              <w:rPr>
                <w:szCs w:val="17"/>
              </w:rPr>
            </w:pPr>
            <w:r>
              <w:rPr>
                <w:szCs w:val="17"/>
              </w:rPr>
              <w:t>(0.35)</w:t>
            </w:r>
          </w:p>
        </w:tc>
        <w:tc>
          <w:tcPr>
            <w:tcW w:w="850" w:type="dxa"/>
          </w:tcPr>
          <w:p w14:paraId="03442C1C" w14:textId="77777777" w:rsidR="00346FC5" w:rsidRPr="003A715D" w:rsidRDefault="00346FC5" w:rsidP="0098354D">
            <w:pPr>
              <w:cnfStyle w:val="000000000000" w:firstRow="0" w:lastRow="0" w:firstColumn="0" w:lastColumn="0" w:oddVBand="0" w:evenVBand="0" w:oddHBand="0" w:evenHBand="0" w:firstRowFirstColumn="0" w:firstRowLastColumn="0" w:lastRowFirstColumn="0" w:lastRowLastColumn="0"/>
              <w:rPr>
                <w:szCs w:val="17"/>
              </w:rPr>
            </w:pPr>
            <w:r>
              <w:rPr>
                <w:szCs w:val="17"/>
              </w:rPr>
              <w:t>(0.13)</w:t>
            </w:r>
          </w:p>
        </w:tc>
        <w:tc>
          <w:tcPr>
            <w:tcW w:w="850" w:type="dxa"/>
          </w:tcPr>
          <w:p w14:paraId="695CD0DD" w14:textId="77777777" w:rsidR="00346FC5" w:rsidRPr="003A715D" w:rsidRDefault="00346FC5" w:rsidP="0098354D">
            <w:pPr>
              <w:cnfStyle w:val="000000000000" w:firstRow="0" w:lastRow="0" w:firstColumn="0" w:lastColumn="0" w:oddVBand="0" w:evenVBand="0" w:oddHBand="0" w:evenHBand="0" w:firstRowFirstColumn="0" w:firstRowLastColumn="0" w:lastRowFirstColumn="0" w:lastRowLastColumn="0"/>
              <w:rPr>
                <w:szCs w:val="17"/>
              </w:rPr>
            </w:pPr>
            <w:r>
              <w:rPr>
                <w:szCs w:val="17"/>
              </w:rPr>
              <w:t>(0.12)</w:t>
            </w:r>
          </w:p>
        </w:tc>
      </w:tr>
      <w:tr w:rsidR="00346FC5" w:rsidRPr="003A715D" w14:paraId="361BD787" w14:textId="77777777" w:rsidTr="0098354D">
        <w:tc>
          <w:tcPr>
            <w:cnfStyle w:val="001000000000" w:firstRow="0" w:lastRow="0" w:firstColumn="1" w:lastColumn="0" w:oddVBand="0" w:evenVBand="0" w:oddHBand="0" w:evenHBand="0" w:firstRowFirstColumn="0" w:firstRowLastColumn="0" w:lastRowFirstColumn="0" w:lastRowLastColumn="0"/>
            <w:tcW w:w="4370" w:type="dxa"/>
            <w:hideMark/>
          </w:tcPr>
          <w:p w14:paraId="3D96B5B4" w14:textId="77777777" w:rsidR="00346FC5" w:rsidRPr="003A715D" w:rsidRDefault="00346FC5" w:rsidP="0098354D">
            <w:pPr>
              <w:keepLines w:val="0"/>
              <w:autoSpaceDE w:val="0"/>
              <w:autoSpaceDN w:val="0"/>
              <w:adjustRightInd w:val="0"/>
              <w:rPr>
                <w:rFonts w:eastAsiaTheme="minorEastAsia" w:cstheme="majorHAnsi"/>
                <w:szCs w:val="17"/>
                <w:lang w:eastAsia="en-AU"/>
              </w:rPr>
            </w:pPr>
            <w:r w:rsidRPr="003A715D">
              <w:rPr>
                <w:rFonts w:eastAsiaTheme="minorEastAsia" w:cstheme="majorHAnsi"/>
                <w:szCs w:val="17"/>
                <w:lang w:eastAsia="en-AU"/>
              </w:rPr>
              <w:t>Employment</w:t>
            </w:r>
          </w:p>
        </w:tc>
        <w:tc>
          <w:tcPr>
            <w:tcW w:w="850" w:type="dxa"/>
          </w:tcPr>
          <w:p w14:paraId="59C59EB8" w14:textId="77777777" w:rsidR="00346FC5" w:rsidRPr="003A715D" w:rsidRDefault="00346FC5" w:rsidP="0098354D">
            <w:pPr>
              <w:cnfStyle w:val="000000000000" w:firstRow="0" w:lastRow="0" w:firstColumn="0" w:lastColumn="0" w:oddVBand="0" w:evenVBand="0" w:oddHBand="0" w:evenHBand="0" w:firstRowFirstColumn="0" w:firstRowLastColumn="0" w:lastRowFirstColumn="0" w:lastRowLastColumn="0"/>
              <w:rPr>
                <w:szCs w:val="17"/>
              </w:rPr>
            </w:pPr>
            <w:r>
              <w:rPr>
                <w:szCs w:val="17"/>
              </w:rPr>
              <w:t>(0.39)</w:t>
            </w:r>
          </w:p>
        </w:tc>
        <w:tc>
          <w:tcPr>
            <w:tcW w:w="850" w:type="dxa"/>
          </w:tcPr>
          <w:p w14:paraId="0D66DB01" w14:textId="77777777" w:rsidR="00346FC5" w:rsidRPr="003A715D" w:rsidRDefault="00346FC5" w:rsidP="0098354D">
            <w:pPr>
              <w:cnfStyle w:val="000000000000" w:firstRow="0" w:lastRow="0" w:firstColumn="0" w:lastColumn="0" w:oddVBand="0" w:evenVBand="0" w:oddHBand="0" w:evenHBand="0" w:firstRowFirstColumn="0" w:firstRowLastColumn="0" w:lastRowFirstColumn="0" w:lastRowLastColumn="0"/>
              <w:rPr>
                <w:szCs w:val="17"/>
              </w:rPr>
            </w:pPr>
            <w:r>
              <w:rPr>
                <w:szCs w:val="17"/>
              </w:rPr>
              <w:t>(0.23)</w:t>
            </w:r>
          </w:p>
        </w:tc>
        <w:tc>
          <w:tcPr>
            <w:tcW w:w="850" w:type="dxa"/>
          </w:tcPr>
          <w:p w14:paraId="3DEC66E4" w14:textId="77777777" w:rsidR="00346FC5" w:rsidRPr="003A715D" w:rsidRDefault="00346FC5" w:rsidP="0098354D">
            <w:pPr>
              <w:cnfStyle w:val="000000000000" w:firstRow="0" w:lastRow="0" w:firstColumn="0" w:lastColumn="0" w:oddVBand="0" w:evenVBand="0" w:oddHBand="0" w:evenHBand="0" w:firstRowFirstColumn="0" w:firstRowLastColumn="0" w:lastRowFirstColumn="0" w:lastRowLastColumn="0"/>
              <w:rPr>
                <w:szCs w:val="17"/>
              </w:rPr>
            </w:pPr>
            <w:r>
              <w:rPr>
                <w:szCs w:val="17"/>
              </w:rPr>
              <w:t>(0.03)</w:t>
            </w:r>
          </w:p>
        </w:tc>
        <w:tc>
          <w:tcPr>
            <w:tcW w:w="850" w:type="dxa"/>
          </w:tcPr>
          <w:p w14:paraId="31341524" w14:textId="77777777" w:rsidR="00346FC5" w:rsidRPr="003A715D" w:rsidRDefault="00346FC5" w:rsidP="0098354D">
            <w:pPr>
              <w:cnfStyle w:val="000000000000" w:firstRow="0" w:lastRow="0" w:firstColumn="0" w:lastColumn="0" w:oddVBand="0" w:evenVBand="0" w:oddHBand="0" w:evenHBand="0" w:firstRowFirstColumn="0" w:firstRowLastColumn="0" w:lastRowFirstColumn="0" w:lastRowLastColumn="0"/>
              <w:rPr>
                <w:szCs w:val="17"/>
              </w:rPr>
            </w:pPr>
            <w:r>
              <w:rPr>
                <w:szCs w:val="17"/>
              </w:rPr>
              <w:t>(0.03)</w:t>
            </w:r>
          </w:p>
        </w:tc>
      </w:tr>
      <w:tr w:rsidR="00346FC5" w:rsidRPr="003A715D" w14:paraId="5A7DC4E5" w14:textId="77777777" w:rsidTr="0098354D">
        <w:tc>
          <w:tcPr>
            <w:cnfStyle w:val="001000000000" w:firstRow="0" w:lastRow="0" w:firstColumn="1" w:lastColumn="0" w:oddVBand="0" w:evenVBand="0" w:oddHBand="0" w:evenHBand="0" w:firstRowFirstColumn="0" w:firstRowLastColumn="0" w:lastRowFirstColumn="0" w:lastRowLastColumn="0"/>
            <w:tcW w:w="4370" w:type="dxa"/>
            <w:tcBorders>
              <w:bottom w:val="nil"/>
            </w:tcBorders>
            <w:hideMark/>
          </w:tcPr>
          <w:p w14:paraId="65281A87" w14:textId="77777777" w:rsidR="00346FC5" w:rsidRPr="003A715D" w:rsidRDefault="00346FC5" w:rsidP="0098354D">
            <w:pPr>
              <w:keepLines w:val="0"/>
              <w:autoSpaceDE w:val="0"/>
              <w:autoSpaceDN w:val="0"/>
              <w:adjustRightInd w:val="0"/>
              <w:rPr>
                <w:rFonts w:eastAsiaTheme="minorEastAsia" w:cstheme="majorHAnsi"/>
                <w:szCs w:val="17"/>
                <w:lang w:eastAsia="en-AU"/>
              </w:rPr>
            </w:pPr>
            <w:r w:rsidRPr="003A715D">
              <w:rPr>
                <w:rFonts w:eastAsiaTheme="minorEastAsia" w:cstheme="majorHAnsi"/>
                <w:szCs w:val="17"/>
                <w:lang w:eastAsia="en-AU"/>
              </w:rPr>
              <w:t>Consumer price index</w:t>
            </w:r>
          </w:p>
        </w:tc>
        <w:tc>
          <w:tcPr>
            <w:tcW w:w="850" w:type="dxa"/>
            <w:tcBorders>
              <w:bottom w:val="nil"/>
            </w:tcBorders>
          </w:tcPr>
          <w:p w14:paraId="4E8E87A1" w14:textId="77777777" w:rsidR="00346FC5" w:rsidRPr="003A715D" w:rsidRDefault="00346FC5" w:rsidP="0098354D">
            <w:pPr>
              <w:cnfStyle w:val="000000000000" w:firstRow="0" w:lastRow="0" w:firstColumn="0" w:lastColumn="0" w:oddVBand="0" w:evenVBand="0" w:oddHBand="0" w:evenHBand="0" w:firstRowFirstColumn="0" w:firstRowLastColumn="0" w:lastRowFirstColumn="0" w:lastRowLastColumn="0"/>
              <w:rPr>
                <w:szCs w:val="17"/>
              </w:rPr>
            </w:pPr>
            <w:r>
              <w:rPr>
                <w:szCs w:val="17"/>
              </w:rPr>
              <w:t>(0.07)</w:t>
            </w:r>
          </w:p>
        </w:tc>
        <w:tc>
          <w:tcPr>
            <w:tcW w:w="850" w:type="dxa"/>
            <w:tcBorders>
              <w:bottom w:val="nil"/>
            </w:tcBorders>
          </w:tcPr>
          <w:p w14:paraId="4CF61C7B" w14:textId="77777777" w:rsidR="00346FC5" w:rsidRPr="003A715D" w:rsidRDefault="00346FC5" w:rsidP="0098354D">
            <w:pPr>
              <w:cnfStyle w:val="000000000000" w:firstRow="0" w:lastRow="0" w:firstColumn="0" w:lastColumn="0" w:oddVBand="0" w:evenVBand="0" w:oddHBand="0" w:evenHBand="0" w:firstRowFirstColumn="0" w:firstRowLastColumn="0" w:lastRowFirstColumn="0" w:lastRowLastColumn="0"/>
              <w:rPr>
                <w:szCs w:val="17"/>
              </w:rPr>
            </w:pPr>
            <w:r>
              <w:rPr>
                <w:szCs w:val="17"/>
              </w:rPr>
              <w:t>(0.01)</w:t>
            </w:r>
          </w:p>
        </w:tc>
        <w:tc>
          <w:tcPr>
            <w:tcW w:w="850" w:type="dxa"/>
            <w:tcBorders>
              <w:bottom w:val="nil"/>
            </w:tcBorders>
          </w:tcPr>
          <w:p w14:paraId="18AF713A" w14:textId="77777777" w:rsidR="00346FC5" w:rsidRPr="003A715D" w:rsidRDefault="00346FC5" w:rsidP="0098354D">
            <w:pPr>
              <w:cnfStyle w:val="000000000000" w:firstRow="0" w:lastRow="0" w:firstColumn="0" w:lastColumn="0" w:oddVBand="0" w:evenVBand="0" w:oddHBand="0" w:evenHBand="0" w:firstRowFirstColumn="0" w:firstRowLastColumn="0" w:lastRowFirstColumn="0" w:lastRowLastColumn="0"/>
              <w:rPr>
                <w:szCs w:val="17"/>
              </w:rPr>
            </w:pPr>
            <w:r>
              <w:rPr>
                <w:szCs w:val="17"/>
              </w:rPr>
              <w:t>0.03</w:t>
            </w:r>
          </w:p>
        </w:tc>
        <w:tc>
          <w:tcPr>
            <w:tcW w:w="850" w:type="dxa"/>
            <w:tcBorders>
              <w:bottom w:val="nil"/>
            </w:tcBorders>
          </w:tcPr>
          <w:p w14:paraId="1D97900B" w14:textId="77777777" w:rsidR="00346FC5" w:rsidRPr="003A715D" w:rsidRDefault="00346FC5" w:rsidP="0098354D">
            <w:pPr>
              <w:cnfStyle w:val="000000000000" w:firstRow="0" w:lastRow="0" w:firstColumn="0" w:lastColumn="0" w:oddVBand="0" w:evenVBand="0" w:oddHBand="0" w:evenHBand="0" w:firstRowFirstColumn="0" w:firstRowLastColumn="0" w:lastRowFirstColumn="0" w:lastRowLastColumn="0"/>
              <w:rPr>
                <w:szCs w:val="17"/>
              </w:rPr>
            </w:pPr>
            <w:r>
              <w:rPr>
                <w:szCs w:val="17"/>
              </w:rPr>
              <w:t>0.03</w:t>
            </w:r>
          </w:p>
        </w:tc>
      </w:tr>
      <w:tr w:rsidR="00346FC5" w:rsidRPr="003A715D" w14:paraId="0B529D99" w14:textId="77777777" w:rsidTr="0098354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0" w:type="dxa"/>
            <w:tcBorders>
              <w:top w:val="nil"/>
            </w:tcBorders>
            <w:hideMark/>
          </w:tcPr>
          <w:p w14:paraId="25F7694C" w14:textId="77777777" w:rsidR="00346FC5" w:rsidRPr="003A715D" w:rsidRDefault="00346FC5" w:rsidP="0098354D">
            <w:pPr>
              <w:keepLines w:val="0"/>
              <w:autoSpaceDE w:val="0"/>
              <w:autoSpaceDN w:val="0"/>
              <w:adjustRightInd w:val="0"/>
              <w:rPr>
                <w:rFonts w:eastAsiaTheme="minorEastAsia" w:cstheme="majorHAnsi"/>
                <w:b w:val="0"/>
                <w:bCs/>
                <w:szCs w:val="17"/>
                <w:lang w:eastAsia="en-AU"/>
              </w:rPr>
            </w:pPr>
            <w:r w:rsidRPr="003A715D">
              <w:rPr>
                <w:rFonts w:eastAsiaTheme="minorEastAsia" w:cstheme="majorHAnsi"/>
                <w:b w:val="0"/>
                <w:bCs/>
                <w:szCs w:val="17"/>
                <w:lang w:eastAsia="en-AU"/>
              </w:rPr>
              <w:t>Wage price index</w:t>
            </w:r>
          </w:p>
        </w:tc>
        <w:tc>
          <w:tcPr>
            <w:tcW w:w="850" w:type="dxa"/>
            <w:tcBorders>
              <w:top w:val="nil"/>
            </w:tcBorders>
          </w:tcPr>
          <w:p w14:paraId="1F8F55DD" w14:textId="77777777" w:rsidR="00346FC5" w:rsidRPr="003A715D" w:rsidRDefault="00346FC5" w:rsidP="0098354D">
            <w:pPr>
              <w:cnfStyle w:val="010000000000" w:firstRow="0" w:lastRow="1" w:firstColumn="0" w:lastColumn="0" w:oddVBand="0" w:evenVBand="0" w:oddHBand="0" w:evenHBand="0" w:firstRowFirstColumn="0" w:firstRowLastColumn="0" w:lastRowFirstColumn="0" w:lastRowLastColumn="0"/>
              <w:rPr>
                <w:b w:val="0"/>
                <w:szCs w:val="17"/>
              </w:rPr>
            </w:pPr>
            <w:r>
              <w:rPr>
                <w:b w:val="0"/>
                <w:szCs w:val="17"/>
              </w:rPr>
              <w:t>(0.16)</w:t>
            </w:r>
          </w:p>
        </w:tc>
        <w:tc>
          <w:tcPr>
            <w:tcW w:w="850" w:type="dxa"/>
            <w:tcBorders>
              <w:top w:val="nil"/>
            </w:tcBorders>
          </w:tcPr>
          <w:p w14:paraId="58DDBD2D" w14:textId="77777777" w:rsidR="00346FC5" w:rsidRPr="003A715D" w:rsidRDefault="00346FC5" w:rsidP="0098354D">
            <w:pPr>
              <w:cnfStyle w:val="010000000000" w:firstRow="0" w:lastRow="1" w:firstColumn="0" w:lastColumn="0" w:oddVBand="0" w:evenVBand="0" w:oddHBand="0" w:evenHBand="0" w:firstRowFirstColumn="0" w:firstRowLastColumn="0" w:lastRowFirstColumn="0" w:lastRowLastColumn="0"/>
              <w:rPr>
                <w:b w:val="0"/>
                <w:szCs w:val="17"/>
              </w:rPr>
            </w:pPr>
            <w:r>
              <w:rPr>
                <w:b w:val="0"/>
                <w:szCs w:val="17"/>
              </w:rPr>
              <w:t>(0.27)</w:t>
            </w:r>
          </w:p>
        </w:tc>
        <w:tc>
          <w:tcPr>
            <w:tcW w:w="850" w:type="dxa"/>
            <w:tcBorders>
              <w:top w:val="nil"/>
            </w:tcBorders>
          </w:tcPr>
          <w:p w14:paraId="4DAF4289" w14:textId="77777777" w:rsidR="00346FC5" w:rsidRPr="003A715D" w:rsidRDefault="00346FC5" w:rsidP="0098354D">
            <w:pPr>
              <w:cnfStyle w:val="010000000000" w:firstRow="0" w:lastRow="1" w:firstColumn="0" w:lastColumn="0" w:oddVBand="0" w:evenVBand="0" w:oddHBand="0" w:evenHBand="0" w:firstRowFirstColumn="0" w:firstRowLastColumn="0" w:lastRowFirstColumn="0" w:lastRowLastColumn="0"/>
              <w:rPr>
                <w:b w:val="0"/>
                <w:szCs w:val="17"/>
              </w:rPr>
            </w:pPr>
            <w:r>
              <w:rPr>
                <w:b w:val="0"/>
                <w:szCs w:val="17"/>
              </w:rPr>
              <w:t>(0.24)</w:t>
            </w:r>
          </w:p>
        </w:tc>
        <w:tc>
          <w:tcPr>
            <w:tcW w:w="850" w:type="dxa"/>
            <w:tcBorders>
              <w:top w:val="nil"/>
            </w:tcBorders>
          </w:tcPr>
          <w:p w14:paraId="57985DC8" w14:textId="77777777" w:rsidR="00346FC5" w:rsidRPr="003A715D" w:rsidRDefault="00346FC5" w:rsidP="0098354D">
            <w:pPr>
              <w:cnfStyle w:val="010000000000" w:firstRow="0" w:lastRow="1" w:firstColumn="0" w:lastColumn="0" w:oddVBand="0" w:evenVBand="0" w:oddHBand="0" w:evenHBand="0" w:firstRowFirstColumn="0" w:firstRowLastColumn="0" w:lastRowFirstColumn="0" w:lastRowLastColumn="0"/>
              <w:rPr>
                <w:b w:val="0"/>
                <w:szCs w:val="17"/>
              </w:rPr>
            </w:pPr>
            <w:r>
              <w:rPr>
                <w:b w:val="0"/>
                <w:szCs w:val="17"/>
              </w:rPr>
              <w:t>(0.24)</w:t>
            </w:r>
          </w:p>
        </w:tc>
      </w:tr>
    </w:tbl>
    <w:p w14:paraId="7B74A52F" w14:textId="77777777" w:rsidR="00346FC5" w:rsidRDefault="00346FC5" w:rsidP="00346FC5">
      <w:pPr>
        <w:pStyle w:val="Note"/>
      </w:pPr>
      <w:r w:rsidRPr="001232A3">
        <w:t>Note:</w:t>
      </w:r>
      <w:r>
        <w:t xml:space="preserve"> </w:t>
      </w:r>
    </w:p>
    <w:p w14:paraId="44F1FB87" w14:textId="77777777" w:rsidR="00346FC5" w:rsidRPr="00C7341B" w:rsidRDefault="00346FC5" w:rsidP="00346FC5">
      <w:pPr>
        <w:pStyle w:val="Note"/>
      </w:pPr>
      <w:r w:rsidRPr="00C7341B">
        <w:t>(a)</w:t>
      </w:r>
      <w:r w:rsidRPr="00C7341B">
        <w:tab/>
        <w:t xml:space="preserve">Figures reported are the change in the level of each parameter relative to the baseline forecasts as presented in Chapter 2 </w:t>
      </w:r>
      <w:r w:rsidRPr="00F9018B">
        <w:rPr>
          <w:i w:val="0"/>
        </w:rPr>
        <w:t>Economic context</w:t>
      </w:r>
      <w:r w:rsidRPr="00C7341B">
        <w:t>.</w:t>
      </w:r>
    </w:p>
    <w:p w14:paraId="124B42D6" w14:textId="77777777" w:rsidR="00346FC5" w:rsidRPr="00212B8E" w:rsidRDefault="00346FC5" w:rsidP="00346FC5">
      <w:pPr>
        <w:rPr>
          <w:color w:val="000000" w:themeColor="text1"/>
        </w:rPr>
      </w:pPr>
      <w:r w:rsidRPr="00212B8E">
        <w:rPr>
          <w:color w:val="000000" w:themeColor="text1"/>
        </w:rPr>
        <w:t xml:space="preserve">The shock has a negative fiscal impact </w:t>
      </w:r>
      <w:r>
        <w:rPr>
          <w:color w:val="000000" w:themeColor="text1"/>
        </w:rPr>
        <w:t>on the state’s finances</w:t>
      </w:r>
      <w:r w:rsidRPr="00212B8E">
        <w:rPr>
          <w:color w:val="000000" w:themeColor="text1"/>
        </w:rPr>
        <w:t xml:space="preserve"> (</w:t>
      </w:r>
      <w:r>
        <w:rPr>
          <w:color w:val="000000" w:themeColor="text1"/>
        </w:rPr>
        <w:t>see </w:t>
      </w:r>
      <w:r w:rsidRPr="00212B8E">
        <w:rPr>
          <w:color w:val="000000" w:themeColor="text1"/>
        </w:rPr>
        <w:t>Table</w:t>
      </w:r>
      <w:r>
        <w:rPr>
          <w:color w:val="000000" w:themeColor="text1"/>
        </w:rPr>
        <w:t> </w:t>
      </w:r>
      <w:r w:rsidRPr="00212B8E">
        <w:rPr>
          <w:color w:val="000000" w:themeColor="text1"/>
        </w:rPr>
        <w:t xml:space="preserve">A.2). </w:t>
      </w:r>
      <w:r>
        <w:rPr>
          <w:color w:val="000000" w:themeColor="text1"/>
        </w:rPr>
        <w:t>Lower domestic consumer demand and investment</w:t>
      </w:r>
      <w:r w:rsidRPr="00212B8E">
        <w:rPr>
          <w:color w:val="000000" w:themeColor="text1"/>
        </w:rPr>
        <w:t xml:space="preserve"> </w:t>
      </w:r>
      <w:r>
        <w:rPr>
          <w:color w:val="000000" w:themeColor="text1"/>
        </w:rPr>
        <w:t>lead to lower</w:t>
      </w:r>
      <w:r w:rsidRPr="00212B8E">
        <w:rPr>
          <w:color w:val="000000" w:themeColor="text1"/>
        </w:rPr>
        <w:t xml:space="preserve"> property</w:t>
      </w:r>
      <w:r w:rsidRPr="35EB2ED6">
        <w:rPr>
          <w:color w:val="000000" w:themeColor="text1"/>
        </w:rPr>
        <w:t xml:space="preserve"> </w:t>
      </w:r>
      <w:r w:rsidRPr="00212B8E">
        <w:rPr>
          <w:color w:val="000000" w:themeColor="text1"/>
        </w:rPr>
        <w:t xml:space="preserve">related taxation revenue, including land transfer duty and land taxes. </w:t>
      </w:r>
      <w:r>
        <w:rPr>
          <w:color w:val="000000" w:themeColor="text1"/>
        </w:rPr>
        <w:t xml:space="preserve">Payroll tax revenue also falls due to lower growth in employment and wages. </w:t>
      </w:r>
      <w:r w:rsidRPr="00212B8E">
        <w:rPr>
          <w:color w:val="000000" w:themeColor="text1"/>
        </w:rPr>
        <w:t>Reduced consumption leads to a small</w:t>
      </w:r>
      <w:r>
        <w:rPr>
          <w:color w:val="000000" w:themeColor="text1"/>
        </w:rPr>
        <w:t>er</w:t>
      </w:r>
      <w:r w:rsidRPr="00212B8E">
        <w:rPr>
          <w:color w:val="000000" w:themeColor="text1"/>
        </w:rPr>
        <w:t xml:space="preserve"> national GST pool</w:t>
      </w:r>
      <w:r>
        <w:rPr>
          <w:color w:val="000000" w:themeColor="text1"/>
        </w:rPr>
        <w:t xml:space="preserve"> – </w:t>
      </w:r>
      <w:r w:rsidRPr="00212B8E">
        <w:rPr>
          <w:color w:val="000000" w:themeColor="text1"/>
        </w:rPr>
        <w:t xml:space="preserve">and hence </w:t>
      </w:r>
      <w:r>
        <w:rPr>
          <w:color w:val="000000" w:themeColor="text1"/>
        </w:rPr>
        <w:t>lower</w:t>
      </w:r>
      <w:r w:rsidRPr="00212B8E">
        <w:rPr>
          <w:color w:val="000000" w:themeColor="text1"/>
        </w:rPr>
        <w:t xml:space="preserve"> GST grant revenue for Victoria. As a result, income from transactions is lower over the forward estimates.</w:t>
      </w:r>
    </w:p>
    <w:p w14:paraId="6C4FC895" w14:textId="77777777" w:rsidR="00346FC5" w:rsidRPr="001A5C67" w:rsidRDefault="00346FC5" w:rsidP="00346FC5">
      <w:pPr>
        <w:keepNext/>
        <w:rPr>
          <w:color w:val="000000" w:themeColor="text1"/>
        </w:rPr>
      </w:pPr>
      <w:r w:rsidRPr="001A5C67">
        <w:rPr>
          <w:color w:val="000000" w:themeColor="text1"/>
        </w:rPr>
        <w:t xml:space="preserve">Expenses from transactions are also lower in the scenario relative to the base case, mainly due to lower </w:t>
      </w:r>
      <w:r w:rsidRPr="64211186">
        <w:rPr>
          <w:color w:val="000000" w:themeColor="text1"/>
        </w:rPr>
        <w:t>public sector wage costs,</w:t>
      </w:r>
      <w:r w:rsidRPr="001A5C67">
        <w:rPr>
          <w:color w:val="000000" w:themeColor="text1"/>
        </w:rPr>
        <w:t xml:space="preserve"> which lowers employee expenses. These estimated impacts on expenses reflect the assumed relationship between private and public sector wages in the model</w:t>
      </w:r>
      <w:r>
        <w:rPr>
          <w:color w:val="000000" w:themeColor="text1"/>
        </w:rPr>
        <w:t>:</w:t>
      </w:r>
      <w:r w:rsidRPr="001A5C67">
        <w:rPr>
          <w:color w:val="000000" w:themeColor="text1"/>
        </w:rPr>
        <w:t xml:space="preserve"> namely that public sector wage growth corresponds to private sector wage growth in the medium to long</w:t>
      </w:r>
      <w:r>
        <w:rPr>
          <w:color w:val="000000" w:themeColor="text1"/>
        </w:rPr>
        <w:t xml:space="preserve"> </w:t>
      </w:r>
      <w:r w:rsidRPr="001A5C67">
        <w:rPr>
          <w:color w:val="000000" w:themeColor="text1"/>
        </w:rPr>
        <w:t xml:space="preserve">term. </w:t>
      </w:r>
      <w:r>
        <w:rPr>
          <w:color w:val="000000" w:themeColor="text1"/>
        </w:rPr>
        <w:t>The decrease in expenses is partly offset by higher interest expenses due to a higher level of debt (resulting from revenue falling by more than expenses in the scenario).</w:t>
      </w:r>
    </w:p>
    <w:p w14:paraId="4BCEE8D9" w14:textId="77777777" w:rsidR="00346FC5" w:rsidRDefault="00346FC5" w:rsidP="00346FC5">
      <w:pPr>
        <w:pStyle w:val="TableHeading"/>
      </w:pPr>
      <w:r w:rsidRPr="001232A3">
        <w:t xml:space="preserve">Table </w:t>
      </w:r>
      <w:r>
        <w:t>A</w:t>
      </w:r>
      <w:r w:rsidRPr="001232A3">
        <w:t>.2:</w:t>
      </w:r>
      <w:r w:rsidRPr="001232A3">
        <w:tab/>
        <w:t xml:space="preserve">Projected fiscal impact of a </w:t>
      </w:r>
      <w:r>
        <w:t>domestic economic slowdown</w:t>
      </w:r>
      <w:r w:rsidRPr="001232A3">
        <w:t xml:space="preserve"> </w:t>
      </w:r>
      <w:r w:rsidRPr="001232A3">
        <w:rPr>
          <w:vertAlign w:val="superscript"/>
        </w:rPr>
        <w:t>(a)</w:t>
      </w:r>
      <w:r w:rsidRPr="001232A3">
        <w:tab/>
        <w:t>($ million)</w:t>
      </w:r>
    </w:p>
    <w:tbl>
      <w:tblPr>
        <w:tblStyle w:val="DTFTable"/>
        <w:tblW w:w="7770" w:type="dxa"/>
        <w:tblLayout w:type="fixed"/>
        <w:tblLook w:val="06E0" w:firstRow="1" w:lastRow="1" w:firstColumn="1" w:lastColumn="0" w:noHBand="1" w:noVBand="1"/>
      </w:tblPr>
      <w:tblGrid>
        <w:gridCol w:w="4367"/>
        <w:gridCol w:w="850"/>
        <w:gridCol w:w="851"/>
        <w:gridCol w:w="851"/>
        <w:gridCol w:w="851"/>
      </w:tblGrid>
      <w:tr w:rsidR="00346FC5" w:rsidRPr="001232A3" w14:paraId="573ADF94" w14:textId="77777777" w:rsidTr="0098354D">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4367" w:type="dxa"/>
          </w:tcPr>
          <w:p w14:paraId="5BC7BC40" w14:textId="77777777" w:rsidR="00346FC5" w:rsidRPr="001232A3" w:rsidRDefault="00346FC5" w:rsidP="0098354D">
            <w:pPr>
              <w:autoSpaceDE w:val="0"/>
              <w:autoSpaceDN w:val="0"/>
              <w:adjustRightInd w:val="0"/>
              <w:rPr>
                <w:rFonts w:eastAsiaTheme="minorEastAsia" w:cs="Calibri"/>
                <w:iCs/>
                <w:color w:val="000000"/>
                <w:szCs w:val="17"/>
                <w:lang w:eastAsia="en-AU"/>
              </w:rPr>
            </w:pPr>
          </w:p>
        </w:tc>
        <w:tc>
          <w:tcPr>
            <w:tcW w:w="850" w:type="dxa"/>
            <w:hideMark/>
          </w:tcPr>
          <w:p w14:paraId="188DC0EA" w14:textId="77777777" w:rsidR="00346FC5" w:rsidRPr="001232A3" w:rsidRDefault="00346FC5" w:rsidP="0098354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szCs w:val="17"/>
                <w:lang w:eastAsia="en-AU"/>
              </w:rPr>
            </w:pPr>
            <w:r w:rsidRPr="001232A3">
              <w:rPr>
                <w:rFonts w:eastAsiaTheme="minorEastAsia" w:cs="Calibri"/>
                <w:iCs/>
                <w:szCs w:val="17"/>
                <w:lang w:eastAsia="en-AU"/>
              </w:rPr>
              <w:t>202</w:t>
            </w:r>
            <w:r>
              <w:rPr>
                <w:rFonts w:eastAsiaTheme="minorEastAsia" w:cs="Calibri"/>
                <w:iCs/>
                <w:szCs w:val="17"/>
                <w:lang w:eastAsia="en-AU"/>
              </w:rPr>
              <w:t>3</w:t>
            </w:r>
            <w:r w:rsidRPr="001232A3">
              <w:rPr>
                <w:rFonts w:eastAsiaTheme="minorEastAsia" w:cs="Calibri"/>
                <w:iCs/>
                <w:szCs w:val="17"/>
                <w:lang w:eastAsia="en-AU"/>
              </w:rPr>
              <w:t>-2</w:t>
            </w:r>
            <w:r>
              <w:rPr>
                <w:rFonts w:eastAsiaTheme="minorEastAsia" w:cs="Calibri"/>
                <w:iCs/>
                <w:szCs w:val="17"/>
                <w:lang w:eastAsia="en-AU"/>
              </w:rPr>
              <w:t>4</w:t>
            </w:r>
          </w:p>
          <w:p w14:paraId="112E866F" w14:textId="77777777" w:rsidR="00346FC5" w:rsidRPr="001232A3" w:rsidRDefault="00346FC5" w:rsidP="0098354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1232A3">
              <w:rPr>
                <w:rFonts w:eastAsiaTheme="minorEastAsia" w:cstheme="majorHAnsi"/>
                <w:iCs/>
                <w:szCs w:val="17"/>
                <w:lang w:eastAsia="en-AU"/>
              </w:rPr>
              <w:t>estimate</w:t>
            </w:r>
          </w:p>
        </w:tc>
        <w:tc>
          <w:tcPr>
            <w:tcW w:w="851" w:type="dxa"/>
            <w:hideMark/>
          </w:tcPr>
          <w:p w14:paraId="40E8175B" w14:textId="77777777" w:rsidR="00346FC5" w:rsidRPr="001232A3" w:rsidRDefault="00346FC5" w:rsidP="0098354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szCs w:val="17"/>
                <w:lang w:eastAsia="en-AU"/>
              </w:rPr>
            </w:pPr>
            <w:r w:rsidRPr="001232A3">
              <w:rPr>
                <w:rFonts w:eastAsiaTheme="minorEastAsia" w:cs="Calibri"/>
                <w:iCs/>
                <w:szCs w:val="17"/>
                <w:lang w:eastAsia="en-AU"/>
              </w:rPr>
              <w:t>202</w:t>
            </w:r>
            <w:r>
              <w:rPr>
                <w:rFonts w:eastAsiaTheme="minorEastAsia" w:cs="Calibri"/>
                <w:iCs/>
                <w:szCs w:val="17"/>
                <w:lang w:eastAsia="en-AU"/>
              </w:rPr>
              <w:t>4</w:t>
            </w:r>
            <w:r w:rsidRPr="001232A3">
              <w:rPr>
                <w:rFonts w:eastAsiaTheme="minorEastAsia" w:cs="Calibri"/>
                <w:iCs/>
                <w:szCs w:val="17"/>
                <w:lang w:eastAsia="en-AU"/>
              </w:rPr>
              <w:t>-2</w:t>
            </w:r>
            <w:r>
              <w:rPr>
                <w:rFonts w:eastAsiaTheme="minorEastAsia" w:cs="Calibri"/>
                <w:iCs/>
                <w:szCs w:val="17"/>
                <w:lang w:eastAsia="en-AU"/>
              </w:rPr>
              <w:t>5</w:t>
            </w:r>
          </w:p>
          <w:p w14:paraId="22D4DF64" w14:textId="77777777" w:rsidR="00346FC5" w:rsidRPr="001232A3" w:rsidRDefault="00346FC5" w:rsidP="0098354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1232A3">
              <w:rPr>
                <w:rFonts w:eastAsiaTheme="minorEastAsia" w:cstheme="majorHAnsi"/>
                <w:iCs/>
                <w:szCs w:val="17"/>
                <w:lang w:eastAsia="en-AU"/>
              </w:rPr>
              <w:t>estimate</w:t>
            </w:r>
          </w:p>
        </w:tc>
        <w:tc>
          <w:tcPr>
            <w:tcW w:w="851" w:type="dxa"/>
            <w:hideMark/>
          </w:tcPr>
          <w:p w14:paraId="5B8AD74B" w14:textId="77777777" w:rsidR="00346FC5" w:rsidRPr="001232A3" w:rsidRDefault="00346FC5" w:rsidP="0098354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szCs w:val="17"/>
                <w:lang w:eastAsia="en-AU"/>
              </w:rPr>
            </w:pPr>
            <w:r w:rsidRPr="001232A3">
              <w:rPr>
                <w:rFonts w:eastAsiaTheme="minorEastAsia" w:cs="Calibri"/>
                <w:iCs/>
                <w:szCs w:val="17"/>
                <w:lang w:eastAsia="en-AU"/>
              </w:rPr>
              <w:t>202</w:t>
            </w:r>
            <w:r>
              <w:rPr>
                <w:rFonts w:eastAsiaTheme="minorEastAsia" w:cs="Calibri"/>
                <w:iCs/>
                <w:szCs w:val="17"/>
                <w:lang w:eastAsia="en-AU"/>
              </w:rPr>
              <w:t>5</w:t>
            </w:r>
            <w:r w:rsidRPr="001232A3">
              <w:rPr>
                <w:rFonts w:eastAsiaTheme="minorEastAsia" w:cs="Calibri"/>
                <w:iCs/>
                <w:szCs w:val="17"/>
                <w:lang w:eastAsia="en-AU"/>
              </w:rPr>
              <w:t>-2</w:t>
            </w:r>
            <w:r>
              <w:rPr>
                <w:rFonts w:eastAsiaTheme="minorEastAsia" w:cs="Calibri"/>
                <w:iCs/>
                <w:szCs w:val="17"/>
                <w:lang w:eastAsia="en-AU"/>
              </w:rPr>
              <w:t>6</w:t>
            </w:r>
          </w:p>
          <w:p w14:paraId="78723B86" w14:textId="77777777" w:rsidR="00346FC5" w:rsidRPr="001232A3" w:rsidRDefault="00346FC5" w:rsidP="0098354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1232A3">
              <w:rPr>
                <w:rFonts w:eastAsiaTheme="minorEastAsia" w:cstheme="majorHAnsi"/>
                <w:iCs/>
                <w:szCs w:val="17"/>
                <w:lang w:eastAsia="en-AU"/>
              </w:rPr>
              <w:t>estimate</w:t>
            </w:r>
          </w:p>
        </w:tc>
        <w:tc>
          <w:tcPr>
            <w:tcW w:w="851" w:type="dxa"/>
            <w:hideMark/>
          </w:tcPr>
          <w:p w14:paraId="5162775E" w14:textId="77777777" w:rsidR="00346FC5" w:rsidRPr="001232A3" w:rsidRDefault="00346FC5" w:rsidP="0098354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szCs w:val="17"/>
                <w:lang w:eastAsia="en-AU"/>
              </w:rPr>
            </w:pPr>
            <w:r w:rsidRPr="001232A3">
              <w:rPr>
                <w:rFonts w:eastAsiaTheme="minorEastAsia" w:cs="Calibri"/>
                <w:iCs/>
                <w:szCs w:val="17"/>
                <w:lang w:eastAsia="en-AU"/>
              </w:rPr>
              <w:t>202</w:t>
            </w:r>
            <w:r>
              <w:rPr>
                <w:rFonts w:eastAsiaTheme="minorEastAsia" w:cs="Calibri"/>
                <w:iCs/>
                <w:szCs w:val="17"/>
                <w:lang w:eastAsia="en-AU"/>
              </w:rPr>
              <w:t>6</w:t>
            </w:r>
            <w:r w:rsidRPr="001232A3">
              <w:rPr>
                <w:rFonts w:eastAsiaTheme="minorEastAsia" w:cs="Calibri"/>
                <w:iCs/>
                <w:szCs w:val="17"/>
                <w:lang w:eastAsia="en-AU"/>
              </w:rPr>
              <w:t>-2</w:t>
            </w:r>
            <w:r>
              <w:rPr>
                <w:rFonts w:eastAsiaTheme="minorEastAsia" w:cs="Calibri"/>
                <w:iCs/>
                <w:szCs w:val="17"/>
                <w:lang w:eastAsia="en-AU"/>
              </w:rPr>
              <w:t>7</w:t>
            </w:r>
          </w:p>
          <w:p w14:paraId="498A3C5F" w14:textId="77777777" w:rsidR="00346FC5" w:rsidRPr="001232A3" w:rsidRDefault="00346FC5" w:rsidP="0098354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1232A3">
              <w:rPr>
                <w:rFonts w:eastAsiaTheme="minorEastAsia" w:cstheme="majorHAnsi"/>
                <w:iCs/>
                <w:szCs w:val="17"/>
                <w:lang w:eastAsia="en-AU"/>
              </w:rPr>
              <w:t>estimate</w:t>
            </w:r>
          </w:p>
        </w:tc>
      </w:tr>
      <w:tr w:rsidR="00346FC5" w:rsidRPr="007036F9" w14:paraId="7D84E75B" w14:textId="77777777" w:rsidTr="0098354D">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000000" w:fill="FFFFFF"/>
            <w:vAlign w:val="bottom"/>
            <w:hideMark/>
          </w:tcPr>
          <w:p w14:paraId="08A00D28" w14:textId="77777777" w:rsidR="00346FC5" w:rsidRPr="009663BB" w:rsidRDefault="00346FC5" w:rsidP="0098354D">
            <w:pPr>
              <w:keepLines w:val="0"/>
              <w:autoSpaceDE w:val="0"/>
              <w:autoSpaceDN w:val="0"/>
              <w:adjustRightInd w:val="0"/>
              <w:rPr>
                <w:rFonts w:eastAsiaTheme="minorEastAsia" w:cs="Calibri"/>
                <w:color w:val="000000"/>
                <w:szCs w:val="17"/>
                <w:lang w:eastAsia="en-AU"/>
              </w:rPr>
            </w:pPr>
            <w:r w:rsidRPr="009663BB">
              <w:rPr>
                <w:rFonts w:ascii="Calibri" w:hAnsi="Calibri" w:cs="Calibri"/>
                <w:szCs w:val="17"/>
              </w:rPr>
              <w:t>Income from transactions</w:t>
            </w:r>
          </w:p>
        </w:tc>
        <w:tc>
          <w:tcPr>
            <w:tcW w:w="850" w:type="dxa"/>
            <w:tcBorders>
              <w:top w:val="nil"/>
              <w:left w:val="nil"/>
              <w:bottom w:val="nil"/>
              <w:right w:val="nil"/>
            </w:tcBorders>
            <w:shd w:val="clear" w:color="auto" w:fill="auto"/>
            <w:vAlign w:val="bottom"/>
          </w:tcPr>
          <w:p w14:paraId="7F256994" w14:textId="77777777" w:rsidR="00346FC5" w:rsidRPr="004413A5" w:rsidRDefault="00346FC5" w:rsidP="0098354D">
            <w:pPr>
              <w:cnfStyle w:val="000000000000" w:firstRow="0" w:lastRow="0" w:firstColumn="0" w:lastColumn="0" w:oddVBand="0" w:evenVBand="0" w:oddHBand="0" w:evenHBand="0" w:firstRowFirstColumn="0" w:firstRowLastColumn="0" w:lastRowFirstColumn="0" w:lastRowLastColumn="0"/>
              <w:rPr>
                <w:szCs w:val="17"/>
              </w:rPr>
            </w:pPr>
            <w:r w:rsidRPr="004413A5">
              <w:rPr>
                <w:rFonts w:ascii="Calibri" w:hAnsi="Calibri" w:cs="Calibri"/>
                <w:szCs w:val="17"/>
              </w:rPr>
              <w:t>(318.6)</w:t>
            </w:r>
          </w:p>
        </w:tc>
        <w:tc>
          <w:tcPr>
            <w:tcW w:w="851" w:type="dxa"/>
            <w:tcBorders>
              <w:top w:val="nil"/>
              <w:left w:val="nil"/>
              <w:bottom w:val="nil"/>
              <w:right w:val="nil"/>
            </w:tcBorders>
            <w:shd w:val="clear" w:color="auto" w:fill="auto"/>
            <w:vAlign w:val="bottom"/>
          </w:tcPr>
          <w:p w14:paraId="59505FDB" w14:textId="77777777" w:rsidR="00346FC5" w:rsidRPr="004413A5" w:rsidRDefault="00346FC5" w:rsidP="0098354D">
            <w:pPr>
              <w:cnfStyle w:val="000000000000" w:firstRow="0" w:lastRow="0" w:firstColumn="0" w:lastColumn="0" w:oddVBand="0" w:evenVBand="0" w:oddHBand="0" w:evenHBand="0" w:firstRowFirstColumn="0" w:firstRowLastColumn="0" w:lastRowFirstColumn="0" w:lastRowLastColumn="0"/>
              <w:rPr>
                <w:szCs w:val="17"/>
              </w:rPr>
            </w:pPr>
            <w:r w:rsidRPr="004413A5">
              <w:rPr>
                <w:rFonts w:ascii="Calibri" w:hAnsi="Calibri" w:cs="Calibri"/>
                <w:szCs w:val="17"/>
              </w:rPr>
              <w:t>(266.2)</w:t>
            </w:r>
          </w:p>
        </w:tc>
        <w:tc>
          <w:tcPr>
            <w:tcW w:w="851" w:type="dxa"/>
            <w:tcBorders>
              <w:top w:val="nil"/>
              <w:left w:val="nil"/>
              <w:bottom w:val="nil"/>
              <w:right w:val="nil"/>
            </w:tcBorders>
            <w:shd w:val="clear" w:color="auto" w:fill="auto"/>
            <w:vAlign w:val="bottom"/>
          </w:tcPr>
          <w:p w14:paraId="7B7A2F98" w14:textId="77777777" w:rsidR="00346FC5" w:rsidRPr="004413A5" w:rsidRDefault="00346FC5" w:rsidP="0098354D">
            <w:pPr>
              <w:cnfStyle w:val="000000000000" w:firstRow="0" w:lastRow="0" w:firstColumn="0" w:lastColumn="0" w:oddVBand="0" w:evenVBand="0" w:oddHBand="0" w:evenHBand="0" w:firstRowFirstColumn="0" w:firstRowLastColumn="0" w:lastRowFirstColumn="0" w:lastRowLastColumn="0"/>
              <w:rPr>
                <w:szCs w:val="17"/>
              </w:rPr>
            </w:pPr>
            <w:r w:rsidRPr="004413A5">
              <w:rPr>
                <w:rFonts w:ascii="Calibri" w:hAnsi="Calibri" w:cs="Calibri"/>
                <w:szCs w:val="17"/>
              </w:rPr>
              <w:t>(114.2)</w:t>
            </w:r>
          </w:p>
        </w:tc>
        <w:tc>
          <w:tcPr>
            <w:tcW w:w="851" w:type="dxa"/>
            <w:tcBorders>
              <w:top w:val="nil"/>
              <w:left w:val="nil"/>
              <w:bottom w:val="nil"/>
              <w:right w:val="nil"/>
            </w:tcBorders>
            <w:shd w:val="clear" w:color="auto" w:fill="auto"/>
            <w:vAlign w:val="bottom"/>
          </w:tcPr>
          <w:p w14:paraId="1980CEA9" w14:textId="77777777" w:rsidR="00346FC5" w:rsidRPr="004413A5" w:rsidRDefault="00346FC5" w:rsidP="0098354D">
            <w:pPr>
              <w:cnfStyle w:val="000000000000" w:firstRow="0" w:lastRow="0" w:firstColumn="0" w:lastColumn="0" w:oddVBand="0" w:evenVBand="0" w:oddHBand="0" w:evenHBand="0" w:firstRowFirstColumn="0" w:firstRowLastColumn="0" w:lastRowFirstColumn="0" w:lastRowLastColumn="0"/>
              <w:rPr>
                <w:szCs w:val="17"/>
              </w:rPr>
            </w:pPr>
            <w:r w:rsidRPr="004413A5">
              <w:rPr>
                <w:rFonts w:ascii="Calibri" w:hAnsi="Calibri" w:cs="Calibri"/>
                <w:szCs w:val="17"/>
              </w:rPr>
              <w:t>(118.1)</w:t>
            </w:r>
          </w:p>
        </w:tc>
      </w:tr>
      <w:tr w:rsidR="00346FC5" w:rsidRPr="007036F9" w14:paraId="234A48A1" w14:textId="77777777" w:rsidTr="0098354D">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shd w:val="clear" w:color="000000" w:fill="FFFFFF"/>
            <w:vAlign w:val="bottom"/>
            <w:hideMark/>
          </w:tcPr>
          <w:p w14:paraId="6EAC9693" w14:textId="77777777" w:rsidR="00346FC5" w:rsidRPr="009663BB" w:rsidRDefault="00346FC5" w:rsidP="0098354D">
            <w:pPr>
              <w:keepLines w:val="0"/>
              <w:autoSpaceDE w:val="0"/>
              <w:autoSpaceDN w:val="0"/>
              <w:adjustRightInd w:val="0"/>
              <w:rPr>
                <w:rFonts w:eastAsiaTheme="minorEastAsia" w:cs="Calibri"/>
                <w:color w:val="000000"/>
                <w:szCs w:val="17"/>
                <w:lang w:eastAsia="en-AU"/>
              </w:rPr>
            </w:pPr>
            <w:r w:rsidRPr="009663BB">
              <w:rPr>
                <w:rFonts w:ascii="Calibri" w:hAnsi="Calibri" w:cs="Calibri"/>
                <w:szCs w:val="17"/>
              </w:rPr>
              <w:t>Expenses from transactions</w:t>
            </w:r>
          </w:p>
        </w:tc>
        <w:tc>
          <w:tcPr>
            <w:tcW w:w="850" w:type="dxa"/>
            <w:tcBorders>
              <w:top w:val="nil"/>
              <w:left w:val="nil"/>
              <w:bottom w:val="nil"/>
              <w:right w:val="nil"/>
            </w:tcBorders>
            <w:shd w:val="clear" w:color="auto" w:fill="auto"/>
            <w:vAlign w:val="bottom"/>
          </w:tcPr>
          <w:p w14:paraId="6E1983CE" w14:textId="77777777" w:rsidR="00346FC5" w:rsidRPr="004413A5" w:rsidRDefault="00346FC5" w:rsidP="0098354D">
            <w:pPr>
              <w:cnfStyle w:val="000000000000" w:firstRow="0" w:lastRow="0" w:firstColumn="0" w:lastColumn="0" w:oddVBand="0" w:evenVBand="0" w:oddHBand="0" w:evenHBand="0" w:firstRowFirstColumn="0" w:firstRowLastColumn="0" w:lastRowFirstColumn="0" w:lastRowLastColumn="0"/>
              <w:rPr>
                <w:szCs w:val="17"/>
              </w:rPr>
            </w:pPr>
            <w:r w:rsidRPr="004413A5">
              <w:rPr>
                <w:rFonts w:ascii="Calibri" w:hAnsi="Calibri" w:cs="Calibri"/>
                <w:szCs w:val="17"/>
              </w:rPr>
              <w:t>(14.8)</w:t>
            </w:r>
          </w:p>
        </w:tc>
        <w:tc>
          <w:tcPr>
            <w:tcW w:w="851" w:type="dxa"/>
            <w:tcBorders>
              <w:top w:val="nil"/>
              <w:left w:val="nil"/>
              <w:bottom w:val="nil"/>
              <w:right w:val="nil"/>
            </w:tcBorders>
            <w:shd w:val="clear" w:color="auto" w:fill="auto"/>
            <w:vAlign w:val="bottom"/>
          </w:tcPr>
          <w:p w14:paraId="63E26028" w14:textId="77777777" w:rsidR="00346FC5" w:rsidRPr="004413A5" w:rsidRDefault="00346FC5" w:rsidP="0098354D">
            <w:pPr>
              <w:cnfStyle w:val="000000000000" w:firstRow="0" w:lastRow="0" w:firstColumn="0" w:lastColumn="0" w:oddVBand="0" w:evenVBand="0" w:oddHBand="0" w:evenHBand="0" w:firstRowFirstColumn="0" w:firstRowLastColumn="0" w:lastRowFirstColumn="0" w:lastRowLastColumn="0"/>
              <w:rPr>
                <w:szCs w:val="17"/>
              </w:rPr>
            </w:pPr>
            <w:r w:rsidRPr="004413A5">
              <w:rPr>
                <w:rFonts w:ascii="Calibri" w:hAnsi="Calibri" w:cs="Calibri"/>
                <w:szCs w:val="17"/>
              </w:rPr>
              <w:t>(33.6)</w:t>
            </w:r>
          </w:p>
        </w:tc>
        <w:tc>
          <w:tcPr>
            <w:tcW w:w="851" w:type="dxa"/>
            <w:tcBorders>
              <w:top w:val="nil"/>
              <w:left w:val="nil"/>
              <w:bottom w:val="nil"/>
              <w:right w:val="nil"/>
            </w:tcBorders>
            <w:shd w:val="clear" w:color="auto" w:fill="auto"/>
            <w:vAlign w:val="bottom"/>
          </w:tcPr>
          <w:p w14:paraId="7E8FD524" w14:textId="77777777" w:rsidR="00346FC5" w:rsidRPr="004413A5" w:rsidRDefault="00346FC5" w:rsidP="0098354D">
            <w:pPr>
              <w:cnfStyle w:val="000000000000" w:firstRow="0" w:lastRow="0" w:firstColumn="0" w:lastColumn="0" w:oddVBand="0" w:evenVBand="0" w:oddHBand="0" w:evenHBand="0" w:firstRowFirstColumn="0" w:firstRowLastColumn="0" w:lastRowFirstColumn="0" w:lastRowLastColumn="0"/>
              <w:rPr>
                <w:szCs w:val="17"/>
              </w:rPr>
            </w:pPr>
            <w:r w:rsidRPr="004413A5">
              <w:rPr>
                <w:rFonts w:ascii="Calibri" w:hAnsi="Calibri" w:cs="Calibri"/>
                <w:szCs w:val="17"/>
              </w:rPr>
              <w:t>(44.4)</w:t>
            </w:r>
          </w:p>
        </w:tc>
        <w:tc>
          <w:tcPr>
            <w:tcW w:w="851" w:type="dxa"/>
            <w:tcBorders>
              <w:top w:val="nil"/>
              <w:left w:val="nil"/>
              <w:bottom w:val="nil"/>
              <w:right w:val="nil"/>
            </w:tcBorders>
            <w:shd w:val="clear" w:color="auto" w:fill="auto"/>
            <w:vAlign w:val="bottom"/>
          </w:tcPr>
          <w:p w14:paraId="6EF0B485" w14:textId="77777777" w:rsidR="00346FC5" w:rsidRPr="004413A5" w:rsidRDefault="00346FC5" w:rsidP="0098354D">
            <w:pPr>
              <w:cnfStyle w:val="000000000000" w:firstRow="0" w:lastRow="0" w:firstColumn="0" w:lastColumn="0" w:oddVBand="0" w:evenVBand="0" w:oddHBand="0" w:evenHBand="0" w:firstRowFirstColumn="0" w:firstRowLastColumn="0" w:lastRowFirstColumn="0" w:lastRowLastColumn="0"/>
              <w:rPr>
                <w:szCs w:val="17"/>
              </w:rPr>
            </w:pPr>
            <w:r w:rsidRPr="004413A5">
              <w:rPr>
                <w:rFonts w:ascii="Calibri" w:hAnsi="Calibri" w:cs="Calibri"/>
                <w:szCs w:val="17"/>
              </w:rPr>
              <w:t>(49.5)</w:t>
            </w:r>
          </w:p>
        </w:tc>
      </w:tr>
      <w:tr w:rsidR="00346FC5" w:rsidRPr="007036F9" w14:paraId="3485F63C" w14:textId="77777777" w:rsidTr="0098354D">
        <w:tc>
          <w:tcPr>
            <w:cnfStyle w:val="001000000000" w:firstRow="0" w:lastRow="0" w:firstColumn="1" w:lastColumn="0" w:oddVBand="0" w:evenVBand="0" w:oddHBand="0" w:evenHBand="0" w:firstRowFirstColumn="0" w:firstRowLastColumn="0" w:lastRowFirstColumn="0" w:lastRowLastColumn="0"/>
            <w:tcW w:w="4367" w:type="dxa"/>
            <w:tcBorders>
              <w:top w:val="single" w:sz="4" w:space="0" w:color="auto"/>
              <w:left w:val="nil"/>
              <w:bottom w:val="single" w:sz="4" w:space="0" w:color="auto"/>
              <w:right w:val="nil"/>
            </w:tcBorders>
            <w:shd w:val="clear" w:color="000000" w:fill="FFFFFF"/>
            <w:vAlign w:val="bottom"/>
            <w:hideMark/>
          </w:tcPr>
          <w:p w14:paraId="73D11B22" w14:textId="77777777" w:rsidR="00346FC5" w:rsidRPr="009663BB" w:rsidRDefault="00346FC5" w:rsidP="0098354D">
            <w:pPr>
              <w:keepLines w:val="0"/>
              <w:autoSpaceDE w:val="0"/>
              <w:autoSpaceDN w:val="0"/>
              <w:adjustRightInd w:val="0"/>
              <w:rPr>
                <w:rFonts w:eastAsiaTheme="minorEastAsia" w:cs="Calibri"/>
                <w:b/>
                <w:bCs/>
                <w:color w:val="000000"/>
                <w:szCs w:val="17"/>
                <w:lang w:eastAsia="en-AU"/>
              </w:rPr>
            </w:pPr>
            <w:r w:rsidRPr="009663BB">
              <w:rPr>
                <w:rFonts w:ascii="Calibri" w:hAnsi="Calibri" w:cs="Calibri"/>
                <w:b/>
                <w:bCs/>
                <w:szCs w:val="17"/>
              </w:rPr>
              <w:t>Net result from transactions</w:t>
            </w:r>
          </w:p>
        </w:tc>
        <w:tc>
          <w:tcPr>
            <w:tcW w:w="850" w:type="dxa"/>
            <w:tcBorders>
              <w:top w:val="single" w:sz="4" w:space="0" w:color="auto"/>
              <w:left w:val="nil"/>
              <w:bottom w:val="single" w:sz="4" w:space="0" w:color="auto"/>
              <w:right w:val="nil"/>
            </w:tcBorders>
            <w:shd w:val="clear" w:color="auto" w:fill="auto"/>
            <w:vAlign w:val="bottom"/>
          </w:tcPr>
          <w:p w14:paraId="380ACE9B" w14:textId="77777777" w:rsidR="00346FC5" w:rsidRPr="004413A5" w:rsidRDefault="00346FC5" w:rsidP="0098354D">
            <w:pPr>
              <w:cnfStyle w:val="000000000000" w:firstRow="0" w:lastRow="0" w:firstColumn="0" w:lastColumn="0" w:oddVBand="0" w:evenVBand="0" w:oddHBand="0" w:evenHBand="0" w:firstRowFirstColumn="0" w:firstRowLastColumn="0" w:lastRowFirstColumn="0" w:lastRowLastColumn="0"/>
              <w:rPr>
                <w:b/>
                <w:szCs w:val="17"/>
              </w:rPr>
            </w:pPr>
            <w:r w:rsidRPr="004413A5">
              <w:rPr>
                <w:rFonts w:ascii="Calibri" w:hAnsi="Calibri" w:cs="Calibri"/>
                <w:b/>
                <w:szCs w:val="17"/>
              </w:rPr>
              <w:t>(</w:t>
            </w:r>
            <w:r w:rsidRPr="004413A5">
              <w:rPr>
                <w:rFonts w:ascii="Calibri" w:hAnsi="Calibri" w:cs="Calibri"/>
                <w:b/>
                <w:bCs/>
                <w:szCs w:val="17"/>
              </w:rPr>
              <w:t>303</w:t>
            </w:r>
            <w:r w:rsidRPr="004413A5">
              <w:rPr>
                <w:rFonts w:ascii="Calibri" w:hAnsi="Calibri" w:cs="Calibri"/>
                <w:b/>
                <w:szCs w:val="17"/>
              </w:rPr>
              <w:t>.7)</w:t>
            </w:r>
          </w:p>
        </w:tc>
        <w:tc>
          <w:tcPr>
            <w:tcW w:w="851" w:type="dxa"/>
            <w:tcBorders>
              <w:top w:val="single" w:sz="4" w:space="0" w:color="auto"/>
              <w:left w:val="nil"/>
              <w:bottom w:val="single" w:sz="4" w:space="0" w:color="auto"/>
              <w:right w:val="nil"/>
            </w:tcBorders>
            <w:shd w:val="clear" w:color="auto" w:fill="auto"/>
            <w:vAlign w:val="bottom"/>
          </w:tcPr>
          <w:p w14:paraId="11A4CF7A" w14:textId="77777777" w:rsidR="00346FC5" w:rsidRPr="004413A5" w:rsidRDefault="00346FC5" w:rsidP="0098354D">
            <w:pPr>
              <w:cnfStyle w:val="000000000000" w:firstRow="0" w:lastRow="0" w:firstColumn="0" w:lastColumn="0" w:oddVBand="0" w:evenVBand="0" w:oddHBand="0" w:evenHBand="0" w:firstRowFirstColumn="0" w:firstRowLastColumn="0" w:lastRowFirstColumn="0" w:lastRowLastColumn="0"/>
              <w:rPr>
                <w:b/>
                <w:szCs w:val="17"/>
              </w:rPr>
            </w:pPr>
            <w:r w:rsidRPr="004413A5">
              <w:rPr>
                <w:rFonts w:ascii="Calibri" w:hAnsi="Calibri" w:cs="Calibri"/>
                <w:b/>
                <w:szCs w:val="17"/>
              </w:rPr>
              <w:t>(</w:t>
            </w:r>
            <w:r w:rsidRPr="004413A5">
              <w:rPr>
                <w:rFonts w:ascii="Calibri" w:hAnsi="Calibri" w:cs="Calibri"/>
                <w:b/>
                <w:bCs/>
                <w:szCs w:val="17"/>
              </w:rPr>
              <w:t>232.6</w:t>
            </w:r>
            <w:r w:rsidRPr="004413A5">
              <w:rPr>
                <w:rFonts w:ascii="Calibri" w:hAnsi="Calibri" w:cs="Calibri"/>
                <w:b/>
                <w:szCs w:val="17"/>
              </w:rPr>
              <w:t>)</w:t>
            </w:r>
          </w:p>
        </w:tc>
        <w:tc>
          <w:tcPr>
            <w:tcW w:w="851" w:type="dxa"/>
            <w:tcBorders>
              <w:top w:val="single" w:sz="4" w:space="0" w:color="auto"/>
              <w:left w:val="nil"/>
              <w:bottom w:val="single" w:sz="4" w:space="0" w:color="auto"/>
              <w:right w:val="nil"/>
            </w:tcBorders>
            <w:shd w:val="clear" w:color="auto" w:fill="auto"/>
            <w:vAlign w:val="bottom"/>
          </w:tcPr>
          <w:p w14:paraId="7AB83383" w14:textId="77777777" w:rsidR="00346FC5" w:rsidRPr="004413A5" w:rsidRDefault="00346FC5" w:rsidP="0098354D">
            <w:pPr>
              <w:cnfStyle w:val="000000000000" w:firstRow="0" w:lastRow="0" w:firstColumn="0" w:lastColumn="0" w:oddVBand="0" w:evenVBand="0" w:oddHBand="0" w:evenHBand="0" w:firstRowFirstColumn="0" w:firstRowLastColumn="0" w:lastRowFirstColumn="0" w:lastRowLastColumn="0"/>
              <w:rPr>
                <w:b/>
                <w:szCs w:val="17"/>
              </w:rPr>
            </w:pPr>
            <w:r w:rsidRPr="004413A5">
              <w:rPr>
                <w:rFonts w:ascii="Calibri" w:hAnsi="Calibri" w:cs="Calibri"/>
                <w:b/>
                <w:szCs w:val="17"/>
              </w:rPr>
              <w:t>(</w:t>
            </w:r>
            <w:r w:rsidRPr="004413A5">
              <w:rPr>
                <w:rFonts w:ascii="Calibri" w:hAnsi="Calibri" w:cs="Calibri"/>
                <w:b/>
                <w:bCs/>
                <w:szCs w:val="17"/>
              </w:rPr>
              <w:t>69.8</w:t>
            </w:r>
            <w:r w:rsidRPr="004413A5">
              <w:rPr>
                <w:rFonts w:ascii="Calibri" w:hAnsi="Calibri" w:cs="Calibri"/>
                <w:b/>
                <w:szCs w:val="17"/>
              </w:rPr>
              <w:t>)</w:t>
            </w:r>
          </w:p>
        </w:tc>
        <w:tc>
          <w:tcPr>
            <w:tcW w:w="851" w:type="dxa"/>
            <w:tcBorders>
              <w:top w:val="single" w:sz="4" w:space="0" w:color="auto"/>
              <w:left w:val="nil"/>
              <w:bottom w:val="single" w:sz="4" w:space="0" w:color="auto"/>
              <w:right w:val="nil"/>
            </w:tcBorders>
            <w:shd w:val="clear" w:color="auto" w:fill="auto"/>
            <w:vAlign w:val="bottom"/>
          </w:tcPr>
          <w:p w14:paraId="079D31A3" w14:textId="77777777" w:rsidR="00346FC5" w:rsidRPr="004413A5" w:rsidRDefault="00346FC5" w:rsidP="0098354D">
            <w:pPr>
              <w:cnfStyle w:val="000000000000" w:firstRow="0" w:lastRow="0" w:firstColumn="0" w:lastColumn="0" w:oddVBand="0" w:evenVBand="0" w:oddHBand="0" w:evenHBand="0" w:firstRowFirstColumn="0" w:firstRowLastColumn="0" w:lastRowFirstColumn="0" w:lastRowLastColumn="0"/>
              <w:rPr>
                <w:b/>
                <w:szCs w:val="17"/>
              </w:rPr>
            </w:pPr>
            <w:r w:rsidRPr="004413A5">
              <w:rPr>
                <w:rFonts w:ascii="Calibri" w:hAnsi="Calibri" w:cs="Calibri"/>
                <w:b/>
                <w:szCs w:val="17"/>
              </w:rPr>
              <w:t>(</w:t>
            </w:r>
            <w:r w:rsidRPr="004413A5">
              <w:rPr>
                <w:rFonts w:ascii="Calibri" w:hAnsi="Calibri" w:cs="Calibri"/>
                <w:b/>
                <w:bCs/>
                <w:szCs w:val="17"/>
              </w:rPr>
              <w:t>68.5</w:t>
            </w:r>
            <w:r w:rsidRPr="004413A5">
              <w:rPr>
                <w:rFonts w:ascii="Calibri" w:hAnsi="Calibri" w:cs="Calibri"/>
                <w:b/>
                <w:szCs w:val="17"/>
              </w:rPr>
              <w:t>)</w:t>
            </w:r>
          </w:p>
        </w:tc>
      </w:tr>
      <w:tr w:rsidR="00346FC5" w:rsidRPr="007036F9" w14:paraId="7639A023" w14:textId="77777777" w:rsidTr="0098354D">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single" w:sz="4" w:space="0" w:color="auto"/>
              <w:right w:val="nil"/>
            </w:tcBorders>
            <w:shd w:val="clear" w:color="000000" w:fill="FFFFFF"/>
            <w:vAlign w:val="bottom"/>
            <w:hideMark/>
          </w:tcPr>
          <w:p w14:paraId="1244223C" w14:textId="77777777" w:rsidR="00346FC5" w:rsidRPr="009663BB" w:rsidRDefault="00346FC5" w:rsidP="0098354D">
            <w:pPr>
              <w:keepLines w:val="0"/>
              <w:autoSpaceDE w:val="0"/>
              <w:autoSpaceDN w:val="0"/>
              <w:adjustRightInd w:val="0"/>
              <w:rPr>
                <w:rFonts w:eastAsiaTheme="minorEastAsia" w:cs="Calibri"/>
                <w:color w:val="000000"/>
                <w:szCs w:val="17"/>
                <w:lang w:eastAsia="en-AU"/>
              </w:rPr>
            </w:pPr>
            <w:r w:rsidRPr="009663BB">
              <w:rPr>
                <w:rFonts w:ascii="Calibri" w:hAnsi="Calibri" w:cs="Calibri"/>
                <w:szCs w:val="17"/>
              </w:rPr>
              <w:t>Other economic flows</w:t>
            </w:r>
          </w:p>
        </w:tc>
        <w:tc>
          <w:tcPr>
            <w:tcW w:w="850" w:type="dxa"/>
            <w:tcBorders>
              <w:top w:val="nil"/>
              <w:left w:val="nil"/>
              <w:bottom w:val="single" w:sz="4" w:space="0" w:color="auto"/>
              <w:right w:val="nil"/>
            </w:tcBorders>
            <w:shd w:val="clear" w:color="auto" w:fill="auto"/>
            <w:vAlign w:val="bottom"/>
          </w:tcPr>
          <w:p w14:paraId="5AE20161" w14:textId="77777777" w:rsidR="00346FC5" w:rsidRPr="004413A5" w:rsidRDefault="00346FC5" w:rsidP="0098354D">
            <w:pPr>
              <w:cnfStyle w:val="000000000000" w:firstRow="0" w:lastRow="0" w:firstColumn="0" w:lastColumn="0" w:oddVBand="0" w:evenVBand="0" w:oddHBand="0" w:evenHBand="0" w:firstRowFirstColumn="0" w:firstRowLastColumn="0" w:lastRowFirstColumn="0" w:lastRowLastColumn="0"/>
              <w:rPr>
                <w:szCs w:val="17"/>
              </w:rPr>
            </w:pPr>
            <w:r w:rsidRPr="004413A5">
              <w:rPr>
                <w:rFonts w:ascii="Calibri" w:hAnsi="Calibri" w:cs="Calibri"/>
                <w:szCs w:val="17"/>
              </w:rPr>
              <w:t>(1.0)</w:t>
            </w:r>
          </w:p>
        </w:tc>
        <w:tc>
          <w:tcPr>
            <w:tcW w:w="851" w:type="dxa"/>
            <w:tcBorders>
              <w:top w:val="nil"/>
              <w:left w:val="nil"/>
              <w:bottom w:val="single" w:sz="4" w:space="0" w:color="auto"/>
              <w:right w:val="nil"/>
            </w:tcBorders>
            <w:shd w:val="clear" w:color="auto" w:fill="auto"/>
            <w:vAlign w:val="bottom"/>
          </w:tcPr>
          <w:p w14:paraId="2B5BDF2D" w14:textId="77777777" w:rsidR="00346FC5" w:rsidRPr="004413A5" w:rsidRDefault="00346FC5" w:rsidP="0098354D">
            <w:pPr>
              <w:cnfStyle w:val="000000000000" w:firstRow="0" w:lastRow="0" w:firstColumn="0" w:lastColumn="0" w:oddVBand="0" w:evenVBand="0" w:oddHBand="0" w:evenHBand="0" w:firstRowFirstColumn="0" w:firstRowLastColumn="0" w:lastRowFirstColumn="0" w:lastRowLastColumn="0"/>
              <w:rPr>
                <w:szCs w:val="17"/>
              </w:rPr>
            </w:pPr>
            <w:r w:rsidRPr="004413A5">
              <w:rPr>
                <w:rFonts w:ascii="Calibri" w:hAnsi="Calibri" w:cs="Calibri"/>
                <w:szCs w:val="17"/>
              </w:rPr>
              <w:t>(0.6)</w:t>
            </w:r>
          </w:p>
        </w:tc>
        <w:tc>
          <w:tcPr>
            <w:tcW w:w="851" w:type="dxa"/>
            <w:tcBorders>
              <w:top w:val="nil"/>
              <w:left w:val="nil"/>
              <w:bottom w:val="single" w:sz="4" w:space="0" w:color="auto"/>
              <w:right w:val="nil"/>
            </w:tcBorders>
            <w:shd w:val="clear" w:color="auto" w:fill="auto"/>
            <w:vAlign w:val="bottom"/>
          </w:tcPr>
          <w:p w14:paraId="7E8D7B44" w14:textId="77777777" w:rsidR="00346FC5" w:rsidRPr="004413A5" w:rsidRDefault="00346FC5" w:rsidP="0098354D">
            <w:pPr>
              <w:cnfStyle w:val="000000000000" w:firstRow="0" w:lastRow="0" w:firstColumn="0" w:lastColumn="0" w:oddVBand="0" w:evenVBand="0" w:oddHBand="0" w:evenHBand="0" w:firstRowFirstColumn="0" w:firstRowLastColumn="0" w:lastRowFirstColumn="0" w:lastRowLastColumn="0"/>
              <w:rPr>
                <w:szCs w:val="17"/>
              </w:rPr>
            </w:pPr>
            <w:r w:rsidRPr="004413A5">
              <w:rPr>
                <w:rFonts w:ascii="Calibri" w:hAnsi="Calibri" w:cs="Calibri"/>
                <w:szCs w:val="17"/>
              </w:rPr>
              <w:t>0.1</w:t>
            </w:r>
          </w:p>
        </w:tc>
        <w:tc>
          <w:tcPr>
            <w:tcW w:w="851" w:type="dxa"/>
            <w:tcBorders>
              <w:top w:val="nil"/>
              <w:left w:val="nil"/>
              <w:bottom w:val="single" w:sz="4" w:space="0" w:color="auto"/>
              <w:right w:val="nil"/>
            </w:tcBorders>
            <w:shd w:val="clear" w:color="auto" w:fill="auto"/>
            <w:vAlign w:val="bottom"/>
          </w:tcPr>
          <w:p w14:paraId="14BEC935" w14:textId="77777777" w:rsidR="00346FC5" w:rsidRPr="004413A5" w:rsidRDefault="00346FC5" w:rsidP="0098354D">
            <w:pPr>
              <w:cnfStyle w:val="000000000000" w:firstRow="0" w:lastRow="0" w:firstColumn="0" w:lastColumn="0" w:oddVBand="0" w:evenVBand="0" w:oddHBand="0" w:evenHBand="0" w:firstRowFirstColumn="0" w:firstRowLastColumn="0" w:lastRowFirstColumn="0" w:lastRowLastColumn="0"/>
              <w:rPr>
                <w:szCs w:val="17"/>
              </w:rPr>
            </w:pPr>
            <w:r w:rsidRPr="004413A5">
              <w:rPr>
                <w:rFonts w:ascii="Calibri" w:hAnsi="Calibri" w:cs="Calibri"/>
                <w:szCs w:val="17"/>
              </w:rPr>
              <w:t>0.1</w:t>
            </w:r>
          </w:p>
        </w:tc>
      </w:tr>
      <w:tr w:rsidR="00346FC5" w:rsidRPr="007036F9" w14:paraId="4665267A" w14:textId="77777777" w:rsidTr="0098354D">
        <w:tc>
          <w:tcPr>
            <w:cnfStyle w:val="001000000000" w:firstRow="0" w:lastRow="0" w:firstColumn="1" w:lastColumn="0" w:oddVBand="0" w:evenVBand="0" w:oddHBand="0" w:evenHBand="0" w:firstRowFirstColumn="0" w:firstRowLastColumn="0" w:lastRowFirstColumn="0" w:lastRowLastColumn="0"/>
            <w:tcW w:w="4367" w:type="dxa"/>
            <w:tcBorders>
              <w:top w:val="single" w:sz="4" w:space="0" w:color="auto"/>
              <w:left w:val="nil"/>
              <w:bottom w:val="single" w:sz="4" w:space="0" w:color="auto"/>
              <w:right w:val="nil"/>
            </w:tcBorders>
            <w:shd w:val="clear" w:color="000000" w:fill="FFFFFF"/>
            <w:vAlign w:val="bottom"/>
            <w:hideMark/>
          </w:tcPr>
          <w:p w14:paraId="1BC14D29" w14:textId="77777777" w:rsidR="00346FC5" w:rsidRPr="009663BB" w:rsidRDefault="00346FC5" w:rsidP="0098354D">
            <w:pPr>
              <w:keepLines w:val="0"/>
              <w:autoSpaceDE w:val="0"/>
              <w:autoSpaceDN w:val="0"/>
              <w:adjustRightInd w:val="0"/>
              <w:rPr>
                <w:rFonts w:eastAsiaTheme="minorEastAsia" w:cs="Calibri"/>
                <w:b/>
                <w:bCs/>
                <w:color w:val="000000"/>
                <w:szCs w:val="17"/>
                <w:lang w:eastAsia="en-AU"/>
              </w:rPr>
            </w:pPr>
            <w:r w:rsidRPr="009663BB">
              <w:rPr>
                <w:rFonts w:ascii="Calibri" w:hAnsi="Calibri" w:cs="Calibri"/>
                <w:b/>
                <w:bCs/>
                <w:szCs w:val="17"/>
              </w:rPr>
              <w:t>Net result</w:t>
            </w:r>
          </w:p>
        </w:tc>
        <w:tc>
          <w:tcPr>
            <w:tcW w:w="850" w:type="dxa"/>
            <w:tcBorders>
              <w:top w:val="single" w:sz="4" w:space="0" w:color="auto"/>
              <w:left w:val="nil"/>
              <w:bottom w:val="single" w:sz="4" w:space="0" w:color="auto"/>
              <w:right w:val="nil"/>
            </w:tcBorders>
            <w:shd w:val="clear" w:color="auto" w:fill="auto"/>
            <w:vAlign w:val="bottom"/>
          </w:tcPr>
          <w:p w14:paraId="61B9EDD7" w14:textId="77777777" w:rsidR="00346FC5" w:rsidRPr="004413A5" w:rsidRDefault="00346FC5" w:rsidP="0098354D">
            <w:pPr>
              <w:cnfStyle w:val="000000000000" w:firstRow="0" w:lastRow="0" w:firstColumn="0" w:lastColumn="0" w:oddVBand="0" w:evenVBand="0" w:oddHBand="0" w:evenHBand="0" w:firstRowFirstColumn="0" w:firstRowLastColumn="0" w:lastRowFirstColumn="0" w:lastRowLastColumn="0"/>
              <w:rPr>
                <w:b/>
                <w:szCs w:val="17"/>
              </w:rPr>
            </w:pPr>
            <w:r w:rsidRPr="004413A5">
              <w:rPr>
                <w:rFonts w:ascii="Calibri" w:hAnsi="Calibri" w:cs="Calibri"/>
                <w:b/>
                <w:szCs w:val="17"/>
              </w:rPr>
              <w:t>(</w:t>
            </w:r>
            <w:r w:rsidRPr="004413A5">
              <w:rPr>
                <w:rFonts w:ascii="Calibri" w:hAnsi="Calibri" w:cs="Calibri"/>
                <w:b/>
                <w:bCs/>
                <w:szCs w:val="17"/>
              </w:rPr>
              <w:t>304</w:t>
            </w:r>
            <w:r w:rsidRPr="004413A5">
              <w:rPr>
                <w:rFonts w:ascii="Calibri" w:hAnsi="Calibri" w:cs="Calibri"/>
                <w:b/>
                <w:szCs w:val="17"/>
              </w:rPr>
              <w:t>.8)</w:t>
            </w:r>
          </w:p>
        </w:tc>
        <w:tc>
          <w:tcPr>
            <w:tcW w:w="851" w:type="dxa"/>
            <w:tcBorders>
              <w:top w:val="single" w:sz="4" w:space="0" w:color="auto"/>
              <w:left w:val="nil"/>
              <w:bottom w:val="single" w:sz="4" w:space="0" w:color="auto"/>
              <w:right w:val="nil"/>
            </w:tcBorders>
            <w:shd w:val="clear" w:color="auto" w:fill="auto"/>
            <w:vAlign w:val="bottom"/>
          </w:tcPr>
          <w:p w14:paraId="34E64A0A" w14:textId="77777777" w:rsidR="00346FC5" w:rsidRPr="004413A5" w:rsidRDefault="00346FC5" w:rsidP="0098354D">
            <w:pPr>
              <w:cnfStyle w:val="000000000000" w:firstRow="0" w:lastRow="0" w:firstColumn="0" w:lastColumn="0" w:oddVBand="0" w:evenVBand="0" w:oddHBand="0" w:evenHBand="0" w:firstRowFirstColumn="0" w:firstRowLastColumn="0" w:lastRowFirstColumn="0" w:lastRowLastColumn="0"/>
              <w:rPr>
                <w:b/>
                <w:szCs w:val="17"/>
              </w:rPr>
            </w:pPr>
            <w:r w:rsidRPr="004413A5">
              <w:rPr>
                <w:rFonts w:ascii="Calibri" w:hAnsi="Calibri" w:cs="Calibri"/>
                <w:b/>
                <w:szCs w:val="17"/>
              </w:rPr>
              <w:t>(</w:t>
            </w:r>
            <w:r w:rsidRPr="004413A5">
              <w:rPr>
                <w:rFonts w:ascii="Calibri" w:hAnsi="Calibri" w:cs="Calibri"/>
                <w:b/>
                <w:bCs/>
                <w:szCs w:val="17"/>
              </w:rPr>
              <w:t>233.2</w:t>
            </w:r>
            <w:r w:rsidRPr="004413A5">
              <w:rPr>
                <w:rFonts w:ascii="Calibri" w:hAnsi="Calibri" w:cs="Calibri"/>
                <w:b/>
                <w:szCs w:val="17"/>
              </w:rPr>
              <w:t>)</w:t>
            </w:r>
          </w:p>
        </w:tc>
        <w:tc>
          <w:tcPr>
            <w:tcW w:w="851" w:type="dxa"/>
            <w:tcBorders>
              <w:top w:val="single" w:sz="4" w:space="0" w:color="auto"/>
              <w:left w:val="nil"/>
              <w:bottom w:val="single" w:sz="4" w:space="0" w:color="auto"/>
              <w:right w:val="nil"/>
            </w:tcBorders>
            <w:shd w:val="clear" w:color="auto" w:fill="auto"/>
            <w:vAlign w:val="bottom"/>
          </w:tcPr>
          <w:p w14:paraId="01B341EB" w14:textId="77777777" w:rsidR="00346FC5" w:rsidRPr="004413A5" w:rsidRDefault="00346FC5" w:rsidP="0098354D">
            <w:pPr>
              <w:cnfStyle w:val="000000000000" w:firstRow="0" w:lastRow="0" w:firstColumn="0" w:lastColumn="0" w:oddVBand="0" w:evenVBand="0" w:oddHBand="0" w:evenHBand="0" w:firstRowFirstColumn="0" w:firstRowLastColumn="0" w:lastRowFirstColumn="0" w:lastRowLastColumn="0"/>
              <w:rPr>
                <w:b/>
                <w:szCs w:val="17"/>
              </w:rPr>
            </w:pPr>
            <w:r w:rsidRPr="004413A5">
              <w:rPr>
                <w:rFonts w:ascii="Calibri" w:hAnsi="Calibri" w:cs="Calibri"/>
                <w:b/>
                <w:szCs w:val="17"/>
              </w:rPr>
              <w:t>(</w:t>
            </w:r>
            <w:r w:rsidRPr="004413A5">
              <w:rPr>
                <w:rFonts w:ascii="Calibri" w:hAnsi="Calibri" w:cs="Calibri"/>
                <w:b/>
                <w:bCs/>
                <w:szCs w:val="17"/>
              </w:rPr>
              <w:t>69.7</w:t>
            </w:r>
            <w:r w:rsidRPr="004413A5">
              <w:rPr>
                <w:rFonts w:ascii="Calibri" w:hAnsi="Calibri" w:cs="Calibri"/>
                <w:b/>
                <w:szCs w:val="17"/>
              </w:rPr>
              <w:t>)</w:t>
            </w:r>
          </w:p>
        </w:tc>
        <w:tc>
          <w:tcPr>
            <w:tcW w:w="851" w:type="dxa"/>
            <w:tcBorders>
              <w:top w:val="single" w:sz="4" w:space="0" w:color="auto"/>
              <w:left w:val="nil"/>
              <w:bottom w:val="single" w:sz="4" w:space="0" w:color="auto"/>
              <w:right w:val="nil"/>
            </w:tcBorders>
            <w:shd w:val="clear" w:color="auto" w:fill="auto"/>
            <w:vAlign w:val="bottom"/>
          </w:tcPr>
          <w:p w14:paraId="54F49782" w14:textId="77777777" w:rsidR="00346FC5" w:rsidRPr="004413A5" w:rsidRDefault="00346FC5" w:rsidP="0098354D">
            <w:pPr>
              <w:cnfStyle w:val="000000000000" w:firstRow="0" w:lastRow="0" w:firstColumn="0" w:lastColumn="0" w:oddVBand="0" w:evenVBand="0" w:oddHBand="0" w:evenHBand="0" w:firstRowFirstColumn="0" w:firstRowLastColumn="0" w:lastRowFirstColumn="0" w:lastRowLastColumn="0"/>
              <w:rPr>
                <w:b/>
                <w:szCs w:val="17"/>
              </w:rPr>
            </w:pPr>
            <w:r w:rsidRPr="004413A5">
              <w:rPr>
                <w:rFonts w:ascii="Calibri" w:hAnsi="Calibri" w:cs="Calibri"/>
                <w:b/>
                <w:szCs w:val="17"/>
              </w:rPr>
              <w:t>(</w:t>
            </w:r>
            <w:r w:rsidRPr="004413A5">
              <w:rPr>
                <w:rFonts w:ascii="Calibri" w:hAnsi="Calibri" w:cs="Calibri"/>
                <w:b/>
                <w:bCs/>
                <w:szCs w:val="17"/>
              </w:rPr>
              <w:t>68.5</w:t>
            </w:r>
            <w:r w:rsidRPr="004413A5">
              <w:rPr>
                <w:rFonts w:ascii="Calibri" w:hAnsi="Calibri" w:cs="Calibri"/>
                <w:b/>
                <w:szCs w:val="17"/>
              </w:rPr>
              <w:t>)</w:t>
            </w:r>
          </w:p>
        </w:tc>
      </w:tr>
      <w:tr w:rsidR="00346FC5" w:rsidRPr="007036F9" w14:paraId="0FD9B26A" w14:textId="77777777" w:rsidTr="0098354D">
        <w:tc>
          <w:tcPr>
            <w:cnfStyle w:val="001000000000" w:firstRow="0" w:lastRow="0" w:firstColumn="1" w:lastColumn="0" w:oddVBand="0" w:evenVBand="0" w:oddHBand="0" w:evenHBand="0" w:firstRowFirstColumn="0" w:firstRowLastColumn="0" w:lastRowFirstColumn="0" w:lastRowLastColumn="0"/>
            <w:tcW w:w="4367" w:type="dxa"/>
            <w:tcBorders>
              <w:top w:val="single" w:sz="4" w:space="0" w:color="auto"/>
              <w:left w:val="nil"/>
              <w:bottom w:val="single" w:sz="4" w:space="0" w:color="auto"/>
              <w:right w:val="nil"/>
            </w:tcBorders>
            <w:shd w:val="clear" w:color="000000" w:fill="FFFFFF"/>
            <w:vAlign w:val="bottom"/>
            <w:hideMark/>
          </w:tcPr>
          <w:p w14:paraId="3181F568" w14:textId="77777777" w:rsidR="00346FC5" w:rsidRPr="009663BB" w:rsidRDefault="00346FC5" w:rsidP="0098354D">
            <w:pPr>
              <w:keepLines w:val="0"/>
              <w:autoSpaceDE w:val="0"/>
              <w:autoSpaceDN w:val="0"/>
              <w:adjustRightInd w:val="0"/>
              <w:rPr>
                <w:rFonts w:eastAsiaTheme="minorEastAsia" w:cs="Calibri"/>
                <w:b/>
                <w:bCs/>
                <w:color w:val="000000"/>
                <w:szCs w:val="17"/>
                <w:lang w:eastAsia="en-AU"/>
              </w:rPr>
            </w:pPr>
            <w:r w:rsidRPr="009663BB">
              <w:rPr>
                <w:rFonts w:ascii="Calibri" w:hAnsi="Calibri" w:cs="Calibri"/>
                <w:b/>
                <w:bCs/>
                <w:szCs w:val="17"/>
              </w:rPr>
              <w:t>Net debt (cumulative)</w:t>
            </w:r>
          </w:p>
        </w:tc>
        <w:tc>
          <w:tcPr>
            <w:tcW w:w="850" w:type="dxa"/>
            <w:tcBorders>
              <w:top w:val="single" w:sz="4" w:space="0" w:color="auto"/>
              <w:left w:val="nil"/>
              <w:bottom w:val="single" w:sz="4" w:space="0" w:color="auto"/>
              <w:right w:val="nil"/>
            </w:tcBorders>
            <w:shd w:val="clear" w:color="auto" w:fill="auto"/>
            <w:vAlign w:val="bottom"/>
          </w:tcPr>
          <w:p w14:paraId="61B05D83" w14:textId="77777777" w:rsidR="00346FC5" w:rsidRPr="004413A5" w:rsidRDefault="00346FC5" w:rsidP="0098354D">
            <w:pPr>
              <w:cnfStyle w:val="000000000000" w:firstRow="0" w:lastRow="0" w:firstColumn="0" w:lastColumn="0" w:oddVBand="0" w:evenVBand="0" w:oddHBand="0" w:evenHBand="0" w:firstRowFirstColumn="0" w:firstRowLastColumn="0" w:lastRowFirstColumn="0" w:lastRowLastColumn="0"/>
              <w:rPr>
                <w:b/>
                <w:szCs w:val="17"/>
              </w:rPr>
            </w:pPr>
            <w:r w:rsidRPr="004413A5">
              <w:rPr>
                <w:rFonts w:ascii="Calibri" w:hAnsi="Calibri" w:cs="Calibri"/>
                <w:b/>
                <w:bCs/>
                <w:szCs w:val="17"/>
              </w:rPr>
              <w:t>304</w:t>
            </w:r>
            <w:r w:rsidRPr="004413A5">
              <w:rPr>
                <w:rFonts w:ascii="Calibri" w:hAnsi="Calibri" w:cs="Calibri"/>
                <w:b/>
                <w:szCs w:val="17"/>
              </w:rPr>
              <w:t>.8</w:t>
            </w:r>
          </w:p>
        </w:tc>
        <w:tc>
          <w:tcPr>
            <w:tcW w:w="851" w:type="dxa"/>
            <w:tcBorders>
              <w:top w:val="single" w:sz="4" w:space="0" w:color="auto"/>
              <w:left w:val="nil"/>
              <w:bottom w:val="single" w:sz="4" w:space="0" w:color="auto"/>
              <w:right w:val="nil"/>
            </w:tcBorders>
            <w:shd w:val="clear" w:color="auto" w:fill="auto"/>
            <w:vAlign w:val="bottom"/>
          </w:tcPr>
          <w:p w14:paraId="46005669" w14:textId="77777777" w:rsidR="00346FC5" w:rsidRPr="004413A5" w:rsidRDefault="00346FC5" w:rsidP="0098354D">
            <w:pPr>
              <w:cnfStyle w:val="000000000000" w:firstRow="0" w:lastRow="0" w:firstColumn="0" w:lastColumn="0" w:oddVBand="0" w:evenVBand="0" w:oddHBand="0" w:evenHBand="0" w:firstRowFirstColumn="0" w:firstRowLastColumn="0" w:lastRowFirstColumn="0" w:lastRowLastColumn="0"/>
              <w:rPr>
                <w:b/>
                <w:szCs w:val="17"/>
              </w:rPr>
            </w:pPr>
            <w:r w:rsidRPr="004413A5">
              <w:rPr>
                <w:rFonts w:ascii="Calibri" w:hAnsi="Calibri" w:cs="Calibri"/>
                <w:b/>
                <w:bCs/>
                <w:szCs w:val="17"/>
              </w:rPr>
              <w:t>537.9</w:t>
            </w:r>
          </w:p>
        </w:tc>
        <w:tc>
          <w:tcPr>
            <w:tcW w:w="851" w:type="dxa"/>
            <w:tcBorders>
              <w:top w:val="single" w:sz="4" w:space="0" w:color="auto"/>
              <w:left w:val="nil"/>
              <w:bottom w:val="single" w:sz="4" w:space="0" w:color="auto"/>
              <w:right w:val="nil"/>
            </w:tcBorders>
            <w:shd w:val="clear" w:color="auto" w:fill="auto"/>
            <w:vAlign w:val="bottom"/>
          </w:tcPr>
          <w:p w14:paraId="15FFE299" w14:textId="77777777" w:rsidR="00346FC5" w:rsidRPr="004413A5" w:rsidRDefault="00346FC5" w:rsidP="0098354D">
            <w:pPr>
              <w:cnfStyle w:val="000000000000" w:firstRow="0" w:lastRow="0" w:firstColumn="0" w:lastColumn="0" w:oddVBand="0" w:evenVBand="0" w:oddHBand="0" w:evenHBand="0" w:firstRowFirstColumn="0" w:firstRowLastColumn="0" w:lastRowFirstColumn="0" w:lastRowLastColumn="0"/>
              <w:rPr>
                <w:b/>
                <w:szCs w:val="17"/>
              </w:rPr>
            </w:pPr>
            <w:r w:rsidRPr="004413A5">
              <w:rPr>
                <w:rFonts w:ascii="Calibri" w:hAnsi="Calibri" w:cs="Calibri"/>
                <w:b/>
                <w:bCs/>
                <w:szCs w:val="17"/>
              </w:rPr>
              <w:t>607.6</w:t>
            </w:r>
          </w:p>
        </w:tc>
        <w:tc>
          <w:tcPr>
            <w:tcW w:w="851" w:type="dxa"/>
            <w:tcBorders>
              <w:top w:val="single" w:sz="4" w:space="0" w:color="auto"/>
              <w:left w:val="nil"/>
              <w:bottom w:val="single" w:sz="4" w:space="0" w:color="auto"/>
              <w:right w:val="nil"/>
            </w:tcBorders>
            <w:shd w:val="clear" w:color="auto" w:fill="auto"/>
            <w:vAlign w:val="bottom"/>
          </w:tcPr>
          <w:p w14:paraId="14A4C301" w14:textId="77777777" w:rsidR="00346FC5" w:rsidRPr="004413A5" w:rsidRDefault="00346FC5" w:rsidP="0098354D">
            <w:pPr>
              <w:cnfStyle w:val="000000000000" w:firstRow="0" w:lastRow="0" w:firstColumn="0" w:lastColumn="0" w:oddVBand="0" w:evenVBand="0" w:oddHBand="0" w:evenHBand="0" w:firstRowFirstColumn="0" w:firstRowLastColumn="0" w:lastRowFirstColumn="0" w:lastRowLastColumn="0"/>
              <w:rPr>
                <w:b/>
                <w:szCs w:val="17"/>
              </w:rPr>
            </w:pPr>
            <w:r w:rsidRPr="004413A5">
              <w:rPr>
                <w:rFonts w:ascii="Calibri" w:hAnsi="Calibri" w:cs="Calibri"/>
                <w:b/>
                <w:bCs/>
                <w:szCs w:val="17"/>
              </w:rPr>
              <w:t>676.1</w:t>
            </w:r>
          </w:p>
        </w:tc>
      </w:tr>
      <w:tr w:rsidR="00346FC5" w:rsidRPr="007036F9" w14:paraId="642AC07C" w14:textId="77777777" w:rsidTr="0098354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dxa"/>
            <w:tcBorders>
              <w:top w:val="single" w:sz="4" w:space="0" w:color="auto"/>
              <w:bottom w:val="single" w:sz="8" w:space="0" w:color="auto"/>
            </w:tcBorders>
            <w:shd w:val="clear" w:color="000000" w:fill="FFFFFF"/>
            <w:vAlign w:val="bottom"/>
            <w:hideMark/>
          </w:tcPr>
          <w:p w14:paraId="2D9E5710" w14:textId="77777777" w:rsidR="00346FC5" w:rsidRPr="009663BB" w:rsidRDefault="00346FC5" w:rsidP="0098354D">
            <w:pPr>
              <w:keepLines w:val="0"/>
              <w:autoSpaceDE w:val="0"/>
              <w:autoSpaceDN w:val="0"/>
              <w:adjustRightInd w:val="0"/>
              <w:rPr>
                <w:rFonts w:eastAsiaTheme="minorEastAsia" w:cs="Calibri"/>
                <w:bCs/>
                <w:color w:val="000000"/>
                <w:szCs w:val="17"/>
                <w:lang w:eastAsia="en-AU"/>
              </w:rPr>
            </w:pPr>
            <w:r w:rsidRPr="009663BB">
              <w:rPr>
                <w:rFonts w:ascii="Calibri" w:hAnsi="Calibri" w:cs="Calibri"/>
                <w:b w:val="0"/>
                <w:bCs/>
                <w:szCs w:val="17"/>
              </w:rPr>
              <w:t>Net debt to GSP ratio (percentage point difference)</w:t>
            </w:r>
          </w:p>
        </w:tc>
        <w:tc>
          <w:tcPr>
            <w:tcW w:w="850" w:type="dxa"/>
            <w:tcBorders>
              <w:top w:val="single" w:sz="4" w:space="0" w:color="auto"/>
              <w:bottom w:val="single" w:sz="8" w:space="0" w:color="auto"/>
            </w:tcBorders>
            <w:shd w:val="clear" w:color="auto" w:fill="auto"/>
            <w:vAlign w:val="bottom"/>
          </w:tcPr>
          <w:p w14:paraId="2E7ED063" w14:textId="77777777" w:rsidR="00346FC5" w:rsidRPr="004413A5" w:rsidRDefault="00346FC5" w:rsidP="0098354D">
            <w:pPr>
              <w:cnfStyle w:val="010000000000" w:firstRow="0" w:lastRow="1" w:firstColumn="0" w:lastColumn="0" w:oddVBand="0" w:evenVBand="0" w:oddHBand="0" w:evenHBand="0" w:firstRowFirstColumn="0" w:firstRowLastColumn="0" w:lastRowFirstColumn="0" w:lastRowLastColumn="0"/>
              <w:rPr>
                <w:szCs w:val="17"/>
              </w:rPr>
            </w:pPr>
            <w:r w:rsidRPr="004413A5">
              <w:rPr>
                <w:rFonts w:ascii="Calibri" w:hAnsi="Calibri" w:cs="Calibri"/>
                <w:b w:val="0"/>
                <w:szCs w:val="17"/>
              </w:rPr>
              <w:t>0.05</w:t>
            </w:r>
          </w:p>
        </w:tc>
        <w:tc>
          <w:tcPr>
            <w:tcW w:w="851" w:type="dxa"/>
            <w:tcBorders>
              <w:top w:val="single" w:sz="4" w:space="0" w:color="auto"/>
              <w:bottom w:val="single" w:sz="8" w:space="0" w:color="auto"/>
            </w:tcBorders>
            <w:shd w:val="clear" w:color="auto" w:fill="auto"/>
            <w:vAlign w:val="bottom"/>
          </w:tcPr>
          <w:p w14:paraId="520D3C0F" w14:textId="77777777" w:rsidR="00346FC5" w:rsidRPr="004413A5" w:rsidRDefault="00346FC5" w:rsidP="0098354D">
            <w:pPr>
              <w:cnfStyle w:val="010000000000" w:firstRow="0" w:lastRow="1" w:firstColumn="0" w:lastColumn="0" w:oddVBand="0" w:evenVBand="0" w:oddHBand="0" w:evenHBand="0" w:firstRowFirstColumn="0" w:firstRowLastColumn="0" w:lastRowFirstColumn="0" w:lastRowLastColumn="0"/>
              <w:rPr>
                <w:szCs w:val="17"/>
              </w:rPr>
            </w:pPr>
            <w:r w:rsidRPr="004413A5">
              <w:rPr>
                <w:rFonts w:ascii="Calibri" w:hAnsi="Calibri" w:cs="Calibri"/>
                <w:b w:val="0"/>
                <w:szCs w:val="17"/>
              </w:rPr>
              <w:t>0.09</w:t>
            </w:r>
          </w:p>
        </w:tc>
        <w:tc>
          <w:tcPr>
            <w:tcW w:w="851" w:type="dxa"/>
            <w:tcBorders>
              <w:top w:val="single" w:sz="4" w:space="0" w:color="auto"/>
              <w:bottom w:val="single" w:sz="8" w:space="0" w:color="auto"/>
            </w:tcBorders>
            <w:shd w:val="clear" w:color="auto" w:fill="auto"/>
            <w:vAlign w:val="bottom"/>
          </w:tcPr>
          <w:p w14:paraId="60C5D9F9" w14:textId="77777777" w:rsidR="00346FC5" w:rsidRPr="004413A5" w:rsidRDefault="00346FC5" w:rsidP="0098354D">
            <w:pPr>
              <w:cnfStyle w:val="010000000000" w:firstRow="0" w:lastRow="1" w:firstColumn="0" w:lastColumn="0" w:oddVBand="0" w:evenVBand="0" w:oddHBand="0" w:evenHBand="0" w:firstRowFirstColumn="0" w:firstRowLastColumn="0" w:lastRowFirstColumn="0" w:lastRowLastColumn="0"/>
              <w:rPr>
                <w:szCs w:val="17"/>
              </w:rPr>
            </w:pPr>
            <w:r w:rsidRPr="004413A5">
              <w:rPr>
                <w:rFonts w:ascii="Calibri" w:hAnsi="Calibri" w:cs="Calibri"/>
                <w:b w:val="0"/>
                <w:szCs w:val="17"/>
              </w:rPr>
              <w:t>0.09</w:t>
            </w:r>
          </w:p>
        </w:tc>
        <w:tc>
          <w:tcPr>
            <w:tcW w:w="851" w:type="dxa"/>
            <w:tcBorders>
              <w:top w:val="single" w:sz="4" w:space="0" w:color="auto"/>
              <w:bottom w:val="single" w:sz="8" w:space="0" w:color="auto"/>
            </w:tcBorders>
            <w:shd w:val="clear" w:color="auto" w:fill="auto"/>
            <w:vAlign w:val="bottom"/>
          </w:tcPr>
          <w:p w14:paraId="21480D16" w14:textId="77777777" w:rsidR="00346FC5" w:rsidRPr="004413A5" w:rsidRDefault="00346FC5" w:rsidP="0098354D">
            <w:pPr>
              <w:cnfStyle w:val="010000000000" w:firstRow="0" w:lastRow="1" w:firstColumn="0" w:lastColumn="0" w:oddVBand="0" w:evenVBand="0" w:oddHBand="0" w:evenHBand="0" w:firstRowFirstColumn="0" w:firstRowLastColumn="0" w:lastRowFirstColumn="0" w:lastRowLastColumn="0"/>
              <w:rPr>
                <w:szCs w:val="17"/>
              </w:rPr>
            </w:pPr>
            <w:r w:rsidRPr="004413A5">
              <w:rPr>
                <w:rFonts w:ascii="Calibri" w:hAnsi="Calibri" w:cs="Calibri"/>
                <w:b w:val="0"/>
                <w:szCs w:val="17"/>
              </w:rPr>
              <w:t>0.10</w:t>
            </w:r>
          </w:p>
        </w:tc>
      </w:tr>
    </w:tbl>
    <w:p w14:paraId="5727376D" w14:textId="77777777" w:rsidR="00346FC5" w:rsidRPr="001232A3" w:rsidRDefault="00346FC5" w:rsidP="00346FC5">
      <w:pPr>
        <w:pStyle w:val="Note"/>
      </w:pPr>
      <w:r w:rsidRPr="001232A3">
        <w:t xml:space="preserve">Note: </w:t>
      </w:r>
    </w:p>
    <w:p w14:paraId="16863D65" w14:textId="77777777" w:rsidR="00346FC5" w:rsidRPr="00C7341B" w:rsidRDefault="00346FC5" w:rsidP="00346FC5">
      <w:pPr>
        <w:pStyle w:val="Note"/>
      </w:pPr>
      <w:r w:rsidRPr="00C7341B">
        <w:t>(a)</w:t>
      </w:r>
      <w:r w:rsidRPr="00C7341B">
        <w:tab/>
        <w:t>Figures may not add due to rounding.</w:t>
      </w:r>
    </w:p>
    <w:p w14:paraId="36EE1BA4" w14:textId="77777777" w:rsidR="00346FC5" w:rsidRDefault="00346FC5" w:rsidP="00346FC5">
      <w:pPr>
        <w:pStyle w:val="Heading10"/>
      </w:pPr>
      <w:bookmarkStart w:id="86" w:name="_Toc9436042"/>
      <w:bookmarkStart w:id="87" w:name="_Toc135331263"/>
      <w:r>
        <w:t>Sensitivity to independent variations in major economic parameters</w:t>
      </w:r>
      <w:bookmarkEnd w:id="86"/>
      <w:bookmarkEnd w:id="87"/>
    </w:p>
    <w:p w14:paraId="67A73526" w14:textId="77777777" w:rsidR="00346FC5" w:rsidRDefault="00346FC5" w:rsidP="00346FC5">
      <w:pPr>
        <w:rPr>
          <w:color w:val="000000" w:themeColor="text1"/>
        </w:rPr>
      </w:pPr>
      <w:r w:rsidRPr="000279B0">
        <w:rPr>
          <w:color w:val="000000" w:themeColor="text1"/>
        </w:rPr>
        <w:t>Table A.3 presents the sensitivity of financial aggregates where the levels of key economic parameters are 1 per cent (or, for interest rates, 1 percentage point) above the forecast for each year of the budget and forward estimates, holding all else constant.</w:t>
      </w:r>
      <w:r>
        <w:rPr>
          <w:color w:val="000000" w:themeColor="text1"/>
        </w:rPr>
        <w:t xml:space="preserve"> </w:t>
      </w:r>
    </w:p>
    <w:p w14:paraId="14AED317" w14:textId="77777777" w:rsidR="00346FC5" w:rsidRDefault="00346FC5" w:rsidP="00346FC5">
      <w:pPr>
        <w:rPr>
          <w:color w:val="000000" w:themeColor="text1"/>
        </w:rPr>
      </w:pPr>
      <w:r>
        <w:rPr>
          <w:color w:val="000000" w:themeColor="text1"/>
        </w:rPr>
        <w:t xml:space="preserve">The impacts shown are broadly symmetric; that is, the estimated fiscal impacts would apply approximately equally in the opposite direction where there is a decrease in the parameter. Differences may arise to the extent that the impact on income tax equivalent income may not be symmetric because that line item is subject to a floor of zero, and the impact on dividends may be affected by some entities facing caps on the share of profits that can be returned to the general government sector. </w:t>
      </w:r>
    </w:p>
    <w:p w14:paraId="11E4DC7F" w14:textId="77777777" w:rsidR="00346FC5" w:rsidRDefault="00346FC5" w:rsidP="00346FC5">
      <w:pPr>
        <w:keepLines w:val="0"/>
        <w:rPr>
          <w:color w:val="000000" w:themeColor="text1"/>
        </w:rPr>
      </w:pPr>
      <w:r>
        <w:rPr>
          <w:color w:val="000000" w:themeColor="text1"/>
        </w:rPr>
        <w:br w:type="page"/>
      </w:r>
    </w:p>
    <w:p w14:paraId="13EB9E06" w14:textId="77777777" w:rsidR="00346FC5" w:rsidRDefault="00346FC5" w:rsidP="00346FC5">
      <w:pPr>
        <w:pStyle w:val="TableHeading"/>
      </w:pPr>
      <w:r>
        <w:t>Table A.3:</w:t>
      </w:r>
      <w:r>
        <w:tab/>
        <w:t xml:space="preserve">Sensitivity of key fiscal aggregates to selected indicators being </w:t>
      </w:r>
      <w:r>
        <w:br/>
        <w:t>1 per cent higher than expected from 2023</w:t>
      </w:r>
      <w:r>
        <w:noBreakHyphen/>
        <w:t>24</w:t>
      </w:r>
      <w:r>
        <w:rPr>
          <w:vertAlign w:val="superscript"/>
        </w:rPr>
        <w:t xml:space="preserve"> (a)(b)(c)(d</w:t>
      </w:r>
      <w:r w:rsidRPr="43C2C2A9">
        <w:rPr>
          <w:vertAlign w:val="superscript"/>
        </w:rPr>
        <w:t>)</w:t>
      </w:r>
      <w:r>
        <w:rPr>
          <w:vertAlign w:val="superscript"/>
        </w:rPr>
        <w:t>(e</w:t>
      </w:r>
      <w:r w:rsidRPr="43C2C2A9">
        <w:rPr>
          <w:vertAlign w:val="superscript"/>
        </w:rPr>
        <w:t>)</w:t>
      </w:r>
      <w:r>
        <w:tab/>
      </w:r>
      <w:r w:rsidRPr="000D74B1">
        <w:t>($ million)</w:t>
      </w:r>
    </w:p>
    <w:tbl>
      <w:tblPr>
        <w:tblStyle w:val="DTFTable"/>
        <w:tblW w:w="7755" w:type="dxa"/>
        <w:tblLayout w:type="fixed"/>
        <w:tblLook w:val="06E0" w:firstRow="1" w:lastRow="1" w:firstColumn="1" w:lastColumn="0" w:noHBand="1" w:noVBand="1"/>
      </w:tblPr>
      <w:tblGrid>
        <w:gridCol w:w="4360"/>
        <w:gridCol w:w="849"/>
        <w:gridCol w:w="848"/>
        <w:gridCol w:w="849"/>
        <w:gridCol w:w="849"/>
      </w:tblGrid>
      <w:tr w:rsidR="00346FC5" w:rsidRPr="00CF5471" w14:paraId="623CE0A5" w14:textId="77777777" w:rsidTr="0098354D">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4360" w:type="dxa"/>
          </w:tcPr>
          <w:p w14:paraId="511A1443" w14:textId="77777777" w:rsidR="00346FC5" w:rsidRPr="00CF5471" w:rsidRDefault="00346FC5" w:rsidP="0098354D">
            <w:pPr>
              <w:autoSpaceDE w:val="0"/>
              <w:autoSpaceDN w:val="0"/>
              <w:adjustRightInd w:val="0"/>
              <w:rPr>
                <w:rFonts w:cstheme="majorHAnsi"/>
                <w:szCs w:val="17"/>
              </w:rPr>
            </w:pPr>
            <w:bookmarkStart w:id="88" w:name="_Hlk100825913"/>
          </w:p>
        </w:tc>
        <w:tc>
          <w:tcPr>
            <w:tcW w:w="849" w:type="dxa"/>
            <w:hideMark/>
          </w:tcPr>
          <w:p w14:paraId="70881E23" w14:textId="77777777" w:rsidR="00346FC5" w:rsidRPr="00CF5471" w:rsidRDefault="00346FC5" w:rsidP="0098354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szCs w:val="17"/>
                <w:lang w:eastAsia="en-AU"/>
              </w:rPr>
            </w:pPr>
            <w:r w:rsidRPr="00CF5471">
              <w:rPr>
                <w:rFonts w:eastAsiaTheme="minorEastAsia" w:cstheme="majorHAnsi"/>
                <w:iCs/>
                <w:szCs w:val="17"/>
                <w:lang w:eastAsia="en-AU"/>
              </w:rPr>
              <w:t>202</w:t>
            </w:r>
            <w:r>
              <w:rPr>
                <w:rFonts w:eastAsiaTheme="minorEastAsia" w:cstheme="majorHAnsi"/>
                <w:iCs/>
                <w:szCs w:val="17"/>
                <w:lang w:eastAsia="en-AU"/>
              </w:rPr>
              <w:t>3</w:t>
            </w:r>
            <w:r w:rsidRPr="00CF5471">
              <w:rPr>
                <w:rFonts w:eastAsiaTheme="minorEastAsia" w:cstheme="majorHAnsi"/>
                <w:iCs/>
                <w:szCs w:val="17"/>
                <w:lang w:eastAsia="en-AU"/>
              </w:rPr>
              <w:t>-2</w:t>
            </w:r>
            <w:r>
              <w:rPr>
                <w:rFonts w:eastAsiaTheme="minorEastAsia" w:cstheme="majorHAnsi"/>
                <w:iCs/>
                <w:szCs w:val="17"/>
                <w:lang w:eastAsia="en-AU"/>
              </w:rPr>
              <w:t>4</w:t>
            </w:r>
          </w:p>
          <w:p w14:paraId="30F90FB7" w14:textId="77777777" w:rsidR="00346FC5" w:rsidRPr="00CF5471" w:rsidRDefault="00346FC5" w:rsidP="0098354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estimate</w:t>
            </w:r>
          </w:p>
        </w:tc>
        <w:tc>
          <w:tcPr>
            <w:tcW w:w="848" w:type="dxa"/>
            <w:hideMark/>
          </w:tcPr>
          <w:p w14:paraId="5DDCA1A4" w14:textId="77777777" w:rsidR="00346FC5" w:rsidRPr="00CF5471" w:rsidRDefault="00346FC5" w:rsidP="0098354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szCs w:val="17"/>
                <w:lang w:eastAsia="en-AU"/>
              </w:rPr>
            </w:pPr>
            <w:r w:rsidRPr="00CF5471">
              <w:rPr>
                <w:rFonts w:eastAsiaTheme="minorEastAsia" w:cstheme="majorHAnsi"/>
                <w:iCs/>
                <w:szCs w:val="17"/>
                <w:lang w:eastAsia="en-AU"/>
              </w:rPr>
              <w:t>202</w:t>
            </w:r>
            <w:r>
              <w:rPr>
                <w:rFonts w:eastAsiaTheme="minorEastAsia" w:cstheme="majorHAnsi"/>
                <w:iCs/>
                <w:szCs w:val="17"/>
                <w:lang w:eastAsia="en-AU"/>
              </w:rPr>
              <w:t>4</w:t>
            </w:r>
            <w:r w:rsidRPr="00CF5471">
              <w:rPr>
                <w:rFonts w:eastAsiaTheme="minorEastAsia" w:cstheme="majorHAnsi"/>
                <w:iCs/>
                <w:szCs w:val="17"/>
                <w:lang w:eastAsia="en-AU"/>
              </w:rPr>
              <w:t>-2</w:t>
            </w:r>
            <w:r>
              <w:rPr>
                <w:rFonts w:eastAsiaTheme="minorEastAsia" w:cstheme="majorHAnsi"/>
                <w:iCs/>
                <w:szCs w:val="17"/>
                <w:lang w:eastAsia="en-AU"/>
              </w:rPr>
              <w:t>5</w:t>
            </w:r>
          </w:p>
          <w:p w14:paraId="7431F953" w14:textId="77777777" w:rsidR="00346FC5" w:rsidRPr="00CF5471" w:rsidRDefault="00346FC5" w:rsidP="0098354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estimate</w:t>
            </w:r>
          </w:p>
        </w:tc>
        <w:tc>
          <w:tcPr>
            <w:tcW w:w="849" w:type="dxa"/>
            <w:hideMark/>
          </w:tcPr>
          <w:p w14:paraId="3C36E2CF" w14:textId="77777777" w:rsidR="00346FC5" w:rsidRPr="00CF5471" w:rsidRDefault="00346FC5" w:rsidP="0098354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szCs w:val="17"/>
                <w:lang w:eastAsia="en-AU"/>
              </w:rPr>
            </w:pPr>
            <w:r w:rsidRPr="00CF5471">
              <w:rPr>
                <w:rFonts w:eastAsiaTheme="minorEastAsia" w:cstheme="majorHAnsi"/>
                <w:iCs/>
                <w:szCs w:val="17"/>
                <w:lang w:eastAsia="en-AU"/>
              </w:rPr>
              <w:t>202</w:t>
            </w:r>
            <w:r>
              <w:rPr>
                <w:rFonts w:eastAsiaTheme="minorEastAsia" w:cstheme="majorHAnsi"/>
                <w:iCs/>
                <w:szCs w:val="17"/>
                <w:lang w:eastAsia="en-AU"/>
              </w:rPr>
              <w:t>5</w:t>
            </w:r>
            <w:r w:rsidRPr="00CF5471">
              <w:rPr>
                <w:rFonts w:eastAsiaTheme="minorEastAsia" w:cstheme="majorHAnsi"/>
                <w:iCs/>
                <w:szCs w:val="17"/>
                <w:lang w:eastAsia="en-AU"/>
              </w:rPr>
              <w:t>-2</w:t>
            </w:r>
            <w:r>
              <w:rPr>
                <w:rFonts w:eastAsiaTheme="minorEastAsia" w:cstheme="majorHAnsi"/>
                <w:iCs/>
                <w:szCs w:val="17"/>
                <w:lang w:eastAsia="en-AU"/>
              </w:rPr>
              <w:t>6</w:t>
            </w:r>
          </w:p>
          <w:p w14:paraId="20A7EA34" w14:textId="77777777" w:rsidR="00346FC5" w:rsidRPr="00CF5471" w:rsidRDefault="00346FC5" w:rsidP="0098354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estimate</w:t>
            </w:r>
          </w:p>
        </w:tc>
        <w:tc>
          <w:tcPr>
            <w:tcW w:w="849" w:type="dxa"/>
            <w:hideMark/>
          </w:tcPr>
          <w:p w14:paraId="64D09FE9" w14:textId="77777777" w:rsidR="00346FC5" w:rsidRPr="00CF5471" w:rsidRDefault="00346FC5" w:rsidP="0098354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 w:val="0"/>
                <w:iCs/>
                <w:szCs w:val="17"/>
                <w:lang w:eastAsia="en-AU"/>
              </w:rPr>
            </w:pPr>
            <w:r w:rsidRPr="00CF5471">
              <w:rPr>
                <w:rFonts w:eastAsiaTheme="minorEastAsia" w:cstheme="majorHAnsi"/>
                <w:iCs/>
                <w:szCs w:val="17"/>
                <w:lang w:eastAsia="en-AU"/>
              </w:rPr>
              <w:t>202</w:t>
            </w:r>
            <w:r>
              <w:rPr>
                <w:rFonts w:eastAsiaTheme="minorEastAsia" w:cstheme="majorHAnsi"/>
                <w:iCs/>
                <w:szCs w:val="17"/>
                <w:lang w:eastAsia="en-AU"/>
              </w:rPr>
              <w:t>6</w:t>
            </w:r>
            <w:r w:rsidRPr="00CF5471">
              <w:rPr>
                <w:rFonts w:eastAsiaTheme="minorEastAsia" w:cstheme="majorHAnsi"/>
                <w:iCs/>
                <w:szCs w:val="17"/>
                <w:lang w:eastAsia="en-AU"/>
              </w:rPr>
              <w:t>-2</w:t>
            </w:r>
            <w:r>
              <w:rPr>
                <w:rFonts w:eastAsiaTheme="minorEastAsia" w:cstheme="majorHAnsi"/>
                <w:iCs/>
                <w:szCs w:val="17"/>
                <w:lang w:eastAsia="en-AU"/>
              </w:rPr>
              <w:t>7</w:t>
            </w:r>
          </w:p>
          <w:p w14:paraId="32939160" w14:textId="77777777" w:rsidR="00346FC5" w:rsidRPr="00CF5471" w:rsidRDefault="00346FC5" w:rsidP="0098354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estimate</w:t>
            </w:r>
          </w:p>
        </w:tc>
      </w:tr>
      <w:bookmarkEnd w:id="88"/>
      <w:tr w:rsidR="00346FC5" w:rsidRPr="00CF5471" w14:paraId="54F4783E" w14:textId="77777777" w:rsidTr="0098354D">
        <w:tc>
          <w:tcPr>
            <w:cnfStyle w:val="001000000000" w:firstRow="0" w:lastRow="0" w:firstColumn="1" w:lastColumn="0" w:oddVBand="0" w:evenVBand="0" w:oddHBand="0" w:evenHBand="0" w:firstRowFirstColumn="0" w:firstRowLastColumn="0" w:lastRowFirstColumn="0" w:lastRowLastColumn="0"/>
            <w:tcW w:w="4360" w:type="dxa"/>
            <w:hideMark/>
          </w:tcPr>
          <w:p w14:paraId="548312CD" w14:textId="77777777" w:rsidR="00346FC5" w:rsidRPr="00CF5471" w:rsidRDefault="00346FC5" w:rsidP="0098354D">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GSP</w:t>
            </w:r>
          </w:p>
        </w:tc>
        <w:tc>
          <w:tcPr>
            <w:tcW w:w="849" w:type="dxa"/>
          </w:tcPr>
          <w:p w14:paraId="43751BCA" w14:textId="77777777" w:rsidR="00346FC5" w:rsidRPr="00CF5471" w:rsidRDefault="00346FC5" w:rsidP="0098354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17"/>
                <w:lang w:eastAsia="en-AU"/>
              </w:rPr>
            </w:pPr>
          </w:p>
        </w:tc>
        <w:tc>
          <w:tcPr>
            <w:tcW w:w="848" w:type="dxa"/>
          </w:tcPr>
          <w:p w14:paraId="7EB7DBA3" w14:textId="77777777" w:rsidR="00346FC5" w:rsidRPr="00CF5471" w:rsidRDefault="00346FC5" w:rsidP="0098354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17"/>
                <w:lang w:eastAsia="en-AU"/>
              </w:rPr>
            </w:pPr>
          </w:p>
        </w:tc>
        <w:tc>
          <w:tcPr>
            <w:tcW w:w="849" w:type="dxa"/>
          </w:tcPr>
          <w:p w14:paraId="6E71F273" w14:textId="77777777" w:rsidR="00346FC5" w:rsidRPr="00CF5471" w:rsidRDefault="00346FC5" w:rsidP="0098354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17"/>
                <w:lang w:eastAsia="en-AU"/>
              </w:rPr>
            </w:pPr>
          </w:p>
        </w:tc>
        <w:tc>
          <w:tcPr>
            <w:tcW w:w="849" w:type="dxa"/>
          </w:tcPr>
          <w:p w14:paraId="246F17E5" w14:textId="77777777" w:rsidR="00346FC5" w:rsidRPr="00CF5471" w:rsidRDefault="00346FC5" w:rsidP="0098354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17"/>
                <w:lang w:eastAsia="en-AU"/>
              </w:rPr>
            </w:pPr>
          </w:p>
        </w:tc>
      </w:tr>
      <w:tr w:rsidR="00346FC5" w:rsidRPr="00CF5471" w14:paraId="2FD88E1C" w14:textId="77777777" w:rsidTr="0098354D">
        <w:tc>
          <w:tcPr>
            <w:cnfStyle w:val="001000000000" w:firstRow="0" w:lastRow="0" w:firstColumn="1" w:lastColumn="0" w:oddVBand="0" w:evenVBand="0" w:oddHBand="0" w:evenHBand="0" w:firstRowFirstColumn="0" w:firstRowLastColumn="0" w:lastRowFirstColumn="0" w:lastRowLastColumn="0"/>
            <w:tcW w:w="4360" w:type="dxa"/>
            <w:hideMark/>
          </w:tcPr>
          <w:p w14:paraId="41B5CA60" w14:textId="77777777" w:rsidR="00346FC5" w:rsidRPr="00CF5471" w:rsidRDefault="00346FC5" w:rsidP="0098354D">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9" w:type="dxa"/>
            <w:vAlign w:val="bottom"/>
            <w:hideMark/>
          </w:tcPr>
          <w:p w14:paraId="76219545"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5C237B">
              <w:rPr>
                <w:rFonts w:ascii="Calibri" w:hAnsi="Calibri" w:cs="Calibri"/>
                <w:szCs w:val="17"/>
              </w:rPr>
              <w:t>135</w:t>
            </w:r>
          </w:p>
        </w:tc>
        <w:tc>
          <w:tcPr>
            <w:tcW w:w="848" w:type="dxa"/>
            <w:vAlign w:val="bottom"/>
            <w:hideMark/>
          </w:tcPr>
          <w:p w14:paraId="01687474"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5C237B">
              <w:rPr>
                <w:rFonts w:ascii="Calibri" w:hAnsi="Calibri" w:cs="Calibri"/>
                <w:szCs w:val="17"/>
              </w:rPr>
              <w:t>148</w:t>
            </w:r>
          </w:p>
        </w:tc>
        <w:tc>
          <w:tcPr>
            <w:tcW w:w="849" w:type="dxa"/>
            <w:vAlign w:val="bottom"/>
            <w:hideMark/>
          </w:tcPr>
          <w:p w14:paraId="1F482756"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157</w:t>
            </w:r>
          </w:p>
        </w:tc>
        <w:tc>
          <w:tcPr>
            <w:tcW w:w="849" w:type="dxa"/>
            <w:vAlign w:val="bottom"/>
            <w:hideMark/>
          </w:tcPr>
          <w:p w14:paraId="2E19D3A1"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159</w:t>
            </w:r>
          </w:p>
        </w:tc>
      </w:tr>
      <w:tr w:rsidR="00346FC5" w:rsidRPr="00CF5471" w14:paraId="12454CE3"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21D0965D" w14:textId="77777777" w:rsidR="00346FC5" w:rsidRPr="00CF5471" w:rsidRDefault="00346FC5" w:rsidP="0098354D">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9" w:type="dxa"/>
            <w:tcBorders>
              <w:bottom w:val="single" w:sz="4" w:space="0" w:color="auto"/>
            </w:tcBorders>
            <w:vAlign w:val="bottom"/>
            <w:hideMark/>
          </w:tcPr>
          <w:p w14:paraId="5A2522DF"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2</w:t>
            </w:r>
          </w:p>
        </w:tc>
        <w:tc>
          <w:tcPr>
            <w:tcW w:w="848" w:type="dxa"/>
            <w:tcBorders>
              <w:bottom w:val="single" w:sz="4" w:space="0" w:color="auto"/>
            </w:tcBorders>
            <w:vAlign w:val="bottom"/>
            <w:hideMark/>
          </w:tcPr>
          <w:p w14:paraId="5DB7A63B"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5C237B">
              <w:rPr>
                <w:rFonts w:ascii="Calibri" w:hAnsi="Calibri" w:cs="Calibri"/>
                <w:szCs w:val="17"/>
              </w:rPr>
              <w:t>(5)</w:t>
            </w:r>
          </w:p>
        </w:tc>
        <w:tc>
          <w:tcPr>
            <w:tcW w:w="849" w:type="dxa"/>
            <w:tcBorders>
              <w:bottom w:val="single" w:sz="4" w:space="0" w:color="auto"/>
            </w:tcBorders>
            <w:vAlign w:val="bottom"/>
            <w:hideMark/>
          </w:tcPr>
          <w:p w14:paraId="69710617"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5C237B">
              <w:rPr>
                <w:rFonts w:ascii="Calibri" w:hAnsi="Calibri" w:cs="Calibri"/>
                <w:szCs w:val="17"/>
              </w:rPr>
              <w:t>(</w:t>
            </w:r>
            <w:r w:rsidRPr="006D1EB7">
              <w:rPr>
                <w:rFonts w:ascii="Calibri" w:hAnsi="Calibri" w:cs="Calibri"/>
                <w:szCs w:val="17"/>
              </w:rPr>
              <w:t>12</w:t>
            </w:r>
            <w:r w:rsidRPr="005C237B">
              <w:rPr>
                <w:rFonts w:ascii="Calibri" w:hAnsi="Calibri" w:cs="Calibri"/>
                <w:szCs w:val="17"/>
              </w:rPr>
              <w:t>)</w:t>
            </w:r>
          </w:p>
        </w:tc>
        <w:tc>
          <w:tcPr>
            <w:tcW w:w="849" w:type="dxa"/>
            <w:tcBorders>
              <w:bottom w:val="single" w:sz="4" w:space="0" w:color="auto"/>
            </w:tcBorders>
            <w:vAlign w:val="bottom"/>
            <w:hideMark/>
          </w:tcPr>
          <w:p w14:paraId="30038656"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5C237B">
              <w:rPr>
                <w:rFonts w:ascii="Calibri" w:hAnsi="Calibri" w:cs="Calibri"/>
                <w:szCs w:val="17"/>
              </w:rPr>
              <w:t>(</w:t>
            </w:r>
            <w:r w:rsidRPr="006D1EB7">
              <w:rPr>
                <w:rFonts w:ascii="Calibri" w:hAnsi="Calibri" w:cs="Calibri"/>
                <w:szCs w:val="17"/>
              </w:rPr>
              <w:t>21</w:t>
            </w:r>
            <w:r w:rsidRPr="005C237B">
              <w:rPr>
                <w:rFonts w:ascii="Calibri" w:hAnsi="Calibri" w:cs="Calibri"/>
                <w:szCs w:val="17"/>
              </w:rPr>
              <w:t>)</w:t>
            </w:r>
          </w:p>
        </w:tc>
      </w:tr>
      <w:tr w:rsidR="00346FC5" w:rsidRPr="00CF5471" w14:paraId="77DA0F1F"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07A36A6C" w14:textId="77777777" w:rsidR="00346FC5" w:rsidRPr="00CF5471" w:rsidRDefault="00346FC5" w:rsidP="0098354D">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result from transactions</w:t>
            </w:r>
          </w:p>
        </w:tc>
        <w:tc>
          <w:tcPr>
            <w:tcW w:w="849" w:type="dxa"/>
            <w:tcBorders>
              <w:top w:val="single" w:sz="4" w:space="0" w:color="auto"/>
              <w:bottom w:val="nil"/>
            </w:tcBorders>
            <w:vAlign w:val="bottom"/>
            <w:hideMark/>
          </w:tcPr>
          <w:p w14:paraId="23366F6D"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134</w:t>
            </w:r>
          </w:p>
        </w:tc>
        <w:tc>
          <w:tcPr>
            <w:tcW w:w="848" w:type="dxa"/>
            <w:tcBorders>
              <w:top w:val="single" w:sz="4" w:space="0" w:color="auto"/>
              <w:bottom w:val="nil"/>
            </w:tcBorders>
            <w:vAlign w:val="bottom"/>
            <w:hideMark/>
          </w:tcPr>
          <w:p w14:paraId="7A5D794B"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153</w:t>
            </w:r>
          </w:p>
        </w:tc>
        <w:tc>
          <w:tcPr>
            <w:tcW w:w="849" w:type="dxa"/>
            <w:tcBorders>
              <w:top w:val="single" w:sz="4" w:space="0" w:color="auto"/>
              <w:bottom w:val="nil"/>
            </w:tcBorders>
            <w:vAlign w:val="bottom"/>
            <w:hideMark/>
          </w:tcPr>
          <w:p w14:paraId="6F032422"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169</w:t>
            </w:r>
          </w:p>
        </w:tc>
        <w:tc>
          <w:tcPr>
            <w:tcW w:w="849" w:type="dxa"/>
            <w:tcBorders>
              <w:top w:val="single" w:sz="4" w:space="0" w:color="auto"/>
              <w:bottom w:val="nil"/>
            </w:tcBorders>
            <w:vAlign w:val="bottom"/>
            <w:hideMark/>
          </w:tcPr>
          <w:p w14:paraId="668E3026"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180</w:t>
            </w:r>
          </w:p>
        </w:tc>
      </w:tr>
      <w:tr w:rsidR="00346FC5" w:rsidRPr="00CF5471" w14:paraId="43A36220"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038318FE" w14:textId="77777777" w:rsidR="00346FC5" w:rsidRPr="00CF5471" w:rsidRDefault="00346FC5" w:rsidP="0098354D">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debt</w:t>
            </w:r>
          </w:p>
        </w:tc>
        <w:tc>
          <w:tcPr>
            <w:tcW w:w="849" w:type="dxa"/>
            <w:tcBorders>
              <w:bottom w:val="single" w:sz="4" w:space="0" w:color="auto"/>
            </w:tcBorders>
            <w:vAlign w:val="bottom"/>
            <w:hideMark/>
          </w:tcPr>
          <w:p w14:paraId="57627E25"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(134)</w:t>
            </w:r>
          </w:p>
        </w:tc>
        <w:tc>
          <w:tcPr>
            <w:tcW w:w="848" w:type="dxa"/>
            <w:tcBorders>
              <w:bottom w:val="single" w:sz="4" w:space="0" w:color="auto"/>
            </w:tcBorders>
            <w:vAlign w:val="bottom"/>
            <w:hideMark/>
          </w:tcPr>
          <w:p w14:paraId="788E4248"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(286)</w:t>
            </w:r>
          </w:p>
        </w:tc>
        <w:tc>
          <w:tcPr>
            <w:tcW w:w="849" w:type="dxa"/>
            <w:tcBorders>
              <w:bottom w:val="single" w:sz="4" w:space="0" w:color="auto"/>
            </w:tcBorders>
            <w:vAlign w:val="bottom"/>
            <w:hideMark/>
          </w:tcPr>
          <w:p w14:paraId="0491B321"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(455)</w:t>
            </w:r>
          </w:p>
        </w:tc>
        <w:tc>
          <w:tcPr>
            <w:tcW w:w="849" w:type="dxa"/>
            <w:tcBorders>
              <w:bottom w:val="single" w:sz="4" w:space="0" w:color="auto"/>
            </w:tcBorders>
            <w:vAlign w:val="bottom"/>
            <w:hideMark/>
          </w:tcPr>
          <w:p w14:paraId="6491ACE9"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(635)</w:t>
            </w:r>
          </w:p>
        </w:tc>
      </w:tr>
      <w:tr w:rsidR="00346FC5" w:rsidRPr="00CF5471" w14:paraId="219879DB"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6DF84CA6" w14:textId="77777777" w:rsidR="00346FC5" w:rsidRPr="00CF5471" w:rsidRDefault="00346FC5" w:rsidP="0098354D">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 xml:space="preserve">Employment </w:t>
            </w:r>
            <w:r w:rsidRPr="00CF5471">
              <w:rPr>
                <w:rFonts w:eastAsiaTheme="minorEastAsia" w:cstheme="majorHAnsi"/>
                <w:b/>
                <w:bCs/>
                <w:szCs w:val="17"/>
                <w:vertAlign w:val="superscript"/>
                <w:lang w:eastAsia="en-AU"/>
              </w:rPr>
              <w:t>(</w:t>
            </w:r>
            <w:r>
              <w:rPr>
                <w:rFonts w:eastAsiaTheme="minorEastAsia" w:cstheme="majorHAnsi"/>
                <w:b/>
                <w:bCs/>
                <w:szCs w:val="17"/>
                <w:vertAlign w:val="superscript"/>
                <w:lang w:eastAsia="en-AU"/>
              </w:rPr>
              <w:t>f</w:t>
            </w:r>
            <w:r w:rsidRPr="00CF5471">
              <w:rPr>
                <w:rFonts w:eastAsiaTheme="minorEastAsia" w:cstheme="majorHAnsi"/>
                <w:b/>
                <w:bCs/>
                <w:szCs w:val="17"/>
                <w:vertAlign w:val="superscript"/>
                <w:lang w:eastAsia="en-AU"/>
              </w:rPr>
              <w:t>)</w:t>
            </w:r>
            <w:r w:rsidRPr="00CF5471">
              <w:rPr>
                <w:rFonts w:eastAsiaTheme="minorEastAsia" w:cstheme="majorHAnsi"/>
                <w:b/>
                <w:bCs/>
                <w:szCs w:val="17"/>
                <w:lang w:eastAsia="en-AU"/>
              </w:rPr>
              <w:t xml:space="preserve"> </w:t>
            </w:r>
          </w:p>
        </w:tc>
        <w:tc>
          <w:tcPr>
            <w:tcW w:w="849" w:type="dxa"/>
            <w:tcBorders>
              <w:top w:val="single" w:sz="4" w:space="0" w:color="auto"/>
            </w:tcBorders>
            <w:vAlign w:val="bottom"/>
          </w:tcPr>
          <w:p w14:paraId="69A17324"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8" w:type="dxa"/>
            <w:tcBorders>
              <w:top w:val="single" w:sz="4" w:space="0" w:color="auto"/>
            </w:tcBorders>
            <w:vAlign w:val="bottom"/>
          </w:tcPr>
          <w:p w14:paraId="71CB0936"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9" w:type="dxa"/>
            <w:tcBorders>
              <w:top w:val="single" w:sz="4" w:space="0" w:color="auto"/>
            </w:tcBorders>
            <w:vAlign w:val="bottom"/>
          </w:tcPr>
          <w:p w14:paraId="152D545B"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9" w:type="dxa"/>
            <w:tcBorders>
              <w:top w:val="single" w:sz="4" w:space="0" w:color="auto"/>
            </w:tcBorders>
            <w:vAlign w:val="bottom"/>
          </w:tcPr>
          <w:p w14:paraId="0709E4BA"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r>
      <w:tr w:rsidR="00346FC5" w:rsidRPr="00CF5471" w14:paraId="7C49A913" w14:textId="77777777" w:rsidTr="0098354D">
        <w:tc>
          <w:tcPr>
            <w:cnfStyle w:val="001000000000" w:firstRow="0" w:lastRow="0" w:firstColumn="1" w:lastColumn="0" w:oddVBand="0" w:evenVBand="0" w:oddHBand="0" w:evenHBand="0" w:firstRowFirstColumn="0" w:firstRowLastColumn="0" w:lastRowFirstColumn="0" w:lastRowLastColumn="0"/>
            <w:tcW w:w="4360" w:type="dxa"/>
            <w:hideMark/>
          </w:tcPr>
          <w:p w14:paraId="71878891" w14:textId="77777777" w:rsidR="00346FC5" w:rsidRPr="00CF5471" w:rsidRDefault="00346FC5" w:rsidP="0098354D">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9" w:type="dxa"/>
            <w:vAlign w:val="bottom"/>
            <w:hideMark/>
          </w:tcPr>
          <w:p w14:paraId="778F23D9"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5C237B">
              <w:rPr>
                <w:rFonts w:ascii="Calibri" w:hAnsi="Calibri" w:cs="Calibri"/>
                <w:szCs w:val="17"/>
              </w:rPr>
              <w:t>128</w:t>
            </w:r>
          </w:p>
        </w:tc>
        <w:tc>
          <w:tcPr>
            <w:tcW w:w="848" w:type="dxa"/>
            <w:vAlign w:val="bottom"/>
            <w:hideMark/>
          </w:tcPr>
          <w:p w14:paraId="495F41BB"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136</w:t>
            </w:r>
          </w:p>
        </w:tc>
        <w:tc>
          <w:tcPr>
            <w:tcW w:w="849" w:type="dxa"/>
            <w:vAlign w:val="bottom"/>
            <w:hideMark/>
          </w:tcPr>
          <w:p w14:paraId="66696D2F"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141</w:t>
            </w:r>
          </w:p>
        </w:tc>
        <w:tc>
          <w:tcPr>
            <w:tcW w:w="849" w:type="dxa"/>
            <w:vAlign w:val="bottom"/>
            <w:hideMark/>
          </w:tcPr>
          <w:p w14:paraId="758EA480"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148</w:t>
            </w:r>
          </w:p>
        </w:tc>
      </w:tr>
      <w:tr w:rsidR="00346FC5" w:rsidRPr="00CF5471" w14:paraId="360BB16D"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30E8315E" w14:textId="77777777" w:rsidR="00346FC5" w:rsidRPr="00CF5471" w:rsidRDefault="00346FC5" w:rsidP="0098354D">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9" w:type="dxa"/>
            <w:tcBorders>
              <w:bottom w:val="single" w:sz="4" w:space="0" w:color="auto"/>
            </w:tcBorders>
            <w:vAlign w:val="bottom"/>
            <w:hideMark/>
          </w:tcPr>
          <w:p w14:paraId="56BAB98A"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357</w:t>
            </w:r>
          </w:p>
        </w:tc>
        <w:tc>
          <w:tcPr>
            <w:tcW w:w="848" w:type="dxa"/>
            <w:tcBorders>
              <w:bottom w:val="single" w:sz="4" w:space="0" w:color="auto"/>
            </w:tcBorders>
            <w:vAlign w:val="bottom"/>
            <w:hideMark/>
          </w:tcPr>
          <w:p w14:paraId="546CCD88"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374</w:t>
            </w:r>
          </w:p>
        </w:tc>
        <w:tc>
          <w:tcPr>
            <w:tcW w:w="849" w:type="dxa"/>
            <w:tcBorders>
              <w:bottom w:val="single" w:sz="4" w:space="0" w:color="auto"/>
            </w:tcBorders>
            <w:vAlign w:val="bottom"/>
            <w:hideMark/>
          </w:tcPr>
          <w:p w14:paraId="6D15B18C"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397</w:t>
            </w:r>
          </w:p>
        </w:tc>
        <w:tc>
          <w:tcPr>
            <w:tcW w:w="849" w:type="dxa"/>
            <w:tcBorders>
              <w:bottom w:val="single" w:sz="4" w:space="0" w:color="auto"/>
            </w:tcBorders>
            <w:vAlign w:val="bottom"/>
            <w:hideMark/>
          </w:tcPr>
          <w:p w14:paraId="74492B36"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423</w:t>
            </w:r>
          </w:p>
        </w:tc>
      </w:tr>
      <w:tr w:rsidR="00346FC5" w:rsidRPr="00CF5471" w14:paraId="7BC55AF1"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79A27158" w14:textId="77777777" w:rsidR="00346FC5" w:rsidRPr="00CF5471" w:rsidRDefault="00346FC5" w:rsidP="0098354D">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result from transactions</w:t>
            </w:r>
          </w:p>
        </w:tc>
        <w:tc>
          <w:tcPr>
            <w:tcW w:w="849" w:type="dxa"/>
            <w:tcBorders>
              <w:top w:val="single" w:sz="4" w:space="0" w:color="auto"/>
              <w:bottom w:val="nil"/>
            </w:tcBorders>
            <w:vAlign w:val="bottom"/>
            <w:hideMark/>
          </w:tcPr>
          <w:p w14:paraId="67E3397F"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w:t>
            </w:r>
            <w:r w:rsidRPr="006D1EB7">
              <w:rPr>
                <w:rFonts w:ascii="Calibri" w:hAnsi="Calibri" w:cs="Calibri"/>
                <w:b/>
                <w:bCs/>
                <w:szCs w:val="17"/>
              </w:rPr>
              <w:t>230</w:t>
            </w:r>
            <w:r w:rsidRPr="005C237B">
              <w:rPr>
                <w:rFonts w:ascii="Calibri" w:hAnsi="Calibri" w:cs="Calibri"/>
                <w:b/>
                <w:bCs/>
                <w:szCs w:val="17"/>
              </w:rPr>
              <w:t>)</w:t>
            </w:r>
          </w:p>
        </w:tc>
        <w:tc>
          <w:tcPr>
            <w:tcW w:w="848" w:type="dxa"/>
            <w:tcBorders>
              <w:top w:val="single" w:sz="4" w:space="0" w:color="auto"/>
              <w:bottom w:val="nil"/>
            </w:tcBorders>
            <w:vAlign w:val="bottom"/>
            <w:hideMark/>
          </w:tcPr>
          <w:p w14:paraId="1321B925"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(238)</w:t>
            </w:r>
          </w:p>
        </w:tc>
        <w:tc>
          <w:tcPr>
            <w:tcW w:w="849" w:type="dxa"/>
            <w:tcBorders>
              <w:top w:val="single" w:sz="4" w:space="0" w:color="auto"/>
              <w:bottom w:val="nil"/>
            </w:tcBorders>
            <w:vAlign w:val="bottom"/>
            <w:hideMark/>
          </w:tcPr>
          <w:p w14:paraId="0FC88B86"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w:t>
            </w:r>
            <w:r w:rsidRPr="006D1EB7">
              <w:rPr>
                <w:rFonts w:ascii="Calibri" w:hAnsi="Calibri" w:cs="Calibri"/>
                <w:b/>
                <w:bCs/>
                <w:szCs w:val="17"/>
              </w:rPr>
              <w:t>256</w:t>
            </w:r>
            <w:r w:rsidRPr="005C237B">
              <w:rPr>
                <w:rFonts w:ascii="Calibri" w:hAnsi="Calibri" w:cs="Calibri"/>
                <w:b/>
                <w:bCs/>
                <w:szCs w:val="17"/>
              </w:rPr>
              <w:t>)</w:t>
            </w:r>
          </w:p>
        </w:tc>
        <w:tc>
          <w:tcPr>
            <w:tcW w:w="849" w:type="dxa"/>
            <w:tcBorders>
              <w:top w:val="single" w:sz="4" w:space="0" w:color="auto"/>
              <w:bottom w:val="nil"/>
            </w:tcBorders>
            <w:vAlign w:val="bottom"/>
            <w:hideMark/>
          </w:tcPr>
          <w:p w14:paraId="1B9D474F"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w:t>
            </w:r>
            <w:r w:rsidRPr="006D1EB7">
              <w:rPr>
                <w:rFonts w:ascii="Calibri" w:hAnsi="Calibri" w:cs="Calibri"/>
                <w:b/>
                <w:bCs/>
                <w:szCs w:val="17"/>
              </w:rPr>
              <w:t>276</w:t>
            </w:r>
            <w:r w:rsidRPr="005C237B">
              <w:rPr>
                <w:rFonts w:ascii="Calibri" w:hAnsi="Calibri" w:cs="Calibri"/>
                <w:b/>
                <w:bCs/>
                <w:szCs w:val="17"/>
              </w:rPr>
              <w:t>)</w:t>
            </w:r>
          </w:p>
        </w:tc>
      </w:tr>
      <w:tr w:rsidR="00346FC5" w:rsidRPr="00CF5471" w14:paraId="3F8C8CE7"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5D3EC70F" w14:textId="77777777" w:rsidR="00346FC5" w:rsidRPr="00CF5471" w:rsidRDefault="00346FC5" w:rsidP="0098354D">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debt</w:t>
            </w:r>
          </w:p>
        </w:tc>
        <w:tc>
          <w:tcPr>
            <w:tcW w:w="849" w:type="dxa"/>
            <w:tcBorders>
              <w:bottom w:val="single" w:sz="4" w:space="0" w:color="auto"/>
            </w:tcBorders>
            <w:vAlign w:val="bottom"/>
            <w:hideMark/>
          </w:tcPr>
          <w:p w14:paraId="4C677FDD"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bCs/>
                <w:szCs w:val="17"/>
              </w:rPr>
              <w:t>230</w:t>
            </w:r>
          </w:p>
        </w:tc>
        <w:tc>
          <w:tcPr>
            <w:tcW w:w="848" w:type="dxa"/>
            <w:tcBorders>
              <w:bottom w:val="single" w:sz="4" w:space="0" w:color="auto"/>
            </w:tcBorders>
            <w:vAlign w:val="bottom"/>
            <w:hideMark/>
          </w:tcPr>
          <w:p w14:paraId="39A10CF7"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bCs/>
                <w:szCs w:val="17"/>
              </w:rPr>
              <w:t>468</w:t>
            </w:r>
          </w:p>
        </w:tc>
        <w:tc>
          <w:tcPr>
            <w:tcW w:w="849" w:type="dxa"/>
            <w:tcBorders>
              <w:bottom w:val="single" w:sz="4" w:space="0" w:color="auto"/>
            </w:tcBorders>
            <w:vAlign w:val="bottom"/>
            <w:hideMark/>
          </w:tcPr>
          <w:p w14:paraId="727B24BD"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bCs/>
                <w:szCs w:val="17"/>
              </w:rPr>
              <w:t>724</w:t>
            </w:r>
          </w:p>
        </w:tc>
        <w:tc>
          <w:tcPr>
            <w:tcW w:w="849" w:type="dxa"/>
            <w:tcBorders>
              <w:bottom w:val="single" w:sz="4" w:space="0" w:color="auto"/>
            </w:tcBorders>
            <w:vAlign w:val="bottom"/>
            <w:hideMark/>
          </w:tcPr>
          <w:p w14:paraId="793D4BA9"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bCs/>
                <w:szCs w:val="17"/>
              </w:rPr>
              <w:t>999</w:t>
            </w:r>
          </w:p>
        </w:tc>
      </w:tr>
      <w:tr w:rsidR="00346FC5" w:rsidRPr="00CF5471" w14:paraId="6B63E05A"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0E065329" w14:textId="77777777" w:rsidR="00346FC5" w:rsidRPr="00CF5471" w:rsidRDefault="00346FC5" w:rsidP="0098354D">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 xml:space="preserve">Consumer prices </w:t>
            </w:r>
            <w:r w:rsidRPr="00CF5471">
              <w:rPr>
                <w:rFonts w:eastAsiaTheme="minorEastAsia" w:cstheme="majorHAnsi"/>
                <w:b/>
                <w:bCs/>
                <w:szCs w:val="17"/>
                <w:vertAlign w:val="superscript"/>
                <w:lang w:eastAsia="en-AU"/>
              </w:rPr>
              <w:t>(</w:t>
            </w:r>
            <w:r>
              <w:rPr>
                <w:rFonts w:eastAsiaTheme="minorEastAsia" w:cstheme="majorHAnsi"/>
                <w:b/>
                <w:bCs/>
                <w:szCs w:val="17"/>
                <w:vertAlign w:val="superscript"/>
                <w:lang w:eastAsia="en-AU"/>
              </w:rPr>
              <w:t>g</w:t>
            </w:r>
            <w:r w:rsidRPr="00CF5471">
              <w:rPr>
                <w:rFonts w:eastAsiaTheme="minorEastAsia" w:cstheme="majorHAnsi"/>
                <w:b/>
                <w:bCs/>
                <w:szCs w:val="17"/>
                <w:vertAlign w:val="superscript"/>
                <w:lang w:eastAsia="en-AU"/>
              </w:rPr>
              <w:t>)</w:t>
            </w:r>
          </w:p>
        </w:tc>
        <w:tc>
          <w:tcPr>
            <w:tcW w:w="849" w:type="dxa"/>
            <w:tcBorders>
              <w:top w:val="single" w:sz="4" w:space="0" w:color="auto"/>
            </w:tcBorders>
            <w:vAlign w:val="bottom"/>
          </w:tcPr>
          <w:p w14:paraId="23B10C2F"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8" w:type="dxa"/>
            <w:tcBorders>
              <w:top w:val="single" w:sz="4" w:space="0" w:color="auto"/>
            </w:tcBorders>
            <w:vAlign w:val="bottom"/>
          </w:tcPr>
          <w:p w14:paraId="5A2D3B11"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9" w:type="dxa"/>
            <w:tcBorders>
              <w:top w:val="single" w:sz="4" w:space="0" w:color="auto"/>
            </w:tcBorders>
            <w:vAlign w:val="bottom"/>
          </w:tcPr>
          <w:p w14:paraId="143FECC5"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9" w:type="dxa"/>
            <w:tcBorders>
              <w:top w:val="single" w:sz="4" w:space="0" w:color="auto"/>
            </w:tcBorders>
            <w:vAlign w:val="bottom"/>
          </w:tcPr>
          <w:p w14:paraId="736B0320"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r>
      <w:tr w:rsidR="00346FC5" w:rsidRPr="00CF5471" w14:paraId="5611573C" w14:textId="77777777" w:rsidTr="0098354D">
        <w:tc>
          <w:tcPr>
            <w:cnfStyle w:val="001000000000" w:firstRow="0" w:lastRow="0" w:firstColumn="1" w:lastColumn="0" w:oddVBand="0" w:evenVBand="0" w:oddHBand="0" w:evenHBand="0" w:firstRowFirstColumn="0" w:firstRowLastColumn="0" w:lastRowFirstColumn="0" w:lastRowLastColumn="0"/>
            <w:tcW w:w="4360" w:type="dxa"/>
            <w:hideMark/>
          </w:tcPr>
          <w:p w14:paraId="71A2D51A" w14:textId="77777777" w:rsidR="00346FC5" w:rsidRPr="00CF5471" w:rsidRDefault="00346FC5" w:rsidP="0098354D">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9" w:type="dxa"/>
            <w:vAlign w:val="bottom"/>
            <w:hideMark/>
          </w:tcPr>
          <w:p w14:paraId="0ED642C1"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295</w:t>
            </w:r>
          </w:p>
        </w:tc>
        <w:tc>
          <w:tcPr>
            <w:tcW w:w="848" w:type="dxa"/>
            <w:vAlign w:val="bottom"/>
            <w:hideMark/>
          </w:tcPr>
          <w:p w14:paraId="4CCBA6C7"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316</w:t>
            </w:r>
          </w:p>
        </w:tc>
        <w:tc>
          <w:tcPr>
            <w:tcW w:w="849" w:type="dxa"/>
            <w:vAlign w:val="bottom"/>
            <w:hideMark/>
          </w:tcPr>
          <w:p w14:paraId="3BC9F0C4"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329</w:t>
            </w:r>
          </w:p>
        </w:tc>
        <w:tc>
          <w:tcPr>
            <w:tcW w:w="849" w:type="dxa"/>
            <w:vAlign w:val="bottom"/>
            <w:hideMark/>
          </w:tcPr>
          <w:p w14:paraId="4D266C30"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281</w:t>
            </w:r>
          </w:p>
        </w:tc>
      </w:tr>
      <w:tr w:rsidR="00346FC5" w:rsidRPr="00CF5471" w14:paraId="16729961"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724C84EA" w14:textId="77777777" w:rsidR="00346FC5" w:rsidRPr="00CF5471" w:rsidRDefault="00346FC5" w:rsidP="0098354D">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9" w:type="dxa"/>
            <w:tcBorders>
              <w:bottom w:val="single" w:sz="4" w:space="0" w:color="auto"/>
            </w:tcBorders>
            <w:vAlign w:val="bottom"/>
            <w:hideMark/>
          </w:tcPr>
          <w:p w14:paraId="7C940954"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266</w:t>
            </w:r>
          </w:p>
        </w:tc>
        <w:tc>
          <w:tcPr>
            <w:tcW w:w="848" w:type="dxa"/>
            <w:tcBorders>
              <w:bottom w:val="single" w:sz="4" w:space="0" w:color="auto"/>
            </w:tcBorders>
            <w:vAlign w:val="bottom"/>
            <w:hideMark/>
          </w:tcPr>
          <w:p w14:paraId="5636D353"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251</w:t>
            </w:r>
          </w:p>
        </w:tc>
        <w:tc>
          <w:tcPr>
            <w:tcW w:w="849" w:type="dxa"/>
            <w:tcBorders>
              <w:bottom w:val="single" w:sz="4" w:space="0" w:color="auto"/>
            </w:tcBorders>
            <w:vAlign w:val="bottom"/>
            <w:hideMark/>
          </w:tcPr>
          <w:p w14:paraId="10560214"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250</w:t>
            </w:r>
          </w:p>
        </w:tc>
        <w:tc>
          <w:tcPr>
            <w:tcW w:w="849" w:type="dxa"/>
            <w:tcBorders>
              <w:bottom w:val="single" w:sz="4" w:space="0" w:color="auto"/>
            </w:tcBorders>
            <w:vAlign w:val="bottom"/>
            <w:hideMark/>
          </w:tcPr>
          <w:p w14:paraId="4E9A7475"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255</w:t>
            </w:r>
          </w:p>
        </w:tc>
      </w:tr>
      <w:tr w:rsidR="00346FC5" w:rsidRPr="00CF5471" w14:paraId="74784E12"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4572CECB" w14:textId="77777777" w:rsidR="00346FC5" w:rsidRPr="00CF5471" w:rsidRDefault="00346FC5" w:rsidP="0098354D">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result from transactions</w:t>
            </w:r>
          </w:p>
        </w:tc>
        <w:tc>
          <w:tcPr>
            <w:tcW w:w="849" w:type="dxa"/>
            <w:tcBorders>
              <w:top w:val="single" w:sz="4" w:space="0" w:color="auto"/>
              <w:bottom w:val="nil"/>
            </w:tcBorders>
            <w:vAlign w:val="bottom"/>
            <w:hideMark/>
          </w:tcPr>
          <w:p w14:paraId="60741032"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bCs/>
                <w:szCs w:val="17"/>
              </w:rPr>
              <w:t>28</w:t>
            </w:r>
          </w:p>
        </w:tc>
        <w:tc>
          <w:tcPr>
            <w:tcW w:w="848" w:type="dxa"/>
            <w:tcBorders>
              <w:top w:val="single" w:sz="4" w:space="0" w:color="auto"/>
              <w:bottom w:val="nil"/>
            </w:tcBorders>
            <w:vAlign w:val="bottom"/>
            <w:hideMark/>
          </w:tcPr>
          <w:p w14:paraId="5F9E2ED2"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bCs/>
                <w:szCs w:val="17"/>
              </w:rPr>
              <w:t>65</w:t>
            </w:r>
          </w:p>
        </w:tc>
        <w:tc>
          <w:tcPr>
            <w:tcW w:w="849" w:type="dxa"/>
            <w:tcBorders>
              <w:top w:val="single" w:sz="4" w:space="0" w:color="auto"/>
              <w:bottom w:val="nil"/>
            </w:tcBorders>
            <w:vAlign w:val="bottom"/>
            <w:hideMark/>
          </w:tcPr>
          <w:p w14:paraId="52771444"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bCs/>
                <w:szCs w:val="17"/>
              </w:rPr>
              <w:t>79</w:t>
            </w:r>
          </w:p>
        </w:tc>
        <w:tc>
          <w:tcPr>
            <w:tcW w:w="849" w:type="dxa"/>
            <w:tcBorders>
              <w:top w:val="single" w:sz="4" w:space="0" w:color="auto"/>
              <w:bottom w:val="nil"/>
            </w:tcBorders>
            <w:vAlign w:val="bottom"/>
            <w:hideMark/>
          </w:tcPr>
          <w:p w14:paraId="3D5156B6"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bCs/>
                <w:szCs w:val="17"/>
              </w:rPr>
              <w:t>26</w:t>
            </w:r>
          </w:p>
        </w:tc>
      </w:tr>
      <w:tr w:rsidR="00346FC5" w:rsidRPr="00CF5471" w14:paraId="0446D32B"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4657ED18" w14:textId="77777777" w:rsidR="00346FC5" w:rsidRPr="00CF5471" w:rsidRDefault="00346FC5" w:rsidP="0098354D">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debt</w:t>
            </w:r>
          </w:p>
        </w:tc>
        <w:tc>
          <w:tcPr>
            <w:tcW w:w="849" w:type="dxa"/>
            <w:tcBorders>
              <w:bottom w:val="single" w:sz="4" w:space="0" w:color="auto"/>
            </w:tcBorders>
            <w:vAlign w:val="bottom"/>
            <w:hideMark/>
          </w:tcPr>
          <w:p w14:paraId="362F8291"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w:t>
            </w:r>
            <w:r w:rsidRPr="006D1EB7">
              <w:rPr>
                <w:rFonts w:ascii="Calibri" w:hAnsi="Calibri" w:cs="Calibri"/>
                <w:b/>
                <w:bCs/>
                <w:szCs w:val="17"/>
              </w:rPr>
              <w:t>29</w:t>
            </w:r>
            <w:r w:rsidRPr="005C237B">
              <w:rPr>
                <w:rFonts w:ascii="Calibri" w:hAnsi="Calibri" w:cs="Calibri"/>
                <w:b/>
                <w:bCs/>
                <w:szCs w:val="17"/>
              </w:rPr>
              <w:t>)</w:t>
            </w:r>
          </w:p>
        </w:tc>
        <w:tc>
          <w:tcPr>
            <w:tcW w:w="848" w:type="dxa"/>
            <w:tcBorders>
              <w:bottom w:val="single" w:sz="4" w:space="0" w:color="auto"/>
            </w:tcBorders>
            <w:vAlign w:val="bottom"/>
            <w:hideMark/>
          </w:tcPr>
          <w:p w14:paraId="57B0CE24"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w:t>
            </w:r>
            <w:r w:rsidRPr="006D1EB7">
              <w:rPr>
                <w:rFonts w:ascii="Calibri" w:hAnsi="Calibri" w:cs="Calibri"/>
                <w:b/>
                <w:bCs/>
                <w:szCs w:val="17"/>
              </w:rPr>
              <w:t>95</w:t>
            </w:r>
            <w:r w:rsidRPr="005C237B">
              <w:rPr>
                <w:rFonts w:ascii="Calibri" w:hAnsi="Calibri" w:cs="Calibri"/>
                <w:b/>
                <w:bCs/>
                <w:szCs w:val="17"/>
              </w:rPr>
              <w:t>)</w:t>
            </w:r>
          </w:p>
        </w:tc>
        <w:tc>
          <w:tcPr>
            <w:tcW w:w="849" w:type="dxa"/>
            <w:tcBorders>
              <w:bottom w:val="single" w:sz="4" w:space="0" w:color="auto"/>
            </w:tcBorders>
            <w:vAlign w:val="bottom"/>
            <w:hideMark/>
          </w:tcPr>
          <w:p w14:paraId="34E11046"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w:t>
            </w:r>
            <w:r w:rsidRPr="006D1EB7">
              <w:rPr>
                <w:rFonts w:ascii="Calibri" w:hAnsi="Calibri" w:cs="Calibri"/>
                <w:b/>
                <w:bCs/>
                <w:szCs w:val="17"/>
              </w:rPr>
              <w:t>175</w:t>
            </w:r>
            <w:r w:rsidRPr="005C237B">
              <w:rPr>
                <w:rFonts w:ascii="Calibri" w:hAnsi="Calibri" w:cs="Calibri"/>
                <w:b/>
                <w:bCs/>
                <w:szCs w:val="17"/>
              </w:rPr>
              <w:t>)</w:t>
            </w:r>
          </w:p>
        </w:tc>
        <w:tc>
          <w:tcPr>
            <w:tcW w:w="849" w:type="dxa"/>
            <w:tcBorders>
              <w:bottom w:val="single" w:sz="4" w:space="0" w:color="auto"/>
            </w:tcBorders>
            <w:vAlign w:val="bottom"/>
            <w:hideMark/>
          </w:tcPr>
          <w:p w14:paraId="393A1510"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w:t>
            </w:r>
            <w:r w:rsidRPr="006D1EB7">
              <w:rPr>
                <w:rFonts w:ascii="Calibri" w:hAnsi="Calibri" w:cs="Calibri"/>
                <w:b/>
                <w:bCs/>
                <w:szCs w:val="17"/>
              </w:rPr>
              <w:t>201</w:t>
            </w:r>
            <w:r w:rsidRPr="005C237B">
              <w:rPr>
                <w:rFonts w:ascii="Calibri" w:hAnsi="Calibri" w:cs="Calibri"/>
                <w:b/>
                <w:bCs/>
                <w:szCs w:val="17"/>
              </w:rPr>
              <w:t>)</w:t>
            </w:r>
          </w:p>
        </w:tc>
      </w:tr>
      <w:tr w:rsidR="00346FC5" w:rsidRPr="00CF5471" w14:paraId="6D756C9F"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2C1FCF9F" w14:textId="77777777" w:rsidR="00346FC5" w:rsidRPr="00CF5471" w:rsidRDefault="00346FC5" w:rsidP="0098354D">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 xml:space="preserve">Average weekly earnings </w:t>
            </w:r>
            <w:r w:rsidRPr="00CF5471">
              <w:rPr>
                <w:rFonts w:eastAsiaTheme="minorEastAsia" w:cstheme="majorHAnsi"/>
                <w:b/>
                <w:bCs/>
                <w:szCs w:val="17"/>
                <w:vertAlign w:val="superscript"/>
                <w:lang w:eastAsia="en-AU"/>
              </w:rPr>
              <w:t>(</w:t>
            </w:r>
            <w:r>
              <w:rPr>
                <w:rFonts w:eastAsiaTheme="minorEastAsia" w:cstheme="majorHAnsi"/>
                <w:b/>
                <w:bCs/>
                <w:szCs w:val="17"/>
                <w:vertAlign w:val="superscript"/>
                <w:lang w:eastAsia="en-AU"/>
              </w:rPr>
              <w:t>h</w:t>
            </w:r>
            <w:r w:rsidRPr="00CF5471">
              <w:rPr>
                <w:rFonts w:eastAsiaTheme="minorEastAsia" w:cstheme="majorHAnsi"/>
                <w:b/>
                <w:bCs/>
                <w:szCs w:val="17"/>
                <w:vertAlign w:val="superscript"/>
                <w:lang w:eastAsia="en-AU"/>
              </w:rPr>
              <w:t>)</w:t>
            </w:r>
          </w:p>
        </w:tc>
        <w:tc>
          <w:tcPr>
            <w:tcW w:w="849" w:type="dxa"/>
            <w:tcBorders>
              <w:top w:val="single" w:sz="4" w:space="0" w:color="auto"/>
            </w:tcBorders>
            <w:vAlign w:val="bottom"/>
          </w:tcPr>
          <w:p w14:paraId="5B6CC6AD"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8" w:type="dxa"/>
            <w:tcBorders>
              <w:top w:val="single" w:sz="4" w:space="0" w:color="auto"/>
            </w:tcBorders>
            <w:vAlign w:val="bottom"/>
          </w:tcPr>
          <w:p w14:paraId="770EB25C"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9" w:type="dxa"/>
            <w:tcBorders>
              <w:top w:val="single" w:sz="4" w:space="0" w:color="auto"/>
            </w:tcBorders>
            <w:vAlign w:val="bottom"/>
          </w:tcPr>
          <w:p w14:paraId="09DD799F"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9" w:type="dxa"/>
            <w:tcBorders>
              <w:top w:val="single" w:sz="4" w:space="0" w:color="auto"/>
            </w:tcBorders>
            <w:vAlign w:val="bottom"/>
          </w:tcPr>
          <w:p w14:paraId="108F8887"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r>
      <w:tr w:rsidR="00346FC5" w:rsidRPr="00CF5471" w14:paraId="7D3AB009" w14:textId="77777777" w:rsidTr="0098354D">
        <w:tc>
          <w:tcPr>
            <w:cnfStyle w:val="001000000000" w:firstRow="0" w:lastRow="0" w:firstColumn="1" w:lastColumn="0" w:oddVBand="0" w:evenVBand="0" w:oddHBand="0" w:evenHBand="0" w:firstRowFirstColumn="0" w:firstRowLastColumn="0" w:lastRowFirstColumn="0" w:lastRowLastColumn="0"/>
            <w:tcW w:w="4360" w:type="dxa"/>
            <w:hideMark/>
          </w:tcPr>
          <w:p w14:paraId="4CD4F7D6" w14:textId="77777777" w:rsidR="00346FC5" w:rsidRPr="00CF5471" w:rsidRDefault="00346FC5" w:rsidP="0098354D">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9" w:type="dxa"/>
            <w:vAlign w:val="bottom"/>
            <w:hideMark/>
          </w:tcPr>
          <w:p w14:paraId="2134B21F"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131</w:t>
            </w:r>
          </w:p>
        </w:tc>
        <w:tc>
          <w:tcPr>
            <w:tcW w:w="848" w:type="dxa"/>
            <w:vAlign w:val="bottom"/>
            <w:hideMark/>
          </w:tcPr>
          <w:p w14:paraId="7DA21FE2"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139</w:t>
            </w:r>
          </w:p>
        </w:tc>
        <w:tc>
          <w:tcPr>
            <w:tcW w:w="849" w:type="dxa"/>
            <w:vAlign w:val="bottom"/>
            <w:hideMark/>
          </w:tcPr>
          <w:p w14:paraId="4FAE0C06"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144</w:t>
            </w:r>
          </w:p>
        </w:tc>
        <w:tc>
          <w:tcPr>
            <w:tcW w:w="849" w:type="dxa"/>
            <w:vAlign w:val="bottom"/>
            <w:hideMark/>
          </w:tcPr>
          <w:p w14:paraId="631023CF"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151</w:t>
            </w:r>
          </w:p>
        </w:tc>
      </w:tr>
      <w:tr w:rsidR="00346FC5" w:rsidRPr="00CF5471" w14:paraId="47671C30"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4F80426E" w14:textId="77777777" w:rsidR="00346FC5" w:rsidRPr="00CF5471" w:rsidRDefault="00346FC5" w:rsidP="0098354D">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9" w:type="dxa"/>
            <w:tcBorders>
              <w:bottom w:val="single" w:sz="4" w:space="0" w:color="auto"/>
            </w:tcBorders>
            <w:vAlign w:val="bottom"/>
            <w:hideMark/>
          </w:tcPr>
          <w:p w14:paraId="068144DD"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5C237B">
              <w:rPr>
                <w:rFonts w:ascii="Calibri" w:hAnsi="Calibri" w:cs="Calibri"/>
                <w:szCs w:val="17"/>
              </w:rPr>
              <w:t>3</w:t>
            </w:r>
          </w:p>
        </w:tc>
        <w:tc>
          <w:tcPr>
            <w:tcW w:w="848" w:type="dxa"/>
            <w:tcBorders>
              <w:bottom w:val="single" w:sz="4" w:space="0" w:color="auto"/>
            </w:tcBorders>
            <w:vAlign w:val="bottom"/>
            <w:hideMark/>
          </w:tcPr>
          <w:p w14:paraId="283B9007"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5C237B">
              <w:rPr>
                <w:rFonts w:ascii="Calibri" w:hAnsi="Calibri" w:cs="Calibri"/>
                <w:szCs w:val="17"/>
              </w:rPr>
              <w:t>(3)</w:t>
            </w:r>
          </w:p>
        </w:tc>
        <w:tc>
          <w:tcPr>
            <w:tcW w:w="849" w:type="dxa"/>
            <w:tcBorders>
              <w:bottom w:val="single" w:sz="4" w:space="0" w:color="auto"/>
            </w:tcBorders>
            <w:vAlign w:val="bottom"/>
            <w:hideMark/>
          </w:tcPr>
          <w:p w14:paraId="101129CC"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5C237B">
              <w:rPr>
                <w:rFonts w:ascii="Calibri" w:hAnsi="Calibri" w:cs="Calibri"/>
                <w:szCs w:val="17"/>
              </w:rPr>
              <w:t>(10)</w:t>
            </w:r>
          </w:p>
        </w:tc>
        <w:tc>
          <w:tcPr>
            <w:tcW w:w="849" w:type="dxa"/>
            <w:tcBorders>
              <w:bottom w:val="single" w:sz="4" w:space="0" w:color="auto"/>
            </w:tcBorders>
            <w:vAlign w:val="bottom"/>
            <w:hideMark/>
          </w:tcPr>
          <w:p w14:paraId="7D7D34FF"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5C237B">
              <w:rPr>
                <w:rFonts w:ascii="Calibri" w:hAnsi="Calibri" w:cs="Calibri"/>
                <w:szCs w:val="17"/>
              </w:rPr>
              <w:t>(18)</w:t>
            </w:r>
          </w:p>
        </w:tc>
      </w:tr>
      <w:tr w:rsidR="00346FC5" w:rsidRPr="00CF5471" w14:paraId="0E8886D3"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59B13986" w14:textId="77777777" w:rsidR="00346FC5" w:rsidRPr="00CF5471" w:rsidRDefault="00346FC5" w:rsidP="0098354D">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result from transactions</w:t>
            </w:r>
          </w:p>
        </w:tc>
        <w:tc>
          <w:tcPr>
            <w:tcW w:w="849" w:type="dxa"/>
            <w:tcBorders>
              <w:top w:val="single" w:sz="4" w:space="0" w:color="auto"/>
              <w:bottom w:val="nil"/>
            </w:tcBorders>
            <w:vAlign w:val="bottom"/>
            <w:hideMark/>
          </w:tcPr>
          <w:p w14:paraId="7EF8AC95"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bCs/>
                <w:szCs w:val="17"/>
              </w:rPr>
              <w:t>128</w:t>
            </w:r>
          </w:p>
        </w:tc>
        <w:tc>
          <w:tcPr>
            <w:tcW w:w="848" w:type="dxa"/>
            <w:tcBorders>
              <w:top w:val="single" w:sz="4" w:space="0" w:color="auto"/>
              <w:bottom w:val="nil"/>
            </w:tcBorders>
            <w:vAlign w:val="bottom"/>
            <w:hideMark/>
          </w:tcPr>
          <w:p w14:paraId="2501C757"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bCs/>
                <w:szCs w:val="17"/>
              </w:rPr>
              <w:t>142</w:t>
            </w:r>
          </w:p>
        </w:tc>
        <w:tc>
          <w:tcPr>
            <w:tcW w:w="849" w:type="dxa"/>
            <w:tcBorders>
              <w:top w:val="single" w:sz="4" w:space="0" w:color="auto"/>
              <w:bottom w:val="nil"/>
            </w:tcBorders>
            <w:vAlign w:val="bottom"/>
            <w:hideMark/>
          </w:tcPr>
          <w:p w14:paraId="50492E25"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bCs/>
                <w:szCs w:val="17"/>
              </w:rPr>
              <w:t>154</w:t>
            </w:r>
          </w:p>
        </w:tc>
        <w:tc>
          <w:tcPr>
            <w:tcW w:w="849" w:type="dxa"/>
            <w:tcBorders>
              <w:top w:val="single" w:sz="4" w:space="0" w:color="auto"/>
              <w:bottom w:val="nil"/>
            </w:tcBorders>
            <w:vAlign w:val="bottom"/>
            <w:hideMark/>
          </w:tcPr>
          <w:p w14:paraId="227C1D9B"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bCs/>
                <w:szCs w:val="17"/>
              </w:rPr>
              <w:t>169</w:t>
            </w:r>
          </w:p>
        </w:tc>
      </w:tr>
      <w:tr w:rsidR="00346FC5" w:rsidRPr="00CF5471" w14:paraId="3D6F92EE"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26A8F304" w14:textId="77777777" w:rsidR="00346FC5" w:rsidRPr="00CF5471" w:rsidRDefault="00346FC5" w:rsidP="0098354D">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debt</w:t>
            </w:r>
          </w:p>
        </w:tc>
        <w:tc>
          <w:tcPr>
            <w:tcW w:w="849" w:type="dxa"/>
            <w:tcBorders>
              <w:bottom w:val="single" w:sz="4" w:space="0" w:color="auto"/>
            </w:tcBorders>
            <w:vAlign w:val="bottom"/>
            <w:hideMark/>
          </w:tcPr>
          <w:p w14:paraId="3A7FBA4B"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w:t>
            </w:r>
            <w:r w:rsidRPr="006D1EB7">
              <w:rPr>
                <w:rFonts w:ascii="Calibri" w:hAnsi="Calibri" w:cs="Calibri"/>
                <w:b/>
                <w:bCs/>
                <w:szCs w:val="17"/>
              </w:rPr>
              <w:t>128</w:t>
            </w:r>
            <w:r w:rsidRPr="005C237B">
              <w:rPr>
                <w:rFonts w:ascii="Calibri" w:hAnsi="Calibri" w:cs="Calibri"/>
                <w:b/>
                <w:bCs/>
                <w:szCs w:val="17"/>
              </w:rPr>
              <w:t>)</w:t>
            </w:r>
          </w:p>
        </w:tc>
        <w:tc>
          <w:tcPr>
            <w:tcW w:w="848" w:type="dxa"/>
            <w:tcBorders>
              <w:bottom w:val="single" w:sz="4" w:space="0" w:color="auto"/>
            </w:tcBorders>
            <w:vAlign w:val="bottom"/>
            <w:hideMark/>
          </w:tcPr>
          <w:p w14:paraId="511AA0EB"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(270)</w:t>
            </w:r>
          </w:p>
        </w:tc>
        <w:tc>
          <w:tcPr>
            <w:tcW w:w="849" w:type="dxa"/>
            <w:tcBorders>
              <w:bottom w:val="single" w:sz="4" w:space="0" w:color="auto"/>
            </w:tcBorders>
            <w:vAlign w:val="bottom"/>
            <w:hideMark/>
          </w:tcPr>
          <w:p w14:paraId="059C30C4"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w:t>
            </w:r>
            <w:r w:rsidRPr="006D1EB7">
              <w:rPr>
                <w:rFonts w:ascii="Calibri" w:hAnsi="Calibri" w:cs="Calibri"/>
                <w:b/>
                <w:bCs/>
                <w:szCs w:val="17"/>
              </w:rPr>
              <w:t>424</w:t>
            </w:r>
            <w:r w:rsidRPr="005C237B">
              <w:rPr>
                <w:rFonts w:ascii="Calibri" w:hAnsi="Calibri" w:cs="Calibri"/>
                <w:b/>
                <w:bCs/>
                <w:szCs w:val="17"/>
              </w:rPr>
              <w:t>)</w:t>
            </w:r>
          </w:p>
        </w:tc>
        <w:tc>
          <w:tcPr>
            <w:tcW w:w="849" w:type="dxa"/>
            <w:tcBorders>
              <w:bottom w:val="single" w:sz="4" w:space="0" w:color="auto"/>
            </w:tcBorders>
            <w:vAlign w:val="bottom"/>
            <w:hideMark/>
          </w:tcPr>
          <w:p w14:paraId="54077710"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w:t>
            </w:r>
            <w:r w:rsidRPr="006D1EB7">
              <w:rPr>
                <w:rFonts w:ascii="Calibri" w:hAnsi="Calibri" w:cs="Calibri"/>
                <w:b/>
                <w:bCs/>
                <w:szCs w:val="17"/>
              </w:rPr>
              <w:t>593</w:t>
            </w:r>
            <w:r w:rsidRPr="005C237B">
              <w:rPr>
                <w:rFonts w:ascii="Calibri" w:hAnsi="Calibri" w:cs="Calibri"/>
                <w:b/>
                <w:bCs/>
                <w:szCs w:val="17"/>
              </w:rPr>
              <w:t>)</w:t>
            </w:r>
          </w:p>
        </w:tc>
      </w:tr>
      <w:tr w:rsidR="00346FC5" w:rsidRPr="00CF5471" w14:paraId="55B034CD"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7C64806F" w14:textId="77777777" w:rsidR="00346FC5" w:rsidRPr="00CF5471" w:rsidRDefault="00346FC5" w:rsidP="0098354D">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 xml:space="preserve">Total employee expenses </w:t>
            </w:r>
          </w:p>
        </w:tc>
        <w:tc>
          <w:tcPr>
            <w:tcW w:w="849" w:type="dxa"/>
            <w:tcBorders>
              <w:top w:val="single" w:sz="4" w:space="0" w:color="auto"/>
            </w:tcBorders>
            <w:vAlign w:val="bottom"/>
          </w:tcPr>
          <w:p w14:paraId="36A02992"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8" w:type="dxa"/>
            <w:tcBorders>
              <w:top w:val="single" w:sz="4" w:space="0" w:color="auto"/>
            </w:tcBorders>
            <w:vAlign w:val="bottom"/>
          </w:tcPr>
          <w:p w14:paraId="39679AA2"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9" w:type="dxa"/>
            <w:tcBorders>
              <w:top w:val="single" w:sz="4" w:space="0" w:color="auto"/>
            </w:tcBorders>
            <w:vAlign w:val="bottom"/>
          </w:tcPr>
          <w:p w14:paraId="56A41576"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9" w:type="dxa"/>
            <w:tcBorders>
              <w:top w:val="single" w:sz="4" w:space="0" w:color="auto"/>
            </w:tcBorders>
            <w:vAlign w:val="bottom"/>
          </w:tcPr>
          <w:p w14:paraId="6FD83D2F"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r>
      <w:tr w:rsidR="00346FC5" w:rsidRPr="00CF5471" w14:paraId="5FC29A12" w14:textId="77777777" w:rsidTr="0098354D">
        <w:tc>
          <w:tcPr>
            <w:cnfStyle w:val="001000000000" w:firstRow="0" w:lastRow="0" w:firstColumn="1" w:lastColumn="0" w:oddVBand="0" w:evenVBand="0" w:oddHBand="0" w:evenHBand="0" w:firstRowFirstColumn="0" w:firstRowLastColumn="0" w:lastRowFirstColumn="0" w:lastRowLastColumn="0"/>
            <w:tcW w:w="4360" w:type="dxa"/>
            <w:hideMark/>
          </w:tcPr>
          <w:p w14:paraId="63E678B5" w14:textId="77777777" w:rsidR="00346FC5" w:rsidRPr="00CF5471" w:rsidRDefault="00346FC5" w:rsidP="0098354D">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9" w:type="dxa"/>
            <w:vAlign w:val="bottom"/>
            <w:hideMark/>
          </w:tcPr>
          <w:p w14:paraId="1BB1A899"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5C237B">
              <w:rPr>
                <w:rFonts w:ascii="Calibri" w:hAnsi="Calibri" w:cs="Calibri"/>
                <w:szCs w:val="17"/>
              </w:rPr>
              <w:t>..</w:t>
            </w:r>
          </w:p>
        </w:tc>
        <w:tc>
          <w:tcPr>
            <w:tcW w:w="848" w:type="dxa"/>
            <w:vAlign w:val="bottom"/>
            <w:hideMark/>
          </w:tcPr>
          <w:p w14:paraId="099DBE31"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44</w:t>
            </w:r>
          </w:p>
        </w:tc>
        <w:tc>
          <w:tcPr>
            <w:tcW w:w="849" w:type="dxa"/>
            <w:vAlign w:val="bottom"/>
            <w:hideMark/>
          </w:tcPr>
          <w:p w14:paraId="039611A8"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150</w:t>
            </w:r>
          </w:p>
        </w:tc>
        <w:tc>
          <w:tcPr>
            <w:tcW w:w="849" w:type="dxa"/>
            <w:vAlign w:val="bottom"/>
            <w:hideMark/>
          </w:tcPr>
          <w:p w14:paraId="2F3001D2"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164</w:t>
            </w:r>
          </w:p>
        </w:tc>
      </w:tr>
      <w:tr w:rsidR="00346FC5" w:rsidRPr="00CF5471" w14:paraId="627F0710"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479D9B00" w14:textId="77777777" w:rsidR="00346FC5" w:rsidRPr="00CF5471" w:rsidRDefault="00346FC5" w:rsidP="0098354D">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9" w:type="dxa"/>
            <w:tcBorders>
              <w:bottom w:val="single" w:sz="4" w:space="0" w:color="auto"/>
            </w:tcBorders>
            <w:vAlign w:val="bottom"/>
            <w:hideMark/>
          </w:tcPr>
          <w:p w14:paraId="04502F83"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360</w:t>
            </w:r>
          </w:p>
        </w:tc>
        <w:tc>
          <w:tcPr>
            <w:tcW w:w="848" w:type="dxa"/>
            <w:tcBorders>
              <w:bottom w:val="single" w:sz="4" w:space="0" w:color="auto"/>
            </w:tcBorders>
            <w:vAlign w:val="bottom"/>
            <w:hideMark/>
          </w:tcPr>
          <w:p w14:paraId="133B6645"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382</w:t>
            </w:r>
          </w:p>
        </w:tc>
        <w:tc>
          <w:tcPr>
            <w:tcW w:w="849" w:type="dxa"/>
            <w:tcBorders>
              <w:bottom w:val="single" w:sz="4" w:space="0" w:color="auto"/>
            </w:tcBorders>
            <w:vAlign w:val="bottom"/>
            <w:hideMark/>
          </w:tcPr>
          <w:p w14:paraId="68CF28F3"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407</w:t>
            </w:r>
          </w:p>
        </w:tc>
        <w:tc>
          <w:tcPr>
            <w:tcW w:w="849" w:type="dxa"/>
            <w:tcBorders>
              <w:bottom w:val="single" w:sz="4" w:space="0" w:color="auto"/>
            </w:tcBorders>
            <w:vAlign w:val="bottom"/>
            <w:hideMark/>
          </w:tcPr>
          <w:p w14:paraId="6E62E1D8"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434</w:t>
            </w:r>
          </w:p>
        </w:tc>
      </w:tr>
      <w:tr w:rsidR="00346FC5" w:rsidRPr="0044766D" w14:paraId="49CA11A4"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3E3EEAB9" w14:textId="77777777" w:rsidR="00346FC5" w:rsidRPr="00CF5471" w:rsidRDefault="00346FC5" w:rsidP="0098354D">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result from transactions</w:t>
            </w:r>
          </w:p>
        </w:tc>
        <w:tc>
          <w:tcPr>
            <w:tcW w:w="849" w:type="dxa"/>
            <w:tcBorders>
              <w:top w:val="single" w:sz="4" w:space="0" w:color="auto"/>
              <w:bottom w:val="nil"/>
            </w:tcBorders>
            <w:vAlign w:val="bottom"/>
            <w:hideMark/>
          </w:tcPr>
          <w:p w14:paraId="0EBF82FE"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w:t>
            </w:r>
            <w:r w:rsidRPr="006D1EB7">
              <w:rPr>
                <w:rFonts w:ascii="Calibri" w:hAnsi="Calibri" w:cs="Calibri"/>
                <w:b/>
                <w:bCs/>
                <w:szCs w:val="17"/>
              </w:rPr>
              <w:t>360</w:t>
            </w:r>
            <w:r w:rsidRPr="005C237B">
              <w:rPr>
                <w:rFonts w:ascii="Calibri" w:hAnsi="Calibri" w:cs="Calibri"/>
                <w:b/>
                <w:bCs/>
                <w:szCs w:val="17"/>
              </w:rPr>
              <w:t>)</w:t>
            </w:r>
          </w:p>
        </w:tc>
        <w:tc>
          <w:tcPr>
            <w:tcW w:w="848" w:type="dxa"/>
            <w:tcBorders>
              <w:top w:val="single" w:sz="4" w:space="0" w:color="auto"/>
              <w:bottom w:val="nil"/>
            </w:tcBorders>
            <w:vAlign w:val="bottom"/>
            <w:hideMark/>
          </w:tcPr>
          <w:p w14:paraId="6410FE32"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w:t>
            </w:r>
            <w:r w:rsidRPr="006D1EB7">
              <w:rPr>
                <w:rFonts w:ascii="Calibri" w:hAnsi="Calibri" w:cs="Calibri"/>
                <w:b/>
                <w:bCs/>
                <w:szCs w:val="17"/>
              </w:rPr>
              <w:t>338</w:t>
            </w:r>
            <w:r w:rsidRPr="005C237B">
              <w:rPr>
                <w:rFonts w:ascii="Calibri" w:hAnsi="Calibri" w:cs="Calibri"/>
                <w:b/>
                <w:bCs/>
                <w:szCs w:val="17"/>
              </w:rPr>
              <w:t>)</w:t>
            </w:r>
          </w:p>
        </w:tc>
        <w:tc>
          <w:tcPr>
            <w:tcW w:w="849" w:type="dxa"/>
            <w:tcBorders>
              <w:top w:val="single" w:sz="4" w:space="0" w:color="auto"/>
              <w:bottom w:val="nil"/>
            </w:tcBorders>
            <w:vAlign w:val="bottom"/>
            <w:hideMark/>
          </w:tcPr>
          <w:p w14:paraId="7AF4BFA5"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w:t>
            </w:r>
            <w:r w:rsidRPr="006D1EB7">
              <w:rPr>
                <w:rFonts w:ascii="Calibri" w:hAnsi="Calibri" w:cs="Calibri"/>
                <w:b/>
                <w:bCs/>
                <w:szCs w:val="17"/>
              </w:rPr>
              <w:t>257</w:t>
            </w:r>
            <w:r w:rsidRPr="005C237B">
              <w:rPr>
                <w:rFonts w:ascii="Calibri" w:hAnsi="Calibri" w:cs="Calibri"/>
                <w:b/>
                <w:bCs/>
                <w:szCs w:val="17"/>
              </w:rPr>
              <w:t>)</w:t>
            </w:r>
          </w:p>
        </w:tc>
        <w:tc>
          <w:tcPr>
            <w:tcW w:w="849" w:type="dxa"/>
            <w:tcBorders>
              <w:top w:val="single" w:sz="4" w:space="0" w:color="auto"/>
              <w:bottom w:val="nil"/>
            </w:tcBorders>
            <w:vAlign w:val="bottom"/>
            <w:hideMark/>
          </w:tcPr>
          <w:p w14:paraId="1A6903F8"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w:t>
            </w:r>
            <w:r w:rsidRPr="006D1EB7">
              <w:rPr>
                <w:rFonts w:ascii="Calibri" w:hAnsi="Calibri" w:cs="Calibri"/>
                <w:b/>
                <w:bCs/>
                <w:szCs w:val="17"/>
              </w:rPr>
              <w:t>270</w:t>
            </w:r>
            <w:r w:rsidRPr="005C237B">
              <w:rPr>
                <w:rFonts w:ascii="Calibri" w:hAnsi="Calibri" w:cs="Calibri"/>
                <w:b/>
                <w:bCs/>
                <w:szCs w:val="17"/>
              </w:rPr>
              <w:t>)</w:t>
            </w:r>
          </w:p>
        </w:tc>
      </w:tr>
      <w:tr w:rsidR="00346FC5" w:rsidRPr="0044766D" w14:paraId="6A92A64D"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6813A488" w14:textId="77777777" w:rsidR="00346FC5" w:rsidRPr="00CF5471" w:rsidRDefault="00346FC5" w:rsidP="0098354D">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debt</w:t>
            </w:r>
          </w:p>
        </w:tc>
        <w:tc>
          <w:tcPr>
            <w:tcW w:w="849" w:type="dxa"/>
            <w:tcBorders>
              <w:bottom w:val="single" w:sz="4" w:space="0" w:color="auto"/>
            </w:tcBorders>
            <w:vAlign w:val="bottom"/>
            <w:hideMark/>
          </w:tcPr>
          <w:p w14:paraId="549BDB15"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bCs/>
                <w:szCs w:val="17"/>
              </w:rPr>
              <w:t>360</w:t>
            </w:r>
          </w:p>
        </w:tc>
        <w:tc>
          <w:tcPr>
            <w:tcW w:w="848" w:type="dxa"/>
            <w:tcBorders>
              <w:bottom w:val="single" w:sz="4" w:space="0" w:color="auto"/>
            </w:tcBorders>
            <w:vAlign w:val="bottom"/>
            <w:hideMark/>
          </w:tcPr>
          <w:p w14:paraId="7A30A11F"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bCs/>
                <w:szCs w:val="17"/>
              </w:rPr>
              <w:t>698</w:t>
            </w:r>
          </w:p>
        </w:tc>
        <w:tc>
          <w:tcPr>
            <w:tcW w:w="849" w:type="dxa"/>
            <w:tcBorders>
              <w:bottom w:val="single" w:sz="4" w:space="0" w:color="auto"/>
            </w:tcBorders>
            <w:vAlign w:val="bottom"/>
            <w:hideMark/>
          </w:tcPr>
          <w:p w14:paraId="36A22310"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bCs/>
                <w:szCs w:val="17"/>
              </w:rPr>
              <w:t>956</w:t>
            </w:r>
          </w:p>
        </w:tc>
        <w:tc>
          <w:tcPr>
            <w:tcW w:w="849" w:type="dxa"/>
            <w:tcBorders>
              <w:bottom w:val="single" w:sz="4" w:space="0" w:color="auto"/>
            </w:tcBorders>
            <w:vAlign w:val="bottom"/>
            <w:hideMark/>
          </w:tcPr>
          <w:p w14:paraId="0527FFF2"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5C237B">
              <w:rPr>
                <w:rFonts w:ascii="Calibri" w:hAnsi="Calibri" w:cs="Calibri"/>
                <w:b/>
                <w:bCs/>
                <w:szCs w:val="17"/>
              </w:rPr>
              <w:t>1</w:t>
            </w:r>
            <w:r>
              <w:rPr>
                <w:rFonts w:ascii="Calibri" w:hAnsi="Calibri" w:cs="Calibri"/>
                <w:b/>
                <w:bCs/>
                <w:szCs w:val="17"/>
              </w:rPr>
              <w:t xml:space="preserve"> </w:t>
            </w:r>
            <w:r w:rsidRPr="006D1EB7">
              <w:rPr>
                <w:rFonts w:ascii="Calibri" w:hAnsi="Calibri" w:cs="Calibri"/>
                <w:b/>
                <w:bCs/>
                <w:szCs w:val="17"/>
              </w:rPr>
              <w:t>226</w:t>
            </w:r>
          </w:p>
        </w:tc>
      </w:tr>
      <w:tr w:rsidR="00346FC5" w:rsidRPr="00CF5471" w14:paraId="09727451"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1702CB71" w14:textId="77777777" w:rsidR="00346FC5" w:rsidRPr="00CF5471" w:rsidRDefault="00346FC5" w:rsidP="0098354D">
            <w:pPr>
              <w:keepNext/>
              <w:keepLines w:val="0"/>
              <w:autoSpaceDE w:val="0"/>
              <w:autoSpaceDN w:val="0"/>
              <w:adjustRightInd w:val="0"/>
              <w:ind w:left="173" w:hanging="173"/>
              <w:rPr>
                <w:rFonts w:eastAsiaTheme="minorEastAsia" w:cstheme="majorHAnsi"/>
                <w:b/>
                <w:bCs/>
                <w:szCs w:val="17"/>
                <w:lang w:eastAsia="en-AU"/>
              </w:rPr>
            </w:pPr>
            <w:r w:rsidRPr="00CF5471">
              <w:rPr>
                <w:rFonts w:eastAsiaTheme="minorEastAsia" w:cstheme="majorHAnsi"/>
                <w:b/>
                <w:bCs/>
                <w:szCs w:val="17"/>
                <w:lang w:eastAsia="en-AU"/>
              </w:rPr>
              <w:t xml:space="preserve">Domestic share prices </w:t>
            </w:r>
            <w:r w:rsidRPr="00CF5471">
              <w:rPr>
                <w:rFonts w:eastAsiaTheme="minorEastAsia" w:cstheme="majorHAnsi"/>
                <w:b/>
                <w:bCs/>
                <w:szCs w:val="17"/>
                <w:vertAlign w:val="superscript"/>
                <w:lang w:eastAsia="en-AU"/>
              </w:rPr>
              <w:t>(</w:t>
            </w:r>
            <w:r>
              <w:rPr>
                <w:rFonts w:eastAsiaTheme="minorEastAsia" w:cstheme="majorHAnsi"/>
                <w:b/>
                <w:bCs/>
                <w:szCs w:val="17"/>
                <w:vertAlign w:val="superscript"/>
                <w:lang w:eastAsia="en-AU"/>
              </w:rPr>
              <w:t>i</w:t>
            </w:r>
            <w:r w:rsidRPr="00CF5471">
              <w:rPr>
                <w:rFonts w:eastAsiaTheme="minorEastAsia" w:cstheme="majorHAnsi"/>
                <w:b/>
                <w:bCs/>
                <w:szCs w:val="17"/>
                <w:vertAlign w:val="superscript"/>
                <w:lang w:eastAsia="en-AU"/>
              </w:rPr>
              <w:t>)</w:t>
            </w:r>
          </w:p>
        </w:tc>
        <w:tc>
          <w:tcPr>
            <w:tcW w:w="849" w:type="dxa"/>
            <w:tcBorders>
              <w:top w:val="single" w:sz="4" w:space="0" w:color="auto"/>
            </w:tcBorders>
            <w:vAlign w:val="bottom"/>
          </w:tcPr>
          <w:p w14:paraId="61435E01"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8" w:type="dxa"/>
            <w:tcBorders>
              <w:top w:val="single" w:sz="4" w:space="0" w:color="auto"/>
            </w:tcBorders>
            <w:vAlign w:val="bottom"/>
          </w:tcPr>
          <w:p w14:paraId="707A2FCA"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9" w:type="dxa"/>
            <w:tcBorders>
              <w:top w:val="single" w:sz="4" w:space="0" w:color="auto"/>
            </w:tcBorders>
            <w:vAlign w:val="bottom"/>
          </w:tcPr>
          <w:p w14:paraId="1A885A03"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9" w:type="dxa"/>
            <w:tcBorders>
              <w:top w:val="single" w:sz="4" w:space="0" w:color="auto"/>
            </w:tcBorders>
            <w:vAlign w:val="bottom"/>
          </w:tcPr>
          <w:p w14:paraId="7BF1E1DA"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r>
      <w:tr w:rsidR="00346FC5" w:rsidRPr="00CF5471" w14:paraId="147FF895" w14:textId="77777777" w:rsidTr="0098354D">
        <w:tc>
          <w:tcPr>
            <w:cnfStyle w:val="001000000000" w:firstRow="0" w:lastRow="0" w:firstColumn="1" w:lastColumn="0" w:oddVBand="0" w:evenVBand="0" w:oddHBand="0" w:evenHBand="0" w:firstRowFirstColumn="0" w:firstRowLastColumn="0" w:lastRowFirstColumn="0" w:lastRowLastColumn="0"/>
            <w:tcW w:w="4360" w:type="dxa"/>
            <w:hideMark/>
          </w:tcPr>
          <w:p w14:paraId="06E4EE51" w14:textId="77777777" w:rsidR="00346FC5" w:rsidRPr="00CF5471" w:rsidRDefault="00346FC5" w:rsidP="0098354D">
            <w:pPr>
              <w:keepNext/>
              <w:keepLines w:val="0"/>
              <w:autoSpaceDE w:val="0"/>
              <w:autoSpaceDN w:val="0"/>
              <w:adjustRightInd w:val="0"/>
              <w:ind w:left="173" w:hanging="173"/>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9" w:type="dxa"/>
            <w:vAlign w:val="bottom"/>
            <w:hideMark/>
          </w:tcPr>
          <w:p w14:paraId="17975752"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w:t>
            </w:r>
          </w:p>
        </w:tc>
        <w:tc>
          <w:tcPr>
            <w:tcW w:w="848" w:type="dxa"/>
            <w:vAlign w:val="bottom"/>
            <w:hideMark/>
          </w:tcPr>
          <w:p w14:paraId="23FD999E"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0</w:t>
            </w:r>
          </w:p>
        </w:tc>
        <w:tc>
          <w:tcPr>
            <w:tcW w:w="849" w:type="dxa"/>
            <w:vAlign w:val="bottom"/>
            <w:hideMark/>
          </w:tcPr>
          <w:p w14:paraId="52FAF80C"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1</w:t>
            </w:r>
          </w:p>
        </w:tc>
        <w:tc>
          <w:tcPr>
            <w:tcW w:w="849" w:type="dxa"/>
            <w:vAlign w:val="bottom"/>
            <w:hideMark/>
          </w:tcPr>
          <w:p w14:paraId="010AC04D"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2</w:t>
            </w:r>
          </w:p>
        </w:tc>
      </w:tr>
      <w:tr w:rsidR="00346FC5" w:rsidRPr="00CF5471" w14:paraId="6B4EC698"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0C701EDC" w14:textId="77777777" w:rsidR="00346FC5" w:rsidRPr="00CF5471" w:rsidRDefault="00346FC5" w:rsidP="0098354D">
            <w:pPr>
              <w:keepNext/>
              <w:keepLines w:val="0"/>
              <w:autoSpaceDE w:val="0"/>
              <w:autoSpaceDN w:val="0"/>
              <w:adjustRightInd w:val="0"/>
              <w:ind w:left="173" w:hanging="173"/>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9" w:type="dxa"/>
            <w:tcBorders>
              <w:bottom w:val="single" w:sz="4" w:space="0" w:color="auto"/>
            </w:tcBorders>
            <w:vAlign w:val="bottom"/>
            <w:hideMark/>
          </w:tcPr>
          <w:p w14:paraId="445C9BC6"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w:t>
            </w:r>
          </w:p>
        </w:tc>
        <w:tc>
          <w:tcPr>
            <w:tcW w:w="848" w:type="dxa"/>
            <w:tcBorders>
              <w:bottom w:val="single" w:sz="4" w:space="0" w:color="auto"/>
            </w:tcBorders>
            <w:vAlign w:val="bottom"/>
            <w:hideMark/>
          </w:tcPr>
          <w:p w14:paraId="2FD0E5D1"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w:t>
            </w:r>
          </w:p>
        </w:tc>
        <w:tc>
          <w:tcPr>
            <w:tcW w:w="849" w:type="dxa"/>
            <w:tcBorders>
              <w:bottom w:val="single" w:sz="4" w:space="0" w:color="auto"/>
            </w:tcBorders>
            <w:vAlign w:val="bottom"/>
            <w:hideMark/>
          </w:tcPr>
          <w:p w14:paraId="7C0D4DDA"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w:t>
            </w:r>
          </w:p>
        </w:tc>
        <w:tc>
          <w:tcPr>
            <w:tcW w:w="849" w:type="dxa"/>
            <w:tcBorders>
              <w:bottom w:val="single" w:sz="4" w:space="0" w:color="auto"/>
            </w:tcBorders>
            <w:vAlign w:val="bottom"/>
            <w:hideMark/>
          </w:tcPr>
          <w:p w14:paraId="2570969D"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w:t>
            </w:r>
          </w:p>
        </w:tc>
      </w:tr>
      <w:tr w:rsidR="00346FC5" w:rsidRPr="00CF5471" w14:paraId="4CFB48D0"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4825B2F3" w14:textId="77777777" w:rsidR="00346FC5" w:rsidRPr="00E21084" w:rsidRDefault="00346FC5" w:rsidP="0098354D">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result from transactions</w:t>
            </w:r>
          </w:p>
        </w:tc>
        <w:tc>
          <w:tcPr>
            <w:tcW w:w="849" w:type="dxa"/>
            <w:tcBorders>
              <w:top w:val="single" w:sz="4" w:space="0" w:color="auto"/>
              <w:bottom w:val="nil"/>
            </w:tcBorders>
            <w:vAlign w:val="bottom"/>
            <w:hideMark/>
          </w:tcPr>
          <w:p w14:paraId="694EE652"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szCs w:val="17"/>
              </w:rPr>
              <w:t>..</w:t>
            </w:r>
          </w:p>
        </w:tc>
        <w:tc>
          <w:tcPr>
            <w:tcW w:w="848" w:type="dxa"/>
            <w:tcBorders>
              <w:top w:val="single" w:sz="4" w:space="0" w:color="auto"/>
              <w:bottom w:val="nil"/>
            </w:tcBorders>
            <w:vAlign w:val="bottom"/>
            <w:hideMark/>
          </w:tcPr>
          <w:p w14:paraId="12E6D406"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szCs w:val="17"/>
              </w:rPr>
              <w:t>0</w:t>
            </w:r>
          </w:p>
        </w:tc>
        <w:tc>
          <w:tcPr>
            <w:tcW w:w="849" w:type="dxa"/>
            <w:tcBorders>
              <w:top w:val="single" w:sz="4" w:space="0" w:color="auto"/>
              <w:bottom w:val="nil"/>
            </w:tcBorders>
            <w:vAlign w:val="bottom"/>
            <w:hideMark/>
          </w:tcPr>
          <w:p w14:paraId="3C60A3CD"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szCs w:val="17"/>
              </w:rPr>
              <w:t>1</w:t>
            </w:r>
          </w:p>
        </w:tc>
        <w:tc>
          <w:tcPr>
            <w:tcW w:w="849" w:type="dxa"/>
            <w:tcBorders>
              <w:top w:val="single" w:sz="4" w:space="0" w:color="auto"/>
              <w:bottom w:val="nil"/>
            </w:tcBorders>
            <w:vAlign w:val="bottom"/>
            <w:hideMark/>
          </w:tcPr>
          <w:p w14:paraId="6278BD19"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szCs w:val="17"/>
              </w:rPr>
              <w:t>2</w:t>
            </w:r>
          </w:p>
        </w:tc>
      </w:tr>
      <w:tr w:rsidR="00346FC5" w:rsidRPr="00CF5471" w14:paraId="60FD4680"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5F254082" w14:textId="77777777" w:rsidR="00346FC5" w:rsidRPr="00E21084" w:rsidRDefault="00346FC5" w:rsidP="0098354D">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debt</w:t>
            </w:r>
          </w:p>
        </w:tc>
        <w:tc>
          <w:tcPr>
            <w:tcW w:w="849" w:type="dxa"/>
            <w:tcBorders>
              <w:bottom w:val="single" w:sz="4" w:space="0" w:color="auto"/>
            </w:tcBorders>
            <w:vAlign w:val="bottom"/>
            <w:hideMark/>
          </w:tcPr>
          <w:p w14:paraId="3328991D"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szCs w:val="17"/>
              </w:rPr>
              <w:t>(7)</w:t>
            </w:r>
          </w:p>
        </w:tc>
        <w:tc>
          <w:tcPr>
            <w:tcW w:w="848" w:type="dxa"/>
            <w:tcBorders>
              <w:bottom w:val="single" w:sz="4" w:space="0" w:color="auto"/>
            </w:tcBorders>
            <w:vAlign w:val="bottom"/>
            <w:hideMark/>
          </w:tcPr>
          <w:p w14:paraId="3786B7DD"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szCs w:val="17"/>
              </w:rPr>
              <w:t>(19)</w:t>
            </w:r>
          </w:p>
        </w:tc>
        <w:tc>
          <w:tcPr>
            <w:tcW w:w="849" w:type="dxa"/>
            <w:tcBorders>
              <w:bottom w:val="single" w:sz="4" w:space="0" w:color="auto"/>
            </w:tcBorders>
            <w:vAlign w:val="bottom"/>
            <w:hideMark/>
          </w:tcPr>
          <w:p w14:paraId="46487A51"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szCs w:val="17"/>
              </w:rPr>
              <w:t>(33)</w:t>
            </w:r>
          </w:p>
        </w:tc>
        <w:tc>
          <w:tcPr>
            <w:tcW w:w="849" w:type="dxa"/>
            <w:tcBorders>
              <w:bottom w:val="single" w:sz="4" w:space="0" w:color="auto"/>
            </w:tcBorders>
            <w:vAlign w:val="bottom"/>
            <w:hideMark/>
          </w:tcPr>
          <w:p w14:paraId="658957E1"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szCs w:val="17"/>
              </w:rPr>
              <w:t>(50)</w:t>
            </w:r>
          </w:p>
        </w:tc>
      </w:tr>
      <w:tr w:rsidR="00346FC5" w:rsidRPr="00CF5471" w14:paraId="4F00A858"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6F868EB0" w14:textId="77777777" w:rsidR="00346FC5" w:rsidRPr="00CF5471" w:rsidRDefault="00346FC5" w:rsidP="0098354D">
            <w:pPr>
              <w:keepNext/>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 xml:space="preserve">Overseas share prices </w:t>
            </w:r>
            <w:r w:rsidRPr="00CF5471">
              <w:rPr>
                <w:rFonts w:eastAsiaTheme="minorEastAsia" w:cstheme="majorHAnsi"/>
                <w:b/>
                <w:bCs/>
                <w:szCs w:val="17"/>
                <w:vertAlign w:val="superscript"/>
                <w:lang w:eastAsia="en-AU"/>
              </w:rPr>
              <w:t>(</w:t>
            </w:r>
            <w:r>
              <w:rPr>
                <w:rFonts w:eastAsiaTheme="minorEastAsia" w:cstheme="majorHAnsi"/>
                <w:b/>
                <w:bCs/>
                <w:szCs w:val="17"/>
                <w:vertAlign w:val="superscript"/>
                <w:lang w:eastAsia="en-AU"/>
              </w:rPr>
              <w:t>i</w:t>
            </w:r>
            <w:r w:rsidRPr="00CF5471">
              <w:rPr>
                <w:rFonts w:eastAsiaTheme="minorEastAsia" w:cstheme="majorHAnsi"/>
                <w:b/>
                <w:bCs/>
                <w:szCs w:val="17"/>
                <w:vertAlign w:val="superscript"/>
                <w:lang w:eastAsia="en-AU"/>
              </w:rPr>
              <w:t>)</w:t>
            </w:r>
          </w:p>
        </w:tc>
        <w:tc>
          <w:tcPr>
            <w:tcW w:w="849" w:type="dxa"/>
            <w:tcBorders>
              <w:top w:val="single" w:sz="4" w:space="0" w:color="auto"/>
            </w:tcBorders>
            <w:vAlign w:val="bottom"/>
          </w:tcPr>
          <w:p w14:paraId="181CEF40"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8" w:type="dxa"/>
            <w:tcBorders>
              <w:top w:val="single" w:sz="4" w:space="0" w:color="auto"/>
            </w:tcBorders>
            <w:vAlign w:val="bottom"/>
          </w:tcPr>
          <w:p w14:paraId="291320B9"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9" w:type="dxa"/>
            <w:tcBorders>
              <w:top w:val="single" w:sz="4" w:space="0" w:color="auto"/>
            </w:tcBorders>
            <w:vAlign w:val="bottom"/>
          </w:tcPr>
          <w:p w14:paraId="5DDB3511"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9" w:type="dxa"/>
            <w:tcBorders>
              <w:top w:val="single" w:sz="4" w:space="0" w:color="auto"/>
            </w:tcBorders>
            <w:vAlign w:val="bottom"/>
          </w:tcPr>
          <w:p w14:paraId="3D8FC18A"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r>
      <w:tr w:rsidR="00346FC5" w:rsidRPr="00CF5471" w14:paraId="2CF03B84" w14:textId="77777777" w:rsidTr="0098354D">
        <w:tc>
          <w:tcPr>
            <w:cnfStyle w:val="001000000000" w:firstRow="0" w:lastRow="0" w:firstColumn="1" w:lastColumn="0" w:oddVBand="0" w:evenVBand="0" w:oddHBand="0" w:evenHBand="0" w:firstRowFirstColumn="0" w:firstRowLastColumn="0" w:lastRowFirstColumn="0" w:lastRowLastColumn="0"/>
            <w:tcW w:w="4360" w:type="dxa"/>
            <w:hideMark/>
          </w:tcPr>
          <w:p w14:paraId="6747104F" w14:textId="77777777" w:rsidR="00346FC5" w:rsidRPr="00CF5471" w:rsidRDefault="00346FC5" w:rsidP="0098354D">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9" w:type="dxa"/>
            <w:vAlign w:val="bottom"/>
            <w:hideMark/>
          </w:tcPr>
          <w:p w14:paraId="2C498676"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w:t>
            </w:r>
          </w:p>
        </w:tc>
        <w:tc>
          <w:tcPr>
            <w:tcW w:w="848" w:type="dxa"/>
            <w:vAlign w:val="bottom"/>
            <w:hideMark/>
          </w:tcPr>
          <w:p w14:paraId="1BB81597"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1</w:t>
            </w:r>
          </w:p>
        </w:tc>
        <w:tc>
          <w:tcPr>
            <w:tcW w:w="849" w:type="dxa"/>
            <w:vAlign w:val="bottom"/>
            <w:hideMark/>
          </w:tcPr>
          <w:p w14:paraId="00210898"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2</w:t>
            </w:r>
          </w:p>
        </w:tc>
        <w:tc>
          <w:tcPr>
            <w:tcW w:w="849" w:type="dxa"/>
            <w:vAlign w:val="bottom"/>
            <w:hideMark/>
          </w:tcPr>
          <w:p w14:paraId="0E534E51"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4</w:t>
            </w:r>
          </w:p>
        </w:tc>
      </w:tr>
      <w:tr w:rsidR="00346FC5" w:rsidRPr="00CF5471" w14:paraId="18D54C14"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172800BE" w14:textId="77777777" w:rsidR="00346FC5" w:rsidRPr="00CF5471" w:rsidRDefault="00346FC5" w:rsidP="0098354D">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9" w:type="dxa"/>
            <w:tcBorders>
              <w:bottom w:val="single" w:sz="4" w:space="0" w:color="auto"/>
            </w:tcBorders>
            <w:vAlign w:val="bottom"/>
            <w:hideMark/>
          </w:tcPr>
          <w:p w14:paraId="74B13124"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w:t>
            </w:r>
          </w:p>
        </w:tc>
        <w:tc>
          <w:tcPr>
            <w:tcW w:w="848" w:type="dxa"/>
            <w:tcBorders>
              <w:bottom w:val="single" w:sz="4" w:space="0" w:color="auto"/>
            </w:tcBorders>
            <w:vAlign w:val="bottom"/>
            <w:hideMark/>
          </w:tcPr>
          <w:p w14:paraId="4CB73427"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w:t>
            </w:r>
          </w:p>
        </w:tc>
        <w:tc>
          <w:tcPr>
            <w:tcW w:w="849" w:type="dxa"/>
            <w:tcBorders>
              <w:bottom w:val="single" w:sz="4" w:space="0" w:color="auto"/>
            </w:tcBorders>
            <w:vAlign w:val="bottom"/>
            <w:hideMark/>
          </w:tcPr>
          <w:p w14:paraId="2B58A299"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w:t>
            </w:r>
          </w:p>
        </w:tc>
        <w:tc>
          <w:tcPr>
            <w:tcW w:w="849" w:type="dxa"/>
            <w:tcBorders>
              <w:bottom w:val="single" w:sz="4" w:space="0" w:color="auto"/>
            </w:tcBorders>
            <w:vAlign w:val="bottom"/>
            <w:hideMark/>
          </w:tcPr>
          <w:p w14:paraId="026286AD"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D1EB7">
              <w:rPr>
                <w:rFonts w:ascii="Calibri" w:hAnsi="Calibri" w:cs="Calibri"/>
                <w:szCs w:val="17"/>
              </w:rPr>
              <w:t>..</w:t>
            </w:r>
          </w:p>
        </w:tc>
      </w:tr>
      <w:tr w:rsidR="00346FC5" w:rsidRPr="00E21084" w14:paraId="322449E4"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49D45BB5" w14:textId="77777777" w:rsidR="00346FC5" w:rsidRPr="00E21084" w:rsidRDefault="00346FC5" w:rsidP="0098354D">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result from transactions</w:t>
            </w:r>
          </w:p>
        </w:tc>
        <w:tc>
          <w:tcPr>
            <w:tcW w:w="849" w:type="dxa"/>
            <w:tcBorders>
              <w:top w:val="single" w:sz="4" w:space="0" w:color="auto"/>
              <w:bottom w:val="nil"/>
            </w:tcBorders>
            <w:vAlign w:val="bottom"/>
            <w:hideMark/>
          </w:tcPr>
          <w:p w14:paraId="72CF0152"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szCs w:val="17"/>
              </w:rPr>
              <w:t>..</w:t>
            </w:r>
          </w:p>
        </w:tc>
        <w:tc>
          <w:tcPr>
            <w:tcW w:w="848" w:type="dxa"/>
            <w:tcBorders>
              <w:top w:val="single" w:sz="4" w:space="0" w:color="auto"/>
              <w:bottom w:val="nil"/>
            </w:tcBorders>
            <w:vAlign w:val="bottom"/>
            <w:hideMark/>
          </w:tcPr>
          <w:p w14:paraId="0A72AD70"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szCs w:val="17"/>
              </w:rPr>
              <w:t>1</w:t>
            </w:r>
          </w:p>
        </w:tc>
        <w:tc>
          <w:tcPr>
            <w:tcW w:w="849" w:type="dxa"/>
            <w:tcBorders>
              <w:top w:val="single" w:sz="4" w:space="0" w:color="auto"/>
              <w:bottom w:val="nil"/>
            </w:tcBorders>
            <w:vAlign w:val="bottom"/>
            <w:hideMark/>
          </w:tcPr>
          <w:p w14:paraId="6C7464E5"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szCs w:val="17"/>
              </w:rPr>
              <w:t>2</w:t>
            </w:r>
          </w:p>
        </w:tc>
        <w:tc>
          <w:tcPr>
            <w:tcW w:w="849" w:type="dxa"/>
            <w:tcBorders>
              <w:top w:val="single" w:sz="4" w:space="0" w:color="auto"/>
              <w:bottom w:val="nil"/>
            </w:tcBorders>
            <w:vAlign w:val="bottom"/>
            <w:hideMark/>
          </w:tcPr>
          <w:p w14:paraId="484FA2C5"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szCs w:val="17"/>
              </w:rPr>
              <w:t>4</w:t>
            </w:r>
          </w:p>
        </w:tc>
      </w:tr>
      <w:tr w:rsidR="00346FC5" w:rsidRPr="00E21084" w14:paraId="78DE4587"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35338001" w14:textId="77777777" w:rsidR="00346FC5" w:rsidRPr="00E21084" w:rsidRDefault="00346FC5" w:rsidP="0098354D">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debt</w:t>
            </w:r>
          </w:p>
        </w:tc>
        <w:tc>
          <w:tcPr>
            <w:tcW w:w="849" w:type="dxa"/>
            <w:tcBorders>
              <w:bottom w:val="single" w:sz="4" w:space="0" w:color="auto"/>
            </w:tcBorders>
            <w:vAlign w:val="bottom"/>
            <w:hideMark/>
          </w:tcPr>
          <w:p w14:paraId="13C2677B"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szCs w:val="17"/>
              </w:rPr>
              <w:t>(17)</w:t>
            </w:r>
          </w:p>
        </w:tc>
        <w:tc>
          <w:tcPr>
            <w:tcW w:w="848" w:type="dxa"/>
            <w:tcBorders>
              <w:bottom w:val="single" w:sz="4" w:space="0" w:color="auto"/>
            </w:tcBorders>
            <w:vAlign w:val="bottom"/>
            <w:hideMark/>
          </w:tcPr>
          <w:p w14:paraId="2408873E"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szCs w:val="17"/>
              </w:rPr>
              <w:t>(45)</w:t>
            </w:r>
          </w:p>
        </w:tc>
        <w:tc>
          <w:tcPr>
            <w:tcW w:w="849" w:type="dxa"/>
            <w:tcBorders>
              <w:bottom w:val="single" w:sz="4" w:space="0" w:color="auto"/>
            </w:tcBorders>
            <w:vAlign w:val="bottom"/>
            <w:hideMark/>
          </w:tcPr>
          <w:p w14:paraId="763919C8"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szCs w:val="17"/>
              </w:rPr>
              <w:t>(78)</w:t>
            </w:r>
          </w:p>
        </w:tc>
        <w:tc>
          <w:tcPr>
            <w:tcW w:w="849" w:type="dxa"/>
            <w:tcBorders>
              <w:bottom w:val="single" w:sz="4" w:space="0" w:color="auto"/>
            </w:tcBorders>
            <w:vAlign w:val="bottom"/>
            <w:hideMark/>
          </w:tcPr>
          <w:p w14:paraId="079EF9B5"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highlight w:val="yellow"/>
              </w:rPr>
            </w:pPr>
            <w:r w:rsidRPr="006D1EB7">
              <w:rPr>
                <w:rFonts w:ascii="Calibri" w:hAnsi="Calibri" w:cs="Calibri"/>
                <w:b/>
                <w:szCs w:val="17"/>
              </w:rPr>
              <w:t>(117)</w:t>
            </w:r>
          </w:p>
        </w:tc>
      </w:tr>
      <w:tr w:rsidR="00346FC5" w:rsidRPr="00CF5471" w14:paraId="1BA6AB9F"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021E55C4" w14:textId="77777777" w:rsidR="00346FC5" w:rsidRPr="00CF5471" w:rsidRDefault="00346FC5" w:rsidP="0098354D">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Property prices</w:t>
            </w:r>
          </w:p>
        </w:tc>
        <w:tc>
          <w:tcPr>
            <w:tcW w:w="849" w:type="dxa"/>
            <w:tcBorders>
              <w:top w:val="single" w:sz="4" w:space="0" w:color="auto"/>
            </w:tcBorders>
            <w:vAlign w:val="bottom"/>
          </w:tcPr>
          <w:p w14:paraId="60CCEE48"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8" w:type="dxa"/>
            <w:tcBorders>
              <w:top w:val="single" w:sz="4" w:space="0" w:color="auto"/>
            </w:tcBorders>
            <w:vAlign w:val="bottom"/>
          </w:tcPr>
          <w:p w14:paraId="30DE3533"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9" w:type="dxa"/>
            <w:tcBorders>
              <w:top w:val="single" w:sz="4" w:space="0" w:color="auto"/>
            </w:tcBorders>
            <w:vAlign w:val="bottom"/>
          </w:tcPr>
          <w:p w14:paraId="57ABA55D"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9" w:type="dxa"/>
            <w:tcBorders>
              <w:top w:val="single" w:sz="4" w:space="0" w:color="auto"/>
            </w:tcBorders>
            <w:vAlign w:val="bottom"/>
          </w:tcPr>
          <w:p w14:paraId="6EF3D7B2" w14:textId="77777777" w:rsidR="00346FC5" w:rsidRPr="006D1EB7"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r>
      <w:tr w:rsidR="00346FC5" w:rsidRPr="00CF5471" w14:paraId="6F147881" w14:textId="77777777" w:rsidTr="0098354D">
        <w:tc>
          <w:tcPr>
            <w:cnfStyle w:val="001000000000" w:firstRow="0" w:lastRow="0" w:firstColumn="1" w:lastColumn="0" w:oddVBand="0" w:evenVBand="0" w:oddHBand="0" w:evenHBand="0" w:firstRowFirstColumn="0" w:firstRowLastColumn="0" w:lastRowFirstColumn="0" w:lastRowLastColumn="0"/>
            <w:tcW w:w="4360" w:type="dxa"/>
            <w:hideMark/>
          </w:tcPr>
          <w:p w14:paraId="6412B239" w14:textId="77777777" w:rsidR="00346FC5" w:rsidRPr="00CF5471" w:rsidRDefault="00346FC5" w:rsidP="0098354D">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9" w:type="dxa"/>
            <w:vAlign w:val="bottom"/>
            <w:hideMark/>
          </w:tcPr>
          <w:p w14:paraId="3C4C2F24" w14:textId="77777777" w:rsidR="00346FC5" w:rsidRPr="00690C7C"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90C7C">
              <w:rPr>
                <w:rFonts w:ascii="Calibri" w:hAnsi="Calibri" w:cs="Calibri"/>
                <w:szCs w:val="17"/>
              </w:rPr>
              <w:t>185</w:t>
            </w:r>
          </w:p>
        </w:tc>
        <w:tc>
          <w:tcPr>
            <w:tcW w:w="848" w:type="dxa"/>
            <w:vAlign w:val="bottom"/>
            <w:hideMark/>
          </w:tcPr>
          <w:p w14:paraId="51B94A46" w14:textId="77777777" w:rsidR="00346FC5" w:rsidRPr="00690C7C"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90C7C">
              <w:rPr>
                <w:rFonts w:ascii="Calibri" w:hAnsi="Calibri" w:cs="Calibri"/>
                <w:szCs w:val="17"/>
              </w:rPr>
              <w:t>197</w:t>
            </w:r>
          </w:p>
        </w:tc>
        <w:tc>
          <w:tcPr>
            <w:tcW w:w="849" w:type="dxa"/>
            <w:vAlign w:val="bottom"/>
            <w:hideMark/>
          </w:tcPr>
          <w:p w14:paraId="4C63433C" w14:textId="77777777" w:rsidR="00346FC5" w:rsidRPr="00690C7C"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90C7C">
              <w:rPr>
                <w:rFonts w:ascii="Calibri" w:hAnsi="Calibri" w:cs="Calibri"/>
                <w:szCs w:val="17"/>
              </w:rPr>
              <w:t>211</w:t>
            </w:r>
          </w:p>
        </w:tc>
        <w:tc>
          <w:tcPr>
            <w:tcW w:w="849" w:type="dxa"/>
            <w:vAlign w:val="bottom"/>
            <w:hideMark/>
          </w:tcPr>
          <w:p w14:paraId="17172C8A" w14:textId="77777777" w:rsidR="00346FC5" w:rsidRPr="00690C7C"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90C7C">
              <w:rPr>
                <w:rFonts w:ascii="Calibri" w:hAnsi="Calibri" w:cs="Calibri"/>
                <w:szCs w:val="17"/>
              </w:rPr>
              <w:t>224</w:t>
            </w:r>
          </w:p>
        </w:tc>
      </w:tr>
      <w:tr w:rsidR="00346FC5" w:rsidRPr="00CF5471" w14:paraId="26F1A282"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7F5FECEA" w14:textId="77777777" w:rsidR="00346FC5" w:rsidRPr="00CF5471" w:rsidRDefault="00346FC5" w:rsidP="0098354D">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9" w:type="dxa"/>
            <w:tcBorders>
              <w:bottom w:val="single" w:sz="4" w:space="0" w:color="auto"/>
            </w:tcBorders>
            <w:vAlign w:val="bottom"/>
            <w:hideMark/>
          </w:tcPr>
          <w:p w14:paraId="1E10B72F" w14:textId="77777777" w:rsidR="00346FC5" w:rsidRPr="00690C7C"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90C7C">
              <w:rPr>
                <w:rFonts w:ascii="Calibri" w:hAnsi="Calibri" w:cs="Calibri"/>
                <w:szCs w:val="17"/>
              </w:rPr>
              <w:t>(4)</w:t>
            </w:r>
          </w:p>
        </w:tc>
        <w:tc>
          <w:tcPr>
            <w:tcW w:w="848" w:type="dxa"/>
            <w:tcBorders>
              <w:bottom w:val="single" w:sz="4" w:space="0" w:color="auto"/>
            </w:tcBorders>
            <w:vAlign w:val="bottom"/>
            <w:hideMark/>
          </w:tcPr>
          <w:p w14:paraId="02504864" w14:textId="77777777" w:rsidR="00346FC5" w:rsidRPr="00690C7C"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90C7C">
              <w:rPr>
                <w:rFonts w:ascii="Calibri" w:hAnsi="Calibri" w:cs="Calibri"/>
                <w:szCs w:val="17"/>
              </w:rPr>
              <w:t>(13)</w:t>
            </w:r>
          </w:p>
        </w:tc>
        <w:tc>
          <w:tcPr>
            <w:tcW w:w="849" w:type="dxa"/>
            <w:tcBorders>
              <w:bottom w:val="single" w:sz="4" w:space="0" w:color="auto"/>
            </w:tcBorders>
            <w:vAlign w:val="bottom"/>
            <w:hideMark/>
          </w:tcPr>
          <w:p w14:paraId="5CF5CE49" w14:textId="77777777" w:rsidR="00346FC5" w:rsidRPr="00690C7C"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90C7C">
              <w:rPr>
                <w:rFonts w:ascii="Calibri" w:hAnsi="Calibri" w:cs="Calibri"/>
                <w:szCs w:val="17"/>
              </w:rPr>
              <w:t>(</w:t>
            </w:r>
            <w:r w:rsidRPr="006D1EB7">
              <w:rPr>
                <w:rFonts w:ascii="Calibri" w:hAnsi="Calibri" w:cs="Calibri"/>
                <w:szCs w:val="17"/>
              </w:rPr>
              <w:t>23</w:t>
            </w:r>
            <w:r w:rsidRPr="00690C7C">
              <w:rPr>
                <w:rFonts w:ascii="Calibri" w:hAnsi="Calibri" w:cs="Calibri"/>
                <w:szCs w:val="17"/>
              </w:rPr>
              <w:t>)</w:t>
            </w:r>
          </w:p>
        </w:tc>
        <w:tc>
          <w:tcPr>
            <w:tcW w:w="849" w:type="dxa"/>
            <w:tcBorders>
              <w:bottom w:val="single" w:sz="4" w:space="0" w:color="auto"/>
            </w:tcBorders>
            <w:vAlign w:val="bottom"/>
            <w:hideMark/>
          </w:tcPr>
          <w:p w14:paraId="5CF7BBEF" w14:textId="77777777" w:rsidR="00346FC5" w:rsidRPr="00690C7C"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r w:rsidRPr="00690C7C">
              <w:rPr>
                <w:rFonts w:ascii="Calibri" w:hAnsi="Calibri" w:cs="Calibri"/>
                <w:szCs w:val="17"/>
              </w:rPr>
              <w:t>(</w:t>
            </w:r>
            <w:r w:rsidRPr="006D1EB7">
              <w:rPr>
                <w:rFonts w:ascii="Calibri" w:hAnsi="Calibri" w:cs="Calibri"/>
                <w:szCs w:val="17"/>
              </w:rPr>
              <w:t>36</w:t>
            </w:r>
            <w:r w:rsidRPr="00690C7C">
              <w:rPr>
                <w:rFonts w:ascii="Calibri" w:hAnsi="Calibri" w:cs="Calibri"/>
                <w:szCs w:val="17"/>
              </w:rPr>
              <w:t>)</w:t>
            </w:r>
          </w:p>
        </w:tc>
      </w:tr>
      <w:tr w:rsidR="00346FC5" w:rsidRPr="00CF5471" w14:paraId="4F2A9BF1"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1EF4112C" w14:textId="77777777" w:rsidR="00346FC5" w:rsidRPr="00E21084" w:rsidRDefault="00346FC5" w:rsidP="0098354D">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result from transactions</w:t>
            </w:r>
          </w:p>
        </w:tc>
        <w:tc>
          <w:tcPr>
            <w:tcW w:w="849" w:type="dxa"/>
            <w:tcBorders>
              <w:top w:val="single" w:sz="4" w:space="0" w:color="auto"/>
              <w:bottom w:val="nil"/>
            </w:tcBorders>
            <w:vAlign w:val="bottom"/>
            <w:hideMark/>
          </w:tcPr>
          <w:p w14:paraId="14438474" w14:textId="77777777" w:rsidR="00346FC5" w:rsidRPr="00690C7C"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bCs/>
                <w:szCs w:val="17"/>
                <w:highlight w:val="yellow"/>
              </w:rPr>
            </w:pPr>
            <w:r w:rsidRPr="00690C7C">
              <w:rPr>
                <w:rFonts w:ascii="Calibri" w:hAnsi="Calibri" w:cs="Calibri"/>
                <w:b/>
                <w:bCs/>
                <w:szCs w:val="17"/>
              </w:rPr>
              <w:t>189</w:t>
            </w:r>
          </w:p>
        </w:tc>
        <w:tc>
          <w:tcPr>
            <w:tcW w:w="848" w:type="dxa"/>
            <w:tcBorders>
              <w:top w:val="single" w:sz="4" w:space="0" w:color="auto"/>
              <w:bottom w:val="nil"/>
            </w:tcBorders>
            <w:vAlign w:val="bottom"/>
            <w:hideMark/>
          </w:tcPr>
          <w:p w14:paraId="7D3D03D8" w14:textId="77777777" w:rsidR="00346FC5" w:rsidRPr="00690C7C"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bCs/>
                <w:szCs w:val="17"/>
                <w:highlight w:val="yellow"/>
              </w:rPr>
            </w:pPr>
            <w:r w:rsidRPr="00690C7C">
              <w:rPr>
                <w:rFonts w:ascii="Calibri" w:hAnsi="Calibri" w:cs="Calibri"/>
                <w:b/>
                <w:bCs/>
                <w:szCs w:val="17"/>
              </w:rPr>
              <w:t>210</w:t>
            </w:r>
          </w:p>
        </w:tc>
        <w:tc>
          <w:tcPr>
            <w:tcW w:w="849" w:type="dxa"/>
            <w:tcBorders>
              <w:top w:val="single" w:sz="4" w:space="0" w:color="auto"/>
              <w:bottom w:val="nil"/>
            </w:tcBorders>
            <w:vAlign w:val="bottom"/>
            <w:hideMark/>
          </w:tcPr>
          <w:p w14:paraId="28C96E08" w14:textId="77777777" w:rsidR="00346FC5" w:rsidRPr="00690C7C"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bCs/>
                <w:szCs w:val="17"/>
                <w:highlight w:val="yellow"/>
              </w:rPr>
            </w:pPr>
            <w:r w:rsidRPr="006D1EB7">
              <w:rPr>
                <w:rFonts w:ascii="Calibri" w:hAnsi="Calibri" w:cs="Calibri"/>
                <w:b/>
                <w:bCs/>
                <w:szCs w:val="17"/>
              </w:rPr>
              <w:t>234</w:t>
            </w:r>
          </w:p>
        </w:tc>
        <w:tc>
          <w:tcPr>
            <w:tcW w:w="849" w:type="dxa"/>
            <w:tcBorders>
              <w:top w:val="single" w:sz="4" w:space="0" w:color="auto"/>
              <w:bottom w:val="nil"/>
            </w:tcBorders>
            <w:vAlign w:val="bottom"/>
            <w:hideMark/>
          </w:tcPr>
          <w:p w14:paraId="528EE66C" w14:textId="77777777" w:rsidR="00346FC5" w:rsidRPr="00690C7C"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bCs/>
                <w:szCs w:val="17"/>
                <w:highlight w:val="yellow"/>
              </w:rPr>
            </w:pPr>
            <w:r w:rsidRPr="006D1EB7">
              <w:rPr>
                <w:rFonts w:ascii="Calibri" w:hAnsi="Calibri" w:cs="Calibri"/>
                <w:b/>
                <w:bCs/>
                <w:szCs w:val="17"/>
              </w:rPr>
              <w:t>260</w:t>
            </w:r>
          </w:p>
        </w:tc>
      </w:tr>
      <w:tr w:rsidR="00346FC5" w:rsidRPr="00CF5471" w14:paraId="62DF0324"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30AD5D2B" w14:textId="77777777" w:rsidR="00346FC5" w:rsidRPr="00E21084" w:rsidRDefault="00346FC5" w:rsidP="0098354D">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debt</w:t>
            </w:r>
          </w:p>
        </w:tc>
        <w:tc>
          <w:tcPr>
            <w:tcW w:w="849" w:type="dxa"/>
            <w:tcBorders>
              <w:bottom w:val="single" w:sz="4" w:space="0" w:color="auto"/>
            </w:tcBorders>
            <w:vAlign w:val="bottom"/>
            <w:hideMark/>
          </w:tcPr>
          <w:p w14:paraId="05DC14B0" w14:textId="77777777" w:rsidR="00346FC5" w:rsidRPr="00690C7C"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bCs/>
                <w:szCs w:val="17"/>
                <w:highlight w:val="yellow"/>
              </w:rPr>
            </w:pPr>
            <w:r w:rsidRPr="00690C7C">
              <w:rPr>
                <w:rFonts w:ascii="Calibri" w:hAnsi="Calibri" w:cs="Calibri"/>
                <w:b/>
                <w:bCs/>
                <w:szCs w:val="17"/>
              </w:rPr>
              <w:t>(193)</w:t>
            </w:r>
          </w:p>
        </w:tc>
        <w:tc>
          <w:tcPr>
            <w:tcW w:w="848" w:type="dxa"/>
            <w:tcBorders>
              <w:bottom w:val="single" w:sz="4" w:space="0" w:color="auto"/>
            </w:tcBorders>
            <w:vAlign w:val="bottom"/>
            <w:hideMark/>
          </w:tcPr>
          <w:p w14:paraId="67126426" w14:textId="77777777" w:rsidR="00346FC5" w:rsidRPr="00690C7C"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bCs/>
                <w:szCs w:val="17"/>
                <w:highlight w:val="yellow"/>
              </w:rPr>
            </w:pPr>
            <w:r w:rsidRPr="00690C7C">
              <w:rPr>
                <w:rFonts w:ascii="Calibri" w:hAnsi="Calibri" w:cs="Calibri"/>
                <w:b/>
                <w:bCs/>
                <w:szCs w:val="17"/>
              </w:rPr>
              <w:t>(</w:t>
            </w:r>
            <w:r w:rsidRPr="006D1EB7">
              <w:rPr>
                <w:rFonts w:ascii="Calibri" w:hAnsi="Calibri" w:cs="Calibri"/>
                <w:b/>
                <w:bCs/>
                <w:szCs w:val="17"/>
              </w:rPr>
              <w:t>407</w:t>
            </w:r>
            <w:r w:rsidRPr="00690C7C">
              <w:rPr>
                <w:rFonts w:ascii="Calibri" w:hAnsi="Calibri" w:cs="Calibri"/>
                <w:b/>
                <w:bCs/>
                <w:szCs w:val="17"/>
              </w:rPr>
              <w:t>)</w:t>
            </w:r>
          </w:p>
        </w:tc>
        <w:tc>
          <w:tcPr>
            <w:tcW w:w="849" w:type="dxa"/>
            <w:tcBorders>
              <w:bottom w:val="single" w:sz="4" w:space="0" w:color="auto"/>
            </w:tcBorders>
            <w:vAlign w:val="bottom"/>
            <w:hideMark/>
          </w:tcPr>
          <w:p w14:paraId="4798F932" w14:textId="77777777" w:rsidR="00346FC5" w:rsidRPr="00690C7C"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bCs/>
                <w:szCs w:val="17"/>
                <w:highlight w:val="yellow"/>
              </w:rPr>
            </w:pPr>
            <w:r w:rsidRPr="00690C7C">
              <w:rPr>
                <w:rFonts w:ascii="Calibri" w:hAnsi="Calibri" w:cs="Calibri"/>
                <w:b/>
                <w:bCs/>
                <w:szCs w:val="17"/>
              </w:rPr>
              <w:t>(</w:t>
            </w:r>
            <w:r w:rsidRPr="006D1EB7">
              <w:rPr>
                <w:rFonts w:ascii="Calibri" w:hAnsi="Calibri" w:cs="Calibri"/>
                <w:b/>
                <w:bCs/>
                <w:szCs w:val="17"/>
              </w:rPr>
              <w:t>647</w:t>
            </w:r>
            <w:r w:rsidRPr="00690C7C">
              <w:rPr>
                <w:rFonts w:ascii="Calibri" w:hAnsi="Calibri" w:cs="Calibri"/>
                <w:b/>
                <w:bCs/>
                <w:szCs w:val="17"/>
              </w:rPr>
              <w:t>)</w:t>
            </w:r>
          </w:p>
        </w:tc>
        <w:tc>
          <w:tcPr>
            <w:tcW w:w="849" w:type="dxa"/>
            <w:tcBorders>
              <w:bottom w:val="single" w:sz="4" w:space="0" w:color="auto"/>
            </w:tcBorders>
            <w:vAlign w:val="bottom"/>
            <w:hideMark/>
          </w:tcPr>
          <w:p w14:paraId="529CC283" w14:textId="77777777" w:rsidR="00346FC5" w:rsidRPr="00690C7C"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bCs/>
                <w:szCs w:val="17"/>
                <w:highlight w:val="yellow"/>
              </w:rPr>
            </w:pPr>
            <w:r w:rsidRPr="00690C7C">
              <w:rPr>
                <w:rFonts w:ascii="Calibri" w:hAnsi="Calibri" w:cs="Calibri"/>
                <w:b/>
                <w:bCs/>
                <w:szCs w:val="17"/>
              </w:rPr>
              <w:t>(</w:t>
            </w:r>
            <w:r w:rsidRPr="006D1EB7">
              <w:rPr>
                <w:rFonts w:ascii="Calibri" w:hAnsi="Calibri" w:cs="Calibri"/>
                <w:b/>
                <w:bCs/>
                <w:szCs w:val="17"/>
              </w:rPr>
              <w:t>911</w:t>
            </w:r>
            <w:r w:rsidRPr="00690C7C">
              <w:rPr>
                <w:rFonts w:ascii="Calibri" w:hAnsi="Calibri" w:cs="Calibri"/>
                <w:b/>
                <w:bCs/>
                <w:szCs w:val="17"/>
              </w:rPr>
              <w:t>)</w:t>
            </w:r>
          </w:p>
        </w:tc>
      </w:tr>
      <w:tr w:rsidR="00346FC5" w:rsidRPr="00CF5471" w14:paraId="20FDBC55"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208856F8" w14:textId="77777777" w:rsidR="00346FC5" w:rsidRPr="00CF5471" w:rsidRDefault="00346FC5" w:rsidP="007B1F83">
            <w:pPr>
              <w:keepNext/>
              <w:pageBreakBefore/>
              <w:autoSpaceDE w:val="0"/>
              <w:autoSpaceDN w:val="0"/>
              <w:adjustRightInd w:val="0"/>
              <w:ind w:left="173" w:hanging="173"/>
              <w:rPr>
                <w:rFonts w:eastAsiaTheme="minorEastAsia" w:cstheme="majorHAnsi"/>
                <w:b/>
                <w:bCs/>
                <w:szCs w:val="17"/>
                <w:lang w:eastAsia="en-AU"/>
              </w:rPr>
            </w:pPr>
            <w:bookmarkStart w:id="89" w:name="_Hlk3981246"/>
            <w:r w:rsidRPr="00CF5471">
              <w:rPr>
                <w:rFonts w:eastAsiaTheme="minorEastAsia" w:cstheme="majorHAnsi"/>
                <w:b/>
                <w:bCs/>
                <w:szCs w:val="17"/>
                <w:lang w:eastAsia="en-AU"/>
              </w:rPr>
              <w:t>Property transaction volumes</w:t>
            </w:r>
          </w:p>
        </w:tc>
        <w:tc>
          <w:tcPr>
            <w:tcW w:w="849" w:type="dxa"/>
            <w:tcBorders>
              <w:top w:val="single" w:sz="4" w:space="0" w:color="auto"/>
            </w:tcBorders>
            <w:vAlign w:val="bottom"/>
          </w:tcPr>
          <w:p w14:paraId="297D283C" w14:textId="77777777" w:rsidR="00346FC5" w:rsidRPr="00690C7C"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8" w:type="dxa"/>
            <w:tcBorders>
              <w:top w:val="single" w:sz="4" w:space="0" w:color="auto"/>
            </w:tcBorders>
            <w:vAlign w:val="bottom"/>
          </w:tcPr>
          <w:p w14:paraId="417D4BDB" w14:textId="77777777" w:rsidR="00346FC5" w:rsidRPr="00690C7C"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9" w:type="dxa"/>
            <w:tcBorders>
              <w:top w:val="single" w:sz="4" w:space="0" w:color="auto"/>
            </w:tcBorders>
            <w:vAlign w:val="bottom"/>
          </w:tcPr>
          <w:p w14:paraId="7ED3E406" w14:textId="77777777" w:rsidR="00346FC5" w:rsidRPr="00690C7C"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c>
          <w:tcPr>
            <w:tcW w:w="849" w:type="dxa"/>
            <w:tcBorders>
              <w:top w:val="single" w:sz="4" w:space="0" w:color="auto"/>
            </w:tcBorders>
            <w:vAlign w:val="bottom"/>
          </w:tcPr>
          <w:p w14:paraId="21DFC7B9" w14:textId="77777777" w:rsidR="00346FC5" w:rsidRPr="00690C7C"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highlight w:val="yellow"/>
              </w:rPr>
            </w:pPr>
          </w:p>
        </w:tc>
      </w:tr>
      <w:tr w:rsidR="00346FC5" w:rsidRPr="00CF5471" w14:paraId="3AC9B1EA" w14:textId="77777777" w:rsidTr="0098354D">
        <w:tc>
          <w:tcPr>
            <w:cnfStyle w:val="001000000000" w:firstRow="0" w:lastRow="0" w:firstColumn="1" w:lastColumn="0" w:oddVBand="0" w:evenVBand="0" w:oddHBand="0" w:evenHBand="0" w:firstRowFirstColumn="0" w:firstRowLastColumn="0" w:lastRowFirstColumn="0" w:lastRowLastColumn="0"/>
            <w:tcW w:w="4360" w:type="dxa"/>
            <w:hideMark/>
          </w:tcPr>
          <w:p w14:paraId="412EBE3A" w14:textId="77777777" w:rsidR="00346FC5" w:rsidRPr="00CF5471" w:rsidRDefault="00346FC5" w:rsidP="0098354D">
            <w:pPr>
              <w:keepNext/>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9" w:type="dxa"/>
            <w:vAlign w:val="bottom"/>
            <w:hideMark/>
          </w:tcPr>
          <w:p w14:paraId="39449D7F"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rPr>
            </w:pPr>
            <w:r w:rsidRPr="00690C7C">
              <w:rPr>
                <w:rFonts w:ascii="Calibri" w:hAnsi="Calibri" w:cs="Calibri"/>
                <w:szCs w:val="17"/>
              </w:rPr>
              <w:t>71</w:t>
            </w:r>
          </w:p>
        </w:tc>
        <w:tc>
          <w:tcPr>
            <w:tcW w:w="848" w:type="dxa"/>
            <w:vAlign w:val="bottom"/>
            <w:hideMark/>
          </w:tcPr>
          <w:p w14:paraId="185AF698"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rPr>
            </w:pPr>
            <w:r w:rsidRPr="00690C7C">
              <w:rPr>
                <w:rFonts w:ascii="Calibri" w:hAnsi="Calibri" w:cs="Calibri"/>
                <w:szCs w:val="17"/>
              </w:rPr>
              <w:t>78</w:t>
            </w:r>
          </w:p>
        </w:tc>
        <w:tc>
          <w:tcPr>
            <w:tcW w:w="849" w:type="dxa"/>
            <w:vAlign w:val="bottom"/>
            <w:hideMark/>
          </w:tcPr>
          <w:p w14:paraId="74B2D672"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rPr>
            </w:pPr>
            <w:r w:rsidRPr="00690C7C">
              <w:rPr>
                <w:rFonts w:ascii="Calibri" w:hAnsi="Calibri" w:cs="Calibri"/>
                <w:szCs w:val="17"/>
              </w:rPr>
              <w:t>85</w:t>
            </w:r>
          </w:p>
        </w:tc>
        <w:tc>
          <w:tcPr>
            <w:tcW w:w="849" w:type="dxa"/>
            <w:vAlign w:val="bottom"/>
            <w:hideMark/>
          </w:tcPr>
          <w:p w14:paraId="0BD9BA38"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rPr>
            </w:pPr>
            <w:r w:rsidRPr="00690C7C">
              <w:rPr>
                <w:rFonts w:ascii="Calibri" w:hAnsi="Calibri" w:cs="Calibri"/>
                <w:szCs w:val="17"/>
              </w:rPr>
              <w:t>90</w:t>
            </w:r>
          </w:p>
        </w:tc>
      </w:tr>
      <w:tr w:rsidR="00346FC5" w:rsidRPr="00CF5471" w14:paraId="425A4E6F"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66BB20FE" w14:textId="77777777" w:rsidR="00346FC5" w:rsidRPr="00CF5471" w:rsidRDefault="00346FC5" w:rsidP="0098354D">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9" w:type="dxa"/>
            <w:tcBorders>
              <w:bottom w:val="single" w:sz="4" w:space="0" w:color="auto"/>
            </w:tcBorders>
            <w:vAlign w:val="bottom"/>
            <w:hideMark/>
          </w:tcPr>
          <w:p w14:paraId="33ED98F3"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rPr>
            </w:pPr>
            <w:r w:rsidRPr="00690C7C">
              <w:rPr>
                <w:rFonts w:ascii="Calibri" w:hAnsi="Calibri" w:cs="Calibri"/>
                <w:szCs w:val="17"/>
              </w:rPr>
              <w:t>(</w:t>
            </w:r>
            <w:r w:rsidRPr="00811C24">
              <w:rPr>
                <w:rFonts w:ascii="Calibri" w:hAnsi="Calibri" w:cs="Calibri"/>
                <w:szCs w:val="17"/>
              </w:rPr>
              <w:t>1</w:t>
            </w:r>
            <w:r w:rsidRPr="00690C7C">
              <w:rPr>
                <w:rFonts w:ascii="Calibri" w:hAnsi="Calibri" w:cs="Calibri"/>
                <w:szCs w:val="17"/>
              </w:rPr>
              <w:t>)</w:t>
            </w:r>
          </w:p>
        </w:tc>
        <w:tc>
          <w:tcPr>
            <w:tcW w:w="848" w:type="dxa"/>
            <w:tcBorders>
              <w:bottom w:val="single" w:sz="4" w:space="0" w:color="auto"/>
            </w:tcBorders>
            <w:vAlign w:val="bottom"/>
            <w:hideMark/>
          </w:tcPr>
          <w:p w14:paraId="3D11729A"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rPr>
            </w:pPr>
            <w:r w:rsidRPr="00690C7C">
              <w:rPr>
                <w:rFonts w:ascii="Calibri" w:hAnsi="Calibri" w:cs="Calibri"/>
                <w:szCs w:val="17"/>
              </w:rPr>
              <w:t>(5)</w:t>
            </w:r>
          </w:p>
        </w:tc>
        <w:tc>
          <w:tcPr>
            <w:tcW w:w="849" w:type="dxa"/>
            <w:tcBorders>
              <w:bottom w:val="single" w:sz="4" w:space="0" w:color="auto"/>
            </w:tcBorders>
            <w:vAlign w:val="bottom"/>
            <w:hideMark/>
          </w:tcPr>
          <w:p w14:paraId="61664CFE"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rPr>
            </w:pPr>
            <w:r w:rsidRPr="00690C7C">
              <w:rPr>
                <w:rFonts w:ascii="Calibri" w:hAnsi="Calibri" w:cs="Calibri"/>
                <w:szCs w:val="17"/>
              </w:rPr>
              <w:t>(9)</w:t>
            </w:r>
          </w:p>
        </w:tc>
        <w:tc>
          <w:tcPr>
            <w:tcW w:w="849" w:type="dxa"/>
            <w:tcBorders>
              <w:bottom w:val="single" w:sz="4" w:space="0" w:color="auto"/>
            </w:tcBorders>
            <w:vAlign w:val="bottom"/>
            <w:hideMark/>
          </w:tcPr>
          <w:p w14:paraId="2CA49E51"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rPr>
            </w:pPr>
            <w:r w:rsidRPr="00690C7C">
              <w:rPr>
                <w:rFonts w:ascii="Calibri" w:hAnsi="Calibri" w:cs="Calibri"/>
                <w:szCs w:val="17"/>
              </w:rPr>
              <w:t>(14)</w:t>
            </w:r>
          </w:p>
        </w:tc>
      </w:tr>
      <w:tr w:rsidR="00346FC5" w:rsidRPr="00CF5471" w14:paraId="31194EF3"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1D7FDD54" w14:textId="77777777" w:rsidR="00346FC5" w:rsidRPr="00E21084" w:rsidRDefault="00346FC5" w:rsidP="0098354D">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result from transactions</w:t>
            </w:r>
          </w:p>
        </w:tc>
        <w:tc>
          <w:tcPr>
            <w:tcW w:w="849" w:type="dxa"/>
            <w:tcBorders>
              <w:top w:val="single" w:sz="4" w:space="0" w:color="auto"/>
              <w:bottom w:val="nil"/>
            </w:tcBorders>
            <w:vAlign w:val="bottom"/>
            <w:hideMark/>
          </w:tcPr>
          <w:p w14:paraId="4D5AB3A9"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rPr>
            </w:pPr>
            <w:r w:rsidRPr="00690C7C">
              <w:rPr>
                <w:rFonts w:ascii="Calibri" w:hAnsi="Calibri" w:cs="Calibri"/>
                <w:b/>
                <w:bCs/>
                <w:szCs w:val="17"/>
              </w:rPr>
              <w:t>72</w:t>
            </w:r>
          </w:p>
        </w:tc>
        <w:tc>
          <w:tcPr>
            <w:tcW w:w="848" w:type="dxa"/>
            <w:tcBorders>
              <w:top w:val="single" w:sz="4" w:space="0" w:color="auto"/>
              <w:bottom w:val="nil"/>
            </w:tcBorders>
            <w:vAlign w:val="bottom"/>
            <w:hideMark/>
          </w:tcPr>
          <w:p w14:paraId="2BAB3390"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rPr>
            </w:pPr>
            <w:r w:rsidRPr="00811C24">
              <w:rPr>
                <w:rFonts w:ascii="Calibri" w:hAnsi="Calibri" w:cs="Calibri"/>
                <w:b/>
                <w:bCs/>
                <w:szCs w:val="17"/>
              </w:rPr>
              <w:t>82</w:t>
            </w:r>
          </w:p>
        </w:tc>
        <w:tc>
          <w:tcPr>
            <w:tcW w:w="849" w:type="dxa"/>
            <w:tcBorders>
              <w:top w:val="single" w:sz="4" w:space="0" w:color="auto"/>
              <w:bottom w:val="nil"/>
            </w:tcBorders>
            <w:vAlign w:val="bottom"/>
            <w:hideMark/>
          </w:tcPr>
          <w:p w14:paraId="61E5D4A2"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rPr>
            </w:pPr>
            <w:r w:rsidRPr="00690C7C">
              <w:rPr>
                <w:rFonts w:ascii="Calibri" w:hAnsi="Calibri" w:cs="Calibri"/>
                <w:b/>
                <w:bCs/>
                <w:szCs w:val="17"/>
              </w:rPr>
              <w:t>94</w:t>
            </w:r>
          </w:p>
        </w:tc>
        <w:tc>
          <w:tcPr>
            <w:tcW w:w="849" w:type="dxa"/>
            <w:tcBorders>
              <w:top w:val="single" w:sz="4" w:space="0" w:color="auto"/>
              <w:bottom w:val="nil"/>
            </w:tcBorders>
            <w:vAlign w:val="bottom"/>
            <w:hideMark/>
          </w:tcPr>
          <w:p w14:paraId="491B22F8"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rPr>
            </w:pPr>
            <w:r w:rsidRPr="00690C7C">
              <w:rPr>
                <w:rFonts w:ascii="Calibri" w:hAnsi="Calibri" w:cs="Calibri"/>
                <w:b/>
                <w:bCs/>
                <w:szCs w:val="17"/>
              </w:rPr>
              <w:t>104</w:t>
            </w:r>
          </w:p>
        </w:tc>
      </w:tr>
      <w:tr w:rsidR="00346FC5" w:rsidRPr="00CF5471" w14:paraId="2C9445B2"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32F6855D" w14:textId="77777777" w:rsidR="00346FC5" w:rsidRPr="00E21084" w:rsidRDefault="00346FC5" w:rsidP="0098354D">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debt</w:t>
            </w:r>
          </w:p>
        </w:tc>
        <w:tc>
          <w:tcPr>
            <w:tcW w:w="849" w:type="dxa"/>
            <w:tcBorders>
              <w:bottom w:val="single" w:sz="4" w:space="0" w:color="auto"/>
            </w:tcBorders>
            <w:vAlign w:val="bottom"/>
            <w:hideMark/>
          </w:tcPr>
          <w:p w14:paraId="36670665"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rPr>
            </w:pPr>
            <w:r w:rsidRPr="00690C7C">
              <w:rPr>
                <w:rFonts w:ascii="Calibri" w:hAnsi="Calibri" w:cs="Calibri"/>
                <w:b/>
                <w:bCs/>
                <w:szCs w:val="17"/>
              </w:rPr>
              <w:t>(72)</w:t>
            </w:r>
          </w:p>
        </w:tc>
        <w:tc>
          <w:tcPr>
            <w:tcW w:w="848" w:type="dxa"/>
            <w:tcBorders>
              <w:bottom w:val="single" w:sz="4" w:space="0" w:color="auto"/>
            </w:tcBorders>
            <w:vAlign w:val="bottom"/>
            <w:hideMark/>
          </w:tcPr>
          <w:p w14:paraId="296D20B7"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rPr>
            </w:pPr>
            <w:r w:rsidRPr="00690C7C">
              <w:rPr>
                <w:rFonts w:ascii="Calibri" w:hAnsi="Calibri" w:cs="Calibri"/>
                <w:b/>
                <w:bCs/>
                <w:szCs w:val="17"/>
              </w:rPr>
              <w:t>(155)</w:t>
            </w:r>
          </w:p>
        </w:tc>
        <w:tc>
          <w:tcPr>
            <w:tcW w:w="849" w:type="dxa"/>
            <w:tcBorders>
              <w:bottom w:val="single" w:sz="4" w:space="0" w:color="auto"/>
            </w:tcBorders>
            <w:vAlign w:val="bottom"/>
            <w:hideMark/>
          </w:tcPr>
          <w:p w14:paraId="5A8CE605"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rPr>
            </w:pPr>
            <w:r w:rsidRPr="00690C7C">
              <w:rPr>
                <w:rFonts w:ascii="Calibri" w:hAnsi="Calibri" w:cs="Calibri"/>
                <w:b/>
                <w:bCs/>
                <w:szCs w:val="17"/>
              </w:rPr>
              <w:t>(</w:t>
            </w:r>
            <w:r w:rsidRPr="00811C24">
              <w:rPr>
                <w:rFonts w:ascii="Calibri" w:hAnsi="Calibri" w:cs="Calibri"/>
                <w:b/>
                <w:bCs/>
                <w:szCs w:val="17"/>
              </w:rPr>
              <w:t>248</w:t>
            </w:r>
            <w:r w:rsidRPr="00690C7C">
              <w:rPr>
                <w:rFonts w:ascii="Calibri" w:hAnsi="Calibri" w:cs="Calibri"/>
                <w:b/>
                <w:bCs/>
                <w:szCs w:val="17"/>
              </w:rPr>
              <w:t>)</w:t>
            </w:r>
          </w:p>
        </w:tc>
        <w:tc>
          <w:tcPr>
            <w:tcW w:w="849" w:type="dxa"/>
            <w:tcBorders>
              <w:bottom w:val="single" w:sz="4" w:space="0" w:color="auto"/>
            </w:tcBorders>
            <w:vAlign w:val="bottom"/>
            <w:hideMark/>
          </w:tcPr>
          <w:p w14:paraId="6A6129FA"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rPr>
            </w:pPr>
            <w:r w:rsidRPr="00690C7C">
              <w:rPr>
                <w:rFonts w:ascii="Calibri" w:hAnsi="Calibri" w:cs="Calibri"/>
                <w:b/>
                <w:bCs/>
                <w:szCs w:val="17"/>
              </w:rPr>
              <w:t>(</w:t>
            </w:r>
            <w:r w:rsidRPr="00811C24">
              <w:rPr>
                <w:rFonts w:ascii="Calibri" w:hAnsi="Calibri" w:cs="Calibri"/>
                <w:b/>
                <w:bCs/>
                <w:szCs w:val="17"/>
              </w:rPr>
              <w:t>352</w:t>
            </w:r>
            <w:r w:rsidRPr="00690C7C">
              <w:rPr>
                <w:rFonts w:ascii="Calibri" w:hAnsi="Calibri" w:cs="Calibri"/>
                <w:b/>
                <w:bCs/>
                <w:szCs w:val="17"/>
              </w:rPr>
              <w:t>)</w:t>
            </w:r>
          </w:p>
        </w:tc>
      </w:tr>
      <w:tr w:rsidR="00346FC5" w:rsidRPr="00CF5471" w14:paraId="620B36CD"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4F428A64" w14:textId="77777777" w:rsidR="00346FC5" w:rsidRPr="00CF5471" w:rsidRDefault="00346FC5" w:rsidP="0098354D">
            <w:pPr>
              <w:keepLines w:val="0"/>
              <w:autoSpaceDE w:val="0"/>
              <w:autoSpaceDN w:val="0"/>
              <w:adjustRightInd w:val="0"/>
              <w:ind w:left="173" w:hanging="173"/>
              <w:rPr>
                <w:rFonts w:eastAsiaTheme="minorEastAsia" w:cstheme="majorHAnsi"/>
                <w:b/>
                <w:bCs/>
                <w:szCs w:val="17"/>
                <w:lang w:eastAsia="en-AU"/>
              </w:rPr>
            </w:pPr>
            <w:r w:rsidRPr="00CF5471">
              <w:rPr>
                <w:rFonts w:eastAsiaTheme="minorEastAsia" w:cstheme="majorHAnsi"/>
                <w:b/>
                <w:bCs/>
                <w:szCs w:val="17"/>
                <w:lang w:eastAsia="en-AU"/>
              </w:rPr>
              <w:t xml:space="preserve">Interest rates </w:t>
            </w:r>
            <w:r w:rsidRPr="00CF5471">
              <w:rPr>
                <w:rFonts w:eastAsiaTheme="minorEastAsia" w:cstheme="majorHAnsi"/>
                <w:b/>
                <w:bCs/>
                <w:szCs w:val="17"/>
                <w:vertAlign w:val="superscript"/>
                <w:lang w:eastAsia="en-AU"/>
              </w:rPr>
              <w:t>(</w:t>
            </w:r>
            <w:r>
              <w:rPr>
                <w:rFonts w:eastAsiaTheme="minorEastAsia" w:cstheme="majorHAnsi"/>
                <w:b/>
                <w:bCs/>
                <w:szCs w:val="17"/>
                <w:vertAlign w:val="superscript"/>
                <w:lang w:eastAsia="en-AU"/>
              </w:rPr>
              <w:t>j</w:t>
            </w:r>
            <w:r w:rsidRPr="00CF5471">
              <w:rPr>
                <w:rFonts w:eastAsiaTheme="minorEastAsia" w:cstheme="majorHAnsi"/>
                <w:b/>
                <w:bCs/>
                <w:szCs w:val="17"/>
                <w:vertAlign w:val="superscript"/>
                <w:lang w:eastAsia="en-AU"/>
              </w:rPr>
              <w:t>)</w:t>
            </w:r>
          </w:p>
        </w:tc>
        <w:tc>
          <w:tcPr>
            <w:tcW w:w="849" w:type="dxa"/>
            <w:tcBorders>
              <w:top w:val="single" w:sz="4" w:space="0" w:color="auto"/>
            </w:tcBorders>
            <w:vAlign w:val="bottom"/>
          </w:tcPr>
          <w:p w14:paraId="46C3F82B"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rPr>
            </w:pPr>
          </w:p>
        </w:tc>
        <w:tc>
          <w:tcPr>
            <w:tcW w:w="848" w:type="dxa"/>
            <w:tcBorders>
              <w:top w:val="single" w:sz="4" w:space="0" w:color="auto"/>
            </w:tcBorders>
            <w:vAlign w:val="bottom"/>
          </w:tcPr>
          <w:p w14:paraId="67145B4A"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rPr>
            </w:pPr>
          </w:p>
        </w:tc>
        <w:tc>
          <w:tcPr>
            <w:tcW w:w="849" w:type="dxa"/>
            <w:tcBorders>
              <w:top w:val="single" w:sz="4" w:space="0" w:color="auto"/>
            </w:tcBorders>
            <w:vAlign w:val="bottom"/>
          </w:tcPr>
          <w:p w14:paraId="12FF25A3"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rPr>
            </w:pPr>
          </w:p>
        </w:tc>
        <w:tc>
          <w:tcPr>
            <w:tcW w:w="849" w:type="dxa"/>
            <w:tcBorders>
              <w:top w:val="single" w:sz="4" w:space="0" w:color="auto"/>
            </w:tcBorders>
            <w:vAlign w:val="bottom"/>
          </w:tcPr>
          <w:p w14:paraId="6153AC70"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rPr>
            </w:pPr>
          </w:p>
        </w:tc>
      </w:tr>
      <w:tr w:rsidR="00346FC5" w:rsidRPr="00CF5471" w14:paraId="7FD62195" w14:textId="77777777" w:rsidTr="0098354D">
        <w:tc>
          <w:tcPr>
            <w:cnfStyle w:val="001000000000" w:firstRow="0" w:lastRow="0" w:firstColumn="1" w:lastColumn="0" w:oddVBand="0" w:evenVBand="0" w:oddHBand="0" w:evenHBand="0" w:firstRowFirstColumn="0" w:firstRowLastColumn="0" w:lastRowFirstColumn="0" w:lastRowLastColumn="0"/>
            <w:tcW w:w="4360" w:type="dxa"/>
            <w:hideMark/>
          </w:tcPr>
          <w:p w14:paraId="634248D0" w14:textId="77777777" w:rsidR="00346FC5" w:rsidRPr="00CF5471" w:rsidRDefault="00346FC5" w:rsidP="0098354D">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9" w:type="dxa"/>
            <w:vAlign w:val="bottom"/>
          </w:tcPr>
          <w:p w14:paraId="00F03473"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rPr>
            </w:pPr>
            <w:r w:rsidRPr="00811C24">
              <w:rPr>
                <w:rFonts w:ascii="Calibri" w:hAnsi="Calibri" w:cs="Calibri"/>
                <w:szCs w:val="17"/>
              </w:rPr>
              <w:t>119</w:t>
            </w:r>
          </w:p>
        </w:tc>
        <w:tc>
          <w:tcPr>
            <w:tcW w:w="848" w:type="dxa"/>
            <w:vAlign w:val="bottom"/>
          </w:tcPr>
          <w:p w14:paraId="1A18CDF0"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rPr>
            </w:pPr>
            <w:r w:rsidRPr="00811C24">
              <w:rPr>
                <w:rFonts w:ascii="Calibri" w:hAnsi="Calibri" w:cs="Calibri"/>
                <w:szCs w:val="17"/>
              </w:rPr>
              <w:t>151</w:t>
            </w:r>
          </w:p>
        </w:tc>
        <w:tc>
          <w:tcPr>
            <w:tcW w:w="849" w:type="dxa"/>
            <w:vAlign w:val="bottom"/>
          </w:tcPr>
          <w:p w14:paraId="44A11F78"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rPr>
            </w:pPr>
            <w:r w:rsidRPr="00811C24">
              <w:rPr>
                <w:rFonts w:ascii="Calibri" w:hAnsi="Calibri" w:cs="Calibri"/>
                <w:szCs w:val="17"/>
              </w:rPr>
              <w:t>185</w:t>
            </w:r>
          </w:p>
        </w:tc>
        <w:tc>
          <w:tcPr>
            <w:tcW w:w="849" w:type="dxa"/>
            <w:vAlign w:val="bottom"/>
          </w:tcPr>
          <w:p w14:paraId="7441152C"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rPr>
            </w:pPr>
            <w:r w:rsidRPr="00811C24">
              <w:rPr>
                <w:rFonts w:ascii="Calibri" w:hAnsi="Calibri" w:cs="Calibri"/>
                <w:szCs w:val="17"/>
              </w:rPr>
              <w:t>423</w:t>
            </w:r>
          </w:p>
        </w:tc>
      </w:tr>
      <w:tr w:rsidR="00346FC5" w:rsidRPr="00CF5471" w14:paraId="403E04A6"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54D340D9" w14:textId="77777777" w:rsidR="00346FC5" w:rsidRPr="00CF5471" w:rsidRDefault="00346FC5" w:rsidP="0098354D">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9" w:type="dxa"/>
            <w:tcBorders>
              <w:bottom w:val="single" w:sz="4" w:space="0" w:color="auto"/>
            </w:tcBorders>
            <w:vAlign w:val="bottom"/>
          </w:tcPr>
          <w:p w14:paraId="476B9814"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rPr>
            </w:pPr>
            <w:r w:rsidRPr="00811C24">
              <w:rPr>
                <w:rFonts w:ascii="Calibri" w:hAnsi="Calibri" w:cs="Calibri"/>
                <w:szCs w:val="17"/>
              </w:rPr>
              <w:t>306</w:t>
            </w:r>
          </w:p>
        </w:tc>
        <w:tc>
          <w:tcPr>
            <w:tcW w:w="848" w:type="dxa"/>
            <w:tcBorders>
              <w:bottom w:val="single" w:sz="4" w:space="0" w:color="auto"/>
            </w:tcBorders>
            <w:vAlign w:val="bottom"/>
          </w:tcPr>
          <w:p w14:paraId="05B6098A"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rPr>
            </w:pPr>
            <w:r w:rsidRPr="00811C24">
              <w:rPr>
                <w:rFonts w:ascii="Calibri" w:hAnsi="Calibri" w:cs="Calibri"/>
                <w:szCs w:val="17"/>
              </w:rPr>
              <w:t>727</w:t>
            </w:r>
          </w:p>
        </w:tc>
        <w:tc>
          <w:tcPr>
            <w:tcW w:w="849" w:type="dxa"/>
            <w:tcBorders>
              <w:bottom w:val="single" w:sz="4" w:space="0" w:color="auto"/>
            </w:tcBorders>
            <w:vAlign w:val="bottom"/>
          </w:tcPr>
          <w:p w14:paraId="3398B78B"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rPr>
            </w:pPr>
            <w:r w:rsidRPr="00811C24">
              <w:rPr>
                <w:rFonts w:ascii="Calibri" w:hAnsi="Calibri" w:cs="Calibri"/>
                <w:szCs w:val="17"/>
              </w:rPr>
              <w:t>982</w:t>
            </w:r>
          </w:p>
        </w:tc>
        <w:tc>
          <w:tcPr>
            <w:tcW w:w="849" w:type="dxa"/>
            <w:tcBorders>
              <w:bottom w:val="single" w:sz="4" w:space="0" w:color="auto"/>
            </w:tcBorders>
            <w:vAlign w:val="bottom"/>
          </w:tcPr>
          <w:p w14:paraId="04C6231F"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szCs w:val="17"/>
              </w:rPr>
            </w:pPr>
            <w:r w:rsidRPr="00811C24">
              <w:rPr>
                <w:rFonts w:ascii="Calibri" w:hAnsi="Calibri" w:cs="Calibri"/>
                <w:szCs w:val="17"/>
              </w:rPr>
              <w:t>1</w:t>
            </w:r>
            <w:r>
              <w:rPr>
                <w:rFonts w:ascii="Calibri" w:hAnsi="Calibri" w:cs="Calibri"/>
                <w:szCs w:val="17"/>
              </w:rPr>
              <w:t xml:space="preserve"> </w:t>
            </w:r>
            <w:r w:rsidRPr="00811C24">
              <w:rPr>
                <w:rFonts w:ascii="Calibri" w:hAnsi="Calibri" w:cs="Calibri"/>
                <w:szCs w:val="17"/>
              </w:rPr>
              <w:t>243</w:t>
            </w:r>
          </w:p>
        </w:tc>
      </w:tr>
      <w:tr w:rsidR="00346FC5" w:rsidRPr="00CF5471" w14:paraId="7FDE193A" w14:textId="77777777" w:rsidTr="0098354D">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right w:val="nil"/>
            </w:tcBorders>
            <w:hideMark/>
          </w:tcPr>
          <w:p w14:paraId="26452A79" w14:textId="77777777" w:rsidR="00346FC5" w:rsidRPr="00E21084" w:rsidRDefault="00346FC5" w:rsidP="0098354D">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result from transactions</w:t>
            </w:r>
          </w:p>
        </w:tc>
        <w:tc>
          <w:tcPr>
            <w:tcW w:w="849" w:type="dxa"/>
            <w:tcBorders>
              <w:top w:val="single" w:sz="4" w:space="0" w:color="auto"/>
              <w:left w:val="nil"/>
              <w:bottom w:val="nil"/>
              <w:right w:val="nil"/>
            </w:tcBorders>
            <w:vAlign w:val="bottom"/>
            <w:hideMark/>
          </w:tcPr>
          <w:p w14:paraId="467B3973"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rPr>
            </w:pPr>
            <w:r w:rsidRPr="00690C7C">
              <w:rPr>
                <w:rFonts w:ascii="Calibri" w:hAnsi="Calibri" w:cs="Calibri"/>
                <w:b/>
                <w:bCs/>
                <w:szCs w:val="17"/>
              </w:rPr>
              <w:t>(</w:t>
            </w:r>
            <w:r w:rsidRPr="00811C24">
              <w:rPr>
                <w:rFonts w:ascii="Calibri" w:hAnsi="Calibri" w:cs="Calibri"/>
                <w:b/>
                <w:bCs/>
                <w:szCs w:val="17"/>
              </w:rPr>
              <w:t>187</w:t>
            </w:r>
            <w:r w:rsidRPr="00690C7C">
              <w:rPr>
                <w:rFonts w:ascii="Calibri" w:hAnsi="Calibri" w:cs="Calibri"/>
                <w:b/>
                <w:bCs/>
                <w:szCs w:val="17"/>
              </w:rPr>
              <w:t>)</w:t>
            </w:r>
          </w:p>
        </w:tc>
        <w:tc>
          <w:tcPr>
            <w:tcW w:w="848" w:type="dxa"/>
            <w:tcBorders>
              <w:top w:val="single" w:sz="4" w:space="0" w:color="auto"/>
              <w:left w:val="nil"/>
              <w:bottom w:val="nil"/>
              <w:right w:val="nil"/>
            </w:tcBorders>
            <w:vAlign w:val="bottom"/>
            <w:hideMark/>
          </w:tcPr>
          <w:p w14:paraId="0057D449"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rPr>
            </w:pPr>
            <w:r w:rsidRPr="00690C7C">
              <w:rPr>
                <w:rFonts w:ascii="Calibri" w:hAnsi="Calibri" w:cs="Calibri"/>
                <w:b/>
                <w:bCs/>
                <w:szCs w:val="17"/>
              </w:rPr>
              <w:t>(</w:t>
            </w:r>
            <w:r w:rsidRPr="00811C24">
              <w:rPr>
                <w:rFonts w:ascii="Calibri" w:hAnsi="Calibri" w:cs="Calibri"/>
                <w:b/>
                <w:bCs/>
                <w:szCs w:val="17"/>
              </w:rPr>
              <w:t>576</w:t>
            </w:r>
            <w:r w:rsidRPr="00690C7C">
              <w:rPr>
                <w:rFonts w:ascii="Calibri" w:hAnsi="Calibri" w:cs="Calibri"/>
                <w:b/>
                <w:bCs/>
                <w:szCs w:val="17"/>
              </w:rPr>
              <w:t>)</w:t>
            </w:r>
          </w:p>
        </w:tc>
        <w:tc>
          <w:tcPr>
            <w:tcW w:w="849" w:type="dxa"/>
            <w:tcBorders>
              <w:top w:val="single" w:sz="4" w:space="0" w:color="auto"/>
              <w:left w:val="nil"/>
              <w:bottom w:val="nil"/>
              <w:right w:val="nil"/>
            </w:tcBorders>
            <w:vAlign w:val="bottom"/>
            <w:hideMark/>
          </w:tcPr>
          <w:p w14:paraId="4477B063"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rPr>
            </w:pPr>
            <w:r w:rsidRPr="00690C7C">
              <w:rPr>
                <w:rFonts w:ascii="Calibri" w:hAnsi="Calibri" w:cs="Calibri"/>
                <w:b/>
                <w:bCs/>
                <w:szCs w:val="17"/>
              </w:rPr>
              <w:t>(</w:t>
            </w:r>
            <w:r w:rsidRPr="00811C24">
              <w:rPr>
                <w:rFonts w:ascii="Calibri" w:hAnsi="Calibri" w:cs="Calibri"/>
                <w:b/>
                <w:bCs/>
                <w:szCs w:val="17"/>
              </w:rPr>
              <w:t>797</w:t>
            </w:r>
            <w:r w:rsidRPr="00690C7C">
              <w:rPr>
                <w:rFonts w:ascii="Calibri" w:hAnsi="Calibri" w:cs="Calibri"/>
                <w:b/>
                <w:bCs/>
                <w:szCs w:val="17"/>
              </w:rPr>
              <w:t>)</w:t>
            </w:r>
          </w:p>
        </w:tc>
        <w:tc>
          <w:tcPr>
            <w:tcW w:w="849" w:type="dxa"/>
            <w:tcBorders>
              <w:top w:val="single" w:sz="4" w:space="0" w:color="auto"/>
              <w:left w:val="nil"/>
              <w:bottom w:val="nil"/>
            </w:tcBorders>
            <w:vAlign w:val="bottom"/>
            <w:hideMark/>
          </w:tcPr>
          <w:p w14:paraId="3EB6A4D3" w14:textId="77777777" w:rsidR="00346FC5" w:rsidRPr="00811C24" w:rsidRDefault="00346FC5" w:rsidP="0098354D">
            <w:pPr>
              <w:cnfStyle w:val="000000000000" w:firstRow="0" w:lastRow="0" w:firstColumn="0" w:lastColumn="0" w:oddVBand="0" w:evenVBand="0" w:oddHBand="0" w:evenHBand="0" w:firstRowFirstColumn="0" w:firstRowLastColumn="0" w:lastRowFirstColumn="0" w:lastRowLastColumn="0"/>
              <w:rPr>
                <w:rFonts w:cstheme="majorHAnsi"/>
                <w:b/>
                <w:szCs w:val="17"/>
              </w:rPr>
            </w:pPr>
            <w:r w:rsidRPr="00690C7C">
              <w:rPr>
                <w:rFonts w:ascii="Calibri" w:hAnsi="Calibri" w:cs="Calibri"/>
                <w:b/>
                <w:bCs/>
                <w:szCs w:val="17"/>
              </w:rPr>
              <w:t>(</w:t>
            </w:r>
            <w:r w:rsidRPr="00811C24">
              <w:rPr>
                <w:rFonts w:ascii="Calibri" w:hAnsi="Calibri" w:cs="Calibri"/>
                <w:b/>
                <w:bCs/>
                <w:szCs w:val="17"/>
              </w:rPr>
              <w:t>819</w:t>
            </w:r>
            <w:r w:rsidRPr="00690C7C">
              <w:rPr>
                <w:rFonts w:ascii="Calibri" w:hAnsi="Calibri" w:cs="Calibri"/>
                <w:b/>
                <w:bCs/>
                <w:szCs w:val="17"/>
              </w:rPr>
              <w:t>)</w:t>
            </w:r>
          </w:p>
        </w:tc>
      </w:tr>
      <w:tr w:rsidR="00346FC5" w:rsidRPr="00CF5471" w14:paraId="33E63ACF" w14:textId="77777777" w:rsidTr="0098354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Borders>
              <w:top w:val="nil"/>
            </w:tcBorders>
            <w:hideMark/>
          </w:tcPr>
          <w:p w14:paraId="067AB977" w14:textId="77777777" w:rsidR="00346FC5" w:rsidRPr="00E21084" w:rsidRDefault="00346FC5" w:rsidP="0098354D">
            <w:pPr>
              <w:keepLines w:val="0"/>
              <w:autoSpaceDE w:val="0"/>
              <w:autoSpaceDN w:val="0"/>
              <w:adjustRightInd w:val="0"/>
              <w:rPr>
                <w:rFonts w:eastAsiaTheme="minorEastAsia" w:cstheme="majorHAnsi"/>
                <w:bCs/>
                <w:szCs w:val="17"/>
                <w:lang w:eastAsia="en-AU"/>
              </w:rPr>
            </w:pPr>
            <w:r w:rsidRPr="00E21084">
              <w:rPr>
                <w:rFonts w:eastAsiaTheme="minorEastAsia" w:cstheme="majorHAnsi"/>
                <w:bCs/>
                <w:szCs w:val="17"/>
                <w:lang w:eastAsia="en-AU"/>
              </w:rPr>
              <w:t>Net debt</w:t>
            </w:r>
          </w:p>
        </w:tc>
        <w:tc>
          <w:tcPr>
            <w:tcW w:w="849" w:type="dxa"/>
            <w:tcBorders>
              <w:top w:val="nil"/>
            </w:tcBorders>
            <w:vAlign w:val="bottom"/>
            <w:hideMark/>
          </w:tcPr>
          <w:p w14:paraId="2D29B338" w14:textId="77777777" w:rsidR="00346FC5" w:rsidRPr="00811C24" w:rsidRDefault="00346FC5" w:rsidP="0098354D">
            <w:pPr>
              <w:cnfStyle w:val="010000000000" w:firstRow="0" w:lastRow="1" w:firstColumn="0" w:lastColumn="0" w:oddVBand="0" w:evenVBand="0" w:oddHBand="0" w:evenHBand="0" w:firstRowFirstColumn="0" w:firstRowLastColumn="0" w:lastRowFirstColumn="0" w:lastRowLastColumn="0"/>
              <w:rPr>
                <w:rFonts w:cstheme="majorHAnsi"/>
                <w:szCs w:val="17"/>
              </w:rPr>
            </w:pPr>
            <w:r w:rsidRPr="00811C24">
              <w:rPr>
                <w:rFonts w:ascii="Calibri" w:hAnsi="Calibri" w:cs="Calibri"/>
                <w:b w:val="0"/>
                <w:bCs/>
                <w:szCs w:val="17"/>
              </w:rPr>
              <w:t>187</w:t>
            </w:r>
          </w:p>
        </w:tc>
        <w:tc>
          <w:tcPr>
            <w:tcW w:w="848" w:type="dxa"/>
            <w:tcBorders>
              <w:top w:val="nil"/>
            </w:tcBorders>
            <w:vAlign w:val="bottom"/>
            <w:hideMark/>
          </w:tcPr>
          <w:p w14:paraId="33CD2C88" w14:textId="77777777" w:rsidR="00346FC5" w:rsidRPr="00811C24" w:rsidRDefault="00346FC5" w:rsidP="0098354D">
            <w:pPr>
              <w:cnfStyle w:val="010000000000" w:firstRow="0" w:lastRow="1" w:firstColumn="0" w:lastColumn="0" w:oddVBand="0" w:evenVBand="0" w:oddHBand="0" w:evenHBand="0" w:firstRowFirstColumn="0" w:firstRowLastColumn="0" w:lastRowFirstColumn="0" w:lastRowLastColumn="0"/>
              <w:rPr>
                <w:rFonts w:cstheme="majorHAnsi"/>
                <w:szCs w:val="17"/>
              </w:rPr>
            </w:pPr>
            <w:r w:rsidRPr="00811C24">
              <w:rPr>
                <w:rFonts w:ascii="Calibri" w:hAnsi="Calibri" w:cs="Calibri"/>
                <w:b w:val="0"/>
                <w:bCs/>
                <w:szCs w:val="17"/>
              </w:rPr>
              <w:t>582</w:t>
            </w:r>
          </w:p>
        </w:tc>
        <w:tc>
          <w:tcPr>
            <w:tcW w:w="849" w:type="dxa"/>
            <w:tcBorders>
              <w:top w:val="nil"/>
            </w:tcBorders>
            <w:vAlign w:val="bottom"/>
            <w:hideMark/>
          </w:tcPr>
          <w:p w14:paraId="6132384B" w14:textId="77777777" w:rsidR="00346FC5" w:rsidRPr="00811C24" w:rsidRDefault="00346FC5" w:rsidP="0098354D">
            <w:pPr>
              <w:cnfStyle w:val="010000000000" w:firstRow="0" w:lastRow="1" w:firstColumn="0" w:lastColumn="0" w:oddVBand="0" w:evenVBand="0" w:oddHBand="0" w:evenHBand="0" w:firstRowFirstColumn="0" w:firstRowLastColumn="0" w:lastRowFirstColumn="0" w:lastRowLastColumn="0"/>
              <w:rPr>
                <w:rFonts w:cstheme="majorHAnsi"/>
                <w:szCs w:val="17"/>
              </w:rPr>
            </w:pPr>
            <w:r w:rsidRPr="00811C24">
              <w:rPr>
                <w:rFonts w:ascii="Calibri" w:hAnsi="Calibri" w:cs="Calibri"/>
                <w:b w:val="0"/>
                <w:bCs/>
                <w:szCs w:val="17"/>
              </w:rPr>
              <w:t>1</w:t>
            </w:r>
            <w:r>
              <w:rPr>
                <w:rFonts w:ascii="Calibri" w:hAnsi="Calibri" w:cs="Calibri"/>
                <w:b w:val="0"/>
                <w:bCs/>
                <w:szCs w:val="17"/>
              </w:rPr>
              <w:t xml:space="preserve"> </w:t>
            </w:r>
            <w:r w:rsidRPr="00811C24">
              <w:rPr>
                <w:rFonts w:ascii="Calibri" w:hAnsi="Calibri" w:cs="Calibri"/>
                <w:b w:val="0"/>
                <w:bCs/>
                <w:szCs w:val="17"/>
              </w:rPr>
              <w:t>182</w:t>
            </w:r>
          </w:p>
        </w:tc>
        <w:tc>
          <w:tcPr>
            <w:tcW w:w="849" w:type="dxa"/>
            <w:tcBorders>
              <w:top w:val="nil"/>
            </w:tcBorders>
            <w:vAlign w:val="bottom"/>
            <w:hideMark/>
          </w:tcPr>
          <w:p w14:paraId="5EA67BBF" w14:textId="77777777" w:rsidR="00346FC5" w:rsidRPr="00811C24" w:rsidRDefault="00346FC5" w:rsidP="0098354D">
            <w:pPr>
              <w:cnfStyle w:val="010000000000" w:firstRow="0" w:lastRow="1" w:firstColumn="0" w:lastColumn="0" w:oddVBand="0" w:evenVBand="0" w:oddHBand="0" w:evenHBand="0" w:firstRowFirstColumn="0" w:firstRowLastColumn="0" w:lastRowFirstColumn="0" w:lastRowLastColumn="0"/>
              <w:rPr>
                <w:rFonts w:cstheme="majorHAnsi"/>
                <w:szCs w:val="17"/>
              </w:rPr>
            </w:pPr>
            <w:r w:rsidRPr="00811C24">
              <w:rPr>
                <w:rFonts w:ascii="Calibri" w:hAnsi="Calibri" w:cs="Calibri"/>
                <w:b w:val="0"/>
                <w:bCs/>
                <w:szCs w:val="17"/>
              </w:rPr>
              <w:t>1</w:t>
            </w:r>
            <w:r>
              <w:rPr>
                <w:rFonts w:ascii="Calibri" w:hAnsi="Calibri" w:cs="Calibri"/>
                <w:b w:val="0"/>
                <w:bCs/>
                <w:szCs w:val="17"/>
              </w:rPr>
              <w:t xml:space="preserve"> </w:t>
            </w:r>
            <w:r w:rsidRPr="00811C24">
              <w:rPr>
                <w:rFonts w:ascii="Calibri" w:hAnsi="Calibri" w:cs="Calibri"/>
                <w:b w:val="0"/>
                <w:bCs/>
                <w:szCs w:val="17"/>
              </w:rPr>
              <w:t>794</w:t>
            </w:r>
          </w:p>
        </w:tc>
      </w:tr>
    </w:tbl>
    <w:bookmarkEnd w:id="89"/>
    <w:p w14:paraId="226AEAAC" w14:textId="77777777" w:rsidR="00346FC5" w:rsidRDefault="00346FC5" w:rsidP="00346FC5">
      <w:pPr>
        <w:pStyle w:val="Note"/>
      </w:pPr>
      <w:r>
        <w:t>Notes:</w:t>
      </w:r>
    </w:p>
    <w:p w14:paraId="7AB9894B" w14:textId="77777777" w:rsidR="00346FC5" w:rsidRDefault="00346FC5" w:rsidP="00346FC5">
      <w:pPr>
        <w:pStyle w:val="Note"/>
      </w:pPr>
      <w:r>
        <w:t>(a)</w:t>
      </w:r>
      <w:r>
        <w:tab/>
        <w:t>Variations are applied to the economic variables effective from the first day in the budget year (1 July 2023). It is assumed that each variable’s growth rate matches that under a no-variation scenario for the forward estimates period. This implies that the level of all economic variables (other than interest rates) is 1 per cent higher in level terms in each year of the budget and forward estimates. Interest rates are assumed to be 1 percentage point higher in each year of the budget and forward estimates.</w:t>
      </w:r>
    </w:p>
    <w:p w14:paraId="3AD50705" w14:textId="77777777" w:rsidR="00346FC5" w:rsidRDefault="00346FC5" w:rsidP="00346FC5">
      <w:pPr>
        <w:pStyle w:val="Note"/>
      </w:pPr>
      <w:r>
        <w:t>(b)</w:t>
      </w:r>
      <w:r>
        <w:tab/>
        <w:t xml:space="preserve">A positive number for income from transactions denotes an increase in revenue. A positive number for expenses from transactions denotes an increase in expenses (and hence a reduction in the net result from transactions). A positive number for the net result from transactions denotes a higher surplus or smaller deficit. A positive number for net debt denotes a higher level of net debt in the relevant year compared with a no-variation scenario. </w:t>
      </w:r>
    </w:p>
    <w:p w14:paraId="197B1F90" w14:textId="77777777" w:rsidR="00346FC5" w:rsidRDefault="00346FC5" w:rsidP="00346FC5">
      <w:pPr>
        <w:pStyle w:val="Note"/>
      </w:pPr>
      <w:r>
        <w:t>(c)</w:t>
      </w:r>
      <w:r>
        <w:tab/>
        <w:t>Only reasonably quantifiable impacts have been included in the analysis.</w:t>
      </w:r>
    </w:p>
    <w:p w14:paraId="23769B80" w14:textId="77777777" w:rsidR="00346FC5" w:rsidRDefault="00346FC5" w:rsidP="00346FC5">
      <w:pPr>
        <w:pStyle w:val="Note"/>
      </w:pPr>
      <w:r>
        <w:t>(d)</w:t>
      </w:r>
      <w:r>
        <w:tab/>
        <w:t xml:space="preserve">Figures may not add due to rounding. </w:t>
      </w:r>
    </w:p>
    <w:p w14:paraId="18383C38" w14:textId="77777777" w:rsidR="00346FC5" w:rsidRDefault="00346FC5" w:rsidP="00346FC5">
      <w:pPr>
        <w:pStyle w:val="Note"/>
      </w:pPr>
      <w:r w:rsidRPr="00AE6CC7">
        <w:t>(e)</w:t>
      </w:r>
      <w:r w:rsidRPr="00AE6CC7">
        <w:tab/>
        <w:t>Estimates of net debt are approximately equal to the cumulative impact of the net result from transactions. The difference between the cumulative net result from transactions and net debt is due to non-cash expenses.</w:t>
      </w:r>
    </w:p>
    <w:p w14:paraId="406AE518" w14:textId="77777777" w:rsidR="00346FC5" w:rsidRDefault="00346FC5" w:rsidP="00346FC5">
      <w:pPr>
        <w:pStyle w:val="Note"/>
      </w:pPr>
      <w:r>
        <w:t>(f)</w:t>
      </w:r>
      <w:r>
        <w:tab/>
        <w:t xml:space="preserve">A shock to employment is assumed to impact payroll tax revenue. Both public and private sector employment levels are assumed to be 1 per cent higher across the four years, with the shares of full-time and part-time employment held constant; the rise in public sector employment increases general government sector employee expenses. </w:t>
      </w:r>
    </w:p>
    <w:p w14:paraId="5FE39EC3" w14:textId="77777777" w:rsidR="00346FC5" w:rsidRDefault="00346FC5" w:rsidP="00346FC5">
      <w:pPr>
        <w:pStyle w:val="Note"/>
      </w:pPr>
      <w:r>
        <w:t>(g)</w:t>
      </w:r>
      <w:r>
        <w:tab/>
      </w:r>
      <w:r w:rsidRPr="00701167">
        <w:t>Estimates assume that higher consumer prices flow through to government operating expenses, such as the purchase of supplies and consumables and the purchase of services. For simplicity, these estimates make no assumptions about agencies’ administrative actions or government policy responses to mitigate the effects of higher inflation on aggregate spending. It is assumed an increase in consumer prices within the budget year does not affect employee entitlements.</w:t>
      </w:r>
      <w:r w:rsidRPr="00701167" w:rsidDel="00701167">
        <w:t xml:space="preserve"> </w:t>
      </w:r>
    </w:p>
    <w:p w14:paraId="3A4E7EE6" w14:textId="77777777" w:rsidR="00346FC5" w:rsidRDefault="00346FC5" w:rsidP="00346FC5">
      <w:pPr>
        <w:pStyle w:val="Note"/>
      </w:pPr>
      <w:r>
        <w:t>(h)</w:t>
      </w:r>
      <w:r>
        <w:tab/>
        <w:t xml:space="preserve">A positive shock to average weekly earnings increases the expenses of public financial and non-financial corporations and reduces the general government sector’s income from dividends and ITEs. </w:t>
      </w:r>
    </w:p>
    <w:p w14:paraId="70671225" w14:textId="77777777" w:rsidR="00346FC5" w:rsidRDefault="00346FC5" w:rsidP="00346FC5">
      <w:pPr>
        <w:pStyle w:val="Note"/>
      </w:pPr>
      <w:r>
        <w:t>(</w:t>
      </w:r>
      <w:r w:rsidRPr="00AE6CC7">
        <w:t>i)</w:t>
      </w:r>
      <w:r w:rsidRPr="00AE6CC7">
        <w:tab/>
        <w:t>The smaller impact on the net result from transactions, compared with the impact on net debt, reflects that only the income component of the State’s investment return (and not the capital gain) is recorded on the operating statement.</w:t>
      </w:r>
    </w:p>
    <w:p w14:paraId="3D30186B" w14:textId="77777777" w:rsidR="00346FC5" w:rsidRDefault="00346FC5" w:rsidP="00346FC5">
      <w:pPr>
        <w:pStyle w:val="Note"/>
      </w:pPr>
      <w:r>
        <w:t>(j)</w:t>
      </w:r>
      <w:r>
        <w:tab/>
        <w:t xml:space="preserve">Interest rates are assumed to be 1 percentage point higher in each year of the budget and forward estimates. The fiscal impact is based on the portion of government debt that would change value due to being refinanced, as well as new debt issuance. </w:t>
      </w:r>
    </w:p>
    <w:p w14:paraId="792587D3" w14:textId="77777777" w:rsidR="00346FC5" w:rsidRPr="00532CD9" w:rsidRDefault="00346FC5" w:rsidP="00346FC5"/>
    <w:p w14:paraId="66CABF18" w14:textId="77777777" w:rsidR="00346FC5" w:rsidRDefault="00346FC5" w:rsidP="00DC479B"/>
    <w:p w14:paraId="7E914159" w14:textId="77777777" w:rsidR="007B1F83" w:rsidRDefault="007B1F83" w:rsidP="00DC479B">
      <w:pPr>
        <w:sectPr w:rsidR="007B1F83" w:rsidSect="00346FC5">
          <w:footerReference w:type="even" r:id="rId53"/>
          <w:footerReference w:type="default" r:id="rId54"/>
          <w:type w:val="oddPage"/>
          <w:pgSz w:w="9979" w:h="14175" w:code="34"/>
          <w:pgMar w:top="1134" w:right="1134" w:bottom="1134" w:left="1134" w:header="624" w:footer="567" w:gutter="0"/>
          <w:cols w:space="708"/>
          <w:docGrid w:linePitch="360"/>
        </w:sectPr>
      </w:pPr>
    </w:p>
    <w:p w14:paraId="432E2B9D" w14:textId="77777777" w:rsidR="007B1F83" w:rsidRDefault="007B1F83" w:rsidP="007B1F83">
      <w:pPr>
        <w:pStyle w:val="ChapterHeading"/>
      </w:pPr>
      <w:bookmarkStart w:id="90" w:name="_Toc101972165"/>
      <w:bookmarkStart w:id="91" w:name="_Toc135331264"/>
      <w:r>
        <w:t>Style conventions</w:t>
      </w:r>
      <w:bookmarkEnd w:id="90"/>
      <w:bookmarkEnd w:id="91"/>
    </w:p>
    <w:p w14:paraId="5D4BF502" w14:textId="77777777" w:rsidR="007B1F83" w:rsidRPr="0009665B" w:rsidRDefault="007B1F83" w:rsidP="007B1F83">
      <w:r w:rsidRPr="0009665B">
        <w:t>Figures in the tables and in the text have been rounded. Discrepancies in tables between totals and sums of components reflect rounding. Percentage changes in all tables are based on the underlying unrounded amounts.</w:t>
      </w:r>
    </w:p>
    <w:p w14:paraId="460338CD" w14:textId="77777777" w:rsidR="007B1F83" w:rsidRPr="0009665B" w:rsidRDefault="007B1F83" w:rsidP="007B1F83">
      <w:r w:rsidRPr="0009665B">
        <w:t>The notation used in the tables and charts is as follows:</w:t>
      </w:r>
    </w:p>
    <w:p w14:paraId="04A6D99B" w14:textId="77777777" w:rsidR="007B1F83" w:rsidRPr="0009665B" w:rsidRDefault="007B1F83" w:rsidP="007B1F83">
      <w:pPr>
        <w:ind w:left="2520" w:hanging="1800"/>
      </w:pPr>
      <w:r w:rsidRPr="0009665B">
        <w:t>n.a. or na</w:t>
      </w:r>
      <w:r w:rsidRPr="0009665B">
        <w:tab/>
        <w:t>not available or not applicable</w:t>
      </w:r>
    </w:p>
    <w:p w14:paraId="0FF6CD94" w14:textId="77777777" w:rsidR="007B1F83" w:rsidRPr="0009665B" w:rsidRDefault="007B1F83" w:rsidP="007B1F83">
      <w:pPr>
        <w:ind w:left="2520" w:hanging="1800"/>
      </w:pPr>
      <w:r w:rsidRPr="0009665B">
        <w:t>1</w:t>
      </w:r>
      <w:r>
        <w:t> billion</w:t>
      </w:r>
      <w:r w:rsidRPr="0009665B">
        <w:tab/>
        <w:t>1 000</w:t>
      </w:r>
      <w:r>
        <w:t> million</w:t>
      </w:r>
    </w:p>
    <w:p w14:paraId="0A395812" w14:textId="77777777" w:rsidR="007B1F83" w:rsidRPr="0009665B" w:rsidRDefault="007B1F83" w:rsidP="007B1F83">
      <w:pPr>
        <w:ind w:left="2520" w:hanging="1800"/>
      </w:pPr>
      <w:r w:rsidRPr="0009665B">
        <w:t>1 basis point</w:t>
      </w:r>
      <w:r w:rsidRPr="0009665B">
        <w:tab/>
        <w:t>0.01</w:t>
      </w:r>
      <w:r>
        <w:t> per cent</w:t>
      </w:r>
    </w:p>
    <w:p w14:paraId="54F471F2" w14:textId="77777777" w:rsidR="007B1F83" w:rsidRPr="0009665B" w:rsidRDefault="007B1F83" w:rsidP="007B1F83">
      <w:pPr>
        <w:ind w:left="2520" w:hanging="1800"/>
      </w:pPr>
      <w:r w:rsidRPr="0009665B">
        <w:t>..</w:t>
      </w:r>
      <w:r w:rsidRPr="0009665B">
        <w:tab/>
        <w:t>zero, or rounded to zero</w:t>
      </w:r>
    </w:p>
    <w:p w14:paraId="40C42EB9" w14:textId="77777777" w:rsidR="007B1F83" w:rsidRPr="0009665B" w:rsidRDefault="007B1F83" w:rsidP="007B1F83">
      <w:pPr>
        <w:ind w:left="2520" w:hanging="1800"/>
      </w:pPr>
      <w:r w:rsidRPr="0009665B">
        <w:t>tb</w:t>
      </w:r>
      <w:r>
        <w:t>c</w:t>
      </w:r>
      <w:r w:rsidRPr="0009665B">
        <w:tab/>
        <w:t xml:space="preserve">to be </w:t>
      </w:r>
      <w:r>
        <w:t>confirmed</w:t>
      </w:r>
    </w:p>
    <w:p w14:paraId="414158EE" w14:textId="77777777" w:rsidR="007B1F83" w:rsidRPr="0009665B" w:rsidRDefault="007B1F83" w:rsidP="007B1F83">
      <w:pPr>
        <w:ind w:left="2520" w:hanging="1800"/>
      </w:pPr>
      <w:r w:rsidRPr="0009665B">
        <w:t>ongoing</w:t>
      </w:r>
      <w:r w:rsidRPr="0009665B">
        <w:tab/>
        <w:t>continuing output, program, project etc.</w:t>
      </w:r>
    </w:p>
    <w:p w14:paraId="02FD879E" w14:textId="77777777" w:rsidR="007B1F83" w:rsidRDefault="007B1F83" w:rsidP="007B1F83">
      <w:pPr>
        <w:ind w:left="2520" w:hanging="1800"/>
      </w:pPr>
      <w:r w:rsidRPr="0009665B">
        <w:t>(</w:t>
      </w:r>
      <w:r>
        <w:t xml:space="preserve">x </w:t>
      </w:r>
      <w:r w:rsidRPr="0009665B">
        <w:t>xxx.x)</w:t>
      </w:r>
      <w:r w:rsidRPr="0009665B">
        <w:tab/>
        <w:t xml:space="preserve">negative </w:t>
      </w:r>
      <w:r>
        <w:t>amount</w:t>
      </w:r>
    </w:p>
    <w:p w14:paraId="5348741E" w14:textId="77777777" w:rsidR="007B1F83" w:rsidRDefault="007B1F83" w:rsidP="007B1F83">
      <w:pPr>
        <w:ind w:left="2520" w:hanging="1800"/>
      </w:pPr>
      <w:r>
        <w:t>x xxx.0</w:t>
      </w:r>
      <w:r>
        <w:tab/>
        <w:t>rounded amount</w:t>
      </w:r>
    </w:p>
    <w:p w14:paraId="1D9B73D3" w14:textId="77777777" w:rsidR="007B1F83" w:rsidRPr="0009665B" w:rsidRDefault="007B1F83" w:rsidP="007B1F83">
      <w:pPr>
        <w:ind w:left="2520" w:hanging="1800"/>
      </w:pPr>
    </w:p>
    <w:p w14:paraId="6FB736B9" w14:textId="77777777" w:rsidR="007B1F83" w:rsidRDefault="007B1F83" w:rsidP="007B1F83"/>
    <w:p w14:paraId="62BB4593" w14:textId="77777777" w:rsidR="007B1F83" w:rsidRDefault="007B1F83" w:rsidP="007B1F83">
      <w:pPr>
        <w:rPr>
          <w:color w:val="000000" w:themeColor="text1"/>
        </w:rPr>
      </w:pPr>
      <w:r w:rsidRPr="00C47FE8">
        <w:rPr>
          <w:color w:val="000000" w:themeColor="text1"/>
        </w:rPr>
        <w:t xml:space="preserve">Please refer to the </w:t>
      </w:r>
      <w:r w:rsidRPr="00C47FE8">
        <w:rPr>
          <w:b/>
          <w:color w:val="000000" w:themeColor="text1"/>
        </w:rPr>
        <w:t xml:space="preserve">Treasury and Finance glossary for budget and financial reports </w:t>
      </w:r>
      <w:r w:rsidRPr="00C47FE8">
        <w:rPr>
          <w:b/>
          <w:color w:val="000000" w:themeColor="text1"/>
        </w:rPr>
        <w:br/>
      </w:r>
      <w:r w:rsidRPr="00C47FE8">
        <w:rPr>
          <w:color w:val="000000" w:themeColor="text1"/>
        </w:rPr>
        <w:t xml:space="preserve">at </w:t>
      </w:r>
      <w:r w:rsidRPr="008F606B">
        <w:t>dtf.vic.gov.au</w:t>
      </w:r>
      <w:r w:rsidRPr="00C47FE8">
        <w:rPr>
          <w:color w:val="000000" w:themeColor="text1"/>
        </w:rPr>
        <w:t xml:space="preserve"> for additional terms and references.</w:t>
      </w:r>
    </w:p>
    <w:p w14:paraId="456907AC" w14:textId="77777777" w:rsidR="007B1F83" w:rsidRPr="00C47FE8" w:rsidRDefault="007B1F83" w:rsidP="007B1F83">
      <w:pPr>
        <w:rPr>
          <w:color w:val="000000" w:themeColor="text1"/>
        </w:rPr>
      </w:pPr>
    </w:p>
    <w:p w14:paraId="69582135" w14:textId="77777777" w:rsidR="007B1F83" w:rsidRDefault="007B1F83" w:rsidP="007B1F83"/>
    <w:p w14:paraId="78FED1D9" w14:textId="77777777" w:rsidR="00AF2E16" w:rsidRDefault="00AF2E16" w:rsidP="00DC479B">
      <w:pPr>
        <w:sectPr w:rsidR="00AF2E16" w:rsidSect="00346FC5">
          <w:footerReference w:type="even" r:id="rId55"/>
          <w:footerReference w:type="default" r:id="rId56"/>
          <w:type w:val="oddPage"/>
          <w:pgSz w:w="9979" w:h="14175" w:code="34"/>
          <w:pgMar w:top="1134" w:right="1134" w:bottom="1134" w:left="1134" w:header="624" w:footer="567" w:gutter="0"/>
          <w:cols w:space="708"/>
          <w:docGrid w:linePitch="360"/>
        </w:sectPr>
      </w:pPr>
    </w:p>
    <w:p w14:paraId="6350553F" w14:textId="77777777" w:rsidR="00AF2E16" w:rsidRPr="00AF2E16" w:rsidRDefault="00AF2E16" w:rsidP="00AF2E16">
      <w:pPr>
        <w:rPr>
          <w:rFonts w:ascii="Calibri Light" w:hAnsi="Calibri Light"/>
        </w:rPr>
      </w:pPr>
      <w:r w:rsidRPr="00AF2E16">
        <w:rPr>
          <w:rFonts w:ascii="Calibri Light" w:hAnsi="Calibri Light"/>
        </w:rPr>
        <w:t xml:space="preserve">If you would like to receive this publication in an accessible format please email </w:t>
      </w:r>
      <w:hyperlink r:id="rId57" w:history="1">
        <w:r w:rsidRPr="00AF2E16">
          <w:rPr>
            <w:rStyle w:val="Hyperlink"/>
            <w:rFonts w:ascii="Calibri Light" w:hAnsi="Calibri Light"/>
          </w:rPr>
          <w:t>information@dtf.vic.gov.au</w:t>
        </w:r>
      </w:hyperlink>
      <w:r w:rsidRPr="00AF2E16">
        <w:rPr>
          <w:rFonts w:ascii="Calibri Light" w:hAnsi="Calibri Light"/>
        </w:rPr>
        <w:t xml:space="preserve"> or telephone (03) 9651 5111.</w:t>
      </w:r>
    </w:p>
    <w:p w14:paraId="790DC254" w14:textId="77777777" w:rsidR="00AF2E16" w:rsidRPr="00AF2E16" w:rsidRDefault="00AF2E16" w:rsidP="00AF2E16">
      <w:pPr>
        <w:rPr>
          <w:rFonts w:ascii="Calibri Light" w:hAnsi="Calibri Light"/>
        </w:rPr>
      </w:pPr>
      <w:r w:rsidRPr="00AF2E16">
        <w:rPr>
          <w:rFonts w:ascii="Calibri Light" w:hAnsi="Calibri Light"/>
        </w:rPr>
        <w:t xml:space="preserve">This document is also available in PDF and Word format at </w:t>
      </w:r>
      <w:hyperlink r:id="rId58" w:history="1">
        <w:r w:rsidRPr="00AF2E16">
          <w:rPr>
            <w:rStyle w:val="Hyperlink"/>
            <w:rFonts w:ascii="Calibri Light" w:hAnsi="Calibri Light"/>
          </w:rPr>
          <w:t>dtf.vic.gov.au</w:t>
        </w:r>
      </w:hyperlink>
      <w:r w:rsidRPr="00AF2E16">
        <w:rPr>
          <w:rFonts w:ascii="Calibri Light" w:hAnsi="Calibri Light"/>
        </w:rPr>
        <w:t>.</w:t>
      </w:r>
    </w:p>
    <w:sectPr w:rsidR="00AF2E16" w:rsidRPr="00AF2E16" w:rsidSect="009D6B5F">
      <w:footerReference w:type="first" r:id="rId59"/>
      <w:pgSz w:w="9979" w:h="14175" w:code="34"/>
      <w:pgMar w:top="851" w:right="1134" w:bottom="851" w:left="1134" w:header="624" w:footer="567" w:gutter="0"/>
      <w:cols w:sep="1" w:space="567"/>
      <w:vAlign w:val="bottom"/>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F7E2" w14:textId="77777777" w:rsidR="00DC479B" w:rsidRDefault="00DC479B" w:rsidP="00E97E54">
      <w:r>
        <w:separator/>
      </w:r>
    </w:p>
  </w:endnote>
  <w:endnote w:type="continuationSeparator" w:id="0">
    <w:p w14:paraId="604AB12A" w14:textId="77777777" w:rsidR="00DC479B" w:rsidRDefault="00DC479B" w:rsidP="00E9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B86E" w14:textId="3B3D3DA6" w:rsidR="00030025" w:rsidRPr="00DC479B" w:rsidRDefault="00030025" w:rsidP="00DC479B">
    <w:pPr>
      <w:pStyle w:val="Footer"/>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0277" w14:textId="0EAEFA57" w:rsidR="00346FC5" w:rsidRDefault="00346FC5" w:rsidP="00030025">
    <w:pPr>
      <w:pStyle w:val="FooterEvenPage"/>
    </w:pPr>
    <w:r>
      <w:fldChar w:fldCharType="begin"/>
    </w:r>
    <w:r>
      <w:instrText xml:space="preserve"> PAGE   \* MERGEFORMAT </w:instrText>
    </w:r>
    <w:r>
      <w:fldChar w:fldCharType="separate"/>
    </w:r>
    <w:r>
      <w:rPr>
        <w:noProof/>
      </w:rPr>
      <w:t>2</w:t>
    </w:r>
    <w:r>
      <w:fldChar w:fldCharType="end"/>
    </w:r>
    <w:r>
      <w:tab/>
      <w:t>Chapter 3</w:t>
    </w:r>
    <w:r>
      <w:tab/>
    </w:r>
    <w:r w:rsidR="006E29E0">
      <w:fldChar w:fldCharType="begin"/>
    </w:r>
    <w:r w:rsidR="006E29E0">
      <w:instrText xml:space="preserve"> TITLE   \* MERG</w:instrText>
    </w:r>
    <w:r w:rsidR="006E29E0">
      <w:instrText xml:space="preserve">EFORMAT </w:instrText>
    </w:r>
    <w:r w:rsidR="006E29E0">
      <w:fldChar w:fldCharType="separate"/>
    </w:r>
    <w:r w:rsidR="00385CB8">
      <w:t>2023-24 Strategy and Outlook</w:t>
    </w:r>
    <w:r w:rsidR="006E29E0">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5827" w14:textId="01F8C3F8" w:rsidR="00346FC5" w:rsidRPr="00030025" w:rsidRDefault="006E29E0" w:rsidP="00030025">
    <w:pPr>
      <w:pStyle w:val="FooterOddPage"/>
    </w:pPr>
    <w:r>
      <w:fldChar w:fldCharType="begin"/>
    </w:r>
    <w:r>
      <w:instrText xml:space="preserve"> TITLE   \* MERGEFORMAT </w:instrText>
    </w:r>
    <w:r>
      <w:fldChar w:fldCharType="separate"/>
    </w:r>
    <w:r w:rsidR="00385CB8">
      <w:t>2023-24 Strategy and Outlook</w:t>
    </w:r>
    <w:r>
      <w:fldChar w:fldCharType="end"/>
    </w:r>
    <w:r w:rsidR="00346FC5" w:rsidRPr="00030025">
      <w:tab/>
      <w:t xml:space="preserve">Chapter </w:t>
    </w:r>
    <w:r w:rsidR="00346FC5">
      <w:t>3</w:t>
    </w:r>
    <w:r w:rsidR="00346FC5" w:rsidRPr="00030025">
      <w:tab/>
    </w:r>
    <w:r w:rsidR="00346FC5" w:rsidRPr="00030025">
      <w:fldChar w:fldCharType="begin"/>
    </w:r>
    <w:r w:rsidR="00346FC5" w:rsidRPr="00030025">
      <w:instrText xml:space="preserve"> PAGE   \* MERGEFORMAT </w:instrText>
    </w:r>
    <w:r w:rsidR="00346FC5" w:rsidRPr="00030025">
      <w:fldChar w:fldCharType="separate"/>
    </w:r>
    <w:r w:rsidR="00346FC5" w:rsidRPr="00030025">
      <w:t>1</w:t>
    </w:r>
    <w:r w:rsidR="00346FC5" w:rsidRPr="00030025">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CDB9" w14:textId="12C0C8F4" w:rsidR="00346FC5" w:rsidRDefault="00346FC5" w:rsidP="00030025">
    <w:pPr>
      <w:pStyle w:val="FooterEvenPage"/>
    </w:pPr>
    <w:r>
      <w:fldChar w:fldCharType="begin"/>
    </w:r>
    <w:r>
      <w:instrText xml:space="preserve"> PAGE   \* MERGEFORMAT </w:instrText>
    </w:r>
    <w:r>
      <w:fldChar w:fldCharType="separate"/>
    </w:r>
    <w:r>
      <w:rPr>
        <w:noProof/>
      </w:rPr>
      <w:t>2</w:t>
    </w:r>
    <w:r>
      <w:fldChar w:fldCharType="end"/>
    </w:r>
    <w:r>
      <w:tab/>
      <w:t>Chapter 4</w:t>
    </w:r>
    <w:r>
      <w:tab/>
    </w:r>
    <w:r w:rsidR="006E29E0">
      <w:fldChar w:fldCharType="begin"/>
    </w:r>
    <w:r w:rsidR="006E29E0">
      <w:instrText xml:space="preserve"> TITLE   \* MERGEFORMAT </w:instrText>
    </w:r>
    <w:r w:rsidR="006E29E0">
      <w:fldChar w:fldCharType="separate"/>
    </w:r>
    <w:r w:rsidR="00385CB8">
      <w:t>2023-24 Strategy and Outlook</w:t>
    </w:r>
    <w:r w:rsidR="006E29E0">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DFD8" w14:textId="0F8D1E29" w:rsidR="00346FC5" w:rsidRPr="00030025" w:rsidRDefault="006E29E0" w:rsidP="00030025">
    <w:pPr>
      <w:pStyle w:val="FooterOddPage"/>
    </w:pPr>
    <w:r>
      <w:fldChar w:fldCharType="begin"/>
    </w:r>
    <w:r>
      <w:instrText xml:space="preserve"> TITLE   \* MERGEFORMAT </w:instrText>
    </w:r>
    <w:r>
      <w:fldChar w:fldCharType="separate"/>
    </w:r>
    <w:r w:rsidR="00385CB8">
      <w:t>2023-24 Strategy and Outlook</w:t>
    </w:r>
    <w:r>
      <w:fldChar w:fldCharType="end"/>
    </w:r>
    <w:r w:rsidR="00346FC5" w:rsidRPr="00030025">
      <w:tab/>
      <w:t xml:space="preserve">Chapter </w:t>
    </w:r>
    <w:r w:rsidR="00346FC5">
      <w:t>4</w:t>
    </w:r>
    <w:r w:rsidR="00346FC5" w:rsidRPr="00030025">
      <w:tab/>
    </w:r>
    <w:r w:rsidR="00346FC5" w:rsidRPr="00030025">
      <w:fldChar w:fldCharType="begin"/>
    </w:r>
    <w:r w:rsidR="00346FC5" w:rsidRPr="00030025">
      <w:instrText xml:space="preserve"> PAGE   \* MERGEFORMAT </w:instrText>
    </w:r>
    <w:r w:rsidR="00346FC5" w:rsidRPr="00030025">
      <w:fldChar w:fldCharType="separate"/>
    </w:r>
    <w:r w:rsidR="00346FC5" w:rsidRPr="00030025">
      <w:t>1</w:t>
    </w:r>
    <w:r w:rsidR="00346FC5" w:rsidRPr="00030025">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CCFD" w14:textId="0765AC9D" w:rsidR="00346FC5" w:rsidRDefault="00346FC5" w:rsidP="00030025">
    <w:pPr>
      <w:pStyle w:val="FooterEvenPage"/>
    </w:pPr>
    <w:r>
      <w:fldChar w:fldCharType="begin"/>
    </w:r>
    <w:r>
      <w:instrText xml:space="preserve"> PAGE   \* MERGEFORMAT </w:instrText>
    </w:r>
    <w:r>
      <w:fldChar w:fldCharType="separate"/>
    </w:r>
    <w:r>
      <w:rPr>
        <w:noProof/>
      </w:rPr>
      <w:t>2</w:t>
    </w:r>
    <w:r>
      <w:fldChar w:fldCharType="end"/>
    </w:r>
    <w:r>
      <w:tab/>
      <w:t>Chapter 5</w:t>
    </w:r>
    <w:r>
      <w:tab/>
    </w:r>
    <w:r w:rsidR="006E29E0">
      <w:fldChar w:fldCharType="begin"/>
    </w:r>
    <w:r w:rsidR="006E29E0">
      <w:instrText xml:space="preserve"> TITLE   \* MERGEFORMAT </w:instrText>
    </w:r>
    <w:r w:rsidR="006E29E0">
      <w:fldChar w:fldCharType="separate"/>
    </w:r>
    <w:r w:rsidR="00385CB8">
      <w:t>2023-24 Strategy and Outlook</w:t>
    </w:r>
    <w:r w:rsidR="006E29E0">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53D1" w14:textId="0B620981" w:rsidR="00346FC5" w:rsidRPr="00030025" w:rsidRDefault="006E29E0" w:rsidP="00030025">
    <w:pPr>
      <w:pStyle w:val="FooterOddPage"/>
    </w:pPr>
    <w:r>
      <w:fldChar w:fldCharType="begin"/>
    </w:r>
    <w:r>
      <w:instrText xml:space="preserve"> TITLE   \* MERGEFORMAT </w:instrText>
    </w:r>
    <w:r>
      <w:fldChar w:fldCharType="separate"/>
    </w:r>
    <w:r w:rsidR="00385CB8">
      <w:t>2023-24 Strategy and Outlook</w:t>
    </w:r>
    <w:r>
      <w:fldChar w:fldCharType="end"/>
    </w:r>
    <w:r w:rsidR="00346FC5" w:rsidRPr="00030025">
      <w:tab/>
      <w:t xml:space="preserve">Chapter </w:t>
    </w:r>
    <w:r w:rsidR="00346FC5">
      <w:t>5</w:t>
    </w:r>
    <w:r w:rsidR="00346FC5" w:rsidRPr="00030025">
      <w:tab/>
    </w:r>
    <w:r w:rsidR="00346FC5" w:rsidRPr="00030025">
      <w:fldChar w:fldCharType="begin"/>
    </w:r>
    <w:r w:rsidR="00346FC5" w:rsidRPr="00030025">
      <w:instrText xml:space="preserve"> PAGE   \* MERGEFORMAT </w:instrText>
    </w:r>
    <w:r w:rsidR="00346FC5" w:rsidRPr="00030025">
      <w:fldChar w:fldCharType="separate"/>
    </w:r>
    <w:r w:rsidR="00346FC5" w:rsidRPr="00030025">
      <w:t>1</w:t>
    </w:r>
    <w:r w:rsidR="00346FC5" w:rsidRPr="00030025">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59B1" w14:textId="41A9F053" w:rsidR="00346FC5" w:rsidRDefault="00346FC5" w:rsidP="00030025">
    <w:pPr>
      <w:pStyle w:val="FooterEvenPage"/>
    </w:pPr>
    <w:r>
      <w:fldChar w:fldCharType="begin"/>
    </w:r>
    <w:r>
      <w:instrText xml:space="preserve"> PAGE   \* MERGEFORMAT </w:instrText>
    </w:r>
    <w:r>
      <w:fldChar w:fldCharType="separate"/>
    </w:r>
    <w:r>
      <w:rPr>
        <w:noProof/>
      </w:rPr>
      <w:t>2</w:t>
    </w:r>
    <w:r>
      <w:fldChar w:fldCharType="end"/>
    </w:r>
    <w:r>
      <w:tab/>
      <w:t>Appendix A</w:t>
    </w:r>
    <w:r>
      <w:tab/>
    </w:r>
    <w:r w:rsidR="006E29E0">
      <w:fldChar w:fldCharType="begin"/>
    </w:r>
    <w:r w:rsidR="006E29E0">
      <w:instrText xml:space="preserve"> TITLE   \* MERGEFORMAT </w:instrText>
    </w:r>
    <w:r w:rsidR="006E29E0">
      <w:fldChar w:fldCharType="separate"/>
    </w:r>
    <w:r w:rsidR="00385CB8">
      <w:t>2023-24 Strategy and Outlook</w:t>
    </w:r>
    <w:r w:rsidR="006E29E0">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557E" w14:textId="498DCEAB" w:rsidR="00346FC5" w:rsidRPr="00030025" w:rsidRDefault="006E29E0" w:rsidP="00030025">
    <w:pPr>
      <w:pStyle w:val="FooterOddPage"/>
    </w:pPr>
    <w:r>
      <w:fldChar w:fldCharType="begin"/>
    </w:r>
    <w:r>
      <w:instrText xml:space="preserve"> TITLE   \* MERGEFORMAT </w:instrText>
    </w:r>
    <w:r>
      <w:fldChar w:fldCharType="separate"/>
    </w:r>
    <w:r w:rsidR="00385CB8">
      <w:t>2023-24 Strategy and Outlook</w:t>
    </w:r>
    <w:r>
      <w:fldChar w:fldCharType="end"/>
    </w:r>
    <w:r w:rsidR="00346FC5" w:rsidRPr="00030025">
      <w:tab/>
    </w:r>
    <w:r w:rsidR="00346FC5">
      <w:t>Appendix A</w:t>
    </w:r>
    <w:r w:rsidR="00346FC5" w:rsidRPr="00030025">
      <w:tab/>
    </w:r>
    <w:r w:rsidR="00346FC5" w:rsidRPr="00030025">
      <w:fldChar w:fldCharType="begin"/>
    </w:r>
    <w:r w:rsidR="00346FC5" w:rsidRPr="00030025">
      <w:instrText xml:space="preserve"> PAGE   \* MERGEFORMAT </w:instrText>
    </w:r>
    <w:r w:rsidR="00346FC5" w:rsidRPr="00030025">
      <w:fldChar w:fldCharType="separate"/>
    </w:r>
    <w:r w:rsidR="00346FC5" w:rsidRPr="00030025">
      <w:t>1</w:t>
    </w:r>
    <w:r w:rsidR="00346FC5" w:rsidRPr="00030025">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1060" w14:textId="52351A8A" w:rsidR="007B1F83" w:rsidRDefault="007B1F83" w:rsidP="00030025">
    <w:pPr>
      <w:pStyle w:val="FooterEvenPage"/>
    </w:pPr>
    <w:r>
      <w:fldChar w:fldCharType="begin"/>
    </w:r>
    <w:r>
      <w:instrText xml:space="preserve"> PAGE   \* MERGEFORMAT </w:instrText>
    </w:r>
    <w:r>
      <w:fldChar w:fldCharType="separate"/>
    </w:r>
    <w:r>
      <w:rPr>
        <w:noProof/>
      </w:rPr>
      <w:t>2</w:t>
    </w:r>
    <w:r>
      <w:fldChar w:fldCharType="end"/>
    </w:r>
    <w:r>
      <w:tab/>
      <w:t>Style conventions</w:t>
    </w:r>
    <w:r>
      <w:tab/>
    </w:r>
    <w:r w:rsidR="006E29E0">
      <w:fldChar w:fldCharType="begin"/>
    </w:r>
    <w:r w:rsidR="006E29E0">
      <w:instrText xml:space="preserve"> TITLE   \* MERGEFORMAT </w:instrText>
    </w:r>
    <w:r w:rsidR="006E29E0">
      <w:fldChar w:fldCharType="separate"/>
    </w:r>
    <w:r w:rsidR="00385CB8">
      <w:t>2023-24 Strategy and Outlook</w:t>
    </w:r>
    <w:r w:rsidR="006E29E0">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D0DB" w14:textId="14E9272B" w:rsidR="007B1F83" w:rsidRPr="00030025" w:rsidRDefault="006E29E0" w:rsidP="00030025">
    <w:pPr>
      <w:pStyle w:val="FooterOddPage"/>
    </w:pPr>
    <w:r>
      <w:fldChar w:fldCharType="begin"/>
    </w:r>
    <w:r>
      <w:instrText xml:space="preserve"> TITLE   \* MERGEFORMAT </w:instrText>
    </w:r>
    <w:r>
      <w:fldChar w:fldCharType="separate"/>
    </w:r>
    <w:r w:rsidR="00385CB8">
      <w:t>2023-24 Strategy and Outlook</w:t>
    </w:r>
    <w:r>
      <w:fldChar w:fldCharType="end"/>
    </w:r>
    <w:r w:rsidR="007B1F83" w:rsidRPr="00030025">
      <w:tab/>
    </w:r>
    <w:r w:rsidR="007B1F83">
      <w:t>Style conventions</w:t>
    </w:r>
    <w:r w:rsidR="007B1F83" w:rsidRPr="00030025">
      <w:tab/>
    </w:r>
    <w:r w:rsidR="007B1F83" w:rsidRPr="00030025">
      <w:fldChar w:fldCharType="begin"/>
    </w:r>
    <w:r w:rsidR="007B1F83" w:rsidRPr="00030025">
      <w:instrText xml:space="preserve"> PAGE   \* MERGEFORMAT </w:instrText>
    </w:r>
    <w:r w:rsidR="007B1F83" w:rsidRPr="00030025">
      <w:fldChar w:fldCharType="separate"/>
    </w:r>
    <w:r w:rsidR="007B1F83" w:rsidRPr="00030025">
      <w:t>1</w:t>
    </w:r>
    <w:r w:rsidR="007B1F83" w:rsidRPr="0003002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A1BE" w14:textId="0A0FB0D6" w:rsidR="00030025" w:rsidRPr="00DC479B" w:rsidRDefault="00030025" w:rsidP="00DC479B">
    <w:pPr>
      <w:pStyle w:val="Footer"/>
      <w:pBdr>
        <w:top w:val="none" w:sz="0" w:space="0" w:color="auto"/>
      </w:pBd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0B1A" w14:textId="77777777" w:rsidR="009D6B5F" w:rsidRPr="009D6B5F" w:rsidRDefault="006E29E0" w:rsidP="009D6B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8071" w14:textId="77777777" w:rsidR="00385CB8" w:rsidRDefault="00385C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ADBB" w14:textId="545CD5C6" w:rsidR="00DC479B" w:rsidRDefault="00DC479B" w:rsidP="00030025">
    <w:pPr>
      <w:pStyle w:val="FooterEvenPage"/>
    </w:pPr>
    <w:r>
      <w:fldChar w:fldCharType="begin"/>
    </w:r>
    <w:r>
      <w:instrText xml:space="preserve"> PAGE   \* MERGEFORMAT </w:instrText>
    </w:r>
    <w:r>
      <w:fldChar w:fldCharType="separate"/>
    </w:r>
    <w:r>
      <w:rPr>
        <w:noProof/>
      </w:rPr>
      <w:t>2</w:t>
    </w:r>
    <w:r>
      <w:fldChar w:fldCharType="end"/>
    </w:r>
    <w:r>
      <w:tab/>
      <w:t>Chapter X</w:t>
    </w:r>
    <w:r>
      <w:tab/>
    </w:r>
    <w:r w:rsidR="006E29E0">
      <w:fldChar w:fldCharType="begin"/>
    </w:r>
    <w:r w:rsidR="006E29E0">
      <w:instrText xml:space="preserve"> TITLE   \* MERGEFORMAT </w:instrText>
    </w:r>
    <w:r w:rsidR="006E29E0">
      <w:fldChar w:fldCharType="separate"/>
    </w:r>
    <w:r w:rsidR="00385CB8">
      <w:t>2023-24 Strategy and Outlook</w:t>
    </w:r>
    <w:r w:rsidR="006E29E0">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1450" w14:textId="7A930454" w:rsidR="00DC479B" w:rsidRPr="00030025" w:rsidRDefault="006E29E0" w:rsidP="00030025">
    <w:pPr>
      <w:pStyle w:val="FooterOddPage"/>
    </w:pPr>
    <w:r>
      <w:fldChar w:fldCharType="begin"/>
    </w:r>
    <w:r>
      <w:instrText xml:space="preserve"> TITLE   \* MERGEFORMAT </w:instrText>
    </w:r>
    <w:r>
      <w:fldChar w:fldCharType="separate"/>
    </w:r>
    <w:r w:rsidR="00385CB8">
      <w:t>2023-24 Strategy and Outlook</w:t>
    </w:r>
    <w:r>
      <w:fldChar w:fldCharType="end"/>
    </w:r>
    <w:r w:rsidR="00DC479B" w:rsidRPr="00030025">
      <w:tab/>
    </w:r>
    <w:r w:rsidR="00DC479B" w:rsidRPr="00030025">
      <w:tab/>
    </w:r>
    <w:r w:rsidR="00DC479B" w:rsidRPr="00030025">
      <w:fldChar w:fldCharType="begin"/>
    </w:r>
    <w:r w:rsidR="00DC479B" w:rsidRPr="00030025">
      <w:instrText xml:space="preserve"> PAGE   \* MERGEFORMAT </w:instrText>
    </w:r>
    <w:r w:rsidR="00DC479B" w:rsidRPr="00030025">
      <w:fldChar w:fldCharType="separate"/>
    </w:r>
    <w:r w:rsidR="00DC479B" w:rsidRPr="00030025">
      <w:t>1</w:t>
    </w:r>
    <w:r w:rsidR="00DC479B" w:rsidRPr="00030025">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576B" w14:textId="0475D6DF" w:rsidR="00DC479B" w:rsidRDefault="00DC479B" w:rsidP="00030025">
    <w:pPr>
      <w:pStyle w:val="FooterEvenPage"/>
    </w:pPr>
    <w:r>
      <w:fldChar w:fldCharType="begin"/>
    </w:r>
    <w:r>
      <w:instrText xml:space="preserve"> PAGE   \* MERGEFORMAT </w:instrText>
    </w:r>
    <w:r>
      <w:fldChar w:fldCharType="separate"/>
    </w:r>
    <w:r>
      <w:rPr>
        <w:noProof/>
      </w:rPr>
      <w:t>2</w:t>
    </w:r>
    <w:r>
      <w:fldChar w:fldCharType="end"/>
    </w:r>
    <w:r>
      <w:tab/>
      <w:t xml:space="preserve">Chapter </w:t>
    </w:r>
    <w:r w:rsidR="0080018A">
      <w:t>1</w:t>
    </w:r>
    <w:r>
      <w:tab/>
    </w:r>
    <w:r w:rsidR="006E29E0">
      <w:fldChar w:fldCharType="begin"/>
    </w:r>
    <w:r w:rsidR="006E29E0">
      <w:instrText xml:space="preserve"> TITLE   \* MERGEFORMAT </w:instrText>
    </w:r>
    <w:r w:rsidR="006E29E0">
      <w:fldChar w:fldCharType="separate"/>
    </w:r>
    <w:r w:rsidR="00385CB8">
      <w:t>2023-24 Strategy and Outlook</w:t>
    </w:r>
    <w:r w:rsidR="006E29E0">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BAD2" w14:textId="7CCBF999" w:rsidR="00DC479B" w:rsidRPr="00030025" w:rsidRDefault="006E29E0" w:rsidP="00030025">
    <w:pPr>
      <w:pStyle w:val="FooterOddPage"/>
    </w:pPr>
    <w:r>
      <w:fldChar w:fldCharType="begin"/>
    </w:r>
    <w:r>
      <w:instrText xml:space="preserve"> TITLE   \* MERGEFORMAT </w:instrText>
    </w:r>
    <w:r>
      <w:fldChar w:fldCharType="separate"/>
    </w:r>
    <w:r w:rsidR="00385CB8">
      <w:t>2023-24 Strategy and Outlook</w:t>
    </w:r>
    <w:r>
      <w:fldChar w:fldCharType="end"/>
    </w:r>
    <w:r w:rsidR="00DC479B" w:rsidRPr="00030025">
      <w:tab/>
      <w:t xml:space="preserve">Chapter </w:t>
    </w:r>
    <w:r w:rsidR="0080018A">
      <w:t>1</w:t>
    </w:r>
    <w:r w:rsidR="00DC479B" w:rsidRPr="00030025">
      <w:tab/>
    </w:r>
    <w:r w:rsidR="00DC479B" w:rsidRPr="00030025">
      <w:fldChar w:fldCharType="begin"/>
    </w:r>
    <w:r w:rsidR="00DC479B" w:rsidRPr="00030025">
      <w:instrText xml:space="preserve"> PAGE   \* MERGEFORMAT </w:instrText>
    </w:r>
    <w:r w:rsidR="00DC479B" w:rsidRPr="00030025">
      <w:fldChar w:fldCharType="separate"/>
    </w:r>
    <w:r w:rsidR="00DC479B" w:rsidRPr="00030025">
      <w:t>1</w:t>
    </w:r>
    <w:r w:rsidR="00DC479B" w:rsidRPr="00030025">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DDDC" w14:textId="2308F14F" w:rsidR="00346FC5" w:rsidRDefault="00346FC5" w:rsidP="00030025">
    <w:pPr>
      <w:pStyle w:val="FooterEvenPage"/>
    </w:pPr>
    <w:r>
      <w:fldChar w:fldCharType="begin"/>
    </w:r>
    <w:r>
      <w:instrText xml:space="preserve"> PAGE   \* MERGEFORMAT </w:instrText>
    </w:r>
    <w:r>
      <w:fldChar w:fldCharType="separate"/>
    </w:r>
    <w:r>
      <w:rPr>
        <w:noProof/>
      </w:rPr>
      <w:t>2</w:t>
    </w:r>
    <w:r>
      <w:fldChar w:fldCharType="end"/>
    </w:r>
    <w:r>
      <w:tab/>
      <w:t>Chapter 2</w:t>
    </w:r>
    <w:r>
      <w:tab/>
    </w:r>
    <w:r w:rsidR="006E29E0">
      <w:fldChar w:fldCharType="begin"/>
    </w:r>
    <w:r w:rsidR="006E29E0">
      <w:instrText xml:space="preserve"> TITLE   \* MERGEFORMAT </w:instrText>
    </w:r>
    <w:r w:rsidR="006E29E0">
      <w:fldChar w:fldCharType="separate"/>
    </w:r>
    <w:r w:rsidR="00385CB8">
      <w:t>2023-24 Strategy and Outlook</w:t>
    </w:r>
    <w:r w:rsidR="006E29E0">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AEB8" w14:textId="03773EFF" w:rsidR="00346FC5" w:rsidRPr="00030025" w:rsidRDefault="006E29E0" w:rsidP="00030025">
    <w:pPr>
      <w:pStyle w:val="FooterOddPage"/>
    </w:pPr>
    <w:r>
      <w:fldChar w:fldCharType="begin"/>
    </w:r>
    <w:r>
      <w:instrText xml:space="preserve"> TITLE   \* MERGEFORMAT </w:instrText>
    </w:r>
    <w:r>
      <w:fldChar w:fldCharType="separate"/>
    </w:r>
    <w:r w:rsidR="00385CB8">
      <w:t>2023-24 Strategy and Outlook</w:t>
    </w:r>
    <w:r>
      <w:fldChar w:fldCharType="end"/>
    </w:r>
    <w:r w:rsidR="00346FC5" w:rsidRPr="00030025">
      <w:tab/>
      <w:t xml:space="preserve">Chapter </w:t>
    </w:r>
    <w:r w:rsidR="00346FC5">
      <w:t>2</w:t>
    </w:r>
    <w:r w:rsidR="00346FC5" w:rsidRPr="00030025">
      <w:tab/>
    </w:r>
    <w:r w:rsidR="00346FC5" w:rsidRPr="00030025">
      <w:fldChar w:fldCharType="begin"/>
    </w:r>
    <w:r w:rsidR="00346FC5" w:rsidRPr="00030025">
      <w:instrText xml:space="preserve"> PAGE   \* MERGEFORMAT </w:instrText>
    </w:r>
    <w:r w:rsidR="00346FC5" w:rsidRPr="00030025">
      <w:fldChar w:fldCharType="separate"/>
    </w:r>
    <w:r w:rsidR="00346FC5" w:rsidRPr="00030025">
      <w:t>1</w:t>
    </w:r>
    <w:r w:rsidR="00346FC5" w:rsidRPr="0003002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C892" w14:textId="77777777" w:rsidR="00DC479B" w:rsidRDefault="00DC479B" w:rsidP="00E97E54">
      <w:r>
        <w:separator/>
      </w:r>
    </w:p>
  </w:footnote>
  <w:footnote w:type="continuationSeparator" w:id="0">
    <w:p w14:paraId="7CE4E123" w14:textId="77777777" w:rsidR="00DC479B" w:rsidRDefault="00DC479B" w:rsidP="00E97E54">
      <w:r>
        <w:continuationSeparator/>
      </w:r>
    </w:p>
  </w:footnote>
  <w:footnote w:id="1">
    <w:p w14:paraId="61B03DCC" w14:textId="77777777" w:rsidR="00346FC5" w:rsidRPr="00F9018B" w:rsidRDefault="00346FC5" w:rsidP="00346FC5">
      <w:pPr>
        <w:pStyle w:val="FootnoteText"/>
      </w:pPr>
      <w:r>
        <w:rPr>
          <w:rStyle w:val="FootnoteReference"/>
        </w:rPr>
        <w:footnoteRef/>
      </w:r>
      <w:r>
        <w:t xml:space="preserve"> </w:t>
      </w:r>
      <w:r w:rsidRPr="00F9018B">
        <w:t>The Department of Treasury and Finance maintains a set of elasticities covering the relationships between major economic parameters and revenue and expenditure lines, including superannuation, and dividends and income tax equivalents from the public financial and non-financial corporations.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23E4" w14:textId="77777777" w:rsidR="00385CB8" w:rsidRDefault="00385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DE35" w14:textId="77777777" w:rsidR="00385CB8" w:rsidRDefault="00385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C200" w14:textId="77777777" w:rsidR="00385CB8" w:rsidRDefault="00385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14E41F50"/>
    <w:multiLevelType w:val="multilevel"/>
    <w:tmpl w:val="72B2AC1C"/>
    <w:styleLink w:val="ListAlphaStyle"/>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7E55A56"/>
    <w:multiLevelType w:val="multilevel"/>
    <w:tmpl w:val="F8AA5108"/>
    <w:numStyleLink w:val="ListStyle-Bullet"/>
  </w:abstractNum>
  <w:abstractNum w:abstractNumId="5" w15:restartNumberingAfterBreak="0">
    <w:nsid w:val="1D4D5577"/>
    <w:multiLevelType w:val="hybridMultilevel"/>
    <w:tmpl w:val="EC980B9E"/>
    <w:lvl w:ilvl="0" w:tplc="58D095DA">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216C63B4"/>
    <w:multiLevelType w:val="multilevel"/>
    <w:tmpl w:val="C8BEBC58"/>
    <w:styleLink w:val="ListStyle-Number"/>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F652C0"/>
    <w:multiLevelType w:val="multilevel"/>
    <w:tmpl w:val="A566B5C6"/>
    <w:styleLink w:val="ListNumberStyle"/>
    <w:lvl w:ilvl="0">
      <w:start w:val="1"/>
      <w:numFmt w:val="decimal"/>
      <w:lvlText w:val="%1)"/>
      <w:lvlJc w:val="left"/>
      <w:pPr>
        <w:ind w:left="397" w:hanging="397"/>
      </w:pPr>
      <w:rPr>
        <w:rFonts w:hint="default"/>
      </w:rPr>
    </w:lvl>
    <w:lvl w:ilvl="1">
      <w:start w:val="1"/>
      <w:numFmt w:val="none"/>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8" w15:restartNumberingAfterBreak="0">
    <w:nsid w:val="270E0040"/>
    <w:multiLevelType w:val="multilevel"/>
    <w:tmpl w:val="C83E9E4A"/>
    <w:styleLink w:val="ListStyle-Heading"/>
    <w:lvl w:ilvl="0">
      <w:start w:val="1"/>
      <w:numFmt w:val="decimal"/>
      <w:pStyle w:val="Heading1"/>
      <w:lvlText w:val="%1."/>
      <w:lvlJc w:val="left"/>
      <w:pPr>
        <w:ind w:left="397" w:hanging="397"/>
      </w:pPr>
      <w:rPr>
        <w:rFonts w:hint="default"/>
      </w:rPr>
    </w:lvl>
    <w:lvl w:ilvl="1">
      <w:start w:val="1"/>
      <w:numFmt w:val="decimal"/>
      <w:pStyle w:val="Heading2"/>
      <w:lvlText w:val="%1.%2."/>
      <w:lvlJc w:val="left"/>
      <w:pPr>
        <w:tabs>
          <w:tab w:val="num" w:pos="1928"/>
        </w:tabs>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0A72C47"/>
    <w:multiLevelType w:val="multilevel"/>
    <w:tmpl w:val="DE3A0718"/>
    <w:styleLink w:val="ListStyle-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680" w:hanging="340"/>
      </w:pPr>
      <w:rPr>
        <w:rFonts w:hint="default"/>
      </w:rPr>
    </w:lvl>
    <w:lvl w:ilvl="2">
      <w:start w:val="1"/>
      <w:numFmt w:val="upperLetter"/>
      <w:pStyle w:val="ListAlpha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940CD5"/>
    <w:multiLevelType w:val="multilevel"/>
    <w:tmpl w:val="5E22C0F8"/>
    <w:styleLink w:val="Bulle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32A931AF"/>
    <w:multiLevelType w:val="hybridMultilevel"/>
    <w:tmpl w:val="8DDA48FC"/>
    <w:lvl w:ilvl="0" w:tplc="826E39C0">
      <w:start w:val="1"/>
      <w:numFmt w:val="bullet"/>
      <w:pStyle w:val="Note2"/>
      <w:lvlText w:val="–"/>
      <w:lvlJc w:val="left"/>
      <w:pPr>
        <w:ind w:left="1004" w:hanging="360"/>
      </w:pPr>
      <w:rPr>
        <w:rFonts w:ascii="Calibri" w:hAnsi="Calibri"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4937019"/>
    <w:multiLevelType w:val="multilevel"/>
    <w:tmpl w:val="EFCE6D40"/>
    <w:styleLink w:val="ListBulletStyle"/>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47240266"/>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695180"/>
    <w:multiLevelType w:val="multilevel"/>
    <w:tmpl w:val="5E22C0F8"/>
    <w:numStyleLink w:val="Bullet"/>
  </w:abstractNum>
  <w:abstractNum w:abstractNumId="17" w15:restartNumberingAfterBreak="0">
    <w:nsid w:val="588D5F13"/>
    <w:multiLevelType w:val="multilevel"/>
    <w:tmpl w:val="DE3A0718"/>
    <w:numStyleLink w:val="ListStyle-Alpha"/>
  </w:abstractNum>
  <w:abstractNum w:abstractNumId="18" w15:restartNumberingAfterBreak="0">
    <w:nsid w:val="5E7323D9"/>
    <w:multiLevelType w:val="multilevel"/>
    <w:tmpl w:val="F0DA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151306"/>
    <w:multiLevelType w:val="multilevel"/>
    <w:tmpl w:val="C83E9E4A"/>
    <w:numStyleLink w:val="ListStyle-Heading"/>
  </w:abstractNum>
  <w:abstractNum w:abstractNumId="20" w15:restartNumberingAfterBreak="0">
    <w:nsid w:val="799518F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D5F0314"/>
    <w:multiLevelType w:val="multilevel"/>
    <w:tmpl w:val="F8AA5108"/>
    <w:styleLink w:val="ListStyle-Bullet"/>
    <w:lvl w:ilvl="0">
      <w:start w:val="1"/>
      <w:numFmt w:val="bullet"/>
      <w:pStyle w:val="ListBullet"/>
      <w:lvlText w:val=""/>
      <w:lvlJc w:val="left"/>
      <w:pPr>
        <w:ind w:left="340" w:hanging="340"/>
      </w:pPr>
      <w:rPr>
        <w:rFonts w:ascii="Symbol" w:hAnsi="Symbol" w:hint="default"/>
        <w:color w:val="auto"/>
        <w:sz w:val="20"/>
      </w:rPr>
    </w:lvl>
    <w:lvl w:ilvl="1">
      <w:start w:val="1"/>
      <w:numFmt w:val="none"/>
      <w:pStyle w:val="ListBullet2"/>
      <w:lvlText w:val="–"/>
      <w:lvlJc w:val="left"/>
      <w:pPr>
        <w:ind w:left="680" w:hanging="340"/>
      </w:pPr>
      <w:rPr>
        <w:rFonts w:hint="default"/>
      </w:rPr>
    </w:lvl>
    <w:lvl w:ilvl="2">
      <w:start w:val="1"/>
      <w:numFmt w:val="bullet"/>
      <w:pStyle w:val="ListBullet3"/>
      <w:lvlText w:val=""/>
      <w:lvlJc w:val="left"/>
      <w:pPr>
        <w:ind w:left="1021" w:hanging="341"/>
      </w:pPr>
      <w:rPr>
        <w:rFonts w:ascii="Symbol" w:hAnsi="Symbol" w:hint="default"/>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72236738">
    <w:abstractNumId w:val="8"/>
  </w:num>
  <w:num w:numId="2" w16cid:durableId="1174610932">
    <w:abstractNumId w:val="21"/>
  </w:num>
  <w:num w:numId="3" w16cid:durableId="1865903470">
    <w:abstractNumId w:val="6"/>
  </w:num>
  <w:num w:numId="4" w16cid:durableId="1535921826">
    <w:abstractNumId w:val="11"/>
  </w:num>
  <w:num w:numId="5" w16cid:durableId="1919825845">
    <w:abstractNumId w:val="2"/>
  </w:num>
  <w:num w:numId="6" w16cid:durableId="1664164066">
    <w:abstractNumId w:val="3"/>
  </w:num>
  <w:num w:numId="7" w16cid:durableId="774179671">
    <w:abstractNumId w:val="14"/>
  </w:num>
  <w:num w:numId="8" w16cid:durableId="923997543">
    <w:abstractNumId w:val="7"/>
  </w:num>
  <w:num w:numId="9" w16cid:durableId="864563120">
    <w:abstractNumId w:val="10"/>
  </w:num>
  <w:num w:numId="10" w16cid:durableId="522476470">
    <w:abstractNumId w:val="1"/>
  </w:num>
  <w:num w:numId="11" w16cid:durableId="1802504406">
    <w:abstractNumId w:val="0"/>
  </w:num>
  <w:num w:numId="12" w16cid:durableId="484585616">
    <w:abstractNumId w:val="15"/>
  </w:num>
  <w:num w:numId="13" w16cid:durableId="352265242">
    <w:abstractNumId w:val="9"/>
  </w:num>
  <w:num w:numId="14" w16cid:durableId="1845894161">
    <w:abstractNumId w:val="20"/>
  </w:num>
  <w:num w:numId="15" w16cid:durableId="757487922">
    <w:abstractNumId w:val="19"/>
  </w:num>
  <w:num w:numId="16" w16cid:durableId="1135217654">
    <w:abstractNumId w:val="13"/>
  </w:num>
  <w:num w:numId="17" w16cid:durableId="51119325">
    <w:abstractNumId w:val="17"/>
  </w:num>
  <w:num w:numId="18" w16cid:durableId="824049768">
    <w:abstractNumId w:val="4"/>
    <w:lvlOverride w:ilvl="0">
      <w:lvl w:ilvl="0">
        <w:start w:val="1"/>
        <w:numFmt w:val="bullet"/>
        <w:pStyle w:val="ListBullet"/>
        <w:lvlText w:val=""/>
        <w:lvlJc w:val="left"/>
        <w:pPr>
          <w:ind w:left="340" w:hanging="340"/>
        </w:pPr>
        <w:rPr>
          <w:rFonts w:ascii="Symbol" w:hAnsi="Symbol" w:hint="default"/>
          <w:color w:val="000000" w:themeColor="text1"/>
          <w:sz w:val="18"/>
        </w:rPr>
      </w:lvl>
    </w:lvlOverride>
  </w:num>
  <w:num w:numId="19" w16cid:durableId="130174353">
    <w:abstractNumId w:val="18"/>
  </w:num>
  <w:num w:numId="20" w16cid:durableId="1433160052">
    <w:abstractNumId w:val="12"/>
  </w:num>
  <w:num w:numId="21" w16cid:durableId="363333857">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61464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79B"/>
    <w:rsid w:val="000010D4"/>
    <w:rsid w:val="0001123D"/>
    <w:rsid w:val="0001283D"/>
    <w:rsid w:val="00026A64"/>
    <w:rsid w:val="00030025"/>
    <w:rsid w:val="000300AC"/>
    <w:rsid w:val="000315AA"/>
    <w:rsid w:val="00075B22"/>
    <w:rsid w:val="00077877"/>
    <w:rsid w:val="000B70A9"/>
    <w:rsid w:val="000D5D15"/>
    <w:rsid w:val="000E422F"/>
    <w:rsid w:val="000E788A"/>
    <w:rsid w:val="00111F85"/>
    <w:rsid w:val="00113094"/>
    <w:rsid w:val="00167941"/>
    <w:rsid w:val="00176233"/>
    <w:rsid w:val="0018236E"/>
    <w:rsid w:val="001D077A"/>
    <w:rsid w:val="0021609B"/>
    <w:rsid w:val="00251776"/>
    <w:rsid w:val="002864B1"/>
    <w:rsid w:val="002A00A9"/>
    <w:rsid w:val="002B0296"/>
    <w:rsid w:val="002B7269"/>
    <w:rsid w:val="002D019E"/>
    <w:rsid w:val="002D0667"/>
    <w:rsid w:val="002D07C0"/>
    <w:rsid w:val="002E3132"/>
    <w:rsid w:val="00325ACF"/>
    <w:rsid w:val="003275E1"/>
    <w:rsid w:val="0033262F"/>
    <w:rsid w:val="00340489"/>
    <w:rsid w:val="003437F5"/>
    <w:rsid w:val="00346FC5"/>
    <w:rsid w:val="00355356"/>
    <w:rsid w:val="00385CB8"/>
    <w:rsid w:val="003A5AD1"/>
    <w:rsid w:val="003A7383"/>
    <w:rsid w:val="003C108A"/>
    <w:rsid w:val="003C4236"/>
    <w:rsid w:val="003C4FA8"/>
    <w:rsid w:val="003E1839"/>
    <w:rsid w:val="003E298A"/>
    <w:rsid w:val="003F5011"/>
    <w:rsid w:val="004079D2"/>
    <w:rsid w:val="004231D5"/>
    <w:rsid w:val="00423D26"/>
    <w:rsid w:val="00441320"/>
    <w:rsid w:val="00442006"/>
    <w:rsid w:val="00443F73"/>
    <w:rsid w:val="00445FCA"/>
    <w:rsid w:val="00494CF7"/>
    <w:rsid w:val="004D0A7B"/>
    <w:rsid w:val="004E7766"/>
    <w:rsid w:val="004F2257"/>
    <w:rsid w:val="004F28B2"/>
    <w:rsid w:val="005022A2"/>
    <w:rsid w:val="005064DE"/>
    <w:rsid w:val="005500D5"/>
    <w:rsid w:val="00557A7A"/>
    <w:rsid w:val="00557F21"/>
    <w:rsid w:val="005838AC"/>
    <w:rsid w:val="005A2A15"/>
    <w:rsid w:val="005D6913"/>
    <w:rsid w:val="0060738E"/>
    <w:rsid w:val="00612B77"/>
    <w:rsid w:val="006430D3"/>
    <w:rsid w:val="006454BD"/>
    <w:rsid w:val="00650552"/>
    <w:rsid w:val="00656B46"/>
    <w:rsid w:val="00661DC0"/>
    <w:rsid w:val="00664D52"/>
    <w:rsid w:val="00684E26"/>
    <w:rsid w:val="0068548B"/>
    <w:rsid w:val="0069609E"/>
    <w:rsid w:val="006C1A7D"/>
    <w:rsid w:val="006C6E17"/>
    <w:rsid w:val="006D6349"/>
    <w:rsid w:val="006E29E0"/>
    <w:rsid w:val="00701207"/>
    <w:rsid w:val="00711498"/>
    <w:rsid w:val="00711A2B"/>
    <w:rsid w:val="00717B1D"/>
    <w:rsid w:val="0075623D"/>
    <w:rsid w:val="007705BF"/>
    <w:rsid w:val="007A01E7"/>
    <w:rsid w:val="007A54B0"/>
    <w:rsid w:val="007B1F83"/>
    <w:rsid w:val="007C47C7"/>
    <w:rsid w:val="007D0C99"/>
    <w:rsid w:val="007D47EE"/>
    <w:rsid w:val="007D7F0A"/>
    <w:rsid w:val="007E2F09"/>
    <w:rsid w:val="007F2663"/>
    <w:rsid w:val="0080018A"/>
    <w:rsid w:val="008139D0"/>
    <w:rsid w:val="00816C49"/>
    <w:rsid w:val="0086685E"/>
    <w:rsid w:val="00883F7F"/>
    <w:rsid w:val="008B7857"/>
    <w:rsid w:val="008E26CD"/>
    <w:rsid w:val="00932A59"/>
    <w:rsid w:val="009567B5"/>
    <w:rsid w:val="009847FA"/>
    <w:rsid w:val="00994F29"/>
    <w:rsid w:val="009A54E0"/>
    <w:rsid w:val="009B362E"/>
    <w:rsid w:val="009C340E"/>
    <w:rsid w:val="009D59AC"/>
    <w:rsid w:val="009F2564"/>
    <w:rsid w:val="00A049A8"/>
    <w:rsid w:val="00A05E4E"/>
    <w:rsid w:val="00A17D48"/>
    <w:rsid w:val="00A22D67"/>
    <w:rsid w:val="00A343E0"/>
    <w:rsid w:val="00A37BC2"/>
    <w:rsid w:val="00A434C3"/>
    <w:rsid w:val="00A97038"/>
    <w:rsid w:val="00AA26D0"/>
    <w:rsid w:val="00AA7277"/>
    <w:rsid w:val="00AB3252"/>
    <w:rsid w:val="00AF1D2C"/>
    <w:rsid w:val="00AF2E16"/>
    <w:rsid w:val="00B9502B"/>
    <w:rsid w:val="00BB17CB"/>
    <w:rsid w:val="00BB4C74"/>
    <w:rsid w:val="00BD0108"/>
    <w:rsid w:val="00BD1E8D"/>
    <w:rsid w:val="00BD2834"/>
    <w:rsid w:val="00BE540E"/>
    <w:rsid w:val="00C00F24"/>
    <w:rsid w:val="00C02926"/>
    <w:rsid w:val="00C2494A"/>
    <w:rsid w:val="00C31E19"/>
    <w:rsid w:val="00C4445F"/>
    <w:rsid w:val="00C75EA5"/>
    <w:rsid w:val="00C91BBB"/>
    <w:rsid w:val="00CB42CA"/>
    <w:rsid w:val="00CD21CB"/>
    <w:rsid w:val="00CD42D9"/>
    <w:rsid w:val="00CF7A09"/>
    <w:rsid w:val="00D25950"/>
    <w:rsid w:val="00D43FC2"/>
    <w:rsid w:val="00D67483"/>
    <w:rsid w:val="00D87D5D"/>
    <w:rsid w:val="00DB4F3C"/>
    <w:rsid w:val="00DC479B"/>
    <w:rsid w:val="00DE4539"/>
    <w:rsid w:val="00E01C85"/>
    <w:rsid w:val="00E10DA3"/>
    <w:rsid w:val="00E311C4"/>
    <w:rsid w:val="00E5437D"/>
    <w:rsid w:val="00E5636C"/>
    <w:rsid w:val="00E641BA"/>
    <w:rsid w:val="00E97E54"/>
    <w:rsid w:val="00EC4ECB"/>
    <w:rsid w:val="00EC66AF"/>
    <w:rsid w:val="00EC7472"/>
    <w:rsid w:val="00EF68B5"/>
    <w:rsid w:val="00F04746"/>
    <w:rsid w:val="00F72C45"/>
    <w:rsid w:val="00F97A62"/>
    <w:rsid w:val="00FA3D3E"/>
    <w:rsid w:val="00FA5BB8"/>
    <w:rsid w:val="00FC379D"/>
    <w:rsid w:val="00FF34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069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4" w:unhideWhenUsed="1"/>
    <w:lsdException w:name="toc 4" w:semiHidden="1" w:uiPriority="96" w:unhideWhenUsed="1"/>
    <w:lsdException w:name="toc 5" w:semiHidden="1" w:uiPriority="96" w:unhideWhenUsed="1"/>
    <w:lsdException w:name="toc 6" w:semiHidden="1" w:uiPriority="96" w:unhideWhenUsed="1"/>
    <w:lsdException w:name="toc 7" w:semiHidden="1" w:uiPriority="96" w:unhideWhenUsed="1"/>
    <w:lsdException w:name="toc 8" w:semiHidden="1" w:uiPriority="96"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lsdException w:name="header" w:semiHidden="1" w:uiPriority="84"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iPriority="19" w:unhideWhenUsed="1" w:qFormat="1"/>
    <w:lsdException w:name="List Number" w:semiHidden="1" w:uiPriority="19" w:unhideWhenUsed="1" w:qFormat="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semiHidden="1" w:uiPriority="8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iPriority="26" w:unhideWhenUsed="1" w:qFormat="1"/>
    <w:lsdException w:name="List Continue 2" w:semiHidden="1" w:uiPriority="26" w:unhideWhenUsed="1"/>
    <w:lsdException w:name="List Continue 3" w:semiHidden="1" w:uiPriority="26" w:unhideWhenUsed="1"/>
    <w:lsdException w:name="List Continue 4" w:semiHidden="1" w:uiPriority="26" w:unhideWhenUsed="1"/>
    <w:lsdException w:name="List Continue 5" w:semiHidden="1" w:uiPriority="26" w:unhideWhenUsed="1"/>
    <w:lsdException w:name="Message Header" w:semiHidden="1" w:unhideWhenUsed="1"/>
    <w:lsdException w:name="Subtitle" w:semiHidden="1" w:uiPriority="9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8" w:qFormat="1"/>
    <w:lsdException w:name="Emphasis" w:semiHidden="1"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semiHidden="1" w:uiPriority="98"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9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FC5"/>
    <w:pPr>
      <w:keepLines/>
    </w:pPr>
  </w:style>
  <w:style w:type="paragraph" w:styleId="Heading10">
    <w:name w:val="heading 1"/>
    <w:basedOn w:val="Normal"/>
    <w:next w:val="Normal"/>
    <w:link w:val="Heading1Char"/>
    <w:uiPriority w:val="9"/>
    <w:qFormat/>
    <w:rsid w:val="00346FC5"/>
    <w:pPr>
      <w:keepNext/>
      <w:spacing w:before="360"/>
      <w:outlineLvl w:val="0"/>
    </w:pPr>
    <w:rPr>
      <w:rFonts w:asciiTheme="majorHAnsi" w:eastAsiaTheme="majorEastAsia" w:hAnsiTheme="majorHAnsi" w:cstheme="majorBidi"/>
      <w:b/>
      <w:caps/>
      <w:sz w:val="27"/>
      <w:szCs w:val="32"/>
    </w:rPr>
  </w:style>
  <w:style w:type="paragraph" w:styleId="Heading20">
    <w:name w:val="heading 2"/>
    <w:basedOn w:val="Heading10"/>
    <w:next w:val="Normal"/>
    <w:link w:val="Heading2Char"/>
    <w:uiPriority w:val="9"/>
    <w:unhideWhenUsed/>
    <w:qFormat/>
    <w:rsid w:val="00346FC5"/>
    <w:pPr>
      <w:spacing w:before="240"/>
      <w:outlineLvl w:val="1"/>
    </w:pPr>
    <w:rPr>
      <w:caps w:val="0"/>
      <w:szCs w:val="26"/>
    </w:rPr>
  </w:style>
  <w:style w:type="paragraph" w:styleId="Heading30">
    <w:name w:val="heading 3"/>
    <w:basedOn w:val="Heading20"/>
    <w:next w:val="Normal"/>
    <w:link w:val="Heading3Char"/>
    <w:uiPriority w:val="9"/>
    <w:unhideWhenUsed/>
    <w:qFormat/>
    <w:rsid w:val="00346FC5"/>
    <w:pPr>
      <w:tabs>
        <w:tab w:val="right" w:pos="7711"/>
      </w:tabs>
      <w:spacing w:after="60"/>
      <w:outlineLvl w:val="2"/>
    </w:pPr>
    <w:rPr>
      <w:sz w:val="23"/>
      <w:szCs w:val="24"/>
    </w:rPr>
  </w:style>
  <w:style w:type="paragraph" w:styleId="Heading4">
    <w:name w:val="heading 4"/>
    <w:basedOn w:val="Heading30"/>
    <w:next w:val="Normal"/>
    <w:link w:val="Heading4Char"/>
    <w:uiPriority w:val="9"/>
    <w:unhideWhenUsed/>
    <w:qFormat/>
    <w:rsid w:val="00346FC5"/>
    <w:pPr>
      <w:spacing w:before="180"/>
      <w:outlineLvl w:val="3"/>
    </w:pPr>
    <w:rPr>
      <w:b w:val="0"/>
      <w:i/>
      <w:iCs/>
      <w:sz w:val="22"/>
    </w:rPr>
  </w:style>
  <w:style w:type="paragraph" w:styleId="Heading5">
    <w:name w:val="heading 5"/>
    <w:basedOn w:val="Heading4"/>
    <w:next w:val="Normal"/>
    <w:link w:val="Heading5Char"/>
    <w:uiPriority w:val="9"/>
    <w:unhideWhenUsed/>
    <w:qFormat/>
    <w:rsid w:val="00346FC5"/>
    <w:pPr>
      <w:outlineLvl w:val="4"/>
    </w:pPr>
    <w:rPr>
      <w:b/>
      <w:i w:val="0"/>
      <w:sz w:val="19"/>
    </w:rPr>
  </w:style>
  <w:style w:type="paragraph" w:styleId="Heading6">
    <w:name w:val="heading 6"/>
    <w:basedOn w:val="Normal"/>
    <w:next w:val="Normal"/>
    <w:link w:val="Heading6Char"/>
    <w:uiPriority w:val="9"/>
    <w:semiHidden/>
    <w:qFormat/>
    <w:rsid w:val="00346FC5"/>
    <w:pPr>
      <w:keepNext/>
      <w:numPr>
        <w:ilvl w:val="5"/>
        <w:numId w:val="9"/>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46FC5"/>
    <w:pPr>
      <w:keepNext/>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6FC5"/>
    <w:pPr>
      <w:keepNext/>
      <w:spacing w:before="200"/>
      <w:ind w:left="1440" w:hanging="14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46FC5"/>
    <w:pPr>
      <w:keepNext/>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346FC5"/>
    <w:rPr>
      <w:rFonts w:asciiTheme="majorHAnsi" w:eastAsiaTheme="majorEastAsia" w:hAnsiTheme="majorHAnsi" w:cstheme="majorBidi"/>
      <w:b/>
      <w:caps/>
      <w:sz w:val="27"/>
      <w:szCs w:val="32"/>
    </w:rPr>
  </w:style>
  <w:style w:type="paragraph" w:customStyle="1" w:styleId="ChapterHeading">
    <w:name w:val="Chapter Heading"/>
    <w:basedOn w:val="Normal"/>
    <w:link w:val="ChapterHeadingChar"/>
    <w:uiPriority w:val="89"/>
    <w:qFormat/>
    <w:rsid w:val="00346FC5"/>
    <w:pPr>
      <w:keepNext/>
      <w:pBdr>
        <w:bottom w:val="single" w:sz="12" w:space="1" w:color="auto"/>
      </w:pBdr>
      <w:spacing w:before="1440" w:after="360"/>
      <w:outlineLvl w:val="0"/>
    </w:pPr>
    <w:rPr>
      <w:rFonts w:asciiTheme="majorHAnsi" w:hAnsiTheme="majorHAnsi"/>
      <w:b/>
      <w:caps/>
      <w:sz w:val="36"/>
    </w:rPr>
  </w:style>
  <w:style w:type="character" w:customStyle="1" w:styleId="Heading2Char">
    <w:name w:val="Heading 2 Char"/>
    <w:basedOn w:val="DefaultParagraphFont"/>
    <w:link w:val="Heading20"/>
    <w:uiPriority w:val="9"/>
    <w:rsid w:val="00346FC5"/>
    <w:rPr>
      <w:rFonts w:asciiTheme="majorHAnsi" w:eastAsiaTheme="majorEastAsia" w:hAnsiTheme="majorHAnsi" w:cstheme="majorBidi"/>
      <w:b/>
      <w:sz w:val="27"/>
      <w:szCs w:val="26"/>
    </w:rPr>
  </w:style>
  <w:style w:type="character" w:customStyle="1" w:styleId="Heading3Char">
    <w:name w:val="Heading 3 Char"/>
    <w:basedOn w:val="DefaultParagraphFont"/>
    <w:link w:val="Heading30"/>
    <w:uiPriority w:val="9"/>
    <w:rsid w:val="00346FC5"/>
    <w:rPr>
      <w:rFonts w:asciiTheme="majorHAnsi" w:eastAsiaTheme="majorEastAsia" w:hAnsiTheme="majorHAnsi" w:cstheme="majorBidi"/>
      <w:b/>
      <w:sz w:val="23"/>
      <w:szCs w:val="24"/>
    </w:rPr>
  </w:style>
  <w:style w:type="character" w:customStyle="1" w:styleId="Heading4Char">
    <w:name w:val="Heading 4 Char"/>
    <w:basedOn w:val="DefaultParagraphFont"/>
    <w:link w:val="Heading4"/>
    <w:uiPriority w:val="9"/>
    <w:rsid w:val="00346FC5"/>
    <w:rPr>
      <w:rFonts w:asciiTheme="majorHAnsi" w:eastAsiaTheme="majorEastAsia" w:hAnsiTheme="majorHAnsi" w:cstheme="majorBidi"/>
      <w:i/>
      <w:iCs/>
      <w:szCs w:val="24"/>
    </w:rPr>
  </w:style>
  <w:style w:type="character" w:customStyle="1" w:styleId="Heading5Char">
    <w:name w:val="Heading 5 Char"/>
    <w:basedOn w:val="DefaultParagraphFont"/>
    <w:link w:val="Heading5"/>
    <w:uiPriority w:val="9"/>
    <w:rsid w:val="00346FC5"/>
    <w:rPr>
      <w:rFonts w:asciiTheme="majorHAnsi" w:eastAsiaTheme="majorEastAsia" w:hAnsiTheme="majorHAnsi" w:cstheme="majorBidi"/>
      <w:b/>
      <w:iCs/>
      <w:sz w:val="19"/>
      <w:szCs w:val="24"/>
    </w:rPr>
  </w:style>
  <w:style w:type="numbering" w:customStyle="1" w:styleId="ListStyle-Heading">
    <w:name w:val="List Style - Heading"/>
    <w:uiPriority w:val="99"/>
    <w:rsid w:val="00346FC5"/>
    <w:pPr>
      <w:numPr>
        <w:numId w:val="1"/>
      </w:numPr>
    </w:pPr>
  </w:style>
  <w:style w:type="paragraph" w:customStyle="1" w:styleId="Heading1">
    <w:name w:val="Heading 1 [#]"/>
    <w:basedOn w:val="Heading10"/>
    <w:next w:val="Normal"/>
    <w:uiPriority w:val="5"/>
    <w:rsid w:val="00346FC5"/>
    <w:pPr>
      <w:numPr>
        <w:numId w:val="15"/>
      </w:numPr>
    </w:pPr>
  </w:style>
  <w:style w:type="paragraph" w:customStyle="1" w:styleId="Heading2">
    <w:name w:val="Heading 2 [#]"/>
    <w:basedOn w:val="Heading20"/>
    <w:next w:val="Normal"/>
    <w:uiPriority w:val="5"/>
    <w:unhideWhenUsed/>
    <w:rsid w:val="00346FC5"/>
    <w:pPr>
      <w:numPr>
        <w:ilvl w:val="1"/>
        <w:numId w:val="15"/>
      </w:numPr>
      <w:tabs>
        <w:tab w:val="right" w:pos="9582"/>
      </w:tabs>
    </w:pPr>
  </w:style>
  <w:style w:type="paragraph" w:customStyle="1" w:styleId="Heading3">
    <w:name w:val="Heading 3 [#]"/>
    <w:basedOn w:val="Heading30"/>
    <w:next w:val="Normal"/>
    <w:uiPriority w:val="5"/>
    <w:unhideWhenUsed/>
    <w:rsid w:val="00346FC5"/>
    <w:pPr>
      <w:numPr>
        <w:ilvl w:val="2"/>
        <w:numId w:val="15"/>
      </w:numPr>
    </w:pPr>
  </w:style>
  <w:style w:type="paragraph" w:styleId="ListParagraph">
    <w:name w:val="List Paragraph"/>
    <w:basedOn w:val="Normal"/>
    <w:uiPriority w:val="34"/>
    <w:qFormat/>
    <w:rsid w:val="00346FC5"/>
    <w:pPr>
      <w:spacing w:before="60" w:after="60"/>
    </w:pPr>
  </w:style>
  <w:style w:type="numbering" w:customStyle="1" w:styleId="ListStyle-Bullet">
    <w:name w:val="List Style - Bullet"/>
    <w:uiPriority w:val="99"/>
    <w:rsid w:val="00346FC5"/>
    <w:pPr>
      <w:numPr>
        <w:numId w:val="2"/>
      </w:numPr>
    </w:pPr>
  </w:style>
  <w:style w:type="paragraph" w:styleId="ListNumber">
    <w:name w:val="List Number"/>
    <w:basedOn w:val="ListParagraph"/>
    <w:uiPriority w:val="19"/>
    <w:qFormat/>
    <w:rsid w:val="00346FC5"/>
    <w:pPr>
      <w:numPr>
        <w:numId w:val="3"/>
      </w:numPr>
    </w:pPr>
  </w:style>
  <w:style w:type="paragraph" w:styleId="ListBullet">
    <w:name w:val="List Bullet"/>
    <w:basedOn w:val="ListParagraph"/>
    <w:link w:val="ListBulletChar"/>
    <w:uiPriority w:val="19"/>
    <w:qFormat/>
    <w:rsid w:val="00346FC5"/>
    <w:pPr>
      <w:numPr>
        <w:numId w:val="18"/>
      </w:numPr>
    </w:pPr>
  </w:style>
  <w:style w:type="paragraph" w:styleId="ListBullet2">
    <w:name w:val="List Bullet 2"/>
    <w:basedOn w:val="ListBullet"/>
    <w:uiPriority w:val="19"/>
    <w:unhideWhenUsed/>
    <w:rsid w:val="00346FC5"/>
    <w:pPr>
      <w:numPr>
        <w:ilvl w:val="1"/>
      </w:numPr>
    </w:pPr>
  </w:style>
  <w:style w:type="paragraph" w:styleId="ListBullet3">
    <w:name w:val="List Bullet 3"/>
    <w:basedOn w:val="ListBullet2"/>
    <w:uiPriority w:val="19"/>
    <w:unhideWhenUsed/>
    <w:rsid w:val="00346FC5"/>
    <w:pPr>
      <w:numPr>
        <w:ilvl w:val="2"/>
      </w:numPr>
    </w:pPr>
  </w:style>
  <w:style w:type="numbering" w:customStyle="1" w:styleId="ListStyle-Number">
    <w:name w:val="List Style - Number"/>
    <w:uiPriority w:val="99"/>
    <w:rsid w:val="00346FC5"/>
    <w:pPr>
      <w:numPr>
        <w:numId w:val="3"/>
      </w:numPr>
    </w:pPr>
  </w:style>
  <w:style w:type="paragraph" w:styleId="ListContinue">
    <w:name w:val="List Continue"/>
    <w:basedOn w:val="ListParagraph"/>
    <w:uiPriority w:val="26"/>
    <w:qFormat/>
    <w:rsid w:val="00346FC5"/>
    <w:pPr>
      <w:ind w:left="340"/>
    </w:pPr>
  </w:style>
  <w:style w:type="paragraph" w:styleId="ListNumber2">
    <w:name w:val="List Number 2"/>
    <w:basedOn w:val="ListNumber"/>
    <w:uiPriority w:val="19"/>
    <w:unhideWhenUsed/>
    <w:rsid w:val="00346FC5"/>
    <w:pPr>
      <w:numPr>
        <w:ilvl w:val="1"/>
      </w:numPr>
    </w:pPr>
  </w:style>
  <w:style w:type="paragraph" w:styleId="ListNumber3">
    <w:name w:val="List Number 3"/>
    <w:basedOn w:val="ListNumber2"/>
    <w:uiPriority w:val="19"/>
    <w:unhideWhenUsed/>
    <w:rsid w:val="00346FC5"/>
    <w:pPr>
      <w:numPr>
        <w:ilvl w:val="2"/>
      </w:numPr>
    </w:pPr>
  </w:style>
  <w:style w:type="paragraph" w:styleId="ListContinue2">
    <w:name w:val="List Continue 2"/>
    <w:basedOn w:val="ListContinue"/>
    <w:uiPriority w:val="26"/>
    <w:unhideWhenUsed/>
    <w:rsid w:val="00346FC5"/>
    <w:pPr>
      <w:ind w:left="680"/>
    </w:pPr>
  </w:style>
  <w:style w:type="paragraph" w:styleId="ListContinue3">
    <w:name w:val="List Continue 3"/>
    <w:basedOn w:val="ListContinue2"/>
    <w:uiPriority w:val="26"/>
    <w:unhideWhenUsed/>
    <w:rsid w:val="00346FC5"/>
    <w:pPr>
      <w:ind w:left="1021"/>
    </w:pPr>
  </w:style>
  <w:style w:type="paragraph" w:customStyle="1" w:styleId="TableHeading">
    <w:name w:val="Table Heading"/>
    <w:basedOn w:val="Caption"/>
    <w:next w:val="Normal"/>
    <w:link w:val="TableHeadingChar"/>
    <w:uiPriority w:val="49"/>
    <w:qFormat/>
    <w:rsid w:val="00346FC5"/>
    <w:pPr>
      <w:tabs>
        <w:tab w:val="left" w:pos="1021"/>
        <w:tab w:val="right" w:pos="7711"/>
      </w:tabs>
      <w:ind w:left="1021" w:hanging="1021"/>
      <w:contextualSpacing/>
    </w:pPr>
  </w:style>
  <w:style w:type="paragraph" w:customStyle="1" w:styleId="Source">
    <w:name w:val="Source"/>
    <w:basedOn w:val="Note"/>
    <w:link w:val="SourceChar"/>
    <w:uiPriority w:val="30"/>
    <w:qFormat/>
    <w:rsid w:val="00346FC5"/>
    <w:pPr>
      <w:spacing w:after="60"/>
    </w:pPr>
  </w:style>
  <w:style w:type="paragraph" w:styleId="Caption">
    <w:name w:val="caption"/>
    <w:basedOn w:val="Normal"/>
    <w:next w:val="Normal"/>
    <w:uiPriority w:val="35"/>
    <w:semiHidden/>
    <w:qFormat/>
    <w:rsid w:val="00346FC5"/>
    <w:pPr>
      <w:keepNext/>
      <w:spacing w:after="60"/>
    </w:pPr>
    <w:rPr>
      <w:rFonts w:asciiTheme="majorHAnsi" w:hAnsiTheme="majorHAnsi"/>
      <w:b/>
      <w:iCs/>
      <w:sz w:val="20"/>
      <w:szCs w:val="18"/>
    </w:rPr>
  </w:style>
  <w:style w:type="paragraph" w:customStyle="1" w:styleId="Note">
    <w:name w:val="Note"/>
    <w:basedOn w:val="Normal"/>
    <w:link w:val="NoteChar"/>
    <w:uiPriority w:val="31"/>
    <w:qFormat/>
    <w:rsid w:val="00346FC5"/>
    <w:pPr>
      <w:tabs>
        <w:tab w:val="left" w:pos="284"/>
      </w:tabs>
      <w:spacing w:before="60"/>
      <w:ind w:left="284" w:hanging="284"/>
      <w:contextualSpacing/>
    </w:pPr>
    <w:rPr>
      <w:rFonts w:asciiTheme="majorHAnsi" w:hAnsiTheme="majorHAnsi"/>
      <w:i/>
      <w:sz w:val="14"/>
    </w:rPr>
  </w:style>
  <w:style w:type="paragraph" w:customStyle="1" w:styleId="Note2">
    <w:name w:val="Note 2"/>
    <w:basedOn w:val="Note"/>
    <w:uiPriority w:val="31"/>
    <w:qFormat/>
    <w:rsid w:val="00346FC5"/>
    <w:pPr>
      <w:numPr>
        <w:numId w:val="16"/>
      </w:numPr>
    </w:pPr>
  </w:style>
  <w:style w:type="paragraph" w:customStyle="1" w:styleId="NoteContinue">
    <w:name w:val="Note Continue"/>
    <w:basedOn w:val="Note"/>
    <w:uiPriority w:val="31"/>
    <w:qFormat/>
    <w:rsid w:val="00346FC5"/>
    <w:pPr>
      <w:ind w:firstLine="0"/>
    </w:pPr>
  </w:style>
  <w:style w:type="paragraph" w:customStyle="1" w:styleId="ShadedBoxText">
    <w:name w:val="Shaded Box Text"/>
    <w:basedOn w:val="Normal"/>
    <w:uiPriority w:val="36"/>
    <w:qFormat/>
    <w:rsid w:val="00346FC5"/>
    <w:pPr>
      <w:pBdr>
        <w:top w:val="single" w:sz="6" w:space="3" w:color="auto"/>
        <w:left w:val="single" w:sz="6" w:space="4" w:color="auto"/>
        <w:bottom w:val="single" w:sz="6" w:space="3" w:color="auto"/>
        <w:right w:val="single" w:sz="6" w:space="4" w:color="auto"/>
      </w:pBdr>
      <w:shd w:val="clear" w:color="auto" w:fill="F2F2F2" w:themeFill="background1" w:themeFillShade="F2"/>
    </w:pPr>
  </w:style>
  <w:style w:type="paragraph" w:customStyle="1" w:styleId="ShadedBoxHeading">
    <w:name w:val="Shaded Box Heading"/>
    <w:basedOn w:val="ShadedBoxText"/>
    <w:next w:val="ShadedBoxText"/>
    <w:uiPriority w:val="36"/>
    <w:qFormat/>
    <w:rsid w:val="00346FC5"/>
    <w:pPr>
      <w:keepNext/>
    </w:pPr>
    <w:rPr>
      <w:rFonts w:asciiTheme="majorHAnsi" w:hAnsiTheme="majorHAnsi"/>
      <w:b/>
      <w:sz w:val="20"/>
    </w:rPr>
  </w:style>
  <w:style w:type="paragraph" w:customStyle="1" w:styleId="ShadedBoxBullet">
    <w:name w:val="Shaded Box Bullet"/>
    <w:basedOn w:val="ListBullet"/>
    <w:uiPriority w:val="36"/>
    <w:qFormat/>
    <w:rsid w:val="00346FC5"/>
    <w:pPr>
      <w:pBdr>
        <w:top w:val="single" w:sz="6" w:space="3" w:color="auto"/>
        <w:left w:val="single" w:sz="6" w:space="4" w:color="auto"/>
        <w:bottom w:val="single" w:sz="6" w:space="3" w:color="auto"/>
        <w:right w:val="single" w:sz="6" w:space="4" w:color="auto"/>
      </w:pBdr>
      <w:shd w:val="clear" w:color="auto" w:fill="F2F2F2" w:themeFill="background1" w:themeFillShade="F2"/>
    </w:pPr>
  </w:style>
  <w:style w:type="paragraph" w:customStyle="1" w:styleId="ShadedBoxBullet2">
    <w:name w:val="Shaded Box Bullet 2"/>
    <w:basedOn w:val="Normal"/>
    <w:next w:val="ShadedBoxText"/>
    <w:uiPriority w:val="36"/>
    <w:qFormat/>
    <w:rsid w:val="00346FC5"/>
    <w:pPr>
      <w:pBdr>
        <w:top w:val="single" w:sz="6" w:space="3" w:color="auto"/>
        <w:left w:val="single" w:sz="6" w:space="4" w:color="auto"/>
        <w:bottom w:val="single" w:sz="6" w:space="3" w:color="auto"/>
        <w:right w:val="single" w:sz="6" w:space="4" w:color="auto"/>
      </w:pBdr>
      <w:shd w:val="clear" w:color="auto" w:fill="F2F2F2" w:themeFill="background1" w:themeFillShade="F2"/>
      <w:tabs>
        <w:tab w:val="left" w:pos="340"/>
        <w:tab w:val="left" w:pos="680"/>
      </w:tabs>
      <w:spacing w:before="60" w:after="60"/>
      <w:ind w:left="680" w:hanging="680"/>
    </w:pPr>
  </w:style>
  <w:style w:type="paragraph" w:styleId="Footer">
    <w:name w:val="footer"/>
    <w:basedOn w:val="Normal"/>
    <w:link w:val="FooterChar"/>
    <w:uiPriority w:val="99"/>
    <w:semiHidden/>
    <w:rsid w:val="00346FC5"/>
    <w:pPr>
      <w:pBdr>
        <w:top w:val="single" w:sz="6" w:space="1" w:color="auto"/>
      </w:pBdr>
      <w:tabs>
        <w:tab w:val="center" w:pos="4820"/>
        <w:tab w:val="right" w:pos="9639"/>
      </w:tabs>
    </w:pPr>
    <w:rPr>
      <w:rFonts w:asciiTheme="majorHAnsi" w:hAnsiTheme="majorHAnsi"/>
      <w:sz w:val="18"/>
    </w:rPr>
  </w:style>
  <w:style w:type="character" w:customStyle="1" w:styleId="FooterChar">
    <w:name w:val="Footer Char"/>
    <w:basedOn w:val="DefaultParagraphFont"/>
    <w:link w:val="Footer"/>
    <w:uiPriority w:val="99"/>
    <w:semiHidden/>
    <w:rsid w:val="00346FC5"/>
    <w:rPr>
      <w:rFonts w:asciiTheme="majorHAnsi" w:hAnsiTheme="majorHAnsi"/>
      <w:sz w:val="18"/>
    </w:rPr>
  </w:style>
  <w:style w:type="paragraph" w:customStyle="1" w:styleId="FooterEvenPage">
    <w:name w:val="Footer [Even Page]"/>
    <w:basedOn w:val="Normal"/>
    <w:uiPriority w:val="99"/>
    <w:qFormat/>
    <w:rsid w:val="00346FC5"/>
    <w:pPr>
      <w:pBdr>
        <w:top w:val="single" w:sz="6" w:space="1" w:color="auto"/>
      </w:pBdr>
      <w:tabs>
        <w:tab w:val="center" w:pos="2835"/>
        <w:tab w:val="right" w:pos="7711"/>
      </w:tabs>
    </w:pPr>
    <w:rPr>
      <w:rFonts w:asciiTheme="majorHAnsi" w:hAnsiTheme="majorHAnsi"/>
      <w:sz w:val="18"/>
    </w:rPr>
  </w:style>
  <w:style w:type="paragraph" w:customStyle="1" w:styleId="FooterOddPage">
    <w:name w:val="Footer [Odd Page]"/>
    <w:basedOn w:val="Normal"/>
    <w:uiPriority w:val="99"/>
    <w:qFormat/>
    <w:rsid w:val="00346FC5"/>
    <w:pPr>
      <w:pBdr>
        <w:top w:val="single" w:sz="6" w:space="1" w:color="auto"/>
      </w:pBdr>
      <w:tabs>
        <w:tab w:val="center" w:pos="4820"/>
        <w:tab w:val="right" w:pos="7711"/>
      </w:tabs>
    </w:pPr>
    <w:rPr>
      <w:rFonts w:asciiTheme="majorHAnsi" w:hAnsiTheme="majorHAnsi"/>
      <w:sz w:val="18"/>
    </w:rPr>
  </w:style>
  <w:style w:type="paragraph" w:styleId="Header">
    <w:name w:val="header"/>
    <w:basedOn w:val="Normal"/>
    <w:link w:val="HeaderChar"/>
    <w:uiPriority w:val="84"/>
    <w:unhideWhenUsed/>
    <w:rsid w:val="00346FC5"/>
    <w:pPr>
      <w:tabs>
        <w:tab w:val="center" w:pos="4513"/>
        <w:tab w:val="right" w:pos="9026"/>
      </w:tabs>
      <w:spacing w:after="180"/>
    </w:pPr>
    <w:rPr>
      <w:rFonts w:asciiTheme="majorHAnsi" w:hAnsiTheme="majorHAnsi"/>
      <w:b/>
      <w:caps/>
      <w:color w:val="53565A"/>
    </w:rPr>
  </w:style>
  <w:style w:type="character" w:customStyle="1" w:styleId="HeaderChar">
    <w:name w:val="Header Char"/>
    <w:basedOn w:val="DefaultParagraphFont"/>
    <w:link w:val="Header"/>
    <w:uiPriority w:val="84"/>
    <w:rsid w:val="00346FC5"/>
    <w:rPr>
      <w:rFonts w:asciiTheme="majorHAnsi" w:hAnsiTheme="majorHAnsi"/>
      <w:b/>
      <w:caps/>
      <w:color w:val="53565A"/>
    </w:rPr>
  </w:style>
  <w:style w:type="paragraph" w:styleId="TOC1">
    <w:name w:val="toc 1"/>
    <w:basedOn w:val="Normal"/>
    <w:next w:val="Normal"/>
    <w:uiPriority w:val="39"/>
    <w:unhideWhenUsed/>
    <w:rsid w:val="00346FC5"/>
    <w:pPr>
      <w:keepNext/>
      <w:tabs>
        <w:tab w:val="right" w:leader="dot" w:pos="9639"/>
      </w:tabs>
    </w:pPr>
    <w:rPr>
      <w:rFonts w:asciiTheme="majorHAnsi" w:hAnsiTheme="majorHAnsi"/>
      <w:b/>
    </w:rPr>
  </w:style>
  <w:style w:type="paragraph" w:styleId="TOC2">
    <w:name w:val="toc 2"/>
    <w:basedOn w:val="TOC1"/>
    <w:autoRedefine/>
    <w:uiPriority w:val="39"/>
    <w:unhideWhenUsed/>
    <w:rsid w:val="00385CB8"/>
    <w:pPr>
      <w:spacing w:before="40"/>
      <w:ind w:left="576" w:hanging="288"/>
    </w:pPr>
    <w:rPr>
      <w:b w:val="0"/>
    </w:rPr>
  </w:style>
  <w:style w:type="paragraph" w:styleId="TOC9">
    <w:name w:val="toc 9"/>
    <w:basedOn w:val="Normal"/>
    <w:next w:val="Normal"/>
    <w:uiPriority w:val="39"/>
    <w:unhideWhenUsed/>
    <w:rsid w:val="00346FC5"/>
    <w:pPr>
      <w:tabs>
        <w:tab w:val="left" w:pos="567"/>
        <w:tab w:val="right" w:leader="dot" w:pos="3629"/>
      </w:tabs>
      <w:ind w:left="567" w:hanging="567"/>
    </w:pPr>
    <w:rPr>
      <w:sz w:val="20"/>
    </w:rPr>
  </w:style>
  <w:style w:type="table" w:customStyle="1" w:styleId="DTFTableNumeric">
    <w:name w:val="DTF Table [Numeric]"/>
    <w:basedOn w:val="TableNormal"/>
    <w:uiPriority w:val="99"/>
    <w:rsid w:val="00346FC5"/>
    <w:pPr>
      <w:spacing w:before="20" w:after="20"/>
      <w:jc w:val="right"/>
    </w:pPr>
    <w:rPr>
      <w:rFonts w:asciiTheme="majorHAnsi" w:hAnsiTheme="majorHAnsi"/>
      <w:sz w:val="17"/>
    </w:rPr>
    <w:tblPr>
      <w:tblBorders>
        <w:bottom w:val="single" w:sz="12" w:space="0" w:color="auto"/>
      </w:tblBorders>
      <w:tblCellMar>
        <w:left w:w="57" w:type="dxa"/>
        <w:right w:w="57" w:type="dxa"/>
      </w:tblCellMar>
    </w:tblPr>
    <w:tblStylePr w:type="firstRow">
      <w:rPr>
        <w:i/>
      </w:rPr>
      <w:tblPr/>
      <w:tcPr>
        <w:tcBorders>
          <w:top w:val="nil"/>
          <w:left w:val="nil"/>
          <w:bottom w:val="nil"/>
          <w:right w:val="nil"/>
          <w:insideH w:val="nil"/>
          <w:insideV w:val="nil"/>
          <w:tl2br w:val="nil"/>
          <w:tr2bl w:val="nil"/>
        </w:tcBorders>
        <w:shd w:val="clear" w:color="auto" w:fill="000000" w:themeFill="text1"/>
        <w:vAlign w:val="bottom"/>
      </w:tcPr>
    </w:tblStylePr>
    <w:tblStylePr w:type="lastRow">
      <w:rPr>
        <w:b/>
      </w:rPr>
      <w:tblPr/>
      <w:tcPr>
        <w:tcBorders>
          <w:top w:val="single" w:sz="4" w:space="0" w:color="auto"/>
          <w:bottom w:val="single" w:sz="12" w:space="0" w:color="auto"/>
        </w:tcBorders>
      </w:tcPr>
    </w:tblStylePr>
    <w:tblStylePr w:type="firstCol">
      <w:pPr>
        <w:wordWrap/>
        <w:ind w:leftChars="0" w:left="170" w:firstLineChars="0" w:hanging="170"/>
        <w:jc w:val="left"/>
      </w:pPr>
    </w:tblStylePr>
  </w:style>
  <w:style w:type="table" w:styleId="TableGrid">
    <w:name w:val="Table Grid"/>
    <w:basedOn w:val="TableNormal"/>
    <w:uiPriority w:val="59"/>
    <w:rsid w:val="0034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TFTableText">
    <w:name w:val="DTF Table [Text]"/>
    <w:basedOn w:val="TableNormal"/>
    <w:uiPriority w:val="99"/>
    <w:rsid w:val="00346FC5"/>
    <w:pPr>
      <w:spacing w:before="60" w:after="60"/>
    </w:pPr>
    <w:rPr>
      <w:rFonts w:asciiTheme="majorHAnsi" w:hAnsiTheme="majorHAnsi"/>
      <w:sz w:val="19"/>
    </w:rPr>
    <w:tblPr>
      <w:tblStyleRowBandSize w:val="1"/>
      <w:tblStyleColBandSize w:val="1"/>
      <w:tblBorders>
        <w:bottom w:val="single" w:sz="6" w:space="0" w:color="auto"/>
      </w:tblBorders>
      <w:tblCellMar>
        <w:left w:w="57" w:type="dxa"/>
        <w:right w:w="57" w:type="dxa"/>
      </w:tblCellMar>
    </w:tblPr>
    <w:tblStylePr w:type="firstRow">
      <w:pPr>
        <w:jc w:val="left"/>
      </w:pPr>
      <w:rPr>
        <w:i/>
      </w:rPr>
      <w:tblPr/>
      <w:tcPr>
        <w:tcBorders>
          <w:top w:val="nil"/>
          <w:left w:val="nil"/>
          <w:bottom w:val="nil"/>
          <w:right w:val="nil"/>
          <w:insideH w:val="nil"/>
          <w:insideV w:val="nil"/>
          <w:tl2br w:val="nil"/>
          <w:tr2bl w:val="nil"/>
        </w:tcBorders>
        <w:shd w:val="clear" w:color="auto" w:fill="000000" w:themeFill="text1"/>
        <w:vAlign w:val="bottom"/>
      </w:tcPr>
    </w:tblStylePr>
    <w:tblStylePr w:type="lastRow">
      <w:rPr>
        <w:b/>
      </w:rPr>
      <w:tblPr/>
      <w:tcPr>
        <w:tcBorders>
          <w:top w:val="single" w:sz="6" w:space="0" w:color="auto"/>
          <w:left w:val="nil"/>
          <w:bottom w:val="single" w:sz="6" w:space="0" w:color="auto"/>
          <w:right w:val="nil"/>
          <w:insideH w:val="nil"/>
          <w:insideV w:val="nil"/>
          <w:tl2br w:val="nil"/>
          <w:tr2bl w:val="nil"/>
        </w:tcBorders>
      </w:tcPr>
    </w:tblStylePr>
    <w:tblStylePr w:type="firstCol">
      <w:rPr>
        <w:b/>
      </w:rPr>
    </w:tblStylePr>
    <w:tblStylePr w:type="lastCol">
      <w:rPr>
        <w:b/>
      </w:rPr>
    </w:tblStylePr>
    <w:tblStylePr w:type="band2Vert">
      <w:tblPr/>
      <w:tcPr>
        <w:tcBorders>
          <w:top w:val="nil"/>
          <w:left w:val="single" w:sz="6" w:space="0" w:color="auto"/>
          <w:bottom w:val="single" w:sz="6" w:space="0" w:color="auto"/>
          <w:right w:val="single" w:sz="6" w:space="0" w:color="auto"/>
          <w:insideH w:val="nil"/>
          <w:insideV w:val="nil"/>
          <w:tl2br w:val="nil"/>
          <w:tr2bl w:val="nil"/>
        </w:tcBorders>
      </w:tc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tcPr>
    </w:tblStylePr>
  </w:style>
  <w:style w:type="table" w:customStyle="1" w:styleId="DTFTableShadedText">
    <w:name w:val="DTF Table [Shaded Text]"/>
    <w:basedOn w:val="DTFTableText"/>
    <w:uiPriority w:val="99"/>
    <w:rsid w:val="00346FC5"/>
    <w:tblPr>
      <w:tblBorders>
        <w:top w:val="single" w:sz="6" w:space="0" w:color="auto"/>
        <w:bottom w:val="none" w:sz="0" w:space="0" w:color="auto"/>
      </w:tblBorders>
    </w:tblPr>
    <w:tblStylePr w:type="firstRow">
      <w:pPr>
        <w:jc w:val="left"/>
      </w:pPr>
      <w:rPr>
        <w:i/>
      </w:rPr>
      <w:tblPr/>
      <w:tcPr>
        <w:tcBorders>
          <w:top w:val="nil"/>
          <w:left w:val="nil"/>
          <w:bottom w:val="nil"/>
          <w:right w:val="nil"/>
          <w:insideH w:val="nil"/>
          <w:insideV w:val="nil"/>
          <w:tl2br w:val="nil"/>
          <w:tr2bl w:val="nil"/>
        </w:tcBorders>
        <w:shd w:val="clear" w:color="auto" w:fill="000000" w:themeFill="text1"/>
        <w:vAlign w:val="bottom"/>
      </w:tcPr>
    </w:tblStylePr>
    <w:tblStylePr w:type="lastRow">
      <w:rPr>
        <w:b/>
      </w:rPr>
      <w:tblPr/>
      <w:tcPr>
        <w:tcBorders>
          <w:top w:val="single" w:sz="6" w:space="0" w:color="auto"/>
          <w:left w:val="nil"/>
          <w:bottom w:val="single" w:sz="6" w:space="0" w:color="auto"/>
          <w:right w:val="nil"/>
          <w:insideH w:val="nil"/>
          <w:insideV w:val="nil"/>
          <w:tl2br w:val="nil"/>
          <w:tr2bl w:val="nil"/>
        </w:tcBorders>
      </w:tcPr>
    </w:tblStylePr>
    <w:tblStylePr w:type="firstCol">
      <w:rPr>
        <w:b/>
      </w:rPr>
      <w:tblPr/>
      <w:tcPr>
        <w:tcBorders>
          <w:top w:val="nil"/>
          <w:left w:val="nil"/>
          <w:bottom w:val="single" w:sz="6" w:space="0" w:color="auto"/>
          <w:right w:val="nil"/>
          <w:insideH w:val="nil"/>
          <w:insideV w:val="nil"/>
          <w:tl2br w:val="nil"/>
          <w:tr2bl w:val="nil"/>
        </w:tcBorders>
        <w:shd w:val="clear" w:color="auto" w:fill="F2F2F2" w:themeFill="background1" w:themeFillShade="F2"/>
      </w:tcPr>
    </w:tblStylePr>
    <w:tblStylePr w:type="lastCol">
      <w:rPr>
        <w:b/>
      </w:rPr>
      <w:tblPr/>
      <w:tcPr>
        <w:tcBorders>
          <w:top w:val="nil"/>
          <w:left w:val="nil"/>
          <w:bottom w:val="single" w:sz="6" w:space="0" w:color="auto"/>
          <w:right w:val="nil"/>
          <w:insideH w:val="nil"/>
          <w:insideV w:val="nil"/>
          <w:tl2br w:val="nil"/>
          <w:tr2bl w:val="nil"/>
        </w:tcBorders>
        <w:shd w:val="clear" w:color="auto" w:fill="F2F2F2" w:themeFill="background1" w:themeFillShade="F2"/>
      </w:tcPr>
    </w:tblStylePr>
    <w:tblStylePr w:type="band2Vert">
      <w:tblPr/>
      <w:tcPr>
        <w:tcBorders>
          <w:top w:val="nil"/>
          <w:left w:val="nil"/>
          <w:bottom w:val="single" w:sz="6" w:space="0" w:color="auto"/>
          <w:right w:val="nil"/>
          <w:insideH w:val="nil"/>
          <w:insideV w:val="nil"/>
          <w:tl2br w:val="nil"/>
          <w:tr2bl w:val="nil"/>
        </w:tcBorders>
        <w:shd w:val="clear" w:color="auto" w:fill="F2F2F2" w:themeFill="background1" w:themeFillShade="F2"/>
      </w:tcPr>
    </w:tblStylePr>
    <w:tblStylePr w:type="band1Horz">
      <w:tblPr/>
      <w:tcPr>
        <w:tcBorders>
          <w:top w:val="single" w:sz="6" w:space="0" w:color="auto"/>
          <w:left w:val="nil"/>
          <w:bottom w:val="single" w:sz="6" w:space="0" w:color="auto"/>
          <w:right w:val="nil"/>
          <w:insideH w:val="nil"/>
          <w:insideV w:val="nil"/>
          <w:tl2br w:val="nil"/>
          <w:tr2bl w:val="nil"/>
        </w:tcBorders>
      </w:tcPr>
    </w:tblStylePr>
    <w:tblStylePr w:type="band2Horz">
      <w:tblPr/>
      <w:tcPr>
        <w:tcBorders>
          <w:top w:val="single" w:sz="6" w:space="0" w:color="auto"/>
          <w:left w:val="nil"/>
          <w:bottom w:val="single" w:sz="6" w:space="0" w:color="auto"/>
          <w:right w:val="nil"/>
          <w:insideH w:val="nil"/>
          <w:insideV w:val="nil"/>
          <w:tl2br w:val="nil"/>
          <w:tr2bl w:val="nil"/>
        </w:tcBorders>
        <w:shd w:val="clear" w:color="auto" w:fill="F2F2F2"/>
      </w:tcPr>
    </w:tblStylePr>
  </w:style>
  <w:style w:type="numbering" w:customStyle="1" w:styleId="ListStyle-Alpha">
    <w:name w:val="List Style - Alpha"/>
    <w:uiPriority w:val="99"/>
    <w:rsid w:val="00346FC5"/>
    <w:pPr>
      <w:numPr>
        <w:numId w:val="4"/>
      </w:numPr>
    </w:pPr>
  </w:style>
  <w:style w:type="paragraph" w:customStyle="1" w:styleId="ListAlpha">
    <w:name w:val="List Alpha"/>
    <w:basedOn w:val="ListParagraph"/>
    <w:uiPriority w:val="20"/>
    <w:rsid w:val="00346FC5"/>
    <w:pPr>
      <w:numPr>
        <w:numId w:val="17"/>
      </w:numPr>
    </w:pPr>
    <w:rPr>
      <w:rFonts w:eastAsia="MS Mincho"/>
    </w:rPr>
  </w:style>
  <w:style w:type="paragraph" w:customStyle="1" w:styleId="Default">
    <w:name w:val="Default"/>
    <w:autoRedefine/>
    <w:rsid w:val="00346FC5"/>
    <w:pPr>
      <w:autoSpaceDE w:val="0"/>
      <w:autoSpaceDN w:val="0"/>
      <w:adjustRightInd w:val="0"/>
      <w:spacing w:line="240" w:lineRule="atLeast"/>
    </w:pPr>
    <w:rPr>
      <w:rFonts w:eastAsia="Times New Roman" w:cs="Times New Roman"/>
      <w:color w:val="000000"/>
      <w:szCs w:val="24"/>
      <w:lang w:eastAsia="en-AU"/>
    </w:rPr>
  </w:style>
  <w:style w:type="paragraph" w:customStyle="1" w:styleId="ListAlpha2">
    <w:name w:val="List Alpha 2"/>
    <w:basedOn w:val="ListAlpha"/>
    <w:uiPriority w:val="20"/>
    <w:unhideWhenUsed/>
    <w:rsid w:val="00346FC5"/>
    <w:pPr>
      <w:numPr>
        <w:ilvl w:val="1"/>
      </w:numPr>
    </w:pPr>
  </w:style>
  <w:style w:type="paragraph" w:customStyle="1" w:styleId="ListAlpha3">
    <w:name w:val="List Alpha 3"/>
    <w:basedOn w:val="ListAlpha2"/>
    <w:uiPriority w:val="20"/>
    <w:unhideWhenUsed/>
    <w:rsid w:val="00346FC5"/>
    <w:pPr>
      <w:numPr>
        <w:ilvl w:val="2"/>
      </w:numPr>
    </w:pPr>
  </w:style>
  <w:style w:type="character" w:customStyle="1" w:styleId="Heading6Char">
    <w:name w:val="Heading 6 Char"/>
    <w:basedOn w:val="DefaultParagraphFont"/>
    <w:link w:val="Heading6"/>
    <w:uiPriority w:val="9"/>
    <w:semiHidden/>
    <w:rsid w:val="00346FC5"/>
    <w:rPr>
      <w:rFonts w:asciiTheme="majorHAnsi" w:eastAsiaTheme="majorEastAsia" w:hAnsiTheme="majorHAnsi" w:cstheme="majorBidi"/>
      <w:i/>
      <w:iCs/>
      <w:color w:val="1F3763" w:themeColor="accent1" w:themeShade="7F"/>
    </w:rPr>
  </w:style>
  <w:style w:type="paragraph" w:styleId="TOC4">
    <w:name w:val="toc 4"/>
    <w:next w:val="Normal"/>
    <w:uiPriority w:val="96"/>
    <w:rsid w:val="00346FC5"/>
    <w:pPr>
      <w:tabs>
        <w:tab w:val="left" w:pos="1021"/>
        <w:tab w:val="right" w:leader="dot" w:pos="9072"/>
      </w:tabs>
      <w:spacing w:after="100"/>
    </w:pPr>
    <w:rPr>
      <w:rFonts w:asciiTheme="majorHAnsi" w:eastAsia="MS Mincho" w:hAnsiTheme="majorHAnsi"/>
      <w:spacing w:val="2"/>
    </w:rPr>
  </w:style>
  <w:style w:type="character" w:styleId="Hyperlink">
    <w:name w:val="Hyperlink"/>
    <w:uiPriority w:val="99"/>
    <w:rsid w:val="00346FC5"/>
    <w:rPr>
      <w:color w:val="0000FF"/>
      <w:u w:val="single"/>
    </w:rPr>
  </w:style>
  <w:style w:type="table" w:styleId="LightList">
    <w:name w:val="Light List"/>
    <w:basedOn w:val="TableNormal"/>
    <w:uiPriority w:val="61"/>
    <w:rsid w:val="00346FC5"/>
    <w:rPr>
      <w:rFonts w:eastAsia="MS Minch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346FC5"/>
    <w:rPr>
      <w:rFonts w:eastAsia="MS Minch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1">
    <w:name w:val="Light List Accent 1"/>
    <w:basedOn w:val="TableNormal"/>
    <w:uiPriority w:val="61"/>
    <w:rsid w:val="00346FC5"/>
    <w:rPr>
      <w:rFonts w:eastAsia="MS Mincho"/>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Grid-Accent1">
    <w:name w:val="Light Grid Accent 1"/>
    <w:basedOn w:val="TableNormal"/>
    <w:uiPriority w:val="62"/>
    <w:rsid w:val="00346FC5"/>
    <w:rPr>
      <w:rFonts w:eastAsia="MS Mincho"/>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List-Accent2">
    <w:name w:val="Light List Accent 2"/>
    <w:basedOn w:val="TableNormal"/>
    <w:uiPriority w:val="61"/>
    <w:rsid w:val="00346FC5"/>
    <w:rPr>
      <w:rFonts w:eastAsia="MS Mincho"/>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Grid-Accent2">
    <w:name w:val="Light Grid Accent 2"/>
    <w:basedOn w:val="TableNormal"/>
    <w:uiPriority w:val="62"/>
    <w:rsid w:val="00346FC5"/>
    <w:rPr>
      <w:rFonts w:eastAsia="MS Mincho"/>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List-Accent3">
    <w:name w:val="Light List Accent 3"/>
    <w:basedOn w:val="TableNormal"/>
    <w:uiPriority w:val="61"/>
    <w:rsid w:val="00346FC5"/>
    <w:rPr>
      <w:rFonts w:eastAsia="MS Mincho"/>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Grid-Accent3">
    <w:name w:val="Light Grid Accent 3"/>
    <w:basedOn w:val="TableNormal"/>
    <w:uiPriority w:val="62"/>
    <w:rsid w:val="00346FC5"/>
    <w:rPr>
      <w:rFonts w:eastAsia="MS Mincho"/>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List-Accent4">
    <w:name w:val="Light List Accent 4"/>
    <w:basedOn w:val="TableNormal"/>
    <w:uiPriority w:val="61"/>
    <w:rsid w:val="00346FC5"/>
    <w:rPr>
      <w:rFonts w:eastAsia="MS Mincho"/>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Grid-Accent4">
    <w:name w:val="Light Grid Accent 4"/>
    <w:basedOn w:val="TableNormal"/>
    <w:uiPriority w:val="62"/>
    <w:rsid w:val="00346FC5"/>
    <w:rPr>
      <w:rFonts w:eastAsia="MS Mincho"/>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List-Accent5">
    <w:name w:val="Light List Accent 5"/>
    <w:basedOn w:val="TableNormal"/>
    <w:uiPriority w:val="61"/>
    <w:rsid w:val="00346FC5"/>
    <w:rPr>
      <w:rFonts w:eastAsia="MS Mincho"/>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Grid-Accent5">
    <w:name w:val="Light Grid Accent 5"/>
    <w:basedOn w:val="TableNormal"/>
    <w:uiPriority w:val="62"/>
    <w:rsid w:val="00346FC5"/>
    <w:rPr>
      <w:rFonts w:eastAsia="MS Mincho"/>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List-Accent6">
    <w:name w:val="Light List Accent 6"/>
    <w:basedOn w:val="TableNormal"/>
    <w:uiPriority w:val="61"/>
    <w:rsid w:val="00346FC5"/>
    <w:rPr>
      <w:rFonts w:eastAsia="MS Mincho"/>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Accent6">
    <w:name w:val="Light Grid Accent 6"/>
    <w:basedOn w:val="TableNormal"/>
    <w:uiPriority w:val="62"/>
    <w:rsid w:val="00346FC5"/>
    <w:rPr>
      <w:rFonts w:eastAsia="MS Mincho"/>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customStyle="1" w:styleId="TableHeadingChar">
    <w:name w:val="Table Heading Char"/>
    <w:basedOn w:val="DefaultParagraphFont"/>
    <w:link w:val="TableHeading"/>
    <w:uiPriority w:val="49"/>
    <w:rsid w:val="00346FC5"/>
    <w:rPr>
      <w:rFonts w:asciiTheme="majorHAnsi" w:hAnsiTheme="majorHAnsi"/>
      <w:b/>
      <w:iCs/>
      <w:sz w:val="20"/>
      <w:szCs w:val="18"/>
    </w:rPr>
  </w:style>
  <w:style w:type="character" w:customStyle="1" w:styleId="NoteChar">
    <w:name w:val="Note Char"/>
    <w:basedOn w:val="DefaultParagraphFont"/>
    <w:link w:val="Note"/>
    <w:uiPriority w:val="31"/>
    <w:rsid w:val="00346FC5"/>
    <w:rPr>
      <w:rFonts w:asciiTheme="majorHAnsi" w:hAnsiTheme="majorHAnsi"/>
      <w:i/>
      <w:sz w:val="14"/>
    </w:rPr>
  </w:style>
  <w:style w:type="paragraph" w:customStyle="1" w:styleId="NormalPageBreakBefore">
    <w:name w:val="Normal [Page Break Before]"/>
    <w:basedOn w:val="Normal"/>
    <w:next w:val="Normal"/>
    <w:qFormat/>
    <w:rsid w:val="00346FC5"/>
    <w:pPr>
      <w:pageBreakBefore/>
      <w:spacing w:before="0"/>
    </w:pPr>
  </w:style>
  <w:style w:type="paragraph" w:customStyle="1" w:styleId="NormalKeepWithNext">
    <w:name w:val="Normal [Keep With Next]"/>
    <w:basedOn w:val="Normal"/>
    <w:next w:val="Normal"/>
    <w:uiPriority w:val="1"/>
    <w:qFormat/>
    <w:rsid w:val="00346FC5"/>
    <w:pPr>
      <w:keepNext/>
    </w:pPr>
  </w:style>
  <w:style w:type="numbering" w:customStyle="1" w:styleId="A">
    <w:name w:val="(A)"/>
    <w:uiPriority w:val="99"/>
    <w:rsid w:val="00346FC5"/>
    <w:pPr>
      <w:numPr>
        <w:numId w:val="5"/>
      </w:numPr>
    </w:pPr>
  </w:style>
  <w:style w:type="paragraph" w:customStyle="1" w:styleId="DecimalAligned">
    <w:name w:val="Decimal Aligned"/>
    <w:basedOn w:val="Normal"/>
    <w:uiPriority w:val="40"/>
    <w:semiHidden/>
    <w:rsid w:val="00346FC5"/>
    <w:pPr>
      <w:tabs>
        <w:tab w:val="decimal" w:pos="360"/>
      </w:tabs>
      <w:spacing w:after="200" w:line="276" w:lineRule="auto"/>
    </w:pPr>
    <w:rPr>
      <w:rFonts w:eastAsia="MS Mincho"/>
      <w:lang w:val="en-US" w:eastAsia="ja-JP"/>
    </w:rPr>
  </w:style>
  <w:style w:type="paragraph" w:customStyle="1" w:styleId="HeadingContents">
    <w:name w:val="Heading [Contents]"/>
    <w:basedOn w:val="ChapterHeading"/>
    <w:next w:val="Normal"/>
    <w:uiPriority w:val="99"/>
    <w:semiHidden/>
    <w:rsid w:val="00346FC5"/>
    <w:pPr>
      <w:keepLines w:val="0"/>
      <w:pBdr>
        <w:bottom w:val="single" w:sz="12" w:space="7" w:color="auto"/>
      </w:pBdr>
    </w:pPr>
    <w:rPr>
      <w:rFonts w:ascii="Calibri" w:eastAsia="Times New Roman" w:hAnsi="Calibri" w:cs="Times New Roman"/>
      <w:b w:val="0"/>
      <w:caps w:val="0"/>
      <w:sz w:val="38"/>
      <w:szCs w:val="28"/>
    </w:rPr>
  </w:style>
  <w:style w:type="numbering" w:customStyle="1" w:styleId="ListAlphaStyle">
    <w:name w:val="List Alpha Style"/>
    <w:uiPriority w:val="99"/>
    <w:rsid w:val="00346FC5"/>
    <w:pPr>
      <w:numPr>
        <w:numId w:val="6"/>
      </w:numPr>
    </w:pPr>
  </w:style>
  <w:style w:type="numbering" w:customStyle="1" w:styleId="ListBulletStyle">
    <w:name w:val="List Bullet Style"/>
    <w:uiPriority w:val="99"/>
    <w:rsid w:val="00346FC5"/>
    <w:pPr>
      <w:numPr>
        <w:numId w:val="7"/>
      </w:numPr>
    </w:pPr>
  </w:style>
  <w:style w:type="numbering" w:customStyle="1" w:styleId="ListNumberStyle">
    <w:name w:val="List Number Style"/>
    <w:uiPriority w:val="99"/>
    <w:rsid w:val="00346FC5"/>
    <w:pPr>
      <w:numPr>
        <w:numId w:val="8"/>
      </w:numPr>
    </w:pPr>
  </w:style>
  <w:style w:type="paragraph" w:customStyle="1" w:styleId="ControlledEntitiesDepartment">
    <w:name w:val="Controlled Entities Department"/>
    <w:basedOn w:val="Normal"/>
    <w:next w:val="Normal"/>
    <w:uiPriority w:val="97"/>
    <w:qFormat/>
    <w:rsid w:val="00346FC5"/>
    <w:pPr>
      <w:shd w:val="clear" w:color="auto" w:fill="D9D9D9" w:themeFill="background1" w:themeFillShade="D9"/>
      <w:spacing w:before="40" w:after="20"/>
      <w:ind w:left="170" w:hanging="170"/>
    </w:pPr>
    <w:rPr>
      <w:rFonts w:asciiTheme="majorHAnsi" w:hAnsiTheme="majorHAnsi"/>
      <w:b/>
      <w:bCs/>
      <w:sz w:val="18"/>
    </w:rPr>
  </w:style>
  <w:style w:type="character" w:customStyle="1" w:styleId="Heading7Char">
    <w:name w:val="Heading 7 Char"/>
    <w:basedOn w:val="DefaultParagraphFont"/>
    <w:link w:val="Heading7"/>
    <w:uiPriority w:val="9"/>
    <w:semiHidden/>
    <w:rsid w:val="00346F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46FC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46FC5"/>
    <w:rPr>
      <w:rFonts w:asciiTheme="majorHAnsi" w:eastAsiaTheme="majorEastAsia" w:hAnsiTheme="majorHAnsi" w:cstheme="majorBidi"/>
      <w:i/>
      <w:iCs/>
      <w:color w:val="404040" w:themeColor="text1" w:themeTint="BF"/>
    </w:rPr>
  </w:style>
  <w:style w:type="paragraph" w:styleId="Index1">
    <w:name w:val="index 1"/>
    <w:basedOn w:val="Normal"/>
    <w:next w:val="Normal"/>
    <w:autoRedefine/>
    <w:uiPriority w:val="99"/>
    <w:semiHidden/>
    <w:unhideWhenUsed/>
    <w:rsid w:val="00346FC5"/>
    <w:pPr>
      <w:ind w:left="220" w:hanging="220"/>
    </w:pPr>
    <w:rPr>
      <w:rFonts w:eastAsia="MS Mincho"/>
    </w:rPr>
  </w:style>
  <w:style w:type="paragraph" w:styleId="Index2">
    <w:name w:val="index 2"/>
    <w:basedOn w:val="Normal"/>
    <w:next w:val="Normal"/>
    <w:autoRedefine/>
    <w:uiPriority w:val="99"/>
    <w:semiHidden/>
    <w:unhideWhenUsed/>
    <w:rsid w:val="00346FC5"/>
    <w:pPr>
      <w:ind w:left="440" w:hanging="220"/>
    </w:pPr>
    <w:rPr>
      <w:rFonts w:eastAsia="MS Mincho"/>
    </w:rPr>
  </w:style>
  <w:style w:type="paragraph" w:styleId="Index3">
    <w:name w:val="index 3"/>
    <w:basedOn w:val="Normal"/>
    <w:next w:val="Normal"/>
    <w:autoRedefine/>
    <w:uiPriority w:val="99"/>
    <w:semiHidden/>
    <w:unhideWhenUsed/>
    <w:rsid w:val="00346FC5"/>
    <w:pPr>
      <w:ind w:left="660" w:hanging="220"/>
    </w:pPr>
    <w:rPr>
      <w:rFonts w:eastAsia="MS Mincho"/>
    </w:rPr>
  </w:style>
  <w:style w:type="paragraph" w:styleId="Index4">
    <w:name w:val="index 4"/>
    <w:basedOn w:val="Normal"/>
    <w:next w:val="Normal"/>
    <w:autoRedefine/>
    <w:uiPriority w:val="99"/>
    <w:semiHidden/>
    <w:unhideWhenUsed/>
    <w:rsid w:val="00346FC5"/>
    <w:pPr>
      <w:ind w:left="880" w:hanging="220"/>
    </w:pPr>
    <w:rPr>
      <w:rFonts w:eastAsia="MS Mincho"/>
    </w:rPr>
  </w:style>
  <w:style w:type="paragraph" w:styleId="Index5">
    <w:name w:val="index 5"/>
    <w:basedOn w:val="Normal"/>
    <w:next w:val="Normal"/>
    <w:autoRedefine/>
    <w:uiPriority w:val="99"/>
    <w:semiHidden/>
    <w:unhideWhenUsed/>
    <w:rsid w:val="00346FC5"/>
    <w:pPr>
      <w:ind w:left="1100" w:hanging="220"/>
    </w:pPr>
    <w:rPr>
      <w:rFonts w:eastAsia="MS Mincho"/>
    </w:rPr>
  </w:style>
  <w:style w:type="paragraph" w:styleId="Index6">
    <w:name w:val="index 6"/>
    <w:basedOn w:val="Normal"/>
    <w:next w:val="Normal"/>
    <w:autoRedefine/>
    <w:uiPriority w:val="99"/>
    <w:semiHidden/>
    <w:unhideWhenUsed/>
    <w:rsid w:val="00346FC5"/>
    <w:pPr>
      <w:ind w:left="1320" w:hanging="220"/>
    </w:pPr>
    <w:rPr>
      <w:rFonts w:eastAsia="MS Mincho"/>
    </w:rPr>
  </w:style>
  <w:style w:type="paragraph" w:styleId="Index7">
    <w:name w:val="index 7"/>
    <w:basedOn w:val="Normal"/>
    <w:next w:val="Normal"/>
    <w:autoRedefine/>
    <w:uiPriority w:val="99"/>
    <w:semiHidden/>
    <w:unhideWhenUsed/>
    <w:rsid w:val="00346FC5"/>
    <w:pPr>
      <w:ind w:left="1540" w:hanging="220"/>
    </w:pPr>
    <w:rPr>
      <w:rFonts w:eastAsia="MS Mincho"/>
    </w:rPr>
  </w:style>
  <w:style w:type="paragraph" w:styleId="Index8">
    <w:name w:val="index 8"/>
    <w:basedOn w:val="Normal"/>
    <w:next w:val="Normal"/>
    <w:autoRedefine/>
    <w:uiPriority w:val="99"/>
    <w:semiHidden/>
    <w:unhideWhenUsed/>
    <w:rsid w:val="00346FC5"/>
    <w:pPr>
      <w:ind w:left="1760" w:hanging="220"/>
    </w:pPr>
    <w:rPr>
      <w:rFonts w:eastAsia="MS Mincho"/>
    </w:rPr>
  </w:style>
  <w:style w:type="paragraph" w:styleId="Index9">
    <w:name w:val="index 9"/>
    <w:basedOn w:val="Normal"/>
    <w:next w:val="Normal"/>
    <w:autoRedefine/>
    <w:uiPriority w:val="99"/>
    <w:semiHidden/>
    <w:unhideWhenUsed/>
    <w:rsid w:val="00346FC5"/>
    <w:pPr>
      <w:ind w:left="1980" w:hanging="220"/>
    </w:pPr>
    <w:rPr>
      <w:rFonts w:eastAsia="MS Mincho"/>
    </w:rPr>
  </w:style>
  <w:style w:type="paragraph" w:styleId="TOC3">
    <w:name w:val="toc 3"/>
    <w:basedOn w:val="Normal"/>
    <w:next w:val="Normal"/>
    <w:uiPriority w:val="94"/>
    <w:semiHidden/>
    <w:rsid w:val="00346FC5"/>
    <w:pPr>
      <w:spacing w:after="100"/>
      <w:ind w:left="420"/>
    </w:pPr>
    <w:rPr>
      <w:rFonts w:eastAsia="MS Mincho"/>
    </w:rPr>
  </w:style>
  <w:style w:type="paragraph" w:styleId="TOC5">
    <w:name w:val="toc 5"/>
    <w:basedOn w:val="Normal"/>
    <w:next w:val="Normal"/>
    <w:autoRedefine/>
    <w:uiPriority w:val="96"/>
    <w:semiHidden/>
    <w:rsid w:val="00346FC5"/>
    <w:pPr>
      <w:spacing w:after="100"/>
      <w:ind w:left="880"/>
    </w:pPr>
    <w:rPr>
      <w:rFonts w:eastAsia="MS Mincho"/>
    </w:rPr>
  </w:style>
  <w:style w:type="paragraph" w:styleId="TOC6">
    <w:name w:val="toc 6"/>
    <w:basedOn w:val="Normal"/>
    <w:next w:val="Normal"/>
    <w:autoRedefine/>
    <w:uiPriority w:val="96"/>
    <w:semiHidden/>
    <w:rsid w:val="00346FC5"/>
    <w:pPr>
      <w:spacing w:after="100"/>
      <w:ind w:left="1100"/>
    </w:pPr>
    <w:rPr>
      <w:rFonts w:eastAsia="MS Mincho"/>
    </w:rPr>
  </w:style>
  <w:style w:type="paragraph" w:styleId="TOC7">
    <w:name w:val="toc 7"/>
    <w:basedOn w:val="Normal"/>
    <w:next w:val="Normal"/>
    <w:autoRedefine/>
    <w:uiPriority w:val="96"/>
    <w:semiHidden/>
    <w:rsid w:val="00346FC5"/>
    <w:pPr>
      <w:spacing w:after="100"/>
      <w:ind w:left="1320"/>
    </w:pPr>
    <w:rPr>
      <w:rFonts w:eastAsia="MS Mincho"/>
    </w:rPr>
  </w:style>
  <w:style w:type="paragraph" w:styleId="TOC8">
    <w:name w:val="toc 8"/>
    <w:basedOn w:val="Normal"/>
    <w:next w:val="Normal"/>
    <w:autoRedefine/>
    <w:uiPriority w:val="96"/>
    <w:semiHidden/>
    <w:rsid w:val="00346FC5"/>
    <w:pPr>
      <w:spacing w:after="100"/>
      <w:ind w:left="1540"/>
    </w:pPr>
    <w:rPr>
      <w:rFonts w:eastAsia="MS Mincho"/>
    </w:rPr>
  </w:style>
  <w:style w:type="paragraph" w:styleId="FootnoteText">
    <w:name w:val="footnote text"/>
    <w:basedOn w:val="Normal"/>
    <w:link w:val="FootnoteTextChar"/>
    <w:uiPriority w:val="99"/>
    <w:qFormat/>
    <w:rsid w:val="00346FC5"/>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rsid w:val="00346FC5"/>
    <w:rPr>
      <w:rFonts w:eastAsiaTheme="minorEastAsia"/>
      <w:sz w:val="20"/>
      <w:lang w:val="en-US" w:eastAsia="ja-JP"/>
    </w:rPr>
  </w:style>
  <w:style w:type="paragraph" w:styleId="CommentText">
    <w:name w:val="annotation text"/>
    <w:basedOn w:val="Normal"/>
    <w:link w:val="CommentTextChar"/>
    <w:uiPriority w:val="99"/>
    <w:unhideWhenUsed/>
    <w:rsid w:val="00346FC5"/>
    <w:rPr>
      <w:sz w:val="20"/>
      <w:szCs w:val="20"/>
    </w:rPr>
  </w:style>
  <w:style w:type="character" w:customStyle="1" w:styleId="CommentTextChar">
    <w:name w:val="Comment Text Char"/>
    <w:basedOn w:val="DefaultParagraphFont"/>
    <w:link w:val="CommentText"/>
    <w:uiPriority w:val="99"/>
    <w:rsid w:val="00346FC5"/>
    <w:rPr>
      <w:sz w:val="20"/>
      <w:szCs w:val="20"/>
    </w:rPr>
  </w:style>
  <w:style w:type="paragraph" w:styleId="IndexHeading">
    <w:name w:val="index heading"/>
    <w:basedOn w:val="Normal"/>
    <w:next w:val="Index1"/>
    <w:uiPriority w:val="99"/>
    <w:semiHidden/>
    <w:unhideWhenUsed/>
    <w:rsid w:val="00346FC5"/>
    <w:rPr>
      <w:rFonts w:asciiTheme="majorHAnsi" w:eastAsiaTheme="majorEastAsia" w:hAnsiTheme="majorHAnsi" w:cstheme="majorBidi"/>
      <w:b/>
      <w:bCs/>
    </w:rPr>
  </w:style>
  <w:style w:type="paragraph" w:styleId="TableofFigures">
    <w:name w:val="table of figures"/>
    <w:basedOn w:val="Normal"/>
    <w:next w:val="Normal"/>
    <w:uiPriority w:val="99"/>
    <w:semiHidden/>
    <w:unhideWhenUsed/>
    <w:rsid w:val="00346FC5"/>
    <w:rPr>
      <w:rFonts w:eastAsia="MS Mincho"/>
    </w:rPr>
  </w:style>
  <w:style w:type="paragraph" w:styleId="EnvelopeAddress">
    <w:name w:val="envelope address"/>
    <w:basedOn w:val="Normal"/>
    <w:uiPriority w:val="99"/>
    <w:semiHidden/>
    <w:unhideWhenUsed/>
    <w:rsid w:val="00346FC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6FC5"/>
    <w:rPr>
      <w:rFonts w:asciiTheme="majorHAnsi" w:eastAsiaTheme="majorEastAsia" w:hAnsiTheme="majorHAnsi" w:cstheme="majorBidi"/>
      <w:sz w:val="20"/>
      <w:szCs w:val="20"/>
    </w:rPr>
  </w:style>
  <w:style w:type="character" w:styleId="FootnoteReference">
    <w:name w:val="footnote reference"/>
    <w:basedOn w:val="DefaultParagraphFont"/>
    <w:uiPriority w:val="99"/>
    <w:unhideWhenUsed/>
    <w:rsid w:val="00346FC5"/>
    <w:rPr>
      <w:vertAlign w:val="superscript"/>
    </w:rPr>
  </w:style>
  <w:style w:type="character" w:styleId="CommentReference">
    <w:name w:val="annotation reference"/>
    <w:basedOn w:val="DefaultParagraphFont"/>
    <w:uiPriority w:val="99"/>
    <w:semiHidden/>
    <w:unhideWhenUsed/>
    <w:rsid w:val="00346FC5"/>
    <w:rPr>
      <w:sz w:val="16"/>
      <w:szCs w:val="16"/>
    </w:rPr>
  </w:style>
  <w:style w:type="character" w:styleId="LineNumber">
    <w:name w:val="line number"/>
    <w:basedOn w:val="DefaultParagraphFont"/>
    <w:uiPriority w:val="99"/>
    <w:semiHidden/>
    <w:unhideWhenUsed/>
    <w:rsid w:val="00346FC5"/>
  </w:style>
  <w:style w:type="character" w:styleId="EndnoteReference">
    <w:name w:val="endnote reference"/>
    <w:basedOn w:val="DefaultParagraphFont"/>
    <w:uiPriority w:val="99"/>
    <w:semiHidden/>
    <w:unhideWhenUsed/>
    <w:rsid w:val="00346FC5"/>
    <w:rPr>
      <w:vertAlign w:val="superscript"/>
    </w:rPr>
  </w:style>
  <w:style w:type="paragraph" w:styleId="EndnoteText">
    <w:name w:val="endnote text"/>
    <w:basedOn w:val="Normal"/>
    <w:link w:val="EndnoteTextChar"/>
    <w:uiPriority w:val="99"/>
    <w:semiHidden/>
    <w:unhideWhenUsed/>
    <w:rsid w:val="00346FC5"/>
    <w:rPr>
      <w:rFonts w:eastAsia="MS Mincho"/>
      <w:sz w:val="20"/>
      <w:szCs w:val="20"/>
    </w:rPr>
  </w:style>
  <w:style w:type="character" w:customStyle="1" w:styleId="EndnoteTextChar">
    <w:name w:val="Endnote Text Char"/>
    <w:basedOn w:val="DefaultParagraphFont"/>
    <w:link w:val="EndnoteText"/>
    <w:uiPriority w:val="99"/>
    <w:semiHidden/>
    <w:rsid w:val="00346FC5"/>
    <w:rPr>
      <w:rFonts w:eastAsia="MS Mincho"/>
      <w:sz w:val="20"/>
      <w:szCs w:val="20"/>
    </w:rPr>
  </w:style>
  <w:style w:type="paragraph" w:styleId="TableofAuthorities">
    <w:name w:val="table of authorities"/>
    <w:basedOn w:val="Normal"/>
    <w:next w:val="Normal"/>
    <w:uiPriority w:val="99"/>
    <w:semiHidden/>
    <w:unhideWhenUsed/>
    <w:rsid w:val="00346FC5"/>
    <w:pPr>
      <w:ind w:left="220" w:hanging="220"/>
    </w:pPr>
    <w:rPr>
      <w:rFonts w:eastAsia="MS Mincho"/>
    </w:rPr>
  </w:style>
  <w:style w:type="paragraph" w:styleId="MacroText">
    <w:name w:val="macro"/>
    <w:link w:val="MacroTextChar"/>
    <w:uiPriority w:val="99"/>
    <w:semiHidden/>
    <w:unhideWhenUsed/>
    <w:rsid w:val="00346FC5"/>
    <w:pPr>
      <w:keepLines/>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cs="Consolas"/>
      <w:sz w:val="20"/>
      <w:szCs w:val="20"/>
    </w:rPr>
  </w:style>
  <w:style w:type="character" w:customStyle="1" w:styleId="MacroTextChar">
    <w:name w:val="Macro Text Char"/>
    <w:basedOn w:val="DefaultParagraphFont"/>
    <w:link w:val="MacroText"/>
    <w:uiPriority w:val="99"/>
    <w:semiHidden/>
    <w:rsid w:val="00346FC5"/>
    <w:rPr>
      <w:rFonts w:ascii="Consolas" w:eastAsia="MS Mincho" w:hAnsi="Consolas" w:cs="Consolas"/>
      <w:sz w:val="20"/>
      <w:szCs w:val="20"/>
    </w:rPr>
  </w:style>
  <w:style w:type="paragraph" w:styleId="TOAHeading">
    <w:name w:val="toa heading"/>
    <w:basedOn w:val="Normal"/>
    <w:next w:val="Normal"/>
    <w:uiPriority w:val="99"/>
    <w:semiHidden/>
    <w:unhideWhenUsed/>
    <w:rsid w:val="00346FC5"/>
    <w:rPr>
      <w:rFonts w:asciiTheme="majorHAnsi" w:eastAsiaTheme="majorEastAsia" w:hAnsiTheme="majorHAnsi" w:cstheme="majorBidi"/>
      <w:b/>
      <w:bCs/>
      <w:sz w:val="24"/>
      <w:szCs w:val="24"/>
    </w:rPr>
  </w:style>
  <w:style w:type="paragraph" w:styleId="List2">
    <w:name w:val="List 2"/>
    <w:basedOn w:val="Normal"/>
    <w:uiPriority w:val="29"/>
    <w:semiHidden/>
    <w:rsid w:val="00346FC5"/>
    <w:pPr>
      <w:ind w:left="566" w:hanging="283"/>
      <w:contextualSpacing/>
    </w:pPr>
    <w:rPr>
      <w:rFonts w:eastAsia="MS Mincho"/>
    </w:rPr>
  </w:style>
  <w:style w:type="paragraph" w:styleId="List3">
    <w:name w:val="List 3"/>
    <w:basedOn w:val="Normal"/>
    <w:uiPriority w:val="29"/>
    <w:semiHidden/>
    <w:unhideWhenUsed/>
    <w:rsid w:val="00346FC5"/>
    <w:pPr>
      <w:ind w:left="849" w:hanging="283"/>
      <w:contextualSpacing/>
    </w:pPr>
    <w:rPr>
      <w:rFonts w:eastAsia="MS Mincho"/>
    </w:rPr>
  </w:style>
  <w:style w:type="paragraph" w:styleId="List4">
    <w:name w:val="List 4"/>
    <w:basedOn w:val="Normal"/>
    <w:uiPriority w:val="29"/>
    <w:semiHidden/>
    <w:unhideWhenUsed/>
    <w:rsid w:val="00346FC5"/>
    <w:pPr>
      <w:ind w:left="1132" w:hanging="283"/>
      <w:contextualSpacing/>
    </w:pPr>
    <w:rPr>
      <w:rFonts w:eastAsia="MS Mincho"/>
    </w:rPr>
  </w:style>
  <w:style w:type="paragraph" w:styleId="List5">
    <w:name w:val="List 5"/>
    <w:basedOn w:val="Normal"/>
    <w:uiPriority w:val="29"/>
    <w:semiHidden/>
    <w:unhideWhenUsed/>
    <w:rsid w:val="00346FC5"/>
    <w:pPr>
      <w:ind w:left="1415" w:hanging="283"/>
      <w:contextualSpacing/>
    </w:pPr>
    <w:rPr>
      <w:rFonts w:eastAsia="MS Mincho"/>
    </w:rPr>
  </w:style>
  <w:style w:type="paragraph" w:styleId="ListBullet4">
    <w:name w:val="List Bullet 4"/>
    <w:basedOn w:val="Normal"/>
    <w:uiPriority w:val="19"/>
    <w:semiHidden/>
    <w:unhideWhenUsed/>
    <w:rsid w:val="00346FC5"/>
    <w:pPr>
      <w:numPr>
        <w:numId w:val="10"/>
      </w:numPr>
      <w:contextualSpacing/>
    </w:pPr>
    <w:rPr>
      <w:rFonts w:eastAsia="MS Mincho"/>
    </w:rPr>
  </w:style>
  <w:style w:type="paragraph" w:styleId="ListBullet5">
    <w:name w:val="List Bullet 5"/>
    <w:basedOn w:val="Normal"/>
    <w:uiPriority w:val="19"/>
    <w:semiHidden/>
    <w:unhideWhenUsed/>
    <w:rsid w:val="00346FC5"/>
    <w:pPr>
      <w:numPr>
        <w:numId w:val="11"/>
      </w:numPr>
      <w:contextualSpacing/>
    </w:pPr>
    <w:rPr>
      <w:rFonts w:eastAsia="MS Mincho"/>
    </w:rPr>
  </w:style>
  <w:style w:type="paragraph" w:styleId="ListNumber4">
    <w:name w:val="List Number 4"/>
    <w:basedOn w:val="Normal"/>
    <w:uiPriority w:val="19"/>
    <w:semiHidden/>
    <w:unhideWhenUsed/>
    <w:rsid w:val="00346FC5"/>
    <w:pPr>
      <w:ind w:left="1136" w:hanging="284"/>
      <w:contextualSpacing/>
    </w:pPr>
    <w:rPr>
      <w:rFonts w:eastAsia="MS Mincho"/>
    </w:rPr>
  </w:style>
  <w:style w:type="paragraph" w:styleId="ListNumber5">
    <w:name w:val="List Number 5"/>
    <w:basedOn w:val="Normal"/>
    <w:uiPriority w:val="19"/>
    <w:semiHidden/>
    <w:unhideWhenUsed/>
    <w:rsid w:val="00346FC5"/>
    <w:pPr>
      <w:ind w:left="1420" w:hanging="284"/>
      <w:contextualSpacing/>
    </w:pPr>
    <w:rPr>
      <w:rFonts w:eastAsia="MS Mincho"/>
    </w:rPr>
  </w:style>
  <w:style w:type="paragraph" w:styleId="Closing">
    <w:name w:val="Closing"/>
    <w:basedOn w:val="Normal"/>
    <w:link w:val="ClosingChar"/>
    <w:uiPriority w:val="99"/>
    <w:semiHidden/>
    <w:unhideWhenUsed/>
    <w:rsid w:val="00346FC5"/>
    <w:pPr>
      <w:ind w:left="4252"/>
    </w:pPr>
    <w:rPr>
      <w:rFonts w:eastAsia="MS Mincho"/>
    </w:rPr>
  </w:style>
  <w:style w:type="character" w:customStyle="1" w:styleId="ClosingChar">
    <w:name w:val="Closing Char"/>
    <w:basedOn w:val="DefaultParagraphFont"/>
    <w:link w:val="Closing"/>
    <w:uiPriority w:val="99"/>
    <w:semiHidden/>
    <w:rsid w:val="00346FC5"/>
    <w:rPr>
      <w:rFonts w:eastAsia="MS Mincho"/>
    </w:rPr>
  </w:style>
  <w:style w:type="paragraph" w:styleId="Signature">
    <w:name w:val="Signature"/>
    <w:basedOn w:val="Normal"/>
    <w:link w:val="SignatureChar"/>
    <w:uiPriority w:val="99"/>
    <w:semiHidden/>
    <w:unhideWhenUsed/>
    <w:rsid w:val="00346FC5"/>
    <w:pPr>
      <w:ind w:left="4252"/>
    </w:pPr>
    <w:rPr>
      <w:rFonts w:eastAsia="MS Mincho"/>
    </w:rPr>
  </w:style>
  <w:style w:type="character" w:customStyle="1" w:styleId="SignatureChar">
    <w:name w:val="Signature Char"/>
    <w:basedOn w:val="DefaultParagraphFont"/>
    <w:link w:val="Signature"/>
    <w:uiPriority w:val="99"/>
    <w:semiHidden/>
    <w:rsid w:val="00346FC5"/>
    <w:rPr>
      <w:rFonts w:eastAsia="MS Mincho"/>
    </w:rPr>
  </w:style>
  <w:style w:type="paragraph" w:styleId="BodyText">
    <w:name w:val="Body Text"/>
    <w:basedOn w:val="Normal"/>
    <w:link w:val="BodyTextChar"/>
    <w:uiPriority w:val="4"/>
    <w:semiHidden/>
    <w:unhideWhenUsed/>
    <w:rsid w:val="00346FC5"/>
    <w:rPr>
      <w:rFonts w:eastAsia="MS Mincho"/>
    </w:rPr>
  </w:style>
  <w:style w:type="character" w:customStyle="1" w:styleId="BodyTextChar">
    <w:name w:val="Body Text Char"/>
    <w:basedOn w:val="DefaultParagraphFont"/>
    <w:link w:val="BodyText"/>
    <w:uiPriority w:val="4"/>
    <w:semiHidden/>
    <w:rsid w:val="00346FC5"/>
    <w:rPr>
      <w:rFonts w:eastAsia="MS Mincho"/>
    </w:rPr>
  </w:style>
  <w:style w:type="paragraph" w:styleId="BodyTextIndent">
    <w:name w:val="Body Text Indent"/>
    <w:basedOn w:val="Normal"/>
    <w:link w:val="BodyTextIndentChar"/>
    <w:uiPriority w:val="99"/>
    <w:semiHidden/>
    <w:unhideWhenUsed/>
    <w:rsid w:val="00346FC5"/>
    <w:pPr>
      <w:ind w:left="283"/>
    </w:pPr>
    <w:rPr>
      <w:rFonts w:eastAsia="MS Mincho"/>
    </w:rPr>
  </w:style>
  <w:style w:type="character" w:customStyle="1" w:styleId="BodyTextIndentChar">
    <w:name w:val="Body Text Indent Char"/>
    <w:basedOn w:val="DefaultParagraphFont"/>
    <w:link w:val="BodyTextIndent"/>
    <w:uiPriority w:val="99"/>
    <w:semiHidden/>
    <w:rsid w:val="00346FC5"/>
    <w:rPr>
      <w:rFonts w:eastAsia="MS Mincho"/>
    </w:rPr>
  </w:style>
  <w:style w:type="paragraph" w:styleId="ListContinue4">
    <w:name w:val="List Continue 4"/>
    <w:basedOn w:val="Normal"/>
    <w:uiPriority w:val="26"/>
    <w:semiHidden/>
    <w:unhideWhenUsed/>
    <w:rsid w:val="00346FC5"/>
    <w:pPr>
      <w:ind w:left="1132"/>
      <w:contextualSpacing/>
    </w:pPr>
    <w:rPr>
      <w:rFonts w:eastAsia="MS Mincho"/>
    </w:rPr>
  </w:style>
  <w:style w:type="paragraph" w:styleId="ListContinue5">
    <w:name w:val="List Continue 5"/>
    <w:basedOn w:val="Normal"/>
    <w:uiPriority w:val="26"/>
    <w:semiHidden/>
    <w:unhideWhenUsed/>
    <w:rsid w:val="00346FC5"/>
    <w:pPr>
      <w:ind w:left="1415"/>
      <w:contextualSpacing/>
    </w:pPr>
    <w:rPr>
      <w:rFonts w:eastAsia="MS Mincho"/>
    </w:rPr>
  </w:style>
  <w:style w:type="paragraph" w:styleId="Date">
    <w:name w:val="Date"/>
    <w:basedOn w:val="Normal"/>
    <w:next w:val="Normal"/>
    <w:link w:val="DateChar"/>
    <w:uiPriority w:val="99"/>
    <w:semiHidden/>
    <w:unhideWhenUsed/>
    <w:rsid w:val="00346FC5"/>
    <w:rPr>
      <w:rFonts w:eastAsia="MS Mincho"/>
    </w:rPr>
  </w:style>
  <w:style w:type="character" w:customStyle="1" w:styleId="DateChar">
    <w:name w:val="Date Char"/>
    <w:basedOn w:val="DefaultParagraphFont"/>
    <w:link w:val="Date"/>
    <w:uiPriority w:val="99"/>
    <w:semiHidden/>
    <w:rsid w:val="00346FC5"/>
    <w:rPr>
      <w:rFonts w:eastAsia="MS Mincho"/>
    </w:rPr>
  </w:style>
  <w:style w:type="paragraph" w:styleId="BodyTextFirstIndent">
    <w:name w:val="Body Text First Indent"/>
    <w:basedOn w:val="BodyText"/>
    <w:link w:val="BodyTextFirstIndentChar"/>
    <w:uiPriority w:val="99"/>
    <w:semiHidden/>
    <w:unhideWhenUsed/>
    <w:rsid w:val="00346FC5"/>
    <w:pPr>
      <w:ind w:firstLine="360"/>
    </w:pPr>
  </w:style>
  <w:style w:type="character" w:customStyle="1" w:styleId="BodyTextFirstIndentChar">
    <w:name w:val="Body Text First Indent Char"/>
    <w:basedOn w:val="BodyTextChar"/>
    <w:link w:val="BodyTextFirstIndent"/>
    <w:uiPriority w:val="99"/>
    <w:semiHidden/>
    <w:rsid w:val="00346FC5"/>
    <w:rPr>
      <w:rFonts w:eastAsia="MS Mincho"/>
    </w:rPr>
  </w:style>
  <w:style w:type="paragraph" w:styleId="BodyTextFirstIndent2">
    <w:name w:val="Body Text First Indent 2"/>
    <w:basedOn w:val="BodyTextIndent"/>
    <w:link w:val="BodyTextFirstIndent2Char"/>
    <w:uiPriority w:val="99"/>
    <w:semiHidden/>
    <w:unhideWhenUsed/>
    <w:rsid w:val="00346FC5"/>
    <w:pPr>
      <w:ind w:left="360" w:firstLine="360"/>
    </w:pPr>
  </w:style>
  <w:style w:type="character" w:customStyle="1" w:styleId="BodyTextFirstIndent2Char">
    <w:name w:val="Body Text First Indent 2 Char"/>
    <w:basedOn w:val="BodyTextIndentChar"/>
    <w:link w:val="BodyTextFirstIndent2"/>
    <w:uiPriority w:val="99"/>
    <w:semiHidden/>
    <w:rsid w:val="00346FC5"/>
    <w:rPr>
      <w:rFonts w:eastAsia="MS Mincho"/>
    </w:rPr>
  </w:style>
  <w:style w:type="paragraph" w:styleId="BodyText2">
    <w:name w:val="Body Text 2"/>
    <w:basedOn w:val="Normal"/>
    <w:link w:val="BodyText2Char"/>
    <w:uiPriority w:val="99"/>
    <w:semiHidden/>
    <w:unhideWhenUsed/>
    <w:rsid w:val="00346FC5"/>
    <w:pPr>
      <w:spacing w:line="480" w:lineRule="auto"/>
    </w:pPr>
    <w:rPr>
      <w:rFonts w:eastAsia="MS Mincho"/>
    </w:rPr>
  </w:style>
  <w:style w:type="character" w:customStyle="1" w:styleId="BodyText2Char">
    <w:name w:val="Body Text 2 Char"/>
    <w:basedOn w:val="DefaultParagraphFont"/>
    <w:link w:val="BodyText2"/>
    <w:uiPriority w:val="99"/>
    <w:semiHidden/>
    <w:rsid w:val="00346FC5"/>
    <w:rPr>
      <w:rFonts w:eastAsia="MS Mincho"/>
    </w:rPr>
  </w:style>
  <w:style w:type="paragraph" w:styleId="BodyText3">
    <w:name w:val="Body Text 3"/>
    <w:basedOn w:val="Normal"/>
    <w:link w:val="BodyText3Char"/>
    <w:uiPriority w:val="99"/>
    <w:semiHidden/>
    <w:unhideWhenUsed/>
    <w:rsid w:val="00346FC5"/>
    <w:rPr>
      <w:rFonts w:eastAsia="MS Mincho"/>
      <w:sz w:val="16"/>
      <w:szCs w:val="16"/>
    </w:rPr>
  </w:style>
  <w:style w:type="character" w:customStyle="1" w:styleId="BodyText3Char">
    <w:name w:val="Body Text 3 Char"/>
    <w:basedOn w:val="DefaultParagraphFont"/>
    <w:link w:val="BodyText3"/>
    <w:uiPriority w:val="99"/>
    <w:semiHidden/>
    <w:rsid w:val="00346FC5"/>
    <w:rPr>
      <w:rFonts w:eastAsia="MS Mincho"/>
      <w:sz w:val="16"/>
      <w:szCs w:val="16"/>
    </w:rPr>
  </w:style>
  <w:style w:type="paragraph" w:styleId="BodyTextIndent2">
    <w:name w:val="Body Text Indent 2"/>
    <w:basedOn w:val="Normal"/>
    <w:link w:val="BodyTextIndent2Char"/>
    <w:uiPriority w:val="99"/>
    <w:semiHidden/>
    <w:unhideWhenUsed/>
    <w:rsid w:val="00346FC5"/>
    <w:pPr>
      <w:spacing w:line="480" w:lineRule="auto"/>
      <w:ind w:left="283"/>
    </w:pPr>
    <w:rPr>
      <w:rFonts w:eastAsia="MS Mincho"/>
    </w:rPr>
  </w:style>
  <w:style w:type="character" w:customStyle="1" w:styleId="BodyTextIndent2Char">
    <w:name w:val="Body Text Indent 2 Char"/>
    <w:basedOn w:val="DefaultParagraphFont"/>
    <w:link w:val="BodyTextIndent2"/>
    <w:uiPriority w:val="99"/>
    <w:semiHidden/>
    <w:rsid w:val="00346FC5"/>
    <w:rPr>
      <w:rFonts w:eastAsia="MS Mincho"/>
    </w:rPr>
  </w:style>
  <w:style w:type="paragraph" w:styleId="BodyTextIndent3">
    <w:name w:val="Body Text Indent 3"/>
    <w:basedOn w:val="Normal"/>
    <w:link w:val="BodyTextIndent3Char"/>
    <w:uiPriority w:val="99"/>
    <w:semiHidden/>
    <w:unhideWhenUsed/>
    <w:rsid w:val="00346FC5"/>
    <w:pPr>
      <w:ind w:left="283"/>
    </w:pPr>
    <w:rPr>
      <w:rFonts w:eastAsia="MS Mincho"/>
      <w:sz w:val="16"/>
      <w:szCs w:val="16"/>
    </w:rPr>
  </w:style>
  <w:style w:type="character" w:customStyle="1" w:styleId="BodyTextIndent3Char">
    <w:name w:val="Body Text Indent 3 Char"/>
    <w:basedOn w:val="DefaultParagraphFont"/>
    <w:link w:val="BodyTextIndent3"/>
    <w:uiPriority w:val="99"/>
    <w:semiHidden/>
    <w:rsid w:val="00346FC5"/>
    <w:rPr>
      <w:rFonts w:eastAsia="MS Mincho"/>
      <w:sz w:val="16"/>
      <w:szCs w:val="16"/>
    </w:rPr>
  </w:style>
  <w:style w:type="paragraph" w:styleId="BlockText">
    <w:name w:val="Block Text"/>
    <w:basedOn w:val="Normal"/>
    <w:uiPriority w:val="99"/>
    <w:semiHidden/>
    <w:unhideWhenUsed/>
    <w:rsid w:val="00346FC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character" w:styleId="FollowedHyperlink">
    <w:name w:val="FollowedHyperlink"/>
    <w:basedOn w:val="DefaultParagraphFont"/>
    <w:uiPriority w:val="99"/>
    <w:semiHidden/>
    <w:unhideWhenUsed/>
    <w:rsid w:val="00346FC5"/>
    <w:rPr>
      <w:color w:val="954F72" w:themeColor="followedHyperlink"/>
      <w:u w:val="single"/>
    </w:rPr>
  </w:style>
  <w:style w:type="paragraph" w:styleId="DocumentMap">
    <w:name w:val="Document Map"/>
    <w:basedOn w:val="Normal"/>
    <w:link w:val="DocumentMapChar"/>
    <w:uiPriority w:val="99"/>
    <w:semiHidden/>
    <w:unhideWhenUsed/>
    <w:rsid w:val="00346FC5"/>
    <w:rPr>
      <w:rFonts w:ascii="Tahoma" w:eastAsia="MS Mincho" w:hAnsi="Tahoma" w:cs="Tahoma"/>
      <w:sz w:val="16"/>
      <w:szCs w:val="16"/>
    </w:rPr>
  </w:style>
  <w:style w:type="character" w:customStyle="1" w:styleId="DocumentMapChar">
    <w:name w:val="Document Map Char"/>
    <w:basedOn w:val="DefaultParagraphFont"/>
    <w:link w:val="DocumentMap"/>
    <w:uiPriority w:val="99"/>
    <w:semiHidden/>
    <w:rsid w:val="00346FC5"/>
    <w:rPr>
      <w:rFonts w:ascii="Tahoma" w:eastAsia="MS Mincho" w:hAnsi="Tahoma" w:cs="Tahoma"/>
      <w:sz w:val="16"/>
      <w:szCs w:val="16"/>
    </w:rPr>
  </w:style>
  <w:style w:type="paragraph" w:styleId="E-mailSignature">
    <w:name w:val="E-mail Signature"/>
    <w:basedOn w:val="Normal"/>
    <w:link w:val="E-mailSignatureChar"/>
    <w:uiPriority w:val="99"/>
    <w:semiHidden/>
    <w:unhideWhenUsed/>
    <w:rsid w:val="00346FC5"/>
    <w:rPr>
      <w:rFonts w:eastAsia="MS Mincho"/>
    </w:rPr>
  </w:style>
  <w:style w:type="character" w:customStyle="1" w:styleId="E-mailSignatureChar">
    <w:name w:val="E-mail Signature Char"/>
    <w:basedOn w:val="DefaultParagraphFont"/>
    <w:link w:val="E-mailSignature"/>
    <w:uiPriority w:val="99"/>
    <w:semiHidden/>
    <w:rsid w:val="00346FC5"/>
    <w:rPr>
      <w:rFonts w:eastAsia="MS Mincho"/>
    </w:rPr>
  </w:style>
  <w:style w:type="paragraph" w:styleId="CommentSubject">
    <w:name w:val="annotation subject"/>
    <w:basedOn w:val="Normal"/>
    <w:next w:val="Normal"/>
    <w:link w:val="CommentSubjectChar"/>
    <w:uiPriority w:val="99"/>
    <w:semiHidden/>
    <w:unhideWhenUsed/>
    <w:rsid w:val="00346FC5"/>
    <w:rPr>
      <w:b/>
      <w:bCs/>
    </w:rPr>
  </w:style>
  <w:style w:type="character" w:customStyle="1" w:styleId="CommentSubjectChar">
    <w:name w:val="Comment Subject Char"/>
    <w:basedOn w:val="DefaultParagraphFont"/>
    <w:link w:val="CommentSubject"/>
    <w:uiPriority w:val="99"/>
    <w:semiHidden/>
    <w:rsid w:val="00346FC5"/>
    <w:rPr>
      <w:b/>
      <w:bCs/>
    </w:rPr>
  </w:style>
  <w:style w:type="numbering" w:styleId="1ai">
    <w:name w:val="Outline List 1"/>
    <w:basedOn w:val="NoList"/>
    <w:uiPriority w:val="99"/>
    <w:semiHidden/>
    <w:unhideWhenUsed/>
    <w:rsid w:val="00346FC5"/>
    <w:pPr>
      <w:numPr>
        <w:numId w:val="12"/>
      </w:numPr>
    </w:pPr>
  </w:style>
  <w:style w:type="numbering" w:styleId="111111">
    <w:name w:val="Outline List 2"/>
    <w:basedOn w:val="NoList"/>
    <w:uiPriority w:val="99"/>
    <w:semiHidden/>
    <w:unhideWhenUsed/>
    <w:rsid w:val="00346FC5"/>
    <w:pPr>
      <w:numPr>
        <w:numId w:val="13"/>
      </w:numPr>
    </w:pPr>
  </w:style>
  <w:style w:type="numbering" w:styleId="ArticleSection">
    <w:name w:val="Outline List 3"/>
    <w:basedOn w:val="NoList"/>
    <w:uiPriority w:val="99"/>
    <w:semiHidden/>
    <w:unhideWhenUsed/>
    <w:rsid w:val="00346FC5"/>
    <w:pPr>
      <w:numPr>
        <w:numId w:val="14"/>
      </w:numPr>
    </w:pPr>
  </w:style>
  <w:style w:type="table" w:styleId="TableProfessional">
    <w:name w:val="Table Professional"/>
    <w:basedOn w:val="TableNormal"/>
    <w:uiPriority w:val="99"/>
    <w:semiHidden/>
    <w:unhideWhenUsed/>
    <w:rsid w:val="00346FC5"/>
    <w:pPr>
      <w:keepLines/>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uiPriority w:val="99"/>
    <w:semiHidden/>
    <w:unhideWhenUsed/>
    <w:rsid w:val="00346FC5"/>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346FC5"/>
    <w:rPr>
      <w:rFonts w:ascii="Tahoma" w:eastAsia="MS Mincho" w:hAnsi="Tahoma" w:cs="Tahoma"/>
      <w:sz w:val="16"/>
      <w:szCs w:val="16"/>
    </w:rPr>
  </w:style>
  <w:style w:type="table" w:styleId="TableTheme">
    <w:name w:val="Table Theme"/>
    <w:basedOn w:val="TableNormal"/>
    <w:uiPriority w:val="99"/>
    <w:semiHidden/>
    <w:unhideWhenUsed/>
    <w:rsid w:val="00346FC5"/>
    <w:pPr>
      <w:keepLines/>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6FC5"/>
    <w:rPr>
      <w:color w:val="808080"/>
    </w:rPr>
  </w:style>
  <w:style w:type="paragraph" w:styleId="Bibliography">
    <w:name w:val="Bibliography"/>
    <w:basedOn w:val="Normal"/>
    <w:next w:val="Normal"/>
    <w:uiPriority w:val="37"/>
    <w:semiHidden/>
    <w:unhideWhenUsed/>
    <w:rsid w:val="00346FC5"/>
    <w:rPr>
      <w:rFonts w:eastAsia="MS Mincho"/>
    </w:rPr>
  </w:style>
  <w:style w:type="paragraph" w:styleId="TOCHeading">
    <w:name w:val="TOC Heading"/>
    <w:basedOn w:val="Heading10"/>
    <w:next w:val="Normal"/>
    <w:uiPriority w:val="90"/>
    <w:semiHidden/>
    <w:unhideWhenUsed/>
    <w:rsid w:val="00346FC5"/>
    <w:pPr>
      <w:pBdr>
        <w:bottom w:val="single" w:sz="12" w:space="1" w:color="auto"/>
      </w:pBdr>
      <w:spacing w:before="480"/>
      <w:outlineLvl w:val="9"/>
    </w:pPr>
    <w:rPr>
      <w:bCs/>
      <w:caps w:val="0"/>
      <w:color w:val="2F5496" w:themeColor="accent1" w:themeShade="BF"/>
      <w:sz w:val="28"/>
      <w:szCs w:val="28"/>
    </w:rPr>
  </w:style>
  <w:style w:type="character" w:customStyle="1" w:styleId="SourceChar">
    <w:name w:val="Source Char"/>
    <w:link w:val="Source"/>
    <w:uiPriority w:val="30"/>
    <w:locked/>
    <w:rsid w:val="00346FC5"/>
    <w:rPr>
      <w:rFonts w:asciiTheme="majorHAnsi" w:hAnsiTheme="majorHAnsi"/>
      <w:i/>
      <w:sz w:val="14"/>
    </w:rPr>
  </w:style>
  <w:style w:type="character" w:styleId="UnresolvedMention">
    <w:name w:val="Unresolved Mention"/>
    <w:basedOn w:val="DefaultParagraphFont"/>
    <w:uiPriority w:val="99"/>
    <w:unhideWhenUsed/>
    <w:rsid w:val="00E01C85"/>
    <w:rPr>
      <w:color w:val="605E5C"/>
      <w:shd w:val="clear" w:color="auto" w:fill="E1DFDD"/>
    </w:rPr>
  </w:style>
  <w:style w:type="character" w:styleId="Mention">
    <w:name w:val="Mention"/>
    <w:basedOn w:val="DefaultParagraphFont"/>
    <w:uiPriority w:val="99"/>
    <w:unhideWhenUsed/>
    <w:rsid w:val="00E01C85"/>
    <w:rPr>
      <w:color w:val="2B579A"/>
      <w:shd w:val="clear" w:color="auto" w:fill="E1DFDD"/>
    </w:rPr>
  </w:style>
  <w:style w:type="paragraph" w:styleId="Revision">
    <w:name w:val="Revision"/>
    <w:hidden/>
    <w:uiPriority w:val="99"/>
    <w:semiHidden/>
    <w:rsid w:val="00E01C85"/>
    <w:pPr>
      <w:spacing w:before="0"/>
    </w:pPr>
  </w:style>
  <w:style w:type="paragraph" w:customStyle="1" w:styleId="HighlightBoxText">
    <w:name w:val="Highlight Box Text"/>
    <w:basedOn w:val="Normal"/>
    <w:link w:val="HighlightBoxTextChar"/>
    <w:uiPriority w:val="59"/>
    <w:qFormat/>
    <w:rsid w:val="00E01C85"/>
    <w:pPr>
      <w:keepNext/>
      <w:pBdr>
        <w:top w:val="single" w:sz="6" w:space="1" w:color="auto"/>
        <w:left w:val="single" w:sz="6" w:space="4" w:color="auto"/>
        <w:bottom w:val="single" w:sz="6" w:space="1" w:color="auto"/>
        <w:right w:val="single" w:sz="6" w:space="4" w:color="auto"/>
      </w:pBdr>
      <w:shd w:val="clear" w:color="auto" w:fill="F2F2F2" w:themeFill="background1" w:themeFillShade="F2"/>
      <w:tabs>
        <w:tab w:val="left" w:pos="851"/>
        <w:tab w:val="left" w:pos="1134"/>
      </w:tabs>
    </w:pPr>
  </w:style>
  <w:style w:type="character" w:customStyle="1" w:styleId="HighlightBoxTextChar">
    <w:name w:val="Highlight Box Text Char"/>
    <w:basedOn w:val="DefaultParagraphFont"/>
    <w:link w:val="HighlightBoxText"/>
    <w:uiPriority w:val="59"/>
    <w:rsid w:val="00E01C85"/>
    <w:rPr>
      <w:shd w:val="clear" w:color="auto" w:fill="F2F2F2" w:themeFill="background1" w:themeFillShade="F2"/>
    </w:rPr>
  </w:style>
  <w:style w:type="paragraph" w:customStyle="1" w:styleId="Chartheading">
    <w:name w:val="Chart heading"/>
    <w:basedOn w:val="TableHeading"/>
    <w:next w:val="Normal"/>
    <w:link w:val="ChartheadingChar"/>
    <w:qFormat/>
    <w:rsid w:val="00E01C85"/>
    <w:pPr>
      <w:keepLines w:val="0"/>
      <w:tabs>
        <w:tab w:val="clear" w:pos="1021"/>
        <w:tab w:val="clear" w:pos="7711"/>
      </w:tabs>
      <w:spacing w:before="240" w:after="120"/>
      <w:ind w:left="1152" w:hanging="1152"/>
      <w:contextualSpacing w:val="0"/>
    </w:pPr>
    <w:rPr>
      <w:rFonts w:ascii="Calibri" w:eastAsia="Times New Roman" w:hAnsi="Calibri" w:cs="Times New Roman"/>
      <w:iCs w:val="0"/>
      <w:sz w:val="22"/>
      <w:szCs w:val="20"/>
    </w:rPr>
  </w:style>
  <w:style w:type="character" w:customStyle="1" w:styleId="ChartheadingChar">
    <w:name w:val="Chart heading Char"/>
    <w:link w:val="Chartheading"/>
    <w:locked/>
    <w:rsid w:val="00E01C85"/>
    <w:rPr>
      <w:rFonts w:ascii="Calibri" w:eastAsia="Times New Roman" w:hAnsi="Calibri" w:cs="Times New Roman"/>
      <w:b/>
      <w:szCs w:val="20"/>
    </w:rPr>
  </w:style>
  <w:style w:type="character" w:customStyle="1" w:styleId="ui-provider">
    <w:name w:val="ui-provider"/>
    <w:basedOn w:val="DefaultParagraphFont"/>
    <w:rsid w:val="00E01C85"/>
  </w:style>
  <w:style w:type="paragraph" w:customStyle="1" w:styleId="ShadedBoxNote">
    <w:name w:val="Shaded Box Note"/>
    <w:basedOn w:val="ShadedBoxText"/>
    <w:uiPriority w:val="36"/>
    <w:qFormat/>
    <w:rsid w:val="00E01C85"/>
    <w:pPr>
      <w:tabs>
        <w:tab w:val="left" w:pos="284"/>
      </w:tabs>
      <w:spacing w:before="60"/>
      <w:contextualSpacing/>
    </w:pPr>
    <w:rPr>
      <w:rFonts w:asciiTheme="majorHAnsi" w:hAnsiTheme="majorHAnsi"/>
      <w:i/>
      <w:sz w:val="14"/>
    </w:rPr>
  </w:style>
  <w:style w:type="paragraph" w:customStyle="1" w:styleId="heading100">
    <w:name w:val="heading 10"/>
    <w:basedOn w:val="Heading10"/>
    <w:next w:val="Normal"/>
    <w:uiPriority w:val="5"/>
    <w:rsid w:val="00346FC5"/>
    <w:pPr>
      <w:ind w:left="340" w:hanging="340"/>
    </w:pPr>
  </w:style>
  <w:style w:type="paragraph" w:customStyle="1" w:styleId="heading200">
    <w:name w:val="heading 20"/>
    <w:basedOn w:val="Heading20"/>
    <w:next w:val="Normal"/>
    <w:uiPriority w:val="5"/>
    <w:unhideWhenUsed/>
    <w:rsid w:val="00346FC5"/>
    <w:pPr>
      <w:tabs>
        <w:tab w:val="num" w:pos="1928"/>
        <w:tab w:val="right" w:pos="9582"/>
      </w:tabs>
      <w:ind w:left="680" w:hanging="340"/>
    </w:pPr>
  </w:style>
  <w:style w:type="paragraph" w:customStyle="1" w:styleId="heading300">
    <w:name w:val="heading 30"/>
    <w:basedOn w:val="Heading30"/>
    <w:next w:val="Normal"/>
    <w:uiPriority w:val="5"/>
    <w:unhideWhenUsed/>
    <w:rsid w:val="00346FC5"/>
    <w:pPr>
      <w:ind w:left="1021" w:hanging="341"/>
    </w:pPr>
  </w:style>
  <w:style w:type="character" w:customStyle="1" w:styleId="normaltextrun">
    <w:name w:val="normaltextrun"/>
    <w:basedOn w:val="DefaultParagraphFont"/>
    <w:rsid w:val="00346FC5"/>
  </w:style>
  <w:style w:type="numbering" w:customStyle="1" w:styleId="Bullet">
    <w:name w:val="Bullet"/>
    <w:uiPriority w:val="99"/>
    <w:rsid w:val="00346FC5"/>
    <w:pPr>
      <w:numPr>
        <w:numId w:val="20"/>
      </w:numPr>
    </w:pPr>
  </w:style>
  <w:style w:type="character" w:customStyle="1" w:styleId="ListBulletChar">
    <w:name w:val="List Bullet Char"/>
    <w:basedOn w:val="DefaultParagraphFont"/>
    <w:link w:val="ListBullet"/>
    <w:uiPriority w:val="19"/>
    <w:rsid w:val="00346FC5"/>
  </w:style>
  <w:style w:type="table" w:customStyle="1" w:styleId="DTFTable">
    <w:name w:val="DTF Table"/>
    <w:basedOn w:val="TableNormal"/>
    <w:uiPriority w:val="99"/>
    <w:rsid w:val="00346FC5"/>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7E6E6" w:themeFill="background2"/>
      </w:tcPr>
    </w:tblStylePr>
    <w:tblStylePr w:type="band1Horz">
      <w:tblPr/>
      <w:tcPr>
        <w:shd w:val="clear" w:color="auto" w:fill="E7E6E6" w:themeFill="background2"/>
      </w:tcPr>
    </w:tblStylePr>
    <w:tblStylePr w:type="band2Horz">
      <w:tblPr/>
      <w:tcPr>
        <w:shd w:val="clear" w:color="auto" w:fill="FFFFFF" w:themeFill="background1"/>
      </w:tcPr>
    </w:tblStylePr>
  </w:style>
  <w:style w:type="character" w:customStyle="1" w:styleId="ChapterHeadingChar">
    <w:name w:val="Chapter Heading Char"/>
    <w:basedOn w:val="DefaultParagraphFont"/>
    <w:link w:val="ChapterHeading"/>
    <w:uiPriority w:val="89"/>
    <w:rsid w:val="007B1F83"/>
    <w:rPr>
      <w:rFonts w:asciiTheme="majorHAnsi" w:hAnsiTheme="majorHAnsi"/>
      <w:b/>
      <w:cap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chart" Target="charts/chart5.xml"/><Relationship Id="rId39" Type="http://schemas.openxmlformats.org/officeDocument/2006/relationships/chart" Target="charts/chart16.xml"/><Relationship Id="rId21" Type="http://schemas.openxmlformats.org/officeDocument/2006/relationships/footer" Target="footer5.xml"/><Relationship Id="rId34" Type="http://schemas.openxmlformats.org/officeDocument/2006/relationships/chart" Target="charts/chart11.xml"/><Relationship Id="rId42" Type="http://schemas.openxmlformats.org/officeDocument/2006/relationships/image" Target="media/image3.png"/><Relationship Id="rId47" Type="http://schemas.openxmlformats.org/officeDocument/2006/relationships/chart" Target="charts/chart19.xml"/><Relationship Id="rId50" Type="http://schemas.openxmlformats.org/officeDocument/2006/relationships/footer" Target="footer14.xml"/><Relationship Id="rId55" Type="http://schemas.openxmlformats.org/officeDocument/2006/relationships/footer" Target="footer1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chart" Target="charts/chart6.xml"/><Relationship Id="rId41" Type="http://schemas.openxmlformats.org/officeDocument/2006/relationships/footer" Target="footer9.xml"/><Relationship Id="rId54"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3.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footer" Target="footer8.xml"/><Relationship Id="rId45" Type="http://schemas.openxmlformats.org/officeDocument/2006/relationships/footer" Target="footer11.xml"/><Relationship Id="rId53" Type="http://schemas.openxmlformats.org/officeDocument/2006/relationships/footer" Target="footer16.xml"/><Relationship Id="rId58" Type="http://schemas.openxmlformats.org/officeDocument/2006/relationships/hyperlink" Target="https://dtf.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hart" Target="charts/chart2.xml"/><Relationship Id="rId28" Type="http://schemas.openxmlformats.org/officeDocument/2006/relationships/footer" Target="footer7.xml"/><Relationship Id="rId36" Type="http://schemas.openxmlformats.org/officeDocument/2006/relationships/chart" Target="charts/chart13.xml"/><Relationship Id="rId49" Type="http://schemas.openxmlformats.org/officeDocument/2006/relationships/footer" Target="footer13.xml"/><Relationship Id="rId57" Type="http://schemas.openxmlformats.org/officeDocument/2006/relationships/hyperlink" Target="mailto:information@dtf.vic.gov.au" TargetMode="Externa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chart" Target="charts/chart8.xml"/><Relationship Id="rId44" Type="http://schemas.openxmlformats.org/officeDocument/2006/relationships/footer" Target="footer10.xml"/><Relationship Id="rId52" Type="http://schemas.openxmlformats.org/officeDocument/2006/relationships/chart" Target="charts/chart20.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hart" Target="charts/chart1.xml"/><Relationship Id="rId27" Type="http://schemas.openxmlformats.org/officeDocument/2006/relationships/footer" Target="footer6.xml"/><Relationship Id="rId30" Type="http://schemas.openxmlformats.org/officeDocument/2006/relationships/chart" Target="charts/chart7.xml"/><Relationship Id="rId35" Type="http://schemas.openxmlformats.org/officeDocument/2006/relationships/chart" Target="charts/chart12.xml"/><Relationship Id="rId43" Type="http://schemas.openxmlformats.org/officeDocument/2006/relationships/chart" Target="charts/chart17.xml"/><Relationship Id="rId48" Type="http://schemas.openxmlformats.org/officeDocument/2006/relationships/footer" Target="footer12.xml"/><Relationship Id="rId56" Type="http://schemas.openxmlformats.org/officeDocument/2006/relationships/footer" Target="footer19.xml"/><Relationship Id="rId8" Type="http://schemas.openxmlformats.org/officeDocument/2006/relationships/settings" Target="settings.xml"/><Relationship Id="rId51" Type="http://schemas.openxmlformats.org/officeDocument/2006/relationships/footer" Target="footer15.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chart" Target="charts/chart4.xml"/><Relationship Id="rId33" Type="http://schemas.openxmlformats.org/officeDocument/2006/relationships/chart" Target="charts/chart10.xml"/><Relationship Id="rId38" Type="http://schemas.openxmlformats.org/officeDocument/2006/relationships/chart" Target="charts/chart15.xml"/><Relationship Id="rId46" Type="http://schemas.openxmlformats.org/officeDocument/2006/relationships/chart" Target="charts/chart18.xml"/><Relationship Id="rId59" Type="http://schemas.openxmlformats.org/officeDocument/2006/relationships/footer" Target="footer20.xm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NULL"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NULL"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4.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286092671583719E-2"/>
          <c:y val="4.6413502109704644E-2"/>
          <c:w val="0.89494069257560438"/>
          <c:h val="0.67846672646931794"/>
        </c:manualLayout>
      </c:layout>
      <c:barChart>
        <c:barDir val="col"/>
        <c:grouping val="clustered"/>
        <c:varyColors val="0"/>
        <c:ser>
          <c:idx val="1"/>
          <c:order val="0"/>
          <c:tx>
            <c:v>Australia</c:v>
          </c:tx>
          <c:spPr>
            <a:solidFill>
              <a:schemeClr val="bg1">
                <a:lumMod val="65000"/>
              </a:schemeClr>
            </a:solidFill>
            <a:ln>
              <a:noFill/>
            </a:ln>
            <a:effectLst/>
          </c:spPr>
          <c:invertIfNegative val="0"/>
          <c:cat>
            <c:strRef>
              <c:f>'Year avg GSP'!$A$36:$A$48</c:f>
              <c:strCache>
                <c:ptCount val="13"/>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strCache>
            </c:strRef>
          </c:cat>
          <c:val>
            <c:numRef>
              <c:f>'Year avg GSP'!$H$36:$H$48</c:f>
              <c:numCache>
                <c:formatCode>0;\-0;0;@</c:formatCode>
                <c:ptCount val="13"/>
                <c:pt idx="0">
                  <c:v>2.1527913245491135</c:v>
                </c:pt>
                <c:pt idx="1">
                  <c:v>2.7305465107573639</c:v>
                </c:pt>
                <c:pt idx="2" formatCode="0.0;\-0.0;0.0;@">
                  <c:v>2.2821296285539034</c:v>
                </c:pt>
                <c:pt idx="3" formatCode="0.0;\-0.0;0.0;@">
                  <c:v>2.8830451234768333</c:v>
                </c:pt>
                <c:pt idx="4" formatCode="0.0;\-0.0;0.0;@">
                  <c:v>2.1713962244835017</c:v>
                </c:pt>
                <c:pt idx="5" formatCode="0.0;\-0.0;0.0;@">
                  <c:v>-5.0885336083894117E-2</c:v>
                </c:pt>
                <c:pt idx="6" formatCode="0.0;\-0.0;0.0;@">
                  <c:v>2.2362124394446141</c:v>
                </c:pt>
                <c:pt idx="7" formatCode="0.0;\-0.0;0.0;@">
                  <c:v>3.6848346414832776</c:v>
                </c:pt>
                <c:pt idx="8" formatCode="0.00;\-0.00;0.00;@">
                  <c:v>3.25</c:v>
                </c:pt>
                <c:pt idx="9" formatCode="0.00;\-0.00;0.00;@">
                  <c:v>1.5</c:v>
                </c:pt>
                <c:pt idx="10" formatCode="0.00;\-0.00;0.00;@">
                  <c:v>2.25</c:v>
                </c:pt>
                <c:pt idx="11" formatCode="0.00;\-0.00;0.00;@">
                  <c:v>2.75</c:v>
                </c:pt>
                <c:pt idx="12" formatCode="0.00;\-0.00;0.00;@">
                  <c:v>2.75</c:v>
                </c:pt>
              </c:numCache>
            </c:numRef>
          </c:val>
          <c:extLst>
            <c:ext xmlns:c16="http://schemas.microsoft.com/office/drawing/2014/chart" uri="{C3380CC4-5D6E-409C-BE32-E72D297353CC}">
              <c16:uniqueId val="{00000000-3888-46E0-A4EC-16AF599F80EE}"/>
            </c:ext>
          </c:extLst>
        </c:ser>
        <c:ser>
          <c:idx val="0"/>
          <c:order val="1"/>
          <c:tx>
            <c:v>Victoria</c:v>
          </c:tx>
          <c:spPr>
            <a:solidFill>
              <a:schemeClr val="tx1">
                <a:lumMod val="65000"/>
                <a:lumOff val="35000"/>
              </a:schemeClr>
            </a:solidFill>
            <a:ln>
              <a:noFill/>
            </a:ln>
            <a:effectLst/>
          </c:spPr>
          <c:invertIfNegative val="0"/>
          <c:cat>
            <c:strRef>
              <c:f>'Year avg GSP'!$A$36:$A$48</c:f>
              <c:strCache>
                <c:ptCount val="13"/>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strCache>
            </c:strRef>
          </c:cat>
          <c:val>
            <c:numRef>
              <c:f>'Year avg GSP'!$G$36:$G$48</c:f>
              <c:numCache>
                <c:formatCode>0;\-0;0;@</c:formatCode>
                <c:ptCount val="13"/>
                <c:pt idx="0">
                  <c:v>2.7638128791552363</c:v>
                </c:pt>
                <c:pt idx="1">
                  <c:v>3.4045247605083873</c:v>
                </c:pt>
                <c:pt idx="2" formatCode="0.0;\-0.0;0.0;@">
                  <c:v>3.8074505238649525</c:v>
                </c:pt>
                <c:pt idx="3" formatCode="0.0;\-0.0;0.0;@">
                  <c:v>3.357833187171555</c:v>
                </c:pt>
                <c:pt idx="4" formatCode="0.0;\-0.0;0.0;@">
                  <c:v>3.0573494436053616</c:v>
                </c:pt>
                <c:pt idx="5" formatCode="0.0;\-0.0;0.0;@">
                  <c:v>0.12612836456360466</c:v>
                </c:pt>
                <c:pt idx="6" formatCode="0.0;\-0.0;0.0;@">
                  <c:v>-0.25299046080855536</c:v>
                </c:pt>
                <c:pt idx="7" formatCode="0.0;\-0.0;0.0;@">
                  <c:v>5.6062608974318398</c:v>
                </c:pt>
                <c:pt idx="8" formatCode="0.00;\-0.00;0.00;@">
                  <c:v>2.75</c:v>
                </c:pt>
                <c:pt idx="9" formatCode="0.00;\-0.00;0.00;@">
                  <c:v>1.5</c:v>
                </c:pt>
                <c:pt idx="10" formatCode="0.00;\-0.00;0.00;@">
                  <c:v>2.5</c:v>
                </c:pt>
                <c:pt idx="11" formatCode="0.00;\-0.00;0.00;@">
                  <c:v>2.75</c:v>
                </c:pt>
                <c:pt idx="12" formatCode="0.00;\-0.00;0.00;@">
                  <c:v>2.75</c:v>
                </c:pt>
              </c:numCache>
            </c:numRef>
          </c:val>
          <c:extLst>
            <c:ext xmlns:c16="http://schemas.microsoft.com/office/drawing/2014/chart" uri="{C3380CC4-5D6E-409C-BE32-E72D297353CC}">
              <c16:uniqueId val="{00000001-3888-46E0-A4EC-16AF599F80EE}"/>
            </c:ext>
          </c:extLst>
        </c:ser>
        <c:dLbls>
          <c:showLegendKey val="0"/>
          <c:showVal val="0"/>
          <c:showCatName val="0"/>
          <c:showSerName val="0"/>
          <c:showPercent val="0"/>
          <c:showBubbleSize val="0"/>
        </c:dLbls>
        <c:gapWidth val="219"/>
        <c:overlap val="-27"/>
        <c:axId val="1315918880"/>
        <c:axId val="1315920192"/>
      </c:barChart>
      <c:catAx>
        <c:axId val="1315918880"/>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1315920192"/>
        <c:crosses val="autoZero"/>
        <c:auto val="1"/>
        <c:lblAlgn val="ctr"/>
        <c:lblOffset val="100"/>
        <c:tickLblSkip val="1"/>
        <c:noMultiLvlLbl val="0"/>
      </c:catAx>
      <c:valAx>
        <c:axId val="1315920192"/>
        <c:scaling>
          <c:orientation val="minMax"/>
        </c:scaling>
        <c:delete val="0"/>
        <c:axPos val="l"/>
        <c:majorGridlines>
          <c:spPr>
            <a:ln w="9525" cap="flat" cmpd="sng" algn="ctr">
              <a:solidFill>
                <a:schemeClr val="bg1">
                  <a:lumMod val="65000"/>
                </a:schemeClr>
              </a:solidFill>
              <a:prstDash val="dash"/>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1315918880"/>
        <c:crosses val="autoZero"/>
        <c:crossBetween val="between"/>
      </c:valAx>
      <c:spPr>
        <a:noFill/>
        <a:ln>
          <a:noFill/>
        </a:ln>
        <a:effectLst/>
      </c:spPr>
    </c:plotArea>
    <c:legend>
      <c:legendPos val="b"/>
      <c:layout>
        <c:manualLayout>
          <c:xMode val="edge"/>
          <c:yMode val="edge"/>
          <c:x val="0.3736528317064492"/>
          <c:y val="0.91613877001270139"/>
          <c:w val="0.25269433658710144"/>
          <c:h val="7.120300634472695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mj-lt"/>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52914157789099E-2"/>
          <c:y val="4.61164000675056E-2"/>
          <c:w val="0.88376910606762404"/>
          <c:h val="0.77557919414532805"/>
        </c:manualLayout>
      </c:layout>
      <c:lineChart>
        <c:grouping val="standard"/>
        <c:varyColors val="0"/>
        <c:ser>
          <c:idx val="0"/>
          <c:order val="0"/>
          <c:tx>
            <c:v>Unemployment</c:v>
          </c:tx>
          <c:spPr>
            <a:ln w="19050" cap="rnd">
              <a:solidFill>
                <a:schemeClr val="tx1"/>
              </a:solidFill>
              <a:round/>
            </a:ln>
            <a:effectLst/>
          </c:spPr>
          <c:marker>
            <c:symbol val="none"/>
          </c:marker>
          <c:cat>
            <c:numRef>
              <c:f>data!$A$11:$A$553</c:f>
              <c:numCache>
                <c:formatCode>mmm\-yyyy</c:formatCode>
                <c:ptCount val="543"/>
                <c:pt idx="0">
                  <c:v>28522</c:v>
                </c:pt>
                <c:pt idx="1">
                  <c:v>28550</c:v>
                </c:pt>
                <c:pt idx="2">
                  <c:v>28581</c:v>
                </c:pt>
                <c:pt idx="3">
                  <c:v>28611</c:v>
                </c:pt>
                <c:pt idx="4">
                  <c:v>28642</c:v>
                </c:pt>
                <c:pt idx="5">
                  <c:v>28672</c:v>
                </c:pt>
                <c:pt idx="6">
                  <c:v>28703</c:v>
                </c:pt>
                <c:pt idx="7">
                  <c:v>28734</c:v>
                </c:pt>
                <c:pt idx="8">
                  <c:v>28764</c:v>
                </c:pt>
                <c:pt idx="9">
                  <c:v>28795</c:v>
                </c:pt>
                <c:pt idx="10">
                  <c:v>28825</c:v>
                </c:pt>
                <c:pt idx="11">
                  <c:v>28856</c:v>
                </c:pt>
                <c:pt idx="12">
                  <c:v>28887</c:v>
                </c:pt>
                <c:pt idx="13">
                  <c:v>28915</c:v>
                </c:pt>
                <c:pt idx="14">
                  <c:v>28946</c:v>
                </c:pt>
                <c:pt idx="15">
                  <c:v>28976</c:v>
                </c:pt>
                <c:pt idx="16">
                  <c:v>29007</c:v>
                </c:pt>
                <c:pt idx="17">
                  <c:v>29037</c:v>
                </c:pt>
                <c:pt idx="18">
                  <c:v>29068</c:v>
                </c:pt>
                <c:pt idx="19">
                  <c:v>29099</c:v>
                </c:pt>
                <c:pt idx="20">
                  <c:v>29129</c:v>
                </c:pt>
                <c:pt idx="21">
                  <c:v>29160</c:v>
                </c:pt>
                <c:pt idx="22">
                  <c:v>29190</c:v>
                </c:pt>
                <c:pt idx="23">
                  <c:v>29221</c:v>
                </c:pt>
                <c:pt idx="24">
                  <c:v>29252</c:v>
                </c:pt>
                <c:pt idx="25">
                  <c:v>29281</c:v>
                </c:pt>
                <c:pt idx="26">
                  <c:v>29312</c:v>
                </c:pt>
                <c:pt idx="27">
                  <c:v>29342</c:v>
                </c:pt>
                <c:pt idx="28">
                  <c:v>29373</c:v>
                </c:pt>
                <c:pt idx="29">
                  <c:v>29403</c:v>
                </c:pt>
                <c:pt idx="30">
                  <c:v>29434</c:v>
                </c:pt>
                <c:pt idx="31">
                  <c:v>29465</c:v>
                </c:pt>
                <c:pt idx="32">
                  <c:v>29495</c:v>
                </c:pt>
                <c:pt idx="33">
                  <c:v>29526</c:v>
                </c:pt>
                <c:pt idx="34">
                  <c:v>29556</c:v>
                </c:pt>
                <c:pt idx="35">
                  <c:v>29587</c:v>
                </c:pt>
                <c:pt idx="36">
                  <c:v>29618</c:v>
                </c:pt>
                <c:pt idx="37">
                  <c:v>29646</c:v>
                </c:pt>
                <c:pt idx="38">
                  <c:v>29677</c:v>
                </c:pt>
                <c:pt idx="39">
                  <c:v>29707</c:v>
                </c:pt>
                <c:pt idx="40">
                  <c:v>29738</c:v>
                </c:pt>
                <c:pt idx="41">
                  <c:v>29768</c:v>
                </c:pt>
                <c:pt idx="42">
                  <c:v>29799</c:v>
                </c:pt>
                <c:pt idx="43">
                  <c:v>29830</c:v>
                </c:pt>
                <c:pt idx="44">
                  <c:v>29860</c:v>
                </c:pt>
                <c:pt idx="45">
                  <c:v>29891</c:v>
                </c:pt>
                <c:pt idx="46">
                  <c:v>29921</c:v>
                </c:pt>
                <c:pt idx="47">
                  <c:v>29952</c:v>
                </c:pt>
                <c:pt idx="48">
                  <c:v>29983</c:v>
                </c:pt>
                <c:pt idx="49">
                  <c:v>30011</c:v>
                </c:pt>
                <c:pt idx="50">
                  <c:v>30042</c:v>
                </c:pt>
                <c:pt idx="51">
                  <c:v>30072</c:v>
                </c:pt>
                <c:pt idx="52">
                  <c:v>30103</c:v>
                </c:pt>
                <c:pt idx="53">
                  <c:v>30133</c:v>
                </c:pt>
                <c:pt idx="54">
                  <c:v>30164</c:v>
                </c:pt>
                <c:pt idx="55">
                  <c:v>30195</c:v>
                </c:pt>
                <c:pt idx="56">
                  <c:v>30225</c:v>
                </c:pt>
                <c:pt idx="57">
                  <c:v>30256</c:v>
                </c:pt>
                <c:pt idx="58">
                  <c:v>30286</c:v>
                </c:pt>
                <c:pt idx="59">
                  <c:v>30317</c:v>
                </c:pt>
                <c:pt idx="60">
                  <c:v>30348</c:v>
                </c:pt>
                <c:pt idx="61">
                  <c:v>30376</c:v>
                </c:pt>
                <c:pt idx="62">
                  <c:v>30407</c:v>
                </c:pt>
                <c:pt idx="63">
                  <c:v>30437</c:v>
                </c:pt>
                <c:pt idx="64">
                  <c:v>30468</c:v>
                </c:pt>
                <c:pt idx="65">
                  <c:v>30498</c:v>
                </c:pt>
                <c:pt idx="66">
                  <c:v>30529</c:v>
                </c:pt>
                <c:pt idx="67">
                  <c:v>30560</c:v>
                </c:pt>
                <c:pt idx="68">
                  <c:v>30590</c:v>
                </c:pt>
                <c:pt idx="69">
                  <c:v>30621</c:v>
                </c:pt>
                <c:pt idx="70">
                  <c:v>30651</c:v>
                </c:pt>
                <c:pt idx="71">
                  <c:v>30682</c:v>
                </c:pt>
                <c:pt idx="72">
                  <c:v>30713</c:v>
                </c:pt>
                <c:pt idx="73">
                  <c:v>30742</c:v>
                </c:pt>
                <c:pt idx="74">
                  <c:v>30773</c:v>
                </c:pt>
                <c:pt idx="75">
                  <c:v>30803</c:v>
                </c:pt>
                <c:pt idx="76">
                  <c:v>30834</c:v>
                </c:pt>
                <c:pt idx="77">
                  <c:v>30864</c:v>
                </c:pt>
                <c:pt idx="78">
                  <c:v>30895</c:v>
                </c:pt>
                <c:pt idx="79">
                  <c:v>30926</c:v>
                </c:pt>
                <c:pt idx="80">
                  <c:v>30956</c:v>
                </c:pt>
                <c:pt idx="81">
                  <c:v>30987</c:v>
                </c:pt>
                <c:pt idx="82">
                  <c:v>31017</c:v>
                </c:pt>
                <c:pt idx="83">
                  <c:v>31048</c:v>
                </c:pt>
                <c:pt idx="84">
                  <c:v>31079</c:v>
                </c:pt>
                <c:pt idx="85">
                  <c:v>31107</c:v>
                </c:pt>
                <c:pt idx="86">
                  <c:v>31138</c:v>
                </c:pt>
                <c:pt idx="87">
                  <c:v>31168</c:v>
                </c:pt>
                <c:pt idx="88">
                  <c:v>31199</c:v>
                </c:pt>
                <c:pt idx="89">
                  <c:v>31229</c:v>
                </c:pt>
                <c:pt idx="90">
                  <c:v>31260</c:v>
                </c:pt>
                <c:pt idx="91">
                  <c:v>31291</c:v>
                </c:pt>
                <c:pt idx="92">
                  <c:v>31321</c:v>
                </c:pt>
                <c:pt idx="93">
                  <c:v>31352</c:v>
                </c:pt>
                <c:pt idx="94">
                  <c:v>31382</c:v>
                </c:pt>
                <c:pt idx="95">
                  <c:v>31413</c:v>
                </c:pt>
                <c:pt idx="96">
                  <c:v>31444</c:v>
                </c:pt>
                <c:pt idx="97">
                  <c:v>31472</c:v>
                </c:pt>
                <c:pt idx="98">
                  <c:v>31503</c:v>
                </c:pt>
                <c:pt idx="99">
                  <c:v>31533</c:v>
                </c:pt>
                <c:pt idx="100">
                  <c:v>31564</c:v>
                </c:pt>
                <c:pt idx="101">
                  <c:v>31594</c:v>
                </c:pt>
                <c:pt idx="102">
                  <c:v>31625</c:v>
                </c:pt>
                <c:pt idx="103">
                  <c:v>31656</c:v>
                </c:pt>
                <c:pt idx="104">
                  <c:v>31686</c:v>
                </c:pt>
                <c:pt idx="105">
                  <c:v>31717</c:v>
                </c:pt>
                <c:pt idx="106">
                  <c:v>31747</c:v>
                </c:pt>
                <c:pt idx="107">
                  <c:v>31778</c:v>
                </c:pt>
                <c:pt idx="108">
                  <c:v>31809</c:v>
                </c:pt>
                <c:pt idx="109">
                  <c:v>31837</c:v>
                </c:pt>
                <c:pt idx="110">
                  <c:v>31868</c:v>
                </c:pt>
                <c:pt idx="111">
                  <c:v>31898</c:v>
                </c:pt>
                <c:pt idx="112">
                  <c:v>31929</c:v>
                </c:pt>
                <c:pt idx="113">
                  <c:v>31959</c:v>
                </c:pt>
                <c:pt idx="114">
                  <c:v>31990</c:v>
                </c:pt>
                <c:pt idx="115">
                  <c:v>32021</c:v>
                </c:pt>
                <c:pt idx="116">
                  <c:v>32051</c:v>
                </c:pt>
                <c:pt idx="117">
                  <c:v>32082</c:v>
                </c:pt>
                <c:pt idx="118">
                  <c:v>32112</c:v>
                </c:pt>
                <c:pt idx="119">
                  <c:v>32143</c:v>
                </c:pt>
                <c:pt idx="120">
                  <c:v>32174</c:v>
                </c:pt>
                <c:pt idx="121">
                  <c:v>32203</c:v>
                </c:pt>
                <c:pt idx="122">
                  <c:v>32234</c:v>
                </c:pt>
                <c:pt idx="123">
                  <c:v>32264</c:v>
                </c:pt>
                <c:pt idx="124">
                  <c:v>32295</c:v>
                </c:pt>
                <c:pt idx="125">
                  <c:v>32325</c:v>
                </c:pt>
                <c:pt idx="126">
                  <c:v>32356</c:v>
                </c:pt>
                <c:pt idx="127">
                  <c:v>32387</c:v>
                </c:pt>
                <c:pt idx="128">
                  <c:v>32417</c:v>
                </c:pt>
                <c:pt idx="129">
                  <c:v>32448</c:v>
                </c:pt>
                <c:pt idx="130">
                  <c:v>32478</c:v>
                </c:pt>
                <c:pt idx="131">
                  <c:v>32509</c:v>
                </c:pt>
                <c:pt idx="132">
                  <c:v>32540</c:v>
                </c:pt>
                <c:pt idx="133">
                  <c:v>32568</c:v>
                </c:pt>
                <c:pt idx="134">
                  <c:v>32599</c:v>
                </c:pt>
                <c:pt idx="135">
                  <c:v>32629</c:v>
                </c:pt>
                <c:pt idx="136">
                  <c:v>32660</c:v>
                </c:pt>
                <c:pt idx="137">
                  <c:v>32690</c:v>
                </c:pt>
                <c:pt idx="138">
                  <c:v>32721</c:v>
                </c:pt>
                <c:pt idx="139">
                  <c:v>32752</c:v>
                </c:pt>
                <c:pt idx="140">
                  <c:v>32782</c:v>
                </c:pt>
                <c:pt idx="141">
                  <c:v>32813</c:v>
                </c:pt>
                <c:pt idx="142">
                  <c:v>32843</c:v>
                </c:pt>
                <c:pt idx="143">
                  <c:v>32874</c:v>
                </c:pt>
                <c:pt idx="144">
                  <c:v>32905</c:v>
                </c:pt>
                <c:pt idx="145">
                  <c:v>32933</c:v>
                </c:pt>
                <c:pt idx="146">
                  <c:v>32964</c:v>
                </c:pt>
                <c:pt idx="147">
                  <c:v>32994</c:v>
                </c:pt>
                <c:pt idx="148">
                  <c:v>33025</c:v>
                </c:pt>
                <c:pt idx="149">
                  <c:v>33055</c:v>
                </c:pt>
                <c:pt idx="150">
                  <c:v>33086</c:v>
                </c:pt>
                <c:pt idx="151">
                  <c:v>33117</c:v>
                </c:pt>
                <c:pt idx="152">
                  <c:v>33147</c:v>
                </c:pt>
                <c:pt idx="153">
                  <c:v>33178</c:v>
                </c:pt>
                <c:pt idx="154">
                  <c:v>33208</c:v>
                </c:pt>
                <c:pt idx="155">
                  <c:v>33239</c:v>
                </c:pt>
                <c:pt idx="156">
                  <c:v>33270</c:v>
                </c:pt>
                <c:pt idx="157">
                  <c:v>33298</c:v>
                </c:pt>
                <c:pt idx="158">
                  <c:v>33329</c:v>
                </c:pt>
                <c:pt idx="159">
                  <c:v>33359</c:v>
                </c:pt>
                <c:pt idx="160">
                  <c:v>33390</c:v>
                </c:pt>
                <c:pt idx="161">
                  <c:v>33420</c:v>
                </c:pt>
                <c:pt idx="162">
                  <c:v>33451</c:v>
                </c:pt>
                <c:pt idx="163">
                  <c:v>33482</c:v>
                </c:pt>
                <c:pt idx="164">
                  <c:v>33512</c:v>
                </c:pt>
                <c:pt idx="165">
                  <c:v>33543</c:v>
                </c:pt>
                <c:pt idx="166">
                  <c:v>33573</c:v>
                </c:pt>
                <c:pt idx="167">
                  <c:v>33604</c:v>
                </c:pt>
                <c:pt idx="168">
                  <c:v>33635</c:v>
                </c:pt>
                <c:pt idx="169">
                  <c:v>33664</c:v>
                </c:pt>
                <c:pt idx="170">
                  <c:v>33695</c:v>
                </c:pt>
                <c:pt idx="171">
                  <c:v>33725</c:v>
                </c:pt>
                <c:pt idx="172">
                  <c:v>33756</c:v>
                </c:pt>
                <c:pt idx="173">
                  <c:v>33786</c:v>
                </c:pt>
                <c:pt idx="174">
                  <c:v>33817</c:v>
                </c:pt>
                <c:pt idx="175">
                  <c:v>33848</c:v>
                </c:pt>
                <c:pt idx="176">
                  <c:v>33878</c:v>
                </c:pt>
                <c:pt idx="177">
                  <c:v>33909</c:v>
                </c:pt>
                <c:pt idx="178">
                  <c:v>33939</c:v>
                </c:pt>
                <c:pt idx="179">
                  <c:v>33970</c:v>
                </c:pt>
                <c:pt idx="180">
                  <c:v>34001</c:v>
                </c:pt>
                <c:pt idx="181">
                  <c:v>34029</c:v>
                </c:pt>
                <c:pt idx="182">
                  <c:v>34060</c:v>
                </c:pt>
                <c:pt idx="183">
                  <c:v>34090</c:v>
                </c:pt>
                <c:pt idx="184">
                  <c:v>34121</c:v>
                </c:pt>
                <c:pt idx="185">
                  <c:v>34151</c:v>
                </c:pt>
                <c:pt idx="186">
                  <c:v>34182</c:v>
                </c:pt>
                <c:pt idx="187">
                  <c:v>34213</c:v>
                </c:pt>
                <c:pt idx="188">
                  <c:v>34243</c:v>
                </c:pt>
                <c:pt idx="189">
                  <c:v>34274</c:v>
                </c:pt>
                <c:pt idx="190">
                  <c:v>34304</c:v>
                </c:pt>
                <c:pt idx="191">
                  <c:v>34335</c:v>
                </c:pt>
                <c:pt idx="192">
                  <c:v>34366</c:v>
                </c:pt>
                <c:pt idx="193">
                  <c:v>34394</c:v>
                </c:pt>
                <c:pt idx="194">
                  <c:v>34425</c:v>
                </c:pt>
                <c:pt idx="195">
                  <c:v>34455</c:v>
                </c:pt>
                <c:pt idx="196">
                  <c:v>34486</c:v>
                </c:pt>
                <c:pt idx="197">
                  <c:v>34516</c:v>
                </c:pt>
                <c:pt idx="198">
                  <c:v>34547</c:v>
                </c:pt>
                <c:pt idx="199">
                  <c:v>34578</c:v>
                </c:pt>
                <c:pt idx="200">
                  <c:v>34608</c:v>
                </c:pt>
                <c:pt idx="201">
                  <c:v>34639</c:v>
                </c:pt>
                <c:pt idx="202">
                  <c:v>34669</c:v>
                </c:pt>
                <c:pt idx="203">
                  <c:v>34700</c:v>
                </c:pt>
                <c:pt idx="204">
                  <c:v>34731</c:v>
                </c:pt>
                <c:pt idx="205">
                  <c:v>34759</c:v>
                </c:pt>
                <c:pt idx="206">
                  <c:v>34790</c:v>
                </c:pt>
                <c:pt idx="207">
                  <c:v>34820</c:v>
                </c:pt>
                <c:pt idx="208">
                  <c:v>34851</c:v>
                </c:pt>
                <c:pt idx="209">
                  <c:v>34881</c:v>
                </c:pt>
                <c:pt idx="210">
                  <c:v>34912</c:v>
                </c:pt>
                <c:pt idx="211">
                  <c:v>34943</c:v>
                </c:pt>
                <c:pt idx="212">
                  <c:v>34973</c:v>
                </c:pt>
                <c:pt idx="213">
                  <c:v>35004</c:v>
                </c:pt>
                <c:pt idx="214">
                  <c:v>35034</c:v>
                </c:pt>
                <c:pt idx="215">
                  <c:v>35065</c:v>
                </c:pt>
                <c:pt idx="216">
                  <c:v>35096</c:v>
                </c:pt>
                <c:pt idx="217">
                  <c:v>35125</c:v>
                </c:pt>
                <c:pt idx="218">
                  <c:v>35156</c:v>
                </c:pt>
                <c:pt idx="219">
                  <c:v>35186</c:v>
                </c:pt>
                <c:pt idx="220">
                  <c:v>35217</c:v>
                </c:pt>
                <c:pt idx="221">
                  <c:v>35247</c:v>
                </c:pt>
                <c:pt idx="222">
                  <c:v>35278</c:v>
                </c:pt>
                <c:pt idx="223">
                  <c:v>35309</c:v>
                </c:pt>
                <c:pt idx="224">
                  <c:v>35339</c:v>
                </c:pt>
                <c:pt idx="225">
                  <c:v>35370</c:v>
                </c:pt>
                <c:pt idx="226">
                  <c:v>35400</c:v>
                </c:pt>
                <c:pt idx="227">
                  <c:v>35431</c:v>
                </c:pt>
                <c:pt idx="228">
                  <c:v>35462</c:v>
                </c:pt>
                <c:pt idx="229">
                  <c:v>35490</c:v>
                </c:pt>
                <c:pt idx="230">
                  <c:v>35521</c:v>
                </c:pt>
                <c:pt idx="231">
                  <c:v>35551</c:v>
                </c:pt>
                <c:pt idx="232">
                  <c:v>35582</c:v>
                </c:pt>
                <c:pt idx="233">
                  <c:v>35612</c:v>
                </c:pt>
                <c:pt idx="234">
                  <c:v>35643</c:v>
                </c:pt>
                <c:pt idx="235">
                  <c:v>35674</c:v>
                </c:pt>
                <c:pt idx="236">
                  <c:v>35704</c:v>
                </c:pt>
                <c:pt idx="237">
                  <c:v>35735</c:v>
                </c:pt>
                <c:pt idx="238">
                  <c:v>35765</c:v>
                </c:pt>
                <c:pt idx="239">
                  <c:v>35796</c:v>
                </c:pt>
                <c:pt idx="240">
                  <c:v>35827</c:v>
                </c:pt>
                <c:pt idx="241">
                  <c:v>35855</c:v>
                </c:pt>
                <c:pt idx="242">
                  <c:v>35886</c:v>
                </c:pt>
                <c:pt idx="243">
                  <c:v>35916</c:v>
                </c:pt>
                <c:pt idx="244">
                  <c:v>35947</c:v>
                </c:pt>
                <c:pt idx="245">
                  <c:v>35977</c:v>
                </c:pt>
                <c:pt idx="246">
                  <c:v>36008</c:v>
                </c:pt>
                <c:pt idx="247">
                  <c:v>36039</c:v>
                </c:pt>
                <c:pt idx="248">
                  <c:v>36069</c:v>
                </c:pt>
                <c:pt idx="249">
                  <c:v>36100</c:v>
                </c:pt>
                <c:pt idx="250">
                  <c:v>36130</c:v>
                </c:pt>
                <c:pt idx="251">
                  <c:v>36161</c:v>
                </c:pt>
                <c:pt idx="252">
                  <c:v>36192</c:v>
                </c:pt>
                <c:pt idx="253">
                  <c:v>36220</c:v>
                </c:pt>
                <c:pt idx="254">
                  <c:v>36251</c:v>
                </c:pt>
                <c:pt idx="255">
                  <c:v>36281</c:v>
                </c:pt>
                <c:pt idx="256">
                  <c:v>36312</c:v>
                </c:pt>
                <c:pt idx="257">
                  <c:v>36342</c:v>
                </c:pt>
                <c:pt idx="258">
                  <c:v>36373</c:v>
                </c:pt>
                <c:pt idx="259">
                  <c:v>36404</c:v>
                </c:pt>
                <c:pt idx="260">
                  <c:v>36434</c:v>
                </c:pt>
                <c:pt idx="261">
                  <c:v>36465</c:v>
                </c:pt>
                <c:pt idx="262">
                  <c:v>36495</c:v>
                </c:pt>
                <c:pt idx="263">
                  <c:v>36526</c:v>
                </c:pt>
                <c:pt idx="264">
                  <c:v>36557</c:v>
                </c:pt>
                <c:pt idx="265">
                  <c:v>36586</c:v>
                </c:pt>
                <c:pt idx="266">
                  <c:v>36617</c:v>
                </c:pt>
                <c:pt idx="267">
                  <c:v>36647</c:v>
                </c:pt>
                <c:pt idx="268">
                  <c:v>36678</c:v>
                </c:pt>
                <c:pt idx="269">
                  <c:v>36708</c:v>
                </c:pt>
                <c:pt idx="270">
                  <c:v>36739</c:v>
                </c:pt>
                <c:pt idx="271">
                  <c:v>36770</c:v>
                </c:pt>
                <c:pt idx="272">
                  <c:v>36800</c:v>
                </c:pt>
                <c:pt idx="273">
                  <c:v>36831</c:v>
                </c:pt>
                <c:pt idx="274">
                  <c:v>36861</c:v>
                </c:pt>
                <c:pt idx="275">
                  <c:v>36892</c:v>
                </c:pt>
                <c:pt idx="276">
                  <c:v>36923</c:v>
                </c:pt>
                <c:pt idx="277">
                  <c:v>36951</c:v>
                </c:pt>
                <c:pt idx="278">
                  <c:v>36982</c:v>
                </c:pt>
                <c:pt idx="279">
                  <c:v>37012</c:v>
                </c:pt>
                <c:pt idx="280">
                  <c:v>37043</c:v>
                </c:pt>
                <c:pt idx="281">
                  <c:v>37073</c:v>
                </c:pt>
                <c:pt idx="282">
                  <c:v>37104</c:v>
                </c:pt>
                <c:pt idx="283">
                  <c:v>37135</c:v>
                </c:pt>
                <c:pt idx="284">
                  <c:v>37165</c:v>
                </c:pt>
                <c:pt idx="285">
                  <c:v>37196</c:v>
                </c:pt>
                <c:pt idx="286">
                  <c:v>37226</c:v>
                </c:pt>
                <c:pt idx="287">
                  <c:v>37257</c:v>
                </c:pt>
                <c:pt idx="288">
                  <c:v>37288</c:v>
                </c:pt>
                <c:pt idx="289">
                  <c:v>37316</c:v>
                </c:pt>
                <c:pt idx="290">
                  <c:v>37347</c:v>
                </c:pt>
                <c:pt idx="291">
                  <c:v>37377</c:v>
                </c:pt>
                <c:pt idx="292">
                  <c:v>37408</c:v>
                </c:pt>
                <c:pt idx="293">
                  <c:v>37438</c:v>
                </c:pt>
                <c:pt idx="294">
                  <c:v>37469</c:v>
                </c:pt>
                <c:pt idx="295">
                  <c:v>37500</c:v>
                </c:pt>
                <c:pt idx="296">
                  <c:v>37530</c:v>
                </c:pt>
                <c:pt idx="297">
                  <c:v>37561</c:v>
                </c:pt>
                <c:pt idx="298">
                  <c:v>37591</c:v>
                </c:pt>
                <c:pt idx="299">
                  <c:v>37622</c:v>
                </c:pt>
                <c:pt idx="300">
                  <c:v>37653</c:v>
                </c:pt>
                <c:pt idx="301">
                  <c:v>37681</c:v>
                </c:pt>
                <c:pt idx="302">
                  <c:v>37712</c:v>
                </c:pt>
                <c:pt idx="303">
                  <c:v>37742</c:v>
                </c:pt>
                <c:pt idx="304">
                  <c:v>37773</c:v>
                </c:pt>
                <c:pt idx="305">
                  <c:v>37803</c:v>
                </c:pt>
                <c:pt idx="306">
                  <c:v>37834</c:v>
                </c:pt>
                <c:pt idx="307">
                  <c:v>37865</c:v>
                </c:pt>
                <c:pt idx="308">
                  <c:v>37895</c:v>
                </c:pt>
                <c:pt idx="309">
                  <c:v>37926</c:v>
                </c:pt>
                <c:pt idx="310">
                  <c:v>37956</c:v>
                </c:pt>
                <c:pt idx="311">
                  <c:v>37987</c:v>
                </c:pt>
                <c:pt idx="312">
                  <c:v>38018</c:v>
                </c:pt>
                <c:pt idx="313">
                  <c:v>38047</c:v>
                </c:pt>
                <c:pt idx="314">
                  <c:v>38078</c:v>
                </c:pt>
                <c:pt idx="315">
                  <c:v>38108</c:v>
                </c:pt>
                <c:pt idx="316">
                  <c:v>38139</c:v>
                </c:pt>
                <c:pt idx="317">
                  <c:v>38169</c:v>
                </c:pt>
                <c:pt idx="318">
                  <c:v>38200</c:v>
                </c:pt>
                <c:pt idx="319">
                  <c:v>38231</c:v>
                </c:pt>
                <c:pt idx="320">
                  <c:v>38261</c:v>
                </c:pt>
                <c:pt idx="321">
                  <c:v>38292</c:v>
                </c:pt>
                <c:pt idx="322">
                  <c:v>38322</c:v>
                </c:pt>
                <c:pt idx="323">
                  <c:v>38353</c:v>
                </c:pt>
                <c:pt idx="324">
                  <c:v>38384</c:v>
                </c:pt>
                <c:pt idx="325">
                  <c:v>38412</c:v>
                </c:pt>
                <c:pt idx="326">
                  <c:v>38443</c:v>
                </c:pt>
                <c:pt idx="327">
                  <c:v>38473</c:v>
                </c:pt>
                <c:pt idx="328">
                  <c:v>38504</c:v>
                </c:pt>
                <c:pt idx="329">
                  <c:v>38534</c:v>
                </c:pt>
                <c:pt idx="330">
                  <c:v>38565</c:v>
                </c:pt>
                <c:pt idx="331">
                  <c:v>38596</c:v>
                </c:pt>
                <c:pt idx="332">
                  <c:v>38626</c:v>
                </c:pt>
                <c:pt idx="333">
                  <c:v>38657</c:v>
                </c:pt>
                <c:pt idx="334">
                  <c:v>38687</c:v>
                </c:pt>
                <c:pt idx="335">
                  <c:v>38718</c:v>
                </c:pt>
                <c:pt idx="336">
                  <c:v>38749</c:v>
                </c:pt>
                <c:pt idx="337">
                  <c:v>38777</c:v>
                </c:pt>
                <c:pt idx="338">
                  <c:v>38808</c:v>
                </c:pt>
                <c:pt idx="339">
                  <c:v>38838</c:v>
                </c:pt>
                <c:pt idx="340">
                  <c:v>38869</c:v>
                </c:pt>
                <c:pt idx="341">
                  <c:v>38899</c:v>
                </c:pt>
                <c:pt idx="342">
                  <c:v>38930</c:v>
                </c:pt>
                <c:pt idx="343">
                  <c:v>38961</c:v>
                </c:pt>
                <c:pt idx="344">
                  <c:v>38991</c:v>
                </c:pt>
                <c:pt idx="345">
                  <c:v>39022</c:v>
                </c:pt>
                <c:pt idx="346">
                  <c:v>39052</c:v>
                </c:pt>
                <c:pt idx="347">
                  <c:v>39083</c:v>
                </c:pt>
                <c:pt idx="348">
                  <c:v>39114</c:v>
                </c:pt>
                <c:pt idx="349">
                  <c:v>39142</c:v>
                </c:pt>
                <c:pt idx="350">
                  <c:v>39173</c:v>
                </c:pt>
                <c:pt idx="351">
                  <c:v>39203</c:v>
                </c:pt>
                <c:pt idx="352">
                  <c:v>39234</c:v>
                </c:pt>
                <c:pt idx="353">
                  <c:v>39264</c:v>
                </c:pt>
                <c:pt idx="354">
                  <c:v>39295</c:v>
                </c:pt>
                <c:pt idx="355">
                  <c:v>39326</c:v>
                </c:pt>
                <c:pt idx="356">
                  <c:v>39356</c:v>
                </c:pt>
                <c:pt idx="357">
                  <c:v>39387</c:v>
                </c:pt>
                <c:pt idx="358">
                  <c:v>39417</c:v>
                </c:pt>
                <c:pt idx="359">
                  <c:v>39448</c:v>
                </c:pt>
                <c:pt idx="360">
                  <c:v>39479</c:v>
                </c:pt>
                <c:pt idx="361">
                  <c:v>39508</c:v>
                </c:pt>
                <c:pt idx="362">
                  <c:v>39539</c:v>
                </c:pt>
                <c:pt idx="363">
                  <c:v>39569</c:v>
                </c:pt>
                <c:pt idx="364">
                  <c:v>39600</c:v>
                </c:pt>
                <c:pt idx="365">
                  <c:v>39630</c:v>
                </c:pt>
                <c:pt idx="366">
                  <c:v>39661</c:v>
                </c:pt>
                <c:pt idx="367">
                  <c:v>39692</c:v>
                </c:pt>
                <c:pt idx="368">
                  <c:v>39722</c:v>
                </c:pt>
                <c:pt idx="369">
                  <c:v>39753</c:v>
                </c:pt>
                <c:pt idx="370">
                  <c:v>39783</c:v>
                </c:pt>
                <c:pt idx="371">
                  <c:v>39814</c:v>
                </c:pt>
                <c:pt idx="372">
                  <c:v>39845</c:v>
                </c:pt>
                <c:pt idx="373">
                  <c:v>39873</c:v>
                </c:pt>
                <c:pt idx="374">
                  <c:v>39904</c:v>
                </c:pt>
                <c:pt idx="375">
                  <c:v>39934</c:v>
                </c:pt>
                <c:pt idx="376">
                  <c:v>39965</c:v>
                </c:pt>
                <c:pt idx="377">
                  <c:v>39995</c:v>
                </c:pt>
                <c:pt idx="378">
                  <c:v>40026</c:v>
                </c:pt>
                <c:pt idx="379">
                  <c:v>40057</c:v>
                </c:pt>
                <c:pt idx="380">
                  <c:v>40087</c:v>
                </c:pt>
                <c:pt idx="381">
                  <c:v>40118</c:v>
                </c:pt>
                <c:pt idx="382">
                  <c:v>40148</c:v>
                </c:pt>
                <c:pt idx="383">
                  <c:v>40179</c:v>
                </c:pt>
                <c:pt idx="384">
                  <c:v>40210</c:v>
                </c:pt>
                <c:pt idx="385">
                  <c:v>40238</c:v>
                </c:pt>
                <c:pt idx="386">
                  <c:v>40269</c:v>
                </c:pt>
                <c:pt idx="387">
                  <c:v>40299</c:v>
                </c:pt>
                <c:pt idx="388">
                  <c:v>40330</c:v>
                </c:pt>
                <c:pt idx="389">
                  <c:v>40360</c:v>
                </c:pt>
                <c:pt idx="390">
                  <c:v>40391</c:v>
                </c:pt>
                <c:pt idx="391">
                  <c:v>40422</c:v>
                </c:pt>
                <c:pt idx="392">
                  <c:v>40452</c:v>
                </c:pt>
                <c:pt idx="393">
                  <c:v>40483</c:v>
                </c:pt>
                <c:pt idx="394">
                  <c:v>40513</c:v>
                </c:pt>
                <c:pt idx="395">
                  <c:v>40544</c:v>
                </c:pt>
                <c:pt idx="396">
                  <c:v>40575</c:v>
                </c:pt>
                <c:pt idx="397">
                  <c:v>40603</c:v>
                </c:pt>
                <c:pt idx="398">
                  <c:v>40634</c:v>
                </c:pt>
                <c:pt idx="399">
                  <c:v>40664</c:v>
                </c:pt>
                <c:pt idx="400">
                  <c:v>40695</c:v>
                </c:pt>
                <c:pt idx="401">
                  <c:v>40725</c:v>
                </c:pt>
                <c:pt idx="402">
                  <c:v>40756</c:v>
                </c:pt>
                <c:pt idx="403">
                  <c:v>40787</c:v>
                </c:pt>
                <c:pt idx="404">
                  <c:v>40817</c:v>
                </c:pt>
                <c:pt idx="405">
                  <c:v>40848</c:v>
                </c:pt>
                <c:pt idx="406">
                  <c:v>40878</c:v>
                </c:pt>
                <c:pt idx="407">
                  <c:v>40909</c:v>
                </c:pt>
                <c:pt idx="408">
                  <c:v>40940</c:v>
                </c:pt>
                <c:pt idx="409">
                  <c:v>40969</c:v>
                </c:pt>
                <c:pt idx="410">
                  <c:v>41000</c:v>
                </c:pt>
                <c:pt idx="411">
                  <c:v>41030</c:v>
                </c:pt>
                <c:pt idx="412">
                  <c:v>41061</c:v>
                </c:pt>
                <c:pt idx="413">
                  <c:v>41091</c:v>
                </c:pt>
                <c:pt idx="414">
                  <c:v>41122</c:v>
                </c:pt>
                <c:pt idx="415">
                  <c:v>41153</c:v>
                </c:pt>
                <c:pt idx="416">
                  <c:v>41183</c:v>
                </c:pt>
                <c:pt idx="417">
                  <c:v>41214</c:v>
                </c:pt>
                <c:pt idx="418">
                  <c:v>41244</c:v>
                </c:pt>
                <c:pt idx="419">
                  <c:v>41275</c:v>
                </c:pt>
                <c:pt idx="420">
                  <c:v>41306</c:v>
                </c:pt>
                <c:pt idx="421">
                  <c:v>41334</c:v>
                </c:pt>
                <c:pt idx="422">
                  <c:v>41365</c:v>
                </c:pt>
                <c:pt idx="423">
                  <c:v>41395</c:v>
                </c:pt>
                <c:pt idx="424">
                  <c:v>41426</c:v>
                </c:pt>
                <c:pt idx="425">
                  <c:v>41456</c:v>
                </c:pt>
                <c:pt idx="426">
                  <c:v>41487</c:v>
                </c:pt>
                <c:pt idx="427">
                  <c:v>41518</c:v>
                </c:pt>
                <c:pt idx="428">
                  <c:v>41548</c:v>
                </c:pt>
                <c:pt idx="429">
                  <c:v>41579</c:v>
                </c:pt>
                <c:pt idx="430">
                  <c:v>41609</c:v>
                </c:pt>
                <c:pt idx="431">
                  <c:v>41640</c:v>
                </c:pt>
                <c:pt idx="432">
                  <c:v>41671</c:v>
                </c:pt>
                <c:pt idx="433">
                  <c:v>41699</c:v>
                </c:pt>
                <c:pt idx="434">
                  <c:v>41730</c:v>
                </c:pt>
                <c:pt idx="435">
                  <c:v>41760</c:v>
                </c:pt>
                <c:pt idx="436">
                  <c:v>41791</c:v>
                </c:pt>
                <c:pt idx="437">
                  <c:v>41821</c:v>
                </c:pt>
                <c:pt idx="438">
                  <c:v>41852</c:v>
                </c:pt>
                <c:pt idx="439">
                  <c:v>41883</c:v>
                </c:pt>
                <c:pt idx="440">
                  <c:v>41913</c:v>
                </c:pt>
                <c:pt idx="441">
                  <c:v>41944</c:v>
                </c:pt>
                <c:pt idx="442">
                  <c:v>41974</c:v>
                </c:pt>
                <c:pt idx="443">
                  <c:v>42005</c:v>
                </c:pt>
                <c:pt idx="444">
                  <c:v>42036</c:v>
                </c:pt>
                <c:pt idx="445">
                  <c:v>42064</c:v>
                </c:pt>
                <c:pt idx="446">
                  <c:v>42095</c:v>
                </c:pt>
                <c:pt idx="447">
                  <c:v>42125</c:v>
                </c:pt>
                <c:pt idx="448">
                  <c:v>42156</c:v>
                </c:pt>
                <c:pt idx="449">
                  <c:v>42186</c:v>
                </c:pt>
                <c:pt idx="450">
                  <c:v>42217</c:v>
                </c:pt>
                <c:pt idx="451">
                  <c:v>42248</c:v>
                </c:pt>
                <c:pt idx="452">
                  <c:v>42278</c:v>
                </c:pt>
                <c:pt idx="453">
                  <c:v>42309</c:v>
                </c:pt>
                <c:pt idx="454">
                  <c:v>42339</c:v>
                </c:pt>
                <c:pt idx="455">
                  <c:v>42370</c:v>
                </c:pt>
                <c:pt idx="456">
                  <c:v>42401</c:v>
                </c:pt>
                <c:pt idx="457">
                  <c:v>42430</c:v>
                </c:pt>
                <c:pt idx="458">
                  <c:v>42461</c:v>
                </c:pt>
                <c:pt idx="459">
                  <c:v>42491</c:v>
                </c:pt>
                <c:pt idx="460">
                  <c:v>42522</c:v>
                </c:pt>
                <c:pt idx="461">
                  <c:v>42552</c:v>
                </c:pt>
                <c:pt idx="462">
                  <c:v>42583</c:v>
                </c:pt>
                <c:pt idx="463">
                  <c:v>42614</c:v>
                </c:pt>
                <c:pt idx="464">
                  <c:v>42644</c:v>
                </c:pt>
                <c:pt idx="465">
                  <c:v>42675</c:v>
                </c:pt>
                <c:pt idx="466">
                  <c:v>42705</c:v>
                </c:pt>
                <c:pt idx="467">
                  <c:v>42736</c:v>
                </c:pt>
                <c:pt idx="468">
                  <c:v>42767</c:v>
                </c:pt>
                <c:pt idx="469">
                  <c:v>42795</c:v>
                </c:pt>
                <c:pt idx="470">
                  <c:v>42826</c:v>
                </c:pt>
                <c:pt idx="471">
                  <c:v>42856</c:v>
                </c:pt>
                <c:pt idx="472">
                  <c:v>42887</c:v>
                </c:pt>
                <c:pt idx="473">
                  <c:v>42917</c:v>
                </c:pt>
                <c:pt idx="474">
                  <c:v>42948</c:v>
                </c:pt>
                <c:pt idx="475">
                  <c:v>42979</c:v>
                </c:pt>
                <c:pt idx="476">
                  <c:v>43009</c:v>
                </c:pt>
                <c:pt idx="477">
                  <c:v>43040</c:v>
                </c:pt>
                <c:pt idx="478">
                  <c:v>43070</c:v>
                </c:pt>
                <c:pt idx="479">
                  <c:v>43101</c:v>
                </c:pt>
                <c:pt idx="480">
                  <c:v>43132</c:v>
                </c:pt>
                <c:pt idx="481">
                  <c:v>43160</c:v>
                </c:pt>
                <c:pt idx="482">
                  <c:v>43191</c:v>
                </c:pt>
                <c:pt idx="483">
                  <c:v>43221</c:v>
                </c:pt>
                <c:pt idx="484">
                  <c:v>43252</c:v>
                </c:pt>
                <c:pt idx="485">
                  <c:v>43282</c:v>
                </c:pt>
                <c:pt idx="486">
                  <c:v>43313</c:v>
                </c:pt>
                <c:pt idx="487">
                  <c:v>43344</c:v>
                </c:pt>
                <c:pt idx="488">
                  <c:v>43374</c:v>
                </c:pt>
                <c:pt idx="489">
                  <c:v>43405</c:v>
                </c:pt>
                <c:pt idx="490">
                  <c:v>43435</c:v>
                </c:pt>
                <c:pt idx="491">
                  <c:v>43466</c:v>
                </c:pt>
                <c:pt idx="492">
                  <c:v>43497</c:v>
                </c:pt>
                <c:pt idx="493">
                  <c:v>43525</c:v>
                </c:pt>
                <c:pt idx="494">
                  <c:v>43556</c:v>
                </c:pt>
                <c:pt idx="495">
                  <c:v>43586</c:v>
                </c:pt>
                <c:pt idx="496">
                  <c:v>43617</c:v>
                </c:pt>
                <c:pt idx="497">
                  <c:v>43647</c:v>
                </c:pt>
                <c:pt idx="498">
                  <c:v>43678</c:v>
                </c:pt>
                <c:pt idx="499">
                  <c:v>43709</c:v>
                </c:pt>
                <c:pt idx="500">
                  <c:v>43739</c:v>
                </c:pt>
                <c:pt idx="501">
                  <c:v>43770</c:v>
                </c:pt>
                <c:pt idx="502">
                  <c:v>43800</c:v>
                </c:pt>
                <c:pt idx="503">
                  <c:v>43831</c:v>
                </c:pt>
                <c:pt idx="504">
                  <c:v>43862</c:v>
                </c:pt>
                <c:pt idx="505">
                  <c:v>43891</c:v>
                </c:pt>
                <c:pt idx="506">
                  <c:v>43922</c:v>
                </c:pt>
                <c:pt idx="507">
                  <c:v>43952</c:v>
                </c:pt>
                <c:pt idx="508">
                  <c:v>43983</c:v>
                </c:pt>
                <c:pt idx="509">
                  <c:v>44013</c:v>
                </c:pt>
                <c:pt idx="510">
                  <c:v>44044</c:v>
                </c:pt>
                <c:pt idx="511">
                  <c:v>44075</c:v>
                </c:pt>
                <c:pt idx="512">
                  <c:v>44105</c:v>
                </c:pt>
                <c:pt idx="513">
                  <c:v>44136</c:v>
                </c:pt>
                <c:pt idx="514">
                  <c:v>44166</c:v>
                </c:pt>
                <c:pt idx="515">
                  <c:v>44197</c:v>
                </c:pt>
                <c:pt idx="516">
                  <c:v>44228</c:v>
                </c:pt>
                <c:pt idx="517">
                  <c:v>44256</c:v>
                </c:pt>
                <c:pt idx="518">
                  <c:v>44287</c:v>
                </c:pt>
                <c:pt idx="519">
                  <c:v>44317</c:v>
                </c:pt>
                <c:pt idx="520">
                  <c:v>44348</c:v>
                </c:pt>
                <c:pt idx="521">
                  <c:v>44378</c:v>
                </c:pt>
                <c:pt idx="522">
                  <c:v>44409</c:v>
                </c:pt>
                <c:pt idx="523">
                  <c:v>44440</c:v>
                </c:pt>
                <c:pt idx="524">
                  <c:v>44470</c:v>
                </c:pt>
                <c:pt idx="525">
                  <c:v>44501</c:v>
                </c:pt>
                <c:pt idx="526">
                  <c:v>44531</c:v>
                </c:pt>
                <c:pt idx="527">
                  <c:v>44562</c:v>
                </c:pt>
                <c:pt idx="528">
                  <c:v>44593</c:v>
                </c:pt>
                <c:pt idx="529">
                  <c:v>44621</c:v>
                </c:pt>
                <c:pt idx="530">
                  <c:v>44652</c:v>
                </c:pt>
                <c:pt idx="531">
                  <c:v>44682</c:v>
                </c:pt>
                <c:pt idx="532">
                  <c:v>44713</c:v>
                </c:pt>
                <c:pt idx="533">
                  <c:v>44743</c:v>
                </c:pt>
                <c:pt idx="534">
                  <c:v>44774</c:v>
                </c:pt>
                <c:pt idx="535">
                  <c:v>44805</c:v>
                </c:pt>
                <c:pt idx="536">
                  <c:v>44835</c:v>
                </c:pt>
                <c:pt idx="537">
                  <c:v>44866</c:v>
                </c:pt>
                <c:pt idx="538">
                  <c:v>44896</c:v>
                </c:pt>
                <c:pt idx="539">
                  <c:v>44927</c:v>
                </c:pt>
                <c:pt idx="540">
                  <c:v>44958</c:v>
                </c:pt>
                <c:pt idx="541">
                  <c:v>44986</c:v>
                </c:pt>
                <c:pt idx="542">
                  <c:v>45017</c:v>
                </c:pt>
              </c:numCache>
            </c:numRef>
          </c:cat>
          <c:val>
            <c:numRef>
              <c:f>data!$B$11:$B$553</c:f>
              <c:numCache>
                <c:formatCode>0.0;\-0.0;0.0;@</c:formatCode>
                <c:ptCount val="543"/>
                <c:pt idx="0">
                  <c:v>5.9625927000000001</c:v>
                </c:pt>
                <c:pt idx="1">
                  <c:v>5.7236041000000002</c:v>
                </c:pt>
                <c:pt idx="2">
                  <c:v>5.4955588000000004</c:v>
                </c:pt>
                <c:pt idx="3">
                  <c:v>5.6404832999999996</c:v>
                </c:pt>
                <c:pt idx="4">
                  <c:v>5.5262788</c:v>
                </c:pt>
                <c:pt idx="5">
                  <c:v>5.4243895999999996</c:v>
                </c:pt>
                <c:pt idx="6">
                  <c:v>6.0606485000000001</c:v>
                </c:pt>
                <c:pt idx="7">
                  <c:v>5.1636829000000004</c:v>
                </c:pt>
                <c:pt idx="8">
                  <c:v>5.3541998</c:v>
                </c:pt>
                <c:pt idx="9">
                  <c:v>5.3554361999999998</c:v>
                </c:pt>
                <c:pt idx="10">
                  <c:v>6.0210660000000003</c:v>
                </c:pt>
                <c:pt idx="11">
                  <c:v>5.7528397</c:v>
                </c:pt>
                <c:pt idx="12">
                  <c:v>5.6582748</c:v>
                </c:pt>
                <c:pt idx="13">
                  <c:v>5.3921729999999997</c:v>
                </c:pt>
                <c:pt idx="14">
                  <c:v>5.7241610999999999</c:v>
                </c:pt>
                <c:pt idx="15">
                  <c:v>5.1458613</c:v>
                </c:pt>
                <c:pt idx="16">
                  <c:v>5.5276458999999996</c:v>
                </c:pt>
                <c:pt idx="17">
                  <c:v>5.5736170999999999</c:v>
                </c:pt>
                <c:pt idx="18">
                  <c:v>5.7454405</c:v>
                </c:pt>
                <c:pt idx="19">
                  <c:v>6.1147441000000002</c:v>
                </c:pt>
                <c:pt idx="20">
                  <c:v>6.1475556999999998</c:v>
                </c:pt>
                <c:pt idx="21">
                  <c:v>5.9840719</c:v>
                </c:pt>
                <c:pt idx="22">
                  <c:v>5.4512777000000003</c:v>
                </c:pt>
                <c:pt idx="23">
                  <c:v>5.6634849999999997</c:v>
                </c:pt>
                <c:pt idx="24">
                  <c:v>5.4904815999999999</c:v>
                </c:pt>
                <c:pt idx="25">
                  <c:v>5.6505200999999996</c:v>
                </c:pt>
                <c:pt idx="26">
                  <c:v>5.7955611999999999</c:v>
                </c:pt>
                <c:pt idx="27">
                  <c:v>5.7380585999999996</c:v>
                </c:pt>
                <c:pt idx="28">
                  <c:v>6.1218956999999996</c:v>
                </c:pt>
                <c:pt idx="29">
                  <c:v>6.0161873000000003</c:v>
                </c:pt>
                <c:pt idx="30">
                  <c:v>6.0435888000000002</c:v>
                </c:pt>
                <c:pt idx="31">
                  <c:v>5.9586917000000001</c:v>
                </c:pt>
                <c:pt idx="32">
                  <c:v>6.1077507000000004</c:v>
                </c:pt>
                <c:pt idx="33">
                  <c:v>5.8998888999999997</c:v>
                </c:pt>
                <c:pt idx="34">
                  <c:v>6.1517368000000001</c:v>
                </c:pt>
                <c:pt idx="35">
                  <c:v>5.7189698</c:v>
                </c:pt>
                <c:pt idx="36">
                  <c:v>5.7237106999999998</c:v>
                </c:pt>
                <c:pt idx="37">
                  <c:v>5.8299203000000004</c:v>
                </c:pt>
                <c:pt idx="38">
                  <c:v>5.3220169000000004</c:v>
                </c:pt>
                <c:pt idx="39">
                  <c:v>5.6738308000000002</c:v>
                </c:pt>
                <c:pt idx="40">
                  <c:v>5.3837248000000004</c:v>
                </c:pt>
                <c:pt idx="41">
                  <c:v>5.6400454</c:v>
                </c:pt>
                <c:pt idx="42">
                  <c:v>5.8198952999999998</c:v>
                </c:pt>
                <c:pt idx="43">
                  <c:v>5.8405657</c:v>
                </c:pt>
                <c:pt idx="44">
                  <c:v>5.4967686999999996</c:v>
                </c:pt>
                <c:pt idx="45">
                  <c:v>5.5494488999999998</c:v>
                </c:pt>
                <c:pt idx="46">
                  <c:v>5.5990533999999998</c:v>
                </c:pt>
                <c:pt idx="47">
                  <c:v>5.5379832999999996</c:v>
                </c:pt>
                <c:pt idx="48">
                  <c:v>5.9947898000000004</c:v>
                </c:pt>
                <c:pt idx="49">
                  <c:v>6.1588067000000004</c:v>
                </c:pt>
                <c:pt idx="50">
                  <c:v>5.9877630999999996</c:v>
                </c:pt>
                <c:pt idx="51">
                  <c:v>6.3769425000000002</c:v>
                </c:pt>
                <c:pt idx="52">
                  <c:v>6.3983654999999997</c:v>
                </c:pt>
                <c:pt idx="53">
                  <c:v>6.6248392999999997</c:v>
                </c:pt>
                <c:pt idx="54">
                  <c:v>6.3400650000000001</c:v>
                </c:pt>
                <c:pt idx="55">
                  <c:v>6.8466512000000002</c:v>
                </c:pt>
                <c:pt idx="56">
                  <c:v>7.481941</c:v>
                </c:pt>
                <c:pt idx="57">
                  <c:v>7.7819795999999997</c:v>
                </c:pt>
                <c:pt idx="58">
                  <c:v>8.1417269999999995</c:v>
                </c:pt>
                <c:pt idx="59">
                  <c:v>8.1316200999999992</c:v>
                </c:pt>
                <c:pt idx="60">
                  <c:v>8.4525559000000001</c:v>
                </c:pt>
                <c:pt idx="61">
                  <c:v>8.7622505999999998</c:v>
                </c:pt>
                <c:pt idx="62">
                  <c:v>9.3473948999999994</c:v>
                </c:pt>
                <c:pt idx="63">
                  <c:v>9.6304504000000009</c:v>
                </c:pt>
                <c:pt idx="64">
                  <c:v>9.3448758000000005</c:v>
                </c:pt>
                <c:pt idx="65">
                  <c:v>9.4597966000000007</c:v>
                </c:pt>
                <c:pt idx="66">
                  <c:v>9.3256568000000009</c:v>
                </c:pt>
                <c:pt idx="67">
                  <c:v>9.6275048000000005</c:v>
                </c:pt>
                <c:pt idx="68">
                  <c:v>8.8472436999999999</c:v>
                </c:pt>
                <c:pt idx="69">
                  <c:v>8.7667511000000005</c:v>
                </c:pt>
                <c:pt idx="70">
                  <c:v>8.4477670000000007</c:v>
                </c:pt>
                <c:pt idx="71">
                  <c:v>8.6073623999999995</c:v>
                </c:pt>
                <c:pt idx="72">
                  <c:v>8.6783444000000003</c:v>
                </c:pt>
                <c:pt idx="73">
                  <c:v>8.0296862000000004</c:v>
                </c:pt>
                <c:pt idx="74">
                  <c:v>8.1875169999999997</c:v>
                </c:pt>
                <c:pt idx="75">
                  <c:v>7.6780771000000003</c:v>
                </c:pt>
                <c:pt idx="76">
                  <c:v>7.7676034999999999</c:v>
                </c:pt>
                <c:pt idx="77">
                  <c:v>7.5825801000000004</c:v>
                </c:pt>
                <c:pt idx="78">
                  <c:v>7.3670996999999998</c:v>
                </c:pt>
                <c:pt idx="79">
                  <c:v>7.3928925999999997</c:v>
                </c:pt>
                <c:pt idx="80">
                  <c:v>6.8606192999999998</c:v>
                </c:pt>
                <c:pt idx="81">
                  <c:v>7.3135241000000004</c:v>
                </c:pt>
                <c:pt idx="82">
                  <c:v>7.2561428000000001</c:v>
                </c:pt>
                <c:pt idx="83">
                  <c:v>7.3570146000000003</c:v>
                </c:pt>
                <c:pt idx="84">
                  <c:v>7.0466403</c:v>
                </c:pt>
                <c:pt idx="85">
                  <c:v>7.6184469999999997</c:v>
                </c:pt>
                <c:pt idx="86">
                  <c:v>7.1634571999999999</c:v>
                </c:pt>
                <c:pt idx="87">
                  <c:v>6.8433722000000001</c:v>
                </c:pt>
                <c:pt idx="88">
                  <c:v>7.2025110999999997</c:v>
                </c:pt>
                <c:pt idx="89">
                  <c:v>6.8270505000000004</c:v>
                </c:pt>
                <c:pt idx="90">
                  <c:v>6.4873839000000002</c:v>
                </c:pt>
                <c:pt idx="91">
                  <c:v>6.6736599999999999</c:v>
                </c:pt>
                <c:pt idx="92">
                  <c:v>6.7355707000000002</c:v>
                </c:pt>
                <c:pt idx="93">
                  <c:v>6.5987733999999998</c:v>
                </c:pt>
                <c:pt idx="94">
                  <c:v>6.3655927999999999</c:v>
                </c:pt>
                <c:pt idx="95">
                  <c:v>6.4053446999999997</c:v>
                </c:pt>
                <c:pt idx="96">
                  <c:v>6.5901392000000003</c:v>
                </c:pt>
                <c:pt idx="97">
                  <c:v>6.6033850000000003</c:v>
                </c:pt>
                <c:pt idx="98">
                  <c:v>6.6570394000000004</c:v>
                </c:pt>
                <c:pt idx="99">
                  <c:v>6.1959980000000003</c:v>
                </c:pt>
                <c:pt idx="100">
                  <c:v>5.9664381999999998</c:v>
                </c:pt>
                <c:pt idx="101">
                  <c:v>6.7693326000000003</c:v>
                </c:pt>
                <c:pt idx="102">
                  <c:v>7.1248041999999998</c:v>
                </c:pt>
                <c:pt idx="103">
                  <c:v>7.1244448</c:v>
                </c:pt>
                <c:pt idx="104">
                  <c:v>6.7868123000000002</c:v>
                </c:pt>
                <c:pt idx="105">
                  <c:v>6.8826875999999997</c:v>
                </c:pt>
                <c:pt idx="106">
                  <c:v>7.0033862999999998</c:v>
                </c:pt>
                <c:pt idx="107">
                  <c:v>6.6468467999999996</c:v>
                </c:pt>
                <c:pt idx="108">
                  <c:v>6.5808463000000001</c:v>
                </c:pt>
                <c:pt idx="109">
                  <c:v>6.7818918000000004</c:v>
                </c:pt>
                <c:pt idx="110">
                  <c:v>6.4966802000000001</c:v>
                </c:pt>
                <c:pt idx="111">
                  <c:v>6.2309961999999999</c:v>
                </c:pt>
                <c:pt idx="112">
                  <c:v>5.9187041000000002</c:v>
                </c:pt>
                <c:pt idx="113">
                  <c:v>6.0157682000000001</c:v>
                </c:pt>
                <c:pt idx="114">
                  <c:v>6.2947477000000003</c:v>
                </c:pt>
                <c:pt idx="115">
                  <c:v>5.7802990999999997</c:v>
                </c:pt>
                <c:pt idx="116">
                  <c:v>6.2066153000000002</c:v>
                </c:pt>
                <c:pt idx="117">
                  <c:v>6.0688873000000001</c:v>
                </c:pt>
                <c:pt idx="118">
                  <c:v>6.1498669000000001</c:v>
                </c:pt>
                <c:pt idx="119">
                  <c:v>6.1675301999999999</c:v>
                </c:pt>
                <c:pt idx="120">
                  <c:v>6.0150043999999996</c:v>
                </c:pt>
                <c:pt idx="121">
                  <c:v>6.1968759999999996</c:v>
                </c:pt>
                <c:pt idx="122">
                  <c:v>6.6160243999999997</c:v>
                </c:pt>
                <c:pt idx="123">
                  <c:v>6.4196222000000001</c:v>
                </c:pt>
                <c:pt idx="124">
                  <c:v>6.2168349000000003</c:v>
                </c:pt>
                <c:pt idx="125">
                  <c:v>5.4906698</c:v>
                </c:pt>
                <c:pt idx="126">
                  <c:v>5.9663117999999997</c:v>
                </c:pt>
                <c:pt idx="127">
                  <c:v>5.552492</c:v>
                </c:pt>
                <c:pt idx="128">
                  <c:v>5.6358598000000004</c:v>
                </c:pt>
                <c:pt idx="129">
                  <c:v>5.0048269000000003</c:v>
                </c:pt>
                <c:pt idx="130">
                  <c:v>5.4711031999999999</c:v>
                </c:pt>
                <c:pt idx="131">
                  <c:v>5.5322724000000001</c:v>
                </c:pt>
                <c:pt idx="132">
                  <c:v>5.6884430000000004</c:v>
                </c:pt>
                <c:pt idx="133">
                  <c:v>5.1996718</c:v>
                </c:pt>
                <c:pt idx="134">
                  <c:v>5.1049106000000002</c:v>
                </c:pt>
                <c:pt idx="135">
                  <c:v>4.9968887999999998</c:v>
                </c:pt>
                <c:pt idx="136">
                  <c:v>4.5699814999999999</c:v>
                </c:pt>
                <c:pt idx="137">
                  <c:v>4.6751455999999996</c:v>
                </c:pt>
                <c:pt idx="138">
                  <c:v>4.6291842000000001</c:v>
                </c:pt>
                <c:pt idx="139">
                  <c:v>4.8187109000000001</c:v>
                </c:pt>
                <c:pt idx="140">
                  <c:v>4.6086736999999998</c:v>
                </c:pt>
                <c:pt idx="141">
                  <c:v>4.7761107000000003</c:v>
                </c:pt>
                <c:pt idx="142">
                  <c:v>4.5335333000000002</c:v>
                </c:pt>
                <c:pt idx="143">
                  <c:v>4.6021086000000002</c:v>
                </c:pt>
                <c:pt idx="144">
                  <c:v>5.0800729000000002</c:v>
                </c:pt>
                <c:pt idx="145">
                  <c:v>4.8243394999999998</c:v>
                </c:pt>
                <c:pt idx="146">
                  <c:v>4.8639885999999999</c:v>
                </c:pt>
                <c:pt idx="147">
                  <c:v>5.2931005999999998</c:v>
                </c:pt>
                <c:pt idx="148">
                  <c:v>5.3074325</c:v>
                </c:pt>
                <c:pt idx="149">
                  <c:v>6.3757682000000004</c:v>
                </c:pt>
                <c:pt idx="150">
                  <c:v>6.5940351000000001</c:v>
                </c:pt>
                <c:pt idx="151">
                  <c:v>6.9264542999999996</c:v>
                </c:pt>
                <c:pt idx="152">
                  <c:v>7.4080269000000003</c:v>
                </c:pt>
                <c:pt idx="153">
                  <c:v>8.0132847999999992</c:v>
                </c:pt>
                <c:pt idx="154">
                  <c:v>7.8755262999999998</c:v>
                </c:pt>
                <c:pt idx="155">
                  <c:v>8.4678293</c:v>
                </c:pt>
                <c:pt idx="156">
                  <c:v>8.4967857000000002</c:v>
                </c:pt>
                <c:pt idx="157">
                  <c:v>9.2989665000000006</c:v>
                </c:pt>
                <c:pt idx="158">
                  <c:v>10.587202400000001</c:v>
                </c:pt>
                <c:pt idx="159">
                  <c:v>9.9999394000000006</c:v>
                </c:pt>
                <c:pt idx="160">
                  <c:v>10.2823826</c:v>
                </c:pt>
                <c:pt idx="161">
                  <c:v>10.1005839</c:v>
                </c:pt>
                <c:pt idx="162">
                  <c:v>10.155878599999999</c:v>
                </c:pt>
                <c:pt idx="163">
                  <c:v>10.7705625</c:v>
                </c:pt>
                <c:pt idx="164">
                  <c:v>10.339435399999999</c:v>
                </c:pt>
                <c:pt idx="165">
                  <c:v>10.733356199999999</c:v>
                </c:pt>
                <c:pt idx="166">
                  <c:v>11.0185298</c:v>
                </c:pt>
                <c:pt idx="167">
                  <c:v>10.9325858</c:v>
                </c:pt>
                <c:pt idx="168">
                  <c:v>10.9924582</c:v>
                </c:pt>
                <c:pt idx="169">
                  <c:v>11.5198552</c:v>
                </c:pt>
                <c:pt idx="170">
                  <c:v>11.452131400000001</c:v>
                </c:pt>
                <c:pt idx="171">
                  <c:v>11.6334175</c:v>
                </c:pt>
                <c:pt idx="172">
                  <c:v>11.597531399999999</c:v>
                </c:pt>
                <c:pt idx="173">
                  <c:v>11.973216900000001</c:v>
                </c:pt>
                <c:pt idx="174">
                  <c:v>11.3688178</c:v>
                </c:pt>
                <c:pt idx="175">
                  <c:v>11.1119246</c:v>
                </c:pt>
                <c:pt idx="176">
                  <c:v>11.6047379</c:v>
                </c:pt>
                <c:pt idx="177">
                  <c:v>11.8820751</c:v>
                </c:pt>
                <c:pt idx="178">
                  <c:v>11.574627599999999</c:v>
                </c:pt>
                <c:pt idx="179">
                  <c:v>11.5006737</c:v>
                </c:pt>
                <c:pt idx="180">
                  <c:v>11.6148151</c:v>
                </c:pt>
                <c:pt idx="181">
                  <c:v>11.5600781</c:v>
                </c:pt>
                <c:pt idx="182">
                  <c:v>11.375153299999999</c:v>
                </c:pt>
                <c:pt idx="183">
                  <c:v>12.3083505</c:v>
                </c:pt>
                <c:pt idx="184">
                  <c:v>12.374716299999999</c:v>
                </c:pt>
                <c:pt idx="185">
                  <c:v>12.4618202</c:v>
                </c:pt>
                <c:pt idx="186">
                  <c:v>12.5296036</c:v>
                </c:pt>
                <c:pt idx="187">
                  <c:v>12.0688268</c:v>
                </c:pt>
                <c:pt idx="188">
                  <c:v>12.3295976</c:v>
                </c:pt>
                <c:pt idx="189">
                  <c:v>12.281905999999999</c:v>
                </c:pt>
                <c:pt idx="190">
                  <c:v>12.1891053</c:v>
                </c:pt>
                <c:pt idx="191">
                  <c:v>12.0532334</c:v>
                </c:pt>
                <c:pt idx="192">
                  <c:v>11.9776121</c:v>
                </c:pt>
                <c:pt idx="193">
                  <c:v>11.916514599999999</c:v>
                </c:pt>
                <c:pt idx="194">
                  <c:v>11.228749499999999</c:v>
                </c:pt>
                <c:pt idx="195">
                  <c:v>10.8959502</c:v>
                </c:pt>
                <c:pt idx="196">
                  <c:v>10.657996199999999</c:v>
                </c:pt>
                <c:pt idx="197">
                  <c:v>10.419397</c:v>
                </c:pt>
                <c:pt idx="198">
                  <c:v>10.8308325</c:v>
                </c:pt>
                <c:pt idx="199">
                  <c:v>10.0777801</c:v>
                </c:pt>
                <c:pt idx="200">
                  <c:v>9.7284602000000007</c:v>
                </c:pt>
                <c:pt idx="201">
                  <c:v>9.9921352999999993</c:v>
                </c:pt>
                <c:pt idx="202">
                  <c:v>9.7129616999999993</c:v>
                </c:pt>
                <c:pt idx="203">
                  <c:v>9.8867457000000005</c:v>
                </c:pt>
                <c:pt idx="204">
                  <c:v>9.3062564999999999</c:v>
                </c:pt>
                <c:pt idx="205">
                  <c:v>8.9566922000000009</c:v>
                </c:pt>
                <c:pt idx="206">
                  <c:v>8.6783933999999991</c:v>
                </c:pt>
                <c:pt idx="207">
                  <c:v>8.7866426999999998</c:v>
                </c:pt>
                <c:pt idx="208">
                  <c:v>8.7564507000000003</c:v>
                </c:pt>
                <c:pt idx="209">
                  <c:v>9.0035954</c:v>
                </c:pt>
                <c:pt idx="210">
                  <c:v>8.5387400000000007</c:v>
                </c:pt>
                <c:pt idx="211">
                  <c:v>8.8738066</c:v>
                </c:pt>
                <c:pt idx="212">
                  <c:v>9.3876542999999995</c:v>
                </c:pt>
                <c:pt idx="213">
                  <c:v>8.5360853999999993</c:v>
                </c:pt>
                <c:pt idx="214">
                  <c:v>8.3051838</c:v>
                </c:pt>
                <c:pt idx="215">
                  <c:v>8.6027901</c:v>
                </c:pt>
                <c:pt idx="216">
                  <c:v>8.9245994999999994</c:v>
                </c:pt>
                <c:pt idx="217">
                  <c:v>8.4856397999999995</c:v>
                </c:pt>
                <c:pt idx="218">
                  <c:v>8.8600469000000004</c:v>
                </c:pt>
                <c:pt idx="219">
                  <c:v>8.3542480999999995</c:v>
                </c:pt>
                <c:pt idx="220">
                  <c:v>8.0737430999999997</c:v>
                </c:pt>
                <c:pt idx="221">
                  <c:v>8.5875001999999991</c:v>
                </c:pt>
                <c:pt idx="222">
                  <c:v>8.9018349000000008</c:v>
                </c:pt>
                <c:pt idx="223">
                  <c:v>9.0404058999999997</c:v>
                </c:pt>
                <c:pt idx="224">
                  <c:v>9.3619722999999997</c:v>
                </c:pt>
                <c:pt idx="225">
                  <c:v>9.2644596000000003</c:v>
                </c:pt>
                <c:pt idx="226">
                  <c:v>9.1372622000000003</c:v>
                </c:pt>
                <c:pt idx="227">
                  <c:v>8.6761538999999992</c:v>
                </c:pt>
                <c:pt idx="228">
                  <c:v>9.0070192999999996</c:v>
                </c:pt>
                <c:pt idx="229">
                  <c:v>8.9856747000000006</c:v>
                </c:pt>
                <c:pt idx="230">
                  <c:v>8.9826572000000002</c:v>
                </c:pt>
                <c:pt idx="231">
                  <c:v>8.8913028999999995</c:v>
                </c:pt>
                <c:pt idx="232">
                  <c:v>9.1362552000000008</c:v>
                </c:pt>
                <c:pt idx="233">
                  <c:v>8.8796865999999994</c:v>
                </c:pt>
                <c:pt idx="234">
                  <c:v>8.9675715</c:v>
                </c:pt>
                <c:pt idx="235">
                  <c:v>8.5366470999999997</c:v>
                </c:pt>
                <c:pt idx="236">
                  <c:v>8.1143836999999994</c:v>
                </c:pt>
                <c:pt idx="237">
                  <c:v>7.9724735999999998</c:v>
                </c:pt>
                <c:pt idx="238">
                  <c:v>8.0328766999999992</c:v>
                </c:pt>
                <c:pt idx="239">
                  <c:v>8.2665930000000003</c:v>
                </c:pt>
                <c:pt idx="240">
                  <c:v>7.6502635999999997</c:v>
                </c:pt>
                <c:pt idx="241">
                  <c:v>8.2263818999999998</c:v>
                </c:pt>
                <c:pt idx="242">
                  <c:v>8.0549230000000005</c:v>
                </c:pt>
                <c:pt idx="243">
                  <c:v>7.9382720000000004</c:v>
                </c:pt>
                <c:pt idx="244">
                  <c:v>7.9462355000000002</c:v>
                </c:pt>
                <c:pt idx="245">
                  <c:v>7.9316481999999997</c:v>
                </c:pt>
                <c:pt idx="246">
                  <c:v>7.7470762999999998</c:v>
                </c:pt>
                <c:pt idx="247">
                  <c:v>7.6115285000000004</c:v>
                </c:pt>
                <c:pt idx="248">
                  <c:v>7.4975411999999997</c:v>
                </c:pt>
                <c:pt idx="249">
                  <c:v>7.8223440000000002</c:v>
                </c:pt>
                <c:pt idx="250">
                  <c:v>7.0765308999999998</c:v>
                </c:pt>
                <c:pt idx="251">
                  <c:v>7.134144</c:v>
                </c:pt>
                <c:pt idx="252">
                  <c:v>7.3805968999999996</c:v>
                </c:pt>
                <c:pt idx="253">
                  <c:v>7.0406493000000001</c:v>
                </c:pt>
                <c:pt idx="254">
                  <c:v>7.3251195999999998</c:v>
                </c:pt>
                <c:pt idx="255">
                  <c:v>7.4035970000000004</c:v>
                </c:pt>
                <c:pt idx="256">
                  <c:v>7.0562769000000003</c:v>
                </c:pt>
                <c:pt idx="257">
                  <c:v>7.1356640999999996</c:v>
                </c:pt>
                <c:pt idx="258">
                  <c:v>6.9453595999999997</c:v>
                </c:pt>
                <c:pt idx="259">
                  <c:v>6.9776151999999998</c:v>
                </c:pt>
                <c:pt idx="260">
                  <c:v>6.5288424000000003</c:v>
                </c:pt>
                <c:pt idx="261">
                  <c:v>6.6157402999999997</c:v>
                </c:pt>
                <c:pt idx="262">
                  <c:v>6.5916630999999999</c:v>
                </c:pt>
                <c:pt idx="263">
                  <c:v>6.7803399999999998</c:v>
                </c:pt>
                <c:pt idx="264">
                  <c:v>6.6113021999999999</c:v>
                </c:pt>
                <c:pt idx="265">
                  <c:v>6.6206389999999997</c:v>
                </c:pt>
                <c:pt idx="266">
                  <c:v>6.3163900999999996</c:v>
                </c:pt>
                <c:pt idx="267">
                  <c:v>6.6383390000000002</c:v>
                </c:pt>
                <c:pt idx="268">
                  <c:v>6.1301088000000004</c:v>
                </c:pt>
                <c:pt idx="269">
                  <c:v>5.9319629999999997</c:v>
                </c:pt>
                <c:pt idx="270">
                  <c:v>5.9283754999999996</c:v>
                </c:pt>
                <c:pt idx="271">
                  <c:v>5.9579604000000002</c:v>
                </c:pt>
                <c:pt idx="272">
                  <c:v>5.7954495000000001</c:v>
                </c:pt>
                <c:pt idx="273">
                  <c:v>5.8674916000000001</c:v>
                </c:pt>
                <c:pt idx="274">
                  <c:v>5.7128705999999996</c:v>
                </c:pt>
                <c:pt idx="275">
                  <c:v>5.8259822000000003</c:v>
                </c:pt>
                <c:pt idx="276">
                  <c:v>6.0012800999999998</c:v>
                </c:pt>
                <c:pt idx="277">
                  <c:v>6.1231157999999999</c:v>
                </c:pt>
                <c:pt idx="278">
                  <c:v>6.2656156000000003</c:v>
                </c:pt>
                <c:pt idx="279">
                  <c:v>6.4170616000000003</c:v>
                </c:pt>
                <c:pt idx="280">
                  <c:v>6.3236160999999997</c:v>
                </c:pt>
                <c:pt idx="281">
                  <c:v>6.4580615999999997</c:v>
                </c:pt>
                <c:pt idx="282">
                  <c:v>6.5893053999999998</c:v>
                </c:pt>
                <c:pt idx="283">
                  <c:v>6.3597495999999998</c:v>
                </c:pt>
                <c:pt idx="284">
                  <c:v>7.1434481999999999</c:v>
                </c:pt>
                <c:pt idx="285">
                  <c:v>6.6754658999999998</c:v>
                </c:pt>
                <c:pt idx="286">
                  <c:v>6.7442513999999996</c:v>
                </c:pt>
                <c:pt idx="287">
                  <c:v>6.5968185000000004</c:v>
                </c:pt>
                <c:pt idx="288">
                  <c:v>6.2690238000000003</c:v>
                </c:pt>
                <c:pt idx="289">
                  <c:v>6.0331939999999999</c:v>
                </c:pt>
                <c:pt idx="290">
                  <c:v>5.6308125999999996</c:v>
                </c:pt>
                <c:pt idx="291">
                  <c:v>5.7908761000000002</c:v>
                </c:pt>
                <c:pt idx="292">
                  <c:v>6.3206550999999997</c:v>
                </c:pt>
                <c:pt idx="293">
                  <c:v>5.5634094999999997</c:v>
                </c:pt>
                <c:pt idx="294">
                  <c:v>6.2229919000000002</c:v>
                </c:pt>
                <c:pt idx="295">
                  <c:v>5.8983498000000001</c:v>
                </c:pt>
                <c:pt idx="296">
                  <c:v>5.9669663000000002</c:v>
                </c:pt>
                <c:pt idx="297">
                  <c:v>5.7728672999999997</c:v>
                </c:pt>
                <c:pt idx="298">
                  <c:v>5.5960247000000001</c:v>
                </c:pt>
                <c:pt idx="299">
                  <c:v>5.5750111999999996</c:v>
                </c:pt>
                <c:pt idx="300">
                  <c:v>5.0714075000000003</c:v>
                </c:pt>
                <c:pt idx="301">
                  <c:v>5.6170163999999998</c:v>
                </c:pt>
                <c:pt idx="302">
                  <c:v>5.7314502999999997</c:v>
                </c:pt>
                <c:pt idx="303">
                  <c:v>5.8862993000000001</c:v>
                </c:pt>
                <c:pt idx="304">
                  <c:v>5.8970836000000002</c:v>
                </c:pt>
                <c:pt idx="305">
                  <c:v>5.6834924999999998</c:v>
                </c:pt>
                <c:pt idx="306">
                  <c:v>5.5138306999999998</c:v>
                </c:pt>
                <c:pt idx="307">
                  <c:v>5.3014885999999999</c:v>
                </c:pt>
                <c:pt idx="308">
                  <c:v>5.5506368000000004</c:v>
                </c:pt>
                <c:pt idx="309">
                  <c:v>5.2774896</c:v>
                </c:pt>
                <c:pt idx="310">
                  <c:v>5.5580968000000004</c:v>
                </c:pt>
                <c:pt idx="311">
                  <c:v>5.4821492999999997</c:v>
                </c:pt>
                <c:pt idx="312">
                  <c:v>5.5883079000000002</c:v>
                </c:pt>
                <c:pt idx="313">
                  <c:v>5.2259780999999998</c:v>
                </c:pt>
                <c:pt idx="314">
                  <c:v>5.5566211000000001</c:v>
                </c:pt>
                <c:pt idx="315">
                  <c:v>5.0556701999999998</c:v>
                </c:pt>
                <c:pt idx="316">
                  <c:v>5.3196212999999997</c:v>
                </c:pt>
                <c:pt idx="317">
                  <c:v>5.4186706999999998</c:v>
                </c:pt>
                <c:pt idx="318">
                  <c:v>5.8237421999999999</c:v>
                </c:pt>
                <c:pt idx="319">
                  <c:v>5.8137673000000003</c:v>
                </c:pt>
                <c:pt idx="320">
                  <c:v>5.6582657999999997</c:v>
                </c:pt>
                <c:pt idx="321">
                  <c:v>5.6747388000000001</c:v>
                </c:pt>
                <c:pt idx="322">
                  <c:v>5.5509484999999996</c:v>
                </c:pt>
                <c:pt idx="323">
                  <c:v>5.3929233999999999</c:v>
                </c:pt>
                <c:pt idx="324">
                  <c:v>5.4568310999999996</c:v>
                </c:pt>
                <c:pt idx="325">
                  <c:v>5.3699047000000002</c:v>
                </c:pt>
                <c:pt idx="326">
                  <c:v>5.4106573999999998</c:v>
                </c:pt>
                <c:pt idx="327">
                  <c:v>5.3616957999999997</c:v>
                </c:pt>
                <c:pt idx="328">
                  <c:v>5.1734492999999997</c:v>
                </c:pt>
                <c:pt idx="329">
                  <c:v>5.2529686</c:v>
                </c:pt>
                <c:pt idx="330">
                  <c:v>5.0845639</c:v>
                </c:pt>
                <c:pt idx="331">
                  <c:v>5.4773211999999996</c:v>
                </c:pt>
                <c:pt idx="332">
                  <c:v>5.3461457000000001</c:v>
                </c:pt>
                <c:pt idx="333">
                  <c:v>5.2989283</c:v>
                </c:pt>
                <c:pt idx="334">
                  <c:v>5.3166041999999996</c:v>
                </c:pt>
                <c:pt idx="335">
                  <c:v>5.2729761000000002</c:v>
                </c:pt>
                <c:pt idx="336">
                  <c:v>5.3028950000000004</c:v>
                </c:pt>
                <c:pt idx="337">
                  <c:v>5.1146615000000004</c:v>
                </c:pt>
                <c:pt idx="338">
                  <c:v>5.1867194999999997</c:v>
                </c:pt>
                <c:pt idx="339">
                  <c:v>5.0294023000000001</c:v>
                </c:pt>
                <c:pt idx="340">
                  <c:v>5.0100094000000004</c:v>
                </c:pt>
                <c:pt idx="341">
                  <c:v>5.0546635999999996</c:v>
                </c:pt>
                <c:pt idx="342">
                  <c:v>4.5320739999999997</c:v>
                </c:pt>
                <c:pt idx="343">
                  <c:v>4.5793363999999999</c:v>
                </c:pt>
                <c:pt idx="344">
                  <c:v>4.9151942000000002</c:v>
                </c:pt>
                <c:pt idx="345">
                  <c:v>4.7346909999999998</c:v>
                </c:pt>
                <c:pt idx="346">
                  <c:v>5.0497003999999999</c:v>
                </c:pt>
                <c:pt idx="347">
                  <c:v>4.9516834000000003</c:v>
                </c:pt>
                <c:pt idx="348">
                  <c:v>4.8153525000000004</c:v>
                </c:pt>
                <c:pt idx="349">
                  <c:v>4.8379839999999996</c:v>
                </c:pt>
                <c:pt idx="350">
                  <c:v>4.7023862999999997</c:v>
                </c:pt>
                <c:pt idx="351">
                  <c:v>4.7118278</c:v>
                </c:pt>
                <c:pt idx="352">
                  <c:v>4.6444000000000001</c:v>
                </c:pt>
                <c:pt idx="353">
                  <c:v>4.3206851999999998</c:v>
                </c:pt>
                <c:pt idx="354">
                  <c:v>4.7215002999999998</c:v>
                </c:pt>
                <c:pt idx="355">
                  <c:v>4.2495694000000004</c:v>
                </c:pt>
                <c:pt idx="356">
                  <c:v>4.3890751999999997</c:v>
                </c:pt>
                <c:pt idx="357">
                  <c:v>4.9316237999999997</c:v>
                </c:pt>
                <c:pt idx="358">
                  <c:v>4.8804211999999998</c:v>
                </c:pt>
                <c:pt idx="359">
                  <c:v>4.5082579000000003</c:v>
                </c:pt>
                <c:pt idx="360">
                  <c:v>4.1624939000000003</c:v>
                </c:pt>
                <c:pt idx="361">
                  <c:v>4.2686507999999996</c:v>
                </c:pt>
                <c:pt idx="362">
                  <c:v>4.6873095999999999</c:v>
                </c:pt>
                <c:pt idx="363">
                  <c:v>4.3174786999999997</c:v>
                </c:pt>
                <c:pt idx="364">
                  <c:v>4.6647661999999999</c:v>
                </c:pt>
                <c:pt idx="365">
                  <c:v>4.6310039999999999</c:v>
                </c:pt>
                <c:pt idx="366">
                  <c:v>4.1795330000000002</c:v>
                </c:pt>
                <c:pt idx="367">
                  <c:v>4.3671334000000002</c:v>
                </c:pt>
                <c:pt idx="368">
                  <c:v>4.3298437999999999</c:v>
                </c:pt>
                <c:pt idx="369">
                  <c:v>4.4909091999999999</c:v>
                </c:pt>
                <c:pt idx="370">
                  <c:v>4.8109342000000002</c:v>
                </c:pt>
                <c:pt idx="371">
                  <c:v>4.9044270000000001</c:v>
                </c:pt>
                <c:pt idx="372">
                  <c:v>5.6500174000000003</c:v>
                </c:pt>
                <c:pt idx="373">
                  <c:v>5.7029886000000003</c:v>
                </c:pt>
                <c:pt idx="374">
                  <c:v>5.7661825999999996</c:v>
                </c:pt>
                <c:pt idx="375">
                  <c:v>6.0152551000000001</c:v>
                </c:pt>
                <c:pt idx="376">
                  <c:v>6.1502349000000001</c:v>
                </c:pt>
                <c:pt idx="377">
                  <c:v>5.7749978999999998</c:v>
                </c:pt>
                <c:pt idx="378">
                  <c:v>6.0950923000000001</c:v>
                </c:pt>
                <c:pt idx="379">
                  <c:v>5.5693834000000004</c:v>
                </c:pt>
                <c:pt idx="380">
                  <c:v>5.5804270999999996</c:v>
                </c:pt>
                <c:pt idx="381">
                  <c:v>5.1815962999999998</c:v>
                </c:pt>
                <c:pt idx="382">
                  <c:v>5.3569873000000001</c:v>
                </c:pt>
                <c:pt idx="383">
                  <c:v>5.2701634999999998</c:v>
                </c:pt>
                <c:pt idx="384">
                  <c:v>5.3099229000000001</c:v>
                </c:pt>
                <c:pt idx="385">
                  <c:v>5.4506541999999998</c:v>
                </c:pt>
                <c:pt idx="386">
                  <c:v>5.4237118000000004</c:v>
                </c:pt>
                <c:pt idx="387">
                  <c:v>5.5113934000000002</c:v>
                </c:pt>
                <c:pt idx="388">
                  <c:v>5.5034891000000004</c:v>
                </c:pt>
                <c:pt idx="389">
                  <c:v>5.4561485000000003</c:v>
                </c:pt>
                <c:pt idx="390">
                  <c:v>5.4276280999999997</c:v>
                </c:pt>
                <c:pt idx="391">
                  <c:v>5.1701066000000004</c:v>
                </c:pt>
                <c:pt idx="392">
                  <c:v>5.4763485999999997</c:v>
                </c:pt>
                <c:pt idx="393">
                  <c:v>5.2123609000000002</c:v>
                </c:pt>
                <c:pt idx="394">
                  <c:v>4.8446271999999997</c:v>
                </c:pt>
                <c:pt idx="395">
                  <c:v>4.9608623999999999</c:v>
                </c:pt>
                <c:pt idx="396">
                  <c:v>5.0174742999999999</c:v>
                </c:pt>
                <c:pt idx="397">
                  <c:v>4.4064494999999999</c:v>
                </c:pt>
                <c:pt idx="398">
                  <c:v>4.7354877000000002</c:v>
                </c:pt>
                <c:pt idx="399">
                  <c:v>5.1939443000000001</c:v>
                </c:pt>
                <c:pt idx="400">
                  <c:v>4.6596437999999996</c:v>
                </c:pt>
                <c:pt idx="401">
                  <c:v>5.1835361999999998</c:v>
                </c:pt>
                <c:pt idx="402">
                  <c:v>5.1586407999999997</c:v>
                </c:pt>
                <c:pt idx="403">
                  <c:v>5.3230823999999997</c:v>
                </c:pt>
                <c:pt idx="404">
                  <c:v>5.3952856000000002</c:v>
                </c:pt>
                <c:pt idx="405">
                  <c:v>5.3906922000000002</c:v>
                </c:pt>
                <c:pt idx="406">
                  <c:v>5.1972468000000003</c:v>
                </c:pt>
                <c:pt idx="407">
                  <c:v>5.0215320999999999</c:v>
                </c:pt>
                <c:pt idx="408">
                  <c:v>5.5172793000000002</c:v>
                </c:pt>
                <c:pt idx="409">
                  <c:v>5.8313351999999998</c:v>
                </c:pt>
                <c:pt idx="410">
                  <c:v>5.2993965000000003</c:v>
                </c:pt>
                <c:pt idx="411">
                  <c:v>5.5449310000000001</c:v>
                </c:pt>
                <c:pt idx="412">
                  <c:v>5.5341268000000001</c:v>
                </c:pt>
                <c:pt idx="413">
                  <c:v>5.4017179000000004</c:v>
                </c:pt>
                <c:pt idx="414">
                  <c:v>5.6010282</c:v>
                </c:pt>
                <c:pt idx="415">
                  <c:v>5.6480611999999999</c:v>
                </c:pt>
                <c:pt idx="416">
                  <c:v>5.4830601999999997</c:v>
                </c:pt>
                <c:pt idx="417">
                  <c:v>5.4011060000000004</c:v>
                </c:pt>
                <c:pt idx="418">
                  <c:v>5.6623051999999996</c:v>
                </c:pt>
                <c:pt idx="419">
                  <c:v>5.9577131999999997</c:v>
                </c:pt>
                <c:pt idx="420">
                  <c:v>5.6211571999999999</c:v>
                </c:pt>
                <c:pt idx="421">
                  <c:v>5.7082772999999998</c:v>
                </c:pt>
                <c:pt idx="422">
                  <c:v>5.9022253999999998</c:v>
                </c:pt>
                <c:pt idx="423">
                  <c:v>5.591628</c:v>
                </c:pt>
                <c:pt idx="424">
                  <c:v>5.9229403999999999</c:v>
                </c:pt>
                <c:pt idx="425">
                  <c:v>5.6565173</c:v>
                </c:pt>
                <c:pt idx="426">
                  <c:v>5.8109140999999997</c:v>
                </c:pt>
                <c:pt idx="427">
                  <c:v>5.8839074</c:v>
                </c:pt>
                <c:pt idx="428">
                  <c:v>6.1488918000000004</c:v>
                </c:pt>
                <c:pt idx="429">
                  <c:v>6.1856594999999999</c:v>
                </c:pt>
                <c:pt idx="430">
                  <c:v>6.2664562999999998</c:v>
                </c:pt>
                <c:pt idx="431">
                  <c:v>6.3632853999999996</c:v>
                </c:pt>
                <c:pt idx="432">
                  <c:v>6.3398763000000002</c:v>
                </c:pt>
                <c:pt idx="433">
                  <c:v>6.4919200999999997</c:v>
                </c:pt>
                <c:pt idx="434">
                  <c:v>6.4577356999999997</c:v>
                </c:pt>
                <c:pt idx="435">
                  <c:v>6.2226552000000002</c:v>
                </c:pt>
                <c:pt idx="436">
                  <c:v>6.6051076000000002</c:v>
                </c:pt>
                <c:pt idx="437">
                  <c:v>6.8205331999999999</c:v>
                </c:pt>
                <c:pt idx="438">
                  <c:v>6.8038949999999998</c:v>
                </c:pt>
                <c:pt idx="439">
                  <c:v>6.8547219999999998</c:v>
                </c:pt>
                <c:pt idx="440">
                  <c:v>6.9853018000000002</c:v>
                </c:pt>
                <c:pt idx="441">
                  <c:v>6.7478156</c:v>
                </c:pt>
                <c:pt idx="442">
                  <c:v>6.4430715999999997</c:v>
                </c:pt>
                <c:pt idx="443">
                  <c:v>6.5390258000000001</c:v>
                </c:pt>
                <c:pt idx="444">
                  <c:v>5.9100351</c:v>
                </c:pt>
                <c:pt idx="445">
                  <c:v>6.223967</c:v>
                </c:pt>
                <c:pt idx="446">
                  <c:v>6.1623659000000002</c:v>
                </c:pt>
                <c:pt idx="447">
                  <c:v>5.9429727999999997</c:v>
                </c:pt>
                <c:pt idx="448">
                  <c:v>6.0249809000000001</c:v>
                </c:pt>
                <c:pt idx="449">
                  <c:v>6.3653659999999999</c:v>
                </c:pt>
                <c:pt idx="450">
                  <c:v>5.9359185999999999</c:v>
                </c:pt>
                <c:pt idx="451">
                  <c:v>6.3205292999999996</c:v>
                </c:pt>
                <c:pt idx="452">
                  <c:v>5.6954437999999996</c:v>
                </c:pt>
                <c:pt idx="453">
                  <c:v>6.2281285000000004</c:v>
                </c:pt>
                <c:pt idx="454">
                  <c:v>5.9775321000000003</c:v>
                </c:pt>
                <c:pt idx="455">
                  <c:v>6.3321509999999996</c:v>
                </c:pt>
                <c:pt idx="456">
                  <c:v>5.8071304000000001</c:v>
                </c:pt>
                <c:pt idx="457">
                  <c:v>5.6379327999999997</c:v>
                </c:pt>
                <c:pt idx="458">
                  <c:v>5.5415418000000001</c:v>
                </c:pt>
                <c:pt idx="459">
                  <c:v>5.8135332999999996</c:v>
                </c:pt>
                <c:pt idx="460">
                  <c:v>5.6743702999999996</c:v>
                </c:pt>
                <c:pt idx="461">
                  <c:v>5.8659410000000003</c:v>
                </c:pt>
                <c:pt idx="462">
                  <c:v>5.5278172000000003</c:v>
                </c:pt>
                <c:pt idx="463">
                  <c:v>5.8225106000000002</c:v>
                </c:pt>
                <c:pt idx="464">
                  <c:v>5.8373153000000002</c:v>
                </c:pt>
                <c:pt idx="465">
                  <c:v>6.0998710000000003</c:v>
                </c:pt>
                <c:pt idx="466">
                  <c:v>6.0505864000000003</c:v>
                </c:pt>
                <c:pt idx="467">
                  <c:v>5.7640912999999996</c:v>
                </c:pt>
                <c:pt idx="468">
                  <c:v>5.9312072000000002</c:v>
                </c:pt>
                <c:pt idx="469">
                  <c:v>6.1605917999999997</c:v>
                </c:pt>
                <c:pt idx="470">
                  <c:v>6.0940691999999999</c:v>
                </c:pt>
                <c:pt idx="471">
                  <c:v>5.9822882999999996</c:v>
                </c:pt>
                <c:pt idx="472">
                  <c:v>5.9173983999999997</c:v>
                </c:pt>
                <c:pt idx="473">
                  <c:v>6.1291200000000003</c:v>
                </c:pt>
                <c:pt idx="474">
                  <c:v>6.0958563000000003</c:v>
                </c:pt>
                <c:pt idx="475">
                  <c:v>6.0355676000000003</c:v>
                </c:pt>
                <c:pt idx="476">
                  <c:v>5.75448</c:v>
                </c:pt>
                <c:pt idx="477">
                  <c:v>5.4930987</c:v>
                </c:pt>
                <c:pt idx="478">
                  <c:v>6.1199216999999999</c:v>
                </c:pt>
                <c:pt idx="479">
                  <c:v>5.5382685</c:v>
                </c:pt>
                <c:pt idx="480">
                  <c:v>5.6132008999999998</c:v>
                </c:pt>
                <c:pt idx="481">
                  <c:v>5.2180493999999999</c:v>
                </c:pt>
                <c:pt idx="482">
                  <c:v>5.1846733</c:v>
                </c:pt>
                <c:pt idx="483">
                  <c:v>4.9918873000000001</c:v>
                </c:pt>
                <c:pt idx="484">
                  <c:v>5.5777359999999998</c:v>
                </c:pt>
                <c:pt idx="485">
                  <c:v>4.9736525</c:v>
                </c:pt>
                <c:pt idx="486">
                  <c:v>4.7435903000000001</c:v>
                </c:pt>
                <c:pt idx="487">
                  <c:v>4.6043691000000004</c:v>
                </c:pt>
                <c:pt idx="488">
                  <c:v>4.5127822999999996</c:v>
                </c:pt>
                <c:pt idx="489">
                  <c:v>4.6094751</c:v>
                </c:pt>
                <c:pt idx="490">
                  <c:v>4.1530598000000003</c:v>
                </c:pt>
                <c:pt idx="491">
                  <c:v>4.5451496000000002</c:v>
                </c:pt>
                <c:pt idx="492">
                  <c:v>4.7531698999999996</c:v>
                </c:pt>
                <c:pt idx="493">
                  <c:v>4.5877832999999999</c:v>
                </c:pt>
                <c:pt idx="494">
                  <c:v>4.8104804999999997</c:v>
                </c:pt>
                <c:pt idx="495">
                  <c:v>4.5230331000000001</c:v>
                </c:pt>
                <c:pt idx="496">
                  <c:v>4.8209669000000002</c:v>
                </c:pt>
                <c:pt idx="497">
                  <c:v>4.8772830000000003</c:v>
                </c:pt>
                <c:pt idx="498">
                  <c:v>4.9177388999999998</c:v>
                </c:pt>
                <c:pt idx="499">
                  <c:v>4.7233330999999996</c:v>
                </c:pt>
                <c:pt idx="500">
                  <c:v>4.7749740999999997</c:v>
                </c:pt>
                <c:pt idx="501">
                  <c:v>4.5580371</c:v>
                </c:pt>
                <c:pt idx="502">
                  <c:v>4.8496937999999998</c:v>
                </c:pt>
                <c:pt idx="503">
                  <c:v>5.2950249999999999</c:v>
                </c:pt>
                <c:pt idx="504">
                  <c:v>5.2801726000000002</c:v>
                </c:pt>
                <c:pt idx="505">
                  <c:v>5.1258428</c:v>
                </c:pt>
                <c:pt idx="506">
                  <c:v>5.8915790000000001</c:v>
                </c:pt>
                <c:pt idx="507">
                  <c:v>6.7492815000000004</c:v>
                </c:pt>
                <c:pt idx="508">
                  <c:v>7.5216206000000003</c:v>
                </c:pt>
                <c:pt idx="509">
                  <c:v>6.9302621000000002</c:v>
                </c:pt>
                <c:pt idx="510">
                  <c:v>7.0534271999999998</c:v>
                </c:pt>
                <c:pt idx="511">
                  <c:v>6.7315870999999996</c:v>
                </c:pt>
                <c:pt idx="512">
                  <c:v>7.2665408999999999</c:v>
                </c:pt>
                <c:pt idx="513">
                  <c:v>7.1466202000000001</c:v>
                </c:pt>
                <c:pt idx="514">
                  <c:v>6.4197905000000004</c:v>
                </c:pt>
                <c:pt idx="515">
                  <c:v>6.2355423999999999</c:v>
                </c:pt>
                <c:pt idx="516">
                  <c:v>5.6475922000000001</c:v>
                </c:pt>
                <c:pt idx="517">
                  <c:v>5.9979100000000001</c:v>
                </c:pt>
                <c:pt idx="518">
                  <c:v>5.3434132999999999</c:v>
                </c:pt>
                <c:pt idx="519">
                  <c:v>4.7287388000000004</c:v>
                </c:pt>
                <c:pt idx="520">
                  <c:v>4.5511768999999997</c:v>
                </c:pt>
                <c:pt idx="521">
                  <c:v>4.5439034999999999</c:v>
                </c:pt>
                <c:pt idx="522">
                  <c:v>3.9951661999999999</c:v>
                </c:pt>
                <c:pt idx="523">
                  <c:v>4.7512727999999997</c:v>
                </c:pt>
                <c:pt idx="524">
                  <c:v>5.5774843000000001</c:v>
                </c:pt>
                <c:pt idx="525">
                  <c:v>4.7095982000000003</c:v>
                </c:pt>
                <c:pt idx="526">
                  <c:v>4.2314173999999998</c:v>
                </c:pt>
                <c:pt idx="527">
                  <c:v>4.045871</c:v>
                </c:pt>
                <c:pt idx="528">
                  <c:v>4.1146969000000002</c:v>
                </c:pt>
                <c:pt idx="529">
                  <c:v>4.0472764000000003</c:v>
                </c:pt>
                <c:pt idx="530">
                  <c:v>4.1742584999999996</c:v>
                </c:pt>
                <c:pt idx="531">
                  <c:v>3.7570853</c:v>
                </c:pt>
                <c:pt idx="532">
                  <c:v>3.3023845000000001</c:v>
                </c:pt>
                <c:pt idx="533">
                  <c:v>3.2099660999999999</c:v>
                </c:pt>
                <c:pt idx="534">
                  <c:v>3.7464881000000001</c:v>
                </c:pt>
                <c:pt idx="535">
                  <c:v>3.50868</c:v>
                </c:pt>
                <c:pt idx="536">
                  <c:v>3.6997884000000001</c:v>
                </c:pt>
                <c:pt idx="537">
                  <c:v>3.6823280999999999</c:v>
                </c:pt>
                <c:pt idx="538">
                  <c:v>3.4864695000000001</c:v>
                </c:pt>
                <c:pt idx="539">
                  <c:v>4.0231683</c:v>
                </c:pt>
                <c:pt idx="540">
                  <c:v>3.7287686</c:v>
                </c:pt>
                <c:pt idx="541">
                  <c:v>3.6592112999999999</c:v>
                </c:pt>
                <c:pt idx="542">
                  <c:v>3.8589264999999999</c:v>
                </c:pt>
              </c:numCache>
            </c:numRef>
          </c:val>
          <c:smooth val="0"/>
          <c:extLst>
            <c:ext xmlns:c16="http://schemas.microsoft.com/office/drawing/2014/chart" uri="{C3380CC4-5D6E-409C-BE32-E72D297353CC}">
              <c16:uniqueId val="{00000000-BE69-416A-A544-8663B523D9B4}"/>
            </c:ext>
          </c:extLst>
        </c:ser>
        <c:ser>
          <c:idx val="1"/>
          <c:order val="1"/>
          <c:tx>
            <c:v>Underemployment</c:v>
          </c:tx>
          <c:spPr>
            <a:ln w="19050" cap="rnd">
              <a:solidFill>
                <a:schemeClr val="bg1">
                  <a:lumMod val="50000"/>
                </a:schemeClr>
              </a:solidFill>
              <a:round/>
            </a:ln>
            <a:effectLst/>
          </c:spPr>
          <c:marker>
            <c:symbol val="none"/>
          </c:marker>
          <c:cat>
            <c:numRef>
              <c:f>data!$A$11:$A$553</c:f>
              <c:numCache>
                <c:formatCode>mmm\-yyyy</c:formatCode>
                <c:ptCount val="543"/>
                <c:pt idx="0">
                  <c:v>28522</c:v>
                </c:pt>
                <c:pt idx="1">
                  <c:v>28550</c:v>
                </c:pt>
                <c:pt idx="2">
                  <c:v>28581</c:v>
                </c:pt>
                <c:pt idx="3">
                  <c:v>28611</c:v>
                </c:pt>
                <c:pt idx="4">
                  <c:v>28642</c:v>
                </c:pt>
                <c:pt idx="5">
                  <c:v>28672</c:v>
                </c:pt>
                <c:pt idx="6">
                  <c:v>28703</c:v>
                </c:pt>
                <c:pt idx="7">
                  <c:v>28734</c:v>
                </c:pt>
                <c:pt idx="8">
                  <c:v>28764</c:v>
                </c:pt>
                <c:pt idx="9">
                  <c:v>28795</c:v>
                </c:pt>
                <c:pt idx="10">
                  <c:v>28825</c:v>
                </c:pt>
                <c:pt idx="11">
                  <c:v>28856</c:v>
                </c:pt>
                <c:pt idx="12">
                  <c:v>28887</c:v>
                </c:pt>
                <c:pt idx="13">
                  <c:v>28915</c:v>
                </c:pt>
                <c:pt idx="14">
                  <c:v>28946</c:v>
                </c:pt>
                <c:pt idx="15">
                  <c:v>28976</c:v>
                </c:pt>
                <c:pt idx="16">
                  <c:v>29007</c:v>
                </c:pt>
                <c:pt idx="17">
                  <c:v>29037</c:v>
                </c:pt>
                <c:pt idx="18">
                  <c:v>29068</c:v>
                </c:pt>
                <c:pt idx="19">
                  <c:v>29099</c:v>
                </c:pt>
                <c:pt idx="20">
                  <c:v>29129</c:v>
                </c:pt>
                <c:pt idx="21">
                  <c:v>29160</c:v>
                </c:pt>
                <c:pt idx="22">
                  <c:v>29190</c:v>
                </c:pt>
                <c:pt idx="23">
                  <c:v>29221</c:v>
                </c:pt>
                <c:pt idx="24">
                  <c:v>29252</c:v>
                </c:pt>
                <c:pt idx="25">
                  <c:v>29281</c:v>
                </c:pt>
                <c:pt idx="26">
                  <c:v>29312</c:v>
                </c:pt>
                <c:pt idx="27">
                  <c:v>29342</c:v>
                </c:pt>
                <c:pt idx="28">
                  <c:v>29373</c:v>
                </c:pt>
                <c:pt idx="29">
                  <c:v>29403</c:v>
                </c:pt>
                <c:pt idx="30">
                  <c:v>29434</c:v>
                </c:pt>
                <c:pt idx="31">
                  <c:v>29465</c:v>
                </c:pt>
                <c:pt idx="32">
                  <c:v>29495</c:v>
                </c:pt>
                <c:pt idx="33">
                  <c:v>29526</c:v>
                </c:pt>
                <c:pt idx="34">
                  <c:v>29556</c:v>
                </c:pt>
                <c:pt idx="35">
                  <c:v>29587</c:v>
                </c:pt>
                <c:pt idx="36">
                  <c:v>29618</c:v>
                </c:pt>
                <c:pt idx="37">
                  <c:v>29646</c:v>
                </c:pt>
                <c:pt idx="38">
                  <c:v>29677</c:v>
                </c:pt>
                <c:pt idx="39">
                  <c:v>29707</c:v>
                </c:pt>
                <c:pt idx="40">
                  <c:v>29738</c:v>
                </c:pt>
                <c:pt idx="41">
                  <c:v>29768</c:v>
                </c:pt>
                <c:pt idx="42">
                  <c:v>29799</c:v>
                </c:pt>
                <c:pt idx="43">
                  <c:v>29830</c:v>
                </c:pt>
                <c:pt idx="44">
                  <c:v>29860</c:v>
                </c:pt>
                <c:pt idx="45">
                  <c:v>29891</c:v>
                </c:pt>
                <c:pt idx="46">
                  <c:v>29921</c:v>
                </c:pt>
                <c:pt idx="47">
                  <c:v>29952</c:v>
                </c:pt>
                <c:pt idx="48">
                  <c:v>29983</c:v>
                </c:pt>
                <c:pt idx="49">
                  <c:v>30011</c:v>
                </c:pt>
                <c:pt idx="50">
                  <c:v>30042</c:v>
                </c:pt>
                <c:pt idx="51">
                  <c:v>30072</c:v>
                </c:pt>
                <c:pt idx="52">
                  <c:v>30103</c:v>
                </c:pt>
                <c:pt idx="53">
                  <c:v>30133</c:v>
                </c:pt>
                <c:pt idx="54">
                  <c:v>30164</c:v>
                </c:pt>
                <c:pt idx="55">
                  <c:v>30195</c:v>
                </c:pt>
                <c:pt idx="56">
                  <c:v>30225</c:v>
                </c:pt>
                <c:pt idx="57">
                  <c:v>30256</c:v>
                </c:pt>
                <c:pt idx="58">
                  <c:v>30286</c:v>
                </c:pt>
                <c:pt idx="59">
                  <c:v>30317</c:v>
                </c:pt>
                <c:pt idx="60">
                  <c:v>30348</c:v>
                </c:pt>
                <c:pt idx="61">
                  <c:v>30376</c:v>
                </c:pt>
                <c:pt idx="62">
                  <c:v>30407</c:v>
                </c:pt>
                <c:pt idx="63">
                  <c:v>30437</c:v>
                </c:pt>
                <c:pt idx="64">
                  <c:v>30468</c:v>
                </c:pt>
                <c:pt idx="65">
                  <c:v>30498</c:v>
                </c:pt>
                <c:pt idx="66">
                  <c:v>30529</c:v>
                </c:pt>
                <c:pt idx="67">
                  <c:v>30560</c:v>
                </c:pt>
                <c:pt idx="68">
                  <c:v>30590</c:v>
                </c:pt>
                <c:pt idx="69">
                  <c:v>30621</c:v>
                </c:pt>
                <c:pt idx="70">
                  <c:v>30651</c:v>
                </c:pt>
                <c:pt idx="71">
                  <c:v>30682</c:v>
                </c:pt>
                <c:pt idx="72">
                  <c:v>30713</c:v>
                </c:pt>
                <c:pt idx="73">
                  <c:v>30742</c:v>
                </c:pt>
                <c:pt idx="74">
                  <c:v>30773</c:v>
                </c:pt>
                <c:pt idx="75">
                  <c:v>30803</c:v>
                </c:pt>
                <c:pt idx="76">
                  <c:v>30834</c:v>
                </c:pt>
                <c:pt idx="77">
                  <c:v>30864</c:v>
                </c:pt>
                <c:pt idx="78">
                  <c:v>30895</c:v>
                </c:pt>
                <c:pt idx="79">
                  <c:v>30926</c:v>
                </c:pt>
                <c:pt idx="80">
                  <c:v>30956</c:v>
                </c:pt>
                <c:pt idx="81">
                  <c:v>30987</c:v>
                </c:pt>
                <c:pt idx="82">
                  <c:v>31017</c:v>
                </c:pt>
                <c:pt idx="83">
                  <c:v>31048</c:v>
                </c:pt>
                <c:pt idx="84">
                  <c:v>31079</c:v>
                </c:pt>
                <c:pt idx="85">
                  <c:v>31107</c:v>
                </c:pt>
                <c:pt idx="86">
                  <c:v>31138</c:v>
                </c:pt>
                <c:pt idx="87">
                  <c:v>31168</c:v>
                </c:pt>
                <c:pt idx="88">
                  <c:v>31199</c:v>
                </c:pt>
                <c:pt idx="89">
                  <c:v>31229</c:v>
                </c:pt>
                <c:pt idx="90">
                  <c:v>31260</c:v>
                </c:pt>
                <c:pt idx="91">
                  <c:v>31291</c:v>
                </c:pt>
                <c:pt idx="92">
                  <c:v>31321</c:v>
                </c:pt>
                <c:pt idx="93">
                  <c:v>31352</c:v>
                </c:pt>
                <c:pt idx="94">
                  <c:v>31382</c:v>
                </c:pt>
                <c:pt idx="95">
                  <c:v>31413</c:v>
                </c:pt>
                <c:pt idx="96">
                  <c:v>31444</c:v>
                </c:pt>
                <c:pt idx="97">
                  <c:v>31472</c:v>
                </c:pt>
                <c:pt idx="98">
                  <c:v>31503</c:v>
                </c:pt>
                <c:pt idx="99">
                  <c:v>31533</c:v>
                </c:pt>
                <c:pt idx="100">
                  <c:v>31564</c:v>
                </c:pt>
                <c:pt idx="101">
                  <c:v>31594</c:v>
                </c:pt>
                <c:pt idx="102">
                  <c:v>31625</c:v>
                </c:pt>
                <c:pt idx="103">
                  <c:v>31656</c:v>
                </c:pt>
                <c:pt idx="104">
                  <c:v>31686</c:v>
                </c:pt>
                <c:pt idx="105">
                  <c:v>31717</c:v>
                </c:pt>
                <c:pt idx="106">
                  <c:v>31747</c:v>
                </c:pt>
                <c:pt idx="107">
                  <c:v>31778</c:v>
                </c:pt>
                <c:pt idx="108">
                  <c:v>31809</c:v>
                </c:pt>
                <c:pt idx="109">
                  <c:v>31837</c:v>
                </c:pt>
                <c:pt idx="110">
                  <c:v>31868</c:v>
                </c:pt>
                <c:pt idx="111">
                  <c:v>31898</c:v>
                </c:pt>
                <c:pt idx="112">
                  <c:v>31929</c:v>
                </c:pt>
                <c:pt idx="113">
                  <c:v>31959</c:v>
                </c:pt>
                <c:pt idx="114">
                  <c:v>31990</c:v>
                </c:pt>
                <c:pt idx="115">
                  <c:v>32021</c:v>
                </c:pt>
                <c:pt idx="116">
                  <c:v>32051</c:v>
                </c:pt>
                <c:pt idx="117">
                  <c:v>32082</c:v>
                </c:pt>
                <c:pt idx="118">
                  <c:v>32112</c:v>
                </c:pt>
                <c:pt idx="119">
                  <c:v>32143</c:v>
                </c:pt>
                <c:pt idx="120">
                  <c:v>32174</c:v>
                </c:pt>
                <c:pt idx="121">
                  <c:v>32203</c:v>
                </c:pt>
                <c:pt idx="122">
                  <c:v>32234</c:v>
                </c:pt>
                <c:pt idx="123">
                  <c:v>32264</c:v>
                </c:pt>
                <c:pt idx="124">
                  <c:v>32295</c:v>
                </c:pt>
                <c:pt idx="125">
                  <c:v>32325</c:v>
                </c:pt>
                <c:pt idx="126">
                  <c:v>32356</c:v>
                </c:pt>
                <c:pt idx="127">
                  <c:v>32387</c:v>
                </c:pt>
                <c:pt idx="128">
                  <c:v>32417</c:v>
                </c:pt>
                <c:pt idx="129">
                  <c:v>32448</c:v>
                </c:pt>
                <c:pt idx="130">
                  <c:v>32478</c:v>
                </c:pt>
                <c:pt idx="131">
                  <c:v>32509</c:v>
                </c:pt>
                <c:pt idx="132">
                  <c:v>32540</c:v>
                </c:pt>
                <c:pt idx="133">
                  <c:v>32568</c:v>
                </c:pt>
                <c:pt idx="134">
                  <c:v>32599</c:v>
                </c:pt>
                <c:pt idx="135">
                  <c:v>32629</c:v>
                </c:pt>
                <c:pt idx="136">
                  <c:v>32660</c:v>
                </c:pt>
                <c:pt idx="137">
                  <c:v>32690</c:v>
                </c:pt>
                <c:pt idx="138">
                  <c:v>32721</c:v>
                </c:pt>
                <c:pt idx="139">
                  <c:v>32752</c:v>
                </c:pt>
                <c:pt idx="140">
                  <c:v>32782</c:v>
                </c:pt>
                <c:pt idx="141">
                  <c:v>32813</c:v>
                </c:pt>
                <c:pt idx="142">
                  <c:v>32843</c:v>
                </c:pt>
                <c:pt idx="143">
                  <c:v>32874</c:v>
                </c:pt>
                <c:pt idx="144">
                  <c:v>32905</c:v>
                </c:pt>
                <c:pt idx="145">
                  <c:v>32933</c:v>
                </c:pt>
                <c:pt idx="146">
                  <c:v>32964</c:v>
                </c:pt>
                <c:pt idx="147">
                  <c:v>32994</c:v>
                </c:pt>
                <c:pt idx="148">
                  <c:v>33025</c:v>
                </c:pt>
                <c:pt idx="149">
                  <c:v>33055</c:v>
                </c:pt>
                <c:pt idx="150">
                  <c:v>33086</c:v>
                </c:pt>
                <c:pt idx="151">
                  <c:v>33117</c:v>
                </c:pt>
                <c:pt idx="152">
                  <c:v>33147</c:v>
                </c:pt>
                <c:pt idx="153">
                  <c:v>33178</c:v>
                </c:pt>
                <c:pt idx="154">
                  <c:v>33208</c:v>
                </c:pt>
                <c:pt idx="155">
                  <c:v>33239</c:v>
                </c:pt>
                <c:pt idx="156">
                  <c:v>33270</c:v>
                </c:pt>
                <c:pt idx="157">
                  <c:v>33298</c:v>
                </c:pt>
                <c:pt idx="158">
                  <c:v>33329</c:v>
                </c:pt>
                <c:pt idx="159">
                  <c:v>33359</c:v>
                </c:pt>
                <c:pt idx="160">
                  <c:v>33390</c:v>
                </c:pt>
                <c:pt idx="161">
                  <c:v>33420</c:v>
                </c:pt>
                <c:pt idx="162">
                  <c:v>33451</c:v>
                </c:pt>
                <c:pt idx="163">
                  <c:v>33482</c:v>
                </c:pt>
                <c:pt idx="164">
                  <c:v>33512</c:v>
                </c:pt>
                <c:pt idx="165">
                  <c:v>33543</c:v>
                </c:pt>
                <c:pt idx="166">
                  <c:v>33573</c:v>
                </c:pt>
                <c:pt idx="167">
                  <c:v>33604</c:v>
                </c:pt>
                <c:pt idx="168">
                  <c:v>33635</c:v>
                </c:pt>
                <c:pt idx="169">
                  <c:v>33664</c:v>
                </c:pt>
                <c:pt idx="170">
                  <c:v>33695</c:v>
                </c:pt>
                <c:pt idx="171">
                  <c:v>33725</c:v>
                </c:pt>
                <c:pt idx="172">
                  <c:v>33756</c:v>
                </c:pt>
                <c:pt idx="173">
                  <c:v>33786</c:v>
                </c:pt>
                <c:pt idx="174">
                  <c:v>33817</c:v>
                </c:pt>
                <c:pt idx="175">
                  <c:v>33848</c:v>
                </c:pt>
                <c:pt idx="176">
                  <c:v>33878</c:v>
                </c:pt>
                <c:pt idx="177">
                  <c:v>33909</c:v>
                </c:pt>
                <c:pt idx="178">
                  <c:v>33939</c:v>
                </c:pt>
                <c:pt idx="179">
                  <c:v>33970</c:v>
                </c:pt>
                <c:pt idx="180">
                  <c:v>34001</c:v>
                </c:pt>
                <c:pt idx="181">
                  <c:v>34029</c:v>
                </c:pt>
                <c:pt idx="182">
                  <c:v>34060</c:v>
                </c:pt>
                <c:pt idx="183">
                  <c:v>34090</c:v>
                </c:pt>
                <c:pt idx="184">
                  <c:v>34121</c:v>
                </c:pt>
                <c:pt idx="185">
                  <c:v>34151</c:v>
                </c:pt>
                <c:pt idx="186">
                  <c:v>34182</c:v>
                </c:pt>
                <c:pt idx="187">
                  <c:v>34213</c:v>
                </c:pt>
                <c:pt idx="188">
                  <c:v>34243</c:v>
                </c:pt>
                <c:pt idx="189">
                  <c:v>34274</c:v>
                </c:pt>
                <c:pt idx="190">
                  <c:v>34304</c:v>
                </c:pt>
                <c:pt idx="191">
                  <c:v>34335</c:v>
                </c:pt>
                <c:pt idx="192">
                  <c:v>34366</c:v>
                </c:pt>
                <c:pt idx="193">
                  <c:v>34394</c:v>
                </c:pt>
                <c:pt idx="194">
                  <c:v>34425</c:v>
                </c:pt>
                <c:pt idx="195">
                  <c:v>34455</c:v>
                </c:pt>
                <c:pt idx="196">
                  <c:v>34486</c:v>
                </c:pt>
                <c:pt idx="197">
                  <c:v>34516</c:v>
                </c:pt>
                <c:pt idx="198">
                  <c:v>34547</c:v>
                </c:pt>
                <c:pt idx="199">
                  <c:v>34578</c:v>
                </c:pt>
                <c:pt idx="200">
                  <c:v>34608</c:v>
                </c:pt>
                <c:pt idx="201">
                  <c:v>34639</c:v>
                </c:pt>
                <c:pt idx="202">
                  <c:v>34669</c:v>
                </c:pt>
                <c:pt idx="203">
                  <c:v>34700</c:v>
                </c:pt>
                <c:pt idx="204">
                  <c:v>34731</c:v>
                </c:pt>
                <c:pt idx="205">
                  <c:v>34759</c:v>
                </c:pt>
                <c:pt idx="206">
                  <c:v>34790</c:v>
                </c:pt>
                <c:pt idx="207">
                  <c:v>34820</c:v>
                </c:pt>
                <c:pt idx="208">
                  <c:v>34851</c:v>
                </c:pt>
                <c:pt idx="209">
                  <c:v>34881</c:v>
                </c:pt>
                <c:pt idx="210">
                  <c:v>34912</c:v>
                </c:pt>
                <c:pt idx="211">
                  <c:v>34943</c:v>
                </c:pt>
                <c:pt idx="212">
                  <c:v>34973</c:v>
                </c:pt>
                <c:pt idx="213">
                  <c:v>35004</c:v>
                </c:pt>
                <c:pt idx="214">
                  <c:v>35034</c:v>
                </c:pt>
                <c:pt idx="215">
                  <c:v>35065</c:v>
                </c:pt>
                <c:pt idx="216">
                  <c:v>35096</c:v>
                </c:pt>
                <c:pt idx="217">
                  <c:v>35125</c:v>
                </c:pt>
                <c:pt idx="218">
                  <c:v>35156</c:v>
                </c:pt>
                <c:pt idx="219">
                  <c:v>35186</c:v>
                </c:pt>
                <c:pt idx="220">
                  <c:v>35217</c:v>
                </c:pt>
                <c:pt idx="221">
                  <c:v>35247</c:v>
                </c:pt>
                <c:pt idx="222">
                  <c:v>35278</c:v>
                </c:pt>
                <c:pt idx="223">
                  <c:v>35309</c:v>
                </c:pt>
                <c:pt idx="224">
                  <c:v>35339</c:v>
                </c:pt>
                <c:pt idx="225">
                  <c:v>35370</c:v>
                </c:pt>
                <c:pt idx="226">
                  <c:v>35400</c:v>
                </c:pt>
                <c:pt idx="227">
                  <c:v>35431</c:v>
                </c:pt>
                <c:pt idx="228">
                  <c:v>35462</c:v>
                </c:pt>
                <c:pt idx="229">
                  <c:v>35490</c:v>
                </c:pt>
                <c:pt idx="230">
                  <c:v>35521</c:v>
                </c:pt>
                <c:pt idx="231">
                  <c:v>35551</c:v>
                </c:pt>
                <c:pt idx="232">
                  <c:v>35582</c:v>
                </c:pt>
                <c:pt idx="233">
                  <c:v>35612</c:v>
                </c:pt>
                <c:pt idx="234">
                  <c:v>35643</c:v>
                </c:pt>
                <c:pt idx="235">
                  <c:v>35674</c:v>
                </c:pt>
                <c:pt idx="236">
                  <c:v>35704</c:v>
                </c:pt>
                <c:pt idx="237">
                  <c:v>35735</c:v>
                </c:pt>
                <c:pt idx="238">
                  <c:v>35765</c:v>
                </c:pt>
                <c:pt idx="239">
                  <c:v>35796</c:v>
                </c:pt>
                <c:pt idx="240">
                  <c:v>35827</c:v>
                </c:pt>
                <c:pt idx="241">
                  <c:v>35855</c:v>
                </c:pt>
                <c:pt idx="242">
                  <c:v>35886</c:v>
                </c:pt>
                <c:pt idx="243">
                  <c:v>35916</c:v>
                </c:pt>
                <c:pt idx="244">
                  <c:v>35947</c:v>
                </c:pt>
                <c:pt idx="245">
                  <c:v>35977</c:v>
                </c:pt>
                <c:pt idx="246">
                  <c:v>36008</c:v>
                </c:pt>
                <c:pt idx="247">
                  <c:v>36039</c:v>
                </c:pt>
                <c:pt idx="248">
                  <c:v>36069</c:v>
                </c:pt>
                <c:pt idx="249">
                  <c:v>36100</c:v>
                </c:pt>
                <c:pt idx="250">
                  <c:v>36130</c:v>
                </c:pt>
                <c:pt idx="251">
                  <c:v>36161</c:v>
                </c:pt>
                <c:pt idx="252">
                  <c:v>36192</c:v>
                </c:pt>
                <c:pt idx="253">
                  <c:v>36220</c:v>
                </c:pt>
                <c:pt idx="254">
                  <c:v>36251</c:v>
                </c:pt>
                <c:pt idx="255">
                  <c:v>36281</c:v>
                </c:pt>
                <c:pt idx="256">
                  <c:v>36312</c:v>
                </c:pt>
                <c:pt idx="257">
                  <c:v>36342</c:v>
                </c:pt>
                <c:pt idx="258">
                  <c:v>36373</c:v>
                </c:pt>
                <c:pt idx="259">
                  <c:v>36404</c:v>
                </c:pt>
                <c:pt idx="260">
                  <c:v>36434</c:v>
                </c:pt>
                <c:pt idx="261">
                  <c:v>36465</c:v>
                </c:pt>
                <c:pt idx="262">
                  <c:v>36495</c:v>
                </c:pt>
                <c:pt idx="263">
                  <c:v>36526</c:v>
                </c:pt>
                <c:pt idx="264">
                  <c:v>36557</c:v>
                </c:pt>
                <c:pt idx="265">
                  <c:v>36586</c:v>
                </c:pt>
                <c:pt idx="266">
                  <c:v>36617</c:v>
                </c:pt>
                <c:pt idx="267">
                  <c:v>36647</c:v>
                </c:pt>
                <c:pt idx="268">
                  <c:v>36678</c:v>
                </c:pt>
                <c:pt idx="269">
                  <c:v>36708</c:v>
                </c:pt>
                <c:pt idx="270">
                  <c:v>36739</c:v>
                </c:pt>
                <c:pt idx="271">
                  <c:v>36770</c:v>
                </c:pt>
                <c:pt idx="272">
                  <c:v>36800</c:v>
                </c:pt>
                <c:pt idx="273">
                  <c:v>36831</c:v>
                </c:pt>
                <c:pt idx="274">
                  <c:v>36861</c:v>
                </c:pt>
                <c:pt idx="275">
                  <c:v>36892</c:v>
                </c:pt>
                <c:pt idx="276">
                  <c:v>36923</c:v>
                </c:pt>
                <c:pt idx="277">
                  <c:v>36951</c:v>
                </c:pt>
                <c:pt idx="278">
                  <c:v>36982</c:v>
                </c:pt>
                <c:pt idx="279">
                  <c:v>37012</c:v>
                </c:pt>
                <c:pt idx="280">
                  <c:v>37043</c:v>
                </c:pt>
                <c:pt idx="281">
                  <c:v>37073</c:v>
                </c:pt>
                <c:pt idx="282">
                  <c:v>37104</c:v>
                </c:pt>
                <c:pt idx="283">
                  <c:v>37135</c:v>
                </c:pt>
                <c:pt idx="284">
                  <c:v>37165</c:v>
                </c:pt>
                <c:pt idx="285">
                  <c:v>37196</c:v>
                </c:pt>
                <c:pt idx="286">
                  <c:v>37226</c:v>
                </c:pt>
                <c:pt idx="287">
                  <c:v>37257</c:v>
                </c:pt>
                <c:pt idx="288">
                  <c:v>37288</c:v>
                </c:pt>
                <c:pt idx="289">
                  <c:v>37316</c:v>
                </c:pt>
                <c:pt idx="290">
                  <c:v>37347</c:v>
                </c:pt>
                <c:pt idx="291">
                  <c:v>37377</c:v>
                </c:pt>
                <c:pt idx="292">
                  <c:v>37408</c:v>
                </c:pt>
                <c:pt idx="293">
                  <c:v>37438</c:v>
                </c:pt>
                <c:pt idx="294">
                  <c:v>37469</c:v>
                </c:pt>
                <c:pt idx="295">
                  <c:v>37500</c:v>
                </c:pt>
                <c:pt idx="296">
                  <c:v>37530</c:v>
                </c:pt>
                <c:pt idx="297">
                  <c:v>37561</c:v>
                </c:pt>
                <c:pt idx="298">
                  <c:v>37591</c:v>
                </c:pt>
                <c:pt idx="299">
                  <c:v>37622</c:v>
                </c:pt>
                <c:pt idx="300">
                  <c:v>37653</c:v>
                </c:pt>
                <c:pt idx="301">
                  <c:v>37681</c:v>
                </c:pt>
                <c:pt idx="302">
                  <c:v>37712</c:v>
                </c:pt>
                <c:pt idx="303">
                  <c:v>37742</c:v>
                </c:pt>
                <c:pt idx="304">
                  <c:v>37773</c:v>
                </c:pt>
                <c:pt idx="305">
                  <c:v>37803</c:v>
                </c:pt>
                <c:pt idx="306">
                  <c:v>37834</c:v>
                </c:pt>
                <c:pt idx="307">
                  <c:v>37865</c:v>
                </c:pt>
                <c:pt idx="308">
                  <c:v>37895</c:v>
                </c:pt>
                <c:pt idx="309">
                  <c:v>37926</c:v>
                </c:pt>
                <c:pt idx="310">
                  <c:v>37956</c:v>
                </c:pt>
                <c:pt idx="311">
                  <c:v>37987</c:v>
                </c:pt>
                <c:pt idx="312">
                  <c:v>38018</c:v>
                </c:pt>
                <c:pt idx="313">
                  <c:v>38047</c:v>
                </c:pt>
                <c:pt idx="314">
                  <c:v>38078</c:v>
                </c:pt>
                <c:pt idx="315">
                  <c:v>38108</c:v>
                </c:pt>
                <c:pt idx="316">
                  <c:v>38139</c:v>
                </c:pt>
                <c:pt idx="317">
                  <c:v>38169</c:v>
                </c:pt>
                <c:pt idx="318">
                  <c:v>38200</c:v>
                </c:pt>
                <c:pt idx="319">
                  <c:v>38231</c:v>
                </c:pt>
                <c:pt idx="320">
                  <c:v>38261</c:v>
                </c:pt>
                <c:pt idx="321">
                  <c:v>38292</c:v>
                </c:pt>
                <c:pt idx="322">
                  <c:v>38322</c:v>
                </c:pt>
                <c:pt idx="323">
                  <c:v>38353</c:v>
                </c:pt>
                <c:pt idx="324">
                  <c:v>38384</c:v>
                </c:pt>
                <c:pt idx="325">
                  <c:v>38412</c:v>
                </c:pt>
                <c:pt idx="326">
                  <c:v>38443</c:v>
                </c:pt>
                <c:pt idx="327">
                  <c:v>38473</c:v>
                </c:pt>
                <c:pt idx="328">
                  <c:v>38504</c:v>
                </c:pt>
                <c:pt idx="329">
                  <c:v>38534</c:v>
                </c:pt>
                <c:pt idx="330">
                  <c:v>38565</c:v>
                </c:pt>
                <c:pt idx="331">
                  <c:v>38596</c:v>
                </c:pt>
                <c:pt idx="332">
                  <c:v>38626</c:v>
                </c:pt>
                <c:pt idx="333">
                  <c:v>38657</c:v>
                </c:pt>
                <c:pt idx="334">
                  <c:v>38687</c:v>
                </c:pt>
                <c:pt idx="335">
                  <c:v>38718</c:v>
                </c:pt>
                <c:pt idx="336">
                  <c:v>38749</c:v>
                </c:pt>
                <c:pt idx="337">
                  <c:v>38777</c:v>
                </c:pt>
                <c:pt idx="338">
                  <c:v>38808</c:v>
                </c:pt>
                <c:pt idx="339">
                  <c:v>38838</c:v>
                </c:pt>
                <c:pt idx="340">
                  <c:v>38869</c:v>
                </c:pt>
                <c:pt idx="341">
                  <c:v>38899</c:v>
                </c:pt>
                <c:pt idx="342">
                  <c:v>38930</c:v>
                </c:pt>
                <c:pt idx="343">
                  <c:v>38961</c:v>
                </c:pt>
                <c:pt idx="344">
                  <c:v>38991</c:v>
                </c:pt>
                <c:pt idx="345">
                  <c:v>39022</c:v>
                </c:pt>
                <c:pt idx="346">
                  <c:v>39052</c:v>
                </c:pt>
                <c:pt idx="347">
                  <c:v>39083</c:v>
                </c:pt>
                <c:pt idx="348">
                  <c:v>39114</c:v>
                </c:pt>
                <c:pt idx="349">
                  <c:v>39142</c:v>
                </c:pt>
                <c:pt idx="350">
                  <c:v>39173</c:v>
                </c:pt>
                <c:pt idx="351">
                  <c:v>39203</c:v>
                </c:pt>
                <c:pt idx="352">
                  <c:v>39234</c:v>
                </c:pt>
                <c:pt idx="353">
                  <c:v>39264</c:v>
                </c:pt>
                <c:pt idx="354">
                  <c:v>39295</c:v>
                </c:pt>
                <c:pt idx="355">
                  <c:v>39326</c:v>
                </c:pt>
                <c:pt idx="356">
                  <c:v>39356</c:v>
                </c:pt>
                <c:pt idx="357">
                  <c:v>39387</c:v>
                </c:pt>
                <c:pt idx="358">
                  <c:v>39417</c:v>
                </c:pt>
                <c:pt idx="359">
                  <c:v>39448</c:v>
                </c:pt>
                <c:pt idx="360">
                  <c:v>39479</c:v>
                </c:pt>
                <c:pt idx="361">
                  <c:v>39508</c:v>
                </c:pt>
                <c:pt idx="362">
                  <c:v>39539</c:v>
                </c:pt>
                <c:pt idx="363">
                  <c:v>39569</c:v>
                </c:pt>
                <c:pt idx="364">
                  <c:v>39600</c:v>
                </c:pt>
                <c:pt idx="365">
                  <c:v>39630</c:v>
                </c:pt>
                <c:pt idx="366">
                  <c:v>39661</c:v>
                </c:pt>
                <c:pt idx="367">
                  <c:v>39692</c:v>
                </c:pt>
                <c:pt idx="368">
                  <c:v>39722</c:v>
                </c:pt>
                <c:pt idx="369">
                  <c:v>39753</c:v>
                </c:pt>
                <c:pt idx="370">
                  <c:v>39783</c:v>
                </c:pt>
                <c:pt idx="371">
                  <c:v>39814</c:v>
                </c:pt>
                <c:pt idx="372">
                  <c:v>39845</c:v>
                </c:pt>
                <c:pt idx="373">
                  <c:v>39873</c:v>
                </c:pt>
                <c:pt idx="374">
                  <c:v>39904</c:v>
                </c:pt>
                <c:pt idx="375">
                  <c:v>39934</c:v>
                </c:pt>
                <c:pt idx="376">
                  <c:v>39965</c:v>
                </c:pt>
                <c:pt idx="377">
                  <c:v>39995</c:v>
                </c:pt>
                <c:pt idx="378">
                  <c:v>40026</c:v>
                </c:pt>
                <c:pt idx="379">
                  <c:v>40057</c:v>
                </c:pt>
                <c:pt idx="380">
                  <c:v>40087</c:v>
                </c:pt>
                <c:pt idx="381">
                  <c:v>40118</c:v>
                </c:pt>
                <c:pt idx="382">
                  <c:v>40148</c:v>
                </c:pt>
                <c:pt idx="383">
                  <c:v>40179</c:v>
                </c:pt>
                <c:pt idx="384">
                  <c:v>40210</c:v>
                </c:pt>
                <c:pt idx="385">
                  <c:v>40238</c:v>
                </c:pt>
                <c:pt idx="386">
                  <c:v>40269</c:v>
                </c:pt>
                <c:pt idx="387">
                  <c:v>40299</c:v>
                </c:pt>
                <c:pt idx="388">
                  <c:v>40330</c:v>
                </c:pt>
                <c:pt idx="389">
                  <c:v>40360</c:v>
                </c:pt>
                <c:pt idx="390">
                  <c:v>40391</c:v>
                </c:pt>
                <c:pt idx="391">
                  <c:v>40422</c:v>
                </c:pt>
                <c:pt idx="392">
                  <c:v>40452</c:v>
                </c:pt>
                <c:pt idx="393">
                  <c:v>40483</c:v>
                </c:pt>
                <c:pt idx="394">
                  <c:v>40513</c:v>
                </c:pt>
                <c:pt idx="395">
                  <c:v>40544</c:v>
                </c:pt>
                <c:pt idx="396">
                  <c:v>40575</c:v>
                </c:pt>
                <c:pt idx="397">
                  <c:v>40603</c:v>
                </c:pt>
                <c:pt idx="398">
                  <c:v>40634</c:v>
                </c:pt>
                <c:pt idx="399">
                  <c:v>40664</c:v>
                </c:pt>
                <c:pt idx="400">
                  <c:v>40695</c:v>
                </c:pt>
                <c:pt idx="401">
                  <c:v>40725</c:v>
                </c:pt>
                <c:pt idx="402">
                  <c:v>40756</c:v>
                </c:pt>
                <c:pt idx="403">
                  <c:v>40787</c:v>
                </c:pt>
                <c:pt idx="404">
                  <c:v>40817</c:v>
                </c:pt>
                <c:pt idx="405">
                  <c:v>40848</c:v>
                </c:pt>
                <c:pt idx="406">
                  <c:v>40878</c:v>
                </c:pt>
                <c:pt idx="407">
                  <c:v>40909</c:v>
                </c:pt>
                <c:pt idx="408">
                  <c:v>40940</c:v>
                </c:pt>
                <c:pt idx="409">
                  <c:v>40969</c:v>
                </c:pt>
                <c:pt idx="410">
                  <c:v>41000</c:v>
                </c:pt>
                <c:pt idx="411">
                  <c:v>41030</c:v>
                </c:pt>
                <c:pt idx="412">
                  <c:v>41061</c:v>
                </c:pt>
                <c:pt idx="413">
                  <c:v>41091</c:v>
                </c:pt>
                <c:pt idx="414">
                  <c:v>41122</c:v>
                </c:pt>
                <c:pt idx="415">
                  <c:v>41153</c:v>
                </c:pt>
                <c:pt idx="416">
                  <c:v>41183</c:v>
                </c:pt>
                <c:pt idx="417">
                  <c:v>41214</c:v>
                </c:pt>
                <c:pt idx="418">
                  <c:v>41244</c:v>
                </c:pt>
                <c:pt idx="419">
                  <c:v>41275</c:v>
                </c:pt>
                <c:pt idx="420">
                  <c:v>41306</c:v>
                </c:pt>
                <c:pt idx="421">
                  <c:v>41334</c:v>
                </c:pt>
                <c:pt idx="422">
                  <c:v>41365</c:v>
                </c:pt>
                <c:pt idx="423">
                  <c:v>41395</c:v>
                </c:pt>
                <c:pt idx="424">
                  <c:v>41426</c:v>
                </c:pt>
                <c:pt idx="425">
                  <c:v>41456</c:v>
                </c:pt>
                <c:pt idx="426">
                  <c:v>41487</c:v>
                </c:pt>
                <c:pt idx="427">
                  <c:v>41518</c:v>
                </c:pt>
                <c:pt idx="428">
                  <c:v>41548</c:v>
                </c:pt>
                <c:pt idx="429">
                  <c:v>41579</c:v>
                </c:pt>
                <c:pt idx="430">
                  <c:v>41609</c:v>
                </c:pt>
                <c:pt idx="431">
                  <c:v>41640</c:v>
                </c:pt>
                <c:pt idx="432">
                  <c:v>41671</c:v>
                </c:pt>
                <c:pt idx="433">
                  <c:v>41699</c:v>
                </c:pt>
                <c:pt idx="434">
                  <c:v>41730</c:v>
                </c:pt>
                <c:pt idx="435">
                  <c:v>41760</c:v>
                </c:pt>
                <c:pt idx="436">
                  <c:v>41791</c:v>
                </c:pt>
                <c:pt idx="437">
                  <c:v>41821</c:v>
                </c:pt>
                <c:pt idx="438">
                  <c:v>41852</c:v>
                </c:pt>
                <c:pt idx="439">
                  <c:v>41883</c:v>
                </c:pt>
                <c:pt idx="440">
                  <c:v>41913</c:v>
                </c:pt>
                <c:pt idx="441">
                  <c:v>41944</c:v>
                </c:pt>
                <c:pt idx="442">
                  <c:v>41974</c:v>
                </c:pt>
                <c:pt idx="443">
                  <c:v>42005</c:v>
                </c:pt>
                <c:pt idx="444">
                  <c:v>42036</c:v>
                </c:pt>
                <c:pt idx="445">
                  <c:v>42064</c:v>
                </c:pt>
                <c:pt idx="446">
                  <c:v>42095</c:v>
                </c:pt>
                <c:pt idx="447">
                  <c:v>42125</c:v>
                </c:pt>
                <c:pt idx="448">
                  <c:v>42156</c:v>
                </c:pt>
                <c:pt idx="449">
                  <c:v>42186</c:v>
                </c:pt>
                <c:pt idx="450">
                  <c:v>42217</c:v>
                </c:pt>
                <c:pt idx="451">
                  <c:v>42248</c:v>
                </c:pt>
                <c:pt idx="452">
                  <c:v>42278</c:v>
                </c:pt>
                <c:pt idx="453">
                  <c:v>42309</c:v>
                </c:pt>
                <c:pt idx="454">
                  <c:v>42339</c:v>
                </c:pt>
                <c:pt idx="455">
                  <c:v>42370</c:v>
                </c:pt>
                <c:pt idx="456">
                  <c:v>42401</c:v>
                </c:pt>
                <c:pt idx="457">
                  <c:v>42430</c:v>
                </c:pt>
                <c:pt idx="458">
                  <c:v>42461</c:v>
                </c:pt>
                <c:pt idx="459">
                  <c:v>42491</c:v>
                </c:pt>
                <c:pt idx="460">
                  <c:v>42522</c:v>
                </c:pt>
                <c:pt idx="461">
                  <c:v>42552</c:v>
                </c:pt>
                <c:pt idx="462">
                  <c:v>42583</c:v>
                </c:pt>
                <c:pt idx="463">
                  <c:v>42614</c:v>
                </c:pt>
                <c:pt idx="464">
                  <c:v>42644</c:v>
                </c:pt>
                <c:pt idx="465">
                  <c:v>42675</c:v>
                </c:pt>
                <c:pt idx="466">
                  <c:v>42705</c:v>
                </c:pt>
                <c:pt idx="467">
                  <c:v>42736</c:v>
                </c:pt>
                <c:pt idx="468">
                  <c:v>42767</c:v>
                </c:pt>
                <c:pt idx="469">
                  <c:v>42795</c:v>
                </c:pt>
                <c:pt idx="470">
                  <c:v>42826</c:v>
                </c:pt>
                <c:pt idx="471">
                  <c:v>42856</c:v>
                </c:pt>
                <c:pt idx="472">
                  <c:v>42887</c:v>
                </c:pt>
                <c:pt idx="473">
                  <c:v>42917</c:v>
                </c:pt>
                <c:pt idx="474">
                  <c:v>42948</c:v>
                </c:pt>
                <c:pt idx="475">
                  <c:v>42979</c:v>
                </c:pt>
                <c:pt idx="476">
                  <c:v>43009</c:v>
                </c:pt>
                <c:pt idx="477">
                  <c:v>43040</c:v>
                </c:pt>
                <c:pt idx="478">
                  <c:v>43070</c:v>
                </c:pt>
                <c:pt idx="479">
                  <c:v>43101</c:v>
                </c:pt>
                <c:pt idx="480">
                  <c:v>43132</c:v>
                </c:pt>
                <c:pt idx="481">
                  <c:v>43160</c:v>
                </c:pt>
                <c:pt idx="482">
                  <c:v>43191</c:v>
                </c:pt>
                <c:pt idx="483">
                  <c:v>43221</c:v>
                </c:pt>
                <c:pt idx="484">
                  <c:v>43252</c:v>
                </c:pt>
                <c:pt idx="485">
                  <c:v>43282</c:v>
                </c:pt>
                <c:pt idx="486">
                  <c:v>43313</c:v>
                </c:pt>
                <c:pt idx="487">
                  <c:v>43344</c:v>
                </c:pt>
                <c:pt idx="488">
                  <c:v>43374</c:v>
                </c:pt>
                <c:pt idx="489">
                  <c:v>43405</c:v>
                </c:pt>
                <c:pt idx="490">
                  <c:v>43435</c:v>
                </c:pt>
                <c:pt idx="491">
                  <c:v>43466</c:v>
                </c:pt>
                <c:pt idx="492">
                  <c:v>43497</c:v>
                </c:pt>
                <c:pt idx="493">
                  <c:v>43525</c:v>
                </c:pt>
                <c:pt idx="494">
                  <c:v>43556</c:v>
                </c:pt>
                <c:pt idx="495">
                  <c:v>43586</c:v>
                </c:pt>
                <c:pt idx="496">
                  <c:v>43617</c:v>
                </c:pt>
                <c:pt idx="497">
                  <c:v>43647</c:v>
                </c:pt>
                <c:pt idx="498">
                  <c:v>43678</c:v>
                </c:pt>
                <c:pt idx="499">
                  <c:v>43709</c:v>
                </c:pt>
                <c:pt idx="500">
                  <c:v>43739</c:v>
                </c:pt>
                <c:pt idx="501">
                  <c:v>43770</c:v>
                </c:pt>
                <c:pt idx="502">
                  <c:v>43800</c:v>
                </c:pt>
                <c:pt idx="503">
                  <c:v>43831</c:v>
                </c:pt>
                <c:pt idx="504">
                  <c:v>43862</c:v>
                </c:pt>
                <c:pt idx="505">
                  <c:v>43891</c:v>
                </c:pt>
                <c:pt idx="506">
                  <c:v>43922</c:v>
                </c:pt>
                <c:pt idx="507">
                  <c:v>43952</c:v>
                </c:pt>
                <c:pt idx="508">
                  <c:v>43983</c:v>
                </c:pt>
                <c:pt idx="509">
                  <c:v>44013</c:v>
                </c:pt>
                <c:pt idx="510">
                  <c:v>44044</c:v>
                </c:pt>
                <c:pt idx="511">
                  <c:v>44075</c:v>
                </c:pt>
                <c:pt idx="512">
                  <c:v>44105</c:v>
                </c:pt>
                <c:pt idx="513">
                  <c:v>44136</c:v>
                </c:pt>
                <c:pt idx="514">
                  <c:v>44166</c:v>
                </c:pt>
                <c:pt idx="515">
                  <c:v>44197</c:v>
                </c:pt>
                <c:pt idx="516">
                  <c:v>44228</c:v>
                </c:pt>
                <c:pt idx="517">
                  <c:v>44256</c:v>
                </c:pt>
                <c:pt idx="518">
                  <c:v>44287</c:v>
                </c:pt>
                <c:pt idx="519">
                  <c:v>44317</c:v>
                </c:pt>
                <c:pt idx="520">
                  <c:v>44348</c:v>
                </c:pt>
                <c:pt idx="521">
                  <c:v>44378</c:v>
                </c:pt>
                <c:pt idx="522">
                  <c:v>44409</c:v>
                </c:pt>
                <c:pt idx="523">
                  <c:v>44440</c:v>
                </c:pt>
                <c:pt idx="524">
                  <c:v>44470</c:v>
                </c:pt>
                <c:pt idx="525">
                  <c:v>44501</c:v>
                </c:pt>
                <c:pt idx="526">
                  <c:v>44531</c:v>
                </c:pt>
                <c:pt idx="527">
                  <c:v>44562</c:v>
                </c:pt>
                <c:pt idx="528">
                  <c:v>44593</c:v>
                </c:pt>
                <c:pt idx="529">
                  <c:v>44621</c:v>
                </c:pt>
                <c:pt idx="530">
                  <c:v>44652</c:v>
                </c:pt>
                <c:pt idx="531">
                  <c:v>44682</c:v>
                </c:pt>
                <c:pt idx="532">
                  <c:v>44713</c:v>
                </c:pt>
                <c:pt idx="533">
                  <c:v>44743</c:v>
                </c:pt>
                <c:pt idx="534">
                  <c:v>44774</c:v>
                </c:pt>
                <c:pt idx="535">
                  <c:v>44805</c:v>
                </c:pt>
                <c:pt idx="536">
                  <c:v>44835</c:v>
                </c:pt>
                <c:pt idx="537">
                  <c:v>44866</c:v>
                </c:pt>
                <c:pt idx="538">
                  <c:v>44896</c:v>
                </c:pt>
                <c:pt idx="539">
                  <c:v>44927</c:v>
                </c:pt>
                <c:pt idx="540">
                  <c:v>44958</c:v>
                </c:pt>
                <c:pt idx="541">
                  <c:v>44986</c:v>
                </c:pt>
                <c:pt idx="542">
                  <c:v>45017</c:v>
                </c:pt>
              </c:numCache>
            </c:numRef>
          </c:cat>
          <c:val>
            <c:numRef>
              <c:f>data!$C$11:$C$553</c:f>
              <c:numCache>
                <c:formatCode>0.0;\-0.0;0.0;@</c:formatCode>
                <c:ptCount val="543"/>
                <c:pt idx="0">
                  <c:v>2.5241858000000001</c:v>
                </c:pt>
                <c:pt idx="1">
                  <c:v>2.3084489000000001</c:v>
                </c:pt>
                <c:pt idx="2">
                  <c:v>2.1652437</c:v>
                </c:pt>
                <c:pt idx="3">
                  <c:v>2.4700036999999999</c:v>
                </c:pt>
                <c:pt idx="4">
                  <c:v>2.2684196000000001</c:v>
                </c:pt>
                <c:pt idx="5">
                  <c:v>2.5112025999999998</c:v>
                </c:pt>
                <c:pt idx="6">
                  <c:v>2.295836</c:v>
                </c:pt>
                <c:pt idx="7">
                  <c:v>2.4102776000000001</c:v>
                </c:pt>
                <c:pt idx="8">
                  <c:v>2.2344493000000001</c:v>
                </c:pt>
                <c:pt idx="9">
                  <c:v>2.3433054000000002</c:v>
                </c:pt>
                <c:pt idx="10">
                  <c:v>2.6361861000000002</c:v>
                </c:pt>
                <c:pt idx="11">
                  <c:v>2.2079010000000001</c:v>
                </c:pt>
                <c:pt idx="12">
                  <c:v>2.4143564</c:v>
                </c:pt>
                <c:pt idx="13">
                  <c:v>2.3448272000000001</c:v>
                </c:pt>
                <c:pt idx="14">
                  <c:v>2.9303960999999998</c:v>
                </c:pt>
                <c:pt idx="15">
                  <c:v>2.6535167</c:v>
                </c:pt>
                <c:pt idx="16">
                  <c:v>2.9171482000000002</c:v>
                </c:pt>
                <c:pt idx="17">
                  <c:v>2.6362735000000002</c:v>
                </c:pt>
                <c:pt idx="18">
                  <c:v>2.7323875000000002</c:v>
                </c:pt>
                <c:pt idx="19">
                  <c:v>2.4074076999999998</c:v>
                </c:pt>
                <c:pt idx="20">
                  <c:v>2.3826434999999999</c:v>
                </c:pt>
                <c:pt idx="21">
                  <c:v>2.5575825999999999</c:v>
                </c:pt>
                <c:pt idx="22">
                  <c:v>2.5409961999999999</c:v>
                </c:pt>
                <c:pt idx="23">
                  <c:v>2.7957054000000001</c:v>
                </c:pt>
                <c:pt idx="24">
                  <c:v>2.6716734</c:v>
                </c:pt>
                <c:pt idx="25">
                  <c:v>2.9068771</c:v>
                </c:pt>
                <c:pt idx="26">
                  <c:v>2.6231149999999999</c:v>
                </c:pt>
                <c:pt idx="27">
                  <c:v>2.6684044999999998</c:v>
                </c:pt>
                <c:pt idx="28">
                  <c:v>2.8511213999999998</c:v>
                </c:pt>
                <c:pt idx="29">
                  <c:v>2.5929376</c:v>
                </c:pt>
                <c:pt idx="30">
                  <c:v>2.8321681999999999</c:v>
                </c:pt>
                <c:pt idx="31">
                  <c:v>3.0857484999999998</c:v>
                </c:pt>
                <c:pt idx="32">
                  <c:v>2.8142301000000001</c:v>
                </c:pt>
                <c:pt idx="33">
                  <c:v>2.7812983</c:v>
                </c:pt>
                <c:pt idx="34">
                  <c:v>2.6621052999999999</c:v>
                </c:pt>
                <c:pt idx="35">
                  <c:v>2.7908464999999998</c:v>
                </c:pt>
                <c:pt idx="36">
                  <c:v>2.5459097000000002</c:v>
                </c:pt>
                <c:pt idx="37">
                  <c:v>2.5009193999999999</c:v>
                </c:pt>
                <c:pt idx="38">
                  <c:v>2.5903814000000001</c:v>
                </c:pt>
                <c:pt idx="39">
                  <c:v>2.4074133</c:v>
                </c:pt>
                <c:pt idx="40">
                  <c:v>2.3261153999999999</c:v>
                </c:pt>
                <c:pt idx="41">
                  <c:v>2.4281457</c:v>
                </c:pt>
                <c:pt idx="42">
                  <c:v>2.4669796000000002</c:v>
                </c:pt>
                <c:pt idx="43">
                  <c:v>2.2029155999999999</c:v>
                </c:pt>
                <c:pt idx="44">
                  <c:v>2.5964858</c:v>
                </c:pt>
                <c:pt idx="45">
                  <c:v>2.6299755</c:v>
                </c:pt>
                <c:pt idx="46">
                  <c:v>2.9379795999999998</c:v>
                </c:pt>
                <c:pt idx="47">
                  <c:v>2.7538749999999999</c:v>
                </c:pt>
                <c:pt idx="48">
                  <c:v>2.7468069000000002</c:v>
                </c:pt>
                <c:pt idx="49">
                  <c:v>2.9967492</c:v>
                </c:pt>
                <c:pt idx="50">
                  <c:v>2.9596285</c:v>
                </c:pt>
                <c:pt idx="51">
                  <c:v>3.4255070000000001</c:v>
                </c:pt>
                <c:pt idx="52">
                  <c:v>3.0234589000000001</c:v>
                </c:pt>
                <c:pt idx="53">
                  <c:v>2.7143153999999998</c:v>
                </c:pt>
                <c:pt idx="54">
                  <c:v>3.2244522</c:v>
                </c:pt>
                <c:pt idx="55">
                  <c:v>3.2004777999999998</c:v>
                </c:pt>
                <c:pt idx="56">
                  <c:v>3.6346428999999998</c:v>
                </c:pt>
                <c:pt idx="57">
                  <c:v>3.5673792999999998</c:v>
                </c:pt>
                <c:pt idx="58">
                  <c:v>3.706636</c:v>
                </c:pt>
                <c:pt idx="59">
                  <c:v>3.1631189000000002</c:v>
                </c:pt>
                <c:pt idx="60">
                  <c:v>3.4431691999999998</c:v>
                </c:pt>
                <c:pt idx="61">
                  <c:v>3.9737705999999999</c:v>
                </c:pt>
                <c:pt idx="62">
                  <c:v>3.1664061999999999</c:v>
                </c:pt>
                <c:pt idx="63">
                  <c:v>3.5813804999999999</c:v>
                </c:pt>
                <c:pt idx="64">
                  <c:v>3.7915789000000002</c:v>
                </c:pt>
                <c:pt idx="65">
                  <c:v>3.1008672000000002</c:v>
                </c:pt>
                <c:pt idx="66">
                  <c:v>3.4789341999999999</c:v>
                </c:pt>
                <c:pt idx="67">
                  <c:v>3.4019075999999999</c:v>
                </c:pt>
                <c:pt idx="68">
                  <c:v>3.1520522</c:v>
                </c:pt>
                <c:pt idx="69">
                  <c:v>2.9414178999999998</c:v>
                </c:pt>
                <c:pt idx="70">
                  <c:v>3.1793724000000001</c:v>
                </c:pt>
                <c:pt idx="71">
                  <c:v>2.9348106999999999</c:v>
                </c:pt>
                <c:pt idx="72">
                  <c:v>3.0734545</c:v>
                </c:pt>
                <c:pt idx="73">
                  <c:v>3.0621079999999998</c:v>
                </c:pt>
                <c:pt idx="74">
                  <c:v>3.0066388000000002</c:v>
                </c:pt>
                <c:pt idx="75">
                  <c:v>2.9847629000000002</c:v>
                </c:pt>
                <c:pt idx="76">
                  <c:v>2.9403646000000001</c:v>
                </c:pt>
                <c:pt idx="77">
                  <c:v>3.3597030999999999</c:v>
                </c:pt>
                <c:pt idx="78">
                  <c:v>3.0028511999999998</c:v>
                </c:pt>
                <c:pt idx="79">
                  <c:v>3.1279406000000001</c:v>
                </c:pt>
                <c:pt idx="80">
                  <c:v>3.0281427000000001</c:v>
                </c:pt>
                <c:pt idx="81">
                  <c:v>3.2221817000000001</c:v>
                </c:pt>
                <c:pt idx="82">
                  <c:v>2.9379803999999998</c:v>
                </c:pt>
                <c:pt idx="83">
                  <c:v>3.4614943</c:v>
                </c:pt>
                <c:pt idx="84">
                  <c:v>3.2049224999999999</c:v>
                </c:pt>
                <c:pt idx="85">
                  <c:v>2.8117391999999999</c:v>
                </c:pt>
                <c:pt idx="86">
                  <c:v>2.9160954000000001</c:v>
                </c:pt>
                <c:pt idx="87">
                  <c:v>2.6995065999999999</c:v>
                </c:pt>
                <c:pt idx="88">
                  <c:v>2.5783564000000001</c:v>
                </c:pt>
                <c:pt idx="89">
                  <c:v>2.6500094000000001</c:v>
                </c:pt>
                <c:pt idx="90">
                  <c:v>2.7208611999999999</c:v>
                </c:pt>
                <c:pt idx="91">
                  <c:v>2.5813950000000001</c:v>
                </c:pt>
                <c:pt idx="92">
                  <c:v>2.6010420000000001</c:v>
                </c:pt>
                <c:pt idx="93">
                  <c:v>2.8281139</c:v>
                </c:pt>
                <c:pt idx="94">
                  <c:v>2.7035008999999999</c:v>
                </c:pt>
                <c:pt idx="95">
                  <c:v>2.6866151999999999</c:v>
                </c:pt>
                <c:pt idx="96">
                  <c:v>2.7893748</c:v>
                </c:pt>
                <c:pt idx="97">
                  <c:v>2.9118409000000001</c:v>
                </c:pt>
                <c:pt idx="98">
                  <c:v>3.1361992000000001</c:v>
                </c:pt>
                <c:pt idx="99">
                  <c:v>3.0463114999999998</c:v>
                </c:pt>
                <c:pt idx="100">
                  <c:v>3.4542141000000002</c:v>
                </c:pt>
                <c:pt idx="101">
                  <c:v>3.1494559</c:v>
                </c:pt>
                <c:pt idx="102">
                  <c:v>3.0976629999999998</c:v>
                </c:pt>
                <c:pt idx="103">
                  <c:v>3.2349960000000002</c:v>
                </c:pt>
                <c:pt idx="104">
                  <c:v>3.0556969999999999</c:v>
                </c:pt>
                <c:pt idx="105">
                  <c:v>3.3988011</c:v>
                </c:pt>
                <c:pt idx="106">
                  <c:v>3.3955288000000001</c:v>
                </c:pt>
                <c:pt idx="107">
                  <c:v>3.2995139999999998</c:v>
                </c:pt>
                <c:pt idx="108">
                  <c:v>3.2887819</c:v>
                </c:pt>
                <c:pt idx="109">
                  <c:v>3.3582850999999998</c:v>
                </c:pt>
                <c:pt idx="110">
                  <c:v>3.1308815999999999</c:v>
                </c:pt>
                <c:pt idx="111">
                  <c:v>3.3204758999999999</c:v>
                </c:pt>
                <c:pt idx="112">
                  <c:v>3.2318924999999998</c:v>
                </c:pt>
                <c:pt idx="113">
                  <c:v>3.1220409999999998</c:v>
                </c:pt>
                <c:pt idx="114">
                  <c:v>3.4676292000000002</c:v>
                </c:pt>
                <c:pt idx="115">
                  <c:v>3.2672444999999999</c:v>
                </c:pt>
                <c:pt idx="116">
                  <c:v>3.2020428000000001</c:v>
                </c:pt>
                <c:pt idx="117">
                  <c:v>3.1983871000000001</c:v>
                </c:pt>
                <c:pt idx="118">
                  <c:v>3.2614033999999998</c:v>
                </c:pt>
                <c:pt idx="119">
                  <c:v>3.3330555999999998</c:v>
                </c:pt>
                <c:pt idx="120">
                  <c:v>3.4769798000000001</c:v>
                </c:pt>
                <c:pt idx="121">
                  <c:v>2.9962331999999998</c:v>
                </c:pt>
                <c:pt idx="122">
                  <c:v>3.0098378000000001</c:v>
                </c:pt>
                <c:pt idx="123">
                  <c:v>2.5069501999999999</c:v>
                </c:pt>
                <c:pt idx="124">
                  <c:v>3.2567450999999998</c:v>
                </c:pt>
                <c:pt idx="125">
                  <c:v>3.0906123999999999</c:v>
                </c:pt>
                <c:pt idx="126">
                  <c:v>2.8822149000000001</c:v>
                </c:pt>
                <c:pt idx="127">
                  <c:v>2.8415550999999999</c:v>
                </c:pt>
                <c:pt idx="128">
                  <c:v>3.0618444</c:v>
                </c:pt>
                <c:pt idx="129">
                  <c:v>2.9181450999999998</c:v>
                </c:pt>
                <c:pt idx="130">
                  <c:v>3.5960521999999999</c:v>
                </c:pt>
                <c:pt idx="131">
                  <c:v>3.2146197999999999</c:v>
                </c:pt>
                <c:pt idx="132">
                  <c:v>2.9523201000000001</c:v>
                </c:pt>
                <c:pt idx="133">
                  <c:v>2.9964666000000002</c:v>
                </c:pt>
                <c:pt idx="134">
                  <c:v>2.9719733000000002</c:v>
                </c:pt>
                <c:pt idx="135">
                  <c:v>3.3612590999999998</c:v>
                </c:pt>
                <c:pt idx="136">
                  <c:v>3.0401672999999998</c:v>
                </c:pt>
                <c:pt idx="137">
                  <c:v>3.0215499000000001</c:v>
                </c:pt>
                <c:pt idx="138">
                  <c:v>3.1969732</c:v>
                </c:pt>
                <c:pt idx="139">
                  <c:v>3.4065156000000001</c:v>
                </c:pt>
                <c:pt idx="140">
                  <c:v>3.2634287</c:v>
                </c:pt>
                <c:pt idx="141">
                  <c:v>3.5224160000000002</c:v>
                </c:pt>
                <c:pt idx="142">
                  <c:v>3.5146685</c:v>
                </c:pt>
                <c:pt idx="143">
                  <c:v>3.9149088000000001</c:v>
                </c:pt>
                <c:pt idx="144">
                  <c:v>3.3635872999999998</c:v>
                </c:pt>
                <c:pt idx="145">
                  <c:v>3.8264349000000002</c:v>
                </c:pt>
                <c:pt idx="146">
                  <c:v>3.9415833</c:v>
                </c:pt>
                <c:pt idx="147">
                  <c:v>3.7552276</c:v>
                </c:pt>
                <c:pt idx="148">
                  <c:v>3.8650329999999999</c:v>
                </c:pt>
                <c:pt idx="149">
                  <c:v>4.1134586000000004</c:v>
                </c:pt>
                <c:pt idx="150">
                  <c:v>4.4020093999999999</c:v>
                </c:pt>
                <c:pt idx="151">
                  <c:v>4.7355771000000004</c:v>
                </c:pt>
                <c:pt idx="152">
                  <c:v>4.7237783000000002</c:v>
                </c:pt>
                <c:pt idx="153">
                  <c:v>5.0387915999999997</c:v>
                </c:pt>
                <c:pt idx="154">
                  <c:v>5.3442242999999996</c:v>
                </c:pt>
                <c:pt idx="155">
                  <c:v>5.1331422</c:v>
                </c:pt>
                <c:pt idx="156">
                  <c:v>5.8169613</c:v>
                </c:pt>
                <c:pt idx="157">
                  <c:v>5.9475975999999999</c:v>
                </c:pt>
                <c:pt idx="158">
                  <c:v>6.3263322000000004</c:v>
                </c:pt>
                <c:pt idx="159">
                  <c:v>5.6030981999999998</c:v>
                </c:pt>
                <c:pt idx="160">
                  <c:v>6.9305022999999997</c:v>
                </c:pt>
                <c:pt idx="161">
                  <c:v>6.8986204000000004</c:v>
                </c:pt>
                <c:pt idx="162">
                  <c:v>6.780119</c:v>
                </c:pt>
                <c:pt idx="163">
                  <c:v>6.5578419999999999</c:v>
                </c:pt>
                <c:pt idx="164">
                  <c:v>6.3226791000000002</c:v>
                </c:pt>
                <c:pt idx="165">
                  <c:v>6.2720050000000001</c:v>
                </c:pt>
                <c:pt idx="166">
                  <c:v>6.1633579999999997</c:v>
                </c:pt>
                <c:pt idx="167">
                  <c:v>6.9170758000000001</c:v>
                </c:pt>
                <c:pt idx="168">
                  <c:v>6.9945938999999999</c:v>
                </c:pt>
                <c:pt idx="169">
                  <c:v>6.9532921999999999</c:v>
                </c:pt>
                <c:pt idx="170">
                  <c:v>7.3832358999999999</c:v>
                </c:pt>
                <c:pt idx="171">
                  <c:v>7.4115878999999998</c:v>
                </c:pt>
                <c:pt idx="172">
                  <c:v>7.4496422000000004</c:v>
                </c:pt>
                <c:pt idx="173">
                  <c:v>7.2435074999999998</c:v>
                </c:pt>
                <c:pt idx="174">
                  <c:v>7.4075972999999999</c:v>
                </c:pt>
                <c:pt idx="175">
                  <c:v>7.5758298999999996</c:v>
                </c:pt>
                <c:pt idx="176">
                  <c:v>7.3058025000000004</c:v>
                </c:pt>
                <c:pt idx="177">
                  <c:v>7.1753027999999999</c:v>
                </c:pt>
                <c:pt idx="178">
                  <c:v>7.2531705000000004</c:v>
                </c:pt>
                <c:pt idx="179">
                  <c:v>7.1900149999999998</c:v>
                </c:pt>
                <c:pt idx="180">
                  <c:v>7.0161436000000004</c:v>
                </c:pt>
                <c:pt idx="181">
                  <c:v>7.1534043</c:v>
                </c:pt>
                <c:pt idx="182">
                  <c:v>6.9323509000000003</c:v>
                </c:pt>
                <c:pt idx="183">
                  <c:v>7.0498035999999997</c:v>
                </c:pt>
                <c:pt idx="184">
                  <c:v>6.8114634000000001</c:v>
                </c:pt>
                <c:pt idx="185">
                  <c:v>6.7348442999999998</c:v>
                </c:pt>
                <c:pt idx="186">
                  <c:v>7.0144849999999996</c:v>
                </c:pt>
                <c:pt idx="187">
                  <c:v>7.0366966</c:v>
                </c:pt>
                <c:pt idx="188">
                  <c:v>6.9494927999999998</c:v>
                </c:pt>
                <c:pt idx="189">
                  <c:v>6.9840470000000003</c:v>
                </c:pt>
                <c:pt idx="190">
                  <c:v>6.8478300000000001</c:v>
                </c:pt>
                <c:pt idx="191">
                  <c:v>6.6782456999999997</c:v>
                </c:pt>
                <c:pt idx="192">
                  <c:v>6.8487993999999999</c:v>
                </c:pt>
                <c:pt idx="193">
                  <c:v>6.7918162999999998</c:v>
                </c:pt>
                <c:pt idx="194">
                  <c:v>6.6802342000000001</c:v>
                </c:pt>
                <c:pt idx="195">
                  <c:v>6.9262145000000004</c:v>
                </c:pt>
                <c:pt idx="196">
                  <c:v>6.7142545</c:v>
                </c:pt>
                <c:pt idx="197">
                  <c:v>6.6887797999999998</c:v>
                </c:pt>
                <c:pt idx="198">
                  <c:v>6.5995128999999997</c:v>
                </c:pt>
                <c:pt idx="199">
                  <c:v>5.8799454000000004</c:v>
                </c:pt>
                <c:pt idx="200">
                  <c:v>6.1546512</c:v>
                </c:pt>
                <c:pt idx="201">
                  <c:v>6.1115284000000001</c:v>
                </c:pt>
                <c:pt idx="202">
                  <c:v>6.3386883000000003</c:v>
                </c:pt>
                <c:pt idx="203">
                  <c:v>6.1005972000000002</c:v>
                </c:pt>
                <c:pt idx="204">
                  <c:v>6.3211485999999999</c:v>
                </c:pt>
                <c:pt idx="205">
                  <c:v>6.4976684999999996</c:v>
                </c:pt>
                <c:pt idx="206">
                  <c:v>6.3639976999999996</c:v>
                </c:pt>
                <c:pt idx="207">
                  <c:v>6.4248286999999999</c:v>
                </c:pt>
                <c:pt idx="208">
                  <c:v>6.5439591000000004</c:v>
                </c:pt>
                <c:pt idx="209">
                  <c:v>6.6312357000000004</c:v>
                </c:pt>
                <c:pt idx="210">
                  <c:v>6.7999159000000002</c:v>
                </c:pt>
                <c:pt idx="211">
                  <c:v>6.7192872000000001</c:v>
                </c:pt>
                <c:pt idx="212">
                  <c:v>6.6859368000000003</c:v>
                </c:pt>
                <c:pt idx="213">
                  <c:v>6.1609040000000004</c:v>
                </c:pt>
                <c:pt idx="214">
                  <c:v>6.6507351000000003</c:v>
                </c:pt>
                <c:pt idx="215">
                  <c:v>6.9870609000000004</c:v>
                </c:pt>
                <c:pt idx="216">
                  <c:v>6.7595321000000004</c:v>
                </c:pt>
                <c:pt idx="217">
                  <c:v>6.5089832000000003</c:v>
                </c:pt>
                <c:pt idx="218">
                  <c:v>6.6512482999999998</c:v>
                </c:pt>
                <c:pt idx="219">
                  <c:v>6.5710082999999999</c:v>
                </c:pt>
                <c:pt idx="220">
                  <c:v>6.5633613000000004</c:v>
                </c:pt>
                <c:pt idx="221">
                  <c:v>6.5208700999999998</c:v>
                </c:pt>
                <c:pt idx="222">
                  <c:v>6.5580239999999996</c:v>
                </c:pt>
                <c:pt idx="223">
                  <c:v>6.4816929999999999</c:v>
                </c:pt>
                <c:pt idx="224">
                  <c:v>6.5580905999999999</c:v>
                </c:pt>
                <c:pt idx="225">
                  <c:v>6.6300695000000003</c:v>
                </c:pt>
                <c:pt idx="226">
                  <c:v>6.4226983999999998</c:v>
                </c:pt>
                <c:pt idx="227">
                  <c:v>6.5909354000000002</c:v>
                </c:pt>
                <c:pt idx="228">
                  <c:v>6.5243133000000002</c:v>
                </c:pt>
                <c:pt idx="229">
                  <c:v>7.1201618</c:v>
                </c:pt>
                <c:pt idx="230">
                  <c:v>7.0009442999999996</c:v>
                </c:pt>
                <c:pt idx="231">
                  <c:v>6.5211131</c:v>
                </c:pt>
                <c:pt idx="232">
                  <c:v>6.6460983999999996</c:v>
                </c:pt>
                <c:pt idx="233">
                  <c:v>6.6178492999999996</c:v>
                </c:pt>
                <c:pt idx="234">
                  <c:v>6.5281364999999996</c:v>
                </c:pt>
                <c:pt idx="235">
                  <c:v>6.2953786999999997</c:v>
                </c:pt>
                <c:pt idx="236">
                  <c:v>6.8337225999999998</c:v>
                </c:pt>
                <c:pt idx="237">
                  <c:v>6.8796388999999998</c:v>
                </c:pt>
                <c:pt idx="238">
                  <c:v>6.7786673000000004</c:v>
                </c:pt>
                <c:pt idx="239">
                  <c:v>6.8333088999999996</c:v>
                </c:pt>
                <c:pt idx="240">
                  <c:v>6.5538796000000001</c:v>
                </c:pt>
                <c:pt idx="241">
                  <c:v>6.5837975999999996</c:v>
                </c:pt>
                <c:pt idx="242">
                  <c:v>7.0460694999999998</c:v>
                </c:pt>
                <c:pt idx="243">
                  <c:v>7.0511562999999997</c:v>
                </c:pt>
                <c:pt idx="244">
                  <c:v>6.9153614000000001</c:v>
                </c:pt>
                <c:pt idx="245">
                  <c:v>6.8784061999999997</c:v>
                </c:pt>
                <c:pt idx="246">
                  <c:v>7.2624183000000002</c:v>
                </c:pt>
                <c:pt idx="247">
                  <c:v>6.7896196</c:v>
                </c:pt>
                <c:pt idx="248">
                  <c:v>7.2917873000000002</c:v>
                </c:pt>
                <c:pt idx="249">
                  <c:v>6.887175</c:v>
                </c:pt>
                <c:pt idx="250">
                  <c:v>6.7506893999999997</c:v>
                </c:pt>
                <c:pt idx="251">
                  <c:v>6.6199880999999996</c:v>
                </c:pt>
                <c:pt idx="252">
                  <c:v>6.3170736999999999</c:v>
                </c:pt>
                <c:pt idx="253">
                  <c:v>6.6380983000000002</c:v>
                </c:pt>
                <c:pt idx="254">
                  <c:v>6.7445528000000001</c:v>
                </c:pt>
                <c:pt idx="255">
                  <c:v>6.3696735999999996</c:v>
                </c:pt>
                <c:pt idx="256">
                  <c:v>6.5014688999999999</c:v>
                </c:pt>
                <c:pt idx="257">
                  <c:v>6.3330991000000001</c:v>
                </c:pt>
                <c:pt idx="258">
                  <c:v>6.1469582000000003</c:v>
                </c:pt>
                <c:pt idx="259">
                  <c:v>5.7921265000000002</c:v>
                </c:pt>
                <c:pt idx="260">
                  <c:v>6.2429354000000004</c:v>
                </c:pt>
                <c:pt idx="261">
                  <c:v>6.3335055999999996</c:v>
                </c:pt>
                <c:pt idx="262">
                  <c:v>6.3244574</c:v>
                </c:pt>
                <c:pt idx="263">
                  <c:v>6.0411694999999996</c:v>
                </c:pt>
                <c:pt idx="264">
                  <c:v>6.1912361999999996</c:v>
                </c:pt>
                <c:pt idx="265">
                  <c:v>5.4720741000000004</c:v>
                </c:pt>
                <c:pt idx="266">
                  <c:v>6.0516738999999999</c:v>
                </c:pt>
                <c:pt idx="267">
                  <c:v>6.3018346999999997</c:v>
                </c:pt>
                <c:pt idx="268">
                  <c:v>5.9797798999999996</c:v>
                </c:pt>
                <c:pt idx="269">
                  <c:v>5.3735353999999997</c:v>
                </c:pt>
                <c:pt idx="270">
                  <c:v>6.5508214000000002</c:v>
                </c:pt>
                <c:pt idx="271">
                  <c:v>6.0799732000000004</c:v>
                </c:pt>
                <c:pt idx="272">
                  <c:v>6.5009307999999999</c:v>
                </c:pt>
                <c:pt idx="273">
                  <c:v>6.6814752999999998</c:v>
                </c:pt>
                <c:pt idx="274">
                  <c:v>6.2564891999999999</c:v>
                </c:pt>
                <c:pt idx="275">
                  <c:v>6.7380016999999999</c:v>
                </c:pt>
                <c:pt idx="276">
                  <c:v>6.4442525000000002</c:v>
                </c:pt>
                <c:pt idx="277">
                  <c:v>6.0368823999999996</c:v>
                </c:pt>
                <c:pt idx="278">
                  <c:v>6.0327305999999998</c:v>
                </c:pt>
                <c:pt idx="279">
                  <c:v>5.9523890000000002</c:v>
                </c:pt>
                <c:pt idx="280">
                  <c:v>6.0542958999999996</c:v>
                </c:pt>
                <c:pt idx="281">
                  <c:v>6.1734904000000004</c:v>
                </c:pt>
                <c:pt idx="282">
                  <c:v>6.1433119999999999</c:v>
                </c:pt>
                <c:pt idx="283">
                  <c:v>6.1750011999999996</c:v>
                </c:pt>
                <c:pt idx="284">
                  <c:v>5.8691925999999999</c:v>
                </c:pt>
                <c:pt idx="285">
                  <c:v>5.9150488000000001</c:v>
                </c:pt>
                <c:pt idx="286">
                  <c:v>5.9364236999999997</c:v>
                </c:pt>
                <c:pt idx="287">
                  <c:v>6.0758362999999997</c:v>
                </c:pt>
                <c:pt idx="288">
                  <c:v>5.9691425000000002</c:v>
                </c:pt>
                <c:pt idx="289">
                  <c:v>6.0564866000000004</c:v>
                </c:pt>
                <c:pt idx="290">
                  <c:v>6.1996212000000002</c:v>
                </c:pt>
                <c:pt idx="291">
                  <c:v>6.1688248999999997</c:v>
                </c:pt>
                <c:pt idx="292">
                  <c:v>6.0312410999999999</c:v>
                </c:pt>
                <c:pt idx="293">
                  <c:v>5.8677596999999997</c:v>
                </c:pt>
                <c:pt idx="294">
                  <c:v>5.9103439</c:v>
                </c:pt>
                <c:pt idx="295">
                  <c:v>5.8404236999999997</c:v>
                </c:pt>
                <c:pt idx="296">
                  <c:v>5.7063446000000004</c:v>
                </c:pt>
                <c:pt idx="297">
                  <c:v>5.3172921999999998</c:v>
                </c:pt>
                <c:pt idx="298">
                  <c:v>5.6886755000000004</c:v>
                </c:pt>
                <c:pt idx="299">
                  <c:v>6.1522266999999999</c:v>
                </c:pt>
                <c:pt idx="300">
                  <c:v>6.6422226999999996</c:v>
                </c:pt>
                <c:pt idx="301">
                  <c:v>6.7958955000000003</c:v>
                </c:pt>
                <c:pt idx="302">
                  <c:v>6.9045195000000001</c:v>
                </c:pt>
                <c:pt idx="303">
                  <c:v>6.9807442999999996</c:v>
                </c:pt>
                <c:pt idx="304">
                  <c:v>6.6876831000000001</c:v>
                </c:pt>
                <c:pt idx="305">
                  <c:v>6.7956288000000002</c:v>
                </c:pt>
                <c:pt idx="306">
                  <c:v>6.4936334000000002</c:v>
                </c:pt>
                <c:pt idx="307">
                  <c:v>6.9619704999999996</c:v>
                </c:pt>
                <c:pt idx="308">
                  <c:v>7.0817180999999998</c:v>
                </c:pt>
                <c:pt idx="309">
                  <c:v>7.2374346999999997</c:v>
                </c:pt>
                <c:pt idx="310">
                  <c:v>6.9566562999999997</c:v>
                </c:pt>
                <c:pt idx="311">
                  <c:v>6.738836</c:v>
                </c:pt>
                <c:pt idx="312">
                  <c:v>6.4600312000000004</c:v>
                </c:pt>
                <c:pt idx="313">
                  <c:v>6.7325726000000001</c:v>
                </c:pt>
                <c:pt idx="314">
                  <c:v>6.4001321000000004</c:v>
                </c:pt>
                <c:pt idx="315">
                  <c:v>6.6251905000000004</c:v>
                </c:pt>
                <c:pt idx="316">
                  <c:v>6.8292704999999998</c:v>
                </c:pt>
                <c:pt idx="317">
                  <c:v>6.9293715000000002</c:v>
                </c:pt>
                <c:pt idx="318">
                  <c:v>6.9396148999999996</c:v>
                </c:pt>
                <c:pt idx="319">
                  <c:v>7.1610259000000003</c:v>
                </c:pt>
                <c:pt idx="320">
                  <c:v>6.9442664000000001</c:v>
                </c:pt>
                <c:pt idx="321">
                  <c:v>6.9533531000000002</c:v>
                </c:pt>
                <c:pt idx="322">
                  <c:v>7.1225072000000003</c:v>
                </c:pt>
                <c:pt idx="323">
                  <c:v>7.1745992000000003</c:v>
                </c:pt>
                <c:pt idx="324">
                  <c:v>7.3353320999999996</c:v>
                </c:pt>
                <c:pt idx="325">
                  <c:v>7.2548820000000003</c:v>
                </c:pt>
                <c:pt idx="326">
                  <c:v>7.0996205000000003</c:v>
                </c:pt>
                <c:pt idx="327">
                  <c:v>6.8994885000000004</c:v>
                </c:pt>
                <c:pt idx="328">
                  <c:v>6.7710001999999996</c:v>
                </c:pt>
                <c:pt idx="329">
                  <c:v>6.6751984000000002</c:v>
                </c:pt>
                <c:pt idx="330">
                  <c:v>6.5328726000000001</c:v>
                </c:pt>
                <c:pt idx="331">
                  <c:v>6.5495538</c:v>
                </c:pt>
                <c:pt idx="332">
                  <c:v>6.6042544000000003</c:v>
                </c:pt>
                <c:pt idx="333">
                  <c:v>6.8079369999999999</c:v>
                </c:pt>
                <c:pt idx="334">
                  <c:v>6.6992085000000001</c:v>
                </c:pt>
                <c:pt idx="335">
                  <c:v>6.6531747000000001</c:v>
                </c:pt>
                <c:pt idx="336">
                  <c:v>6.7421337000000001</c:v>
                </c:pt>
                <c:pt idx="337">
                  <c:v>6.7166798999999999</c:v>
                </c:pt>
                <c:pt idx="338">
                  <c:v>6.7654905000000003</c:v>
                </c:pt>
                <c:pt idx="339">
                  <c:v>6.9425486000000003</c:v>
                </c:pt>
                <c:pt idx="340">
                  <c:v>6.9746902000000004</c:v>
                </c:pt>
                <c:pt idx="341">
                  <c:v>6.9024416000000004</c:v>
                </c:pt>
                <c:pt idx="342">
                  <c:v>7.0176780000000001</c:v>
                </c:pt>
                <c:pt idx="343">
                  <c:v>6.8852621999999997</c:v>
                </c:pt>
                <c:pt idx="344">
                  <c:v>6.5612672999999999</c:v>
                </c:pt>
                <c:pt idx="345">
                  <c:v>6.4103498999999999</c:v>
                </c:pt>
                <c:pt idx="346">
                  <c:v>6.3835794000000003</c:v>
                </c:pt>
                <c:pt idx="347">
                  <c:v>6.6192318999999999</c:v>
                </c:pt>
                <c:pt idx="348">
                  <c:v>6.7562645000000003</c:v>
                </c:pt>
                <c:pt idx="349">
                  <c:v>6.4912448999999999</c:v>
                </c:pt>
                <c:pt idx="350">
                  <c:v>6.3487049000000004</c:v>
                </c:pt>
                <c:pt idx="351">
                  <c:v>6.3853546999999997</c:v>
                </c:pt>
                <c:pt idx="352">
                  <c:v>6.4787622999999996</c:v>
                </c:pt>
                <c:pt idx="353">
                  <c:v>6.5517333000000004</c:v>
                </c:pt>
                <c:pt idx="354">
                  <c:v>6.6607887999999997</c:v>
                </c:pt>
                <c:pt idx="355">
                  <c:v>6.7604274999999996</c:v>
                </c:pt>
                <c:pt idx="356">
                  <c:v>6.7052221999999997</c:v>
                </c:pt>
                <c:pt idx="357">
                  <c:v>6.6006577999999996</c:v>
                </c:pt>
                <c:pt idx="358">
                  <c:v>6.4735288999999998</c:v>
                </c:pt>
                <c:pt idx="359">
                  <c:v>6.5029097</c:v>
                </c:pt>
                <c:pt idx="360">
                  <c:v>6.3666419999999997</c:v>
                </c:pt>
                <c:pt idx="361">
                  <c:v>6.4703679000000003</c:v>
                </c:pt>
                <c:pt idx="362">
                  <c:v>6.5409198000000002</c:v>
                </c:pt>
                <c:pt idx="363">
                  <c:v>6.6638086999999997</c:v>
                </c:pt>
                <c:pt idx="364">
                  <c:v>6.4920191000000003</c:v>
                </c:pt>
                <c:pt idx="365">
                  <c:v>6.5880159000000003</c:v>
                </c:pt>
                <c:pt idx="366">
                  <c:v>6.4314669000000002</c:v>
                </c:pt>
                <c:pt idx="367">
                  <c:v>6.5715496</c:v>
                </c:pt>
                <c:pt idx="368">
                  <c:v>6.8301594000000003</c:v>
                </c:pt>
                <c:pt idx="369">
                  <c:v>7.0321667999999997</c:v>
                </c:pt>
                <c:pt idx="370">
                  <c:v>7.3410742999999998</c:v>
                </c:pt>
                <c:pt idx="371">
                  <c:v>7.4517996999999996</c:v>
                </c:pt>
                <c:pt idx="372">
                  <c:v>7.5311662999999998</c:v>
                </c:pt>
                <c:pt idx="373">
                  <c:v>7.9547147999999996</c:v>
                </c:pt>
                <c:pt idx="374">
                  <c:v>8.2093738999999992</c:v>
                </c:pt>
                <c:pt idx="375">
                  <c:v>8.5128328</c:v>
                </c:pt>
                <c:pt idx="376">
                  <c:v>8.0448047999999996</c:v>
                </c:pt>
                <c:pt idx="377">
                  <c:v>8.0647100999999992</c:v>
                </c:pt>
                <c:pt idx="378">
                  <c:v>8.0166249000000001</c:v>
                </c:pt>
                <c:pt idx="379">
                  <c:v>8.0037994000000001</c:v>
                </c:pt>
                <c:pt idx="380">
                  <c:v>7.9848426999999997</c:v>
                </c:pt>
                <c:pt idx="381">
                  <c:v>7.8171935000000001</c:v>
                </c:pt>
                <c:pt idx="382">
                  <c:v>7.9138555000000004</c:v>
                </c:pt>
                <c:pt idx="383">
                  <c:v>7.8011521000000004</c:v>
                </c:pt>
                <c:pt idx="384">
                  <c:v>7.7018136000000004</c:v>
                </c:pt>
                <c:pt idx="385">
                  <c:v>7.3438993999999997</c:v>
                </c:pt>
                <c:pt idx="386">
                  <c:v>7.2394312999999997</c:v>
                </c:pt>
                <c:pt idx="387">
                  <c:v>6.8349805000000003</c:v>
                </c:pt>
                <c:pt idx="388">
                  <c:v>6.8478386999999996</c:v>
                </c:pt>
                <c:pt idx="389">
                  <c:v>6.8301447</c:v>
                </c:pt>
                <c:pt idx="390">
                  <c:v>6.7737068999999996</c:v>
                </c:pt>
                <c:pt idx="391">
                  <c:v>6.9120181000000001</c:v>
                </c:pt>
                <c:pt idx="392">
                  <c:v>6.8260418999999999</c:v>
                </c:pt>
                <c:pt idx="393">
                  <c:v>6.7610349999999997</c:v>
                </c:pt>
                <c:pt idx="394">
                  <c:v>6.7254823999999997</c:v>
                </c:pt>
                <c:pt idx="395">
                  <c:v>6.5878017</c:v>
                </c:pt>
                <c:pt idx="396">
                  <c:v>6.6436168000000002</c:v>
                </c:pt>
                <c:pt idx="397">
                  <c:v>6.8180379000000002</c:v>
                </c:pt>
                <c:pt idx="398">
                  <c:v>7.0829835000000001</c:v>
                </c:pt>
                <c:pt idx="399">
                  <c:v>7.0349576999999996</c:v>
                </c:pt>
                <c:pt idx="400">
                  <c:v>6.6061546</c:v>
                </c:pt>
                <c:pt idx="401">
                  <c:v>6.3544707999999996</c:v>
                </c:pt>
                <c:pt idx="402">
                  <c:v>6.1869325000000002</c:v>
                </c:pt>
                <c:pt idx="403">
                  <c:v>6.4150479999999996</c:v>
                </c:pt>
                <c:pt idx="404">
                  <c:v>6.4851032999999996</c:v>
                </c:pt>
                <c:pt idx="405">
                  <c:v>6.5753985999999998</c:v>
                </c:pt>
                <c:pt idx="406">
                  <c:v>6.8587645000000004</c:v>
                </c:pt>
                <c:pt idx="407">
                  <c:v>7.1787016000000001</c:v>
                </c:pt>
                <c:pt idx="408">
                  <c:v>7.3635758999999998</c:v>
                </c:pt>
                <c:pt idx="409">
                  <c:v>7.4050133999999996</c:v>
                </c:pt>
                <c:pt idx="410">
                  <c:v>7.5522353000000004</c:v>
                </c:pt>
                <c:pt idx="411">
                  <c:v>8.0130190999999993</c:v>
                </c:pt>
                <c:pt idx="412">
                  <c:v>7.5805699000000004</c:v>
                </c:pt>
                <c:pt idx="413">
                  <c:v>7.6180671999999996</c:v>
                </c:pt>
                <c:pt idx="414">
                  <c:v>7.5956422000000003</c:v>
                </c:pt>
                <c:pt idx="415">
                  <c:v>7.4832583000000001</c:v>
                </c:pt>
                <c:pt idx="416">
                  <c:v>7.5865340000000003</c:v>
                </c:pt>
                <c:pt idx="417">
                  <c:v>7.6707980999999998</c:v>
                </c:pt>
                <c:pt idx="418">
                  <c:v>7.4300679000000001</c:v>
                </c:pt>
                <c:pt idx="419">
                  <c:v>7.3724613999999997</c:v>
                </c:pt>
                <c:pt idx="420">
                  <c:v>7.3937447000000001</c:v>
                </c:pt>
                <c:pt idx="421">
                  <c:v>7.8797420000000002</c:v>
                </c:pt>
                <c:pt idx="422">
                  <c:v>7.8388100999999999</c:v>
                </c:pt>
                <c:pt idx="423">
                  <c:v>8.3599087000000001</c:v>
                </c:pt>
                <c:pt idx="424">
                  <c:v>8.0661112999999993</c:v>
                </c:pt>
                <c:pt idx="425">
                  <c:v>8.0423340999999997</c:v>
                </c:pt>
                <c:pt idx="426">
                  <c:v>8.1651787999999996</c:v>
                </c:pt>
                <c:pt idx="427">
                  <c:v>7.7339472999999996</c:v>
                </c:pt>
                <c:pt idx="428">
                  <c:v>7.5413169</c:v>
                </c:pt>
                <c:pt idx="429">
                  <c:v>7.5570861999999996</c:v>
                </c:pt>
                <c:pt idx="430">
                  <c:v>7.6215324999999998</c:v>
                </c:pt>
                <c:pt idx="431">
                  <c:v>7.6466688999999999</c:v>
                </c:pt>
                <c:pt idx="432">
                  <c:v>8.0297272</c:v>
                </c:pt>
                <c:pt idx="433">
                  <c:v>7.8866497999999998</c:v>
                </c:pt>
                <c:pt idx="434">
                  <c:v>8.1063510000000001</c:v>
                </c:pt>
                <c:pt idx="435">
                  <c:v>8.2128840000000007</c:v>
                </c:pt>
                <c:pt idx="436">
                  <c:v>8.5127950999999999</c:v>
                </c:pt>
                <c:pt idx="437">
                  <c:v>9.3069828000000001</c:v>
                </c:pt>
                <c:pt idx="438">
                  <c:v>8.8458073000000006</c:v>
                </c:pt>
                <c:pt idx="439">
                  <c:v>8.9416398000000008</c:v>
                </c:pt>
                <c:pt idx="440">
                  <c:v>8.5807731</c:v>
                </c:pt>
                <c:pt idx="441">
                  <c:v>9.5738058000000006</c:v>
                </c:pt>
                <c:pt idx="442">
                  <c:v>9.4746790999999995</c:v>
                </c:pt>
                <c:pt idx="443">
                  <c:v>9.5560989999999997</c:v>
                </c:pt>
                <c:pt idx="444">
                  <c:v>9.0466621000000007</c:v>
                </c:pt>
                <c:pt idx="445">
                  <c:v>8.5471480999999994</c:v>
                </c:pt>
                <c:pt idx="446">
                  <c:v>8.0735931000000001</c:v>
                </c:pt>
                <c:pt idx="447">
                  <c:v>8.7973242999999997</c:v>
                </c:pt>
                <c:pt idx="448">
                  <c:v>8.6480411000000004</c:v>
                </c:pt>
                <c:pt idx="449">
                  <c:v>8.8775586000000004</c:v>
                </c:pt>
                <c:pt idx="450">
                  <c:v>8.3967065000000005</c:v>
                </c:pt>
                <c:pt idx="451">
                  <c:v>9.5142740999999997</c:v>
                </c:pt>
                <c:pt idx="452">
                  <c:v>9.4690429999999992</c:v>
                </c:pt>
                <c:pt idx="453">
                  <c:v>9.3842163000000003</c:v>
                </c:pt>
                <c:pt idx="454">
                  <c:v>9.0545376999999991</c:v>
                </c:pt>
                <c:pt idx="455">
                  <c:v>9.0353581999999992</c:v>
                </c:pt>
                <c:pt idx="456">
                  <c:v>8.9154964999999997</c:v>
                </c:pt>
                <c:pt idx="457">
                  <c:v>8.7691122000000004</c:v>
                </c:pt>
                <c:pt idx="458">
                  <c:v>9.1846975999999998</c:v>
                </c:pt>
                <c:pt idx="459">
                  <c:v>8.8483304999999994</c:v>
                </c:pt>
                <c:pt idx="460">
                  <c:v>9.4213009000000003</c:v>
                </c:pt>
                <c:pt idx="461">
                  <c:v>9.1321477000000009</c:v>
                </c:pt>
                <c:pt idx="462">
                  <c:v>9.5090126999999995</c:v>
                </c:pt>
                <c:pt idx="463">
                  <c:v>9.3356572999999994</c:v>
                </c:pt>
                <c:pt idx="464">
                  <c:v>9.4570247999999992</c:v>
                </c:pt>
                <c:pt idx="465">
                  <c:v>8.9107456000000003</c:v>
                </c:pt>
                <c:pt idx="466">
                  <c:v>9.3590962999999991</c:v>
                </c:pt>
                <c:pt idx="467">
                  <c:v>9.1578706000000007</c:v>
                </c:pt>
                <c:pt idx="468">
                  <c:v>9.0350712000000009</c:v>
                </c:pt>
                <c:pt idx="469">
                  <c:v>8.8896043999999996</c:v>
                </c:pt>
                <c:pt idx="470">
                  <c:v>8.8113881999999997</c:v>
                </c:pt>
                <c:pt idx="471">
                  <c:v>8.6415360000000003</c:v>
                </c:pt>
                <c:pt idx="472">
                  <c:v>8.3460730000000005</c:v>
                </c:pt>
                <c:pt idx="473">
                  <c:v>8.5689527999999999</c:v>
                </c:pt>
                <c:pt idx="474">
                  <c:v>8.7538920000000005</c:v>
                </c:pt>
                <c:pt idx="475">
                  <c:v>8.8950180000000003</c:v>
                </c:pt>
                <c:pt idx="476">
                  <c:v>8.4682753999999996</c:v>
                </c:pt>
                <c:pt idx="477">
                  <c:v>8.3477800000000002</c:v>
                </c:pt>
                <c:pt idx="478">
                  <c:v>8.1701528999999997</c:v>
                </c:pt>
                <c:pt idx="479">
                  <c:v>8.8910321999999997</c:v>
                </c:pt>
                <c:pt idx="480">
                  <c:v>8.1736220999999993</c:v>
                </c:pt>
                <c:pt idx="481">
                  <c:v>8.4040949000000005</c:v>
                </c:pt>
                <c:pt idx="482">
                  <c:v>7.7515596999999996</c:v>
                </c:pt>
                <c:pt idx="483">
                  <c:v>7.9295755000000003</c:v>
                </c:pt>
                <c:pt idx="484">
                  <c:v>8.1664849000000004</c:v>
                </c:pt>
                <c:pt idx="485">
                  <c:v>8.2873394999999999</c:v>
                </c:pt>
                <c:pt idx="486">
                  <c:v>7.9206028999999996</c:v>
                </c:pt>
                <c:pt idx="487">
                  <c:v>7.7135940999999999</c:v>
                </c:pt>
                <c:pt idx="488">
                  <c:v>7.7740708999999999</c:v>
                </c:pt>
                <c:pt idx="489">
                  <c:v>8.0461188000000003</c:v>
                </c:pt>
                <c:pt idx="490">
                  <c:v>8.2670442000000008</c:v>
                </c:pt>
                <c:pt idx="491">
                  <c:v>8.1255865000000007</c:v>
                </c:pt>
                <c:pt idx="492">
                  <c:v>8.2970153</c:v>
                </c:pt>
                <c:pt idx="493">
                  <c:v>8.5032549999999993</c:v>
                </c:pt>
                <c:pt idx="494">
                  <c:v>8.3419629000000004</c:v>
                </c:pt>
                <c:pt idx="495">
                  <c:v>9.4134895000000007</c:v>
                </c:pt>
                <c:pt idx="496">
                  <c:v>7.9510785000000004</c:v>
                </c:pt>
                <c:pt idx="497">
                  <c:v>8.5614407000000003</c:v>
                </c:pt>
                <c:pt idx="498">
                  <c:v>8.4606411999999995</c:v>
                </c:pt>
                <c:pt idx="499">
                  <c:v>8.0112638999999994</c:v>
                </c:pt>
                <c:pt idx="500">
                  <c:v>8.2053992999999998</c:v>
                </c:pt>
                <c:pt idx="501">
                  <c:v>8.2747776999999996</c:v>
                </c:pt>
                <c:pt idx="502">
                  <c:v>8.0091716999999996</c:v>
                </c:pt>
                <c:pt idx="503">
                  <c:v>8.2693103000000008</c:v>
                </c:pt>
                <c:pt idx="504">
                  <c:v>8.2612544999999997</c:v>
                </c:pt>
                <c:pt idx="505">
                  <c:v>8.5506174999999995</c:v>
                </c:pt>
                <c:pt idx="506">
                  <c:v>14.2449917</c:v>
                </c:pt>
                <c:pt idx="507">
                  <c:v>14.817554599999999</c:v>
                </c:pt>
                <c:pt idx="508">
                  <c:v>12.960699999999999</c:v>
                </c:pt>
                <c:pt idx="509">
                  <c:v>13.0557257</c:v>
                </c:pt>
                <c:pt idx="510">
                  <c:v>14.40006</c:v>
                </c:pt>
                <c:pt idx="511">
                  <c:v>14.813495400000001</c:v>
                </c:pt>
                <c:pt idx="512">
                  <c:v>12.920465</c:v>
                </c:pt>
                <c:pt idx="513">
                  <c:v>10.1451216</c:v>
                </c:pt>
                <c:pt idx="514">
                  <c:v>8.9891331999999995</c:v>
                </c:pt>
                <c:pt idx="515">
                  <c:v>8.3832070999999999</c:v>
                </c:pt>
                <c:pt idx="516">
                  <c:v>9.1309816000000001</c:v>
                </c:pt>
                <c:pt idx="517">
                  <c:v>7.9601889000000003</c:v>
                </c:pt>
                <c:pt idx="518">
                  <c:v>7.6115108999999999</c:v>
                </c:pt>
                <c:pt idx="519">
                  <c:v>7.8956264000000003</c:v>
                </c:pt>
                <c:pt idx="520">
                  <c:v>9.8283717999999993</c:v>
                </c:pt>
                <c:pt idx="521">
                  <c:v>8.1921610999999999</c:v>
                </c:pt>
                <c:pt idx="522">
                  <c:v>9.5030400000000004</c:v>
                </c:pt>
                <c:pt idx="523">
                  <c:v>9.9724135</c:v>
                </c:pt>
                <c:pt idx="524">
                  <c:v>11.325317699999999</c:v>
                </c:pt>
                <c:pt idx="525">
                  <c:v>7.2621041999999996</c:v>
                </c:pt>
                <c:pt idx="526">
                  <c:v>6.3819356999999997</c:v>
                </c:pt>
                <c:pt idx="527">
                  <c:v>6.0135605999999999</c:v>
                </c:pt>
                <c:pt idx="528">
                  <c:v>6.2257325000000003</c:v>
                </c:pt>
                <c:pt idx="529">
                  <c:v>5.8721959000000004</c:v>
                </c:pt>
                <c:pt idx="530">
                  <c:v>6.1012300000000002</c:v>
                </c:pt>
                <c:pt idx="531">
                  <c:v>5.9049585000000002</c:v>
                </c:pt>
                <c:pt idx="532">
                  <c:v>6.1072139999999999</c:v>
                </c:pt>
                <c:pt idx="533">
                  <c:v>5.8494731</c:v>
                </c:pt>
                <c:pt idx="534">
                  <c:v>5.7706309999999998</c:v>
                </c:pt>
                <c:pt idx="535">
                  <c:v>5.7385988000000001</c:v>
                </c:pt>
                <c:pt idx="536">
                  <c:v>5.8183246000000004</c:v>
                </c:pt>
                <c:pt idx="537">
                  <c:v>5.7626023999999996</c:v>
                </c:pt>
                <c:pt idx="538">
                  <c:v>6.1998733000000001</c:v>
                </c:pt>
                <c:pt idx="539">
                  <c:v>6.2792491000000004</c:v>
                </c:pt>
                <c:pt idx="540">
                  <c:v>5.4034063999999997</c:v>
                </c:pt>
                <c:pt idx="541">
                  <c:v>6.2654373000000003</c:v>
                </c:pt>
                <c:pt idx="542">
                  <c:v>6.0213812000000004</c:v>
                </c:pt>
              </c:numCache>
            </c:numRef>
          </c:val>
          <c:smooth val="0"/>
          <c:extLst>
            <c:ext xmlns:c16="http://schemas.microsoft.com/office/drawing/2014/chart" uri="{C3380CC4-5D6E-409C-BE32-E72D297353CC}">
              <c16:uniqueId val="{00000001-BE69-416A-A544-8663B523D9B4}"/>
            </c:ext>
          </c:extLst>
        </c:ser>
        <c:dLbls>
          <c:showLegendKey val="0"/>
          <c:showVal val="0"/>
          <c:showCatName val="0"/>
          <c:showSerName val="0"/>
          <c:showPercent val="0"/>
          <c:showBubbleSize val="0"/>
        </c:dLbls>
        <c:smooth val="0"/>
        <c:axId val="994087768"/>
        <c:axId val="994088096"/>
      </c:lineChart>
      <c:dateAx>
        <c:axId val="994087768"/>
        <c:scaling>
          <c:orientation val="minMax"/>
          <c:min val="28856"/>
        </c:scaling>
        <c:delete val="0"/>
        <c:axPos val="b"/>
        <c:numFmt formatCode="yyyy"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994088096"/>
        <c:crosses val="autoZero"/>
        <c:auto val="1"/>
        <c:lblOffset val="100"/>
        <c:baseTimeUnit val="months"/>
        <c:majorUnit val="4"/>
        <c:majorTimeUnit val="years"/>
      </c:dateAx>
      <c:valAx>
        <c:axId val="994088096"/>
        <c:scaling>
          <c:orientation val="minMax"/>
        </c:scaling>
        <c:delete val="0"/>
        <c:axPos val="l"/>
        <c:majorGridlines>
          <c:spPr>
            <a:ln w="9525" cap="flat" cmpd="sng" algn="ctr">
              <a:solidFill>
                <a:schemeClr val="bg1">
                  <a:lumMod val="65000"/>
                </a:schemeClr>
              </a:solidFill>
              <a:prstDash val="dash"/>
              <a:round/>
            </a:ln>
            <a:effectLst/>
          </c:spPr>
        </c:majorGridlines>
        <c:title>
          <c:tx>
            <c:rich>
              <a:bodyPr rot="-5400000" spcFirstLastPara="1" vertOverflow="ellipsis" vert="horz" wrap="square" anchor="ctr" anchorCtr="1"/>
              <a:lstStyle/>
              <a:p>
                <a:pPr>
                  <a:defRPr sz="900" b="0" i="1" u="none" strike="noStrike" kern="1200" baseline="0">
                    <a:solidFill>
                      <a:schemeClr val="tx1">
                        <a:lumMod val="65000"/>
                        <a:lumOff val="35000"/>
                      </a:schemeClr>
                    </a:solidFill>
                    <a:latin typeface="+mj-lt"/>
                    <a:ea typeface="+mn-ea"/>
                    <a:cs typeface="+mn-cs"/>
                  </a:defRPr>
                </a:pPr>
                <a:r>
                  <a:rPr lang="en-AU"/>
                  <a:t>per cent</a:t>
                </a:r>
              </a:p>
            </c:rich>
          </c:tx>
          <c:layout>
            <c:manualLayout>
              <c:xMode val="edge"/>
              <c:yMode val="edge"/>
              <c:x val="5.191047342648243E-3"/>
              <c:y val="0.34661608543383471"/>
            </c:manualLayout>
          </c:layout>
          <c:overlay val="0"/>
          <c:spPr>
            <a:noFill/>
            <a:ln>
              <a:noFill/>
            </a:ln>
            <a:effectLst/>
          </c:spPr>
          <c:txPr>
            <a:bodyPr rot="-5400000" spcFirstLastPara="1" vertOverflow="ellipsis" vert="horz" wrap="square" anchor="ctr" anchorCtr="1"/>
            <a:lstStyle/>
            <a:p>
              <a:pPr>
                <a:defRPr sz="900" b="0" i="1" u="none" strike="noStrike" kern="1200" baseline="0">
                  <a:solidFill>
                    <a:schemeClr val="tx1">
                      <a:lumMod val="65000"/>
                      <a:lumOff val="35000"/>
                    </a:schemeClr>
                  </a:solidFill>
                  <a:latin typeface="+mj-lt"/>
                  <a:ea typeface="+mn-ea"/>
                  <a:cs typeface="+mn-cs"/>
                </a:defRPr>
              </a:pPr>
              <a:endParaRPr lang="en-US"/>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994087768"/>
        <c:crosses val="autoZero"/>
        <c:crossBetween val="between"/>
      </c:valAx>
      <c:spPr>
        <a:noFill/>
        <a:ln>
          <a:noFill/>
        </a:ln>
        <a:effectLst/>
      </c:spPr>
    </c:plotArea>
    <c:legend>
      <c:legendPos val="b"/>
      <c:layout>
        <c:manualLayout>
          <c:xMode val="edge"/>
          <c:yMode val="edge"/>
          <c:x val="0.22582466271472032"/>
          <c:y val="0.92990602853812432"/>
          <c:w val="0.54835067457055942"/>
          <c:h val="7.00939714618756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mj-lt"/>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86855681434824"/>
          <c:y val="4.6260498687664041E-2"/>
          <c:w val="0.86642954557314811"/>
          <c:h val="0.84935761154855638"/>
        </c:manualLayout>
      </c:layout>
      <c:lineChart>
        <c:grouping val="standard"/>
        <c:varyColors val="0"/>
        <c:ser>
          <c:idx val="0"/>
          <c:order val="0"/>
          <c:tx>
            <c:strRef>
              <c:f>'data-vacancies'!$B$10</c:f>
              <c:strCache>
                <c:ptCount val="1"/>
                <c:pt idx="0">
                  <c:v>A590732X</c:v>
                </c:pt>
              </c:strCache>
            </c:strRef>
          </c:tx>
          <c:spPr>
            <a:ln w="22225" cap="rnd">
              <a:solidFill>
                <a:schemeClr val="tx1">
                  <a:lumMod val="75000"/>
                  <a:lumOff val="25000"/>
                </a:schemeClr>
              </a:solidFill>
              <a:round/>
            </a:ln>
            <a:effectLst/>
          </c:spPr>
          <c:marker>
            <c:symbol val="none"/>
          </c:marker>
          <c:cat>
            <c:numRef>
              <c:f>'data-vacancies'!$A$11:$A$186</c:f>
              <c:numCache>
                <c:formatCode>mmm\-yyyy</c:formatCode>
                <c:ptCount val="176"/>
                <c:pt idx="0">
                  <c:v>28990</c:v>
                </c:pt>
                <c:pt idx="1">
                  <c:v>29082</c:v>
                </c:pt>
                <c:pt idx="2">
                  <c:v>29174</c:v>
                </c:pt>
                <c:pt idx="3">
                  <c:v>29266</c:v>
                </c:pt>
                <c:pt idx="4">
                  <c:v>29356</c:v>
                </c:pt>
                <c:pt idx="5">
                  <c:v>29448</c:v>
                </c:pt>
                <c:pt idx="6">
                  <c:v>29540</c:v>
                </c:pt>
                <c:pt idx="7">
                  <c:v>29632</c:v>
                </c:pt>
                <c:pt idx="8">
                  <c:v>29721</c:v>
                </c:pt>
                <c:pt idx="9">
                  <c:v>29813</c:v>
                </c:pt>
                <c:pt idx="10">
                  <c:v>29905</c:v>
                </c:pt>
                <c:pt idx="11">
                  <c:v>29997</c:v>
                </c:pt>
                <c:pt idx="12">
                  <c:v>30086</c:v>
                </c:pt>
                <c:pt idx="13">
                  <c:v>30178</c:v>
                </c:pt>
                <c:pt idx="14">
                  <c:v>30270</c:v>
                </c:pt>
                <c:pt idx="15">
                  <c:v>30362</c:v>
                </c:pt>
                <c:pt idx="16">
                  <c:v>30451</c:v>
                </c:pt>
                <c:pt idx="17">
                  <c:v>30543</c:v>
                </c:pt>
                <c:pt idx="18">
                  <c:v>30635</c:v>
                </c:pt>
                <c:pt idx="19">
                  <c:v>30727</c:v>
                </c:pt>
                <c:pt idx="20">
                  <c:v>30817</c:v>
                </c:pt>
                <c:pt idx="21">
                  <c:v>30909</c:v>
                </c:pt>
                <c:pt idx="22">
                  <c:v>31001</c:v>
                </c:pt>
                <c:pt idx="23">
                  <c:v>31093</c:v>
                </c:pt>
                <c:pt idx="24">
                  <c:v>31182</c:v>
                </c:pt>
                <c:pt idx="25">
                  <c:v>31274</c:v>
                </c:pt>
                <c:pt idx="26">
                  <c:v>31366</c:v>
                </c:pt>
                <c:pt idx="27">
                  <c:v>31458</c:v>
                </c:pt>
                <c:pt idx="28">
                  <c:v>31547</c:v>
                </c:pt>
                <c:pt idx="29">
                  <c:v>31639</c:v>
                </c:pt>
                <c:pt idx="30">
                  <c:v>31731</c:v>
                </c:pt>
                <c:pt idx="31">
                  <c:v>31823</c:v>
                </c:pt>
                <c:pt idx="32">
                  <c:v>31912</c:v>
                </c:pt>
                <c:pt idx="33">
                  <c:v>32004</c:v>
                </c:pt>
                <c:pt idx="34">
                  <c:v>32096</c:v>
                </c:pt>
                <c:pt idx="35">
                  <c:v>32188</c:v>
                </c:pt>
                <c:pt idx="36">
                  <c:v>32278</c:v>
                </c:pt>
                <c:pt idx="37">
                  <c:v>32370</c:v>
                </c:pt>
                <c:pt idx="38">
                  <c:v>32462</c:v>
                </c:pt>
                <c:pt idx="39">
                  <c:v>32554</c:v>
                </c:pt>
                <c:pt idx="40">
                  <c:v>32643</c:v>
                </c:pt>
                <c:pt idx="41">
                  <c:v>32735</c:v>
                </c:pt>
                <c:pt idx="42">
                  <c:v>32827</c:v>
                </c:pt>
                <c:pt idx="43">
                  <c:v>32919</c:v>
                </c:pt>
                <c:pt idx="44">
                  <c:v>33008</c:v>
                </c:pt>
                <c:pt idx="45">
                  <c:v>33100</c:v>
                </c:pt>
                <c:pt idx="46">
                  <c:v>33192</c:v>
                </c:pt>
                <c:pt idx="47">
                  <c:v>33284</c:v>
                </c:pt>
                <c:pt idx="48">
                  <c:v>33373</c:v>
                </c:pt>
                <c:pt idx="49">
                  <c:v>33465</c:v>
                </c:pt>
                <c:pt idx="50">
                  <c:v>33557</c:v>
                </c:pt>
                <c:pt idx="51">
                  <c:v>33649</c:v>
                </c:pt>
                <c:pt idx="52">
                  <c:v>33739</c:v>
                </c:pt>
                <c:pt idx="53">
                  <c:v>33831</c:v>
                </c:pt>
                <c:pt idx="54">
                  <c:v>33923</c:v>
                </c:pt>
                <c:pt idx="55">
                  <c:v>34015</c:v>
                </c:pt>
                <c:pt idx="56">
                  <c:v>34104</c:v>
                </c:pt>
                <c:pt idx="57">
                  <c:v>34196</c:v>
                </c:pt>
                <c:pt idx="58">
                  <c:v>34288</c:v>
                </c:pt>
                <c:pt idx="59">
                  <c:v>34380</c:v>
                </c:pt>
                <c:pt idx="60">
                  <c:v>34469</c:v>
                </c:pt>
                <c:pt idx="61">
                  <c:v>34561</c:v>
                </c:pt>
                <c:pt idx="62">
                  <c:v>34653</c:v>
                </c:pt>
                <c:pt idx="63">
                  <c:v>34745</c:v>
                </c:pt>
                <c:pt idx="64">
                  <c:v>34834</c:v>
                </c:pt>
                <c:pt idx="65">
                  <c:v>34926</c:v>
                </c:pt>
                <c:pt idx="66">
                  <c:v>35018</c:v>
                </c:pt>
                <c:pt idx="67">
                  <c:v>35110</c:v>
                </c:pt>
                <c:pt idx="68">
                  <c:v>35200</c:v>
                </c:pt>
                <c:pt idx="69">
                  <c:v>35292</c:v>
                </c:pt>
                <c:pt idx="70">
                  <c:v>35384</c:v>
                </c:pt>
                <c:pt idx="71">
                  <c:v>35476</c:v>
                </c:pt>
                <c:pt idx="72">
                  <c:v>35565</c:v>
                </c:pt>
                <c:pt idx="73">
                  <c:v>35657</c:v>
                </c:pt>
                <c:pt idx="74">
                  <c:v>35749</c:v>
                </c:pt>
                <c:pt idx="75">
                  <c:v>35841</c:v>
                </c:pt>
                <c:pt idx="76">
                  <c:v>35930</c:v>
                </c:pt>
                <c:pt idx="77">
                  <c:v>36022</c:v>
                </c:pt>
                <c:pt idx="78">
                  <c:v>36114</c:v>
                </c:pt>
                <c:pt idx="79">
                  <c:v>36206</c:v>
                </c:pt>
                <c:pt idx="80">
                  <c:v>36295</c:v>
                </c:pt>
                <c:pt idx="81">
                  <c:v>36387</c:v>
                </c:pt>
                <c:pt idx="82">
                  <c:v>36479</c:v>
                </c:pt>
                <c:pt idx="83">
                  <c:v>36571</c:v>
                </c:pt>
                <c:pt idx="84">
                  <c:v>36661</c:v>
                </c:pt>
                <c:pt idx="85">
                  <c:v>36753</c:v>
                </c:pt>
                <c:pt idx="86">
                  <c:v>36845</c:v>
                </c:pt>
                <c:pt idx="87">
                  <c:v>36937</c:v>
                </c:pt>
                <c:pt idx="88">
                  <c:v>37026</c:v>
                </c:pt>
                <c:pt idx="89">
                  <c:v>37118</c:v>
                </c:pt>
                <c:pt idx="90">
                  <c:v>37210</c:v>
                </c:pt>
                <c:pt idx="91">
                  <c:v>37302</c:v>
                </c:pt>
                <c:pt idx="92">
                  <c:v>37391</c:v>
                </c:pt>
                <c:pt idx="93">
                  <c:v>37483</c:v>
                </c:pt>
                <c:pt idx="94">
                  <c:v>37575</c:v>
                </c:pt>
                <c:pt idx="95">
                  <c:v>37667</c:v>
                </c:pt>
                <c:pt idx="96">
                  <c:v>37756</c:v>
                </c:pt>
                <c:pt idx="97">
                  <c:v>37848</c:v>
                </c:pt>
                <c:pt idx="98">
                  <c:v>37940</c:v>
                </c:pt>
                <c:pt idx="99">
                  <c:v>38032</c:v>
                </c:pt>
                <c:pt idx="100">
                  <c:v>38122</c:v>
                </c:pt>
                <c:pt idx="101">
                  <c:v>38214</c:v>
                </c:pt>
                <c:pt idx="102">
                  <c:v>38306</c:v>
                </c:pt>
                <c:pt idx="103">
                  <c:v>38398</c:v>
                </c:pt>
                <c:pt idx="104">
                  <c:v>38487</c:v>
                </c:pt>
                <c:pt idx="105">
                  <c:v>38579</c:v>
                </c:pt>
                <c:pt idx="106">
                  <c:v>38671</c:v>
                </c:pt>
                <c:pt idx="107">
                  <c:v>38763</c:v>
                </c:pt>
                <c:pt idx="108">
                  <c:v>38852</c:v>
                </c:pt>
                <c:pt idx="109">
                  <c:v>38944</c:v>
                </c:pt>
                <c:pt idx="110">
                  <c:v>39036</c:v>
                </c:pt>
                <c:pt idx="111">
                  <c:v>39128</c:v>
                </c:pt>
                <c:pt idx="112">
                  <c:v>39217</c:v>
                </c:pt>
                <c:pt idx="113">
                  <c:v>39309</c:v>
                </c:pt>
                <c:pt idx="114">
                  <c:v>39401</c:v>
                </c:pt>
                <c:pt idx="115">
                  <c:v>39493</c:v>
                </c:pt>
                <c:pt idx="116">
                  <c:v>39583</c:v>
                </c:pt>
                <c:pt idx="117">
                  <c:v>39675</c:v>
                </c:pt>
                <c:pt idx="118">
                  <c:v>39767</c:v>
                </c:pt>
                <c:pt idx="119">
                  <c:v>39859</c:v>
                </c:pt>
                <c:pt idx="120">
                  <c:v>39948</c:v>
                </c:pt>
                <c:pt idx="121">
                  <c:v>40040</c:v>
                </c:pt>
                <c:pt idx="122">
                  <c:v>40132</c:v>
                </c:pt>
                <c:pt idx="123">
                  <c:v>40224</c:v>
                </c:pt>
                <c:pt idx="124">
                  <c:v>40313</c:v>
                </c:pt>
                <c:pt idx="125">
                  <c:v>40405</c:v>
                </c:pt>
                <c:pt idx="126">
                  <c:v>40497</c:v>
                </c:pt>
                <c:pt idx="127">
                  <c:v>40589</c:v>
                </c:pt>
                <c:pt idx="128">
                  <c:v>40678</c:v>
                </c:pt>
                <c:pt idx="129">
                  <c:v>40770</c:v>
                </c:pt>
                <c:pt idx="130">
                  <c:v>40862</c:v>
                </c:pt>
                <c:pt idx="131">
                  <c:v>40954</c:v>
                </c:pt>
                <c:pt idx="132">
                  <c:v>41044</c:v>
                </c:pt>
                <c:pt idx="133">
                  <c:v>41136</c:v>
                </c:pt>
                <c:pt idx="134">
                  <c:v>41228</c:v>
                </c:pt>
                <c:pt idx="135">
                  <c:v>41320</c:v>
                </c:pt>
                <c:pt idx="136">
                  <c:v>41409</c:v>
                </c:pt>
                <c:pt idx="137">
                  <c:v>41501</c:v>
                </c:pt>
                <c:pt idx="138">
                  <c:v>41593</c:v>
                </c:pt>
                <c:pt idx="139">
                  <c:v>41685</c:v>
                </c:pt>
                <c:pt idx="140">
                  <c:v>41774</c:v>
                </c:pt>
                <c:pt idx="141">
                  <c:v>41866</c:v>
                </c:pt>
                <c:pt idx="142">
                  <c:v>41958</c:v>
                </c:pt>
                <c:pt idx="143">
                  <c:v>42050</c:v>
                </c:pt>
                <c:pt idx="144">
                  <c:v>42139</c:v>
                </c:pt>
                <c:pt idx="145">
                  <c:v>42231</c:v>
                </c:pt>
                <c:pt idx="146">
                  <c:v>42323</c:v>
                </c:pt>
                <c:pt idx="147">
                  <c:v>42415</c:v>
                </c:pt>
                <c:pt idx="148">
                  <c:v>42505</c:v>
                </c:pt>
                <c:pt idx="149">
                  <c:v>42597</c:v>
                </c:pt>
                <c:pt idx="150">
                  <c:v>42689</c:v>
                </c:pt>
                <c:pt idx="151">
                  <c:v>42781</c:v>
                </c:pt>
                <c:pt idx="152">
                  <c:v>42870</c:v>
                </c:pt>
                <c:pt idx="153">
                  <c:v>42962</c:v>
                </c:pt>
                <c:pt idx="154">
                  <c:v>43054</c:v>
                </c:pt>
                <c:pt idx="155">
                  <c:v>43146</c:v>
                </c:pt>
                <c:pt idx="156">
                  <c:v>43235</c:v>
                </c:pt>
                <c:pt idx="157">
                  <c:v>43327</c:v>
                </c:pt>
                <c:pt idx="158">
                  <c:v>43419</c:v>
                </c:pt>
                <c:pt idx="159">
                  <c:v>43511</c:v>
                </c:pt>
                <c:pt idx="160">
                  <c:v>43600</c:v>
                </c:pt>
                <c:pt idx="161">
                  <c:v>43692</c:v>
                </c:pt>
                <c:pt idx="162">
                  <c:v>43784</c:v>
                </c:pt>
                <c:pt idx="163">
                  <c:v>43876</c:v>
                </c:pt>
                <c:pt idx="164">
                  <c:v>43966</c:v>
                </c:pt>
                <c:pt idx="165">
                  <c:v>44058</c:v>
                </c:pt>
                <c:pt idx="166">
                  <c:v>44150</c:v>
                </c:pt>
                <c:pt idx="167">
                  <c:v>44242</c:v>
                </c:pt>
                <c:pt idx="168">
                  <c:v>44331</c:v>
                </c:pt>
                <c:pt idx="169">
                  <c:v>44423</c:v>
                </c:pt>
                <c:pt idx="170">
                  <c:v>44515</c:v>
                </c:pt>
                <c:pt idx="171">
                  <c:v>44607</c:v>
                </c:pt>
                <c:pt idx="172">
                  <c:v>44696</c:v>
                </c:pt>
                <c:pt idx="173">
                  <c:v>44788</c:v>
                </c:pt>
                <c:pt idx="174">
                  <c:v>44880</c:v>
                </c:pt>
                <c:pt idx="175">
                  <c:v>44972</c:v>
                </c:pt>
              </c:numCache>
            </c:numRef>
          </c:cat>
          <c:val>
            <c:numRef>
              <c:f>'data-vacancies'!$B$11:$B$186</c:f>
              <c:numCache>
                <c:formatCode>General</c:formatCode>
                <c:ptCount val="176"/>
                <c:pt idx="18" formatCode="0.0;\-0.0;0.0;@">
                  <c:v>7.6</c:v>
                </c:pt>
                <c:pt idx="19" formatCode="0.0;\-0.0;0.0;@">
                  <c:v>12.4</c:v>
                </c:pt>
                <c:pt idx="20" formatCode="0.0;\-0.0;0.0;@">
                  <c:v>10.9</c:v>
                </c:pt>
                <c:pt idx="21" formatCode="0.0;\-0.0;0.0;@">
                  <c:v>9.5</c:v>
                </c:pt>
                <c:pt idx="22" formatCode="0.0;\-0.0;0.0;@">
                  <c:v>13.8</c:v>
                </c:pt>
                <c:pt idx="23" formatCode="0.0;\-0.0;0.0;@">
                  <c:v>17.8</c:v>
                </c:pt>
                <c:pt idx="24" formatCode="0.0;\-0.0;0.0;@">
                  <c:v>20.7</c:v>
                </c:pt>
                <c:pt idx="25" formatCode="0.0;\-0.0;0.0;@">
                  <c:v>21.5</c:v>
                </c:pt>
                <c:pt idx="26" formatCode="0.0;\-0.0;0.0;@">
                  <c:v>18.5</c:v>
                </c:pt>
                <c:pt idx="27" formatCode="0.0;\-0.0;0.0;@">
                  <c:v>20.9</c:v>
                </c:pt>
                <c:pt idx="28" formatCode="0.0;\-0.0;0.0;@">
                  <c:v>20.8</c:v>
                </c:pt>
                <c:pt idx="29" formatCode="0.0;\-0.0;0.0;@">
                  <c:v>15.8</c:v>
                </c:pt>
                <c:pt idx="30" formatCode="0.0;\-0.0;0.0;@">
                  <c:v>15.6</c:v>
                </c:pt>
                <c:pt idx="31" formatCode="0.0;\-0.0;0.0;@">
                  <c:v>22.2</c:v>
                </c:pt>
                <c:pt idx="32" formatCode="0.0;\-0.0;0.0;@">
                  <c:v>21.7</c:v>
                </c:pt>
                <c:pt idx="33" formatCode="0.0;\-0.0;0.0;@">
                  <c:v>20.3</c:v>
                </c:pt>
                <c:pt idx="34" formatCode="0.0;\-0.0;0.0;@">
                  <c:v>13.8</c:v>
                </c:pt>
                <c:pt idx="35" formatCode="0.0;\-0.0;0.0;@">
                  <c:v>20.2</c:v>
                </c:pt>
                <c:pt idx="36" formatCode="0.0;\-0.0;0.0;@">
                  <c:v>23</c:v>
                </c:pt>
                <c:pt idx="37" formatCode="0.0;\-0.0;0.0;@">
                  <c:v>22.2</c:v>
                </c:pt>
                <c:pt idx="38" formatCode="0.0;\-0.0;0.0;@">
                  <c:v>23.9</c:v>
                </c:pt>
                <c:pt idx="39" formatCode="0.0;\-0.0;0.0;@">
                  <c:v>26</c:v>
                </c:pt>
                <c:pt idx="40" formatCode="0.0;\-0.0;0.0;@">
                  <c:v>29.8</c:v>
                </c:pt>
                <c:pt idx="41" formatCode="0.0;\-0.0;0.0;@">
                  <c:v>23.7</c:v>
                </c:pt>
                <c:pt idx="42" formatCode="0.0;\-0.0;0.0;@">
                  <c:v>21</c:v>
                </c:pt>
                <c:pt idx="43" formatCode="0.0;\-0.0;0.0;@">
                  <c:v>18.899999999999999</c:v>
                </c:pt>
                <c:pt idx="44" formatCode="0.0;\-0.0;0.0;@">
                  <c:v>15.9</c:v>
                </c:pt>
                <c:pt idx="45" formatCode="0.0;\-0.0;0.0;@">
                  <c:v>12.5</c:v>
                </c:pt>
                <c:pt idx="46" formatCode="0.0;\-0.0;0.0;@">
                  <c:v>5.0999999999999996</c:v>
                </c:pt>
                <c:pt idx="47" formatCode="0.0;\-0.0;0.0;@">
                  <c:v>4.7</c:v>
                </c:pt>
                <c:pt idx="48" formatCode="0.0;\-0.0;0.0;@">
                  <c:v>4.5999999999999996</c:v>
                </c:pt>
                <c:pt idx="49" formatCode="0.0;\-0.0;0.0;@">
                  <c:v>5</c:v>
                </c:pt>
                <c:pt idx="50" formatCode="0.0;\-0.0;0.0;@">
                  <c:v>6.5</c:v>
                </c:pt>
                <c:pt idx="51" formatCode="0.0;\-0.0;0.0;@">
                  <c:v>8.1999999999999993</c:v>
                </c:pt>
                <c:pt idx="52" formatCode="0.0;\-0.0;0.0;@">
                  <c:v>6.9</c:v>
                </c:pt>
                <c:pt idx="53" formatCode="0.0;\-0.0;0.0;@">
                  <c:v>8</c:v>
                </c:pt>
                <c:pt idx="54" formatCode="0.0;\-0.0;0.0;@">
                  <c:v>7.2</c:v>
                </c:pt>
                <c:pt idx="55" formatCode="0.0;\-0.0;0.0;@">
                  <c:v>9.1</c:v>
                </c:pt>
                <c:pt idx="56" formatCode="0.0;\-0.0;0.0;@">
                  <c:v>6.6</c:v>
                </c:pt>
                <c:pt idx="57" formatCode="0.0;\-0.0;0.0;@">
                  <c:v>11.4</c:v>
                </c:pt>
                <c:pt idx="58" formatCode="0.0;\-0.0;0.0;@">
                  <c:v>12.2</c:v>
                </c:pt>
                <c:pt idx="59" formatCode="0.0;\-0.0;0.0;@">
                  <c:v>14</c:v>
                </c:pt>
                <c:pt idx="60" formatCode="0.0;\-0.0;0.0;@">
                  <c:v>19</c:v>
                </c:pt>
                <c:pt idx="61" formatCode="0.0;\-0.0;0.0;@">
                  <c:v>15.5</c:v>
                </c:pt>
                <c:pt idx="62" formatCode="0.0;\-0.0;0.0;@">
                  <c:v>15.9</c:v>
                </c:pt>
                <c:pt idx="63" formatCode="0.0;\-0.0;0.0;@">
                  <c:v>16.7</c:v>
                </c:pt>
                <c:pt idx="64" formatCode="0.0;\-0.0;0.0;@">
                  <c:v>12.5</c:v>
                </c:pt>
                <c:pt idx="65" formatCode="0.0;\-0.0;0.0;@">
                  <c:v>13.1</c:v>
                </c:pt>
                <c:pt idx="66" formatCode="0.0;\-0.0;0.0;@">
                  <c:v>14.6</c:v>
                </c:pt>
                <c:pt idx="67" formatCode="0.0;\-0.0;0.0;@">
                  <c:v>20.399999999999999</c:v>
                </c:pt>
                <c:pt idx="68" formatCode="0.0;\-0.0;0.0;@">
                  <c:v>14.1</c:v>
                </c:pt>
                <c:pt idx="69" formatCode="0.0;\-0.0;0.0;@">
                  <c:v>16.899999999999999</c:v>
                </c:pt>
                <c:pt idx="70" formatCode="0.0;\-0.0;0.0;@">
                  <c:v>15.8</c:v>
                </c:pt>
                <c:pt idx="71" formatCode="0.0;\-0.0;0.0;@">
                  <c:v>15.9</c:v>
                </c:pt>
                <c:pt idx="72" formatCode="0.0;\-0.0;0.0;@">
                  <c:v>14.1</c:v>
                </c:pt>
                <c:pt idx="73" formatCode="0.0;\-0.0;0.0;@">
                  <c:v>21.5</c:v>
                </c:pt>
                <c:pt idx="74" formatCode="0.0;\-0.0;0.0;@">
                  <c:v>22.2</c:v>
                </c:pt>
                <c:pt idx="75" formatCode="0.0;\-0.0;0.0;@">
                  <c:v>30</c:v>
                </c:pt>
                <c:pt idx="76" formatCode="0.0;\-0.0;0.0;@">
                  <c:v>25.3</c:v>
                </c:pt>
                <c:pt idx="77" formatCode="0.0;\-0.0;0.0;@">
                  <c:v>21.8</c:v>
                </c:pt>
                <c:pt idx="78" formatCode="0.0;\-0.0;0.0;@">
                  <c:v>33.700000000000003</c:v>
                </c:pt>
                <c:pt idx="79" formatCode="0.0;\-0.0;0.0;@">
                  <c:v>15.3</c:v>
                </c:pt>
                <c:pt idx="80" formatCode="0.0;\-0.0;0.0;@">
                  <c:v>21.7</c:v>
                </c:pt>
                <c:pt idx="81" formatCode="0.0;\-0.0;0.0;@">
                  <c:v>28.8</c:v>
                </c:pt>
                <c:pt idx="82" formatCode="0.0;\-0.0;0.0;@">
                  <c:v>30.4</c:v>
                </c:pt>
                <c:pt idx="83" formatCode="0.0;\-0.0;0.0;@">
                  <c:v>26.5</c:v>
                </c:pt>
                <c:pt idx="84" formatCode="0.0;\-0.0;0.0;@">
                  <c:v>25.8</c:v>
                </c:pt>
                <c:pt idx="85" formatCode="0.0;\-0.0;0.0;@">
                  <c:v>38</c:v>
                </c:pt>
                <c:pt idx="86" formatCode="0.0;\-0.0;0.0;@">
                  <c:v>34.5</c:v>
                </c:pt>
                <c:pt idx="87" formatCode="0.0;\-0.0;0.0;@">
                  <c:v>28.8</c:v>
                </c:pt>
                <c:pt idx="88" formatCode="0.0;\-0.0;0.0;@">
                  <c:v>23.3</c:v>
                </c:pt>
                <c:pt idx="89" formatCode="0.0;\-0.0;0.0;@">
                  <c:v>28.1</c:v>
                </c:pt>
                <c:pt idx="90" formatCode="0.0;\-0.0;0.0;@">
                  <c:v>24.7</c:v>
                </c:pt>
                <c:pt idx="91" formatCode="0.0;\-0.0;0.0;@">
                  <c:v>28.1</c:v>
                </c:pt>
                <c:pt idx="92" formatCode="0.0;\-0.0;0.0;@">
                  <c:v>24.9</c:v>
                </c:pt>
                <c:pt idx="93" formatCode="0.0;\-0.0;0.0;@">
                  <c:v>29.8</c:v>
                </c:pt>
                <c:pt idx="94" formatCode="0.0;\-0.0;0.0;@">
                  <c:v>22</c:v>
                </c:pt>
                <c:pt idx="95" formatCode="0.0;\-0.0;0.0;@">
                  <c:v>27.2</c:v>
                </c:pt>
                <c:pt idx="96" formatCode="0.0;\-0.0;0.0;@">
                  <c:v>22.9</c:v>
                </c:pt>
                <c:pt idx="97" formatCode="0.0;\-0.0;0.0;@">
                  <c:v>29.3</c:v>
                </c:pt>
                <c:pt idx="98" formatCode="0.0;\-0.0;0.0;@">
                  <c:v>26.9</c:v>
                </c:pt>
                <c:pt idx="99" formatCode="0.0;\-0.0;0.0;@">
                  <c:v>29</c:v>
                </c:pt>
                <c:pt idx="100" formatCode="0.0;\-0.0;0.0;@">
                  <c:v>30.7</c:v>
                </c:pt>
                <c:pt idx="101" formatCode="0.0;\-0.0;0.0;@">
                  <c:v>33.5</c:v>
                </c:pt>
                <c:pt idx="102" formatCode="0.0;\-0.0;0.0;@">
                  <c:v>34.1</c:v>
                </c:pt>
                <c:pt idx="103" formatCode="0.0;\-0.0;0.0;@">
                  <c:v>33</c:v>
                </c:pt>
                <c:pt idx="104" formatCode="0.0;\-0.0;0.0;@">
                  <c:v>31.6</c:v>
                </c:pt>
                <c:pt idx="105" formatCode="0.0;\-0.0;0.0;@">
                  <c:v>32.799999999999997</c:v>
                </c:pt>
                <c:pt idx="106" formatCode="0.0;\-0.0;0.0;@">
                  <c:v>30.2</c:v>
                </c:pt>
                <c:pt idx="107" formatCode="0.0;\-0.0;0.0;@">
                  <c:v>31.6</c:v>
                </c:pt>
                <c:pt idx="108" formatCode="0.0;\-0.0;0.0;@">
                  <c:v>32.799999999999997</c:v>
                </c:pt>
                <c:pt idx="109" formatCode="0.0;\-0.0;0.0;@">
                  <c:v>31.6</c:v>
                </c:pt>
                <c:pt idx="110" formatCode="0.0;\-0.0;0.0;@">
                  <c:v>31.6</c:v>
                </c:pt>
                <c:pt idx="111" formatCode="0.0;\-0.0;0.0;@">
                  <c:v>32.1</c:v>
                </c:pt>
                <c:pt idx="112" formatCode="0.0;\-0.0;0.0;@">
                  <c:v>31.8</c:v>
                </c:pt>
                <c:pt idx="113" formatCode="0.0;\-0.0;0.0;@">
                  <c:v>31.6</c:v>
                </c:pt>
                <c:pt idx="114" formatCode="0.0;\-0.0;0.0;@">
                  <c:v>36.1</c:v>
                </c:pt>
                <c:pt idx="115" formatCode="0.0;\-0.0;0.0;@">
                  <c:v>36.200000000000003</c:v>
                </c:pt>
                <c:pt idx="116" formatCode="0.0;\-0.0;0.0;@">
                  <c:v>38.5</c:v>
                </c:pt>
                <c:pt idx="122" formatCode="0.0;\-0.0;0.0;@">
                  <c:v>32.6</c:v>
                </c:pt>
                <c:pt idx="123" formatCode="0.0;\-0.0;0.0;@">
                  <c:v>33.299999999999997</c:v>
                </c:pt>
                <c:pt idx="124" formatCode="0.0;\-0.0;0.0;@">
                  <c:v>36.799999999999997</c:v>
                </c:pt>
                <c:pt idx="125" formatCode="0.0;\-0.0;0.0;@">
                  <c:v>40.200000000000003</c:v>
                </c:pt>
                <c:pt idx="126" formatCode="0.0;\-0.0;0.0;@">
                  <c:v>46</c:v>
                </c:pt>
                <c:pt idx="127" formatCode="0.0;\-0.0;0.0;@">
                  <c:v>47.7</c:v>
                </c:pt>
                <c:pt idx="128" formatCode="0.0;\-0.0;0.0;@">
                  <c:v>40.799999999999997</c:v>
                </c:pt>
                <c:pt idx="129" formatCode="0.0;\-0.0;0.0;@">
                  <c:v>41.9</c:v>
                </c:pt>
                <c:pt idx="130" formatCode="0.0;\-0.0;0.0;@">
                  <c:v>38.1</c:v>
                </c:pt>
                <c:pt idx="131" formatCode="0.0;\-0.0;0.0;@">
                  <c:v>40.1</c:v>
                </c:pt>
                <c:pt idx="132" formatCode="0.0;\-0.0;0.0;@">
                  <c:v>32.9</c:v>
                </c:pt>
                <c:pt idx="133" formatCode="0.0;\-0.0;0.0;@">
                  <c:v>36.6</c:v>
                </c:pt>
                <c:pt idx="134" formatCode="0.0;\-0.0;0.0;@">
                  <c:v>38.700000000000003</c:v>
                </c:pt>
                <c:pt idx="135" formatCode="0.0;\-0.0;0.0;@">
                  <c:v>31.9</c:v>
                </c:pt>
                <c:pt idx="136" formatCode="0.0;\-0.0;0.0;@">
                  <c:v>33.700000000000003</c:v>
                </c:pt>
                <c:pt idx="137" formatCode="0.0;\-0.0;0.0;@">
                  <c:v>31.1</c:v>
                </c:pt>
                <c:pt idx="138" formatCode="0.0;\-0.0;0.0;@">
                  <c:v>30.7</c:v>
                </c:pt>
                <c:pt idx="139" formatCode="0.0;\-0.0;0.0;@">
                  <c:v>25.4</c:v>
                </c:pt>
                <c:pt idx="140" formatCode="0.0;\-0.0;0.0;@">
                  <c:v>30.1</c:v>
                </c:pt>
                <c:pt idx="141" formatCode="0.0;\-0.0;0.0;@">
                  <c:v>32.799999999999997</c:v>
                </c:pt>
                <c:pt idx="142" formatCode="0.0;\-0.0;0.0;@">
                  <c:v>33.299999999999997</c:v>
                </c:pt>
                <c:pt idx="143" formatCode="0.0;\-0.0;0.0;@">
                  <c:v>35.1</c:v>
                </c:pt>
                <c:pt idx="144" formatCode="0.0;\-0.0;0.0;@">
                  <c:v>38</c:v>
                </c:pt>
                <c:pt idx="145" formatCode="0.0;\-0.0;0.0;@">
                  <c:v>38.9</c:v>
                </c:pt>
                <c:pt idx="146" formatCode="0.0;\-0.0;0.0;@">
                  <c:v>40.299999999999997</c:v>
                </c:pt>
                <c:pt idx="147" formatCode="0.0;\-0.0;0.0;@">
                  <c:v>47.3</c:v>
                </c:pt>
                <c:pt idx="148" formatCode="0.0;\-0.0;0.0;@">
                  <c:v>39.700000000000003</c:v>
                </c:pt>
                <c:pt idx="149" formatCode="0.0;\-0.0;0.0;@">
                  <c:v>45.3</c:v>
                </c:pt>
                <c:pt idx="150" formatCode="0.0;\-0.0;0.0;@">
                  <c:v>45.4</c:v>
                </c:pt>
                <c:pt idx="151" formatCode="0.0;\-0.0;0.0;@">
                  <c:v>50.4</c:v>
                </c:pt>
                <c:pt idx="152" formatCode="0.0;\-0.0;0.0;@">
                  <c:v>43.2</c:v>
                </c:pt>
                <c:pt idx="153" formatCode="0.0;\-0.0;0.0;@">
                  <c:v>54.4</c:v>
                </c:pt>
                <c:pt idx="154" formatCode="0.0;\-0.0;0.0;@">
                  <c:v>55.6</c:v>
                </c:pt>
                <c:pt idx="155" formatCode="0.0;\-0.0;0.0;@">
                  <c:v>58.4</c:v>
                </c:pt>
                <c:pt idx="156" formatCode="0.0;\-0.0;0.0;@">
                  <c:v>61.5</c:v>
                </c:pt>
                <c:pt idx="157" formatCode="0.0;\-0.0;0.0;@">
                  <c:v>66.2</c:v>
                </c:pt>
                <c:pt idx="158" formatCode="0.0;\-0.0;0.0;@">
                  <c:v>61.6</c:v>
                </c:pt>
                <c:pt idx="159" formatCode="0.0;\-0.0;0.0;@">
                  <c:v>64.099999999999994</c:v>
                </c:pt>
                <c:pt idx="160" formatCode="0.0;\-0.0;0.0;@">
                  <c:v>60.1</c:v>
                </c:pt>
                <c:pt idx="161" formatCode="0.0;\-0.0;0.0;@">
                  <c:v>61.2</c:v>
                </c:pt>
                <c:pt idx="162" formatCode="0.0;\-0.0;0.0;@">
                  <c:v>60.1</c:v>
                </c:pt>
                <c:pt idx="163" formatCode="0.0;\-0.0;0.0;@">
                  <c:v>59.7</c:v>
                </c:pt>
                <c:pt idx="164" formatCode="0.0;\-0.0;0.0;@">
                  <c:v>28.7</c:v>
                </c:pt>
                <c:pt idx="165" formatCode="0.0;\-0.0;0.0;@">
                  <c:v>45.8</c:v>
                </c:pt>
                <c:pt idx="166" formatCode="0.0;\-0.0;0.0;@">
                  <c:v>58.4</c:v>
                </c:pt>
                <c:pt idx="167" formatCode="0.0;\-0.0;0.0;@">
                  <c:v>65.599999999999994</c:v>
                </c:pt>
                <c:pt idx="168" formatCode="0.0;\-0.0;0.0;@">
                  <c:v>87.6</c:v>
                </c:pt>
                <c:pt idx="169" formatCode="0.0;\-0.0;0.0;@">
                  <c:v>81.3</c:v>
                </c:pt>
                <c:pt idx="170" formatCode="0.0;\-0.0;0.0;@">
                  <c:v>106</c:v>
                </c:pt>
                <c:pt idx="171" formatCode="0.0;\-0.0;0.0;@">
                  <c:v>101.8</c:v>
                </c:pt>
                <c:pt idx="172" formatCode="0.0;\-0.0;0.0;@">
                  <c:v>120.1</c:v>
                </c:pt>
                <c:pt idx="173" formatCode="0.0;\-0.0;0.0;@">
                  <c:v>126.6</c:v>
                </c:pt>
                <c:pt idx="174" formatCode="0.0;\-0.0;0.0;@">
                  <c:v>117.7</c:v>
                </c:pt>
                <c:pt idx="175" formatCode="0.0;\-0.0;0.0;@">
                  <c:v>110.8</c:v>
                </c:pt>
              </c:numCache>
            </c:numRef>
          </c:val>
          <c:smooth val="0"/>
          <c:extLst>
            <c:ext xmlns:c16="http://schemas.microsoft.com/office/drawing/2014/chart" uri="{C3380CC4-5D6E-409C-BE32-E72D297353CC}">
              <c16:uniqueId val="{00000000-D6D6-4B38-90F4-92234D3CC7CB}"/>
            </c:ext>
          </c:extLst>
        </c:ser>
        <c:dLbls>
          <c:showLegendKey val="0"/>
          <c:showVal val="0"/>
          <c:showCatName val="0"/>
          <c:showSerName val="0"/>
          <c:showPercent val="0"/>
          <c:showBubbleSize val="0"/>
        </c:dLbls>
        <c:smooth val="0"/>
        <c:axId val="1414526432"/>
        <c:axId val="1414533320"/>
      </c:lineChart>
      <c:dateAx>
        <c:axId val="1414526432"/>
        <c:scaling>
          <c:orientation val="minMax"/>
          <c:min val="31778"/>
        </c:scaling>
        <c:delete val="0"/>
        <c:axPos val="b"/>
        <c:numFmt formatCode="yyyy"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1414533320"/>
        <c:crosses val="autoZero"/>
        <c:auto val="1"/>
        <c:lblOffset val="100"/>
        <c:baseTimeUnit val="months"/>
        <c:majorUnit val="4"/>
        <c:majorTimeUnit val="years"/>
      </c:dateAx>
      <c:valAx>
        <c:axId val="1414533320"/>
        <c:scaling>
          <c:orientation val="minMax"/>
        </c:scaling>
        <c:delete val="0"/>
        <c:axPos val="l"/>
        <c:majorGridlines>
          <c:spPr>
            <a:ln w="9525" cap="flat" cmpd="sng" algn="ctr">
              <a:solidFill>
                <a:schemeClr val="bg1">
                  <a:lumMod val="65000"/>
                </a:schemeClr>
              </a:solidFill>
              <a:prstDash val="dash"/>
              <a:round/>
            </a:ln>
            <a:effectLst/>
          </c:spPr>
        </c:majorGridlines>
        <c:title>
          <c:tx>
            <c:rich>
              <a:bodyPr rot="-5400000" spcFirstLastPara="1" vertOverflow="ellipsis" vert="horz" wrap="square" anchor="ctr" anchorCtr="1"/>
              <a:lstStyle/>
              <a:p>
                <a:pPr>
                  <a:defRPr sz="900" b="0" i="1" u="none" strike="noStrike" kern="1200" baseline="0">
                    <a:solidFill>
                      <a:schemeClr val="tx1">
                        <a:lumMod val="65000"/>
                        <a:lumOff val="35000"/>
                      </a:schemeClr>
                    </a:solidFill>
                    <a:latin typeface="+mj-lt"/>
                    <a:ea typeface="+mn-ea"/>
                    <a:cs typeface="+mn-cs"/>
                  </a:defRPr>
                </a:pPr>
                <a:r>
                  <a:rPr lang="en-AU" sz="900" i="1" baseline="0"/>
                  <a:t>thousands</a:t>
                </a:r>
              </a:p>
            </c:rich>
          </c:tx>
          <c:overlay val="0"/>
          <c:spPr>
            <a:noFill/>
            <a:ln>
              <a:noFill/>
            </a:ln>
            <a:effectLst/>
          </c:spPr>
          <c:txPr>
            <a:bodyPr rot="-5400000" spcFirstLastPara="1" vertOverflow="ellipsis" vert="horz" wrap="square" anchor="ctr" anchorCtr="1"/>
            <a:lstStyle/>
            <a:p>
              <a:pPr>
                <a:defRPr sz="900" b="0" i="1"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14145264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mj-lt"/>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6030210540116345E-2"/>
          <c:y val="2.2339171098419174E-2"/>
          <c:w val="0.88850163187071485"/>
          <c:h val="0.6243125178074217"/>
        </c:manualLayout>
      </c:layout>
      <c:barChart>
        <c:barDir val="col"/>
        <c:grouping val="clustered"/>
        <c:varyColors val="0"/>
        <c:ser>
          <c:idx val="0"/>
          <c:order val="0"/>
          <c:tx>
            <c:strRef>
              <c:f>'data-infl-a'!$FG$11</c:f>
              <c:strCache>
                <c:ptCount val="1"/>
                <c:pt idx="0">
                  <c:v> December 2022 </c:v>
                </c:pt>
              </c:strCache>
            </c:strRef>
          </c:tx>
          <c:spPr>
            <a:solidFill>
              <a:schemeClr val="dk1">
                <a:tint val="88500"/>
              </a:schemeClr>
            </a:solidFill>
            <a:ln>
              <a:noFill/>
            </a:ln>
            <a:effectLst/>
          </c:spPr>
          <c:invertIfNegative val="0"/>
          <c:cat>
            <c:strRef>
              <c:f>'data-infl-a'!$FE$12:$FE$18</c:f>
              <c:strCache>
                <c:ptCount val="7"/>
                <c:pt idx="0">
                  <c:v>Gas</c:v>
                </c:pt>
                <c:pt idx="1">
                  <c:v>Fuel</c:v>
                </c:pt>
                <c:pt idx="2">
                  <c:v>Household 
consumables</c:v>
                </c:pt>
                <c:pt idx="3">
                  <c:v>Food and 
non-alcoholic 
beverages </c:v>
                </c:pt>
                <c:pt idx="4">
                  <c:v>Preschool 
and primary 
education</c:v>
                </c:pt>
                <c:pt idx="5">
                  <c:v>Insurance</c:v>
                </c:pt>
                <c:pt idx="6">
                  <c:v>Electricity</c:v>
                </c:pt>
              </c:strCache>
            </c:strRef>
          </c:cat>
          <c:val>
            <c:numRef>
              <c:f>'data-infl-a'!$FG$12:$FG$18</c:f>
              <c:numCache>
                <c:formatCode>0</c:formatCode>
                <c:ptCount val="7"/>
                <c:pt idx="0">
                  <c:v>22.823383084577102</c:v>
                </c:pt>
                <c:pt idx="1">
                  <c:v>14.770797962648558</c:v>
                </c:pt>
                <c:pt idx="2">
                  <c:v>11.320754716981128</c:v>
                </c:pt>
                <c:pt idx="3">
                  <c:v>9.5073465859982775</c:v>
                </c:pt>
                <c:pt idx="4">
                  <c:v>9.2592592592592524</c:v>
                </c:pt>
                <c:pt idx="5">
                  <c:v>6.641791044776113</c:v>
                </c:pt>
                <c:pt idx="6">
                  <c:v>5.1750380517503629</c:v>
                </c:pt>
              </c:numCache>
            </c:numRef>
          </c:val>
          <c:extLst>
            <c:ext xmlns:c16="http://schemas.microsoft.com/office/drawing/2014/chart" uri="{C3380CC4-5D6E-409C-BE32-E72D297353CC}">
              <c16:uniqueId val="{00000000-C645-4B52-AA38-3EBBC7E686E9}"/>
            </c:ext>
          </c:extLst>
        </c:ser>
        <c:ser>
          <c:idx val="1"/>
          <c:order val="1"/>
          <c:tx>
            <c:strRef>
              <c:f>'data-infl-a'!$FF$11</c:f>
              <c:strCache>
                <c:ptCount val="1"/>
                <c:pt idx="0">
                  <c:v> March 2023  </c:v>
                </c:pt>
              </c:strCache>
            </c:strRef>
          </c:tx>
          <c:spPr>
            <a:solidFill>
              <a:schemeClr val="bg2">
                <a:lumMod val="90000"/>
              </a:schemeClr>
            </a:solidFill>
            <a:ln>
              <a:noFill/>
            </a:ln>
            <a:effectLst/>
          </c:spPr>
          <c:invertIfNegative val="0"/>
          <c:val>
            <c:numRef>
              <c:f>'data-infl-a'!$FF$12:$FF$18</c:f>
              <c:numCache>
                <c:formatCode>0</c:formatCode>
                <c:ptCount val="7"/>
                <c:pt idx="0">
                  <c:v>35.818385650224229</c:v>
                </c:pt>
                <c:pt idx="1">
                  <c:v>2.2103658536585442</c:v>
                </c:pt>
                <c:pt idx="2">
                  <c:v>8.7786259541984748</c:v>
                </c:pt>
                <c:pt idx="3">
                  <c:v>7.9058031959629886</c:v>
                </c:pt>
                <c:pt idx="4">
                  <c:v>-1.7639077340569855</c:v>
                </c:pt>
                <c:pt idx="5">
                  <c:v>6.1863173216885059</c:v>
                </c:pt>
                <c:pt idx="6">
                  <c:v>7.7404222048475475</c:v>
                </c:pt>
              </c:numCache>
            </c:numRef>
          </c:val>
          <c:extLst>
            <c:ext xmlns:c16="http://schemas.microsoft.com/office/drawing/2014/chart" uri="{C3380CC4-5D6E-409C-BE32-E72D297353CC}">
              <c16:uniqueId val="{00000001-C645-4B52-AA38-3EBBC7E686E9}"/>
            </c:ext>
          </c:extLst>
        </c:ser>
        <c:dLbls>
          <c:showLegendKey val="0"/>
          <c:showVal val="0"/>
          <c:showCatName val="0"/>
          <c:showSerName val="0"/>
          <c:showPercent val="0"/>
          <c:showBubbleSize val="0"/>
        </c:dLbls>
        <c:gapWidth val="100"/>
        <c:overlap val="-27"/>
        <c:axId val="1176991576"/>
        <c:axId val="1176987640"/>
      </c:barChart>
      <c:catAx>
        <c:axId val="1176991576"/>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1176987640"/>
        <c:crosses val="autoZero"/>
        <c:auto val="1"/>
        <c:lblAlgn val="ctr"/>
        <c:lblOffset val="100"/>
        <c:noMultiLvlLbl val="0"/>
      </c:catAx>
      <c:valAx>
        <c:axId val="1176987640"/>
        <c:scaling>
          <c:orientation val="minMax"/>
        </c:scaling>
        <c:delete val="0"/>
        <c:axPos val="l"/>
        <c:majorGridlines>
          <c:spPr>
            <a:ln w="6350" cap="flat" cmpd="sng" algn="ctr">
              <a:solidFill>
                <a:schemeClr val="bg1">
                  <a:lumMod val="65000"/>
                </a:schemeClr>
              </a:solidFill>
              <a:prstDash val="dash"/>
              <a:round/>
            </a:ln>
            <a:effectLst/>
          </c:spPr>
        </c:majorGridlines>
        <c:title>
          <c:tx>
            <c:rich>
              <a:bodyPr rot="-5400000" spcFirstLastPara="1" vertOverflow="ellipsis" vert="horz" wrap="square" anchor="ctr" anchorCtr="1"/>
              <a:lstStyle/>
              <a:p>
                <a:pPr>
                  <a:defRPr sz="900" b="0" i="1" u="none" strike="noStrike" kern="1200" baseline="0">
                    <a:solidFill>
                      <a:schemeClr val="tx1">
                        <a:lumMod val="65000"/>
                        <a:lumOff val="35000"/>
                      </a:schemeClr>
                    </a:solidFill>
                    <a:latin typeface="+mj-lt"/>
                    <a:ea typeface="+mn-ea"/>
                    <a:cs typeface="+mn-cs"/>
                  </a:defRPr>
                </a:pPr>
                <a:r>
                  <a:rPr lang="en-US" sz="900" i="1"/>
                  <a:t>per cent</a:t>
                </a:r>
              </a:p>
            </c:rich>
          </c:tx>
          <c:layout>
            <c:manualLayout>
              <c:xMode val="edge"/>
              <c:yMode val="edge"/>
              <c:x val="2.5765627342074493E-3"/>
              <c:y val="0.23136636539337815"/>
            </c:manualLayout>
          </c:layout>
          <c:overlay val="0"/>
          <c:spPr>
            <a:noFill/>
            <a:ln>
              <a:noFill/>
            </a:ln>
            <a:effectLst/>
          </c:spPr>
          <c:txPr>
            <a:bodyPr rot="-5400000" spcFirstLastPara="1" vertOverflow="ellipsis" vert="horz" wrap="square" anchor="ctr" anchorCtr="1"/>
            <a:lstStyle/>
            <a:p>
              <a:pPr>
                <a:defRPr sz="900" b="0" i="1" u="none" strike="noStrike" kern="1200" baseline="0">
                  <a:solidFill>
                    <a:schemeClr val="tx1">
                      <a:lumMod val="65000"/>
                      <a:lumOff val="35000"/>
                    </a:schemeClr>
                  </a:solidFill>
                  <a:latin typeface="+mj-lt"/>
                  <a:ea typeface="+mn-ea"/>
                  <a:cs typeface="+mn-cs"/>
                </a:defRPr>
              </a:pPr>
              <a:endParaRPr lang="en-US"/>
            </a:p>
          </c:txPr>
        </c:title>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1176991576"/>
        <c:crosses val="autoZero"/>
        <c:crossBetween val="between"/>
      </c:valAx>
      <c:spPr>
        <a:noFill/>
        <a:ln>
          <a:noFill/>
        </a:ln>
        <a:effectLst/>
      </c:spPr>
    </c:plotArea>
    <c:legend>
      <c:legendPos val="b"/>
      <c:layout>
        <c:manualLayout>
          <c:xMode val="edge"/>
          <c:yMode val="edge"/>
          <c:x val="0.31790663110082962"/>
          <c:y val="0.93434662919865141"/>
          <c:w val="0.41086996210204391"/>
          <c:h val="6.234984502289890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rot="-5400000" vert="horz"/>
    <a:lstStyle/>
    <a:p>
      <a:pPr>
        <a:defRPr>
          <a:latin typeface="+mj-lt"/>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325567654291103"/>
          <c:y val="4.8695261776488467E-2"/>
          <c:w val="0.84517893595489935"/>
          <c:h val="0.8414290647879541"/>
        </c:manualLayout>
      </c:layout>
      <c:lineChart>
        <c:grouping val="standard"/>
        <c:varyColors val="0"/>
        <c:ser>
          <c:idx val="0"/>
          <c:order val="0"/>
          <c:spPr>
            <a:ln w="25400" cap="rnd">
              <a:solidFill>
                <a:schemeClr val="dk1">
                  <a:tint val="88500"/>
                </a:schemeClr>
              </a:solidFill>
              <a:round/>
            </a:ln>
            <a:effectLst/>
          </c:spPr>
          <c:marker>
            <c:symbol val="none"/>
          </c:marker>
          <c:cat>
            <c:numRef>
              <c:f>'data-dwel-int'!$A$180:$A$264</c:f>
              <c:numCache>
                <c:formatCode>mmm\-yyyy</c:formatCode>
                <c:ptCount val="85"/>
                <c:pt idx="0">
                  <c:v>37226</c:v>
                </c:pt>
                <c:pt idx="1">
                  <c:v>37316</c:v>
                </c:pt>
                <c:pt idx="2">
                  <c:v>37408</c:v>
                </c:pt>
                <c:pt idx="3">
                  <c:v>37500</c:v>
                </c:pt>
                <c:pt idx="4">
                  <c:v>37591</c:v>
                </c:pt>
                <c:pt idx="5">
                  <c:v>37681</c:v>
                </c:pt>
                <c:pt idx="6">
                  <c:v>37773</c:v>
                </c:pt>
                <c:pt idx="7">
                  <c:v>37865</c:v>
                </c:pt>
                <c:pt idx="8">
                  <c:v>37956</c:v>
                </c:pt>
                <c:pt idx="9">
                  <c:v>38047</c:v>
                </c:pt>
                <c:pt idx="10">
                  <c:v>38139</c:v>
                </c:pt>
                <c:pt idx="11">
                  <c:v>38231</c:v>
                </c:pt>
                <c:pt idx="12">
                  <c:v>38322</c:v>
                </c:pt>
                <c:pt idx="13">
                  <c:v>38412</c:v>
                </c:pt>
                <c:pt idx="14">
                  <c:v>38504</c:v>
                </c:pt>
                <c:pt idx="15">
                  <c:v>38596</c:v>
                </c:pt>
                <c:pt idx="16">
                  <c:v>38687</c:v>
                </c:pt>
                <c:pt idx="17">
                  <c:v>38777</c:v>
                </c:pt>
                <c:pt idx="18">
                  <c:v>38869</c:v>
                </c:pt>
                <c:pt idx="19">
                  <c:v>38961</c:v>
                </c:pt>
                <c:pt idx="20">
                  <c:v>39052</c:v>
                </c:pt>
                <c:pt idx="21">
                  <c:v>39142</c:v>
                </c:pt>
                <c:pt idx="22">
                  <c:v>39234</c:v>
                </c:pt>
                <c:pt idx="23">
                  <c:v>39326</c:v>
                </c:pt>
                <c:pt idx="24">
                  <c:v>39417</c:v>
                </c:pt>
                <c:pt idx="25">
                  <c:v>39508</c:v>
                </c:pt>
                <c:pt idx="26">
                  <c:v>39600</c:v>
                </c:pt>
                <c:pt idx="27">
                  <c:v>39692</c:v>
                </c:pt>
                <c:pt idx="28">
                  <c:v>39783</c:v>
                </c:pt>
                <c:pt idx="29">
                  <c:v>39873</c:v>
                </c:pt>
                <c:pt idx="30">
                  <c:v>39965</c:v>
                </c:pt>
                <c:pt idx="31">
                  <c:v>40057</c:v>
                </c:pt>
                <c:pt idx="32">
                  <c:v>40148</c:v>
                </c:pt>
                <c:pt idx="33">
                  <c:v>40238</c:v>
                </c:pt>
                <c:pt idx="34">
                  <c:v>40330</c:v>
                </c:pt>
                <c:pt idx="35">
                  <c:v>40422</c:v>
                </c:pt>
                <c:pt idx="36">
                  <c:v>40513</c:v>
                </c:pt>
                <c:pt idx="37">
                  <c:v>40603</c:v>
                </c:pt>
                <c:pt idx="38">
                  <c:v>40695</c:v>
                </c:pt>
                <c:pt idx="39">
                  <c:v>40787</c:v>
                </c:pt>
                <c:pt idx="40">
                  <c:v>40878</c:v>
                </c:pt>
                <c:pt idx="41">
                  <c:v>40969</c:v>
                </c:pt>
                <c:pt idx="42">
                  <c:v>41061</c:v>
                </c:pt>
                <c:pt idx="43">
                  <c:v>41153</c:v>
                </c:pt>
                <c:pt idx="44">
                  <c:v>41244</c:v>
                </c:pt>
                <c:pt idx="45">
                  <c:v>41334</c:v>
                </c:pt>
                <c:pt idx="46">
                  <c:v>41426</c:v>
                </c:pt>
                <c:pt idx="47">
                  <c:v>41518</c:v>
                </c:pt>
                <c:pt idx="48">
                  <c:v>41609</c:v>
                </c:pt>
                <c:pt idx="49">
                  <c:v>41699</c:v>
                </c:pt>
                <c:pt idx="50">
                  <c:v>41791</c:v>
                </c:pt>
                <c:pt idx="51">
                  <c:v>41883</c:v>
                </c:pt>
                <c:pt idx="52">
                  <c:v>41974</c:v>
                </c:pt>
                <c:pt idx="53">
                  <c:v>42064</c:v>
                </c:pt>
                <c:pt idx="54">
                  <c:v>42156</c:v>
                </c:pt>
                <c:pt idx="55">
                  <c:v>42248</c:v>
                </c:pt>
                <c:pt idx="56">
                  <c:v>42339</c:v>
                </c:pt>
                <c:pt idx="57">
                  <c:v>42430</c:v>
                </c:pt>
                <c:pt idx="58">
                  <c:v>42522</c:v>
                </c:pt>
                <c:pt idx="59">
                  <c:v>42614</c:v>
                </c:pt>
                <c:pt idx="60">
                  <c:v>42705</c:v>
                </c:pt>
                <c:pt idx="61">
                  <c:v>42795</c:v>
                </c:pt>
                <c:pt idx="62">
                  <c:v>42887</c:v>
                </c:pt>
                <c:pt idx="63">
                  <c:v>42979</c:v>
                </c:pt>
                <c:pt idx="64">
                  <c:v>43070</c:v>
                </c:pt>
                <c:pt idx="65">
                  <c:v>43160</c:v>
                </c:pt>
                <c:pt idx="66">
                  <c:v>43252</c:v>
                </c:pt>
                <c:pt idx="67">
                  <c:v>43344</c:v>
                </c:pt>
                <c:pt idx="68">
                  <c:v>43435</c:v>
                </c:pt>
                <c:pt idx="69">
                  <c:v>43525</c:v>
                </c:pt>
                <c:pt idx="70">
                  <c:v>43617</c:v>
                </c:pt>
                <c:pt idx="71">
                  <c:v>43709</c:v>
                </c:pt>
                <c:pt idx="72">
                  <c:v>43800</c:v>
                </c:pt>
                <c:pt idx="73">
                  <c:v>43891</c:v>
                </c:pt>
                <c:pt idx="74">
                  <c:v>43983</c:v>
                </c:pt>
                <c:pt idx="75">
                  <c:v>44075</c:v>
                </c:pt>
                <c:pt idx="76">
                  <c:v>44166</c:v>
                </c:pt>
                <c:pt idx="77">
                  <c:v>44256</c:v>
                </c:pt>
                <c:pt idx="78">
                  <c:v>44348</c:v>
                </c:pt>
                <c:pt idx="79">
                  <c:v>44440</c:v>
                </c:pt>
                <c:pt idx="80">
                  <c:v>44531</c:v>
                </c:pt>
                <c:pt idx="81">
                  <c:v>44621</c:v>
                </c:pt>
                <c:pt idx="82">
                  <c:v>44713</c:v>
                </c:pt>
                <c:pt idx="83">
                  <c:v>44805</c:v>
                </c:pt>
                <c:pt idx="84">
                  <c:v>44896</c:v>
                </c:pt>
              </c:numCache>
            </c:numRef>
          </c:cat>
          <c:val>
            <c:numRef>
              <c:f>'data-dwel-int'!$D$180:$D$264</c:f>
              <c:numCache>
                <c:formatCode>0</c:formatCode>
                <c:ptCount val="85"/>
                <c:pt idx="0">
                  <c:v>2.6698215268595433</c:v>
                </c:pt>
                <c:pt idx="1">
                  <c:v>2.7500896153144714</c:v>
                </c:pt>
                <c:pt idx="2">
                  <c:v>2.9815568095803666</c:v>
                </c:pt>
                <c:pt idx="3">
                  <c:v>3.2639493664675507</c:v>
                </c:pt>
                <c:pt idx="4">
                  <c:v>3.3103456649223562</c:v>
                </c:pt>
                <c:pt idx="5">
                  <c:v>3.3258494237389615</c:v>
                </c:pt>
                <c:pt idx="6">
                  <c:v>3.3685021634757866</c:v>
                </c:pt>
                <c:pt idx="7">
                  <c:v>3.5900073985018035</c:v>
                </c:pt>
                <c:pt idx="8">
                  <c:v>3.6222283610614676</c:v>
                </c:pt>
                <c:pt idx="9">
                  <c:v>4.1164597895848347</c:v>
                </c:pt>
                <c:pt idx="10">
                  <c:v>4.0468996426238739</c:v>
                </c:pt>
                <c:pt idx="11">
                  <c:v>4.2859106965331986</c:v>
                </c:pt>
                <c:pt idx="12">
                  <c:v>4.3266505179611396</c:v>
                </c:pt>
                <c:pt idx="13">
                  <c:v>4.3336560344259558</c:v>
                </c:pt>
                <c:pt idx="14">
                  <c:v>4.3798965041512892</c:v>
                </c:pt>
                <c:pt idx="15">
                  <c:v>4.5385704973312615</c:v>
                </c:pt>
                <c:pt idx="16">
                  <c:v>4.5540760050190157</c:v>
                </c:pt>
                <c:pt idx="17">
                  <c:v>4.552281862873655</c:v>
                </c:pt>
                <c:pt idx="18">
                  <c:v>4.6441447203232853</c:v>
                </c:pt>
                <c:pt idx="19">
                  <c:v>4.9432185478435882</c:v>
                </c:pt>
                <c:pt idx="20">
                  <c:v>5.29672482344996</c:v>
                </c:pt>
                <c:pt idx="21">
                  <c:v>5.4119512471359004</c:v>
                </c:pt>
                <c:pt idx="22">
                  <c:v>5.373095279288707</c:v>
                </c:pt>
                <c:pt idx="23">
                  <c:v>5.7267917507620494</c:v>
                </c:pt>
                <c:pt idx="24">
                  <c:v>5.8851734913223863</c:v>
                </c:pt>
                <c:pt idx="25">
                  <c:v>6.0782842246622959</c:v>
                </c:pt>
                <c:pt idx="26">
                  <c:v>6.3927485929789558</c:v>
                </c:pt>
                <c:pt idx="27">
                  <c:v>6.1610608020698576</c:v>
                </c:pt>
                <c:pt idx="28">
                  <c:v>5.433064468474857</c:v>
                </c:pt>
                <c:pt idx="29">
                  <c:v>5.1235824805320425</c:v>
                </c:pt>
                <c:pt idx="30">
                  <c:v>4.4722144091292648</c:v>
                </c:pt>
                <c:pt idx="31">
                  <c:v>4.828119109033965</c:v>
                </c:pt>
                <c:pt idx="32">
                  <c:v>4.8945568016173571</c:v>
                </c:pt>
                <c:pt idx="33">
                  <c:v>5.1982002362818287</c:v>
                </c:pt>
                <c:pt idx="34">
                  <c:v>5.6170925197267572</c:v>
                </c:pt>
                <c:pt idx="35">
                  <c:v>5.4021230658510255</c:v>
                </c:pt>
                <c:pt idx="36">
                  <c:v>5.6460794556511029</c:v>
                </c:pt>
                <c:pt idx="37">
                  <c:v>5.5304773851974041</c:v>
                </c:pt>
                <c:pt idx="38">
                  <c:v>5.7408084395237102</c:v>
                </c:pt>
                <c:pt idx="39">
                  <c:v>5.7076485946859163</c:v>
                </c:pt>
                <c:pt idx="40">
                  <c:v>5.3357420367253443</c:v>
                </c:pt>
                <c:pt idx="41">
                  <c:v>5.4804592500424185</c:v>
                </c:pt>
                <c:pt idx="42">
                  <c:v>5.189029139416717</c:v>
                </c:pt>
                <c:pt idx="43">
                  <c:v>5.1362618023876241</c:v>
                </c:pt>
                <c:pt idx="44">
                  <c:v>4.8656909966654318</c:v>
                </c:pt>
                <c:pt idx="45">
                  <c:v>4.7142508242764682</c:v>
                </c:pt>
                <c:pt idx="46" formatCode="0.00">
                  <c:v>4.5888388282164323</c:v>
                </c:pt>
                <c:pt idx="47" formatCode="0.00">
                  <c:v>4.4432221550964952</c:v>
                </c:pt>
                <c:pt idx="48" formatCode="0.00">
                  <c:v>4.2682638412600813</c:v>
                </c:pt>
                <c:pt idx="49" formatCode="0.00">
                  <c:v>4.2195611586161688</c:v>
                </c:pt>
                <c:pt idx="50" formatCode="0.00">
                  <c:v>4.1683607119892274</c:v>
                </c:pt>
                <c:pt idx="51" formatCode="0.00">
                  <c:v>4.147993270436479</c:v>
                </c:pt>
                <c:pt idx="52" formatCode="0.00">
                  <c:v>4.1342713272651794</c:v>
                </c:pt>
                <c:pt idx="53" formatCode="0.000">
                  <c:v>4.0254350247924142</c:v>
                </c:pt>
                <c:pt idx="54" formatCode="0.00">
                  <c:v>3.9023780767148386</c:v>
                </c:pt>
                <c:pt idx="55" formatCode="0.00">
                  <c:v>3.8607383430779305</c:v>
                </c:pt>
                <c:pt idx="56" formatCode="0.00">
                  <c:v>3.9029903122944889</c:v>
                </c:pt>
                <c:pt idx="57" formatCode="0.00">
                  <c:v>3.9624365732978042</c:v>
                </c:pt>
                <c:pt idx="58" formatCode="0.00">
                  <c:v>3.8845395326600132</c:v>
                </c:pt>
                <c:pt idx="59" formatCode="0.00">
                  <c:v>3.772545036039638</c:v>
                </c:pt>
                <c:pt idx="60" formatCode="0.00">
                  <c:v>3.7709737405006827</c:v>
                </c:pt>
                <c:pt idx="61" formatCode="0.00">
                  <c:v>3.7533753613856011</c:v>
                </c:pt>
                <c:pt idx="62" formatCode="0.00">
                  <c:v>3.7910654666476189</c:v>
                </c:pt>
                <c:pt idx="63" formatCode="0.00">
                  <c:v>3.7624649331667412</c:v>
                </c:pt>
                <c:pt idx="64" formatCode="0.00">
                  <c:v>3.7587347150553319</c:v>
                </c:pt>
                <c:pt idx="65" formatCode="0.00">
                  <c:v>3.7602513987889932</c:v>
                </c:pt>
                <c:pt idx="66" formatCode="0.00">
                  <c:v>3.7663125948406679</c:v>
                </c:pt>
                <c:pt idx="67" formatCode="0.00">
                  <c:v>3.7722428841554279</c:v>
                </c:pt>
                <c:pt idx="68" formatCode="0.00">
                  <c:v>3.7700874430927866</c:v>
                </c:pt>
                <c:pt idx="69" formatCode="0.00">
                  <c:v>3.7496017059241646</c:v>
                </c:pt>
                <c:pt idx="70" formatCode="0.00">
                  <c:v>3.6907660108015281</c:v>
                </c:pt>
                <c:pt idx="71" formatCode="0.00">
                  <c:v>3.444463529280843</c:v>
                </c:pt>
                <c:pt idx="72" formatCode="0.00">
                  <c:v>3.2258141917588654</c:v>
                </c:pt>
                <c:pt idx="73" formatCode="0.00">
                  <c:v>3.0845298672827695</c:v>
                </c:pt>
                <c:pt idx="74" formatCode="0.00">
                  <c:v>2.8192890366689705</c:v>
                </c:pt>
                <c:pt idx="75" formatCode="0.00">
                  <c:v>2.6301468844907592</c:v>
                </c:pt>
                <c:pt idx="76" formatCode="0.00">
                  <c:v>2.6134803718342039</c:v>
                </c:pt>
                <c:pt idx="77" formatCode="0.00">
                  <c:v>2.5257047299437034</c:v>
                </c:pt>
                <c:pt idx="78" formatCode="0.00">
                  <c:v>2.5144327666503452</c:v>
                </c:pt>
                <c:pt idx="79" formatCode="0.00">
                  <c:v>2.4245999201813899</c:v>
                </c:pt>
                <c:pt idx="80" formatCode="0.00">
                  <c:v>2.346968644463959</c:v>
                </c:pt>
                <c:pt idx="81" formatCode="0.00">
                  <c:v>2.2919610353798237</c:v>
                </c:pt>
                <c:pt idx="82" formatCode="0.00">
                  <c:v>2.5124173060258279</c:v>
                </c:pt>
                <c:pt idx="83" formatCode="0.00">
                  <c:v>3.3321865530049419</c:v>
                </c:pt>
                <c:pt idx="84" formatCode="0.000">
                  <c:v>4.0320651358551309</c:v>
                </c:pt>
              </c:numCache>
            </c:numRef>
          </c:val>
          <c:smooth val="0"/>
          <c:extLst>
            <c:ext xmlns:c16="http://schemas.microsoft.com/office/drawing/2014/chart" uri="{C3380CC4-5D6E-409C-BE32-E72D297353CC}">
              <c16:uniqueId val="{00000000-9E61-4C91-B5E1-28F0D0889989}"/>
            </c:ext>
          </c:extLst>
        </c:ser>
        <c:dLbls>
          <c:showLegendKey val="0"/>
          <c:showVal val="0"/>
          <c:showCatName val="0"/>
          <c:showSerName val="0"/>
          <c:showPercent val="0"/>
          <c:showBubbleSize val="0"/>
        </c:dLbls>
        <c:smooth val="0"/>
        <c:axId val="1184176608"/>
        <c:axId val="1184171032"/>
      </c:lineChart>
      <c:dateAx>
        <c:axId val="1184176608"/>
        <c:scaling>
          <c:orientation val="minMax"/>
          <c:min val="37316"/>
        </c:scaling>
        <c:delete val="0"/>
        <c:axPos val="b"/>
        <c:numFmt formatCode="yyyy"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1184171032"/>
        <c:crosses val="autoZero"/>
        <c:auto val="1"/>
        <c:lblOffset val="100"/>
        <c:baseTimeUnit val="months"/>
        <c:majorUnit val="48"/>
        <c:majorTimeUnit val="months"/>
        <c:minorUnit val="12"/>
        <c:minorTimeUnit val="months"/>
      </c:dateAx>
      <c:valAx>
        <c:axId val="1184171032"/>
        <c:scaling>
          <c:orientation val="minMax"/>
        </c:scaling>
        <c:delete val="0"/>
        <c:axPos val="l"/>
        <c:majorGridlines>
          <c:spPr>
            <a:ln w="9525" cap="flat" cmpd="sng" algn="ctr">
              <a:solidFill>
                <a:schemeClr val="bg1">
                  <a:lumMod val="65000"/>
                </a:schemeClr>
              </a:solidFill>
              <a:prstDash val="dash"/>
              <a:round/>
            </a:ln>
            <a:effectLst/>
          </c:spPr>
        </c:majorGridlines>
        <c:title>
          <c:tx>
            <c:rich>
              <a:bodyPr rot="-5400000" spcFirstLastPara="1" vertOverflow="ellipsis" vert="horz" wrap="square" anchor="ctr" anchorCtr="1"/>
              <a:lstStyle/>
              <a:p>
                <a:pPr>
                  <a:defRPr sz="900" b="0" i="1" u="none" strike="noStrike" kern="1200" baseline="0">
                    <a:solidFill>
                      <a:schemeClr val="tx1">
                        <a:lumMod val="65000"/>
                        <a:lumOff val="35000"/>
                      </a:schemeClr>
                    </a:solidFill>
                    <a:latin typeface="+mj-lt"/>
                    <a:ea typeface="+mn-ea"/>
                    <a:cs typeface="+mn-cs"/>
                  </a:defRPr>
                </a:pPr>
                <a:r>
                  <a:rPr lang="en-AU" sz="900" i="1"/>
                  <a:t>per cent</a:t>
                </a:r>
              </a:p>
            </c:rich>
          </c:tx>
          <c:layout>
            <c:manualLayout>
              <c:xMode val="edge"/>
              <c:yMode val="edge"/>
              <c:x val="8.4791273948341944E-3"/>
              <c:y val="0.39080544619422575"/>
            </c:manualLayout>
          </c:layout>
          <c:overlay val="0"/>
          <c:spPr>
            <a:noFill/>
            <a:ln>
              <a:noFill/>
            </a:ln>
            <a:effectLst/>
          </c:spPr>
          <c:txPr>
            <a:bodyPr rot="-5400000" spcFirstLastPara="1" vertOverflow="ellipsis" vert="horz" wrap="square" anchor="ctr" anchorCtr="1"/>
            <a:lstStyle/>
            <a:p>
              <a:pPr>
                <a:defRPr sz="900" b="0" i="1" u="none" strike="noStrike" kern="1200" baseline="0">
                  <a:solidFill>
                    <a:schemeClr val="tx1">
                      <a:lumMod val="65000"/>
                      <a:lumOff val="35000"/>
                    </a:schemeClr>
                  </a:solidFill>
                  <a:latin typeface="+mj-lt"/>
                  <a:ea typeface="+mn-ea"/>
                  <a:cs typeface="+mn-cs"/>
                </a:defRPr>
              </a:pPr>
              <a:endParaRPr lang="en-US"/>
            </a:p>
          </c:txPr>
        </c:title>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11841766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latin typeface="+mj-lt"/>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154861770683334"/>
          <c:y val="4.8855890277452671E-2"/>
          <c:w val="0.75611303450881873"/>
          <c:h val="0.74944154104630745"/>
        </c:manualLayout>
      </c:layout>
      <c:lineChart>
        <c:grouping val="standard"/>
        <c:varyColors val="0"/>
        <c:ser>
          <c:idx val="0"/>
          <c:order val="0"/>
          <c:tx>
            <c:v>Household savings ratio</c:v>
          </c:tx>
          <c:spPr>
            <a:ln w="28575" cap="rnd">
              <a:solidFill>
                <a:schemeClr val="tx1"/>
              </a:solidFill>
              <a:round/>
            </a:ln>
            <a:effectLst/>
          </c:spPr>
          <c:marker>
            <c:symbol val="none"/>
          </c:marker>
          <c:cat>
            <c:numRef>
              <c:f>'data-savings-rate'!$A$232:$A$264</c:f>
              <c:numCache>
                <c:formatCode>mmm\-yyyy</c:formatCode>
                <c:ptCount val="33"/>
                <c:pt idx="0">
                  <c:v>41974</c:v>
                </c:pt>
                <c:pt idx="1">
                  <c:v>42064</c:v>
                </c:pt>
                <c:pt idx="2">
                  <c:v>42156</c:v>
                </c:pt>
                <c:pt idx="3">
                  <c:v>42248</c:v>
                </c:pt>
                <c:pt idx="4">
                  <c:v>42339</c:v>
                </c:pt>
                <c:pt idx="5">
                  <c:v>42430</c:v>
                </c:pt>
                <c:pt idx="6">
                  <c:v>42522</c:v>
                </c:pt>
                <c:pt idx="7">
                  <c:v>42614</c:v>
                </c:pt>
                <c:pt idx="8">
                  <c:v>42705</c:v>
                </c:pt>
                <c:pt idx="9">
                  <c:v>42795</c:v>
                </c:pt>
                <c:pt idx="10">
                  <c:v>42887</c:v>
                </c:pt>
                <c:pt idx="11">
                  <c:v>42979</c:v>
                </c:pt>
                <c:pt idx="12">
                  <c:v>43070</c:v>
                </c:pt>
                <c:pt idx="13">
                  <c:v>43160</c:v>
                </c:pt>
                <c:pt idx="14">
                  <c:v>43252</c:v>
                </c:pt>
                <c:pt idx="15">
                  <c:v>43344</c:v>
                </c:pt>
                <c:pt idx="16">
                  <c:v>43435</c:v>
                </c:pt>
                <c:pt idx="17">
                  <c:v>43525</c:v>
                </c:pt>
                <c:pt idx="18">
                  <c:v>43617</c:v>
                </c:pt>
                <c:pt idx="19">
                  <c:v>43709</c:v>
                </c:pt>
                <c:pt idx="20">
                  <c:v>43800</c:v>
                </c:pt>
                <c:pt idx="21">
                  <c:v>43891</c:v>
                </c:pt>
                <c:pt idx="22">
                  <c:v>43983</c:v>
                </c:pt>
                <c:pt idx="23">
                  <c:v>44075</c:v>
                </c:pt>
                <c:pt idx="24">
                  <c:v>44166</c:v>
                </c:pt>
                <c:pt idx="25">
                  <c:v>44256</c:v>
                </c:pt>
                <c:pt idx="26">
                  <c:v>44348</c:v>
                </c:pt>
                <c:pt idx="27">
                  <c:v>44440</c:v>
                </c:pt>
                <c:pt idx="28">
                  <c:v>44531</c:v>
                </c:pt>
                <c:pt idx="29">
                  <c:v>44621</c:v>
                </c:pt>
                <c:pt idx="30">
                  <c:v>44713</c:v>
                </c:pt>
                <c:pt idx="31">
                  <c:v>44805</c:v>
                </c:pt>
                <c:pt idx="32">
                  <c:v>44896</c:v>
                </c:pt>
              </c:numCache>
            </c:numRef>
          </c:cat>
          <c:val>
            <c:numRef>
              <c:f>'data-savings-rate'!$B$232:$B$264</c:f>
              <c:numCache>
                <c:formatCode>0;\-0;0;@</c:formatCode>
                <c:ptCount val="33"/>
                <c:pt idx="0">
                  <c:v>7.8</c:v>
                </c:pt>
                <c:pt idx="1">
                  <c:v>7.4</c:v>
                </c:pt>
                <c:pt idx="2">
                  <c:v>7.7</c:v>
                </c:pt>
                <c:pt idx="3">
                  <c:v>7</c:v>
                </c:pt>
                <c:pt idx="4">
                  <c:v>5.6</c:v>
                </c:pt>
                <c:pt idx="5">
                  <c:v>5.5</c:v>
                </c:pt>
                <c:pt idx="6">
                  <c:v>5.9</c:v>
                </c:pt>
                <c:pt idx="7">
                  <c:v>5.8</c:v>
                </c:pt>
                <c:pt idx="8">
                  <c:v>5.4</c:v>
                </c:pt>
                <c:pt idx="9">
                  <c:v>5.5</c:v>
                </c:pt>
                <c:pt idx="10">
                  <c:v>4.8</c:v>
                </c:pt>
                <c:pt idx="11">
                  <c:v>4.5</c:v>
                </c:pt>
                <c:pt idx="12">
                  <c:v>5</c:v>
                </c:pt>
                <c:pt idx="13">
                  <c:v>4.8</c:v>
                </c:pt>
                <c:pt idx="14">
                  <c:v>4.7</c:v>
                </c:pt>
                <c:pt idx="15">
                  <c:v>5</c:v>
                </c:pt>
                <c:pt idx="16">
                  <c:v>5.8</c:v>
                </c:pt>
                <c:pt idx="17">
                  <c:v>6.2</c:v>
                </c:pt>
                <c:pt idx="18">
                  <c:v>5.3</c:v>
                </c:pt>
                <c:pt idx="19">
                  <c:v>7.8</c:v>
                </c:pt>
                <c:pt idx="20">
                  <c:v>6.8</c:v>
                </c:pt>
                <c:pt idx="21">
                  <c:v>9.3000000000000007</c:v>
                </c:pt>
                <c:pt idx="22">
                  <c:v>23.6</c:v>
                </c:pt>
                <c:pt idx="23">
                  <c:v>20.6</c:v>
                </c:pt>
                <c:pt idx="24">
                  <c:v>14.4</c:v>
                </c:pt>
                <c:pt idx="25">
                  <c:v>14</c:v>
                </c:pt>
                <c:pt idx="26">
                  <c:v>11.7</c:v>
                </c:pt>
                <c:pt idx="27">
                  <c:v>19.3</c:v>
                </c:pt>
                <c:pt idx="28">
                  <c:v>12.9</c:v>
                </c:pt>
                <c:pt idx="29">
                  <c:v>11.2</c:v>
                </c:pt>
                <c:pt idx="30">
                  <c:v>8.3000000000000007</c:v>
                </c:pt>
                <c:pt idx="31">
                  <c:v>7.1</c:v>
                </c:pt>
                <c:pt idx="32">
                  <c:v>4.5</c:v>
                </c:pt>
              </c:numCache>
            </c:numRef>
          </c:val>
          <c:smooth val="0"/>
          <c:extLst>
            <c:ext xmlns:c16="http://schemas.microsoft.com/office/drawing/2014/chart" uri="{C3380CC4-5D6E-409C-BE32-E72D297353CC}">
              <c16:uniqueId val="{00000000-F864-4A7F-BFF9-5F31C548C506}"/>
            </c:ext>
          </c:extLst>
        </c:ser>
        <c:dLbls>
          <c:showLegendKey val="0"/>
          <c:showVal val="0"/>
          <c:showCatName val="0"/>
          <c:showSerName val="0"/>
          <c:showPercent val="0"/>
          <c:showBubbleSize val="0"/>
        </c:dLbls>
        <c:smooth val="0"/>
        <c:axId val="1155633688"/>
        <c:axId val="1155631720"/>
      </c:lineChart>
      <c:dateAx>
        <c:axId val="1155633688"/>
        <c:scaling>
          <c:orientation val="minMax"/>
          <c:min val="42430"/>
        </c:scaling>
        <c:delete val="0"/>
        <c:axPos val="b"/>
        <c:numFmt formatCode="yyyy"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j-lt"/>
                <a:ea typeface="+mn-ea"/>
                <a:cs typeface="+mn-cs"/>
              </a:defRPr>
            </a:pPr>
            <a:endParaRPr lang="en-US"/>
          </a:p>
        </c:txPr>
        <c:crossAx val="1155631720"/>
        <c:crosses val="autoZero"/>
        <c:auto val="1"/>
        <c:lblOffset val="100"/>
        <c:baseTimeUnit val="months"/>
        <c:majorUnit val="2"/>
        <c:majorTimeUnit val="years"/>
        <c:minorUnit val="12"/>
        <c:minorTimeUnit val="months"/>
      </c:dateAx>
      <c:valAx>
        <c:axId val="1155631720"/>
        <c:scaling>
          <c:orientation val="minMax"/>
        </c:scaling>
        <c:delete val="0"/>
        <c:axPos val="l"/>
        <c:majorGridlines>
          <c:spPr>
            <a:ln w="9525" cap="flat" cmpd="sng" algn="ctr">
              <a:solidFill>
                <a:schemeClr val="bg1">
                  <a:lumMod val="65000"/>
                </a:schemeClr>
              </a:solidFill>
              <a:prstDash val="dash"/>
              <a:round/>
            </a:ln>
            <a:effectLst/>
          </c:spPr>
        </c:majorGridlines>
        <c:title>
          <c:tx>
            <c:rich>
              <a:bodyPr rot="-5400000" spcFirstLastPara="1" vertOverflow="ellipsis" vert="horz" wrap="square" anchor="ctr" anchorCtr="1"/>
              <a:lstStyle/>
              <a:p>
                <a:pPr>
                  <a:defRPr lang="en-US" sz="900" b="0" i="1" u="none" strike="noStrike" kern="1200" baseline="0">
                    <a:solidFill>
                      <a:schemeClr val="tx1"/>
                    </a:solidFill>
                    <a:latin typeface="+mj-lt"/>
                    <a:ea typeface="+mn-ea"/>
                    <a:cs typeface="+mn-cs"/>
                  </a:defRPr>
                </a:pPr>
                <a:r>
                  <a:rPr lang="en-AU" sz="900" i="1"/>
                  <a:t>per cent </a:t>
                </a:r>
              </a:p>
            </c:rich>
          </c:tx>
          <c:layout>
            <c:manualLayout>
              <c:xMode val="edge"/>
              <c:yMode val="edge"/>
              <c:x val="7.3364175781529253E-3"/>
              <c:y val="0.34765211870640061"/>
            </c:manualLayout>
          </c:layout>
          <c:overlay val="0"/>
          <c:spPr>
            <a:noFill/>
            <a:ln>
              <a:noFill/>
            </a:ln>
            <a:effectLst/>
          </c:spPr>
          <c:txPr>
            <a:bodyPr rot="-5400000" spcFirstLastPara="1" vertOverflow="ellipsis" vert="horz" wrap="square" anchor="ctr" anchorCtr="1"/>
            <a:lstStyle/>
            <a:p>
              <a:pPr>
                <a:defRPr lang="en-US" sz="900" b="0" i="1" u="none" strike="noStrike" kern="1200" baseline="0">
                  <a:solidFill>
                    <a:schemeClr val="tx1"/>
                  </a:solidFill>
                  <a:latin typeface="+mj-lt"/>
                  <a:ea typeface="+mn-ea"/>
                  <a:cs typeface="+mn-cs"/>
                </a:defRPr>
              </a:pPr>
              <a:endParaRPr lang="en-US"/>
            </a:p>
          </c:txPr>
        </c:title>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lang="en-US" sz="1000" b="0" i="0" u="none" strike="noStrike" kern="1200" baseline="0">
                <a:solidFill>
                  <a:sysClr val="windowText" lastClr="000000"/>
                </a:solidFill>
                <a:latin typeface="+mj-lt"/>
                <a:ea typeface="+mn-ea"/>
                <a:cs typeface="+mn-cs"/>
              </a:defRPr>
            </a:pPr>
            <a:endParaRPr lang="en-US"/>
          </a:p>
        </c:txPr>
        <c:crossAx val="1155633688"/>
        <c:crosses val="autoZero"/>
        <c:crossBetween val="between"/>
      </c:valAx>
      <c:spPr>
        <a:noFill/>
        <a:ln>
          <a:noFill/>
        </a:ln>
        <a:effectLst/>
      </c:spPr>
    </c:plotArea>
    <c:legend>
      <c:legendPos val="b"/>
      <c:layout>
        <c:manualLayout>
          <c:xMode val="edge"/>
          <c:yMode val="edge"/>
          <c:x val="0.10867841924617722"/>
          <c:y val="0.92887743014424085"/>
          <c:w val="0.78264316150764557"/>
          <c:h val="7.1122569855759182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ysClr val="windowText" lastClr="000000"/>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lang="en-US" sz="1000" b="0" i="0" u="none" strike="noStrike" kern="1200" baseline="0">
          <a:solidFill>
            <a:schemeClr val="tx1"/>
          </a:solidFill>
          <a:latin typeface="+mj-lt"/>
          <a:ea typeface="+mn-ea"/>
          <a:cs typeface="+mn-cs"/>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760974838546586"/>
          <c:y val="5.0926018303945698E-2"/>
          <c:w val="0.69275022088424498"/>
          <c:h val="0.74679652208176084"/>
        </c:manualLayout>
      </c:layout>
      <c:lineChart>
        <c:grouping val="standard"/>
        <c:varyColors val="0"/>
        <c:ser>
          <c:idx val="0"/>
          <c:order val="0"/>
          <c:tx>
            <c:strRef>
              <c:f>'data-savings-accum'!$B$1</c:f>
              <c:strCache>
                <c:ptCount val="1"/>
                <c:pt idx="0">
                  <c:v>Household sector deposits and currency </c:v>
                </c:pt>
              </c:strCache>
            </c:strRef>
          </c:tx>
          <c:spPr>
            <a:ln w="28575" cap="rnd">
              <a:solidFill>
                <a:schemeClr val="dk1">
                  <a:tint val="88500"/>
                </a:schemeClr>
              </a:solidFill>
              <a:round/>
            </a:ln>
            <a:effectLst/>
          </c:spPr>
          <c:marker>
            <c:symbol val="none"/>
          </c:marker>
          <c:cat>
            <c:numRef>
              <c:f>'data-savings-accum'!$A$101:$A$149</c:f>
              <c:numCache>
                <c:formatCode>mmm\-yyyy</c:formatCode>
                <c:ptCount val="49"/>
                <c:pt idx="0">
                  <c:v>40513</c:v>
                </c:pt>
                <c:pt idx="1">
                  <c:v>40603</c:v>
                </c:pt>
                <c:pt idx="2">
                  <c:v>40695</c:v>
                </c:pt>
                <c:pt idx="3">
                  <c:v>40787</c:v>
                </c:pt>
                <c:pt idx="4">
                  <c:v>40878</c:v>
                </c:pt>
                <c:pt idx="5">
                  <c:v>40969</c:v>
                </c:pt>
                <c:pt idx="6">
                  <c:v>41061</c:v>
                </c:pt>
                <c:pt idx="7">
                  <c:v>41153</c:v>
                </c:pt>
                <c:pt idx="8">
                  <c:v>41244</c:v>
                </c:pt>
                <c:pt idx="9">
                  <c:v>41334</c:v>
                </c:pt>
                <c:pt idx="10">
                  <c:v>41426</c:v>
                </c:pt>
                <c:pt idx="11">
                  <c:v>41518</c:v>
                </c:pt>
                <c:pt idx="12">
                  <c:v>41609</c:v>
                </c:pt>
                <c:pt idx="13">
                  <c:v>41699</c:v>
                </c:pt>
                <c:pt idx="14">
                  <c:v>41791</c:v>
                </c:pt>
                <c:pt idx="15">
                  <c:v>41883</c:v>
                </c:pt>
                <c:pt idx="16">
                  <c:v>41974</c:v>
                </c:pt>
                <c:pt idx="17">
                  <c:v>42064</c:v>
                </c:pt>
                <c:pt idx="18">
                  <c:v>42156</c:v>
                </c:pt>
                <c:pt idx="19">
                  <c:v>42248</c:v>
                </c:pt>
                <c:pt idx="20">
                  <c:v>42339</c:v>
                </c:pt>
                <c:pt idx="21">
                  <c:v>42430</c:v>
                </c:pt>
                <c:pt idx="22">
                  <c:v>42522</c:v>
                </c:pt>
                <c:pt idx="23">
                  <c:v>42614</c:v>
                </c:pt>
                <c:pt idx="24">
                  <c:v>42705</c:v>
                </c:pt>
                <c:pt idx="25">
                  <c:v>42795</c:v>
                </c:pt>
                <c:pt idx="26">
                  <c:v>42887</c:v>
                </c:pt>
                <c:pt idx="27">
                  <c:v>42979</c:v>
                </c:pt>
                <c:pt idx="28">
                  <c:v>43070</c:v>
                </c:pt>
                <c:pt idx="29">
                  <c:v>43160</c:v>
                </c:pt>
                <c:pt idx="30">
                  <c:v>43252</c:v>
                </c:pt>
                <c:pt idx="31">
                  <c:v>43344</c:v>
                </c:pt>
                <c:pt idx="32">
                  <c:v>43435</c:v>
                </c:pt>
                <c:pt idx="33">
                  <c:v>43525</c:v>
                </c:pt>
                <c:pt idx="34">
                  <c:v>43617</c:v>
                </c:pt>
                <c:pt idx="35">
                  <c:v>43709</c:v>
                </c:pt>
                <c:pt idx="36">
                  <c:v>43800</c:v>
                </c:pt>
                <c:pt idx="37">
                  <c:v>43891</c:v>
                </c:pt>
                <c:pt idx="38">
                  <c:v>43983</c:v>
                </c:pt>
                <c:pt idx="39">
                  <c:v>44075</c:v>
                </c:pt>
                <c:pt idx="40">
                  <c:v>44166</c:v>
                </c:pt>
                <c:pt idx="41">
                  <c:v>44256</c:v>
                </c:pt>
                <c:pt idx="42">
                  <c:v>44348</c:v>
                </c:pt>
                <c:pt idx="43">
                  <c:v>44440</c:v>
                </c:pt>
                <c:pt idx="44">
                  <c:v>44531</c:v>
                </c:pt>
                <c:pt idx="45">
                  <c:v>44621</c:v>
                </c:pt>
                <c:pt idx="46">
                  <c:v>44713</c:v>
                </c:pt>
                <c:pt idx="47">
                  <c:v>44805</c:v>
                </c:pt>
                <c:pt idx="48">
                  <c:v>44896</c:v>
                </c:pt>
              </c:numCache>
            </c:numRef>
          </c:cat>
          <c:val>
            <c:numRef>
              <c:f>'data-savings-accum'!$B$101:$B$149</c:f>
              <c:numCache>
                <c:formatCode>0;\-0;0;@</c:formatCode>
                <c:ptCount val="49"/>
                <c:pt idx="0">
                  <c:v>643.29999999999995</c:v>
                </c:pt>
                <c:pt idx="1">
                  <c:v>651.6</c:v>
                </c:pt>
                <c:pt idx="2">
                  <c:v>652.1</c:v>
                </c:pt>
                <c:pt idx="3">
                  <c:v>675.8</c:v>
                </c:pt>
                <c:pt idx="4">
                  <c:v>691.2</c:v>
                </c:pt>
                <c:pt idx="5">
                  <c:v>701.4</c:v>
                </c:pt>
                <c:pt idx="6">
                  <c:v>710.5</c:v>
                </c:pt>
                <c:pt idx="7">
                  <c:v>733</c:v>
                </c:pt>
                <c:pt idx="8">
                  <c:v>745.6</c:v>
                </c:pt>
                <c:pt idx="9">
                  <c:v>755.3</c:v>
                </c:pt>
                <c:pt idx="10">
                  <c:v>761.7</c:v>
                </c:pt>
                <c:pt idx="11">
                  <c:v>788</c:v>
                </c:pt>
                <c:pt idx="12">
                  <c:v>808.4</c:v>
                </c:pt>
                <c:pt idx="13">
                  <c:v>818.1</c:v>
                </c:pt>
                <c:pt idx="14">
                  <c:v>825.2</c:v>
                </c:pt>
                <c:pt idx="15">
                  <c:v>854.7</c:v>
                </c:pt>
                <c:pt idx="16">
                  <c:v>880.2</c:v>
                </c:pt>
                <c:pt idx="17">
                  <c:v>894.1</c:v>
                </c:pt>
                <c:pt idx="18">
                  <c:v>900.5</c:v>
                </c:pt>
                <c:pt idx="19">
                  <c:v>937.7</c:v>
                </c:pt>
                <c:pt idx="20">
                  <c:v>957.4</c:v>
                </c:pt>
                <c:pt idx="21">
                  <c:v>970.1</c:v>
                </c:pt>
                <c:pt idx="22">
                  <c:v>980.7</c:v>
                </c:pt>
                <c:pt idx="23">
                  <c:v>1006</c:v>
                </c:pt>
                <c:pt idx="24">
                  <c:v>1030.9000000000001</c:v>
                </c:pt>
                <c:pt idx="25">
                  <c:v>1040.7</c:v>
                </c:pt>
                <c:pt idx="26">
                  <c:v>1042</c:v>
                </c:pt>
                <c:pt idx="27">
                  <c:v>1063.8</c:v>
                </c:pt>
                <c:pt idx="28">
                  <c:v>1077.3</c:v>
                </c:pt>
                <c:pt idx="29">
                  <c:v>1087.3</c:v>
                </c:pt>
                <c:pt idx="30">
                  <c:v>1088.8</c:v>
                </c:pt>
                <c:pt idx="31">
                  <c:v>1117</c:v>
                </c:pt>
                <c:pt idx="32">
                  <c:v>1126.5</c:v>
                </c:pt>
                <c:pt idx="33">
                  <c:v>1131.9000000000001</c:v>
                </c:pt>
                <c:pt idx="34">
                  <c:v>1136.2</c:v>
                </c:pt>
                <c:pt idx="35">
                  <c:v>1162.0999999999999</c:v>
                </c:pt>
                <c:pt idx="36">
                  <c:v>1175</c:v>
                </c:pt>
                <c:pt idx="37">
                  <c:v>1193.2</c:v>
                </c:pt>
                <c:pt idx="38">
                  <c:v>1228.3</c:v>
                </c:pt>
                <c:pt idx="39">
                  <c:v>1293.8</c:v>
                </c:pt>
                <c:pt idx="40">
                  <c:v>1321.1</c:v>
                </c:pt>
                <c:pt idx="41">
                  <c:v>1334.6</c:v>
                </c:pt>
                <c:pt idx="42">
                  <c:v>1340.5</c:v>
                </c:pt>
                <c:pt idx="43">
                  <c:v>1415.4</c:v>
                </c:pt>
                <c:pt idx="44">
                  <c:v>1463</c:v>
                </c:pt>
                <c:pt idx="45">
                  <c:v>1496.6</c:v>
                </c:pt>
                <c:pt idx="46">
                  <c:v>1502.7</c:v>
                </c:pt>
                <c:pt idx="47">
                  <c:v>1554</c:v>
                </c:pt>
                <c:pt idx="48">
                  <c:v>1586.5</c:v>
                </c:pt>
              </c:numCache>
            </c:numRef>
          </c:val>
          <c:smooth val="0"/>
          <c:extLst>
            <c:ext xmlns:c16="http://schemas.microsoft.com/office/drawing/2014/chart" uri="{C3380CC4-5D6E-409C-BE32-E72D297353CC}">
              <c16:uniqueId val="{00000000-2452-46FE-BFD9-5712884CD0C6}"/>
            </c:ext>
          </c:extLst>
        </c:ser>
        <c:ser>
          <c:idx val="1"/>
          <c:order val="1"/>
          <c:tx>
            <c:strRef>
              <c:f>'data-savings-accum'!$C$1</c:f>
              <c:strCache>
                <c:ptCount val="1"/>
                <c:pt idx="0">
                  <c:v>10-year trend to December 2019</c:v>
                </c:pt>
              </c:strCache>
            </c:strRef>
          </c:tx>
          <c:spPr>
            <a:ln w="28575" cap="rnd">
              <a:solidFill>
                <a:schemeClr val="bg1">
                  <a:lumMod val="50000"/>
                </a:schemeClr>
              </a:solidFill>
              <a:prstDash val="sysDot"/>
              <a:round/>
            </a:ln>
            <a:effectLst/>
          </c:spPr>
          <c:marker>
            <c:symbol val="none"/>
          </c:marker>
          <c:cat>
            <c:numRef>
              <c:f>'data-savings-accum'!$A$101:$A$149</c:f>
              <c:numCache>
                <c:formatCode>mmm\-yyyy</c:formatCode>
                <c:ptCount val="49"/>
                <c:pt idx="0">
                  <c:v>40513</c:v>
                </c:pt>
                <c:pt idx="1">
                  <c:v>40603</c:v>
                </c:pt>
                <c:pt idx="2">
                  <c:v>40695</c:v>
                </c:pt>
                <c:pt idx="3">
                  <c:v>40787</c:v>
                </c:pt>
                <c:pt idx="4">
                  <c:v>40878</c:v>
                </c:pt>
                <c:pt idx="5">
                  <c:v>40969</c:v>
                </c:pt>
                <c:pt idx="6">
                  <c:v>41061</c:v>
                </c:pt>
                <c:pt idx="7">
                  <c:v>41153</c:v>
                </c:pt>
                <c:pt idx="8">
                  <c:v>41244</c:v>
                </c:pt>
                <c:pt idx="9">
                  <c:v>41334</c:v>
                </c:pt>
                <c:pt idx="10">
                  <c:v>41426</c:v>
                </c:pt>
                <c:pt idx="11">
                  <c:v>41518</c:v>
                </c:pt>
                <c:pt idx="12">
                  <c:v>41609</c:v>
                </c:pt>
                <c:pt idx="13">
                  <c:v>41699</c:v>
                </c:pt>
                <c:pt idx="14">
                  <c:v>41791</c:v>
                </c:pt>
                <c:pt idx="15">
                  <c:v>41883</c:v>
                </c:pt>
                <c:pt idx="16">
                  <c:v>41974</c:v>
                </c:pt>
                <c:pt idx="17">
                  <c:v>42064</c:v>
                </c:pt>
                <c:pt idx="18">
                  <c:v>42156</c:v>
                </c:pt>
                <c:pt idx="19">
                  <c:v>42248</c:v>
                </c:pt>
                <c:pt idx="20">
                  <c:v>42339</c:v>
                </c:pt>
                <c:pt idx="21">
                  <c:v>42430</c:v>
                </c:pt>
                <c:pt idx="22">
                  <c:v>42522</c:v>
                </c:pt>
                <c:pt idx="23">
                  <c:v>42614</c:v>
                </c:pt>
                <c:pt idx="24">
                  <c:v>42705</c:v>
                </c:pt>
                <c:pt idx="25">
                  <c:v>42795</c:v>
                </c:pt>
                <c:pt idx="26">
                  <c:v>42887</c:v>
                </c:pt>
                <c:pt idx="27">
                  <c:v>42979</c:v>
                </c:pt>
                <c:pt idx="28">
                  <c:v>43070</c:v>
                </c:pt>
                <c:pt idx="29">
                  <c:v>43160</c:v>
                </c:pt>
                <c:pt idx="30">
                  <c:v>43252</c:v>
                </c:pt>
                <c:pt idx="31">
                  <c:v>43344</c:v>
                </c:pt>
                <c:pt idx="32">
                  <c:v>43435</c:v>
                </c:pt>
                <c:pt idx="33">
                  <c:v>43525</c:v>
                </c:pt>
                <c:pt idx="34">
                  <c:v>43617</c:v>
                </c:pt>
                <c:pt idx="35">
                  <c:v>43709</c:v>
                </c:pt>
                <c:pt idx="36">
                  <c:v>43800</c:v>
                </c:pt>
                <c:pt idx="37">
                  <c:v>43891</c:v>
                </c:pt>
                <c:pt idx="38">
                  <c:v>43983</c:v>
                </c:pt>
                <c:pt idx="39">
                  <c:v>44075</c:v>
                </c:pt>
                <c:pt idx="40">
                  <c:v>44166</c:v>
                </c:pt>
                <c:pt idx="41">
                  <c:v>44256</c:v>
                </c:pt>
                <c:pt idx="42">
                  <c:v>44348</c:v>
                </c:pt>
                <c:pt idx="43">
                  <c:v>44440</c:v>
                </c:pt>
                <c:pt idx="44">
                  <c:v>44531</c:v>
                </c:pt>
                <c:pt idx="45">
                  <c:v>44621</c:v>
                </c:pt>
                <c:pt idx="46">
                  <c:v>44713</c:v>
                </c:pt>
                <c:pt idx="47">
                  <c:v>44805</c:v>
                </c:pt>
                <c:pt idx="48">
                  <c:v>44896</c:v>
                </c:pt>
              </c:numCache>
            </c:numRef>
          </c:cat>
          <c:val>
            <c:numRef>
              <c:f>'data-savings-accum'!$C$101:$C$149</c:f>
              <c:numCache>
                <c:formatCode>0;\-0;0;@</c:formatCode>
                <c:ptCount val="49"/>
                <c:pt idx="0">
                  <c:v>630.78838723211175</c:v>
                </c:pt>
                <c:pt idx="1">
                  <c:v>646.07300899281017</c:v>
                </c:pt>
                <c:pt idx="2">
                  <c:v>661.69728901485723</c:v>
                </c:pt>
                <c:pt idx="3">
                  <c:v>677.32156903690429</c:v>
                </c:pt>
                <c:pt idx="4">
                  <c:v>692.77601992827749</c:v>
                </c:pt>
                <c:pt idx="5">
                  <c:v>708.23047081965069</c:v>
                </c:pt>
                <c:pt idx="6">
                  <c:v>723.85475084169775</c:v>
                </c:pt>
                <c:pt idx="7">
                  <c:v>739.47903086374481</c:v>
                </c:pt>
                <c:pt idx="8">
                  <c:v>754.9334817551171</c:v>
                </c:pt>
                <c:pt idx="9">
                  <c:v>770.21810351581553</c:v>
                </c:pt>
                <c:pt idx="10">
                  <c:v>785.8423835378635</c:v>
                </c:pt>
                <c:pt idx="11">
                  <c:v>801.46666355991056</c:v>
                </c:pt>
                <c:pt idx="12">
                  <c:v>816.92111445128285</c:v>
                </c:pt>
                <c:pt idx="13">
                  <c:v>832.20573621198128</c:v>
                </c:pt>
                <c:pt idx="14">
                  <c:v>847.83001623402834</c:v>
                </c:pt>
                <c:pt idx="15">
                  <c:v>863.4542962560763</c:v>
                </c:pt>
                <c:pt idx="16">
                  <c:v>878.90874714744859</c:v>
                </c:pt>
                <c:pt idx="17">
                  <c:v>894.19336890814702</c:v>
                </c:pt>
                <c:pt idx="18">
                  <c:v>909.81764893019408</c:v>
                </c:pt>
                <c:pt idx="19">
                  <c:v>925.44192895224114</c:v>
                </c:pt>
                <c:pt idx="20">
                  <c:v>940.89637984361434</c:v>
                </c:pt>
                <c:pt idx="21">
                  <c:v>956.35083073498754</c:v>
                </c:pt>
                <c:pt idx="22">
                  <c:v>971.9751107570346</c:v>
                </c:pt>
                <c:pt idx="23">
                  <c:v>987.59939077908166</c:v>
                </c:pt>
                <c:pt idx="24">
                  <c:v>1003.0538416704539</c:v>
                </c:pt>
                <c:pt idx="25">
                  <c:v>1018.3384634311524</c:v>
                </c:pt>
                <c:pt idx="26">
                  <c:v>1033.9627434532003</c:v>
                </c:pt>
                <c:pt idx="27">
                  <c:v>1049.5870234752474</c:v>
                </c:pt>
                <c:pt idx="28">
                  <c:v>1065.0414743666197</c:v>
                </c:pt>
                <c:pt idx="29">
                  <c:v>1080.3260961273181</c:v>
                </c:pt>
                <c:pt idx="30">
                  <c:v>1095.9503761493652</c:v>
                </c:pt>
                <c:pt idx="31">
                  <c:v>1111.5746561714132</c:v>
                </c:pt>
                <c:pt idx="32">
                  <c:v>1127.0291070627854</c:v>
                </c:pt>
                <c:pt idx="33">
                  <c:v>1142.3137288234839</c:v>
                </c:pt>
                <c:pt idx="34">
                  <c:v>1157.9380088455309</c:v>
                </c:pt>
                <c:pt idx="35">
                  <c:v>1173.562288867578</c:v>
                </c:pt>
                <c:pt idx="36">
                  <c:v>1189.0167397589512</c:v>
                </c:pt>
                <c:pt idx="37">
                  <c:v>1204.4711906503235</c:v>
                </c:pt>
                <c:pt idx="38">
                  <c:v>1220.0954706723714</c:v>
                </c:pt>
                <c:pt idx="39">
                  <c:v>1235.7197506944185</c:v>
                </c:pt>
                <c:pt idx="40">
                  <c:v>1251.1742015857908</c:v>
                </c:pt>
                <c:pt idx="41">
                  <c:v>1266.4588233464892</c:v>
                </c:pt>
                <c:pt idx="42">
                  <c:v>1282.0831033685372</c:v>
                </c:pt>
                <c:pt idx="43">
                  <c:v>1297.7073833905843</c:v>
                </c:pt>
                <c:pt idx="44">
                  <c:v>1313.1618342819565</c:v>
                </c:pt>
                <c:pt idx="45">
                  <c:v>1328.446456042655</c:v>
                </c:pt>
                <c:pt idx="46">
                  <c:v>1344.070736064702</c:v>
                </c:pt>
                <c:pt idx="47">
                  <c:v>1359.69501608675</c:v>
                </c:pt>
                <c:pt idx="48">
                  <c:v>1375.1494669781223</c:v>
                </c:pt>
              </c:numCache>
            </c:numRef>
          </c:val>
          <c:smooth val="0"/>
          <c:extLst>
            <c:ext xmlns:c16="http://schemas.microsoft.com/office/drawing/2014/chart" uri="{C3380CC4-5D6E-409C-BE32-E72D297353CC}">
              <c16:uniqueId val="{00000001-2452-46FE-BFD9-5712884CD0C6}"/>
            </c:ext>
          </c:extLst>
        </c:ser>
        <c:dLbls>
          <c:showLegendKey val="0"/>
          <c:showVal val="0"/>
          <c:showCatName val="0"/>
          <c:showSerName val="0"/>
          <c:showPercent val="0"/>
          <c:showBubbleSize val="0"/>
        </c:dLbls>
        <c:smooth val="0"/>
        <c:axId val="1147887592"/>
        <c:axId val="1147880048"/>
      </c:lineChart>
      <c:dateAx>
        <c:axId val="1147887592"/>
        <c:scaling>
          <c:orientation val="minMax"/>
          <c:min val="42430"/>
        </c:scaling>
        <c:delete val="0"/>
        <c:axPos val="b"/>
        <c:numFmt formatCode="yyyy" sourceLinked="0"/>
        <c:majorTickMark val="out"/>
        <c:minorTickMark val="none"/>
        <c:tickLblPos val="nextTo"/>
        <c:spPr>
          <a:noFill/>
          <a:ln w="9525" cap="flat" cmpd="sng" algn="ctr">
            <a:solidFill>
              <a:schemeClr val="tx1"/>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j-lt"/>
                <a:ea typeface="+mn-ea"/>
                <a:cs typeface="+mn-cs"/>
              </a:defRPr>
            </a:pPr>
            <a:endParaRPr lang="en-US"/>
          </a:p>
        </c:txPr>
        <c:crossAx val="1147880048"/>
        <c:crosses val="autoZero"/>
        <c:auto val="1"/>
        <c:lblOffset val="100"/>
        <c:baseTimeUnit val="months"/>
        <c:majorUnit val="2"/>
        <c:majorTimeUnit val="years"/>
        <c:minorUnit val="12"/>
        <c:minorTimeUnit val="months"/>
      </c:dateAx>
      <c:valAx>
        <c:axId val="1147880048"/>
        <c:scaling>
          <c:orientation val="minMax"/>
        </c:scaling>
        <c:delete val="0"/>
        <c:axPos val="l"/>
        <c:majorGridlines>
          <c:spPr>
            <a:ln w="9525" cap="flat" cmpd="sng" algn="ctr">
              <a:solidFill>
                <a:schemeClr val="bg1">
                  <a:lumMod val="65000"/>
                </a:schemeClr>
              </a:solidFill>
              <a:prstDash val="dash"/>
              <a:round/>
            </a:ln>
            <a:effectLst/>
          </c:spPr>
        </c:majorGridlines>
        <c:title>
          <c:tx>
            <c:rich>
              <a:bodyPr rot="-5400000" spcFirstLastPara="1" vertOverflow="ellipsis" vert="horz" wrap="square" anchor="ctr" anchorCtr="1"/>
              <a:lstStyle/>
              <a:p>
                <a:pPr>
                  <a:defRPr sz="900" b="0" i="1" u="none" strike="noStrike" kern="1200" baseline="0">
                    <a:solidFill>
                      <a:sysClr val="windowText" lastClr="000000"/>
                    </a:solidFill>
                    <a:latin typeface="+mj-lt"/>
                    <a:ea typeface="+mn-ea"/>
                    <a:cs typeface="+mn-cs"/>
                  </a:defRPr>
                </a:pPr>
                <a:r>
                  <a:rPr lang="en-AU" sz="900" i="1">
                    <a:solidFill>
                      <a:sysClr val="windowText" lastClr="000000"/>
                    </a:solidFill>
                  </a:rPr>
                  <a:t>$ billions</a:t>
                </a:r>
              </a:p>
            </c:rich>
          </c:tx>
          <c:layout>
            <c:manualLayout>
              <c:xMode val="edge"/>
              <c:yMode val="edge"/>
              <c:x val="2.2393504150482899E-2"/>
              <c:y val="0.34282308570032255"/>
            </c:manualLayout>
          </c:layout>
          <c:overlay val="0"/>
          <c:spPr>
            <a:noFill/>
            <a:ln>
              <a:noFill/>
            </a:ln>
            <a:effectLst/>
          </c:spPr>
          <c:txPr>
            <a:bodyPr rot="-5400000" spcFirstLastPara="1" vertOverflow="ellipsis" vert="horz" wrap="square" anchor="ctr" anchorCtr="1"/>
            <a:lstStyle/>
            <a:p>
              <a:pPr>
                <a:defRPr sz="900" b="0" i="1" u="none" strike="noStrike" kern="1200" baseline="0">
                  <a:solidFill>
                    <a:sysClr val="windowText" lastClr="000000"/>
                  </a:solidFill>
                  <a:latin typeface="+mj-lt"/>
                  <a:ea typeface="+mn-ea"/>
                  <a:cs typeface="+mn-cs"/>
                </a:defRPr>
              </a:pPr>
              <a:endParaRPr lang="en-US"/>
            </a:p>
          </c:txPr>
        </c:title>
        <c:numFmt formatCode="#\ ###"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147887592"/>
        <c:crosses val="autoZero"/>
        <c:crossBetween val="between"/>
      </c:valAx>
      <c:spPr>
        <a:noFill/>
        <a:ln>
          <a:noFill/>
        </a:ln>
        <a:effectLst/>
      </c:spPr>
    </c:plotArea>
    <c:legend>
      <c:legendPos val="b"/>
      <c:layout>
        <c:manualLayout>
          <c:xMode val="edge"/>
          <c:yMode val="edge"/>
          <c:x val="1.041938004688721E-2"/>
          <c:y val="0.90171281719050078"/>
          <c:w val="0.98148565961017331"/>
          <c:h val="9.307304356741832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latin typeface="+mj-lt"/>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43364501312336"/>
          <c:y val="3.524609423822022E-2"/>
          <c:w val="0.87268536745406822"/>
          <c:h val="0.87107268454188325"/>
        </c:manualLayout>
      </c:layout>
      <c:lineChart>
        <c:grouping val="standard"/>
        <c:varyColors val="0"/>
        <c:ser>
          <c:idx val="1"/>
          <c:order val="0"/>
          <c:tx>
            <c:strRef>
              <c:f>'data-popn'!$G$10</c:f>
              <c:strCache>
                <c:ptCount val="1"/>
                <c:pt idx="0">
                  <c:v>Net overseas migration</c:v>
                </c:pt>
              </c:strCache>
            </c:strRef>
          </c:tx>
          <c:spPr>
            <a:ln w="19050" cap="rnd">
              <a:solidFill>
                <a:schemeClr val="tx1"/>
              </a:solidFill>
              <a:round/>
            </a:ln>
            <a:effectLst/>
          </c:spPr>
          <c:marker>
            <c:symbol val="none"/>
          </c:marker>
          <c:cat>
            <c:numRef>
              <c:f>'data-popn'!$A$11:$A$176</c:f>
              <c:numCache>
                <c:formatCode>mmm\-yyyy</c:formatCode>
                <c:ptCount val="166"/>
                <c:pt idx="0">
                  <c:v>29738</c:v>
                </c:pt>
                <c:pt idx="1">
                  <c:v>29830</c:v>
                </c:pt>
                <c:pt idx="2">
                  <c:v>29921</c:v>
                </c:pt>
                <c:pt idx="3">
                  <c:v>30011</c:v>
                </c:pt>
                <c:pt idx="4">
                  <c:v>30103</c:v>
                </c:pt>
                <c:pt idx="5">
                  <c:v>30195</c:v>
                </c:pt>
                <c:pt idx="6">
                  <c:v>30286</c:v>
                </c:pt>
                <c:pt idx="7">
                  <c:v>30376</c:v>
                </c:pt>
                <c:pt idx="8">
                  <c:v>30468</c:v>
                </c:pt>
                <c:pt idx="9">
                  <c:v>30560</c:v>
                </c:pt>
                <c:pt idx="10">
                  <c:v>30651</c:v>
                </c:pt>
                <c:pt idx="11">
                  <c:v>30742</c:v>
                </c:pt>
                <c:pt idx="12">
                  <c:v>30834</c:v>
                </c:pt>
                <c:pt idx="13">
                  <c:v>30926</c:v>
                </c:pt>
                <c:pt idx="14">
                  <c:v>31017</c:v>
                </c:pt>
                <c:pt idx="15">
                  <c:v>31107</c:v>
                </c:pt>
                <c:pt idx="16">
                  <c:v>31199</c:v>
                </c:pt>
                <c:pt idx="17">
                  <c:v>31291</c:v>
                </c:pt>
                <c:pt idx="18">
                  <c:v>31382</c:v>
                </c:pt>
                <c:pt idx="19">
                  <c:v>31472</c:v>
                </c:pt>
                <c:pt idx="20">
                  <c:v>31564</c:v>
                </c:pt>
                <c:pt idx="21">
                  <c:v>31656</c:v>
                </c:pt>
                <c:pt idx="22">
                  <c:v>31747</c:v>
                </c:pt>
                <c:pt idx="23">
                  <c:v>31837</c:v>
                </c:pt>
                <c:pt idx="24">
                  <c:v>31929</c:v>
                </c:pt>
                <c:pt idx="25">
                  <c:v>32021</c:v>
                </c:pt>
                <c:pt idx="26">
                  <c:v>32112</c:v>
                </c:pt>
                <c:pt idx="27">
                  <c:v>32203</c:v>
                </c:pt>
                <c:pt idx="28">
                  <c:v>32295</c:v>
                </c:pt>
                <c:pt idx="29">
                  <c:v>32387</c:v>
                </c:pt>
                <c:pt idx="30">
                  <c:v>32478</c:v>
                </c:pt>
                <c:pt idx="31">
                  <c:v>32568</c:v>
                </c:pt>
                <c:pt idx="32">
                  <c:v>32660</c:v>
                </c:pt>
                <c:pt idx="33">
                  <c:v>32752</c:v>
                </c:pt>
                <c:pt idx="34">
                  <c:v>32843</c:v>
                </c:pt>
                <c:pt idx="35">
                  <c:v>32933</c:v>
                </c:pt>
                <c:pt idx="36">
                  <c:v>33025</c:v>
                </c:pt>
                <c:pt idx="37">
                  <c:v>33117</c:v>
                </c:pt>
                <c:pt idx="38">
                  <c:v>33208</c:v>
                </c:pt>
                <c:pt idx="39">
                  <c:v>33298</c:v>
                </c:pt>
                <c:pt idx="40">
                  <c:v>33390</c:v>
                </c:pt>
                <c:pt idx="41">
                  <c:v>33482</c:v>
                </c:pt>
                <c:pt idx="42">
                  <c:v>33573</c:v>
                </c:pt>
                <c:pt idx="43">
                  <c:v>33664</c:v>
                </c:pt>
                <c:pt idx="44">
                  <c:v>33756</c:v>
                </c:pt>
                <c:pt idx="45">
                  <c:v>33848</c:v>
                </c:pt>
                <c:pt idx="46">
                  <c:v>33939</c:v>
                </c:pt>
                <c:pt idx="47">
                  <c:v>34029</c:v>
                </c:pt>
                <c:pt idx="48">
                  <c:v>34121</c:v>
                </c:pt>
                <c:pt idx="49">
                  <c:v>34213</c:v>
                </c:pt>
                <c:pt idx="50">
                  <c:v>34304</c:v>
                </c:pt>
                <c:pt idx="51">
                  <c:v>34394</c:v>
                </c:pt>
                <c:pt idx="52">
                  <c:v>34486</c:v>
                </c:pt>
                <c:pt idx="53">
                  <c:v>34578</c:v>
                </c:pt>
                <c:pt idx="54">
                  <c:v>34669</c:v>
                </c:pt>
                <c:pt idx="55">
                  <c:v>34759</c:v>
                </c:pt>
                <c:pt idx="56">
                  <c:v>34851</c:v>
                </c:pt>
                <c:pt idx="57">
                  <c:v>34943</c:v>
                </c:pt>
                <c:pt idx="58">
                  <c:v>35034</c:v>
                </c:pt>
                <c:pt idx="59">
                  <c:v>35125</c:v>
                </c:pt>
                <c:pt idx="60">
                  <c:v>35217</c:v>
                </c:pt>
                <c:pt idx="61">
                  <c:v>35309</c:v>
                </c:pt>
                <c:pt idx="62">
                  <c:v>35400</c:v>
                </c:pt>
                <c:pt idx="63">
                  <c:v>35490</c:v>
                </c:pt>
                <c:pt idx="64">
                  <c:v>35582</c:v>
                </c:pt>
                <c:pt idx="65">
                  <c:v>35674</c:v>
                </c:pt>
                <c:pt idx="66">
                  <c:v>35765</c:v>
                </c:pt>
                <c:pt idx="67">
                  <c:v>35855</c:v>
                </c:pt>
                <c:pt idx="68">
                  <c:v>35947</c:v>
                </c:pt>
                <c:pt idx="69">
                  <c:v>36039</c:v>
                </c:pt>
                <c:pt idx="70">
                  <c:v>36130</c:v>
                </c:pt>
                <c:pt idx="71">
                  <c:v>36220</c:v>
                </c:pt>
                <c:pt idx="72">
                  <c:v>36312</c:v>
                </c:pt>
                <c:pt idx="73">
                  <c:v>36404</c:v>
                </c:pt>
                <c:pt idx="74">
                  <c:v>36495</c:v>
                </c:pt>
                <c:pt idx="75">
                  <c:v>36586</c:v>
                </c:pt>
                <c:pt idx="76">
                  <c:v>36678</c:v>
                </c:pt>
                <c:pt idx="77">
                  <c:v>36770</c:v>
                </c:pt>
                <c:pt idx="78">
                  <c:v>36861</c:v>
                </c:pt>
                <c:pt idx="79">
                  <c:v>36951</c:v>
                </c:pt>
                <c:pt idx="80">
                  <c:v>37043</c:v>
                </c:pt>
                <c:pt idx="81">
                  <c:v>37135</c:v>
                </c:pt>
                <c:pt idx="82">
                  <c:v>37226</c:v>
                </c:pt>
                <c:pt idx="83">
                  <c:v>37316</c:v>
                </c:pt>
                <c:pt idx="84">
                  <c:v>37408</c:v>
                </c:pt>
                <c:pt idx="85">
                  <c:v>37500</c:v>
                </c:pt>
                <c:pt idx="86">
                  <c:v>37591</c:v>
                </c:pt>
                <c:pt idx="87">
                  <c:v>37681</c:v>
                </c:pt>
                <c:pt idx="88">
                  <c:v>37773</c:v>
                </c:pt>
                <c:pt idx="89">
                  <c:v>37865</c:v>
                </c:pt>
                <c:pt idx="90">
                  <c:v>37956</c:v>
                </c:pt>
                <c:pt idx="91">
                  <c:v>38047</c:v>
                </c:pt>
                <c:pt idx="92">
                  <c:v>38139</c:v>
                </c:pt>
                <c:pt idx="93">
                  <c:v>38231</c:v>
                </c:pt>
                <c:pt idx="94">
                  <c:v>38322</c:v>
                </c:pt>
                <c:pt idx="95">
                  <c:v>38412</c:v>
                </c:pt>
                <c:pt idx="96">
                  <c:v>38504</c:v>
                </c:pt>
                <c:pt idx="97">
                  <c:v>38596</c:v>
                </c:pt>
                <c:pt idx="98">
                  <c:v>38687</c:v>
                </c:pt>
                <c:pt idx="99">
                  <c:v>38777</c:v>
                </c:pt>
                <c:pt idx="100">
                  <c:v>38869</c:v>
                </c:pt>
                <c:pt idx="101">
                  <c:v>38961</c:v>
                </c:pt>
                <c:pt idx="102">
                  <c:v>39052</c:v>
                </c:pt>
                <c:pt idx="103">
                  <c:v>39142</c:v>
                </c:pt>
                <c:pt idx="104">
                  <c:v>39234</c:v>
                </c:pt>
                <c:pt idx="105">
                  <c:v>39326</c:v>
                </c:pt>
                <c:pt idx="106">
                  <c:v>39417</c:v>
                </c:pt>
                <c:pt idx="107">
                  <c:v>39508</c:v>
                </c:pt>
                <c:pt idx="108">
                  <c:v>39600</c:v>
                </c:pt>
                <c:pt idx="109">
                  <c:v>39692</c:v>
                </c:pt>
                <c:pt idx="110">
                  <c:v>39783</c:v>
                </c:pt>
                <c:pt idx="111">
                  <c:v>39873</c:v>
                </c:pt>
                <c:pt idx="112">
                  <c:v>39965</c:v>
                </c:pt>
                <c:pt idx="113">
                  <c:v>40057</c:v>
                </c:pt>
                <c:pt idx="114">
                  <c:v>40148</c:v>
                </c:pt>
                <c:pt idx="115">
                  <c:v>40238</c:v>
                </c:pt>
                <c:pt idx="116">
                  <c:v>40330</c:v>
                </c:pt>
                <c:pt idx="117">
                  <c:v>40422</c:v>
                </c:pt>
                <c:pt idx="118">
                  <c:v>40513</c:v>
                </c:pt>
                <c:pt idx="119">
                  <c:v>40603</c:v>
                </c:pt>
                <c:pt idx="120">
                  <c:v>40695</c:v>
                </c:pt>
                <c:pt idx="121">
                  <c:v>40787</c:v>
                </c:pt>
                <c:pt idx="122">
                  <c:v>40878</c:v>
                </c:pt>
                <c:pt idx="123">
                  <c:v>40969</c:v>
                </c:pt>
                <c:pt idx="124">
                  <c:v>41061</c:v>
                </c:pt>
                <c:pt idx="125">
                  <c:v>41153</c:v>
                </c:pt>
                <c:pt idx="126">
                  <c:v>41244</c:v>
                </c:pt>
                <c:pt idx="127">
                  <c:v>41334</c:v>
                </c:pt>
                <c:pt idx="128">
                  <c:v>41426</c:v>
                </c:pt>
                <c:pt idx="129">
                  <c:v>41518</c:v>
                </c:pt>
                <c:pt idx="130">
                  <c:v>41609</c:v>
                </c:pt>
                <c:pt idx="131">
                  <c:v>41699</c:v>
                </c:pt>
                <c:pt idx="132">
                  <c:v>41791</c:v>
                </c:pt>
                <c:pt idx="133">
                  <c:v>41883</c:v>
                </c:pt>
                <c:pt idx="134">
                  <c:v>41974</c:v>
                </c:pt>
                <c:pt idx="135">
                  <c:v>42064</c:v>
                </c:pt>
                <c:pt idx="136">
                  <c:v>42156</c:v>
                </c:pt>
                <c:pt idx="137">
                  <c:v>42248</c:v>
                </c:pt>
                <c:pt idx="138">
                  <c:v>42339</c:v>
                </c:pt>
                <c:pt idx="139">
                  <c:v>42430</c:v>
                </c:pt>
                <c:pt idx="140">
                  <c:v>42522</c:v>
                </c:pt>
                <c:pt idx="141">
                  <c:v>42614</c:v>
                </c:pt>
                <c:pt idx="142">
                  <c:v>42705</c:v>
                </c:pt>
                <c:pt idx="143">
                  <c:v>42795</c:v>
                </c:pt>
                <c:pt idx="144">
                  <c:v>42887</c:v>
                </c:pt>
                <c:pt idx="145">
                  <c:v>42979</c:v>
                </c:pt>
                <c:pt idx="146">
                  <c:v>43070</c:v>
                </c:pt>
                <c:pt idx="147">
                  <c:v>43160</c:v>
                </c:pt>
                <c:pt idx="148">
                  <c:v>43252</c:v>
                </c:pt>
                <c:pt idx="149">
                  <c:v>43344</c:v>
                </c:pt>
                <c:pt idx="150">
                  <c:v>43435</c:v>
                </c:pt>
                <c:pt idx="151">
                  <c:v>43525</c:v>
                </c:pt>
                <c:pt idx="152">
                  <c:v>43617</c:v>
                </c:pt>
                <c:pt idx="153">
                  <c:v>43709</c:v>
                </c:pt>
                <c:pt idx="154">
                  <c:v>43800</c:v>
                </c:pt>
                <c:pt idx="155">
                  <c:v>43891</c:v>
                </c:pt>
                <c:pt idx="156">
                  <c:v>43983</c:v>
                </c:pt>
                <c:pt idx="157">
                  <c:v>44075</c:v>
                </c:pt>
                <c:pt idx="158">
                  <c:v>44166</c:v>
                </c:pt>
                <c:pt idx="159">
                  <c:v>44256</c:v>
                </c:pt>
                <c:pt idx="160">
                  <c:v>44348</c:v>
                </c:pt>
                <c:pt idx="161">
                  <c:v>44440</c:v>
                </c:pt>
                <c:pt idx="162">
                  <c:v>44531</c:v>
                </c:pt>
                <c:pt idx="163">
                  <c:v>44621</c:v>
                </c:pt>
                <c:pt idx="164">
                  <c:v>44713</c:v>
                </c:pt>
                <c:pt idx="165">
                  <c:v>44805</c:v>
                </c:pt>
              </c:numCache>
            </c:numRef>
          </c:cat>
          <c:val>
            <c:numRef>
              <c:f>'data-popn'!$G$11:$G$176</c:f>
              <c:numCache>
                <c:formatCode>General</c:formatCode>
                <c:ptCount val="166"/>
                <c:pt idx="3" formatCode="0;\-0;0;@">
                  <c:v>29881</c:v>
                </c:pt>
                <c:pt idx="4" formatCode="0;\-0;0;@">
                  <c:v>31144</c:v>
                </c:pt>
                <c:pt idx="5" formatCode="0;\-0;0;@">
                  <c:v>29071</c:v>
                </c:pt>
                <c:pt idx="6" formatCode="0;\-0;0;@">
                  <c:v>24960</c:v>
                </c:pt>
                <c:pt idx="7" formatCode="0;\-0;0;@">
                  <c:v>23306</c:v>
                </c:pt>
                <c:pt idx="8" formatCode="0;\-0;0;@">
                  <c:v>19674</c:v>
                </c:pt>
                <c:pt idx="9" formatCode="0;\-0;0;@">
                  <c:v>17174</c:v>
                </c:pt>
                <c:pt idx="10" formatCode="0;\-0;0;@">
                  <c:v>16305</c:v>
                </c:pt>
                <c:pt idx="11" formatCode="0;\-0;0;@">
                  <c:v>13976</c:v>
                </c:pt>
                <c:pt idx="12" formatCode="0;\-0;0;@">
                  <c:v>14730</c:v>
                </c:pt>
                <c:pt idx="13" formatCode="0;\-0;0;@">
                  <c:v>16117</c:v>
                </c:pt>
                <c:pt idx="14" formatCode="0;\-0;0;@">
                  <c:v>17704</c:v>
                </c:pt>
                <c:pt idx="15" formatCode="0;\-0;0;@">
                  <c:v>20314</c:v>
                </c:pt>
                <c:pt idx="16" formatCode="0;\-0;0;@">
                  <c:v>20158</c:v>
                </c:pt>
                <c:pt idx="17" formatCode="0;\-0;0;@">
                  <c:v>21610</c:v>
                </c:pt>
                <c:pt idx="18" formatCode="0;\-0;0;@">
                  <c:v>23938</c:v>
                </c:pt>
                <c:pt idx="19" formatCode="0;\-0;0;@">
                  <c:v>24630</c:v>
                </c:pt>
                <c:pt idx="20" formatCode="0;\-0;0;@">
                  <c:v>26420</c:v>
                </c:pt>
                <c:pt idx="21" formatCode="0;\-0;0;@">
                  <c:v>27238</c:v>
                </c:pt>
                <c:pt idx="22" formatCode="0;\-0;0;@">
                  <c:v>28238</c:v>
                </c:pt>
                <c:pt idx="23" formatCode="0;\-0;0;@">
                  <c:v>31028</c:v>
                </c:pt>
                <c:pt idx="24" formatCode="0;\-0;0;@">
                  <c:v>32836</c:v>
                </c:pt>
                <c:pt idx="25" formatCode="0;\-0;0;@">
                  <c:v>35603</c:v>
                </c:pt>
                <c:pt idx="26" formatCode="0;\-0;0;@">
                  <c:v>36004</c:v>
                </c:pt>
                <c:pt idx="27" formatCode="0;\-0;0;@">
                  <c:v>38097</c:v>
                </c:pt>
                <c:pt idx="28" formatCode="0;\-0;0;@">
                  <c:v>37252</c:v>
                </c:pt>
                <c:pt idx="29" formatCode="0;\-0;0;@">
                  <c:v>40026</c:v>
                </c:pt>
                <c:pt idx="30" formatCode="0;\-0;0;@">
                  <c:v>41788</c:v>
                </c:pt>
                <c:pt idx="31" formatCode="0;\-0;0;@">
                  <c:v>41171</c:v>
                </c:pt>
                <c:pt idx="32" formatCode="0;\-0;0;@">
                  <c:v>39414</c:v>
                </c:pt>
                <c:pt idx="33" formatCode="0;\-0;0;@">
                  <c:v>35510</c:v>
                </c:pt>
                <c:pt idx="34" formatCode="0;\-0;0;@">
                  <c:v>34057</c:v>
                </c:pt>
                <c:pt idx="35" formatCode="0;\-0;0;@">
                  <c:v>33092</c:v>
                </c:pt>
                <c:pt idx="36" formatCode="0;\-0;0;@">
                  <c:v>34013</c:v>
                </c:pt>
                <c:pt idx="37" formatCode="0;\-0;0;@">
                  <c:v>31939</c:v>
                </c:pt>
                <c:pt idx="38" formatCode="0;\-0;0;@">
                  <c:v>27163</c:v>
                </c:pt>
                <c:pt idx="39" formatCode="0;\-0;0;@">
                  <c:v>26273</c:v>
                </c:pt>
                <c:pt idx="40" formatCode="0;\-0;0;@">
                  <c:v>23513</c:v>
                </c:pt>
                <c:pt idx="41" formatCode="0;\-0;0;@">
                  <c:v>23266</c:v>
                </c:pt>
                <c:pt idx="42" formatCode="0;\-0;0;@">
                  <c:v>21478</c:v>
                </c:pt>
                <c:pt idx="43" formatCode="0;\-0;0;@">
                  <c:v>19883</c:v>
                </c:pt>
                <c:pt idx="44" formatCode="0;\-0;0;@">
                  <c:v>18362</c:v>
                </c:pt>
                <c:pt idx="45" formatCode="0;\-0;0;@">
                  <c:v>15639</c:v>
                </c:pt>
                <c:pt idx="46" formatCode="0;\-0;0;@">
                  <c:v>13988</c:v>
                </c:pt>
                <c:pt idx="47" formatCode="0;\-0;0;@">
                  <c:v>11129</c:v>
                </c:pt>
                <c:pt idx="48" formatCode="0;\-0;0;@">
                  <c:v>7965</c:v>
                </c:pt>
                <c:pt idx="49" formatCode="0;\-0;0;@">
                  <c:v>7875</c:v>
                </c:pt>
                <c:pt idx="50" formatCode="0;\-0;0;@">
                  <c:v>7997</c:v>
                </c:pt>
                <c:pt idx="51" formatCode="0;\-0;0;@">
                  <c:v>8061</c:v>
                </c:pt>
                <c:pt idx="52" formatCode="0;\-0;0;@">
                  <c:v>10698</c:v>
                </c:pt>
                <c:pt idx="53" formatCode="0;\-0;0;@">
                  <c:v>12985</c:v>
                </c:pt>
                <c:pt idx="54" formatCode="0;\-0;0;@">
                  <c:v>13333</c:v>
                </c:pt>
                <c:pt idx="55" formatCode="0;\-0;0;@">
                  <c:v>15302</c:v>
                </c:pt>
                <c:pt idx="56" formatCode="0;\-0;0;@">
                  <c:v>19295</c:v>
                </c:pt>
                <c:pt idx="57" formatCode="0;\-0;0;@">
                  <c:v>20146</c:v>
                </c:pt>
                <c:pt idx="58" formatCode="0;\-0;0;@">
                  <c:v>26176</c:v>
                </c:pt>
                <c:pt idx="59" formatCode="0;\-0;0;@">
                  <c:v>26033</c:v>
                </c:pt>
                <c:pt idx="60" formatCode="0;\-0;0;@">
                  <c:v>25692</c:v>
                </c:pt>
                <c:pt idx="61" formatCode="0;\-0;0;@">
                  <c:v>26524</c:v>
                </c:pt>
                <c:pt idx="62" formatCode="0;\-0;0;@">
                  <c:v>23432</c:v>
                </c:pt>
                <c:pt idx="63" formatCode="0;\-0;0;@">
                  <c:v>24642</c:v>
                </c:pt>
                <c:pt idx="64" formatCode="0;\-0;0;@">
                  <c:v>21078</c:v>
                </c:pt>
                <c:pt idx="65" formatCode="0;\-0;0;@">
                  <c:v>18877</c:v>
                </c:pt>
                <c:pt idx="66" formatCode="0;\-0;0;@">
                  <c:v>17217</c:v>
                </c:pt>
                <c:pt idx="67" formatCode="0;\-0;0;@">
                  <c:v>18699</c:v>
                </c:pt>
                <c:pt idx="68" formatCode="0;\-0;0;@">
                  <c:v>19313</c:v>
                </c:pt>
                <c:pt idx="69" formatCode="0;\-0;0;@">
                  <c:v>20473</c:v>
                </c:pt>
                <c:pt idx="70" formatCode="0;\-0;0;@">
                  <c:v>23548</c:v>
                </c:pt>
                <c:pt idx="71" formatCode="0;\-0;0;@">
                  <c:v>23887</c:v>
                </c:pt>
                <c:pt idx="72" formatCode="0;\-0;0;@">
                  <c:v>24691</c:v>
                </c:pt>
                <c:pt idx="73" formatCode="0;\-0;0;@">
                  <c:v>25482</c:v>
                </c:pt>
                <c:pt idx="74" formatCode="0;\-0;0;@">
                  <c:v>24846</c:v>
                </c:pt>
                <c:pt idx="75" formatCode="0;\-0;0;@">
                  <c:v>26298</c:v>
                </c:pt>
                <c:pt idx="76" formatCode="0;\-0;0;@">
                  <c:v>26982</c:v>
                </c:pt>
                <c:pt idx="77" formatCode="0;\-0;0;@">
                  <c:v>28182</c:v>
                </c:pt>
                <c:pt idx="78" formatCode="0;\-0;0;@">
                  <c:v>29463</c:v>
                </c:pt>
                <c:pt idx="79" formatCode="0;\-0;0;@">
                  <c:v>34108</c:v>
                </c:pt>
                <c:pt idx="80" formatCode="0;\-0;0;@">
                  <c:v>35336</c:v>
                </c:pt>
                <c:pt idx="81" formatCode="0;\-0;0;@">
                  <c:v>30351</c:v>
                </c:pt>
                <c:pt idx="82" formatCode="0;\-0;0;@">
                  <c:v>29562</c:v>
                </c:pt>
                <c:pt idx="83" formatCode="0;\-0;0;@">
                  <c:v>22579</c:v>
                </c:pt>
                <c:pt idx="84" formatCode="0;\-0;0;@">
                  <c:v>20252</c:v>
                </c:pt>
                <c:pt idx="85" formatCode="0;\-0;0;@">
                  <c:v>22637</c:v>
                </c:pt>
                <c:pt idx="86" formatCode="0;\-0;0;@">
                  <c:v>23629</c:v>
                </c:pt>
                <c:pt idx="87" formatCode="0;\-0;0;@">
                  <c:v>25403</c:v>
                </c:pt>
                <c:pt idx="88" formatCode="0;\-0;0;@">
                  <c:v>26777</c:v>
                </c:pt>
                <c:pt idx="89" formatCode="0;\-0;0;@">
                  <c:v>27740</c:v>
                </c:pt>
                <c:pt idx="90" formatCode="0;\-0;0;@">
                  <c:v>26569</c:v>
                </c:pt>
                <c:pt idx="91" formatCode="0;\-0;0;@">
                  <c:v>25618</c:v>
                </c:pt>
                <c:pt idx="92" formatCode="0;\-0;0;@">
                  <c:v>25020</c:v>
                </c:pt>
                <c:pt idx="93" formatCode="0;\-0;0;@">
                  <c:v>26805</c:v>
                </c:pt>
                <c:pt idx="94" formatCode="0;\-0;0;@">
                  <c:v>27808</c:v>
                </c:pt>
                <c:pt idx="95" formatCode="0;\-0;0;@">
                  <c:v>31550</c:v>
                </c:pt>
                <c:pt idx="96" formatCode="0;\-0;0;@">
                  <c:v>32292</c:v>
                </c:pt>
                <c:pt idx="97" formatCode="0;\-0;0;@">
                  <c:v>33355</c:v>
                </c:pt>
                <c:pt idx="98" formatCode="0;\-0;0;@">
                  <c:v>35809</c:v>
                </c:pt>
                <c:pt idx="99" formatCode="0;\-0;0;@">
                  <c:v>37796</c:v>
                </c:pt>
                <c:pt idx="100" formatCode="0;\-0;0;@">
                  <c:v>39561</c:v>
                </c:pt>
                <c:pt idx="101" formatCode="0;\-0;0;@">
                  <c:v>44459</c:v>
                </c:pt>
                <c:pt idx="102" formatCode="0;\-0;0;@">
                  <c:v>48578</c:v>
                </c:pt>
                <c:pt idx="103" formatCode="0;\-0;0;@">
                  <c:v>55154</c:v>
                </c:pt>
                <c:pt idx="104" formatCode="0;\-0;0;@">
                  <c:v>62539</c:v>
                </c:pt>
                <c:pt idx="105" formatCode="0;\-0;0;@">
                  <c:v>65195</c:v>
                </c:pt>
                <c:pt idx="106" formatCode="0;\-0;0;@">
                  <c:v>66472</c:v>
                </c:pt>
                <c:pt idx="107" formatCode="0;\-0;0;@">
                  <c:v>69357</c:v>
                </c:pt>
                <c:pt idx="108" formatCode="0;\-0;0;@">
                  <c:v>73562</c:v>
                </c:pt>
                <c:pt idx="109" formatCode="0;\-0;0;@">
                  <c:v>78829</c:v>
                </c:pt>
                <c:pt idx="110" formatCode="0;\-0;0;@">
                  <c:v>83225</c:v>
                </c:pt>
                <c:pt idx="111" formatCode="0;\-0;0;@">
                  <c:v>84162</c:v>
                </c:pt>
                <c:pt idx="112" formatCode="0;\-0;0;@">
                  <c:v>83616</c:v>
                </c:pt>
                <c:pt idx="113" formatCode="0;\-0;0;@">
                  <c:v>79838</c:v>
                </c:pt>
                <c:pt idx="114" formatCode="0;\-0;0;@">
                  <c:v>72087</c:v>
                </c:pt>
                <c:pt idx="115" formatCode="0;\-0;0;@">
                  <c:v>62447</c:v>
                </c:pt>
                <c:pt idx="116" formatCode="0;\-0;0;@">
                  <c:v>53679</c:v>
                </c:pt>
                <c:pt idx="117" formatCode="0;\-0;0;@">
                  <c:v>44950</c:v>
                </c:pt>
                <c:pt idx="118" formatCode="0;\-0;0;@">
                  <c:v>43214</c:v>
                </c:pt>
                <c:pt idx="119" formatCode="0;\-0;0;@">
                  <c:v>42670</c:v>
                </c:pt>
                <c:pt idx="120" formatCode="0;\-0;0;@">
                  <c:v>44631</c:v>
                </c:pt>
                <c:pt idx="121" formatCode="0;\-0;0;@">
                  <c:v>47653</c:v>
                </c:pt>
                <c:pt idx="122" formatCode="0;\-0;0;@">
                  <c:v>51062</c:v>
                </c:pt>
                <c:pt idx="123" formatCode="0;\-0;0;@">
                  <c:v>53775</c:v>
                </c:pt>
                <c:pt idx="124" formatCode="0;\-0;0;@">
                  <c:v>56174</c:v>
                </c:pt>
                <c:pt idx="125" formatCode="0;\-0;0;@">
                  <c:v>58548</c:v>
                </c:pt>
                <c:pt idx="126" formatCode="0;\-0;0;@">
                  <c:v>58753</c:v>
                </c:pt>
                <c:pt idx="127" formatCode="0;\-0;0;@">
                  <c:v>59258</c:v>
                </c:pt>
                <c:pt idx="128" formatCode="0;\-0;0;@">
                  <c:v>59034</c:v>
                </c:pt>
                <c:pt idx="129" formatCode="0;\-0;0;@">
                  <c:v>59512</c:v>
                </c:pt>
                <c:pt idx="130" formatCode="0;\-0;0;@">
                  <c:v>58503</c:v>
                </c:pt>
                <c:pt idx="131" formatCode="0;\-0;0;@">
                  <c:v>59175</c:v>
                </c:pt>
                <c:pt idx="132" formatCode="0;\-0;0;@">
                  <c:v>56906</c:v>
                </c:pt>
                <c:pt idx="133" formatCode="0;\-0;0;@">
                  <c:v>57642</c:v>
                </c:pt>
                <c:pt idx="134" formatCode="0;\-0;0;@">
                  <c:v>58393</c:v>
                </c:pt>
                <c:pt idx="135" formatCode="0;\-0;0;@">
                  <c:v>58925</c:v>
                </c:pt>
                <c:pt idx="136" formatCode="0;\-0;0;@">
                  <c:v>60694</c:v>
                </c:pt>
                <c:pt idx="137" formatCode="0;\-0;0;@">
                  <c:v>61962</c:v>
                </c:pt>
                <c:pt idx="138" formatCode="0;\-0;0;@">
                  <c:v>64191</c:v>
                </c:pt>
                <c:pt idx="139" formatCode="0;\-0;0;@">
                  <c:v>68880</c:v>
                </c:pt>
                <c:pt idx="140" formatCode="0;\-0;0;@">
                  <c:v>72215</c:v>
                </c:pt>
                <c:pt idx="141" formatCode="0;\-0;0;@">
                  <c:v>78585</c:v>
                </c:pt>
                <c:pt idx="142" formatCode="0;\-0;0;@">
                  <c:v>82908</c:v>
                </c:pt>
                <c:pt idx="143" formatCode="0;\-0;0;@">
                  <c:v>89909</c:v>
                </c:pt>
                <c:pt idx="144" formatCode="0;\-0;0;@">
                  <c:v>91243</c:v>
                </c:pt>
                <c:pt idx="145" formatCode="0;\-0;0;@">
                  <c:v>91291</c:v>
                </c:pt>
                <c:pt idx="146" formatCode="0;\-0;0;@">
                  <c:v>87132</c:v>
                </c:pt>
                <c:pt idx="147" formatCode="0;\-0;0;@">
                  <c:v>86299</c:v>
                </c:pt>
                <c:pt idx="148" formatCode="0;\-0;0;@">
                  <c:v>86968</c:v>
                </c:pt>
                <c:pt idx="149" formatCode="0;\-0;0;@">
                  <c:v>87977</c:v>
                </c:pt>
                <c:pt idx="150" formatCode="0;\-0;0;@">
                  <c:v>89537</c:v>
                </c:pt>
                <c:pt idx="151" formatCode="0;\-0;0;@">
                  <c:v>89085</c:v>
                </c:pt>
                <c:pt idx="152" formatCode="0;\-0;0;@">
                  <c:v>85476</c:v>
                </c:pt>
                <c:pt idx="153" formatCode="0;\-0;0;@">
                  <c:v>85832</c:v>
                </c:pt>
                <c:pt idx="154" formatCode="0;\-0;0;@">
                  <c:v>85063</c:v>
                </c:pt>
                <c:pt idx="155" formatCode="0;\-0;0;@">
                  <c:v>75960</c:v>
                </c:pt>
                <c:pt idx="156" formatCode="0;\-0;0;@">
                  <c:v>60597</c:v>
                </c:pt>
                <c:pt idx="157" formatCode="0;\-0;0;@">
                  <c:v>14000</c:v>
                </c:pt>
                <c:pt idx="158" formatCode="0;\-0;0;@">
                  <c:v>-20417</c:v>
                </c:pt>
                <c:pt idx="159" formatCode="0;\-0;0;@">
                  <c:v>-51705</c:v>
                </c:pt>
                <c:pt idx="160" formatCode="0;\-0;0;@">
                  <c:v>-53059</c:v>
                </c:pt>
                <c:pt idx="161" formatCode="0;\-0;0;@">
                  <c:v>-37330</c:v>
                </c:pt>
                <c:pt idx="162" formatCode="0;\-0;0;@">
                  <c:v>-5872</c:v>
                </c:pt>
                <c:pt idx="163" formatCode="0;\-0;0;@">
                  <c:v>37775</c:v>
                </c:pt>
                <c:pt idx="164" formatCode="0;\-0;0;@">
                  <c:v>60042</c:v>
                </c:pt>
                <c:pt idx="165" formatCode="0;\-0;0;@">
                  <c:v>96662</c:v>
                </c:pt>
              </c:numCache>
            </c:numRef>
          </c:val>
          <c:smooth val="0"/>
          <c:extLst>
            <c:ext xmlns:c16="http://schemas.microsoft.com/office/drawing/2014/chart" uri="{C3380CC4-5D6E-409C-BE32-E72D297353CC}">
              <c16:uniqueId val="{00000000-6C07-4E12-8F6F-47C2E04B09E3}"/>
            </c:ext>
          </c:extLst>
        </c:ser>
        <c:dLbls>
          <c:showLegendKey val="0"/>
          <c:showVal val="0"/>
          <c:showCatName val="0"/>
          <c:showSerName val="0"/>
          <c:showPercent val="0"/>
          <c:showBubbleSize val="0"/>
        </c:dLbls>
        <c:smooth val="0"/>
        <c:axId val="45274639"/>
        <c:axId val="45281199"/>
      </c:lineChart>
      <c:dateAx>
        <c:axId val="45274639"/>
        <c:scaling>
          <c:orientation val="minMax"/>
          <c:min val="40179"/>
        </c:scaling>
        <c:delete val="0"/>
        <c:axPos val="b"/>
        <c:numFmt formatCode="yyyy" sourceLinked="0"/>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n-US"/>
          </a:p>
        </c:txPr>
        <c:crossAx val="45281199"/>
        <c:crosses val="autoZero"/>
        <c:auto val="1"/>
        <c:lblOffset val="100"/>
        <c:baseTimeUnit val="months"/>
        <c:majorUnit val="12"/>
        <c:majorTimeUnit val="months"/>
      </c:dateAx>
      <c:valAx>
        <c:axId val="45281199"/>
        <c:scaling>
          <c:orientation val="minMax"/>
          <c:min val="-60000"/>
        </c:scaling>
        <c:delete val="0"/>
        <c:axPos val="l"/>
        <c:majorGridlines>
          <c:spPr>
            <a:ln w="9525" cap="flat" cmpd="sng" algn="ctr">
              <a:solidFill>
                <a:schemeClr val="bg1">
                  <a:lumMod val="65000"/>
                </a:schemeClr>
              </a:solidFill>
              <a:prstDash val="dash"/>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n-US"/>
          </a:p>
        </c:txPr>
        <c:crossAx val="45274639"/>
        <c:crosses val="autoZero"/>
        <c:crossBetween val="between"/>
        <c:dispUnits>
          <c:builtInUnit val="thousands"/>
          <c:dispUnitsLbl>
            <c:layout>
              <c:manualLayout>
                <c:xMode val="edge"/>
                <c:yMode val="edge"/>
                <c:x val="1.0318241469816276E-3"/>
                <c:y val="0.26699206077501181"/>
              </c:manualLayout>
            </c:layout>
            <c:tx>
              <c:rich>
                <a:bodyPr rot="-5400000" spcFirstLastPara="1" vertOverflow="ellipsis" vert="horz" wrap="square" anchor="ctr" anchorCtr="1"/>
                <a:lstStyle/>
                <a:p>
                  <a:pPr>
                    <a:defRPr sz="900" b="0" i="1" u="none" strike="noStrike" kern="1200" baseline="0">
                      <a:solidFill>
                        <a:schemeClr val="tx1">
                          <a:lumMod val="65000"/>
                          <a:lumOff val="35000"/>
                        </a:schemeClr>
                      </a:solidFill>
                      <a:latin typeface="+mj-lt"/>
                      <a:ea typeface="+mn-ea"/>
                      <a:cs typeface="+mn-cs"/>
                    </a:defRPr>
                  </a:pPr>
                  <a:r>
                    <a:rPr lang="en-AU" sz="900" i="1"/>
                    <a:t>persons (thousands)</a:t>
                  </a:r>
                </a:p>
              </c:rich>
            </c:tx>
            <c:spPr>
              <a:noFill/>
              <a:ln>
                <a:noFill/>
              </a:ln>
              <a:effectLst/>
            </c:spPr>
            <c:txPr>
              <a:bodyPr rot="-5400000" spcFirstLastPara="1" vertOverflow="ellipsis" vert="horz" wrap="square" anchor="ctr" anchorCtr="1"/>
              <a:lstStyle/>
              <a:p>
                <a:pPr>
                  <a:defRPr sz="900" b="0" i="1" u="none" strike="noStrike" kern="1200" baseline="0">
                    <a:solidFill>
                      <a:schemeClr val="tx1">
                        <a:lumMod val="65000"/>
                        <a:lumOff val="35000"/>
                      </a:schemeClr>
                    </a:solidFill>
                    <a:latin typeface="+mj-lt"/>
                    <a:ea typeface="+mn-ea"/>
                    <a:cs typeface="+mn-cs"/>
                  </a:defRPr>
                </a:pPr>
                <a:endParaRPr lang="en-US"/>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mj-lt"/>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solidFill>
                <a:latin typeface="+mn-lt"/>
                <a:ea typeface="+mn-ea"/>
                <a:cs typeface="+mn-cs"/>
              </a:defRPr>
            </a:pPr>
            <a:r>
              <a:rPr lang="en-AU" sz="900" b="1"/>
              <a:t>Labour productivity growth (per</a:t>
            </a:r>
            <a:r>
              <a:rPr lang="en-AU" sz="900" b="1" baseline="0"/>
              <a:t> cent</a:t>
            </a:r>
            <a:r>
              <a:rPr lang="en-AU" sz="900" b="1"/>
              <a:t>),</a:t>
            </a:r>
            <a:r>
              <a:rPr lang="en-AU" sz="900" b="1" baseline="0"/>
              <a:t> </a:t>
            </a:r>
            <a:r>
              <a:rPr lang="en-AU" sz="900" b="1" i="0" u="none" strike="noStrike" baseline="0">
                <a:effectLst/>
              </a:rPr>
              <a:t>average per year, </a:t>
            </a:r>
            <a:r>
              <a:rPr lang="en-AU" sz="900" b="1"/>
              <a:t>Australia and Organisation for Economic Co-operation and Development (OECD) countries</a:t>
            </a:r>
          </a:p>
        </c:rich>
      </c:tx>
      <c:layout>
        <c:manualLayout>
          <c:xMode val="edge"/>
          <c:yMode val="edge"/>
          <c:x val="0.10691676235084314"/>
          <c:y val="0"/>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tx1"/>
              </a:solidFill>
              <a:latin typeface="+mn-lt"/>
              <a:ea typeface="+mn-ea"/>
              <a:cs typeface="+mn-cs"/>
            </a:defRPr>
          </a:pPr>
          <a:endParaRPr lang="en-US"/>
        </a:p>
      </c:txPr>
    </c:title>
    <c:autoTitleDeleted val="0"/>
    <c:plotArea>
      <c:layout/>
      <c:barChart>
        <c:barDir val="bar"/>
        <c:grouping val="clustered"/>
        <c:varyColors val="0"/>
        <c:ser>
          <c:idx val="0"/>
          <c:order val="0"/>
          <c:tx>
            <c:strRef>
              <c:f>'Chart 3.2 Data'!$C$6</c:f>
              <c:strCache>
                <c:ptCount val="1"/>
                <c:pt idx="0">
                  <c:v>1990-2005</c:v>
                </c:pt>
              </c:strCache>
            </c:strRef>
          </c:tx>
          <c:spPr>
            <a:solidFill>
              <a:schemeClr val="bg2">
                <a:lumMod val="50000"/>
              </a:schemeClr>
            </a:solidFill>
            <a:ln>
              <a:noFill/>
            </a:ln>
            <a:effectLst/>
          </c:spPr>
          <c:invertIfNegative val="0"/>
          <c:cat>
            <c:strRef>
              <c:f>'Chart 3.2 Data'!$B$7:$B$8</c:f>
              <c:strCache>
                <c:ptCount val="2"/>
                <c:pt idx="0">
                  <c:v>Australia</c:v>
                </c:pt>
                <c:pt idx="1">
                  <c:v>OECD</c:v>
                </c:pt>
              </c:strCache>
            </c:strRef>
          </c:cat>
          <c:val>
            <c:numRef>
              <c:f>'Chart 3.2 Data'!$C$7:$C$8</c:f>
              <c:numCache>
                <c:formatCode>General</c:formatCode>
                <c:ptCount val="2"/>
                <c:pt idx="0">
                  <c:v>1.8681218206615426</c:v>
                </c:pt>
                <c:pt idx="1">
                  <c:v>1.9952457758202957</c:v>
                </c:pt>
              </c:numCache>
            </c:numRef>
          </c:val>
          <c:extLst>
            <c:ext xmlns:c16="http://schemas.microsoft.com/office/drawing/2014/chart" uri="{C3380CC4-5D6E-409C-BE32-E72D297353CC}">
              <c16:uniqueId val="{00000000-30FC-451F-956C-A2A5F4A9DA29}"/>
            </c:ext>
          </c:extLst>
        </c:ser>
        <c:ser>
          <c:idx val="1"/>
          <c:order val="1"/>
          <c:tx>
            <c:strRef>
              <c:f>'Chart 3.2 Data'!$D$6</c:f>
              <c:strCache>
                <c:ptCount val="1"/>
                <c:pt idx="0">
                  <c:v>2005-2019</c:v>
                </c:pt>
              </c:strCache>
            </c:strRef>
          </c:tx>
          <c:spPr>
            <a:solidFill>
              <a:schemeClr val="bg2">
                <a:lumMod val="90000"/>
              </a:schemeClr>
            </a:solidFill>
            <a:ln>
              <a:noFill/>
            </a:ln>
            <a:effectLst/>
          </c:spPr>
          <c:invertIfNegative val="0"/>
          <c:cat>
            <c:strRef>
              <c:f>'Chart 3.2 Data'!$B$7:$B$8</c:f>
              <c:strCache>
                <c:ptCount val="2"/>
                <c:pt idx="0">
                  <c:v>Australia</c:v>
                </c:pt>
                <c:pt idx="1">
                  <c:v>OECD</c:v>
                </c:pt>
              </c:strCache>
            </c:strRef>
          </c:cat>
          <c:val>
            <c:numRef>
              <c:f>'Chart 3.2 Data'!$D$7:$D$8</c:f>
              <c:numCache>
                <c:formatCode>General</c:formatCode>
                <c:ptCount val="2"/>
                <c:pt idx="0">
                  <c:v>1.1443795418837368</c:v>
                </c:pt>
                <c:pt idx="1">
                  <c:v>1.0869242696594466</c:v>
                </c:pt>
              </c:numCache>
            </c:numRef>
          </c:val>
          <c:extLst>
            <c:ext xmlns:c16="http://schemas.microsoft.com/office/drawing/2014/chart" uri="{C3380CC4-5D6E-409C-BE32-E72D297353CC}">
              <c16:uniqueId val="{00000001-30FC-451F-956C-A2A5F4A9DA29}"/>
            </c:ext>
          </c:extLst>
        </c:ser>
        <c:dLbls>
          <c:showLegendKey val="0"/>
          <c:showVal val="0"/>
          <c:showCatName val="0"/>
          <c:showSerName val="0"/>
          <c:showPercent val="0"/>
          <c:showBubbleSize val="0"/>
        </c:dLbls>
        <c:gapWidth val="182"/>
        <c:axId val="1410688232"/>
        <c:axId val="318541856"/>
      </c:barChart>
      <c:catAx>
        <c:axId val="1410688232"/>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18541856"/>
        <c:crosses val="autoZero"/>
        <c:auto val="1"/>
        <c:lblAlgn val="ctr"/>
        <c:lblOffset val="100"/>
        <c:noMultiLvlLbl val="0"/>
      </c:catAx>
      <c:valAx>
        <c:axId val="318541856"/>
        <c:scaling>
          <c:orientation val="minMax"/>
        </c:scaling>
        <c:delete val="0"/>
        <c:axPos val="b"/>
        <c:majorGridlines>
          <c:spPr>
            <a:ln w="9525" cap="flat" cmpd="sng" algn="ctr">
              <a:solidFill>
                <a:sysClr val="window" lastClr="FFFFFF">
                  <a:lumMod val="65000"/>
                </a:sys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410688232"/>
        <c:crosses val="autoZero"/>
        <c:crossBetween val="between"/>
      </c:valAx>
      <c:spPr>
        <a:noFill/>
        <a:ln>
          <a:noFill/>
        </a:ln>
        <a:effectLst/>
      </c:spPr>
    </c:plotArea>
    <c:legend>
      <c:legendPos val="b"/>
      <c:layout>
        <c:manualLayout>
          <c:xMode val="edge"/>
          <c:yMode val="edge"/>
          <c:x val="0.32860903016805021"/>
          <c:y val="0.92166522349538871"/>
          <c:w val="0.34278193966389958"/>
          <c:h val="7.833477650461113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chemeClr val="tx1"/>
          </a:solidFill>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794401494133032E-2"/>
          <c:y val="7.7772367294026104E-2"/>
          <c:w val="0.88400454611828694"/>
          <c:h val="0.8198136432277735"/>
        </c:manualLayout>
      </c:layout>
      <c:barChart>
        <c:barDir val="col"/>
        <c:grouping val="stacked"/>
        <c:varyColors val="0"/>
        <c:ser>
          <c:idx val="0"/>
          <c:order val="0"/>
          <c:tx>
            <c:strRef>
              <c:f>'Chart4.2_GII'!$A$25</c:f>
              <c:strCache>
                <c:ptCount val="1"/>
                <c:pt idx="0">
                  <c:v>GII</c:v>
                </c:pt>
              </c:strCache>
            </c:strRef>
          </c:tx>
          <c:spPr>
            <a:solidFill>
              <a:schemeClr val="accent3">
                <a:lumMod val="60000"/>
                <a:lumOff val="40000"/>
              </a:schemeClr>
            </a:solidFill>
          </c:spPr>
          <c:invertIfNegative val="0"/>
          <c:dPt>
            <c:idx val="0"/>
            <c:invertIfNegative val="0"/>
            <c:bubble3D val="0"/>
            <c:spPr>
              <a:solidFill>
                <a:schemeClr val="bg1">
                  <a:lumMod val="50000"/>
                </a:schemeClr>
              </a:solidFill>
            </c:spPr>
            <c:extLst>
              <c:ext xmlns:c16="http://schemas.microsoft.com/office/drawing/2014/chart" uri="{C3380CC4-5D6E-409C-BE32-E72D297353CC}">
                <c16:uniqueId val="{00000001-31BF-4E98-A7DC-5531C90B4C40}"/>
              </c:ext>
            </c:extLst>
          </c:dPt>
          <c:dPt>
            <c:idx val="1"/>
            <c:invertIfNegative val="0"/>
            <c:bubble3D val="0"/>
            <c:spPr>
              <a:solidFill>
                <a:schemeClr val="bg1">
                  <a:lumMod val="50000"/>
                </a:schemeClr>
              </a:solidFill>
            </c:spPr>
            <c:extLst>
              <c:ext xmlns:c16="http://schemas.microsoft.com/office/drawing/2014/chart" uri="{C3380CC4-5D6E-409C-BE32-E72D297353CC}">
                <c16:uniqueId val="{00000003-31BF-4E98-A7DC-5531C90B4C40}"/>
              </c:ext>
            </c:extLst>
          </c:dPt>
          <c:dPt>
            <c:idx val="2"/>
            <c:invertIfNegative val="0"/>
            <c:bubble3D val="0"/>
            <c:spPr>
              <a:solidFill>
                <a:schemeClr val="bg1">
                  <a:lumMod val="50000"/>
                </a:schemeClr>
              </a:solidFill>
            </c:spPr>
            <c:extLst>
              <c:ext xmlns:c16="http://schemas.microsoft.com/office/drawing/2014/chart" uri="{C3380CC4-5D6E-409C-BE32-E72D297353CC}">
                <c16:uniqueId val="{00000005-31BF-4E98-A7DC-5531C90B4C40}"/>
              </c:ext>
            </c:extLst>
          </c:dPt>
          <c:dPt>
            <c:idx val="3"/>
            <c:invertIfNegative val="0"/>
            <c:bubble3D val="0"/>
            <c:spPr>
              <a:solidFill>
                <a:schemeClr val="bg1">
                  <a:lumMod val="50000"/>
                </a:schemeClr>
              </a:solidFill>
            </c:spPr>
            <c:extLst>
              <c:ext xmlns:c16="http://schemas.microsoft.com/office/drawing/2014/chart" uri="{C3380CC4-5D6E-409C-BE32-E72D297353CC}">
                <c16:uniqueId val="{00000007-31BF-4E98-A7DC-5531C90B4C40}"/>
              </c:ext>
            </c:extLst>
          </c:dPt>
          <c:dPt>
            <c:idx val="4"/>
            <c:invertIfNegative val="0"/>
            <c:bubble3D val="0"/>
            <c:spPr>
              <a:solidFill>
                <a:schemeClr val="bg1">
                  <a:lumMod val="50000"/>
                </a:schemeClr>
              </a:solidFill>
            </c:spPr>
            <c:extLst>
              <c:ext xmlns:c16="http://schemas.microsoft.com/office/drawing/2014/chart" uri="{C3380CC4-5D6E-409C-BE32-E72D297353CC}">
                <c16:uniqueId val="{00000009-31BF-4E98-A7DC-5531C90B4C40}"/>
              </c:ext>
            </c:extLst>
          </c:dPt>
          <c:dPt>
            <c:idx val="5"/>
            <c:invertIfNegative val="0"/>
            <c:bubble3D val="0"/>
            <c:spPr>
              <a:solidFill>
                <a:schemeClr val="bg1">
                  <a:lumMod val="50000"/>
                </a:schemeClr>
              </a:solidFill>
            </c:spPr>
            <c:extLst>
              <c:ext xmlns:c16="http://schemas.microsoft.com/office/drawing/2014/chart" uri="{C3380CC4-5D6E-409C-BE32-E72D297353CC}">
                <c16:uniqueId val="{0000000B-31BF-4E98-A7DC-5531C90B4C40}"/>
              </c:ext>
            </c:extLst>
          </c:dPt>
          <c:dPt>
            <c:idx val="6"/>
            <c:invertIfNegative val="0"/>
            <c:bubble3D val="0"/>
            <c:spPr>
              <a:solidFill>
                <a:schemeClr val="bg1">
                  <a:lumMod val="50000"/>
                </a:schemeClr>
              </a:solidFill>
            </c:spPr>
            <c:extLst>
              <c:ext xmlns:c16="http://schemas.microsoft.com/office/drawing/2014/chart" uri="{C3380CC4-5D6E-409C-BE32-E72D297353CC}">
                <c16:uniqueId val="{0000000D-31BF-4E98-A7DC-5531C90B4C40}"/>
              </c:ext>
            </c:extLst>
          </c:dPt>
          <c:dPt>
            <c:idx val="7"/>
            <c:invertIfNegative val="0"/>
            <c:bubble3D val="0"/>
            <c:spPr>
              <a:solidFill>
                <a:schemeClr val="bg1">
                  <a:lumMod val="50000"/>
                </a:schemeClr>
              </a:solidFill>
            </c:spPr>
            <c:extLst>
              <c:ext xmlns:c16="http://schemas.microsoft.com/office/drawing/2014/chart" uri="{C3380CC4-5D6E-409C-BE32-E72D297353CC}">
                <c16:uniqueId val="{0000000F-31BF-4E98-A7DC-5531C90B4C40}"/>
              </c:ext>
            </c:extLst>
          </c:dPt>
          <c:dPt>
            <c:idx val="8"/>
            <c:invertIfNegative val="0"/>
            <c:bubble3D val="0"/>
            <c:spPr>
              <a:solidFill>
                <a:schemeClr val="bg1">
                  <a:lumMod val="50000"/>
                </a:schemeClr>
              </a:solidFill>
            </c:spPr>
            <c:extLst>
              <c:ext xmlns:c16="http://schemas.microsoft.com/office/drawing/2014/chart" uri="{C3380CC4-5D6E-409C-BE32-E72D297353CC}">
                <c16:uniqueId val="{00000011-31BF-4E98-A7DC-5531C90B4C40}"/>
              </c:ext>
            </c:extLst>
          </c:dPt>
          <c:dPt>
            <c:idx val="9"/>
            <c:invertIfNegative val="0"/>
            <c:bubble3D val="0"/>
            <c:spPr>
              <a:solidFill>
                <a:schemeClr val="bg1">
                  <a:lumMod val="50000"/>
                </a:schemeClr>
              </a:solidFill>
            </c:spPr>
            <c:extLst>
              <c:ext xmlns:c16="http://schemas.microsoft.com/office/drawing/2014/chart" uri="{C3380CC4-5D6E-409C-BE32-E72D297353CC}">
                <c16:uniqueId val="{00000013-31BF-4E98-A7DC-5531C90B4C40}"/>
              </c:ext>
            </c:extLst>
          </c:dPt>
          <c:dPt>
            <c:idx val="10"/>
            <c:invertIfNegative val="0"/>
            <c:bubble3D val="0"/>
            <c:spPr>
              <a:solidFill>
                <a:schemeClr val="bg1">
                  <a:lumMod val="50000"/>
                </a:schemeClr>
              </a:solidFill>
            </c:spPr>
            <c:extLst>
              <c:ext xmlns:c16="http://schemas.microsoft.com/office/drawing/2014/chart" uri="{C3380CC4-5D6E-409C-BE32-E72D297353CC}">
                <c16:uniqueId val="{00000015-31BF-4E98-A7DC-5531C90B4C40}"/>
              </c:ext>
            </c:extLst>
          </c:dPt>
          <c:dPt>
            <c:idx val="11"/>
            <c:invertIfNegative val="0"/>
            <c:bubble3D val="0"/>
            <c:spPr>
              <a:solidFill>
                <a:schemeClr val="bg1">
                  <a:lumMod val="50000"/>
                </a:schemeClr>
              </a:solidFill>
            </c:spPr>
            <c:extLst>
              <c:ext xmlns:c16="http://schemas.microsoft.com/office/drawing/2014/chart" uri="{C3380CC4-5D6E-409C-BE32-E72D297353CC}">
                <c16:uniqueId val="{00000017-31BF-4E98-A7DC-5531C90B4C40}"/>
              </c:ext>
            </c:extLst>
          </c:dPt>
          <c:dPt>
            <c:idx val="12"/>
            <c:invertIfNegative val="0"/>
            <c:bubble3D val="0"/>
            <c:spPr>
              <a:solidFill>
                <a:schemeClr val="bg1">
                  <a:lumMod val="50000"/>
                </a:schemeClr>
              </a:solidFill>
            </c:spPr>
            <c:extLst>
              <c:ext xmlns:c16="http://schemas.microsoft.com/office/drawing/2014/chart" uri="{C3380CC4-5D6E-409C-BE32-E72D297353CC}">
                <c16:uniqueId val="{00000019-31BF-4E98-A7DC-5531C90B4C40}"/>
              </c:ext>
            </c:extLst>
          </c:dPt>
          <c:dPt>
            <c:idx val="13"/>
            <c:invertIfNegative val="0"/>
            <c:bubble3D val="0"/>
            <c:spPr>
              <a:solidFill>
                <a:schemeClr val="bg1">
                  <a:lumMod val="50000"/>
                </a:schemeClr>
              </a:solidFill>
            </c:spPr>
            <c:extLst>
              <c:ext xmlns:c16="http://schemas.microsoft.com/office/drawing/2014/chart" uri="{C3380CC4-5D6E-409C-BE32-E72D297353CC}">
                <c16:uniqueId val="{0000001B-31BF-4E98-A7DC-5531C90B4C40}"/>
              </c:ext>
            </c:extLst>
          </c:dPt>
          <c:dPt>
            <c:idx val="14"/>
            <c:invertIfNegative val="0"/>
            <c:bubble3D val="0"/>
            <c:spPr>
              <a:solidFill>
                <a:schemeClr val="bg1">
                  <a:lumMod val="50000"/>
                </a:schemeClr>
              </a:solidFill>
            </c:spPr>
            <c:extLst>
              <c:ext xmlns:c16="http://schemas.microsoft.com/office/drawing/2014/chart" uri="{C3380CC4-5D6E-409C-BE32-E72D297353CC}">
                <c16:uniqueId val="{0000001D-31BF-4E98-A7DC-5531C90B4C40}"/>
              </c:ext>
            </c:extLst>
          </c:dPt>
          <c:dPt>
            <c:idx val="15"/>
            <c:invertIfNegative val="0"/>
            <c:bubble3D val="0"/>
            <c:spPr>
              <a:solidFill>
                <a:schemeClr val="bg1">
                  <a:lumMod val="50000"/>
                </a:schemeClr>
              </a:solidFill>
            </c:spPr>
            <c:extLst>
              <c:ext xmlns:c16="http://schemas.microsoft.com/office/drawing/2014/chart" uri="{C3380CC4-5D6E-409C-BE32-E72D297353CC}">
                <c16:uniqueId val="{0000001F-31BF-4E98-A7DC-5531C90B4C40}"/>
              </c:ext>
            </c:extLst>
          </c:dPt>
          <c:dPt>
            <c:idx val="16"/>
            <c:invertIfNegative val="0"/>
            <c:bubble3D val="0"/>
            <c:spPr>
              <a:solidFill>
                <a:schemeClr val="bg1">
                  <a:lumMod val="50000"/>
                </a:schemeClr>
              </a:solidFill>
            </c:spPr>
            <c:extLst>
              <c:ext xmlns:c16="http://schemas.microsoft.com/office/drawing/2014/chart" uri="{C3380CC4-5D6E-409C-BE32-E72D297353CC}">
                <c16:uniqueId val="{00000021-31BF-4E98-A7DC-5531C90B4C40}"/>
              </c:ext>
            </c:extLst>
          </c:dPt>
          <c:dPt>
            <c:idx val="17"/>
            <c:invertIfNegative val="0"/>
            <c:bubble3D val="0"/>
            <c:extLst>
              <c:ext xmlns:c16="http://schemas.microsoft.com/office/drawing/2014/chart" uri="{C3380CC4-5D6E-409C-BE32-E72D297353CC}">
                <c16:uniqueId val="{00000022-31BF-4E98-A7DC-5531C90B4C40}"/>
              </c:ext>
            </c:extLst>
          </c:dPt>
          <c:dPt>
            <c:idx val="18"/>
            <c:invertIfNegative val="0"/>
            <c:bubble3D val="0"/>
            <c:extLst>
              <c:ext xmlns:c16="http://schemas.microsoft.com/office/drawing/2014/chart" uri="{C3380CC4-5D6E-409C-BE32-E72D297353CC}">
                <c16:uniqueId val="{00000023-31BF-4E98-A7DC-5531C90B4C40}"/>
              </c:ext>
            </c:extLst>
          </c:dPt>
          <c:dPt>
            <c:idx val="19"/>
            <c:invertIfNegative val="0"/>
            <c:bubble3D val="0"/>
            <c:spPr>
              <a:solidFill>
                <a:schemeClr val="accent3">
                  <a:lumMod val="60000"/>
                  <a:lumOff val="40000"/>
                </a:schemeClr>
              </a:solidFill>
              <a:ln>
                <a:noFill/>
              </a:ln>
            </c:spPr>
            <c:extLst>
              <c:ext xmlns:c16="http://schemas.microsoft.com/office/drawing/2014/chart" uri="{C3380CC4-5D6E-409C-BE32-E72D297353CC}">
                <c16:uniqueId val="{00000025-31BF-4E98-A7DC-5531C90B4C40}"/>
              </c:ext>
            </c:extLst>
          </c:dPt>
          <c:dPt>
            <c:idx val="20"/>
            <c:invertIfNegative val="0"/>
            <c:bubble3D val="0"/>
            <c:extLst>
              <c:ext xmlns:c16="http://schemas.microsoft.com/office/drawing/2014/chart" uri="{C3380CC4-5D6E-409C-BE32-E72D297353CC}">
                <c16:uniqueId val="{00000026-31BF-4E98-A7DC-5531C90B4C40}"/>
              </c:ext>
            </c:extLst>
          </c:dPt>
          <c:cat>
            <c:strRef>
              <c:f>'Chart4.2_GII'!$B$24:$W$24</c:f>
              <c:strCache>
                <c:ptCount val="22"/>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pt idx="19">
                  <c:v>2024-25</c:v>
                </c:pt>
                <c:pt idx="20">
                  <c:v>2025-26</c:v>
                </c:pt>
                <c:pt idx="21">
                  <c:v>2026-27</c:v>
                </c:pt>
              </c:strCache>
            </c:strRef>
          </c:cat>
          <c:val>
            <c:numRef>
              <c:f>'Chart4.2_GII'!$B$25:$W$25</c:f>
              <c:numCache>
                <c:formatCode>0.0</c:formatCode>
                <c:ptCount val="22"/>
                <c:pt idx="0">
                  <c:v>3.1393597257270458</c:v>
                </c:pt>
                <c:pt idx="1">
                  <c:v>4.3639230601932715</c:v>
                </c:pt>
                <c:pt idx="2">
                  <c:v>5.0040973207385795</c:v>
                </c:pt>
                <c:pt idx="3">
                  <c:v>4.4582770290303024</c:v>
                </c:pt>
                <c:pt idx="4">
                  <c:v>5.2894477997627209</c:v>
                </c:pt>
                <c:pt idx="5">
                  <c:v>5.7832234801970701</c:v>
                </c:pt>
                <c:pt idx="6">
                  <c:v>5.3807418055605822</c:v>
                </c:pt>
                <c:pt idx="7">
                  <c:v>5.4236704152322028</c:v>
                </c:pt>
                <c:pt idx="8">
                  <c:v>5.5386532113799998</c:v>
                </c:pt>
                <c:pt idx="9">
                  <c:v>4.6411040051599999</c:v>
                </c:pt>
                <c:pt idx="10">
                  <c:v>4.7290885305999995</c:v>
                </c:pt>
                <c:pt idx="11">
                  <c:v>9.052741844297266</c:v>
                </c:pt>
                <c:pt idx="12">
                  <c:v>12.136354455907746</c:v>
                </c:pt>
                <c:pt idx="13">
                  <c:v>12.65313050372</c:v>
                </c:pt>
                <c:pt idx="14">
                  <c:v>12.04131820722</c:v>
                </c:pt>
                <c:pt idx="15">
                  <c:v>14.96296872107</c:v>
                </c:pt>
                <c:pt idx="16">
                  <c:v>18.725773039630003</c:v>
                </c:pt>
                <c:pt idx="17">
                  <c:v>22.484421369100001</c:v>
                </c:pt>
                <c:pt idx="18">
                  <c:v>22.409457829250002</c:v>
                </c:pt>
                <c:pt idx="19">
                  <c:v>20.555619612970098</c:v>
                </c:pt>
                <c:pt idx="20">
                  <c:v>18.615101563060001</c:v>
                </c:pt>
                <c:pt idx="21">
                  <c:v>16.929610391459999</c:v>
                </c:pt>
              </c:numCache>
            </c:numRef>
          </c:val>
          <c:extLst>
            <c:ext xmlns:c16="http://schemas.microsoft.com/office/drawing/2014/chart" uri="{C3380CC4-5D6E-409C-BE32-E72D297353CC}">
              <c16:uniqueId val="{00000027-31BF-4E98-A7DC-5531C90B4C40}"/>
            </c:ext>
          </c:extLst>
        </c:ser>
        <c:dLbls>
          <c:showLegendKey val="0"/>
          <c:showVal val="0"/>
          <c:showCatName val="0"/>
          <c:showSerName val="0"/>
          <c:showPercent val="0"/>
          <c:showBubbleSize val="0"/>
        </c:dLbls>
        <c:gapWidth val="150"/>
        <c:overlap val="100"/>
        <c:axId val="259823104"/>
        <c:axId val="259824640"/>
      </c:barChart>
      <c:lineChart>
        <c:grouping val="standard"/>
        <c:varyColors val="0"/>
        <c:ser>
          <c:idx val="1"/>
          <c:order val="1"/>
          <c:tx>
            <c:strRef>
              <c:f>'Chart4.2_GII'!$A$26</c:f>
              <c:strCache>
                <c:ptCount val="1"/>
                <c:pt idx="0">
                  <c:v>Average GII (2005-06 to 2014-15)</c:v>
                </c:pt>
              </c:strCache>
            </c:strRef>
          </c:tx>
          <c:spPr>
            <a:ln>
              <a:solidFill>
                <a:sysClr val="windowText" lastClr="000000"/>
              </a:solidFill>
            </a:ln>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28-31BF-4E98-A7DC-5531C90B4C40}"/>
                </c:ext>
              </c:extLst>
            </c:dLbl>
            <c:dLbl>
              <c:idx val="1"/>
              <c:delete val="1"/>
              <c:extLst>
                <c:ext xmlns:c15="http://schemas.microsoft.com/office/drawing/2012/chart" uri="{CE6537A1-D6FC-4f65-9D91-7224C49458BB}"/>
                <c:ext xmlns:c16="http://schemas.microsoft.com/office/drawing/2014/chart" uri="{C3380CC4-5D6E-409C-BE32-E72D297353CC}">
                  <c16:uniqueId val="{00000029-31BF-4E98-A7DC-5531C90B4C40}"/>
                </c:ext>
              </c:extLst>
            </c:dLbl>
            <c:dLbl>
              <c:idx val="2"/>
              <c:delete val="1"/>
              <c:extLst>
                <c:ext xmlns:c15="http://schemas.microsoft.com/office/drawing/2012/chart" uri="{CE6537A1-D6FC-4f65-9D91-7224C49458BB}"/>
                <c:ext xmlns:c16="http://schemas.microsoft.com/office/drawing/2014/chart" uri="{C3380CC4-5D6E-409C-BE32-E72D297353CC}">
                  <c16:uniqueId val="{0000002A-31BF-4E98-A7DC-5531C90B4C40}"/>
                </c:ext>
              </c:extLst>
            </c:dLbl>
            <c:dLbl>
              <c:idx val="3"/>
              <c:delete val="1"/>
              <c:extLst>
                <c:ext xmlns:c15="http://schemas.microsoft.com/office/drawing/2012/chart" uri="{CE6537A1-D6FC-4f65-9D91-7224C49458BB}"/>
                <c:ext xmlns:c16="http://schemas.microsoft.com/office/drawing/2014/chart" uri="{C3380CC4-5D6E-409C-BE32-E72D297353CC}">
                  <c16:uniqueId val="{0000002B-31BF-4E98-A7DC-5531C90B4C40}"/>
                </c:ext>
              </c:extLst>
            </c:dLbl>
            <c:dLbl>
              <c:idx val="4"/>
              <c:delete val="1"/>
              <c:extLst>
                <c:ext xmlns:c15="http://schemas.microsoft.com/office/drawing/2012/chart" uri="{CE6537A1-D6FC-4f65-9D91-7224C49458BB}"/>
                <c:ext xmlns:c16="http://schemas.microsoft.com/office/drawing/2014/chart" uri="{C3380CC4-5D6E-409C-BE32-E72D297353CC}">
                  <c16:uniqueId val="{0000002C-31BF-4E98-A7DC-5531C90B4C40}"/>
                </c:ext>
              </c:extLst>
            </c:dLbl>
            <c:dLbl>
              <c:idx val="5"/>
              <c:delete val="1"/>
              <c:extLst>
                <c:ext xmlns:c15="http://schemas.microsoft.com/office/drawing/2012/chart" uri="{CE6537A1-D6FC-4f65-9D91-7224C49458BB}"/>
                <c:ext xmlns:c16="http://schemas.microsoft.com/office/drawing/2014/chart" uri="{C3380CC4-5D6E-409C-BE32-E72D297353CC}">
                  <c16:uniqueId val="{0000002D-31BF-4E98-A7DC-5531C90B4C40}"/>
                </c:ext>
              </c:extLst>
            </c:dLbl>
            <c:dLbl>
              <c:idx val="6"/>
              <c:delete val="1"/>
              <c:extLst>
                <c:ext xmlns:c15="http://schemas.microsoft.com/office/drawing/2012/chart" uri="{CE6537A1-D6FC-4f65-9D91-7224C49458BB}"/>
                <c:ext xmlns:c16="http://schemas.microsoft.com/office/drawing/2014/chart" uri="{C3380CC4-5D6E-409C-BE32-E72D297353CC}">
                  <c16:uniqueId val="{0000002E-31BF-4E98-A7DC-5531C90B4C40}"/>
                </c:ext>
              </c:extLst>
            </c:dLbl>
            <c:dLbl>
              <c:idx val="7"/>
              <c:delete val="1"/>
              <c:extLst>
                <c:ext xmlns:c15="http://schemas.microsoft.com/office/drawing/2012/chart" uri="{CE6537A1-D6FC-4f65-9D91-7224C49458BB}"/>
                <c:ext xmlns:c16="http://schemas.microsoft.com/office/drawing/2014/chart" uri="{C3380CC4-5D6E-409C-BE32-E72D297353CC}">
                  <c16:uniqueId val="{0000002F-31BF-4E98-A7DC-5531C90B4C40}"/>
                </c:ext>
              </c:extLst>
            </c:dLbl>
            <c:dLbl>
              <c:idx val="8"/>
              <c:delete val="1"/>
              <c:extLst>
                <c:ext xmlns:c15="http://schemas.microsoft.com/office/drawing/2012/chart" uri="{CE6537A1-D6FC-4f65-9D91-7224C49458BB}"/>
                <c:ext xmlns:c16="http://schemas.microsoft.com/office/drawing/2014/chart" uri="{C3380CC4-5D6E-409C-BE32-E72D297353CC}">
                  <c16:uniqueId val="{00000030-31BF-4E98-A7DC-5531C90B4C40}"/>
                </c:ext>
              </c:extLst>
            </c:dLbl>
            <c:dLbl>
              <c:idx val="9"/>
              <c:layout>
                <c:manualLayout>
                  <c:x val="-0.29405133484085955"/>
                  <c:y val="-8.9497055537888948E-2"/>
                </c:manualLayout>
              </c:layout>
              <c:tx>
                <c:rich>
                  <a:bodyPr/>
                  <a:lstStyle/>
                  <a:p>
                    <a:pPr algn="ctr">
                      <a:defRPr sz="700"/>
                    </a:pPr>
                    <a:r>
                      <a:rPr lang="en-US" sz="700"/>
                      <a:t>Average GII 2005-06 to 2014-15 ($4.9 billion)</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2785916836261114"/>
                      <c:h val="0.11920923677643742"/>
                    </c:manualLayout>
                  </c15:layout>
                  <c15:showDataLabelsRange val="0"/>
                </c:ext>
                <c:ext xmlns:c16="http://schemas.microsoft.com/office/drawing/2014/chart" uri="{C3380CC4-5D6E-409C-BE32-E72D297353CC}">
                  <c16:uniqueId val="{00000031-31BF-4E98-A7DC-5531C90B4C4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noFill/>
                    </a:ln>
                  </c:spPr>
                </c15:leaderLines>
              </c:ext>
            </c:extLst>
          </c:dLbls>
          <c:cat>
            <c:strRef>
              <c:f>'Chart4.2_GII'!$B$24:$W$24</c:f>
              <c:strCache>
                <c:ptCount val="22"/>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pt idx="19">
                  <c:v>2024-25</c:v>
                </c:pt>
                <c:pt idx="20">
                  <c:v>2025-26</c:v>
                </c:pt>
                <c:pt idx="21">
                  <c:v>2026-27</c:v>
                </c:pt>
              </c:strCache>
            </c:strRef>
          </c:cat>
          <c:val>
            <c:numRef>
              <c:f>'Chart4.2_GII'!$B$26:$T$26</c:f>
              <c:numCache>
                <c:formatCode>#,##0.0</c:formatCode>
                <c:ptCount val="19"/>
                <c:pt idx="0">
                  <c:v>4.902249785298177</c:v>
                </c:pt>
                <c:pt idx="1">
                  <c:v>4.902249785298177</c:v>
                </c:pt>
                <c:pt idx="2">
                  <c:v>4.902249785298177</c:v>
                </c:pt>
                <c:pt idx="3">
                  <c:v>4.902249785298177</c:v>
                </c:pt>
                <c:pt idx="4">
                  <c:v>4.902249785298177</c:v>
                </c:pt>
                <c:pt idx="5">
                  <c:v>4.902249785298177</c:v>
                </c:pt>
                <c:pt idx="6">
                  <c:v>4.902249785298177</c:v>
                </c:pt>
                <c:pt idx="7">
                  <c:v>4.902249785298177</c:v>
                </c:pt>
                <c:pt idx="8">
                  <c:v>4.902249785298177</c:v>
                </c:pt>
                <c:pt idx="9">
                  <c:v>4.902249785298177</c:v>
                </c:pt>
              </c:numCache>
            </c:numRef>
          </c:val>
          <c:smooth val="0"/>
          <c:extLst>
            <c:ext xmlns:c16="http://schemas.microsoft.com/office/drawing/2014/chart" uri="{C3380CC4-5D6E-409C-BE32-E72D297353CC}">
              <c16:uniqueId val="{00000032-31BF-4E98-A7DC-5531C90B4C40}"/>
            </c:ext>
          </c:extLst>
        </c:ser>
        <c:ser>
          <c:idx val="2"/>
          <c:order val="2"/>
          <c:tx>
            <c:strRef>
              <c:f>'Chart4.2_GII'!$A$27</c:f>
              <c:strCache>
                <c:ptCount val="1"/>
                <c:pt idx="0">
                  <c:v>Average GII (2015-16 to 2026-27)</c:v>
                </c:pt>
              </c:strCache>
            </c:strRef>
          </c:tx>
          <c:spPr>
            <a:ln>
              <a:solidFill>
                <a:sysClr val="windowText" lastClr="000000"/>
              </a:solidFill>
            </a:ln>
          </c:spPr>
          <c:marker>
            <c:symbol val="none"/>
          </c:marker>
          <c:dLbls>
            <c:dLbl>
              <c:idx val="16"/>
              <c:layout>
                <c:manualLayout>
                  <c:x val="-0.27503138485957213"/>
                  <c:y val="-7.1160695924311609E-2"/>
                </c:manualLayout>
              </c:layout>
              <c:tx>
                <c:rich>
                  <a:bodyPr/>
                  <a:lstStyle/>
                  <a:p>
                    <a:pPr>
                      <a:defRPr sz="700"/>
                    </a:pPr>
                    <a:r>
                      <a:rPr lang="en-US" sz="700"/>
                      <a:t>Average GII 2015-16 to 2026-27 ($15.4 billion)</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2504613003001128"/>
                      <c:h val="9.7765242398887314E-2"/>
                    </c:manualLayout>
                  </c15:layout>
                  <c15:showDataLabelsRange val="0"/>
                </c:ext>
                <c:ext xmlns:c16="http://schemas.microsoft.com/office/drawing/2014/chart" uri="{C3380CC4-5D6E-409C-BE32-E72D297353CC}">
                  <c16:uniqueId val="{00000033-31BF-4E98-A7DC-5531C90B4C4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strRef>
              <c:f>'Chart4.2_GII'!$B$24:$W$24</c:f>
              <c:strCache>
                <c:ptCount val="22"/>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pt idx="19">
                  <c:v>2024-25</c:v>
                </c:pt>
                <c:pt idx="20">
                  <c:v>2025-26</c:v>
                </c:pt>
                <c:pt idx="21">
                  <c:v>2026-27</c:v>
                </c:pt>
              </c:strCache>
            </c:strRef>
          </c:cat>
          <c:val>
            <c:numRef>
              <c:f>'Chart4.2_GII'!$B$27:$W$27</c:f>
              <c:numCache>
                <c:formatCode>General</c:formatCode>
                <c:ptCount val="22"/>
                <c:pt idx="10" formatCode="#,##0.0">
                  <c:v>15.441298839023759</c:v>
                </c:pt>
                <c:pt idx="11" formatCode="#,##0.0">
                  <c:v>15.441298839023759</c:v>
                </c:pt>
                <c:pt idx="12" formatCode="#,##0.0">
                  <c:v>15.441298839023759</c:v>
                </c:pt>
                <c:pt idx="13" formatCode="#,##0.0">
                  <c:v>15.441298839023759</c:v>
                </c:pt>
                <c:pt idx="14" formatCode="#,##0.0">
                  <c:v>15.441298839023759</c:v>
                </c:pt>
                <c:pt idx="15" formatCode="#,##0.0">
                  <c:v>15.441298839023759</c:v>
                </c:pt>
                <c:pt idx="16" formatCode="#,##0.0">
                  <c:v>15.441298839023759</c:v>
                </c:pt>
                <c:pt idx="17" formatCode="#,##0.0">
                  <c:v>15.441298839023759</c:v>
                </c:pt>
                <c:pt idx="18" formatCode="#,##0.0">
                  <c:v>15.441298839023759</c:v>
                </c:pt>
                <c:pt idx="19" formatCode="#,##0.0">
                  <c:v>15.441298839023759</c:v>
                </c:pt>
                <c:pt idx="20" formatCode="#,##0.0">
                  <c:v>15.441298839023759</c:v>
                </c:pt>
                <c:pt idx="21" formatCode="#,##0.0">
                  <c:v>15.441298839023759</c:v>
                </c:pt>
              </c:numCache>
            </c:numRef>
          </c:val>
          <c:smooth val="0"/>
          <c:extLst>
            <c:ext xmlns:c16="http://schemas.microsoft.com/office/drawing/2014/chart" uri="{C3380CC4-5D6E-409C-BE32-E72D297353CC}">
              <c16:uniqueId val="{00000034-31BF-4E98-A7DC-5531C90B4C40}"/>
            </c:ext>
          </c:extLst>
        </c:ser>
        <c:ser>
          <c:idx val="3"/>
          <c:order val="3"/>
          <c:tx>
            <c:strRef>
              <c:f>'Chart4.2_GII'!$A$28</c:f>
              <c:strCache>
                <c:ptCount val="1"/>
                <c:pt idx="0">
                  <c:v>Average GII (2020-21 to 2023-24)</c:v>
                </c:pt>
              </c:strCache>
            </c:strRef>
          </c:tx>
          <c:spPr>
            <a:ln>
              <a:solidFill>
                <a:sysClr val="windowText" lastClr="000000"/>
              </a:solidFill>
            </a:ln>
          </c:spPr>
          <c:marker>
            <c:symbol val="none"/>
          </c:marker>
          <c:cat>
            <c:strRef>
              <c:f>'Chart4.2_GII'!$B$24:$W$24</c:f>
              <c:strCache>
                <c:ptCount val="22"/>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pt idx="19">
                  <c:v>2024-25</c:v>
                </c:pt>
                <c:pt idx="20">
                  <c:v>2025-26</c:v>
                </c:pt>
                <c:pt idx="21">
                  <c:v>2026-27</c:v>
                </c:pt>
              </c:strCache>
            </c:strRef>
          </c:cat>
          <c:val>
            <c:numRef>
              <c:f>'Chart4.2_GII'!$B$28:$W$28</c:f>
              <c:numCache>
                <c:formatCode>General</c:formatCode>
                <c:ptCount val="22"/>
                <c:pt idx="18" formatCode="#,##0.0">
                  <c:v>19.627447349185026</c:v>
                </c:pt>
                <c:pt idx="19" formatCode="#,##0.0">
                  <c:v>19.627447349185026</c:v>
                </c:pt>
                <c:pt idx="20" formatCode="#,##0.0">
                  <c:v>19.627447349185026</c:v>
                </c:pt>
                <c:pt idx="21" formatCode="#,##0.0">
                  <c:v>19.627447349185026</c:v>
                </c:pt>
              </c:numCache>
            </c:numRef>
          </c:val>
          <c:smooth val="0"/>
          <c:extLst>
            <c:ext xmlns:c16="http://schemas.microsoft.com/office/drawing/2014/chart" uri="{C3380CC4-5D6E-409C-BE32-E72D297353CC}">
              <c16:uniqueId val="{00000035-31BF-4E98-A7DC-5531C90B4C40}"/>
            </c:ext>
          </c:extLst>
        </c:ser>
        <c:dLbls>
          <c:showLegendKey val="0"/>
          <c:showVal val="0"/>
          <c:showCatName val="0"/>
          <c:showSerName val="0"/>
          <c:showPercent val="0"/>
          <c:showBubbleSize val="0"/>
        </c:dLbls>
        <c:marker val="1"/>
        <c:smooth val="0"/>
        <c:axId val="259823104"/>
        <c:axId val="259824640"/>
      </c:lineChart>
      <c:catAx>
        <c:axId val="259823104"/>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en-US"/>
          </a:p>
        </c:txPr>
        <c:crossAx val="259824640"/>
        <c:crosses val="autoZero"/>
        <c:auto val="1"/>
        <c:lblAlgn val="ctr"/>
        <c:lblOffset val="100"/>
        <c:tickLblSkip val="2"/>
        <c:noMultiLvlLbl val="0"/>
      </c:catAx>
      <c:valAx>
        <c:axId val="259824640"/>
        <c:scaling>
          <c:orientation val="minMax"/>
          <c:max val="25"/>
        </c:scaling>
        <c:delete val="0"/>
        <c:axPos val="l"/>
        <c:majorGridlines>
          <c:spPr>
            <a:ln>
              <a:solidFill>
                <a:schemeClr val="bg1">
                  <a:lumMod val="65000"/>
                </a:schemeClr>
              </a:solidFill>
              <a:prstDash val="dash"/>
            </a:ln>
          </c:spPr>
        </c:majorGridlines>
        <c:title>
          <c:tx>
            <c:rich>
              <a:bodyPr rot="-5400000" vert="horz"/>
              <a:lstStyle/>
              <a:p>
                <a:pPr>
                  <a:defRPr b="0" i="1"/>
                </a:pPr>
                <a:r>
                  <a:rPr lang="en-US" b="0" i="1"/>
                  <a:t>$ billion</a:t>
                </a:r>
              </a:p>
            </c:rich>
          </c:tx>
          <c:layout>
            <c:manualLayout>
              <c:xMode val="edge"/>
              <c:yMode val="edge"/>
              <c:x val="6.8522946274815152E-4"/>
              <c:y val="0.38837088896917349"/>
            </c:manualLayout>
          </c:layout>
          <c:overlay val="0"/>
        </c:title>
        <c:numFmt formatCode="0" sourceLinked="0"/>
        <c:majorTickMark val="out"/>
        <c:minorTickMark val="none"/>
        <c:tickLblPos val="nextTo"/>
        <c:spPr>
          <a:ln>
            <a:solidFill>
              <a:schemeClr val="tx1"/>
            </a:solidFill>
          </a:ln>
        </c:spPr>
        <c:crossAx val="259823104"/>
        <c:crosses val="autoZero"/>
        <c:crossBetween val="between"/>
      </c:valAx>
    </c:plotArea>
    <c:plotVisOnly val="1"/>
    <c:dispBlanksAs val="gap"/>
    <c:showDLblsOverMax val="0"/>
  </c:chart>
  <c:spPr>
    <a:ln>
      <a:noFill/>
    </a:ln>
  </c:spPr>
  <c:txPr>
    <a:bodyPr/>
    <a:lstStyle/>
    <a:p>
      <a:pPr>
        <a:defRPr sz="900">
          <a:latin typeface="Calibri" panose="020F0502020204030204" pitchFamily="34" charset="0"/>
          <a:cs typeface="Calibri" panose="020F0502020204030204" pitchFamily="34" charset="0"/>
        </a:defRPr>
      </a:pPr>
      <a:endParaRPr lang="en-US"/>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93608182814118"/>
          <c:y val="3.9793291369498801E-2"/>
          <c:w val="0.80441427937561527"/>
          <c:h val="0.79061475784204471"/>
        </c:manualLayout>
      </c:layout>
      <c:barChart>
        <c:barDir val="col"/>
        <c:grouping val="stacked"/>
        <c:varyColors val="0"/>
        <c:ser>
          <c:idx val="0"/>
          <c:order val="0"/>
          <c:tx>
            <c:strRef>
              <c:f>'Chart4.3_NetDebt'!$K$31</c:f>
              <c:strCache>
                <c:ptCount val="1"/>
                <c:pt idx="0">
                  <c:v>General government sector net debt (LHS)</c:v>
                </c:pt>
              </c:strCache>
            </c:strRef>
          </c:tx>
          <c:spPr>
            <a:solidFill>
              <a:schemeClr val="bg1">
                <a:lumMod val="50000"/>
              </a:schemeClr>
            </a:solidFill>
            <a:ln>
              <a:noFill/>
            </a:ln>
            <a:effectLst/>
          </c:spPr>
          <c:invertIfNegative val="0"/>
          <c:dPt>
            <c:idx val="9"/>
            <c:invertIfNegative val="0"/>
            <c:bubble3D val="0"/>
            <c:spPr>
              <a:solidFill>
                <a:schemeClr val="bg1">
                  <a:lumMod val="50000"/>
                </a:schemeClr>
              </a:solidFill>
              <a:ln>
                <a:noFill/>
              </a:ln>
              <a:effectLst/>
            </c:spPr>
            <c:extLst>
              <c:ext xmlns:c16="http://schemas.microsoft.com/office/drawing/2014/chart" uri="{C3380CC4-5D6E-409C-BE32-E72D297353CC}">
                <c16:uniqueId val="{00000001-19C8-42F4-8592-49776A169710}"/>
              </c:ext>
            </c:extLst>
          </c:dPt>
          <c:dPt>
            <c:idx val="10"/>
            <c:invertIfNegative val="0"/>
            <c:bubble3D val="0"/>
            <c:spPr>
              <a:solidFill>
                <a:schemeClr val="bg1">
                  <a:lumMod val="50000"/>
                </a:schemeClr>
              </a:solidFill>
              <a:ln>
                <a:noFill/>
              </a:ln>
              <a:effectLst/>
            </c:spPr>
            <c:extLst>
              <c:ext xmlns:c16="http://schemas.microsoft.com/office/drawing/2014/chart" uri="{C3380CC4-5D6E-409C-BE32-E72D297353CC}">
                <c16:uniqueId val="{00000003-19C8-42F4-8592-49776A169710}"/>
              </c:ext>
            </c:extLst>
          </c:dPt>
          <c:dPt>
            <c:idx val="11"/>
            <c:invertIfNegative val="0"/>
            <c:bubble3D val="0"/>
            <c:spPr>
              <a:solidFill>
                <a:schemeClr val="bg1">
                  <a:lumMod val="50000"/>
                </a:schemeClr>
              </a:solidFill>
              <a:ln>
                <a:noFill/>
              </a:ln>
              <a:effectLst/>
            </c:spPr>
            <c:extLst>
              <c:ext xmlns:c16="http://schemas.microsoft.com/office/drawing/2014/chart" uri="{C3380CC4-5D6E-409C-BE32-E72D297353CC}">
                <c16:uniqueId val="{00000005-19C8-42F4-8592-49776A169710}"/>
              </c:ext>
            </c:extLst>
          </c:dPt>
          <c:dPt>
            <c:idx val="12"/>
            <c:invertIfNegative val="0"/>
            <c:bubble3D val="0"/>
            <c:spPr>
              <a:solidFill>
                <a:schemeClr val="bg1">
                  <a:lumMod val="75000"/>
                </a:schemeClr>
              </a:solidFill>
              <a:ln>
                <a:noFill/>
              </a:ln>
              <a:effectLst/>
            </c:spPr>
            <c:extLst>
              <c:ext xmlns:c16="http://schemas.microsoft.com/office/drawing/2014/chart" uri="{C3380CC4-5D6E-409C-BE32-E72D297353CC}">
                <c16:uniqueId val="{00000007-19C8-42F4-8592-49776A169710}"/>
              </c:ext>
            </c:extLst>
          </c:dPt>
          <c:dPt>
            <c:idx val="13"/>
            <c:invertIfNegative val="0"/>
            <c:bubble3D val="0"/>
            <c:spPr>
              <a:solidFill>
                <a:schemeClr val="bg1">
                  <a:lumMod val="75000"/>
                </a:schemeClr>
              </a:solidFill>
              <a:ln>
                <a:noFill/>
              </a:ln>
              <a:effectLst/>
            </c:spPr>
            <c:extLst>
              <c:ext xmlns:c16="http://schemas.microsoft.com/office/drawing/2014/chart" uri="{C3380CC4-5D6E-409C-BE32-E72D297353CC}">
                <c16:uniqueId val="{00000009-19C8-42F4-8592-49776A169710}"/>
              </c:ext>
            </c:extLst>
          </c:dPt>
          <c:dPt>
            <c:idx val="14"/>
            <c:invertIfNegative val="0"/>
            <c:bubble3D val="0"/>
            <c:spPr>
              <a:solidFill>
                <a:schemeClr val="bg1">
                  <a:lumMod val="75000"/>
                </a:schemeClr>
              </a:solidFill>
              <a:ln>
                <a:noFill/>
              </a:ln>
              <a:effectLst/>
            </c:spPr>
            <c:extLst>
              <c:ext xmlns:c16="http://schemas.microsoft.com/office/drawing/2014/chart" uri="{C3380CC4-5D6E-409C-BE32-E72D297353CC}">
                <c16:uniqueId val="{0000000B-19C8-42F4-8592-49776A169710}"/>
              </c:ext>
            </c:extLst>
          </c:dPt>
          <c:dPt>
            <c:idx val="15"/>
            <c:invertIfNegative val="0"/>
            <c:bubble3D val="0"/>
            <c:spPr>
              <a:solidFill>
                <a:schemeClr val="bg1">
                  <a:lumMod val="75000"/>
                </a:schemeClr>
              </a:solidFill>
              <a:ln>
                <a:noFill/>
              </a:ln>
              <a:effectLst/>
            </c:spPr>
            <c:extLst>
              <c:ext xmlns:c16="http://schemas.microsoft.com/office/drawing/2014/chart" uri="{C3380CC4-5D6E-409C-BE32-E72D297353CC}">
                <c16:uniqueId val="{0000000D-19C8-42F4-8592-49776A169710}"/>
              </c:ext>
            </c:extLst>
          </c:dPt>
          <c:dPt>
            <c:idx val="16"/>
            <c:invertIfNegative val="0"/>
            <c:bubble3D val="0"/>
            <c:spPr>
              <a:solidFill>
                <a:schemeClr val="bg1">
                  <a:lumMod val="75000"/>
                </a:schemeClr>
              </a:solidFill>
              <a:ln>
                <a:noFill/>
              </a:ln>
              <a:effectLst/>
            </c:spPr>
            <c:extLst>
              <c:ext xmlns:c16="http://schemas.microsoft.com/office/drawing/2014/chart" uri="{C3380CC4-5D6E-409C-BE32-E72D297353CC}">
                <c16:uniqueId val="{0000000F-19C8-42F4-8592-49776A169710}"/>
              </c:ext>
            </c:extLst>
          </c:dPt>
          <c:cat>
            <c:strRef>
              <c:f>'Chart4.3_NetDebt'!$AG$26:$AW$26</c:f>
              <c:strCache>
                <c:ptCount val="17"/>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pt idx="12">
                  <c:v>2022-23</c:v>
                </c:pt>
                <c:pt idx="13">
                  <c:v>2023-24</c:v>
                </c:pt>
                <c:pt idx="14">
                  <c:v>2024-25</c:v>
                </c:pt>
                <c:pt idx="15">
                  <c:v>2025-26</c:v>
                </c:pt>
                <c:pt idx="16">
                  <c:v>2026-27</c:v>
                </c:pt>
              </c:strCache>
            </c:strRef>
          </c:cat>
          <c:val>
            <c:numRef>
              <c:f>'Chart4.3_NetDebt'!$AG$31:$AW$31</c:f>
              <c:numCache>
                <c:formatCode>0.0</c:formatCode>
                <c:ptCount val="17"/>
                <c:pt idx="0">
                  <c:v>11.836799999999998</c:v>
                </c:pt>
                <c:pt idx="1">
                  <c:v>15.2369</c:v>
                </c:pt>
                <c:pt idx="2">
                  <c:v>19.822093563689908</c:v>
                </c:pt>
                <c:pt idx="3">
                  <c:v>21.174640962519998</c:v>
                </c:pt>
                <c:pt idx="4">
                  <c:v>22.327407946640001</c:v>
                </c:pt>
                <c:pt idx="5">
                  <c:v>22.308648581659998</c:v>
                </c:pt>
                <c:pt idx="6">
                  <c:v>15.762336128040001</c:v>
                </c:pt>
                <c:pt idx="7">
                  <c:v>21.632282750629997</c:v>
                </c:pt>
                <c:pt idx="8">
                  <c:v>25.49172759611</c:v>
                </c:pt>
                <c:pt idx="9">
                  <c:v>44.3117138665</c:v>
                </c:pt>
                <c:pt idx="10">
                  <c:v>72.734365754500004</c:v>
                </c:pt>
                <c:pt idx="11">
                  <c:v>99.978043263399996</c:v>
                </c:pt>
                <c:pt idx="12">
                  <c:v>116.69254994585</c:v>
                </c:pt>
                <c:pt idx="13">
                  <c:v>135.41094964421001</c:v>
                </c:pt>
                <c:pt idx="14">
                  <c:v>151.18131404921999</c:v>
                </c:pt>
                <c:pt idx="15">
                  <c:v>162.20168403804999</c:v>
                </c:pt>
                <c:pt idx="16">
                  <c:v>171.43308684307999</c:v>
                </c:pt>
              </c:numCache>
            </c:numRef>
          </c:val>
          <c:extLst>
            <c:ext xmlns:c16="http://schemas.microsoft.com/office/drawing/2014/chart" uri="{C3380CC4-5D6E-409C-BE32-E72D297353CC}">
              <c16:uniqueId val="{00000010-19C8-42F4-8592-49776A169710}"/>
            </c:ext>
          </c:extLst>
        </c:ser>
        <c:dLbls>
          <c:showLegendKey val="0"/>
          <c:showVal val="0"/>
          <c:showCatName val="0"/>
          <c:showSerName val="0"/>
          <c:showPercent val="0"/>
          <c:showBubbleSize val="0"/>
        </c:dLbls>
        <c:gapWidth val="150"/>
        <c:overlap val="100"/>
        <c:axId val="680510152"/>
        <c:axId val="680510480"/>
      </c:barChart>
      <c:lineChart>
        <c:grouping val="standard"/>
        <c:varyColors val="0"/>
        <c:ser>
          <c:idx val="1"/>
          <c:order val="1"/>
          <c:tx>
            <c:strRef>
              <c:f>'Chart4.3_NetDebt'!$K$28</c:f>
              <c:strCache>
                <c:ptCount val="1"/>
                <c:pt idx="0">
                  <c:v>General government sector net debt to GSP (RHS)</c:v>
                </c:pt>
              </c:strCache>
            </c:strRef>
          </c:tx>
          <c:spPr>
            <a:ln w="19050" cap="rnd">
              <a:solidFill>
                <a:sysClr val="windowText" lastClr="000000"/>
              </a:solidFill>
              <a:prstDash val="solid"/>
              <a:round/>
            </a:ln>
            <a:effectLst/>
          </c:spPr>
          <c:marker>
            <c:symbol val="none"/>
          </c:marker>
          <c:dPt>
            <c:idx val="9"/>
            <c:marker>
              <c:symbol val="none"/>
            </c:marker>
            <c:bubble3D val="0"/>
            <c:spPr>
              <a:ln w="19050" cap="rnd">
                <a:solidFill>
                  <a:sysClr val="windowText" lastClr="000000"/>
                </a:solidFill>
                <a:prstDash val="solid"/>
                <a:round/>
              </a:ln>
              <a:effectLst/>
            </c:spPr>
            <c:extLst>
              <c:ext xmlns:c16="http://schemas.microsoft.com/office/drawing/2014/chart" uri="{C3380CC4-5D6E-409C-BE32-E72D297353CC}">
                <c16:uniqueId val="{00000012-19C8-42F4-8592-49776A169710}"/>
              </c:ext>
            </c:extLst>
          </c:dPt>
          <c:dPt>
            <c:idx val="10"/>
            <c:marker>
              <c:symbol val="none"/>
            </c:marker>
            <c:bubble3D val="0"/>
            <c:spPr>
              <a:ln w="19050" cap="rnd">
                <a:solidFill>
                  <a:sysClr val="windowText" lastClr="000000"/>
                </a:solidFill>
                <a:prstDash val="solid"/>
                <a:round/>
              </a:ln>
              <a:effectLst/>
            </c:spPr>
            <c:extLst>
              <c:ext xmlns:c16="http://schemas.microsoft.com/office/drawing/2014/chart" uri="{C3380CC4-5D6E-409C-BE32-E72D297353CC}">
                <c16:uniqueId val="{00000014-19C8-42F4-8592-49776A169710}"/>
              </c:ext>
            </c:extLst>
          </c:dPt>
          <c:dPt>
            <c:idx val="11"/>
            <c:marker>
              <c:symbol val="none"/>
            </c:marker>
            <c:bubble3D val="0"/>
            <c:spPr>
              <a:ln w="19050" cap="rnd">
                <a:solidFill>
                  <a:sysClr val="windowText" lastClr="000000"/>
                </a:solidFill>
                <a:prstDash val="solid"/>
                <a:round/>
              </a:ln>
              <a:effectLst/>
            </c:spPr>
            <c:extLst>
              <c:ext xmlns:c16="http://schemas.microsoft.com/office/drawing/2014/chart" uri="{C3380CC4-5D6E-409C-BE32-E72D297353CC}">
                <c16:uniqueId val="{00000016-19C8-42F4-8592-49776A169710}"/>
              </c:ext>
            </c:extLst>
          </c:dPt>
          <c:dPt>
            <c:idx val="12"/>
            <c:marker>
              <c:symbol val="none"/>
            </c:marker>
            <c:bubble3D val="0"/>
            <c:spPr>
              <a:ln w="19050" cap="rnd">
                <a:solidFill>
                  <a:sysClr val="windowText" lastClr="000000"/>
                </a:solidFill>
                <a:prstDash val="solid"/>
                <a:round/>
              </a:ln>
              <a:effectLst/>
            </c:spPr>
            <c:extLst>
              <c:ext xmlns:c16="http://schemas.microsoft.com/office/drawing/2014/chart" uri="{C3380CC4-5D6E-409C-BE32-E72D297353CC}">
                <c16:uniqueId val="{00000018-19C8-42F4-8592-49776A169710}"/>
              </c:ext>
            </c:extLst>
          </c:dPt>
          <c:dPt>
            <c:idx val="13"/>
            <c:marker>
              <c:symbol val="none"/>
            </c:marker>
            <c:bubble3D val="0"/>
            <c:spPr>
              <a:ln w="19050" cap="rnd">
                <a:solidFill>
                  <a:sysClr val="windowText" lastClr="000000"/>
                </a:solidFill>
                <a:prstDash val="dash"/>
                <a:round/>
              </a:ln>
              <a:effectLst/>
            </c:spPr>
            <c:extLst>
              <c:ext xmlns:c16="http://schemas.microsoft.com/office/drawing/2014/chart" uri="{C3380CC4-5D6E-409C-BE32-E72D297353CC}">
                <c16:uniqueId val="{0000001A-19C8-42F4-8592-49776A169710}"/>
              </c:ext>
            </c:extLst>
          </c:dPt>
          <c:dPt>
            <c:idx val="14"/>
            <c:marker>
              <c:symbol val="none"/>
            </c:marker>
            <c:bubble3D val="0"/>
            <c:spPr>
              <a:ln w="19050" cap="rnd">
                <a:solidFill>
                  <a:sysClr val="windowText" lastClr="000000"/>
                </a:solidFill>
                <a:prstDash val="dash"/>
                <a:round/>
              </a:ln>
              <a:effectLst/>
            </c:spPr>
            <c:extLst>
              <c:ext xmlns:c16="http://schemas.microsoft.com/office/drawing/2014/chart" uri="{C3380CC4-5D6E-409C-BE32-E72D297353CC}">
                <c16:uniqueId val="{0000001C-19C8-42F4-8592-49776A169710}"/>
              </c:ext>
            </c:extLst>
          </c:dPt>
          <c:dPt>
            <c:idx val="15"/>
            <c:marker>
              <c:symbol val="none"/>
            </c:marker>
            <c:bubble3D val="0"/>
            <c:spPr>
              <a:ln w="19050" cap="rnd">
                <a:solidFill>
                  <a:sysClr val="windowText" lastClr="000000"/>
                </a:solidFill>
                <a:prstDash val="dash"/>
                <a:round/>
              </a:ln>
              <a:effectLst/>
            </c:spPr>
            <c:extLst>
              <c:ext xmlns:c16="http://schemas.microsoft.com/office/drawing/2014/chart" uri="{C3380CC4-5D6E-409C-BE32-E72D297353CC}">
                <c16:uniqueId val="{0000001E-19C8-42F4-8592-49776A169710}"/>
              </c:ext>
            </c:extLst>
          </c:dPt>
          <c:dPt>
            <c:idx val="16"/>
            <c:marker>
              <c:symbol val="none"/>
            </c:marker>
            <c:bubble3D val="0"/>
            <c:spPr>
              <a:ln w="19050" cap="rnd">
                <a:solidFill>
                  <a:sysClr val="windowText" lastClr="000000"/>
                </a:solidFill>
                <a:prstDash val="dash"/>
                <a:round/>
              </a:ln>
              <a:effectLst/>
            </c:spPr>
            <c:extLst>
              <c:ext xmlns:c16="http://schemas.microsoft.com/office/drawing/2014/chart" uri="{C3380CC4-5D6E-409C-BE32-E72D297353CC}">
                <c16:uniqueId val="{00000020-19C8-42F4-8592-49776A169710}"/>
              </c:ext>
            </c:extLst>
          </c:dPt>
          <c:cat>
            <c:strRef>
              <c:f>'Chart4.3_NetDebt'!$AG$26:$AW$26</c:f>
              <c:strCache>
                <c:ptCount val="17"/>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pt idx="12">
                  <c:v>2022-23</c:v>
                </c:pt>
                <c:pt idx="13">
                  <c:v>2023-24</c:v>
                </c:pt>
                <c:pt idx="14">
                  <c:v>2024-25</c:v>
                </c:pt>
                <c:pt idx="15">
                  <c:v>2025-26</c:v>
                </c:pt>
                <c:pt idx="16">
                  <c:v>2026-27</c:v>
                </c:pt>
              </c:strCache>
            </c:strRef>
          </c:cat>
          <c:val>
            <c:numRef>
              <c:f>'Chart4.3_NetDebt'!$AG$28:$AW$28</c:f>
              <c:numCache>
                <c:formatCode>0.0</c:formatCode>
                <c:ptCount val="17"/>
                <c:pt idx="0">
                  <c:v>3.5767316635392019</c:v>
                </c:pt>
                <c:pt idx="1">
                  <c:v>4.4136015247982483</c:v>
                </c:pt>
                <c:pt idx="2">
                  <c:v>5.617631481398849</c:v>
                </c:pt>
                <c:pt idx="3">
                  <c:v>5.8069989475976298</c:v>
                </c:pt>
                <c:pt idx="4">
                  <c:v>5.8832199274432826</c:v>
                </c:pt>
                <c:pt idx="5">
                  <c:v>5.6599818295356803</c:v>
                </c:pt>
                <c:pt idx="6">
                  <c:v>3.777635715425137</c:v>
                </c:pt>
                <c:pt idx="7">
                  <c:v>4.9134463293024453</c:v>
                </c:pt>
                <c:pt idx="8">
                  <c:v>5.5264581242772621</c:v>
                </c:pt>
                <c:pt idx="9">
                  <c:v>9.4394922057435746</c:v>
                </c:pt>
                <c:pt idx="10">
                  <c:v>15.334806161067997</c:v>
                </c:pt>
                <c:pt idx="11">
                  <c:v>19.404131903982801</c:v>
                </c:pt>
                <c:pt idx="12">
                  <c:v>20.581213328117901</c:v>
                </c:pt>
                <c:pt idx="13">
                  <c:v>22.598291448137399</c:v>
                </c:pt>
                <c:pt idx="14">
                  <c:v>23.931918001387999</c:v>
                </c:pt>
                <c:pt idx="15">
                  <c:v>24.379110779059999</c:v>
                </c:pt>
                <c:pt idx="16">
                  <c:v>24.4673817300229</c:v>
                </c:pt>
              </c:numCache>
            </c:numRef>
          </c:val>
          <c:smooth val="0"/>
          <c:extLst>
            <c:ext xmlns:c16="http://schemas.microsoft.com/office/drawing/2014/chart" uri="{C3380CC4-5D6E-409C-BE32-E72D297353CC}">
              <c16:uniqueId val="{00000021-19C8-42F4-8592-49776A169710}"/>
            </c:ext>
          </c:extLst>
        </c:ser>
        <c:dLbls>
          <c:showLegendKey val="0"/>
          <c:showVal val="0"/>
          <c:showCatName val="0"/>
          <c:showSerName val="0"/>
          <c:showPercent val="0"/>
          <c:showBubbleSize val="0"/>
        </c:dLbls>
        <c:marker val="1"/>
        <c:smooth val="0"/>
        <c:axId val="776155232"/>
        <c:axId val="776158184"/>
      </c:lineChart>
      <c:catAx>
        <c:axId val="680510152"/>
        <c:scaling>
          <c:orientation val="minMax"/>
        </c:scaling>
        <c:delete val="0"/>
        <c:axPos val="b"/>
        <c:numFmt formatCode="General"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crossAx val="680510480"/>
        <c:crosses val="autoZero"/>
        <c:auto val="1"/>
        <c:lblAlgn val="ctr"/>
        <c:lblOffset val="100"/>
        <c:tickLblSkip val="2"/>
        <c:noMultiLvlLbl val="0"/>
      </c:catAx>
      <c:valAx>
        <c:axId val="680510480"/>
        <c:scaling>
          <c:orientation val="minMax"/>
          <c:max val="180"/>
        </c:scaling>
        <c:delete val="0"/>
        <c:axPos val="l"/>
        <c:majorGridlines>
          <c:spPr>
            <a:ln w="9525" cap="flat" cmpd="sng" algn="ctr">
              <a:solidFill>
                <a:schemeClr val="bg1">
                  <a:lumMod val="75000"/>
                </a:schemeClr>
              </a:solidFill>
              <a:prstDash val="dash"/>
              <a:round/>
            </a:ln>
            <a:effectLst/>
          </c:spPr>
        </c:majorGridlines>
        <c:title>
          <c:tx>
            <c:rich>
              <a:bodyPr rot="-5400000" spcFirstLastPara="1" vertOverflow="ellipsis" vert="horz" wrap="square" anchor="ctr" anchorCtr="1"/>
              <a:lstStyle/>
              <a:p>
                <a:pPr>
                  <a:defRPr sz="900" b="0" i="1" u="none" strike="noStrike" kern="1200" baseline="0">
                    <a:solidFill>
                      <a:sysClr val="windowText" lastClr="000000"/>
                    </a:solidFill>
                    <a:latin typeface="Calibri" panose="020F0502020204030204" pitchFamily="34" charset="0"/>
                    <a:ea typeface="+mn-ea"/>
                    <a:cs typeface="Calibri" panose="020F0502020204030204" pitchFamily="34" charset="0"/>
                  </a:defRPr>
                </a:pPr>
                <a:r>
                  <a:rPr lang="en-AU" sz="900" i="1"/>
                  <a:t>$ billion</a:t>
                </a:r>
              </a:p>
            </c:rich>
          </c:tx>
          <c:layout>
            <c:manualLayout>
              <c:xMode val="edge"/>
              <c:yMode val="edge"/>
              <c:x val="4.6891525121370049E-3"/>
              <c:y val="0.35072082961740014"/>
            </c:manualLayout>
          </c:layout>
          <c:overlay val="0"/>
          <c:spPr>
            <a:noFill/>
            <a:ln>
              <a:noFill/>
            </a:ln>
            <a:effectLst/>
          </c:spPr>
          <c:txPr>
            <a:bodyPr rot="-5400000" spcFirstLastPara="1" vertOverflow="ellipsis" vert="horz" wrap="square" anchor="ctr" anchorCtr="1"/>
            <a:lstStyle/>
            <a:p>
              <a:pPr>
                <a:defRPr sz="900" b="0" i="1"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title>
        <c:numFmt formatCode="0" sourceLinked="0"/>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crossAx val="680510152"/>
        <c:crosses val="autoZero"/>
        <c:crossBetween val="between"/>
        <c:majorUnit val="20"/>
      </c:valAx>
      <c:valAx>
        <c:axId val="776158184"/>
        <c:scaling>
          <c:orientation val="minMax"/>
          <c:max val="30"/>
        </c:scaling>
        <c:delete val="0"/>
        <c:axPos val="r"/>
        <c:title>
          <c:tx>
            <c:rich>
              <a:bodyPr rot="-5400000" spcFirstLastPara="1" vertOverflow="ellipsis" vert="horz" wrap="square" anchor="ctr" anchorCtr="1"/>
              <a:lstStyle/>
              <a:p>
                <a:pPr>
                  <a:defRPr sz="900" b="0" i="1" u="none" strike="noStrike" kern="1200" baseline="0">
                    <a:solidFill>
                      <a:sysClr val="windowText" lastClr="000000"/>
                    </a:solidFill>
                    <a:latin typeface="Calibri" panose="020F0502020204030204" pitchFamily="34" charset="0"/>
                    <a:ea typeface="+mn-ea"/>
                    <a:cs typeface="Calibri" panose="020F0502020204030204" pitchFamily="34" charset="0"/>
                  </a:defRPr>
                </a:pPr>
                <a:r>
                  <a:rPr lang="en-AU" sz="900" i="1"/>
                  <a:t>per cent</a:t>
                </a:r>
              </a:p>
            </c:rich>
          </c:tx>
          <c:layout>
            <c:manualLayout>
              <c:xMode val="edge"/>
              <c:yMode val="edge"/>
              <c:x val="0.9498310726019582"/>
              <c:y val="0.35220015711493141"/>
            </c:manualLayout>
          </c:layout>
          <c:overlay val="0"/>
          <c:spPr>
            <a:noFill/>
            <a:ln>
              <a:noFill/>
            </a:ln>
            <a:effectLst/>
          </c:spPr>
          <c:txPr>
            <a:bodyPr rot="-5400000" spcFirstLastPara="1" vertOverflow="ellipsis" vert="horz" wrap="square" anchor="ctr" anchorCtr="1"/>
            <a:lstStyle/>
            <a:p>
              <a:pPr>
                <a:defRPr sz="900" b="0" i="1"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title>
        <c:numFmt formatCode="0" sourceLinked="0"/>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crossAx val="776155232"/>
        <c:crosses val="max"/>
        <c:crossBetween val="between"/>
        <c:majorUnit val="10"/>
      </c:valAx>
      <c:catAx>
        <c:axId val="776155232"/>
        <c:scaling>
          <c:orientation val="minMax"/>
        </c:scaling>
        <c:delete val="1"/>
        <c:axPos val="b"/>
        <c:numFmt formatCode="General" sourceLinked="1"/>
        <c:majorTickMark val="out"/>
        <c:minorTickMark val="none"/>
        <c:tickLblPos val="nextTo"/>
        <c:crossAx val="776158184"/>
        <c:crosses val="autoZero"/>
        <c:auto val="1"/>
        <c:lblAlgn val="ctr"/>
        <c:lblOffset val="100"/>
        <c:noMultiLvlLbl val="0"/>
      </c:catAx>
      <c:spPr>
        <a:noFill/>
        <a:ln>
          <a:noFill/>
        </a:ln>
        <a:effectLst/>
      </c:spPr>
    </c:plotArea>
    <c:legend>
      <c:legendPos val="b"/>
      <c:layout>
        <c:manualLayout>
          <c:xMode val="edge"/>
          <c:yMode val="edge"/>
          <c:x val="0"/>
          <c:y val="0.93680947074191134"/>
          <c:w val="1"/>
          <c:h val="5.953669364415294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Calibri" panose="020F0502020204030204" pitchFamily="34" charset="0"/>
          <a:cs typeface="Calibri" panose="020F050202020403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93608182814118"/>
          <c:y val="3.9793291369498801E-2"/>
          <c:w val="0.78812783634371764"/>
          <c:h val="0.77658502056592416"/>
        </c:manualLayout>
      </c:layout>
      <c:barChart>
        <c:barDir val="col"/>
        <c:grouping val="stacked"/>
        <c:varyColors val="0"/>
        <c:ser>
          <c:idx val="0"/>
          <c:order val="0"/>
          <c:tx>
            <c:strRef>
              <c:f>'Chart 1.1_GGNetdebtGSP'!$K$28</c:f>
              <c:strCache>
                <c:ptCount val="1"/>
                <c:pt idx="0">
                  <c:v>Annual growth in net debt to GSP (LHS)</c:v>
                </c:pt>
              </c:strCache>
            </c:strRef>
          </c:tx>
          <c:spPr>
            <a:solidFill>
              <a:schemeClr val="bg1">
                <a:lumMod val="75000"/>
              </a:schemeClr>
            </a:solidFill>
            <a:ln>
              <a:solidFill>
                <a:schemeClr val="bg1">
                  <a:lumMod val="75000"/>
                </a:schemeClr>
              </a:solidFill>
            </a:ln>
            <a:effectLst/>
          </c:spPr>
          <c:invertIfNegative val="0"/>
          <c:cat>
            <c:strRef>
              <c:f>'Chart 1.1_GGNetdebtGSP'!$M$21:$Z$21</c:f>
              <c:strCache>
                <c:ptCount val="14"/>
                <c:pt idx="0">
                  <c:v>2013-14</c:v>
                </c:pt>
                <c:pt idx="1">
                  <c:v>2014-15</c:v>
                </c:pt>
                <c:pt idx="2">
                  <c:v>2015-16</c:v>
                </c:pt>
                <c:pt idx="3">
                  <c:v>2016-17</c:v>
                </c:pt>
                <c:pt idx="4">
                  <c:v>2017-18</c:v>
                </c:pt>
                <c:pt idx="5">
                  <c:v>2018-19</c:v>
                </c:pt>
                <c:pt idx="6">
                  <c:v>2019-20</c:v>
                </c:pt>
                <c:pt idx="7">
                  <c:v>2020-21</c:v>
                </c:pt>
                <c:pt idx="8">
                  <c:v>2021-22</c:v>
                </c:pt>
                <c:pt idx="9">
                  <c:v>2022-23</c:v>
                </c:pt>
                <c:pt idx="10">
                  <c:v>2023-24</c:v>
                </c:pt>
                <c:pt idx="11">
                  <c:v>2024-25</c:v>
                </c:pt>
                <c:pt idx="12">
                  <c:v>2025-26</c:v>
                </c:pt>
                <c:pt idx="13">
                  <c:v>2026-27</c:v>
                </c:pt>
              </c:strCache>
            </c:strRef>
          </c:cat>
          <c:val>
            <c:numRef>
              <c:f>'Chart 1.1_GGNetdebtGSP'!$M$28:$Z$28</c:f>
              <c:numCache>
                <c:formatCode>0.0</c:formatCode>
                <c:ptCount val="14"/>
                <c:pt idx="0">
                  <c:v>3.3671083888014541</c:v>
                </c:pt>
                <c:pt idx="1">
                  <c:v>1.3015495669330468</c:v>
                </c:pt>
                <c:pt idx="2">
                  <c:v>-3.7278180931106131</c:v>
                </c:pt>
                <c:pt idx="3">
                  <c:v>-33.257105248780697</c:v>
                </c:pt>
                <c:pt idx="4">
                  <c:v>30.066705723886479</c:v>
                </c:pt>
                <c:pt idx="5">
                  <c:v>12.476208223115881</c:v>
                </c:pt>
                <c:pt idx="6">
                  <c:v>70.805459726125221</c:v>
                </c:pt>
                <c:pt idx="7">
                  <c:v>62.453719191985194</c:v>
                </c:pt>
                <c:pt idx="8">
                  <c:v>26.536531992468237</c:v>
                </c:pt>
                <c:pt idx="9">
                  <c:v>6.0661380264360965</c:v>
                </c:pt>
                <c:pt idx="10">
                  <c:v>9.8005792359585406</c:v>
                </c:pt>
                <c:pt idx="11">
                  <c:v>5.9014485950288798</c:v>
                </c:pt>
                <c:pt idx="12">
                  <c:v>1.8686040039495033</c:v>
                </c:pt>
                <c:pt idx="13">
                  <c:v>0.36207617089383248</c:v>
                </c:pt>
              </c:numCache>
            </c:numRef>
          </c:val>
          <c:extLst>
            <c:ext xmlns:c16="http://schemas.microsoft.com/office/drawing/2014/chart" uri="{C3380CC4-5D6E-409C-BE32-E72D297353CC}">
              <c16:uniqueId val="{00000000-3E25-4518-B1D6-1C01E935897A}"/>
            </c:ext>
          </c:extLst>
        </c:ser>
        <c:dLbls>
          <c:showLegendKey val="0"/>
          <c:showVal val="0"/>
          <c:showCatName val="0"/>
          <c:showSerName val="0"/>
          <c:showPercent val="0"/>
          <c:showBubbleSize val="0"/>
        </c:dLbls>
        <c:gapWidth val="250"/>
        <c:overlap val="100"/>
        <c:axId val="680510152"/>
        <c:axId val="680510480"/>
      </c:barChart>
      <c:lineChart>
        <c:grouping val="standard"/>
        <c:varyColors val="0"/>
        <c:ser>
          <c:idx val="1"/>
          <c:order val="1"/>
          <c:tx>
            <c:strRef>
              <c:f>'Chart 1.1_GGNetdebtGSP'!$K$23</c:f>
              <c:strCache>
                <c:ptCount val="1"/>
                <c:pt idx="0">
                  <c:v>Cumulative net debt to GSP (RHS)</c:v>
                </c:pt>
              </c:strCache>
            </c:strRef>
          </c:tx>
          <c:spPr>
            <a:ln w="25400" cap="rnd">
              <a:solidFill>
                <a:schemeClr val="tx1">
                  <a:lumMod val="65000"/>
                  <a:lumOff val="35000"/>
                </a:schemeClr>
              </a:solidFill>
              <a:prstDash val="solid"/>
              <a:round/>
            </a:ln>
            <a:effectLst/>
          </c:spPr>
          <c:marker>
            <c:symbol val="none"/>
          </c:marker>
          <c:dPt>
            <c:idx val="8"/>
            <c:marker>
              <c:symbol val="none"/>
            </c:marker>
            <c:bubble3D val="0"/>
            <c:spPr>
              <a:ln w="25400" cap="rnd">
                <a:solidFill>
                  <a:schemeClr val="tx1">
                    <a:lumMod val="65000"/>
                    <a:lumOff val="35000"/>
                  </a:schemeClr>
                </a:solidFill>
                <a:prstDash val="solid"/>
                <a:round/>
              </a:ln>
              <a:effectLst/>
            </c:spPr>
            <c:extLst>
              <c:ext xmlns:c16="http://schemas.microsoft.com/office/drawing/2014/chart" uri="{C3380CC4-5D6E-409C-BE32-E72D297353CC}">
                <c16:uniqueId val="{00000002-3E25-4518-B1D6-1C01E935897A}"/>
              </c:ext>
            </c:extLst>
          </c:dPt>
          <c:dPt>
            <c:idx val="9"/>
            <c:marker>
              <c:symbol val="none"/>
            </c:marker>
            <c:bubble3D val="0"/>
            <c:spPr>
              <a:ln w="25400" cap="rnd">
                <a:solidFill>
                  <a:schemeClr val="tx1">
                    <a:lumMod val="65000"/>
                    <a:lumOff val="35000"/>
                  </a:schemeClr>
                </a:solidFill>
                <a:prstDash val="sysDash"/>
                <a:round/>
              </a:ln>
              <a:effectLst/>
            </c:spPr>
            <c:extLst>
              <c:ext xmlns:c16="http://schemas.microsoft.com/office/drawing/2014/chart" uri="{C3380CC4-5D6E-409C-BE32-E72D297353CC}">
                <c16:uniqueId val="{00000004-3E25-4518-B1D6-1C01E935897A}"/>
              </c:ext>
            </c:extLst>
          </c:dPt>
          <c:dPt>
            <c:idx val="10"/>
            <c:marker>
              <c:symbol val="none"/>
            </c:marker>
            <c:bubble3D val="0"/>
            <c:spPr>
              <a:ln w="25400" cap="rnd">
                <a:solidFill>
                  <a:schemeClr val="tx1">
                    <a:lumMod val="65000"/>
                    <a:lumOff val="35000"/>
                  </a:schemeClr>
                </a:solidFill>
                <a:prstDash val="sysDash"/>
                <a:round/>
              </a:ln>
              <a:effectLst/>
            </c:spPr>
            <c:extLst>
              <c:ext xmlns:c16="http://schemas.microsoft.com/office/drawing/2014/chart" uri="{C3380CC4-5D6E-409C-BE32-E72D297353CC}">
                <c16:uniqueId val="{00000006-3E25-4518-B1D6-1C01E935897A}"/>
              </c:ext>
            </c:extLst>
          </c:dPt>
          <c:dPt>
            <c:idx val="11"/>
            <c:marker>
              <c:symbol val="none"/>
            </c:marker>
            <c:bubble3D val="0"/>
            <c:spPr>
              <a:ln w="25400" cap="rnd">
                <a:solidFill>
                  <a:schemeClr val="tx1">
                    <a:lumMod val="65000"/>
                    <a:lumOff val="35000"/>
                  </a:schemeClr>
                </a:solidFill>
                <a:prstDash val="sysDash"/>
                <a:round/>
              </a:ln>
              <a:effectLst/>
            </c:spPr>
            <c:extLst>
              <c:ext xmlns:c16="http://schemas.microsoft.com/office/drawing/2014/chart" uri="{C3380CC4-5D6E-409C-BE32-E72D297353CC}">
                <c16:uniqueId val="{00000008-3E25-4518-B1D6-1C01E935897A}"/>
              </c:ext>
            </c:extLst>
          </c:dPt>
          <c:dPt>
            <c:idx val="12"/>
            <c:marker>
              <c:symbol val="none"/>
            </c:marker>
            <c:bubble3D val="0"/>
            <c:spPr>
              <a:ln w="25400" cap="rnd">
                <a:solidFill>
                  <a:schemeClr val="tx1">
                    <a:lumMod val="65000"/>
                    <a:lumOff val="35000"/>
                  </a:schemeClr>
                </a:solidFill>
                <a:prstDash val="sysDash"/>
                <a:round/>
              </a:ln>
              <a:effectLst/>
            </c:spPr>
            <c:extLst>
              <c:ext xmlns:c16="http://schemas.microsoft.com/office/drawing/2014/chart" uri="{C3380CC4-5D6E-409C-BE32-E72D297353CC}">
                <c16:uniqueId val="{0000000A-3E25-4518-B1D6-1C01E935897A}"/>
              </c:ext>
            </c:extLst>
          </c:dPt>
          <c:dPt>
            <c:idx val="13"/>
            <c:marker>
              <c:symbol val="none"/>
            </c:marker>
            <c:bubble3D val="0"/>
            <c:spPr>
              <a:ln w="25400" cap="rnd">
                <a:solidFill>
                  <a:schemeClr val="tx1">
                    <a:lumMod val="65000"/>
                    <a:lumOff val="35000"/>
                  </a:schemeClr>
                </a:solidFill>
                <a:prstDash val="sysDash"/>
                <a:round/>
              </a:ln>
              <a:effectLst/>
            </c:spPr>
            <c:extLst>
              <c:ext xmlns:c16="http://schemas.microsoft.com/office/drawing/2014/chart" uri="{C3380CC4-5D6E-409C-BE32-E72D297353CC}">
                <c16:uniqueId val="{0000000C-3E25-4518-B1D6-1C01E935897A}"/>
              </c:ext>
            </c:extLst>
          </c:dPt>
          <c:cat>
            <c:strRef>
              <c:f>'Chart 1.1_GGNetdebtGSP'!$M$21:$Z$21</c:f>
              <c:strCache>
                <c:ptCount val="14"/>
                <c:pt idx="0">
                  <c:v>2013-14</c:v>
                </c:pt>
                <c:pt idx="1">
                  <c:v>2014-15</c:v>
                </c:pt>
                <c:pt idx="2">
                  <c:v>2015-16</c:v>
                </c:pt>
                <c:pt idx="3">
                  <c:v>2016-17</c:v>
                </c:pt>
                <c:pt idx="4">
                  <c:v>2017-18</c:v>
                </c:pt>
                <c:pt idx="5">
                  <c:v>2018-19</c:v>
                </c:pt>
                <c:pt idx="6">
                  <c:v>2019-20</c:v>
                </c:pt>
                <c:pt idx="7">
                  <c:v>2020-21</c:v>
                </c:pt>
                <c:pt idx="8">
                  <c:v>2021-22</c:v>
                </c:pt>
                <c:pt idx="9">
                  <c:v>2022-23</c:v>
                </c:pt>
                <c:pt idx="10">
                  <c:v>2023-24</c:v>
                </c:pt>
                <c:pt idx="11">
                  <c:v>2024-25</c:v>
                </c:pt>
                <c:pt idx="12">
                  <c:v>2025-26</c:v>
                </c:pt>
                <c:pt idx="13">
                  <c:v>2026-27</c:v>
                </c:pt>
              </c:strCache>
            </c:strRef>
          </c:cat>
          <c:val>
            <c:numRef>
              <c:f>'Chart 1.1_GGNetdebtGSP'!$M$23:$Z$23</c:f>
              <c:numCache>
                <c:formatCode>0.0</c:formatCode>
                <c:ptCount val="14"/>
                <c:pt idx="0">
                  <c:v>5.8036088404151798</c:v>
                </c:pt>
                <c:pt idx="1">
                  <c:v>5.8791456861440921</c:v>
                </c:pt>
                <c:pt idx="2">
                  <c:v>5.6599818295356803</c:v>
                </c:pt>
                <c:pt idx="3">
                  <c:v>3.7776357154251361</c:v>
                </c:pt>
                <c:pt idx="4">
                  <c:v>4.9134463293024453</c:v>
                </c:pt>
                <c:pt idx="5">
                  <c:v>5.5264581242772621</c:v>
                </c:pt>
                <c:pt idx="6">
                  <c:v>9.4394922057435746</c:v>
                </c:pt>
                <c:pt idx="7">
                  <c:v>15.334806161067997</c:v>
                </c:pt>
                <c:pt idx="8">
                  <c:v>19.404131903982798</c:v>
                </c:pt>
                <c:pt idx="9">
                  <c:v>20.581213328110117</c:v>
                </c:pt>
                <c:pt idx="10">
                  <c:v>22.59829144805321</c:v>
                </c:pt>
                <c:pt idx="11">
                  <c:v>23.931918001214878</c:v>
                </c:pt>
                <c:pt idx="12">
                  <c:v>24.37911077920749</c:v>
                </c:pt>
                <c:pt idx="13">
                  <c:v>24.467381730014811</c:v>
                </c:pt>
              </c:numCache>
            </c:numRef>
          </c:val>
          <c:smooth val="0"/>
          <c:extLst>
            <c:ext xmlns:c16="http://schemas.microsoft.com/office/drawing/2014/chart" uri="{C3380CC4-5D6E-409C-BE32-E72D297353CC}">
              <c16:uniqueId val="{0000000D-3E25-4518-B1D6-1C01E935897A}"/>
            </c:ext>
          </c:extLst>
        </c:ser>
        <c:dLbls>
          <c:showLegendKey val="0"/>
          <c:showVal val="0"/>
          <c:showCatName val="0"/>
          <c:showSerName val="0"/>
          <c:showPercent val="0"/>
          <c:showBubbleSize val="0"/>
        </c:dLbls>
        <c:marker val="1"/>
        <c:smooth val="0"/>
        <c:axId val="776155232"/>
        <c:axId val="776158184"/>
      </c:lineChart>
      <c:catAx>
        <c:axId val="680510152"/>
        <c:scaling>
          <c:orientation val="minMax"/>
        </c:scaling>
        <c:delete val="0"/>
        <c:axPos val="b"/>
        <c:numFmt formatCode="General" sourceLinked="1"/>
        <c:majorTickMark val="out"/>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0" baseline="0">
                <a:solidFill>
                  <a:sysClr val="windowText" lastClr="000000"/>
                </a:solidFill>
                <a:latin typeface="+mj-lt"/>
                <a:ea typeface="+mn-ea"/>
                <a:cs typeface="Calibri" panose="020F0502020204030204" pitchFamily="34" charset="0"/>
              </a:defRPr>
            </a:pPr>
            <a:endParaRPr lang="en-US"/>
          </a:p>
        </c:txPr>
        <c:crossAx val="680510480"/>
        <c:crosses val="autoZero"/>
        <c:auto val="1"/>
        <c:lblAlgn val="ctr"/>
        <c:lblOffset val="100"/>
        <c:tickLblSkip val="2"/>
        <c:noMultiLvlLbl val="0"/>
      </c:catAx>
      <c:valAx>
        <c:axId val="680510480"/>
        <c:scaling>
          <c:orientation val="minMax"/>
        </c:scaling>
        <c:delete val="0"/>
        <c:axPos val="l"/>
        <c:majorGridlines>
          <c:spPr>
            <a:ln w="9525" cap="flat" cmpd="sng" algn="ctr">
              <a:solidFill>
                <a:schemeClr val="bg1">
                  <a:lumMod val="75000"/>
                </a:schemeClr>
              </a:solidFill>
              <a:prstDash val="dash"/>
              <a:round/>
            </a:ln>
            <a:effectLst/>
          </c:spPr>
        </c:majorGridlines>
        <c:title>
          <c:tx>
            <c:rich>
              <a:bodyPr rot="-5400000" spcFirstLastPara="1" vertOverflow="ellipsis" vert="horz" wrap="square" anchor="ctr" anchorCtr="1"/>
              <a:lstStyle/>
              <a:p>
                <a:pPr>
                  <a:defRPr sz="900" b="0" i="1" u="none" strike="noStrike" kern="0" baseline="0">
                    <a:solidFill>
                      <a:sysClr val="windowText" lastClr="000000"/>
                    </a:solidFill>
                    <a:latin typeface="+mj-lt"/>
                    <a:ea typeface="+mn-ea"/>
                    <a:cs typeface="Calibri" panose="020F0502020204030204" pitchFamily="34" charset="0"/>
                  </a:defRPr>
                </a:pPr>
                <a:r>
                  <a:rPr lang="en-AU" sz="900" i="1"/>
                  <a:t>per cent (annual)</a:t>
                </a:r>
              </a:p>
            </c:rich>
          </c:tx>
          <c:layout>
            <c:manualLayout>
              <c:xMode val="edge"/>
              <c:yMode val="edge"/>
              <c:x val="2.2620417808567137E-3"/>
              <c:y val="0.29672296455415981"/>
            </c:manualLayout>
          </c:layout>
          <c:overlay val="0"/>
          <c:spPr>
            <a:noFill/>
            <a:ln>
              <a:noFill/>
            </a:ln>
            <a:effectLst/>
          </c:spPr>
          <c:txPr>
            <a:bodyPr rot="-5400000" spcFirstLastPara="1" vertOverflow="ellipsis" vert="horz" wrap="square" anchor="ctr" anchorCtr="1"/>
            <a:lstStyle/>
            <a:p>
              <a:pPr>
                <a:defRPr sz="900" b="0" i="1" u="none" strike="noStrike" kern="0" baseline="0">
                  <a:solidFill>
                    <a:sysClr val="windowText" lastClr="000000"/>
                  </a:solidFill>
                  <a:latin typeface="+mj-lt"/>
                  <a:ea typeface="+mn-ea"/>
                  <a:cs typeface="Calibri" panose="020F0502020204030204" pitchFamily="34" charset="0"/>
                </a:defRPr>
              </a:pPr>
              <a:endParaRPr lang="en-US"/>
            </a:p>
          </c:txPr>
        </c:title>
        <c:numFmt formatCode="#,##0" sourceLinked="0"/>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0" baseline="0">
                <a:solidFill>
                  <a:sysClr val="windowText" lastClr="000000"/>
                </a:solidFill>
                <a:latin typeface="+mj-lt"/>
                <a:ea typeface="+mn-ea"/>
                <a:cs typeface="Calibri" panose="020F0502020204030204" pitchFamily="34" charset="0"/>
              </a:defRPr>
            </a:pPr>
            <a:endParaRPr lang="en-US"/>
          </a:p>
        </c:txPr>
        <c:crossAx val="680510152"/>
        <c:crosses val="autoZero"/>
        <c:crossBetween val="between"/>
      </c:valAx>
      <c:valAx>
        <c:axId val="776158184"/>
        <c:scaling>
          <c:orientation val="minMax"/>
          <c:max val="80"/>
          <c:min val="-40"/>
        </c:scaling>
        <c:delete val="0"/>
        <c:axPos val="r"/>
        <c:title>
          <c:tx>
            <c:rich>
              <a:bodyPr rot="-5400000" spcFirstLastPara="1" vertOverflow="ellipsis" vert="horz" wrap="square" anchor="ctr" anchorCtr="1"/>
              <a:lstStyle/>
              <a:p>
                <a:pPr>
                  <a:defRPr sz="900" b="0" i="1" u="none" strike="noStrike" kern="0" baseline="0">
                    <a:solidFill>
                      <a:sysClr val="windowText" lastClr="000000"/>
                    </a:solidFill>
                    <a:latin typeface="+mj-lt"/>
                    <a:ea typeface="+mn-ea"/>
                    <a:cs typeface="Calibri" panose="020F0502020204030204" pitchFamily="34" charset="0"/>
                  </a:defRPr>
                </a:pPr>
                <a:r>
                  <a:rPr lang="en-AU" sz="900" i="1"/>
                  <a:t>per cent (cumulative)</a:t>
                </a:r>
              </a:p>
            </c:rich>
          </c:tx>
          <c:layout>
            <c:manualLayout>
              <c:xMode val="edge"/>
              <c:yMode val="edge"/>
              <c:x val="0.95054142633956507"/>
              <c:y val="0.27328439110797975"/>
            </c:manualLayout>
          </c:layout>
          <c:overlay val="0"/>
          <c:spPr>
            <a:noFill/>
            <a:ln>
              <a:noFill/>
            </a:ln>
            <a:effectLst/>
          </c:spPr>
          <c:txPr>
            <a:bodyPr rot="-5400000" spcFirstLastPara="1" vertOverflow="ellipsis" vert="horz" wrap="square" anchor="ctr" anchorCtr="1"/>
            <a:lstStyle/>
            <a:p>
              <a:pPr>
                <a:defRPr sz="900" b="0" i="1" u="none" strike="noStrike" kern="0" baseline="0">
                  <a:solidFill>
                    <a:sysClr val="windowText" lastClr="000000"/>
                  </a:solidFill>
                  <a:latin typeface="+mj-lt"/>
                  <a:ea typeface="+mn-ea"/>
                  <a:cs typeface="Calibri" panose="020F0502020204030204" pitchFamily="34" charset="0"/>
                </a:defRPr>
              </a:pPr>
              <a:endParaRPr lang="en-US"/>
            </a:p>
          </c:txPr>
        </c:title>
        <c:numFmt formatCode="#,##0" sourceLinked="0"/>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0" baseline="0">
                <a:solidFill>
                  <a:sysClr val="windowText" lastClr="000000"/>
                </a:solidFill>
                <a:latin typeface="+mj-lt"/>
                <a:ea typeface="+mn-ea"/>
                <a:cs typeface="Calibri" panose="020F0502020204030204" pitchFamily="34" charset="0"/>
              </a:defRPr>
            </a:pPr>
            <a:endParaRPr lang="en-US"/>
          </a:p>
        </c:txPr>
        <c:crossAx val="776155232"/>
        <c:crosses val="max"/>
        <c:crossBetween val="between"/>
        <c:majorUnit val="20"/>
      </c:valAx>
      <c:catAx>
        <c:axId val="776155232"/>
        <c:scaling>
          <c:orientation val="minMax"/>
        </c:scaling>
        <c:delete val="1"/>
        <c:axPos val="b"/>
        <c:numFmt formatCode="General" sourceLinked="1"/>
        <c:majorTickMark val="out"/>
        <c:minorTickMark val="none"/>
        <c:tickLblPos val="nextTo"/>
        <c:crossAx val="776158184"/>
        <c:crosses val="autoZero"/>
        <c:auto val="1"/>
        <c:lblAlgn val="ctr"/>
        <c:lblOffset val="100"/>
        <c:noMultiLvlLbl val="0"/>
      </c:catAx>
      <c:spPr>
        <a:noFill/>
        <a:ln>
          <a:noFill/>
        </a:ln>
        <a:effectLst/>
      </c:spPr>
    </c:plotArea>
    <c:legend>
      <c:legendPos val="b"/>
      <c:layout>
        <c:manualLayout>
          <c:xMode val="edge"/>
          <c:yMode val="edge"/>
          <c:x val="0"/>
          <c:y val="0.92288820722194642"/>
          <c:w val="0.94218801695065546"/>
          <c:h val="7.3457638107670614E-2"/>
        </c:manualLayout>
      </c:layout>
      <c:overlay val="0"/>
      <c:spPr>
        <a:noFill/>
        <a:ln>
          <a:noFill/>
        </a:ln>
        <a:effectLst/>
      </c:spPr>
      <c:txPr>
        <a:bodyPr rot="0" spcFirstLastPara="1" vertOverflow="ellipsis" vert="horz" wrap="square" anchor="ctr" anchorCtr="1"/>
        <a:lstStyle/>
        <a:p>
          <a:pPr>
            <a:defRPr sz="800" b="0" i="0" u="none" strike="noStrike" kern="0" baseline="0">
              <a:solidFill>
                <a:sysClr val="windowText" lastClr="000000"/>
              </a:solidFill>
              <a:latin typeface="+mj-lt"/>
              <a:ea typeface="+mn-ea"/>
              <a:cs typeface="Calibri" panose="020F050202020403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kern="0" baseline="0">
          <a:solidFill>
            <a:sysClr val="windowText" lastClr="000000"/>
          </a:solidFill>
          <a:latin typeface="+mj-lt"/>
          <a:cs typeface="Calibri" panose="020F0502020204030204" pitchFamily="34" charset="0"/>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13945263884268"/>
          <c:y val="3.524609423822022E-2"/>
          <c:w val="0.85173487116927282"/>
          <c:h val="0.78185863297347624"/>
        </c:manualLayout>
      </c:layout>
      <c:lineChart>
        <c:grouping val="standard"/>
        <c:varyColors val="0"/>
        <c:ser>
          <c:idx val="3"/>
          <c:order val="0"/>
          <c:tx>
            <c:strRef>
              <c:f>Scenario!$C$58</c:f>
              <c:strCache>
                <c:ptCount val="1"/>
                <c:pt idx="0">
                  <c:v>Real GSP </c:v>
                </c:pt>
              </c:strCache>
            </c:strRef>
          </c:tx>
          <c:spPr>
            <a:ln w="22225" cap="rnd">
              <a:solidFill>
                <a:sysClr val="windowText" lastClr="000000"/>
              </a:solidFill>
              <a:round/>
            </a:ln>
            <a:effectLst/>
          </c:spPr>
          <c:marker>
            <c:symbol val="none"/>
          </c:marker>
          <c:cat>
            <c:numRef>
              <c:f>Scenario!$F$2:$V$2</c:f>
              <c:numCache>
                <c:formatCode>m/d/yyyy</c:formatCode>
                <c:ptCount val="17"/>
                <c:pt idx="0">
                  <c:v>45078</c:v>
                </c:pt>
                <c:pt idx="1">
                  <c:v>45170</c:v>
                </c:pt>
                <c:pt idx="2">
                  <c:v>45261</c:v>
                </c:pt>
                <c:pt idx="3">
                  <c:v>45352</c:v>
                </c:pt>
                <c:pt idx="4">
                  <c:v>45444</c:v>
                </c:pt>
                <c:pt idx="5">
                  <c:v>45536</c:v>
                </c:pt>
                <c:pt idx="6">
                  <c:v>45627</c:v>
                </c:pt>
                <c:pt idx="7">
                  <c:v>45717</c:v>
                </c:pt>
                <c:pt idx="8">
                  <c:v>45809</c:v>
                </c:pt>
                <c:pt idx="9">
                  <c:v>45901</c:v>
                </c:pt>
                <c:pt idx="10">
                  <c:v>45992</c:v>
                </c:pt>
                <c:pt idx="11">
                  <c:v>46082</c:v>
                </c:pt>
                <c:pt idx="12">
                  <c:v>46174</c:v>
                </c:pt>
                <c:pt idx="13">
                  <c:v>46266</c:v>
                </c:pt>
                <c:pt idx="14">
                  <c:v>46357</c:v>
                </c:pt>
                <c:pt idx="15">
                  <c:v>46447</c:v>
                </c:pt>
                <c:pt idx="16">
                  <c:v>46539</c:v>
                </c:pt>
              </c:numCache>
            </c:numRef>
          </c:cat>
          <c:val>
            <c:numRef>
              <c:f>Scenario!$F$58:$V$58</c:f>
              <c:numCache>
                <c:formatCode>0.0</c:formatCode>
                <c:ptCount val="17"/>
                <c:pt idx="0">
                  <c:v>0</c:v>
                </c:pt>
                <c:pt idx="1">
                  <c:v>-7.8065599999999999E-2</c:v>
                </c:pt>
                <c:pt idx="2">
                  <c:v>-0.46745500000000001</c:v>
                </c:pt>
                <c:pt idx="3">
                  <c:v>-0.73777999999999999</c:v>
                </c:pt>
                <c:pt idx="4">
                  <c:v>-0.65371500000000005</c:v>
                </c:pt>
                <c:pt idx="5">
                  <c:v>-0.52974200000000005</c:v>
                </c:pt>
                <c:pt idx="6">
                  <c:v>-0.40759600000000001</c:v>
                </c:pt>
                <c:pt idx="7">
                  <c:v>-0.287082</c:v>
                </c:pt>
                <c:pt idx="8">
                  <c:v>-0.167769</c:v>
                </c:pt>
                <c:pt idx="9">
                  <c:v>-0.12682299999999999</c:v>
                </c:pt>
                <c:pt idx="10">
                  <c:v>-0.126193</c:v>
                </c:pt>
                <c:pt idx="11">
                  <c:v>-0.12564700000000001</c:v>
                </c:pt>
                <c:pt idx="12">
                  <c:v>-0.125108</c:v>
                </c:pt>
                <c:pt idx="13">
                  <c:v>-0.12378599999999999</c:v>
                </c:pt>
                <c:pt idx="14">
                  <c:v>-0.123913</c:v>
                </c:pt>
                <c:pt idx="15">
                  <c:v>-0.124126</c:v>
                </c:pt>
                <c:pt idx="16">
                  <c:v>-0.12406499999999999</c:v>
                </c:pt>
              </c:numCache>
            </c:numRef>
          </c:val>
          <c:smooth val="0"/>
          <c:extLst>
            <c:ext xmlns:c16="http://schemas.microsoft.com/office/drawing/2014/chart" uri="{C3380CC4-5D6E-409C-BE32-E72D297353CC}">
              <c16:uniqueId val="{00000000-61DF-4490-BDAB-D817777223B1}"/>
            </c:ext>
          </c:extLst>
        </c:ser>
        <c:ser>
          <c:idx val="4"/>
          <c:order val="1"/>
          <c:tx>
            <c:strRef>
              <c:f>Scenario!$C$59</c:f>
              <c:strCache>
                <c:ptCount val="1"/>
                <c:pt idx="0">
                  <c:v>Household consumption </c:v>
                </c:pt>
              </c:strCache>
            </c:strRef>
          </c:tx>
          <c:spPr>
            <a:ln>
              <a:solidFill>
                <a:srgbClr val="E7E6E6">
                  <a:lumMod val="50000"/>
                </a:srgbClr>
              </a:solidFill>
            </a:ln>
          </c:spPr>
          <c:marker>
            <c:symbol val="none"/>
          </c:marker>
          <c:cat>
            <c:numRef>
              <c:f>Scenario!$F$2:$V$2</c:f>
              <c:numCache>
                <c:formatCode>m/d/yyyy</c:formatCode>
                <c:ptCount val="17"/>
                <c:pt idx="0">
                  <c:v>45078</c:v>
                </c:pt>
                <c:pt idx="1">
                  <c:v>45170</c:v>
                </c:pt>
                <c:pt idx="2">
                  <c:v>45261</c:v>
                </c:pt>
                <c:pt idx="3">
                  <c:v>45352</c:v>
                </c:pt>
                <c:pt idx="4">
                  <c:v>45444</c:v>
                </c:pt>
                <c:pt idx="5">
                  <c:v>45536</c:v>
                </c:pt>
                <c:pt idx="6">
                  <c:v>45627</c:v>
                </c:pt>
                <c:pt idx="7">
                  <c:v>45717</c:v>
                </c:pt>
                <c:pt idx="8">
                  <c:v>45809</c:v>
                </c:pt>
                <c:pt idx="9">
                  <c:v>45901</c:v>
                </c:pt>
                <c:pt idx="10">
                  <c:v>45992</c:v>
                </c:pt>
                <c:pt idx="11">
                  <c:v>46082</c:v>
                </c:pt>
                <c:pt idx="12">
                  <c:v>46174</c:v>
                </c:pt>
                <c:pt idx="13">
                  <c:v>46266</c:v>
                </c:pt>
                <c:pt idx="14">
                  <c:v>46357</c:v>
                </c:pt>
                <c:pt idx="15">
                  <c:v>46447</c:v>
                </c:pt>
                <c:pt idx="16">
                  <c:v>46539</c:v>
                </c:pt>
              </c:numCache>
            </c:numRef>
          </c:cat>
          <c:val>
            <c:numRef>
              <c:f>Scenario!$F$59:$V$59</c:f>
              <c:numCache>
                <c:formatCode>0</c:formatCode>
                <c:ptCount val="17"/>
                <c:pt idx="0">
                  <c:v>0</c:v>
                </c:pt>
                <c:pt idx="1">
                  <c:v>-0.102799</c:v>
                </c:pt>
                <c:pt idx="2">
                  <c:v>-0.61143199999999998</c:v>
                </c:pt>
                <c:pt idx="3">
                  <c:v>-0.96264099999999997</c:v>
                </c:pt>
                <c:pt idx="4">
                  <c:v>-0.86037699999999995</c:v>
                </c:pt>
                <c:pt idx="5">
                  <c:v>-0.70832700000000004</c:v>
                </c:pt>
                <c:pt idx="6">
                  <c:v>-0.55671499999999996</c:v>
                </c:pt>
                <c:pt idx="7">
                  <c:v>-0.405335</c:v>
                </c:pt>
                <c:pt idx="8">
                  <c:v>-0.25396099999999999</c:v>
                </c:pt>
                <c:pt idx="9">
                  <c:v>-0.20311000000000001</c:v>
                </c:pt>
                <c:pt idx="10">
                  <c:v>-0.20284199999999999</c:v>
                </c:pt>
                <c:pt idx="11">
                  <c:v>-0.20260700000000001</c:v>
                </c:pt>
                <c:pt idx="12">
                  <c:v>-0.20238300000000001</c:v>
                </c:pt>
                <c:pt idx="13">
                  <c:v>-0.20208999999999999</c:v>
                </c:pt>
                <c:pt idx="14">
                  <c:v>-0.201955</c:v>
                </c:pt>
                <c:pt idx="15">
                  <c:v>-0.20184099999999999</c:v>
                </c:pt>
                <c:pt idx="16">
                  <c:v>-0.20172799999999999</c:v>
                </c:pt>
              </c:numCache>
            </c:numRef>
          </c:val>
          <c:smooth val="0"/>
          <c:extLst>
            <c:ext xmlns:c16="http://schemas.microsoft.com/office/drawing/2014/chart" uri="{C3380CC4-5D6E-409C-BE32-E72D297353CC}">
              <c16:uniqueId val="{00000001-61DF-4490-BDAB-D817777223B1}"/>
            </c:ext>
          </c:extLst>
        </c:ser>
        <c:ser>
          <c:idx val="0"/>
          <c:order val="2"/>
          <c:tx>
            <c:v>Investment</c:v>
          </c:tx>
          <c:spPr>
            <a:ln>
              <a:solidFill>
                <a:sysClr val="window" lastClr="FFFFFF">
                  <a:lumMod val="85000"/>
                </a:sysClr>
              </a:solidFill>
            </a:ln>
          </c:spPr>
          <c:marker>
            <c:symbol val="none"/>
          </c:marker>
          <c:val>
            <c:numRef>
              <c:f>Scenario!$F$62:$Y$62</c:f>
              <c:numCache>
                <c:formatCode>0</c:formatCode>
                <c:ptCount val="20"/>
                <c:pt idx="0">
                  <c:v>0</c:v>
                </c:pt>
                <c:pt idx="1">
                  <c:v>-0.110377</c:v>
                </c:pt>
                <c:pt idx="2">
                  <c:v>-0.65881400000000001</c:v>
                </c:pt>
                <c:pt idx="3">
                  <c:v>-1.0324</c:v>
                </c:pt>
                <c:pt idx="4">
                  <c:v>-0.90447500000000003</c:v>
                </c:pt>
                <c:pt idx="5">
                  <c:v>-0.72451200000000004</c:v>
                </c:pt>
                <c:pt idx="6">
                  <c:v>-0.55032400000000004</c:v>
                </c:pt>
                <c:pt idx="7">
                  <c:v>-0.38023899999999999</c:v>
                </c:pt>
                <c:pt idx="8">
                  <c:v>-0.21387500000000001</c:v>
                </c:pt>
                <c:pt idx="9">
                  <c:v>-0.160278</c:v>
                </c:pt>
                <c:pt idx="10">
                  <c:v>-0.16256499999999999</c:v>
                </c:pt>
                <c:pt idx="11">
                  <c:v>-0.164522</c:v>
                </c:pt>
                <c:pt idx="12">
                  <c:v>-0.16647899999999999</c:v>
                </c:pt>
                <c:pt idx="13">
                  <c:v>-0.168269</c:v>
                </c:pt>
                <c:pt idx="14">
                  <c:v>-0.169874</c:v>
                </c:pt>
                <c:pt idx="15">
                  <c:v>-0.171267</c:v>
                </c:pt>
                <c:pt idx="16">
                  <c:v>-0.17263800000000001</c:v>
                </c:pt>
                <c:pt idx="17">
                  <c:v>0</c:v>
                </c:pt>
                <c:pt idx="18">
                  <c:v>0</c:v>
                </c:pt>
                <c:pt idx="19" formatCode="0.0">
                  <c:v>0</c:v>
                </c:pt>
              </c:numCache>
            </c:numRef>
          </c:val>
          <c:smooth val="0"/>
          <c:extLst>
            <c:ext xmlns:c16="http://schemas.microsoft.com/office/drawing/2014/chart" uri="{C3380CC4-5D6E-409C-BE32-E72D297353CC}">
              <c16:uniqueId val="{00000002-61DF-4490-BDAB-D817777223B1}"/>
            </c:ext>
          </c:extLst>
        </c:ser>
        <c:dLbls>
          <c:showLegendKey val="0"/>
          <c:showVal val="0"/>
          <c:showCatName val="0"/>
          <c:showSerName val="0"/>
          <c:showPercent val="0"/>
          <c:showBubbleSize val="0"/>
        </c:dLbls>
        <c:smooth val="0"/>
        <c:axId val="1032676440"/>
        <c:axId val="1032677424"/>
        <c:extLst/>
      </c:lineChart>
      <c:dateAx>
        <c:axId val="1032676440"/>
        <c:scaling>
          <c:orientation val="minMax"/>
        </c:scaling>
        <c:delete val="0"/>
        <c:axPos val="b"/>
        <c:numFmt formatCode="yyyy" sourceLinked="0"/>
        <c:majorTickMark val="out"/>
        <c:minorTickMark val="none"/>
        <c:tickLblPos val="low"/>
        <c:spPr>
          <a:noFill/>
          <a:ln w="9525" cap="flat" cmpd="sng" algn="ctr">
            <a:solidFill>
              <a:schemeClr val="tx1">
                <a:lumMod val="65000"/>
                <a:lumOff val="35000"/>
              </a:schemeClr>
            </a:solidFill>
            <a:round/>
          </a:ln>
          <a:effectLst/>
        </c:spPr>
        <c:txPr>
          <a:bodyPr rot="-60000000" vert="horz"/>
          <a:lstStyle/>
          <a:p>
            <a:pPr>
              <a:defRPr/>
            </a:pPr>
            <a:endParaRPr lang="en-US"/>
          </a:p>
        </c:txPr>
        <c:crossAx val="1032677424"/>
        <c:crosses val="autoZero"/>
        <c:auto val="0"/>
        <c:lblOffset val="100"/>
        <c:baseTimeUnit val="months"/>
        <c:majorUnit val="12"/>
        <c:majorTimeUnit val="months"/>
        <c:minorUnit val="1"/>
      </c:dateAx>
      <c:valAx>
        <c:axId val="1032677424"/>
        <c:scaling>
          <c:orientation val="minMax"/>
        </c:scaling>
        <c:delete val="0"/>
        <c:axPos val="l"/>
        <c:majorGridlines>
          <c:spPr>
            <a:ln w="9525">
              <a:solidFill>
                <a:schemeClr val="bg1">
                  <a:lumMod val="65000"/>
                </a:schemeClr>
              </a:solidFill>
              <a:prstDash val="dash"/>
            </a:ln>
          </c:spPr>
        </c:majorGridlines>
        <c:title>
          <c:tx>
            <c:rich>
              <a:bodyPr/>
              <a:lstStyle/>
              <a:p>
                <a:pPr>
                  <a:defRPr b="0" i="1"/>
                </a:pPr>
                <a:r>
                  <a:rPr lang="en-AU" b="0" i="1"/>
                  <a:t>Percentage deviation from baseline</a:t>
                </a:r>
              </a:p>
            </c:rich>
          </c:tx>
          <c:layout>
            <c:manualLayout>
              <c:xMode val="edge"/>
              <c:yMode val="edge"/>
              <c:x val="2.5132314303015321E-3"/>
              <c:y val="0.13578207200082523"/>
            </c:manualLayout>
          </c:layout>
          <c:overlay val="0"/>
        </c:title>
        <c:numFmt formatCode="#,##0.0" sourceLinked="0"/>
        <c:majorTickMark val="out"/>
        <c:minorTickMark val="none"/>
        <c:tickLblPos val="nextTo"/>
        <c:spPr>
          <a:noFill/>
          <a:ln>
            <a:solidFill>
              <a:schemeClr val="tx1">
                <a:lumMod val="65000"/>
                <a:lumOff val="35000"/>
              </a:schemeClr>
            </a:solidFill>
          </a:ln>
          <a:effectLst/>
        </c:spPr>
        <c:txPr>
          <a:bodyPr rot="-60000000" vert="horz"/>
          <a:lstStyle/>
          <a:p>
            <a:pPr>
              <a:defRPr/>
            </a:pPr>
            <a:endParaRPr lang="en-US"/>
          </a:p>
        </c:txPr>
        <c:crossAx val="1032676440"/>
        <c:crossesAt val="1"/>
        <c:crossBetween val="between"/>
      </c:valAx>
      <c:spPr>
        <a:noFill/>
        <a:ln>
          <a:noFill/>
        </a:ln>
        <a:effectLst/>
      </c:spPr>
    </c:plotArea>
    <c:legend>
      <c:legendPos val="r"/>
      <c:layout>
        <c:manualLayout>
          <c:xMode val="edge"/>
          <c:yMode val="edge"/>
          <c:x val="0.1017950549271873"/>
          <c:y val="0.93071885870153392"/>
          <c:w val="0.85451351209209092"/>
          <c:h val="4.9558975265558268E-2"/>
        </c:manualLayout>
      </c:layout>
      <c:overlay val="0"/>
    </c:legend>
    <c:plotVisOnly val="1"/>
    <c:dispBlanksAs val="gap"/>
    <c:showDLblsOverMax val="0"/>
    <c:extLst/>
  </c:chart>
  <c:spPr>
    <a:solidFill>
      <a:sysClr val="window" lastClr="FFFFFF"/>
    </a:solidFill>
    <a:ln w="9525" cap="flat" cmpd="sng" algn="ctr">
      <a:noFill/>
      <a:round/>
    </a:ln>
    <a:effectLst/>
  </c:spPr>
  <c:txPr>
    <a:bodyPr/>
    <a:lstStyle/>
    <a:p>
      <a:pPr>
        <a:defRPr sz="9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876520606108269E-2"/>
          <c:y val="2.7449798440266737E-2"/>
          <c:w val="0.8958283339987767"/>
          <c:h val="0.80449275627089534"/>
        </c:manualLayout>
      </c:layout>
      <c:barChart>
        <c:barDir val="col"/>
        <c:grouping val="clustered"/>
        <c:varyColors val="0"/>
        <c:ser>
          <c:idx val="0"/>
          <c:order val="0"/>
          <c:tx>
            <c:strRef>
              <c:f>'BP2 - Chart 1.3 - New legends'!$B$3</c:f>
              <c:strCache>
                <c:ptCount val="1"/>
                <c:pt idx="0">
                  <c:v>COVID Debt</c:v>
                </c:pt>
              </c:strCache>
            </c:strRef>
          </c:tx>
          <c:spPr>
            <a:solidFill>
              <a:schemeClr val="bg1">
                <a:lumMod val="50000"/>
              </a:schemeClr>
            </a:solidFill>
            <a:ln>
              <a:noFill/>
            </a:ln>
            <a:effectLst/>
          </c:spPr>
          <c:invertIfNegative val="0"/>
          <c:cat>
            <c:strRef>
              <c:f>'BP2 - Chart 1.3 - New legends'!$C$2:$L$2</c:f>
              <c:strCache>
                <c:ptCount val="10"/>
                <c:pt idx="0">
                  <c:v>2023-24</c:v>
                </c:pt>
                <c:pt idx="1">
                  <c:v>2024-25</c:v>
                </c:pt>
                <c:pt idx="2">
                  <c:v>2025-26</c:v>
                </c:pt>
                <c:pt idx="3">
                  <c:v> 2026-27 </c:v>
                </c:pt>
                <c:pt idx="4">
                  <c:v> 2027-28 </c:v>
                </c:pt>
                <c:pt idx="5">
                  <c:v>2028-29</c:v>
                </c:pt>
                <c:pt idx="6">
                  <c:v>2029-30</c:v>
                </c:pt>
                <c:pt idx="7">
                  <c:v>2030-31</c:v>
                </c:pt>
                <c:pt idx="8">
                  <c:v>2031-32</c:v>
                </c:pt>
                <c:pt idx="9">
                  <c:v>2032-33</c:v>
                </c:pt>
              </c:strCache>
            </c:strRef>
          </c:cat>
          <c:val>
            <c:numRef>
              <c:f>'BP2 - Chart 1.3 - New legends'!$C$3:$L$3</c:f>
              <c:numCache>
                <c:formatCode>0.000</c:formatCode>
                <c:ptCount val="10"/>
                <c:pt idx="0">
                  <c:v>31.165130856276249</c:v>
                </c:pt>
                <c:pt idx="1">
                  <c:v>29.879503363648301</c:v>
                </c:pt>
                <c:pt idx="2">
                  <c:v>28.442408655763728</c:v>
                </c:pt>
                <c:pt idx="3">
                  <c:v>26.847807482342862</c:v>
                </c:pt>
                <c:pt idx="4">
                  <c:v>25.269774062871718</c:v>
                </c:pt>
                <c:pt idx="5">
                  <c:v>23.476811864819044</c:v>
                </c:pt>
                <c:pt idx="6">
                  <c:v>21.450084425162228</c:v>
                </c:pt>
                <c:pt idx="7">
                  <c:v>19.169458768872374</c:v>
                </c:pt>
                <c:pt idx="8">
                  <c:v>16.613318729453965</c:v>
                </c:pt>
                <c:pt idx="9">
                  <c:v>13.758367097574187</c:v>
                </c:pt>
              </c:numCache>
            </c:numRef>
          </c:val>
          <c:extLst>
            <c:ext xmlns:c16="http://schemas.microsoft.com/office/drawing/2014/chart" uri="{C3380CC4-5D6E-409C-BE32-E72D297353CC}">
              <c16:uniqueId val="{00000000-B0C4-4850-BCB3-55B4DADA97B1}"/>
            </c:ext>
          </c:extLst>
        </c:ser>
        <c:ser>
          <c:idx val="1"/>
          <c:order val="1"/>
          <c:tx>
            <c:strRef>
              <c:f>'BP2 - Chart 1.3 - New legends'!$B$4</c:f>
              <c:strCache>
                <c:ptCount val="1"/>
                <c:pt idx="0">
                  <c:v>Victorian Future Fund (VFF)</c:v>
                </c:pt>
              </c:strCache>
            </c:strRef>
          </c:tx>
          <c:spPr>
            <a:solidFill>
              <a:schemeClr val="bg1">
                <a:lumMod val="75000"/>
              </a:schemeClr>
            </a:solidFill>
            <a:ln>
              <a:noFill/>
            </a:ln>
            <a:effectLst/>
          </c:spPr>
          <c:invertIfNegative val="0"/>
          <c:cat>
            <c:strRef>
              <c:f>'BP2 - Chart 1.3 - New legends'!$C$2:$L$2</c:f>
              <c:strCache>
                <c:ptCount val="10"/>
                <c:pt idx="0">
                  <c:v>2023-24</c:v>
                </c:pt>
                <c:pt idx="1">
                  <c:v>2024-25</c:v>
                </c:pt>
                <c:pt idx="2">
                  <c:v>2025-26</c:v>
                </c:pt>
                <c:pt idx="3">
                  <c:v> 2026-27 </c:v>
                </c:pt>
                <c:pt idx="4">
                  <c:v> 2027-28 </c:v>
                </c:pt>
                <c:pt idx="5">
                  <c:v>2028-29</c:v>
                </c:pt>
                <c:pt idx="6">
                  <c:v>2029-30</c:v>
                </c:pt>
                <c:pt idx="7">
                  <c:v>2030-31</c:v>
                </c:pt>
                <c:pt idx="8">
                  <c:v>2031-32</c:v>
                </c:pt>
                <c:pt idx="9">
                  <c:v>2032-33</c:v>
                </c:pt>
              </c:strCache>
            </c:strRef>
          </c:cat>
          <c:val>
            <c:numRef>
              <c:f>'BP2 - Chart 1.3 - New legends'!$C$4:$L$4</c:f>
              <c:numCache>
                <c:formatCode>0.000</c:formatCode>
                <c:ptCount val="10"/>
                <c:pt idx="0">
                  <c:v>8.0685314803869463</c:v>
                </c:pt>
                <c:pt idx="1">
                  <c:v>8.5926900150029475</c:v>
                </c:pt>
                <c:pt idx="2">
                  <c:v>9.3327632738235131</c:v>
                </c:pt>
                <c:pt idx="3">
                  <c:v>10.28895821188155</c:v>
                </c:pt>
                <c:pt idx="4">
                  <c:v>10.954032188972327</c:v>
                </c:pt>
                <c:pt idx="5">
                  <c:v>11.612682739715778</c:v>
                </c:pt>
                <c:pt idx="6">
                  <c:v>12.294912788047789</c:v>
                </c:pt>
                <c:pt idx="7">
                  <c:v>13.007905473955486</c:v>
                </c:pt>
                <c:pt idx="8">
                  <c:v>13.754004784377461</c:v>
                </c:pt>
                <c:pt idx="9">
                  <c:v>13.758367097574187</c:v>
                </c:pt>
              </c:numCache>
            </c:numRef>
          </c:val>
          <c:extLst>
            <c:ext xmlns:c16="http://schemas.microsoft.com/office/drawing/2014/chart" uri="{C3380CC4-5D6E-409C-BE32-E72D297353CC}">
              <c16:uniqueId val="{00000001-B0C4-4850-BCB3-55B4DADA97B1}"/>
            </c:ext>
          </c:extLst>
        </c:ser>
        <c:dLbls>
          <c:showLegendKey val="0"/>
          <c:showVal val="0"/>
          <c:showCatName val="0"/>
          <c:showSerName val="0"/>
          <c:showPercent val="0"/>
          <c:showBubbleSize val="0"/>
        </c:dLbls>
        <c:gapWidth val="150"/>
        <c:axId val="697786344"/>
        <c:axId val="1030600136"/>
      </c:barChart>
      <c:lineChart>
        <c:grouping val="standard"/>
        <c:varyColors val="0"/>
        <c:ser>
          <c:idx val="2"/>
          <c:order val="2"/>
          <c:tx>
            <c:strRef>
              <c:f>'BP2 - Chart 1.3 - New legends'!$B$5</c:f>
              <c:strCache>
                <c:ptCount val="1"/>
                <c:pt idx="0">
                  <c:v>COVID Debt after VFF offset</c:v>
                </c:pt>
              </c:strCache>
            </c:strRef>
          </c:tx>
          <c:spPr>
            <a:ln w="28575" cap="rnd">
              <a:solidFill>
                <a:sysClr val="windowText" lastClr="000000"/>
              </a:solidFill>
              <a:prstDash val="lgDash"/>
              <a:round/>
            </a:ln>
            <a:effectLst/>
          </c:spPr>
          <c:marker>
            <c:symbol val="none"/>
          </c:marker>
          <c:cat>
            <c:strRef>
              <c:f>'BP2 - Chart 1.3 - New legends'!$C$2:$L$2</c:f>
              <c:strCache>
                <c:ptCount val="10"/>
                <c:pt idx="0">
                  <c:v>2023-24</c:v>
                </c:pt>
                <c:pt idx="1">
                  <c:v>2024-25</c:v>
                </c:pt>
                <c:pt idx="2">
                  <c:v>2025-26</c:v>
                </c:pt>
                <c:pt idx="3">
                  <c:v> 2026-27 </c:v>
                </c:pt>
                <c:pt idx="4">
                  <c:v> 2027-28 </c:v>
                </c:pt>
                <c:pt idx="5">
                  <c:v>2028-29</c:v>
                </c:pt>
                <c:pt idx="6">
                  <c:v>2029-30</c:v>
                </c:pt>
                <c:pt idx="7">
                  <c:v>2030-31</c:v>
                </c:pt>
                <c:pt idx="8">
                  <c:v>2031-32</c:v>
                </c:pt>
                <c:pt idx="9">
                  <c:v>2032-33</c:v>
                </c:pt>
              </c:strCache>
            </c:strRef>
          </c:cat>
          <c:val>
            <c:numRef>
              <c:f>'BP2 - Chart 1.3 - New legends'!$C$5:$L$5</c:f>
              <c:numCache>
                <c:formatCode>0.000</c:formatCode>
                <c:ptCount val="10"/>
                <c:pt idx="0">
                  <c:v>23.096599375889305</c:v>
                </c:pt>
                <c:pt idx="1">
                  <c:v>21.286813348645353</c:v>
                </c:pt>
                <c:pt idx="2">
                  <c:v>19.109645381940215</c:v>
                </c:pt>
                <c:pt idx="3">
                  <c:v>16.558849270461312</c:v>
                </c:pt>
                <c:pt idx="4">
                  <c:v>14.315741873899391</c:v>
                </c:pt>
                <c:pt idx="5">
                  <c:v>11.864129125103267</c:v>
                </c:pt>
                <c:pt idx="6">
                  <c:v>9.1551716371144387</c:v>
                </c:pt>
                <c:pt idx="7">
                  <c:v>6.1615532949168887</c:v>
                </c:pt>
                <c:pt idx="8">
                  <c:v>2.8593139450765044</c:v>
                </c:pt>
                <c:pt idx="9">
                  <c:v>0</c:v>
                </c:pt>
              </c:numCache>
            </c:numRef>
          </c:val>
          <c:smooth val="0"/>
          <c:extLst>
            <c:ext xmlns:c16="http://schemas.microsoft.com/office/drawing/2014/chart" uri="{C3380CC4-5D6E-409C-BE32-E72D297353CC}">
              <c16:uniqueId val="{00000002-B0C4-4850-BCB3-55B4DADA97B1}"/>
            </c:ext>
          </c:extLst>
        </c:ser>
        <c:dLbls>
          <c:showLegendKey val="0"/>
          <c:showVal val="0"/>
          <c:showCatName val="0"/>
          <c:showSerName val="0"/>
          <c:showPercent val="0"/>
          <c:showBubbleSize val="0"/>
        </c:dLbls>
        <c:marker val="1"/>
        <c:smooth val="0"/>
        <c:axId val="697786344"/>
        <c:axId val="1030600136"/>
      </c:lineChart>
      <c:catAx>
        <c:axId val="697786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ysClr val="windowText" lastClr="000000"/>
                </a:solidFill>
                <a:latin typeface="+mj-lt"/>
                <a:ea typeface="+mn-ea"/>
                <a:cs typeface="+mn-cs"/>
              </a:defRPr>
            </a:pPr>
            <a:endParaRPr lang="en-US"/>
          </a:p>
        </c:txPr>
        <c:crossAx val="1030600136"/>
        <c:crosses val="autoZero"/>
        <c:auto val="1"/>
        <c:lblAlgn val="ctr"/>
        <c:lblOffset val="100"/>
        <c:tickLblSkip val="1"/>
        <c:noMultiLvlLbl val="0"/>
      </c:catAx>
      <c:valAx>
        <c:axId val="1030600136"/>
        <c:scaling>
          <c:orientation val="minMax"/>
          <c:min val="0"/>
        </c:scaling>
        <c:delete val="0"/>
        <c:axPos val="l"/>
        <c:majorGridlines>
          <c:spPr>
            <a:ln w="9525" cap="flat" cmpd="sng" algn="ctr">
              <a:solidFill>
                <a:schemeClr val="bg1">
                  <a:lumMod val="75000"/>
                </a:schemeClr>
              </a:solidFill>
              <a:prstDash val="dash"/>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697786344"/>
        <c:crosses val="autoZero"/>
        <c:crossBetween val="between"/>
      </c:valAx>
      <c:spPr>
        <a:noFill/>
        <a:ln>
          <a:noFill/>
        </a:ln>
        <a:effectLst/>
      </c:spPr>
    </c:plotArea>
    <c:legend>
      <c:legendPos val="b"/>
      <c:layout>
        <c:manualLayout>
          <c:xMode val="edge"/>
          <c:yMode val="edge"/>
          <c:x val="4.9999948942966228E-2"/>
          <c:y val="0.9283360938348022"/>
          <c:w val="0.89999989788593249"/>
          <c:h val="6.7202607927410812E-2"/>
        </c:manualLayout>
      </c:layout>
      <c:overlay val="0"/>
      <c:spPr>
        <a:noFill/>
        <a:ln>
          <a:noFill/>
        </a:ln>
        <a:effectLst/>
      </c:spPr>
      <c:txPr>
        <a:bodyPr rot="0" spcFirstLastPara="1" vertOverflow="ellipsis" vert="horz" wrap="square" anchor="ctr" anchorCtr="1"/>
        <a:lstStyle/>
        <a:p>
          <a:pPr>
            <a:defRPr sz="750" b="0" i="0" u="none" strike="noStrike" kern="1200" baseline="0">
              <a:solidFill>
                <a:schemeClr val="tx1">
                  <a:lumMod val="65000"/>
                  <a:lumOff val="35000"/>
                </a:schemeClr>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latin typeface="+mj-lt"/>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609395311126248E-2"/>
          <c:y val="4.583333333333333E-2"/>
          <c:w val="0.87768858681278505"/>
          <c:h val="0.85750721784776907"/>
        </c:manualLayout>
      </c:layout>
      <c:barChart>
        <c:barDir val="col"/>
        <c:grouping val="clustered"/>
        <c:varyColors val="0"/>
        <c:ser>
          <c:idx val="0"/>
          <c:order val="0"/>
          <c:spPr>
            <a:solidFill>
              <a:schemeClr val="bg1">
                <a:lumMod val="65000"/>
              </a:schemeClr>
            </a:solidFill>
            <a:ln>
              <a:noFill/>
            </a:ln>
            <a:effectLst/>
          </c:spPr>
          <c:invertIfNegative val="0"/>
          <c:cat>
            <c:numRef>
              <c:f>'data-business profits'!$A$2:$A$7</c:f>
              <c:numCache>
                <c:formatCode>mmm\-yyyy</c:formatCode>
                <c:ptCount val="6"/>
                <c:pt idx="0">
                  <c:v>43070</c:v>
                </c:pt>
                <c:pt idx="1">
                  <c:v>43435</c:v>
                </c:pt>
                <c:pt idx="2">
                  <c:v>43800</c:v>
                </c:pt>
                <c:pt idx="3">
                  <c:v>44166</c:v>
                </c:pt>
                <c:pt idx="4">
                  <c:v>44531</c:v>
                </c:pt>
                <c:pt idx="5">
                  <c:v>44896</c:v>
                </c:pt>
              </c:numCache>
            </c:numRef>
          </c:cat>
          <c:val>
            <c:numRef>
              <c:f>'data-business profits'!$B$2:$B$7</c:f>
              <c:numCache>
                <c:formatCode>0.00</c:formatCode>
                <c:ptCount val="6"/>
                <c:pt idx="0">
                  <c:v>256718</c:v>
                </c:pt>
                <c:pt idx="1">
                  <c:v>270672</c:v>
                </c:pt>
                <c:pt idx="2">
                  <c:v>273807</c:v>
                </c:pt>
                <c:pt idx="3">
                  <c:v>331250</c:v>
                </c:pt>
                <c:pt idx="4">
                  <c:v>319111</c:v>
                </c:pt>
                <c:pt idx="5">
                  <c:v>345177</c:v>
                </c:pt>
              </c:numCache>
            </c:numRef>
          </c:val>
          <c:extLst>
            <c:ext xmlns:c16="http://schemas.microsoft.com/office/drawing/2014/chart" uri="{C3380CC4-5D6E-409C-BE32-E72D297353CC}">
              <c16:uniqueId val="{00000000-D288-4196-87DD-3D91339DD65D}"/>
            </c:ext>
          </c:extLst>
        </c:ser>
        <c:dLbls>
          <c:showLegendKey val="0"/>
          <c:showVal val="0"/>
          <c:showCatName val="0"/>
          <c:showSerName val="0"/>
          <c:showPercent val="0"/>
          <c:showBubbleSize val="0"/>
        </c:dLbls>
        <c:gapWidth val="75"/>
        <c:axId val="1467263792"/>
        <c:axId val="1467261824"/>
      </c:barChart>
      <c:dateAx>
        <c:axId val="1467263792"/>
        <c:scaling>
          <c:orientation val="minMax"/>
        </c:scaling>
        <c:delete val="0"/>
        <c:axPos val="b"/>
        <c:numFmt formatCode="yyyy"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1467261824"/>
        <c:crosses val="autoZero"/>
        <c:auto val="1"/>
        <c:lblOffset val="100"/>
        <c:baseTimeUnit val="years"/>
      </c:dateAx>
      <c:valAx>
        <c:axId val="1467261824"/>
        <c:scaling>
          <c:orientation val="minMax"/>
        </c:scaling>
        <c:delete val="0"/>
        <c:axPos val="l"/>
        <c:majorGridlines>
          <c:spPr>
            <a:ln w="6350" cap="flat" cmpd="sng" algn="ctr">
              <a:solidFill>
                <a:schemeClr val="bg1">
                  <a:lumMod val="65000"/>
                </a:schemeClr>
              </a:solidFill>
              <a:prstDash val="dash"/>
              <a:round/>
            </a:ln>
            <a:effectLst/>
          </c:spPr>
        </c:majorGridlines>
        <c:title>
          <c:tx>
            <c:rich>
              <a:bodyPr rot="-5400000" spcFirstLastPara="1" vertOverflow="ellipsis" vert="horz" wrap="square" anchor="ctr" anchorCtr="1"/>
              <a:lstStyle/>
              <a:p>
                <a:pPr>
                  <a:defRPr sz="900" b="0" i="1" u="none" strike="noStrike" kern="1200" baseline="0">
                    <a:solidFill>
                      <a:schemeClr val="tx1">
                        <a:lumMod val="65000"/>
                        <a:lumOff val="35000"/>
                      </a:schemeClr>
                    </a:solidFill>
                    <a:latin typeface="+mj-lt"/>
                    <a:ea typeface="+mn-ea"/>
                    <a:cs typeface="+mn-cs"/>
                  </a:defRPr>
                </a:pPr>
                <a:r>
                  <a:rPr lang="en-US" sz="900" i="1"/>
                  <a:t>$ billion</a:t>
                </a:r>
              </a:p>
            </c:rich>
          </c:tx>
          <c:layout>
            <c:manualLayout>
              <c:xMode val="edge"/>
              <c:yMode val="edge"/>
              <c:x val="7.7810919465698988E-5"/>
              <c:y val="0.3771919691919402"/>
            </c:manualLayout>
          </c:layout>
          <c:overlay val="0"/>
          <c:spPr>
            <a:noFill/>
            <a:ln>
              <a:noFill/>
            </a:ln>
            <a:effectLst/>
          </c:spPr>
          <c:txPr>
            <a:bodyPr rot="-5400000" spcFirstLastPara="1" vertOverflow="ellipsis" vert="horz" wrap="square" anchor="ctr" anchorCtr="1"/>
            <a:lstStyle/>
            <a:p>
              <a:pPr>
                <a:defRPr sz="900" b="0" i="1" u="none" strike="noStrike" kern="1200" baseline="0">
                  <a:solidFill>
                    <a:schemeClr val="tx1">
                      <a:lumMod val="65000"/>
                      <a:lumOff val="35000"/>
                    </a:schemeClr>
                  </a:solidFill>
                  <a:latin typeface="+mj-lt"/>
                  <a:ea typeface="+mn-ea"/>
                  <a:cs typeface="+mn-cs"/>
                </a:defRPr>
              </a:pPr>
              <a:endParaRPr lang="en-US"/>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1467263792"/>
        <c:crosses val="autoZero"/>
        <c:crossBetween val="between"/>
        <c:dispUnits>
          <c:builtInUnit val="thousands"/>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noFill/>
      <a:round/>
    </a:ln>
    <a:effectLst/>
  </c:spPr>
  <c:txPr>
    <a:bodyPr/>
    <a:lstStyle/>
    <a:p>
      <a:pPr>
        <a:defRPr>
          <a:latin typeface="+mj-lt"/>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9.158645886618684E-2"/>
          <c:y val="5.4120541205412057E-2"/>
          <c:w val="0.8797716422668882"/>
          <c:h val="0.73887633049558843"/>
        </c:manualLayout>
      </c:layout>
      <c:barChart>
        <c:barDir val="col"/>
        <c:grouping val="stacked"/>
        <c:varyColors val="0"/>
        <c:ser>
          <c:idx val="0"/>
          <c:order val="0"/>
          <c:tx>
            <c:strRef>
              <c:f>'Graph COVID Non-COVID'!$A$204</c:f>
              <c:strCache>
                <c:ptCount val="1"/>
                <c:pt idx="0">
                  <c:v>Non-COVID-19</c:v>
                </c:pt>
              </c:strCache>
            </c:strRef>
          </c:tx>
          <c:spPr>
            <a:solidFill>
              <a:schemeClr val="accent3">
                <a:shade val="76000"/>
              </a:schemeClr>
            </a:solidFill>
            <a:ln>
              <a:noFill/>
            </a:ln>
            <a:effectLst/>
          </c:spPr>
          <c:invertIfNegative val="0"/>
          <c:cat>
            <c:strRef>
              <c:f>'Graph COVID Non-COVID'!$B$203:$H$203</c:f>
              <c:strCache>
                <c:ptCount val="7"/>
                <c:pt idx="0">
                  <c:v>2017-18</c:v>
                </c:pt>
                <c:pt idx="1">
                  <c:v>2018-19</c:v>
                </c:pt>
                <c:pt idx="2">
                  <c:v>2019-20</c:v>
                </c:pt>
                <c:pt idx="3">
                  <c:v>2020-21</c:v>
                </c:pt>
                <c:pt idx="4">
                  <c:v>2021-22</c:v>
                </c:pt>
                <c:pt idx="5">
                  <c:v>2022-23</c:v>
                </c:pt>
                <c:pt idx="6">
                  <c:v>2023-24</c:v>
                </c:pt>
              </c:strCache>
            </c:strRef>
          </c:cat>
          <c:val>
            <c:numRef>
              <c:f>'Graph COVID Non-COVID'!$B$204:$H$204</c:f>
              <c:numCache>
                <c:formatCode>#,##0.0_);[Red]\(#,##0.0\)</c:formatCode>
                <c:ptCount val="7"/>
                <c:pt idx="0">
                  <c:v>18557597.731380001</c:v>
                </c:pt>
                <c:pt idx="1">
                  <c:v>19794472.81532</c:v>
                </c:pt>
                <c:pt idx="2">
                  <c:v>20306602.303640001</c:v>
                </c:pt>
                <c:pt idx="3">
                  <c:v>21159086.911970001</c:v>
                </c:pt>
                <c:pt idx="4">
                  <c:v>22877275.129530001</c:v>
                </c:pt>
                <c:pt idx="5">
                  <c:v>26391862.087000005</c:v>
                </c:pt>
                <c:pt idx="6">
                  <c:v>28023549.073960003</c:v>
                </c:pt>
              </c:numCache>
            </c:numRef>
          </c:val>
          <c:extLst>
            <c:ext xmlns:c16="http://schemas.microsoft.com/office/drawing/2014/chart" uri="{C3380CC4-5D6E-409C-BE32-E72D297353CC}">
              <c16:uniqueId val="{00000000-32CD-4C81-8F45-32AB17D95B07}"/>
            </c:ext>
          </c:extLst>
        </c:ser>
        <c:ser>
          <c:idx val="1"/>
          <c:order val="1"/>
          <c:tx>
            <c:strRef>
              <c:f>'Graph COVID Non-COVID'!$A$205</c:f>
              <c:strCache>
                <c:ptCount val="1"/>
                <c:pt idx="0">
                  <c:v>COVID-19</c:v>
                </c:pt>
              </c:strCache>
            </c:strRef>
          </c:tx>
          <c:spPr>
            <a:solidFill>
              <a:schemeClr val="accent3">
                <a:tint val="77000"/>
              </a:schemeClr>
            </a:solidFill>
            <a:ln>
              <a:noFill/>
            </a:ln>
            <a:effectLst/>
          </c:spPr>
          <c:invertIfNegative val="0"/>
          <c:cat>
            <c:strRef>
              <c:f>'Graph COVID Non-COVID'!$B$203:$H$203</c:f>
              <c:strCache>
                <c:ptCount val="7"/>
                <c:pt idx="0">
                  <c:v>2017-18</c:v>
                </c:pt>
                <c:pt idx="1">
                  <c:v>2018-19</c:v>
                </c:pt>
                <c:pt idx="2">
                  <c:v>2019-20</c:v>
                </c:pt>
                <c:pt idx="3">
                  <c:v>2020-21</c:v>
                </c:pt>
                <c:pt idx="4">
                  <c:v>2021-22</c:v>
                </c:pt>
                <c:pt idx="5">
                  <c:v>2022-23</c:v>
                </c:pt>
                <c:pt idx="6">
                  <c:v>2023-24</c:v>
                </c:pt>
              </c:strCache>
            </c:strRef>
          </c:cat>
          <c:val>
            <c:numRef>
              <c:f>'Graph COVID Non-COVID'!$B$205:$H$205</c:f>
              <c:numCache>
                <c:formatCode>#,##0.0_);[Red]\(#,##0.0\)</c:formatCode>
                <c:ptCount val="7"/>
                <c:pt idx="0">
                  <c:v>0</c:v>
                </c:pt>
                <c:pt idx="1">
                  <c:v>0</c:v>
                </c:pt>
                <c:pt idx="2">
                  <c:v>1795430</c:v>
                </c:pt>
                <c:pt idx="3">
                  <c:v>3561954</c:v>
                </c:pt>
                <c:pt idx="4">
                  <c:v>5247801.5690799998</c:v>
                </c:pt>
                <c:pt idx="5" formatCode="_(* #,##0.00_);_(* \(#,##0.00\);_(* &quot;-&quot;??_);_(@_)">
                  <c:v>2664900</c:v>
                </c:pt>
                <c:pt idx="6" formatCode="_(* #,##0.00_);_(* \(#,##0.00\);_(* &quot;-&quot;??_);_(@_)">
                  <c:v>1117600</c:v>
                </c:pt>
              </c:numCache>
            </c:numRef>
          </c:val>
          <c:extLst>
            <c:ext xmlns:c16="http://schemas.microsoft.com/office/drawing/2014/chart" uri="{C3380CC4-5D6E-409C-BE32-E72D297353CC}">
              <c16:uniqueId val="{00000001-32CD-4C81-8F45-32AB17D95B07}"/>
            </c:ext>
          </c:extLst>
        </c:ser>
        <c:dLbls>
          <c:showLegendKey val="0"/>
          <c:showVal val="0"/>
          <c:showCatName val="0"/>
          <c:showSerName val="0"/>
          <c:showPercent val="0"/>
          <c:showBubbleSize val="0"/>
        </c:dLbls>
        <c:gapWidth val="150"/>
        <c:overlap val="100"/>
        <c:axId val="1117690000"/>
        <c:axId val="1117690656"/>
      </c:barChart>
      <c:catAx>
        <c:axId val="1117690000"/>
        <c:scaling>
          <c:orientation val="minMax"/>
        </c:scaling>
        <c:delete val="0"/>
        <c:axPos val="b"/>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crossAx val="1117690656"/>
        <c:crosses val="autoZero"/>
        <c:auto val="1"/>
        <c:lblAlgn val="ctr"/>
        <c:lblOffset val="100"/>
        <c:noMultiLvlLbl val="0"/>
      </c:catAx>
      <c:valAx>
        <c:axId val="1117690656"/>
        <c:scaling>
          <c:orientation val="minMax"/>
        </c:scaling>
        <c:delete val="0"/>
        <c:axPos val="l"/>
        <c:majorGridlines>
          <c:spPr>
            <a:ln w="6350" cap="flat" cmpd="sng" algn="ctr">
              <a:solidFill>
                <a:sysClr val="window" lastClr="FFFFFF">
                  <a:lumMod val="65000"/>
                </a:sysClr>
              </a:solidFill>
              <a:prstDash val="dash"/>
              <a:round/>
            </a:ln>
            <a:effectLst/>
          </c:spPr>
        </c:majorGridlines>
        <c:title>
          <c:tx>
            <c:rich>
              <a:bodyPr rot="-5400000" spcFirstLastPara="1" vertOverflow="ellipsis" vert="horz" wrap="square" anchor="ctr" anchorCtr="1"/>
              <a:lstStyle/>
              <a:p>
                <a:pPr>
                  <a:defRPr sz="900" b="0" i="1" u="none" strike="noStrike" kern="1200" baseline="0">
                    <a:solidFill>
                      <a:sysClr val="windowText" lastClr="000000"/>
                    </a:solidFill>
                    <a:latin typeface="Calibri" panose="020F0502020204030204" pitchFamily="34" charset="0"/>
                    <a:ea typeface="+mn-ea"/>
                    <a:cs typeface="Calibri" panose="020F0502020204030204" pitchFamily="34" charset="0"/>
                  </a:defRPr>
                </a:pPr>
                <a:r>
                  <a:rPr lang="en-AU" sz="900" i="1"/>
                  <a:t>$ billion</a:t>
                </a:r>
              </a:p>
            </c:rich>
          </c:tx>
          <c:layout>
            <c:manualLayout>
              <c:xMode val="edge"/>
              <c:yMode val="edge"/>
              <c:x val="2.6038276266111184E-3"/>
              <c:y val="0.3056741339066934"/>
            </c:manualLayout>
          </c:layout>
          <c:overlay val="0"/>
          <c:spPr>
            <a:noFill/>
            <a:ln>
              <a:noFill/>
            </a:ln>
            <a:effectLst/>
          </c:spPr>
          <c:txPr>
            <a:bodyPr rot="-5400000" spcFirstLastPara="1" vertOverflow="ellipsis" vert="horz" wrap="square" anchor="ctr" anchorCtr="1"/>
            <a:lstStyle/>
            <a:p>
              <a:pPr>
                <a:defRPr sz="900" b="0" i="1"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title>
        <c:numFmt formatCode="#,,"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crossAx val="1117690000"/>
        <c:crosses val="autoZero"/>
        <c:crossBetween val="between"/>
      </c:valAx>
      <c:spPr>
        <a:noFill/>
        <a:ln>
          <a:noFill/>
        </a:ln>
        <a:effectLst/>
      </c:spPr>
    </c:plotArea>
    <c:legend>
      <c:legendPos val="b"/>
      <c:layout>
        <c:manualLayout>
          <c:xMode val="edge"/>
          <c:yMode val="edge"/>
          <c:x val="0.32986227932000145"/>
          <c:y val="0.90221344103204815"/>
          <c:w val="0.3402754413599971"/>
          <c:h val="8.302641136647587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Calibri" panose="020F0502020204030204" pitchFamily="34" charset="0"/>
          <a:cs typeface="Calibri" panose="020F050202020403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40813648293963"/>
          <c:y val="3.5162383068031516E-2"/>
          <c:w val="0.84874600108158105"/>
          <c:h val="0.80096925964749766"/>
        </c:manualLayout>
      </c:layout>
      <c:lineChart>
        <c:grouping val="standard"/>
        <c:varyColors val="0"/>
        <c:ser>
          <c:idx val="0"/>
          <c:order val="0"/>
          <c:tx>
            <c:v>LEvel</c:v>
          </c:tx>
          <c:marker>
            <c:symbol val="none"/>
          </c:marker>
          <c:cat>
            <c:numRef>
              <c:f>'data-gsp-q'!$A$3:$A$178</c:f>
              <c:numCache>
                <c:formatCode>mmm\-yy</c:formatCode>
                <c:ptCount val="176"/>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pt idx="127">
                  <c:v>42156</c:v>
                </c:pt>
                <c:pt idx="128">
                  <c:v>42248</c:v>
                </c:pt>
                <c:pt idx="129">
                  <c:v>42339</c:v>
                </c:pt>
                <c:pt idx="130">
                  <c:v>42430</c:v>
                </c:pt>
                <c:pt idx="131">
                  <c:v>42522</c:v>
                </c:pt>
                <c:pt idx="132">
                  <c:v>42614</c:v>
                </c:pt>
                <c:pt idx="133">
                  <c:v>42705</c:v>
                </c:pt>
                <c:pt idx="134">
                  <c:v>42795</c:v>
                </c:pt>
                <c:pt idx="135">
                  <c:v>42887</c:v>
                </c:pt>
                <c:pt idx="136">
                  <c:v>42979</c:v>
                </c:pt>
                <c:pt idx="137">
                  <c:v>43070</c:v>
                </c:pt>
                <c:pt idx="138">
                  <c:v>43160</c:v>
                </c:pt>
                <c:pt idx="139">
                  <c:v>43252</c:v>
                </c:pt>
                <c:pt idx="140">
                  <c:v>43344</c:v>
                </c:pt>
                <c:pt idx="141">
                  <c:v>43435</c:v>
                </c:pt>
                <c:pt idx="142">
                  <c:v>43525</c:v>
                </c:pt>
                <c:pt idx="143">
                  <c:v>43617</c:v>
                </c:pt>
                <c:pt idx="144">
                  <c:v>43709</c:v>
                </c:pt>
                <c:pt idx="145">
                  <c:v>43800</c:v>
                </c:pt>
                <c:pt idx="146">
                  <c:v>43891</c:v>
                </c:pt>
                <c:pt idx="147">
                  <c:v>43983</c:v>
                </c:pt>
                <c:pt idx="148">
                  <c:v>44075</c:v>
                </c:pt>
                <c:pt idx="149">
                  <c:v>44166</c:v>
                </c:pt>
                <c:pt idx="150">
                  <c:v>44256</c:v>
                </c:pt>
                <c:pt idx="151">
                  <c:v>44348</c:v>
                </c:pt>
                <c:pt idx="152">
                  <c:v>44440</c:v>
                </c:pt>
                <c:pt idx="153">
                  <c:v>44531</c:v>
                </c:pt>
                <c:pt idx="154">
                  <c:v>44621</c:v>
                </c:pt>
                <c:pt idx="155">
                  <c:v>44713</c:v>
                </c:pt>
                <c:pt idx="156">
                  <c:v>44805</c:v>
                </c:pt>
                <c:pt idx="157">
                  <c:v>44896</c:v>
                </c:pt>
                <c:pt idx="158">
                  <c:v>44986</c:v>
                </c:pt>
                <c:pt idx="159">
                  <c:v>45078</c:v>
                </c:pt>
                <c:pt idx="160">
                  <c:v>45170</c:v>
                </c:pt>
                <c:pt idx="161">
                  <c:v>45261</c:v>
                </c:pt>
                <c:pt idx="162">
                  <c:v>45352</c:v>
                </c:pt>
                <c:pt idx="163">
                  <c:v>45444</c:v>
                </c:pt>
                <c:pt idx="164">
                  <c:v>45536</c:v>
                </c:pt>
                <c:pt idx="165">
                  <c:v>45627</c:v>
                </c:pt>
                <c:pt idx="166">
                  <c:v>45717</c:v>
                </c:pt>
                <c:pt idx="167">
                  <c:v>45809</c:v>
                </c:pt>
                <c:pt idx="168">
                  <c:v>45901</c:v>
                </c:pt>
                <c:pt idx="169">
                  <c:v>45992</c:v>
                </c:pt>
                <c:pt idx="170">
                  <c:v>46082</c:v>
                </c:pt>
                <c:pt idx="171">
                  <c:v>46174</c:v>
                </c:pt>
                <c:pt idx="172">
                  <c:v>46266</c:v>
                </c:pt>
                <c:pt idx="173">
                  <c:v>46357</c:v>
                </c:pt>
                <c:pt idx="174">
                  <c:v>46447</c:v>
                </c:pt>
                <c:pt idx="175">
                  <c:v>46539</c:v>
                </c:pt>
              </c:numCache>
            </c:numRef>
          </c:cat>
          <c:val>
            <c:numRef>
              <c:f>'data-gsp-q'!$B$3:$B$178</c:f>
              <c:numCache>
                <c:formatCode>General</c:formatCode>
                <c:ptCount val="176"/>
                <c:pt idx="21" formatCode="0">
                  <c:v>47908.025587856726</c:v>
                </c:pt>
                <c:pt idx="22" formatCode="0">
                  <c:v>48258.290876794003</c:v>
                </c:pt>
                <c:pt idx="23" formatCode="0">
                  <c:v>48887.721646542588</c:v>
                </c:pt>
                <c:pt idx="24" formatCode="0">
                  <c:v>49122.14498838396</c:v>
                </c:pt>
                <c:pt idx="25" formatCode="0">
                  <c:v>49227.412842344471</c:v>
                </c:pt>
                <c:pt idx="26" formatCode="0">
                  <c:v>49525.62120165884</c:v>
                </c:pt>
                <c:pt idx="27" formatCode="0">
                  <c:v>49275.820967612737</c:v>
                </c:pt>
                <c:pt idx="28" formatCode="0">
                  <c:v>48619.059893621125</c:v>
                </c:pt>
                <c:pt idx="29" formatCode="0">
                  <c:v>48271.438159601646</c:v>
                </c:pt>
                <c:pt idx="30" formatCode="0">
                  <c:v>47541.964318693885</c:v>
                </c:pt>
                <c:pt idx="31" formatCode="0">
                  <c:v>47373.730973845311</c:v>
                </c:pt>
                <c:pt idx="32" formatCode="0">
                  <c:v>47180.979039791629</c:v>
                </c:pt>
                <c:pt idx="33" formatCode="0">
                  <c:v>47102.116951009411</c:v>
                </c:pt>
                <c:pt idx="34" formatCode="0">
                  <c:v>47247.257352635374</c:v>
                </c:pt>
                <c:pt idx="35" formatCode="0">
                  <c:v>47536.789970876351</c:v>
                </c:pt>
                <c:pt idx="36" formatCode="0">
                  <c:v>48453.598815379577</c:v>
                </c:pt>
                <c:pt idx="37" formatCode="0">
                  <c:v>49427.276734285457</c:v>
                </c:pt>
                <c:pt idx="38" formatCode="0">
                  <c:v>49971.40795826813</c:v>
                </c:pt>
                <c:pt idx="39" formatCode="0">
                  <c:v>50348.91631920838</c:v>
                </c:pt>
                <c:pt idx="40" formatCode="0">
                  <c:v>50530.178734979869</c:v>
                </c:pt>
                <c:pt idx="41" formatCode="0">
                  <c:v>51004.996579450046</c:v>
                </c:pt>
                <c:pt idx="42" formatCode="0">
                  <c:v>51344.193072063215</c:v>
                </c:pt>
                <c:pt idx="43" formatCode="0">
                  <c:v>51767.369322467042</c:v>
                </c:pt>
                <c:pt idx="44" formatCode="0">
                  <c:v>52210.690912542559</c:v>
                </c:pt>
                <c:pt idx="45" formatCode="0">
                  <c:v>52598.089009347219</c:v>
                </c:pt>
                <c:pt idx="46" formatCode="0">
                  <c:v>52763.786015683385</c:v>
                </c:pt>
                <c:pt idx="47" formatCode="0">
                  <c:v>53246.392412613292</c:v>
                </c:pt>
                <c:pt idx="48" formatCode="0">
                  <c:v>53968.4445404863</c:v>
                </c:pt>
                <c:pt idx="49" formatCode="0">
                  <c:v>54278.951525731231</c:v>
                </c:pt>
                <c:pt idx="50" formatCode="0">
                  <c:v>55043.869245147936</c:v>
                </c:pt>
                <c:pt idx="51" formatCode="0">
                  <c:v>55350.956430599261</c:v>
                </c:pt>
                <c:pt idx="52" formatCode="0">
                  <c:v>55890.687939271273</c:v>
                </c:pt>
                <c:pt idx="53" formatCode="0">
                  <c:v>56656.276864920721</c:v>
                </c:pt>
                <c:pt idx="54" formatCode="0">
                  <c:v>57427.461455145705</c:v>
                </c:pt>
                <c:pt idx="55" formatCode="0">
                  <c:v>58546.442202413462</c:v>
                </c:pt>
                <c:pt idx="56" formatCode="0">
                  <c:v>58998.915890442513</c:v>
                </c:pt>
                <c:pt idx="57" formatCode="0">
                  <c:v>59978.390478413414</c:v>
                </c:pt>
                <c:pt idx="58" formatCode="0">
                  <c:v>60809.046729677641</c:v>
                </c:pt>
                <c:pt idx="59" formatCode="0">
                  <c:v>62120.591652641073</c:v>
                </c:pt>
                <c:pt idx="60" formatCode="0">
                  <c:v>63258.308746517621</c:v>
                </c:pt>
                <c:pt idx="61" formatCode="0">
                  <c:v>63966.615294593801</c:v>
                </c:pt>
                <c:pt idx="62" formatCode="0">
                  <c:v>64414.909244200579</c:v>
                </c:pt>
                <c:pt idx="63" formatCode="0">
                  <c:v>64809.652508453531</c:v>
                </c:pt>
                <c:pt idx="64" formatCode="0">
                  <c:v>65679.759414478089</c:v>
                </c:pt>
                <c:pt idx="65" formatCode="0">
                  <c:v>66432.738555895834</c:v>
                </c:pt>
                <c:pt idx="66" formatCode="0">
                  <c:v>66885.848081100339</c:v>
                </c:pt>
                <c:pt idx="67" formatCode="0">
                  <c:v>67286.969660151735</c:v>
                </c:pt>
                <c:pt idx="68" formatCode="0">
                  <c:v>67123.182120573183</c:v>
                </c:pt>
                <c:pt idx="69" formatCode="0">
                  <c:v>67270.644552935526</c:v>
                </c:pt>
                <c:pt idx="70" formatCode="0">
                  <c:v>67689.037833555078</c:v>
                </c:pt>
                <c:pt idx="71" formatCode="0">
                  <c:v>68142.770848927947</c:v>
                </c:pt>
                <c:pt idx="72" formatCode="0">
                  <c:v>68947.186451712958</c:v>
                </c:pt>
                <c:pt idx="73" formatCode="0">
                  <c:v>69735.464818705586</c:v>
                </c:pt>
                <c:pt idx="74" formatCode="0">
                  <c:v>70773.43501079749</c:v>
                </c:pt>
                <c:pt idx="75" formatCode="0">
                  <c:v>71747.676117142895</c:v>
                </c:pt>
                <c:pt idx="76" formatCode="0">
                  <c:v>72192.594733762089</c:v>
                </c:pt>
                <c:pt idx="77" formatCode="0">
                  <c:v>72636.324897965853</c:v>
                </c:pt>
                <c:pt idx="78" formatCode="0">
                  <c:v>72926.716771153835</c:v>
                </c:pt>
                <c:pt idx="79" formatCode="0">
                  <c:v>73378.455086114889</c:v>
                </c:pt>
                <c:pt idx="80" formatCode="0">
                  <c:v>74295.549657342417</c:v>
                </c:pt>
                <c:pt idx="81" formatCode="0">
                  <c:v>75089.543984798016</c:v>
                </c:pt>
                <c:pt idx="82" formatCode="0">
                  <c:v>75437.844534713062</c:v>
                </c:pt>
                <c:pt idx="83" formatCode="0">
                  <c:v>76159.828380530453</c:v>
                </c:pt>
                <c:pt idx="84" formatCode="0">
                  <c:v>77247.736404670519</c:v>
                </c:pt>
                <c:pt idx="85" formatCode="0">
                  <c:v>78101.910904304474</c:v>
                </c:pt>
                <c:pt idx="86" formatCode="0">
                  <c:v>78882.131545451542</c:v>
                </c:pt>
                <c:pt idx="87" formatCode="0">
                  <c:v>79339.037247691696</c:v>
                </c:pt>
                <c:pt idx="88" formatCode="0">
                  <c:v>79691.356662126273</c:v>
                </c:pt>
                <c:pt idx="89" formatCode="0">
                  <c:v>79795.31716260525</c:v>
                </c:pt>
                <c:pt idx="90" formatCode="0">
                  <c:v>79992.105700168278</c:v>
                </c:pt>
                <c:pt idx="91" formatCode="0">
                  <c:v>80593.89757811524</c:v>
                </c:pt>
                <c:pt idx="92" formatCode="0">
                  <c:v>81619.973429469595</c:v>
                </c:pt>
                <c:pt idx="93" formatCode="0">
                  <c:v>82318.475019059944</c:v>
                </c:pt>
                <c:pt idx="94" formatCode="0">
                  <c:v>82712.472850191436</c:v>
                </c:pt>
                <c:pt idx="95" formatCode="0">
                  <c:v>82845.97520357008</c:v>
                </c:pt>
                <c:pt idx="96" formatCode="0">
                  <c:v>83613.400913472971</c:v>
                </c:pt>
                <c:pt idx="97" formatCode="0">
                  <c:v>84687.269551505931</c:v>
                </c:pt>
                <c:pt idx="98" formatCode="0">
                  <c:v>86030.297020686456</c:v>
                </c:pt>
                <c:pt idx="99" formatCode="0">
                  <c:v>86694.784382210899</c:v>
                </c:pt>
                <c:pt idx="100" formatCode="0">
                  <c:v>86745.302133458652</c:v>
                </c:pt>
                <c:pt idx="101" formatCode="0">
                  <c:v>86522.168938874456</c:v>
                </c:pt>
                <c:pt idx="102" formatCode="0">
                  <c:v>86979.561065264643</c:v>
                </c:pt>
                <c:pt idx="103" formatCode="0">
                  <c:v>86971.863336281938</c:v>
                </c:pt>
                <c:pt idx="104" formatCode="0">
                  <c:v>87324.595187926141</c:v>
                </c:pt>
                <c:pt idx="105" formatCode="0">
                  <c:v>87648.164324284866</c:v>
                </c:pt>
                <c:pt idx="106" formatCode="0">
                  <c:v>87992.904826603059</c:v>
                </c:pt>
                <c:pt idx="107" formatCode="0">
                  <c:v>88731.758805376725</c:v>
                </c:pt>
                <c:pt idx="108" formatCode="0">
                  <c:v>89716.038905034467</c:v>
                </c:pt>
                <c:pt idx="109" formatCode="0">
                  <c:v>90549.076146916414</c:v>
                </c:pt>
                <c:pt idx="110" formatCode="0">
                  <c:v>90728.037280870602</c:v>
                </c:pt>
                <c:pt idx="111" formatCode="0">
                  <c:v>91109.388478155932</c:v>
                </c:pt>
                <c:pt idx="112" formatCode="0">
                  <c:v>91759.368510994827</c:v>
                </c:pt>
                <c:pt idx="113" formatCode="0">
                  <c:v>92133.51405785892</c:v>
                </c:pt>
                <c:pt idx="114" formatCode="0">
                  <c:v>92569.096516623715</c:v>
                </c:pt>
                <c:pt idx="115" formatCode="0">
                  <c:v>93060.775040771288</c:v>
                </c:pt>
                <c:pt idx="116" formatCode="0">
                  <c:v>93071.968323593901</c:v>
                </c:pt>
                <c:pt idx="117" formatCode="0">
                  <c:v>93194.034670041336</c:v>
                </c:pt>
                <c:pt idx="118" formatCode="0">
                  <c:v>93367.507949843828</c:v>
                </c:pt>
                <c:pt idx="119" formatCode="0">
                  <c:v>93920.958897902543</c:v>
                </c:pt>
                <c:pt idx="120" formatCode="0">
                  <c:v>94628.773126970831</c:v>
                </c:pt>
                <c:pt idx="121" formatCode="0">
                  <c:v>95249.090751064941</c:v>
                </c:pt>
                <c:pt idx="122" formatCode="0">
                  <c:v>95910.265217593638</c:v>
                </c:pt>
                <c:pt idx="123" formatCode="0">
                  <c:v>96503.693627297005</c:v>
                </c:pt>
                <c:pt idx="124" formatCode="0">
                  <c:v>97137.626345502737</c:v>
                </c:pt>
                <c:pt idx="125" formatCode="0">
                  <c:v>97960.73955328131</c:v>
                </c:pt>
                <c:pt idx="126" formatCode="0">
                  <c:v>98727.304284398866</c:v>
                </c:pt>
                <c:pt idx="127" formatCode="0">
                  <c:v>99256.417686915665</c:v>
                </c:pt>
                <c:pt idx="128" formatCode="0">
                  <c:v>100279.63548620505</c:v>
                </c:pt>
                <c:pt idx="129" formatCode="0">
                  <c:v>100960.3434044302</c:v>
                </c:pt>
                <c:pt idx="130" formatCode="0">
                  <c:v>102129.61021244235</c:v>
                </c:pt>
                <c:pt idx="131" formatCode="0">
                  <c:v>103187.09553249084</c:v>
                </c:pt>
                <c:pt idx="132" formatCode="0">
                  <c:v>104100.26259717823</c:v>
                </c:pt>
                <c:pt idx="133" formatCode="0">
                  <c:v>105350.06307858342</c:v>
                </c:pt>
                <c:pt idx="134" formatCode="0">
                  <c:v>106324.24487048594</c:v>
                </c:pt>
                <c:pt idx="135" formatCode="0">
                  <c:v>107520.03508610115</c:v>
                </c:pt>
                <c:pt idx="136" formatCode="0">
                  <c:v>108317.12467480937</c:v>
                </c:pt>
                <c:pt idx="137" formatCode="0">
                  <c:v>108970.48681819043</c:v>
                </c:pt>
                <c:pt idx="138" formatCode="0">
                  <c:v>109876.39089355858</c:v>
                </c:pt>
                <c:pt idx="139" formatCode="0">
                  <c:v>110547.03980258081</c:v>
                </c:pt>
                <c:pt idx="140" formatCode="0">
                  <c:v>111524.71036087781</c:v>
                </c:pt>
                <c:pt idx="141" formatCode="0">
                  <c:v>112362.85744211005</c:v>
                </c:pt>
                <c:pt idx="142" formatCode="0">
                  <c:v>113191.09272588682</c:v>
                </c:pt>
                <c:pt idx="143" formatCode="0">
                  <c:v>114012.33211005788</c:v>
                </c:pt>
                <c:pt idx="144" formatCode="0">
                  <c:v>114452.72496562886</c:v>
                </c:pt>
                <c:pt idx="145" formatCode="0">
                  <c:v>114763.75213754637</c:v>
                </c:pt>
                <c:pt idx="146" formatCode="0">
                  <c:v>114833.98722453842</c:v>
                </c:pt>
                <c:pt idx="147" formatCode="0">
                  <c:v>107753.90986941854</c:v>
                </c:pt>
                <c:pt idx="148" formatCode="0">
                  <c:v>106162.37991218966</c:v>
                </c:pt>
                <c:pt idx="149" formatCode="0">
                  <c:v>112359.26571877633</c:v>
                </c:pt>
                <c:pt idx="150" formatCode="0">
                  <c:v>115261.81152399418</c:v>
                </c:pt>
                <c:pt idx="151" formatCode="0">
                  <c:v>116878.08913522019</c:v>
                </c:pt>
                <c:pt idx="152" formatCode="0">
                  <c:v>115002.86272083283</c:v>
                </c:pt>
                <c:pt idx="153" formatCode="0">
                  <c:v>119011.36870268673</c:v>
                </c:pt>
                <c:pt idx="154" formatCode="0">
                  <c:v>120303.32114201692</c:v>
                </c:pt>
                <c:pt idx="155" formatCode="0">
                  <c:v>121609.29863730342</c:v>
                </c:pt>
                <c:pt idx="156" formatCode="0">
                  <c:v>120252.4642383748</c:v>
                </c:pt>
                <c:pt idx="157" formatCode="0">
                  <c:v>121599.2918378446</c:v>
                </c:pt>
                <c:pt idx="158" formatCode="0">
                  <c:v>123366.78450636969</c:v>
                </c:pt>
                <c:pt idx="159" formatCode="0">
                  <c:v>123893.1132334802</c:v>
                </c:pt>
                <c:pt idx="160" formatCode="0">
                  <c:v>123504.79524987857</c:v>
                </c:pt>
                <c:pt idx="161" formatCode="0">
                  <c:v>123616.20995913558</c:v>
                </c:pt>
                <c:pt idx="162" formatCode="0">
                  <c:v>124042.99687103419</c:v>
                </c:pt>
                <c:pt idx="163" formatCode="0">
                  <c:v>124729.55357704063</c:v>
                </c:pt>
                <c:pt idx="164" formatCode="0">
                  <c:v>125632.20161365812</c:v>
                </c:pt>
                <c:pt idx="165" formatCode="0">
                  <c:v>126531.66806840866</c:v>
                </c:pt>
                <c:pt idx="166" formatCode="0">
                  <c:v>127568.4123777332</c:v>
                </c:pt>
                <c:pt idx="167" formatCode="0">
                  <c:v>128588.55554809746</c:v>
                </c:pt>
                <c:pt idx="168" formatCode="0">
                  <c:v>129273.24679525486</c:v>
                </c:pt>
                <c:pt idx="169" formatCode="0">
                  <c:v>130138.37001926599</c:v>
                </c:pt>
                <c:pt idx="170" formatCode="0">
                  <c:v>131066.98755267887</c:v>
                </c:pt>
                <c:pt idx="171" formatCode="0">
                  <c:v>131970.19135653425</c:v>
                </c:pt>
                <c:pt idx="172" formatCode="0">
                  <c:v>132733.09279971401</c:v>
                </c:pt>
                <c:pt idx="173" formatCode="0">
                  <c:v>133744.36385498743</c:v>
                </c:pt>
                <c:pt idx="174" formatCode="0">
                  <c:v>134769.651777233</c:v>
                </c:pt>
                <c:pt idx="175" formatCode="0">
                  <c:v>135782.89416226227</c:v>
                </c:pt>
              </c:numCache>
            </c:numRef>
          </c:val>
          <c:smooth val="0"/>
          <c:extLst xmlns:c15="http://schemas.microsoft.com/office/drawing/2012/chart">
            <c:ext xmlns:c16="http://schemas.microsoft.com/office/drawing/2014/chart" uri="{C3380CC4-5D6E-409C-BE32-E72D297353CC}">
              <c16:uniqueId val="{00000000-3A4B-4775-966E-1EFB9F5FE023}"/>
            </c:ext>
          </c:extLst>
        </c:ser>
        <c:ser>
          <c:idx val="9"/>
          <c:order val="1"/>
          <c:tx>
            <c:v>Quarterly GSP</c:v>
          </c:tx>
          <c:spPr>
            <a:ln w="15875">
              <a:solidFill>
                <a:sysClr val="window" lastClr="FFFFFF">
                  <a:lumMod val="50000"/>
                </a:sysClr>
              </a:solidFill>
            </a:ln>
          </c:spPr>
          <c:marker>
            <c:symbol val="none"/>
          </c:marker>
          <c:cat>
            <c:numRef>
              <c:f>'data-gsp-q'!$A$3:$A$178</c:f>
              <c:numCache>
                <c:formatCode>mmm\-yy</c:formatCode>
                <c:ptCount val="176"/>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pt idx="127">
                  <c:v>42156</c:v>
                </c:pt>
                <c:pt idx="128">
                  <c:v>42248</c:v>
                </c:pt>
                <c:pt idx="129">
                  <c:v>42339</c:v>
                </c:pt>
                <c:pt idx="130">
                  <c:v>42430</c:v>
                </c:pt>
                <c:pt idx="131">
                  <c:v>42522</c:v>
                </c:pt>
                <c:pt idx="132">
                  <c:v>42614</c:v>
                </c:pt>
                <c:pt idx="133">
                  <c:v>42705</c:v>
                </c:pt>
                <c:pt idx="134">
                  <c:v>42795</c:v>
                </c:pt>
                <c:pt idx="135">
                  <c:v>42887</c:v>
                </c:pt>
                <c:pt idx="136">
                  <c:v>42979</c:v>
                </c:pt>
                <c:pt idx="137">
                  <c:v>43070</c:v>
                </c:pt>
                <c:pt idx="138">
                  <c:v>43160</c:v>
                </c:pt>
                <c:pt idx="139">
                  <c:v>43252</c:v>
                </c:pt>
                <c:pt idx="140">
                  <c:v>43344</c:v>
                </c:pt>
                <c:pt idx="141">
                  <c:v>43435</c:v>
                </c:pt>
                <c:pt idx="142">
                  <c:v>43525</c:v>
                </c:pt>
                <c:pt idx="143">
                  <c:v>43617</c:v>
                </c:pt>
                <c:pt idx="144">
                  <c:v>43709</c:v>
                </c:pt>
                <c:pt idx="145">
                  <c:v>43800</c:v>
                </c:pt>
                <c:pt idx="146">
                  <c:v>43891</c:v>
                </c:pt>
                <c:pt idx="147">
                  <c:v>43983</c:v>
                </c:pt>
                <c:pt idx="148">
                  <c:v>44075</c:v>
                </c:pt>
                <c:pt idx="149">
                  <c:v>44166</c:v>
                </c:pt>
                <c:pt idx="150">
                  <c:v>44256</c:v>
                </c:pt>
                <c:pt idx="151">
                  <c:v>44348</c:v>
                </c:pt>
                <c:pt idx="152">
                  <c:v>44440</c:v>
                </c:pt>
                <c:pt idx="153">
                  <c:v>44531</c:v>
                </c:pt>
                <c:pt idx="154">
                  <c:v>44621</c:v>
                </c:pt>
                <c:pt idx="155">
                  <c:v>44713</c:v>
                </c:pt>
                <c:pt idx="156">
                  <c:v>44805</c:v>
                </c:pt>
                <c:pt idx="157">
                  <c:v>44896</c:v>
                </c:pt>
                <c:pt idx="158">
                  <c:v>44986</c:v>
                </c:pt>
                <c:pt idx="159">
                  <c:v>45078</c:v>
                </c:pt>
                <c:pt idx="160">
                  <c:v>45170</c:v>
                </c:pt>
                <c:pt idx="161">
                  <c:v>45261</c:v>
                </c:pt>
                <c:pt idx="162">
                  <c:v>45352</c:v>
                </c:pt>
                <c:pt idx="163">
                  <c:v>45444</c:v>
                </c:pt>
                <c:pt idx="164">
                  <c:v>45536</c:v>
                </c:pt>
                <c:pt idx="165">
                  <c:v>45627</c:v>
                </c:pt>
                <c:pt idx="166">
                  <c:v>45717</c:v>
                </c:pt>
                <c:pt idx="167">
                  <c:v>45809</c:v>
                </c:pt>
                <c:pt idx="168">
                  <c:v>45901</c:v>
                </c:pt>
                <c:pt idx="169">
                  <c:v>45992</c:v>
                </c:pt>
                <c:pt idx="170">
                  <c:v>46082</c:v>
                </c:pt>
                <c:pt idx="171">
                  <c:v>46174</c:v>
                </c:pt>
                <c:pt idx="172">
                  <c:v>46266</c:v>
                </c:pt>
                <c:pt idx="173">
                  <c:v>46357</c:v>
                </c:pt>
                <c:pt idx="174">
                  <c:v>46447</c:v>
                </c:pt>
                <c:pt idx="175">
                  <c:v>46539</c:v>
                </c:pt>
              </c:numCache>
            </c:numRef>
          </c:cat>
          <c:val>
            <c:numRef>
              <c:f>'data-gsp-q'!$B$3:$B$178</c:f>
              <c:numCache>
                <c:formatCode>General</c:formatCode>
                <c:ptCount val="176"/>
                <c:pt idx="21" formatCode="0">
                  <c:v>47908.025587856726</c:v>
                </c:pt>
                <c:pt idx="22" formatCode="0">
                  <c:v>48258.290876794003</c:v>
                </c:pt>
                <c:pt idx="23" formatCode="0">
                  <c:v>48887.721646542588</c:v>
                </c:pt>
                <c:pt idx="24" formatCode="0">
                  <c:v>49122.14498838396</c:v>
                </c:pt>
                <c:pt idx="25" formatCode="0">
                  <c:v>49227.412842344471</c:v>
                </c:pt>
                <c:pt idx="26" formatCode="0">
                  <c:v>49525.62120165884</c:v>
                </c:pt>
                <c:pt idx="27" formatCode="0">
                  <c:v>49275.820967612737</c:v>
                </c:pt>
                <c:pt idx="28" formatCode="0">
                  <c:v>48619.059893621125</c:v>
                </c:pt>
                <c:pt idx="29" formatCode="0">
                  <c:v>48271.438159601646</c:v>
                </c:pt>
                <c:pt idx="30" formatCode="0">
                  <c:v>47541.964318693885</c:v>
                </c:pt>
                <c:pt idx="31" formatCode="0">
                  <c:v>47373.730973845311</c:v>
                </c:pt>
                <c:pt idx="32" formatCode="0">
                  <c:v>47180.979039791629</c:v>
                </c:pt>
                <c:pt idx="33" formatCode="0">
                  <c:v>47102.116951009411</c:v>
                </c:pt>
                <c:pt idx="34" formatCode="0">
                  <c:v>47247.257352635374</c:v>
                </c:pt>
                <c:pt idx="35" formatCode="0">
                  <c:v>47536.789970876351</c:v>
                </c:pt>
                <c:pt idx="36" formatCode="0">
                  <c:v>48453.598815379577</c:v>
                </c:pt>
                <c:pt idx="37" formatCode="0">
                  <c:v>49427.276734285457</c:v>
                </c:pt>
                <c:pt idx="38" formatCode="0">
                  <c:v>49971.40795826813</c:v>
                </c:pt>
                <c:pt idx="39" formatCode="0">
                  <c:v>50348.91631920838</c:v>
                </c:pt>
                <c:pt idx="40" formatCode="0">
                  <c:v>50530.178734979869</c:v>
                </c:pt>
                <c:pt idx="41" formatCode="0">
                  <c:v>51004.996579450046</c:v>
                </c:pt>
                <c:pt idx="42" formatCode="0">
                  <c:v>51344.193072063215</c:v>
                </c:pt>
                <c:pt idx="43" formatCode="0">
                  <c:v>51767.369322467042</c:v>
                </c:pt>
                <c:pt idx="44" formatCode="0">
                  <c:v>52210.690912542559</c:v>
                </c:pt>
                <c:pt idx="45" formatCode="0">
                  <c:v>52598.089009347219</c:v>
                </c:pt>
                <c:pt idx="46" formatCode="0">
                  <c:v>52763.786015683385</c:v>
                </c:pt>
                <c:pt idx="47" formatCode="0">
                  <c:v>53246.392412613292</c:v>
                </c:pt>
                <c:pt idx="48" formatCode="0">
                  <c:v>53968.4445404863</c:v>
                </c:pt>
                <c:pt idx="49" formatCode="0">
                  <c:v>54278.951525731231</c:v>
                </c:pt>
                <c:pt idx="50" formatCode="0">
                  <c:v>55043.869245147936</c:v>
                </c:pt>
                <c:pt idx="51" formatCode="0">
                  <c:v>55350.956430599261</c:v>
                </c:pt>
                <c:pt idx="52" formatCode="0">
                  <c:v>55890.687939271273</c:v>
                </c:pt>
                <c:pt idx="53" formatCode="0">
                  <c:v>56656.276864920721</c:v>
                </c:pt>
                <c:pt idx="54" formatCode="0">
                  <c:v>57427.461455145705</c:v>
                </c:pt>
                <c:pt idx="55" formatCode="0">
                  <c:v>58546.442202413462</c:v>
                </c:pt>
                <c:pt idx="56" formatCode="0">
                  <c:v>58998.915890442513</c:v>
                </c:pt>
                <c:pt idx="57" formatCode="0">
                  <c:v>59978.390478413414</c:v>
                </c:pt>
                <c:pt idx="58" formatCode="0">
                  <c:v>60809.046729677641</c:v>
                </c:pt>
                <c:pt idx="59" formatCode="0">
                  <c:v>62120.591652641073</c:v>
                </c:pt>
                <c:pt idx="60" formatCode="0">
                  <c:v>63258.308746517621</c:v>
                </c:pt>
                <c:pt idx="61" formatCode="0">
                  <c:v>63966.615294593801</c:v>
                </c:pt>
                <c:pt idx="62" formatCode="0">
                  <c:v>64414.909244200579</c:v>
                </c:pt>
                <c:pt idx="63" formatCode="0">
                  <c:v>64809.652508453531</c:v>
                </c:pt>
                <c:pt idx="64" formatCode="0">
                  <c:v>65679.759414478089</c:v>
                </c:pt>
                <c:pt idx="65" formatCode="0">
                  <c:v>66432.738555895834</c:v>
                </c:pt>
                <c:pt idx="66" formatCode="0">
                  <c:v>66885.848081100339</c:v>
                </c:pt>
                <c:pt idx="67" formatCode="0">
                  <c:v>67286.969660151735</c:v>
                </c:pt>
                <c:pt idx="68" formatCode="0">
                  <c:v>67123.182120573183</c:v>
                </c:pt>
                <c:pt idx="69" formatCode="0">
                  <c:v>67270.644552935526</c:v>
                </c:pt>
                <c:pt idx="70" formatCode="0">
                  <c:v>67689.037833555078</c:v>
                </c:pt>
                <c:pt idx="71" formatCode="0">
                  <c:v>68142.770848927947</c:v>
                </c:pt>
                <c:pt idx="72" formatCode="0">
                  <c:v>68947.186451712958</c:v>
                </c:pt>
                <c:pt idx="73" formatCode="0">
                  <c:v>69735.464818705586</c:v>
                </c:pt>
                <c:pt idx="74" formatCode="0">
                  <c:v>70773.43501079749</c:v>
                </c:pt>
                <c:pt idx="75" formatCode="0">
                  <c:v>71747.676117142895</c:v>
                </c:pt>
                <c:pt idx="76" formatCode="0">
                  <c:v>72192.594733762089</c:v>
                </c:pt>
                <c:pt idx="77" formatCode="0">
                  <c:v>72636.324897965853</c:v>
                </c:pt>
                <c:pt idx="78" formatCode="0">
                  <c:v>72926.716771153835</c:v>
                </c:pt>
                <c:pt idx="79" formatCode="0">
                  <c:v>73378.455086114889</c:v>
                </c:pt>
                <c:pt idx="80" formatCode="0">
                  <c:v>74295.549657342417</c:v>
                </c:pt>
                <c:pt idx="81" formatCode="0">
                  <c:v>75089.543984798016</c:v>
                </c:pt>
                <c:pt idx="82" formatCode="0">
                  <c:v>75437.844534713062</c:v>
                </c:pt>
                <c:pt idx="83" formatCode="0">
                  <c:v>76159.828380530453</c:v>
                </c:pt>
                <c:pt idx="84" formatCode="0">
                  <c:v>77247.736404670519</c:v>
                </c:pt>
                <c:pt idx="85" formatCode="0">
                  <c:v>78101.910904304474</c:v>
                </c:pt>
                <c:pt idx="86" formatCode="0">
                  <c:v>78882.131545451542</c:v>
                </c:pt>
                <c:pt idx="87" formatCode="0">
                  <c:v>79339.037247691696</c:v>
                </c:pt>
                <c:pt idx="88" formatCode="0">
                  <c:v>79691.356662126273</c:v>
                </c:pt>
                <c:pt idx="89" formatCode="0">
                  <c:v>79795.31716260525</c:v>
                </c:pt>
                <c:pt idx="90" formatCode="0">
                  <c:v>79992.105700168278</c:v>
                </c:pt>
                <c:pt idx="91" formatCode="0">
                  <c:v>80593.89757811524</c:v>
                </c:pt>
                <c:pt idx="92" formatCode="0">
                  <c:v>81619.973429469595</c:v>
                </c:pt>
                <c:pt idx="93" formatCode="0">
                  <c:v>82318.475019059944</c:v>
                </c:pt>
                <c:pt idx="94" formatCode="0">
                  <c:v>82712.472850191436</c:v>
                </c:pt>
                <c:pt idx="95" formatCode="0">
                  <c:v>82845.97520357008</c:v>
                </c:pt>
                <c:pt idx="96" formatCode="0">
                  <c:v>83613.400913472971</c:v>
                </c:pt>
                <c:pt idx="97" formatCode="0">
                  <c:v>84687.269551505931</c:v>
                </c:pt>
                <c:pt idx="98" formatCode="0">
                  <c:v>86030.297020686456</c:v>
                </c:pt>
                <c:pt idx="99" formatCode="0">
                  <c:v>86694.784382210899</c:v>
                </c:pt>
                <c:pt idx="100" formatCode="0">
                  <c:v>86745.302133458652</c:v>
                </c:pt>
                <c:pt idx="101" formatCode="0">
                  <c:v>86522.168938874456</c:v>
                </c:pt>
                <c:pt idx="102" formatCode="0">
                  <c:v>86979.561065264643</c:v>
                </c:pt>
                <c:pt idx="103" formatCode="0">
                  <c:v>86971.863336281938</c:v>
                </c:pt>
                <c:pt idx="104" formatCode="0">
                  <c:v>87324.595187926141</c:v>
                </c:pt>
                <c:pt idx="105" formatCode="0">
                  <c:v>87648.164324284866</c:v>
                </c:pt>
                <c:pt idx="106" formatCode="0">
                  <c:v>87992.904826603059</c:v>
                </c:pt>
                <c:pt idx="107" formatCode="0">
                  <c:v>88731.758805376725</c:v>
                </c:pt>
                <c:pt idx="108" formatCode="0">
                  <c:v>89716.038905034467</c:v>
                </c:pt>
                <c:pt idx="109" formatCode="0">
                  <c:v>90549.076146916414</c:v>
                </c:pt>
                <c:pt idx="110" formatCode="0">
                  <c:v>90728.037280870602</c:v>
                </c:pt>
                <c:pt idx="111" formatCode="0">
                  <c:v>91109.388478155932</c:v>
                </c:pt>
                <c:pt idx="112" formatCode="0">
                  <c:v>91759.368510994827</c:v>
                </c:pt>
                <c:pt idx="113" formatCode="0">
                  <c:v>92133.51405785892</c:v>
                </c:pt>
                <c:pt idx="114" formatCode="0">
                  <c:v>92569.096516623715</c:v>
                </c:pt>
                <c:pt idx="115" formatCode="0">
                  <c:v>93060.775040771288</c:v>
                </c:pt>
                <c:pt idx="116" formatCode="0">
                  <c:v>93071.968323593901</c:v>
                </c:pt>
                <c:pt idx="117" formatCode="0">
                  <c:v>93194.034670041336</c:v>
                </c:pt>
                <c:pt idx="118" formatCode="0">
                  <c:v>93367.507949843828</c:v>
                </c:pt>
                <c:pt idx="119" formatCode="0">
                  <c:v>93920.958897902543</c:v>
                </c:pt>
                <c:pt idx="120" formatCode="0">
                  <c:v>94628.773126970831</c:v>
                </c:pt>
                <c:pt idx="121" formatCode="0">
                  <c:v>95249.090751064941</c:v>
                </c:pt>
                <c:pt idx="122" formatCode="0">
                  <c:v>95910.265217593638</c:v>
                </c:pt>
                <c:pt idx="123" formatCode="0">
                  <c:v>96503.693627297005</c:v>
                </c:pt>
                <c:pt idx="124" formatCode="0">
                  <c:v>97137.626345502737</c:v>
                </c:pt>
                <c:pt idx="125" formatCode="0">
                  <c:v>97960.73955328131</c:v>
                </c:pt>
                <c:pt idx="126" formatCode="0">
                  <c:v>98727.304284398866</c:v>
                </c:pt>
                <c:pt idx="127" formatCode="0">
                  <c:v>99256.417686915665</c:v>
                </c:pt>
                <c:pt idx="128" formatCode="0">
                  <c:v>100279.63548620505</c:v>
                </c:pt>
                <c:pt idx="129" formatCode="0">
                  <c:v>100960.3434044302</c:v>
                </c:pt>
                <c:pt idx="130" formatCode="0">
                  <c:v>102129.61021244235</c:v>
                </c:pt>
                <c:pt idx="131" formatCode="0">
                  <c:v>103187.09553249084</c:v>
                </c:pt>
                <c:pt idx="132" formatCode="0">
                  <c:v>104100.26259717823</c:v>
                </c:pt>
                <c:pt idx="133" formatCode="0">
                  <c:v>105350.06307858342</c:v>
                </c:pt>
                <c:pt idx="134" formatCode="0">
                  <c:v>106324.24487048594</c:v>
                </c:pt>
                <c:pt idx="135" formatCode="0">
                  <c:v>107520.03508610115</c:v>
                </c:pt>
                <c:pt idx="136" formatCode="0">
                  <c:v>108317.12467480937</c:v>
                </c:pt>
                <c:pt idx="137" formatCode="0">
                  <c:v>108970.48681819043</c:v>
                </c:pt>
                <c:pt idx="138" formatCode="0">
                  <c:v>109876.39089355858</c:v>
                </c:pt>
                <c:pt idx="139" formatCode="0">
                  <c:v>110547.03980258081</c:v>
                </c:pt>
                <c:pt idx="140" formatCode="0">
                  <c:v>111524.71036087781</c:v>
                </c:pt>
                <c:pt idx="141" formatCode="0">
                  <c:v>112362.85744211005</c:v>
                </c:pt>
                <c:pt idx="142" formatCode="0">
                  <c:v>113191.09272588682</c:v>
                </c:pt>
                <c:pt idx="143" formatCode="0">
                  <c:v>114012.33211005788</c:v>
                </c:pt>
                <c:pt idx="144" formatCode="0">
                  <c:v>114452.72496562886</c:v>
                </c:pt>
                <c:pt idx="145" formatCode="0">
                  <c:v>114763.75213754637</c:v>
                </c:pt>
                <c:pt idx="146" formatCode="0">
                  <c:v>114833.98722453842</c:v>
                </c:pt>
                <c:pt idx="147" formatCode="0">
                  <c:v>107753.90986941854</c:v>
                </c:pt>
                <c:pt idx="148" formatCode="0">
                  <c:v>106162.37991218966</c:v>
                </c:pt>
                <c:pt idx="149" formatCode="0">
                  <c:v>112359.26571877633</c:v>
                </c:pt>
                <c:pt idx="150" formatCode="0">
                  <c:v>115261.81152399418</c:v>
                </c:pt>
                <c:pt idx="151" formatCode="0">
                  <c:v>116878.08913522019</c:v>
                </c:pt>
                <c:pt idx="152" formatCode="0">
                  <c:v>115002.86272083283</c:v>
                </c:pt>
                <c:pt idx="153" formatCode="0">
                  <c:v>119011.36870268673</c:v>
                </c:pt>
                <c:pt idx="154" formatCode="0">
                  <c:v>120303.32114201692</c:v>
                </c:pt>
                <c:pt idx="155" formatCode="0">
                  <c:v>121609.29863730342</c:v>
                </c:pt>
                <c:pt idx="156" formatCode="0">
                  <c:v>120252.4642383748</c:v>
                </c:pt>
                <c:pt idx="157" formatCode="0">
                  <c:v>121599.2918378446</c:v>
                </c:pt>
                <c:pt idx="158" formatCode="0">
                  <c:v>123366.78450636969</c:v>
                </c:pt>
                <c:pt idx="159" formatCode="0">
                  <c:v>123893.1132334802</c:v>
                </c:pt>
                <c:pt idx="160" formatCode="0">
                  <c:v>123504.79524987857</c:v>
                </c:pt>
                <c:pt idx="161" formatCode="0">
                  <c:v>123616.20995913558</c:v>
                </c:pt>
                <c:pt idx="162" formatCode="0">
                  <c:v>124042.99687103419</c:v>
                </c:pt>
                <c:pt idx="163" formatCode="0">
                  <c:v>124729.55357704063</c:v>
                </c:pt>
                <c:pt idx="164" formatCode="0">
                  <c:v>125632.20161365812</c:v>
                </c:pt>
                <c:pt idx="165" formatCode="0">
                  <c:v>126531.66806840866</c:v>
                </c:pt>
                <c:pt idx="166" formatCode="0">
                  <c:v>127568.4123777332</c:v>
                </c:pt>
                <c:pt idx="167" formatCode="0">
                  <c:v>128588.55554809746</c:v>
                </c:pt>
                <c:pt idx="168" formatCode="0">
                  <c:v>129273.24679525486</c:v>
                </c:pt>
                <c:pt idx="169" formatCode="0">
                  <c:v>130138.37001926599</c:v>
                </c:pt>
                <c:pt idx="170" formatCode="0">
                  <c:v>131066.98755267887</c:v>
                </c:pt>
                <c:pt idx="171" formatCode="0">
                  <c:v>131970.19135653425</c:v>
                </c:pt>
                <c:pt idx="172" formatCode="0">
                  <c:v>132733.09279971401</c:v>
                </c:pt>
                <c:pt idx="173" formatCode="0">
                  <c:v>133744.36385498743</c:v>
                </c:pt>
                <c:pt idx="174" formatCode="0">
                  <c:v>134769.651777233</c:v>
                </c:pt>
                <c:pt idx="175" formatCode="0">
                  <c:v>135782.89416226227</c:v>
                </c:pt>
              </c:numCache>
            </c:numRef>
          </c:val>
          <c:smooth val="0"/>
          <c:extLst>
            <c:ext xmlns:c16="http://schemas.microsoft.com/office/drawing/2014/chart" uri="{C3380CC4-5D6E-409C-BE32-E72D297353CC}">
              <c16:uniqueId val="{00000001-3A4B-4775-966E-1EFB9F5FE023}"/>
            </c:ext>
          </c:extLst>
        </c:ser>
        <c:ser>
          <c:idx val="10"/>
          <c:order val="2"/>
          <c:tx>
            <c:strRef>
              <c:f>'data-gsp-q'!$C$2</c:f>
              <c:strCache>
                <c:ptCount val="1"/>
                <c:pt idx="0">
                  <c:v>Q%</c:v>
                </c:pt>
              </c:strCache>
            </c:strRef>
          </c:tx>
          <c:marker>
            <c:symbol val="none"/>
          </c:marker>
          <c:cat>
            <c:numRef>
              <c:f>'data-gsp-q'!$A$3:$A$178</c:f>
              <c:numCache>
                <c:formatCode>mmm\-yy</c:formatCode>
                <c:ptCount val="176"/>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pt idx="127">
                  <c:v>42156</c:v>
                </c:pt>
                <c:pt idx="128">
                  <c:v>42248</c:v>
                </c:pt>
                <c:pt idx="129">
                  <c:v>42339</c:v>
                </c:pt>
                <c:pt idx="130">
                  <c:v>42430</c:v>
                </c:pt>
                <c:pt idx="131">
                  <c:v>42522</c:v>
                </c:pt>
                <c:pt idx="132">
                  <c:v>42614</c:v>
                </c:pt>
                <c:pt idx="133">
                  <c:v>42705</c:v>
                </c:pt>
                <c:pt idx="134">
                  <c:v>42795</c:v>
                </c:pt>
                <c:pt idx="135">
                  <c:v>42887</c:v>
                </c:pt>
                <c:pt idx="136">
                  <c:v>42979</c:v>
                </c:pt>
                <c:pt idx="137">
                  <c:v>43070</c:v>
                </c:pt>
                <c:pt idx="138">
                  <c:v>43160</c:v>
                </c:pt>
                <c:pt idx="139">
                  <c:v>43252</c:v>
                </c:pt>
                <c:pt idx="140">
                  <c:v>43344</c:v>
                </c:pt>
                <c:pt idx="141">
                  <c:v>43435</c:v>
                </c:pt>
                <c:pt idx="142">
                  <c:v>43525</c:v>
                </c:pt>
                <c:pt idx="143">
                  <c:v>43617</c:v>
                </c:pt>
                <c:pt idx="144">
                  <c:v>43709</c:v>
                </c:pt>
                <c:pt idx="145">
                  <c:v>43800</c:v>
                </c:pt>
                <c:pt idx="146">
                  <c:v>43891</c:v>
                </c:pt>
                <c:pt idx="147">
                  <c:v>43983</c:v>
                </c:pt>
                <c:pt idx="148">
                  <c:v>44075</c:v>
                </c:pt>
                <c:pt idx="149">
                  <c:v>44166</c:v>
                </c:pt>
                <c:pt idx="150">
                  <c:v>44256</c:v>
                </c:pt>
                <c:pt idx="151">
                  <c:v>44348</c:v>
                </c:pt>
                <c:pt idx="152">
                  <c:v>44440</c:v>
                </c:pt>
                <c:pt idx="153">
                  <c:v>44531</c:v>
                </c:pt>
                <c:pt idx="154">
                  <c:v>44621</c:v>
                </c:pt>
                <c:pt idx="155">
                  <c:v>44713</c:v>
                </c:pt>
                <c:pt idx="156">
                  <c:v>44805</c:v>
                </c:pt>
                <c:pt idx="157">
                  <c:v>44896</c:v>
                </c:pt>
                <c:pt idx="158">
                  <c:v>44986</c:v>
                </c:pt>
                <c:pt idx="159">
                  <c:v>45078</c:v>
                </c:pt>
                <c:pt idx="160">
                  <c:v>45170</c:v>
                </c:pt>
                <c:pt idx="161">
                  <c:v>45261</c:v>
                </c:pt>
                <c:pt idx="162">
                  <c:v>45352</c:v>
                </c:pt>
                <c:pt idx="163">
                  <c:v>45444</c:v>
                </c:pt>
                <c:pt idx="164">
                  <c:v>45536</c:v>
                </c:pt>
                <c:pt idx="165">
                  <c:v>45627</c:v>
                </c:pt>
                <c:pt idx="166">
                  <c:v>45717</c:v>
                </c:pt>
                <c:pt idx="167">
                  <c:v>45809</c:v>
                </c:pt>
                <c:pt idx="168">
                  <c:v>45901</c:v>
                </c:pt>
                <c:pt idx="169">
                  <c:v>45992</c:v>
                </c:pt>
                <c:pt idx="170">
                  <c:v>46082</c:v>
                </c:pt>
                <c:pt idx="171">
                  <c:v>46174</c:v>
                </c:pt>
                <c:pt idx="172">
                  <c:v>46266</c:v>
                </c:pt>
                <c:pt idx="173">
                  <c:v>46357</c:v>
                </c:pt>
                <c:pt idx="174">
                  <c:v>46447</c:v>
                </c:pt>
                <c:pt idx="175">
                  <c:v>46539</c:v>
                </c:pt>
              </c:numCache>
            </c:numRef>
          </c:cat>
          <c:val>
            <c:numRef>
              <c:f>'data-gsp-q'!$C$3:$C$174</c:f>
              <c:numCache>
                <c:formatCode>General</c:formatCode>
                <c:ptCount val="172"/>
                <c:pt idx="22" formatCode="0.00">
                  <c:v>0.73112027606927477</c:v>
                </c:pt>
                <c:pt idx="23" formatCode="0.00">
                  <c:v>1.3042956107905956</c:v>
                </c:pt>
                <c:pt idx="24" formatCode="0.00">
                  <c:v>0.47951373871797376</c:v>
                </c:pt>
                <c:pt idx="25" formatCode="0.00">
                  <c:v>0.21429816223499376</c:v>
                </c:pt>
                <c:pt idx="26" formatCode="0.00">
                  <c:v>0.60577702969970559</c:v>
                </c:pt>
                <c:pt idx="27" formatCode="0.00">
                  <c:v>-0.5043858673250412</c:v>
                </c:pt>
                <c:pt idx="28" formatCode="0.00">
                  <c:v>-1.3328262443831784</c:v>
                </c:pt>
                <c:pt idx="29" formatCode="0.00">
                  <c:v>-0.71499065341880108</c:v>
                </c:pt>
                <c:pt idx="30" formatCode="0.00">
                  <c:v>-1.5111914389123293</c:v>
                </c:pt>
                <c:pt idx="31" formatCode="0.00">
                  <c:v>-0.35386283940822549</c:v>
                </c:pt>
                <c:pt idx="32" formatCode="0.00">
                  <c:v>-0.4068751396424708</c:v>
                </c:pt>
                <c:pt idx="33" formatCode="0.00">
                  <c:v>-0.16714805497297647</c:v>
                </c:pt>
                <c:pt idx="34" formatCode="0.00">
                  <c:v>0.30813986933309057</c:v>
                </c:pt>
                <c:pt idx="35" formatCode="0.00">
                  <c:v>0.61280301643757973</c:v>
                </c:pt>
                <c:pt idx="36" formatCode="0.00">
                  <c:v>1.9286301095738922</c:v>
                </c:pt>
                <c:pt idx="37" formatCode="0.00">
                  <c:v>2.009505883383067</c:v>
                </c:pt>
                <c:pt idx="38" formatCode="0.00">
                  <c:v>1.1008723521383823</c:v>
                </c:pt>
                <c:pt idx="39" formatCode="0.00">
                  <c:v>0.75544871830610649</c:v>
                </c:pt>
                <c:pt idx="40" formatCode="0.00">
                  <c:v>0.36001254649116188</c:v>
                </c:pt>
                <c:pt idx="41" formatCode="0.00">
                  <c:v>0.93967180872345235</c:v>
                </c:pt>
                <c:pt idx="42" formatCode="0.00">
                  <c:v>0.6650260079614112</c:v>
                </c:pt>
                <c:pt idx="43" formatCode="0.00">
                  <c:v>0.82419495776258067</c:v>
                </c:pt>
                <c:pt idx="44" formatCode="0.00">
                  <c:v>0.85637264531253088</c:v>
                </c:pt>
                <c:pt idx="45" formatCode="0.00">
                  <c:v>0.74198998334189525</c:v>
                </c:pt>
                <c:pt idx="46" formatCode="0.00">
                  <c:v>0.31502476507601074</c:v>
                </c:pt>
                <c:pt idx="47" formatCode="0.00">
                  <c:v>0.91465460190149894</c:v>
                </c:pt>
                <c:pt idx="48" formatCode="0.00">
                  <c:v>1.3560583077210753</c:v>
                </c:pt>
                <c:pt idx="49" formatCode="0.00">
                  <c:v>0.57534914687413785</c:v>
                </c:pt>
                <c:pt idx="50" formatCode="0.00">
                  <c:v>1.4092345152505237</c:v>
                </c:pt>
                <c:pt idx="51" formatCode="0.00">
                  <c:v>0.55789534722505696</c:v>
                </c:pt>
                <c:pt idx="52" formatCode="0.00">
                  <c:v>0.97510782735750201</c:v>
                </c:pt>
                <c:pt idx="53" formatCode="0.00">
                  <c:v>1.3697969266030618</c:v>
                </c:pt>
                <c:pt idx="54" formatCode="0.00">
                  <c:v>1.3611635513283593</c:v>
                </c:pt>
                <c:pt idx="55" formatCode="0.00">
                  <c:v>1.9485115986569435</c:v>
                </c:pt>
                <c:pt idx="56" formatCode="0.00">
                  <c:v>0.77284574605696044</c:v>
                </c:pt>
                <c:pt idx="57" formatCode="0.00">
                  <c:v>1.6601569252386428</c:v>
                </c:pt>
                <c:pt idx="58" formatCode="0.00">
                  <c:v>1.3849258785348484</c:v>
                </c:pt>
                <c:pt idx="59" formatCode="0.00">
                  <c:v>2.1568253302733265</c:v>
                </c:pt>
                <c:pt idx="60" formatCode="0.00">
                  <c:v>1.8314653218989063</c:v>
                </c:pt>
                <c:pt idx="61" formatCode="0.00">
                  <c:v>1.1197051614427966</c:v>
                </c:pt>
                <c:pt idx="62" formatCode="0.00">
                  <c:v>0.70082487175879837</c:v>
                </c:pt>
                <c:pt idx="63" formatCode="0.00">
                  <c:v>0.6128135068178997</c:v>
                </c:pt>
                <c:pt idx="64" formatCode="0.00">
                  <c:v>1.3425575857100247</c:v>
                </c:pt>
                <c:pt idx="65" formatCode="0.00">
                  <c:v>1.1464401638044963</c:v>
                </c:pt>
                <c:pt idx="66" formatCode="0.00">
                  <c:v>0.68205757440402692</c:v>
                </c:pt>
                <c:pt idx="67" formatCode="0.00">
                  <c:v>0.59971068702759922</c:v>
                </c:pt>
                <c:pt idx="68" formatCode="0.00">
                  <c:v>-0.24341643026249971</c:v>
                </c:pt>
                <c:pt idx="69" formatCode="0.00">
                  <c:v>0.21968927530500171</c:v>
                </c:pt>
                <c:pt idx="70" formatCode="0.00">
                  <c:v>0.62195521300574264</c:v>
                </c:pt>
                <c:pt idx="71" formatCode="0.00">
                  <c:v>0.6703197886910095</c:v>
                </c:pt>
                <c:pt idx="72" formatCode="0.00">
                  <c:v>1.1804856080308124</c:v>
                </c:pt>
                <c:pt idx="73" formatCode="0.00">
                  <c:v>1.1433075192193609</c:v>
                </c:pt>
                <c:pt idx="74" formatCode="0.00">
                  <c:v>1.4884394831100156</c:v>
                </c:pt>
                <c:pt idx="75" formatCode="0.00">
                  <c:v>1.3765632630333258</c:v>
                </c:pt>
                <c:pt idx="76" formatCode="0.00">
                  <c:v>0.62011571760565154</c:v>
                </c:pt>
                <c:pt idx="77" formatCode="0.00">
                  <c:v>0.61464775693433893</c:v>
                </c:pt>
                <c:pt idx="78" formatCode="0.00">
                  <c:v>0.3997887745503359</c:v>
                </c:pt>
                <c:pt idx="79" formatCode="0.00">
                  <c:v>0.61944145432821784</c:v>
                </c:pt>
                <c:pt idx="80" formatCode="0.00">
                  <c:v>1.2498144995710891</c:v>
                </c:pt>
                <c:pt idx="81" formatCode="0.00">
                  <c:v>1.0686970230620485</c:v>
                </c:pt>
                <c:pt idx="82" formatCode="0.00">
                  <c:v>0.46384693717884673</c:v>
                </c:pt>
                <c:pt idx="83" formatCode="0.00">
                  <c:v>0.95705789351545612</c:v>
                </c:pt>
                <c:pt idx="84" formatCode="0.00">
                  <c:v>1.4284538808364555</c:v>
                </c:pt>
                <c:pt idx="85" formatCode="0.00">
                  <c:v>1.105759908820203</c:v>
                </c:pt>
                <c:pt idx="86" formatCode="0.00">
                  <c:v>0.99897765895005097</c:v>
                </c:pt>
                <c:pt idx="87" formatCode="0.00">
                  <c:v>0.57922585671621452</c:v>
                </c:pt>
                <c:pt idx="88" formatCode="0.00">
                  <c:v>0.44406817457924852</c:v>
                </c:pt>
                <c:pt idx="89" formatCode="0.00">
                  <c:v>0.13045392227384323</c:v>
                </c:pt>
                <c:pt idx="90" formatCode="0.00">
                  <c:v>0.24661664939813477</c:v>
                </c:pt>
                <c:pt idx="91" formatCode="0.00">
                  <c:v>0.75231408484561779</c:v>
                </c:pt>
                <c:pt idx="92" formatCode="0.00">
                  <c:v>1.273143354755657</c:v>
                </c:pt>
                <c:pt idx="93" formatCode="0.00">
                  <c:v>0.85579737439382964</c:v>
                </c:pt>
                <c:pt idx="94" formatCode="0.00">
                  <c:v>0.47862625132482073</c:v>
                </c:pt>
                <c:pt idx="95" formatCode="0.00">
                  <c:v>0.1614053464710663</c:v>
                </c:pt>
                <c:pt idx="96" formatCode="0.00">
                  <c:v>0.92632829539052164</c:v>
                </c:pt>
                <c:pt idx="97" formatCode="0.00">
                  <c:v>1.2843259887781011</c:v>
                </c:pt>
                <c:pt idx="98" formatCode="0.00">
                  <c:v>1.5858670096379868</c:v>
                </c:pt>
                <c:pt idx="99" formatCode="0.00">
                  <c:v>0.77238761754439</c:v>
                </c:pt>
                <c:pt idx="100" formatCode="0.00">
                  <c:v>5.8270807878169073E-2</c:v>
                </c:pt>
                <c:pt idx="101" formatCode="0.00">
                  <c:v>-0.25722798710287043</c:v>
                </c:pt>
                <c:pt idx="102" formatCode="0.00">
                  <c:v>0.52864154008127606</c:v>
                </c:pt>
                <c:pt idx="103" formatCode="0.00">
                  <c:v>-8.8500434911709114E-3</c:v>
                </c:pt>
                <c:pt idx="104" formatCode="0.00">
                  <c:v>0.40557007532464606</c:v>
                </c:pt>
                <c:pt idx="105" formatCode="0.00">
                  <c:v>0.3705360851228523</c:v>
                </c:pt>
                <c:pt idx="106" formatCode="0.00">
                  <c:v>0.39332312887090382</c:v>
                </c:pt>
                <c:pt idx="107" formatCode="0.00">
                  <c:v>0.83967449447162057</c:v>
                </c:pt>
                <c:pt idx="108" formatCode="0.00">
                  <c:v>1.1092759941980335</c:v>
                </c:pt>
                <c:pt idx="109" formatCode="0.00">
                  <c:v>0.92852655115962524</c:v>
                </c:pt>
                <c:pt idx="110" formatCode="0.00">
                  <c:v>0.19763993358012932</c:v>
                </c:pt>
                <c:pt idx="111" formatCode="0.00">
                  <c:v>0.42032342891400454</c:v>
                </c:pt>
                <c:pt idx="112" formatCode="0.00">
                  <c:v>0.71340620730291349</c:v>
                </c:pt>
                <c:pt idx="113" formatCode="0.00">
                  <c:v>0.4077464273517295</c:v>
                </c:pt>
                <c:pt idx="114" formatCode="0.00">
                  <c:v>0.47277308720825584</c:v>
                </c:pt>
                <c:pt idx="115" formatCode="0.00">
                  <c:v>0.53114758882764068</c:v>
                </c:pt>
                <c:pt idx="116" formatCode="0.00">
                  <c:v>1.2027927789892701E-2</c:v>
                </c:pt>
                <c:pt idx="117" formatCode="0.00">
                  <c:v>0.13115264310628039</c:v>
                </c:pt>
                <c:pt idx="118" formatCode="0.00">
                  <c:v>0.18614204269262746</c:v>
                </c:pt>
                <c:pt idx="119" formatCode="0.00">
                  <c:v>0.59276611340641772</c:v>
                </c:pt>
                <c:pt idx="120" formatCode="0.00">
                  <c:v>0.75362755808074944</c:v>
                </c:pt>
                <c:pt idx="121" formatCode="0.00">
                  <c:v>0.65552749295585411</c:v>
                </c:pt>
                <c:pt idx="122" formatCode="0.00">
                  <c:v>0.69415304788229548</c:v>
                </c:pt>
                <c:pt idx="123" formatCode="0.00">
                  <c:v>0.61873294621492825</c:v>
                </c:pt>
                <c:pt idx="124" formatCode="0.00">
                  <c:v>0.65689995312927518</c:v>
                </c:pt>
                <c:pt idx="125" formatCode="0.00">
                  <c:v>0.84736804752763017</c:v>
                </c:pt>
                <c:pt idx="126" formatCode="0.00">
                  <c:v>0.78252240092635539</c:v>
                </c:pt>
                <c:pt idx="127" formatCode="0.00">
                  <c:v>0.53593421430064847</c:v>
                </c:pt>
                <c:pt idx="128" formatCode="0.00">
                  <c:v>1.0308832649158495</c:v>
                </c:pt>
                <c:pt idx="129" formatCode="0.00">
                  <c:v>0.67880972534926087</c:v>
                </c:pt>
                <c:pt idx="130" formatCode="0.00">
                  <c:v>1.1581446423258202</c:v>
                </c:pt>
                <c:pt idx="131" formatCode="0.00">
                  <c:v>1.0354345990832625</c:v>
                </c:pt>
                <c:pt idx="132" formatCode="0.00">
                  <c:v>0.88496246548566138</c:v>
                </c:pt>
                <c:pt idx="133" formatCode="0.00">
                  <c:v>1.2005738028167734</c:v>
                </c:pt>
                <c:pt idx="134" formatCode="0.00">
                  <c:v>0.92470926303656054</c:v>
                </c:pt>
                <c:pt idx="135" formatCode="0.00">
                  <c:v>1.124663727517472</c:v>
                </c:pt>
                <c:pt idx="136" formatCode="0.00">
                  <c:v>0.7413405213920532</c:v>
                </c:pt>
                <c:pt idx="137" formatCode="0.00">
                  <c:v>0.60319376584505591</c:v>
                </c:pt>
                <c:pt idx="138" formatCode="0.00">
                  <c:v>0.8313297497510419</c:v>
                </c:pt>
                <c:pt idx="139" formatCode="0.00">
                  <c:v>0.6103667071408525</c:v>
                </c:pt>
                <c:pt idx="140" formatCode="0.00">
                  <c:v>0.88439325018829784</c:v>
                </c:pt>
                <c:pt idx="141" formatCode="0.00">
                  <c:v>0.75153486480270537</c:v>
                </c:pt>
                <c:pt idx="142" formatCode="0.00">
                  <c:v>0.73710770857129404</c:v>
                </c:pt>
                <c:pt idx="143" formatCode="0.00">
                  <c:v>0.72553357723990075</c:v>
                </c:pt>
                <c:pt idx="144" formatCode="0.00">
                  <c:v>0.38626773737586717</c:v>
                </c:pt>
                <c:pt idx="145" formatCode="0.00">
                  <c:v>0.27175165292998571</c:v>
                </c:pt>
                <c:pt idx="146" formatCode="0.00">
                  <c:v>6.1199713048654125E-2</c:v>
                </c:pt>
                <c:pt idx="147" formatCode="0.00">
                  <c:v>-6.1654894393556088</c:v>
                </c:pt>
                <c:pt idx="148" formatCode="0.00">
                  <c:v>-1.4770043696396451</c:v>
                </c:pt>
                <c:pt idx="149" formatCode="0.00">
                  <c:v>5.837176796255239</c:v>
                </c:pt>
                <c:pt idx="150" formatCode="0.00">
                  <c:v>2.5832723155050141</c:v>
                </c:pt>
                <c:pt idx="151" formatCode="0.00">
                  <c:v>1.4022663619940978</c:v>
                </c:pt>
                <c:pt idx="152" formatCode="0.00">
                  <c:v>-1.60442939156701</c:v>
                </c:pt>
                <c:pt idx="153" formatCode="0.00">
                  <c:v>3.4855706084329898</c:v>
                </c:pt>
                <c:pt idx="154" formatCode="0.00">
                  <c:v>1.0855706084329899</c:v>
                </c:pt>
                <c:pt idx="155" formatCode="0.00">
                  <c:v>1.0855706084329899</c:v>
                </c:pt>
                <c:pt idx="156" formatCode="0.00">
                  <c:v>-1.1157324432692739</c:v>
                </c:pt>
                <c:pt idx="157" formatCode="0.00">
                  <c:v>1.1200000000000001</c:v>
                </c:pt>
                <c:pt idx="158" formatCode="0.00">
                  <c:v>1.4535386200127398</c:v>
                </c:pt>
                <c:pt idx="159" formatCode="0.00">
                  <c:v>0.42663730696761437</c:v>
                </c:pt>
                <c:pt idx="160" formatCode="0.00">
                  <c:v>-0.31342983759704568</c:v>
                </c:pt>
                <c:pt idx="161" formatCode="0.00">
                  <c:v>9.0210836778914505E-2</c:v>
                </c:pt>
                <c:pt idx="162" formatCode="0.00">
                  <c:v>0.34525157504803339</c:v>
                </c:pt>
                <c:pt idx="163" formatCode="0.00">
                  <c:v>0.55348284330813957</c:v>
                </c:pt>
                <c:pt idx="164" formatCode="0.00">
                  <c:v>0.72368417165862287</c:v>
                </c:pt>
                <c:pt idx="165" formatCode="0.00">
                  <c:v>0.71595215493920339</c:v>
                </c:pt>
                <c:pt idx="166" formatCode="0.00">
                  <c:v>0.81935560097416982</c:v>
                </c:pt>
                <c:pt idx="167" formatCode="0.00">
                  <c:v>0.79968320632821666</c:v>
                </c:pt>
                <c:pt idx="168" formatCode="0.00">
                  <c:v>0.53246670688458231</c:v>
                </c:pt>
                <c:pt idx="169" formatCode="0.00">
                  <c:v>0.66922062024272755</c:v>
                </c:pt>
                <c:pt idx="170" formatCode="0.00">
                  <c:v>0.71356167537321991</c:v>
                </c:pt>
                <c:pt idx="171" formatCode="0.00">
                  <c:v>0.68911616931179864</c:v>
                </c:pt>
              </c:numCache>
            </c:numRef>
          </c:val>
          <c:smooth val="0"/>
          <c:extLst>
            <c:ext xmlns:c16="http://schemas.microsoft.com/office/drawing/2014/chart" uri="{C3380CC4-5D6E-409C-BE32-E72D297353CC}">
              <c16:uniqueId val="{00000002-3A4B-4775-966E-1EFB9F5FE023}"/>
            </c:ext>
          </c:extLst>
        </c:ser>
        <c:ser>
          <c:idx val="11"/>
          <c:order val="3"/>
          <c:tx>
            <c:strRef>
              <c:f>'data-gsp-q'!#REF!</c:f>
              <c:strCache>
                <c:ptCount val="1"/>
                <c:pt idx="0">
                  <c:v>#REF!</c:v>
                </c:pt>
              </c:strCache>
            </c:strRef>
          </c:tx>
          <c:marker>
            <c:symbol val="none"/>
          </c:marker>
          <c:cat>
            <c:numRef>
              <c:f>'data-gsp-q'!$A$3:$A$178</c:f>
              <c:numCache>
                <c:formatCode>mmm\-yy</c:formatCode>
                <c:ptCount val="176"/>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pt idx="127">
                  <c:v>42156</c:v>
                </c:pt>
                <c:pt idx="128">
                  <c:v>42248</c:v>
                </c:pt>
                <c:pt idx="129">
                  <c:v>42339</c:v>
                </c:pt>
                <c:pt idx="130">
                  <c:v>42430</c:v>
                </c:pt>
                <c:pt idx="131">
                  <c:v>42522</c:v>
                </c:pt>
                <c:pt idx="132">
                  <c:v>42614</c:v>
                </c:pt>
                <c:pt idx="133">
                  <c:v>42705</c:v>
                </c:pt>
                <c:pt idx="134">
                  <c:v>42795</c:v>
                </c:pt>
                <c:pt idx="135">
                  <c:v>42887</c:v>
                </c:pt>
                <c:pt idx="136">
                  <c:v>42979</c:v>
                </c:pt>
                <c:pt idx="137">
                  <c:v>43070</c:v>
                </c:pt>
                <c:pt idx="138">
                  <c:v>43160</c:v>
                </c:pt>
                <c:pt idx="139">
                  <c:v>43252</c:v>
                </c:pt>
                <c:pt idx="140">
                  <c:v>43344</c:v>
                </c:pt>
                <c:pt idx="141">
                  <c:v>43435</c:v>
                </c:pt>
                <c:pt idx="142">
                  <c:v>43525</c:v>
                </c:pt>
                <c:pt idx="143">
                  <c:v>43617</c:v>
                </c:pt>
                <c:pt idx="144">
                  <c:v>43709</c:v>
                </c:pt>
                <c:pt idx="145">
                  <c:v>43800</c:v>
                </c:pt>
                <c:pt idx="146">
                  <c:v>43891</c:v>
                </c:pt>
                <c:pt idx="147">
                  <c:v>43983</c:v>
                </c:pt>
                <c:pt idx="148">
                  <c:v>44075</c:v>
                </c:pt>
                <c:pt idx="149">
                  <c:v>44166</c:v>
                </c:pt>
                <c:pt idx="150">
                  <c:v>44256</c:v>
                </c:pt>
                <c:pt idx="151">
                  <c:v>44348</c:v>
                </c:pt>
                <c:pt idx="152">
                  <c:v>44440</c:v>
                </c:pt>
                <c:pt idx="153">
                  <c:v>44531</c:v>
                </c:pt>
                <c:pt idx="154">
                  <c:v>44621</c:v>
                </c:pt>
                <c:pt idx="155">
                  <c:v>44713</c:v>
                </c:pt>
                <c:pt idx="156">
                  <c:v>44805</c:v>
                </c:pt>
                <c:pt idx="157">
                  <c:v>44896</c:v>
                </c:pt>
                <c:pt idx="158">
                  <c:v>44986</c:v>
                </c:pt>
                <c:pt idx="159">
                  <c:v>45078</c:v>
                </c:pt>
                <c:pt idx="160">
                  <c:v>45170</c:v>
                </c:pt>
                <c:pt idx="161">
                  <c:v>45261</c:v>
                </c:pt>
                <c:pt idx="162">
                  <c:v>45352</c:v>
                </c:pt>
                <c:pt idx="163">
                  <c:v>45444</c:v>
                </c:pt>
                <c:pt idx="164">
                  <c:v>45536</c:v>
                </c:pt>
                <c:pt idx="165">
                  <c:v>45627</c:v>
                </c:pt>
                <c:pt idx="166">
                  <c:v>45717</c:v>
                </c:pt>
                <c:pt idx="167">
                  <c:v>45809</c:v>
                </c:pt>
                <c:pt idx="168">
                  <c:v>45901</c:v>
                </c:pt>
                <c:pt idx="169">
                  <c:v>45992</c:v>
                </c:pt>
                <c:pt idx="170">
                  <c:v>46082</c:v>
                </c:pt>
                <c:pt idx="171">
                  <c:v>46174</c:v>
                </c:pt>
                <c:pt idx="172">
                  <c:v>46266</c:v>
                </c:pt>
                <c:pt idx="173">
                  <c:v>46357</c:v>
                </c:pt>
                <c:pt idx="174">
                  <c:v>46447</c:v>
                </c:pt>
                <c:pt idx="175">
                  <c:v>46539</c:v>
                </c:pt>
              </c:numCache>
            </c:numRef>
          </c:cat>
          <c:val>
            <c:numRef>
              <c:f>'data-gsp-q'!#REF!</c:f>
              <c:numCache>
                <c:formatCode>General</c:formatCode>
                <c:ptCount val="1"/>
                <c:pt idx="0">
                  <c:v>1</c:v>
                </c:pt>
              </c:numCache>
            </c:numRef>
          </c:val>
          <c:smooth val="0"/>
          <c:extLst>
            <c:ext xmlns:c16="http://schemas.microsoft.com/office/drawing/2014/chart" uri="{C3380CC4-5D6E-409C-BE32-E72D297353CC}">
              <c16:uniqueId val="{00000003-3A4B-4775-966E-1EFB9F5FE023}"/>
            </c:ext>
          </c:extLst>
        </c:ser>
        <c:ser>
          <c:idx val="12"/>
          <c:order val="4"/>
          <c:tx>
            <c:strRef>
              <c:f>'data-gsp-q'!$E$2</c:f>
              <c:strCache>
                <c:ptCount val="1"/>
                <c:pt idx="0">
                  <c:v>2020-21 year average</c:v>
                </c:pt>
              </c:strCache>
            </c:strRef>
          </c:tx>
          <c:spPr>
            <a:ln w="25400">
              <a:solidFill>
                <a:sysClr val="windowText" lastClr="000000"/>
              </a:solidFill>
              <a:prstDash val="dash"/>
            </a:ln>
          </c:spPr>
          <c:marker>
            <c:symbol val="none"/>
          </c:marker>
          <c:cat>
            <c:numRef>
              <c:f>'data-gsp-q'!$A$3:$A$178</c:f>
              <c:numCache>
                <c:formatCode>mmm\-yy</c:formatCode>
                <c:ptCount val="176"/>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pt idx="127">
                  <c:v>42156</c:v>
                </c:pt>
                <c:pt idx="128">
                  <c:v>42248</c:v>
                </c:pt>
                <c:pt idx="129">
                  <c:v>42339</c:v>
                </c:pt>
                <c:pt idx="130">
                  <c:v>42430</c:v>
                </c:pt>
                <c:pt idx="131">
                  <c:v>42522</c:v>
                </c:pt>
                <c:pt idx="132">
                  <c:v>42614</c:v>
                </c:pt>
                <c:pt idx="133">
                  <c:v>42705</c:v>
                </c:pt>
                <c:pt idx="134">
                  <c:v>42795</c:v>
                </c:pt>
                <c:pt idx="135">
                  <c:v>42887</c:v>
                </c:pt>
                <c:pt idx="136">
                  <c:v>42979</c:v>
                </c:pt>
                <c:pt idx="137">
                  <c:v>43070</c:v>
                </c:pt>
                <c:pt idx="138">
                  <c:v>43160</c:v>
                </c:pt>
                <c:pt idx="139">
                  <c:v>43252</c:v>
                </c:pt>
                <c:pt idx="140">
                  <c:v>43344</c:v>
                </c:pt>
                <c:pt idx="141">
                  <c:v>43435</c:v>
                </c:pt>
                <c:pt idx="142">
                  <c:v>43525</c:v>
                </c:pt>
                <c:pt idx="143">
                  <c:v>43617</c:v>
                </c:pt>
                <c:pt idx="144">
                  <c:v>43709</c:v>
                </c:pt>
                <c:pt idx="145">
                  <c:v>43800</c:v>
                </c:pt>
                <c:pt idx="146">
                  <c:v>43891</c:v>
                </c:pt>
                <c:pt idx="147">
                  <c:v>43983</c:v>
                </c:pt>
                <c:pt idx="148">
                  <c:v>44075</c:v>
                </c:pt>
                <c:pt idx="149">
                  <c:v>44166</c:v>
                </c:pt>
                <c:pt idx="150">
                  <c:v>44256</c:v>
                </c:pt>
                <c:pt idx="151">
                  <c:v>44348</c:v>
                </c:pt>
                <c:pt idx="152">
                  <c:v>44440</c:v>
                </c:pt>
                <c:pt idx="153">
                  <c:v>44531</c:v>
                </c:pt>
                <c:pt idx="154">
                  <c:v>44621</c:v>
                </c:pt>
                <c:pt idx="155">
                  <c:v>44713</c:v>
                </c:pt>
                <c:pt idx="156">
                  <c:v>44805</c:v>
                </c:pt>
                <c:pt idx="157">
                  <c:v>44896</c:v>
                </c:pt>
                <c:pt idx="158">
                  <c:v>44986</c:v>
                </c:pt>
                <c:pt idx="159">
                  <c:v>45078</c:v>
                </c:pt>
                <c:pt idx="160">
                  <c:v>45170</c:v>
                </c:pt>
                <c:pt idx="161">
                  <c:v>45261</c:v>
                </c:pt>
                <c:pt idx="162">
                  <c:v>45352</c:v>
                </c:pt>
                <c:pt idx="163">
                  <c:v>45444</c:v>
                </c:pt>
                <c:pt idx="164">
                  <c:v>45536</c:v>
                </c:pt>
                <c:pt idx="165">
                  <c:v>45627</c:v>
                </c:pt>
                <c:pt idx="166">
                  <c:v>45717</c:v>
                </c:pt>
                <c:pt idx="167">
                  <c:v>45809</c:v>
                </c:pt>
                <c:pt idx="168">
                  <c:v>45901</c:v>
                </c:pt>
                <c:pt idx="169">
                  <c:v>45992</c:v>
                </c:pt>
                <c:pt idx="170">
                  <c:v>46082</c:v>
                </c:pt>
                <c:pt idx="171">
                  <c:v>46174</c:v>
                </c:pt>
                <c:pt idx="172">
                  <c:v>46266</c:v>
                </c:pt>
                <c:pt idx="173">
                  <c:v>46357</c:v>
                </c:pt>
                <c:pt idx="174">
                  <c:v>46447</c:v>
                </c:pt>
                <c:pt idx="175">
                  <c:v>46539</c:v>
                </c:pt>
              </c:numCache>
            </c:numRef>
          </c:cat>
          <c:val>
            <c:numRef>
              <c:f>'data-gsp-q'!$E$3:$E$174</c:f>
              <c:numCache>
                <c:formatCode>General</c:formatCode>
                <c:ptCount val="172"/>
                <c:pt idx="148" formatCode="0">
                  <c:v>112665.3865725451</c:v>
                </c:pt>
                <c:pt idx="149" formatCode="0">
                  <c:v>112665.3865725451</c:v>
                </c:pt>
                <c:pt idx="150" formatCode="0">
                  <c:v>112665.3865725451</c:v>
                </c:pt>
                <c:pt idx="151" formatCode="0">
                  <c:v>112665.3865725451</c:v>
                </c:pt>
              </c:numCache>
            </c:numRef>
          </c:val>
          <c:smooth val="0"/>
          <c:extLst>
            <c:ext xmlns:c16="http://schemas.microsoft.com/office/drawing/2014/chart" uri="{C3380CC4-5D6E-409C-BE32-E72D297353CC}">
              <c16:uniqueId val="{00000004-3A4B-4775-966E-1EFB9F5FE023}"/>
            </c:ext>
          </c:extLst>
        </c:ser>
        <c:ser>
          <c:idx val="13"/>
          <c:order val="5"/>
          <c:tx>
            <c:v>Annual average growth</c:v>
          </c:tx>
          <c:spPr>
            <a:ln w="25400">
              <a:solidFill>
                <a:sysClr val="windowText" lastClr="000000"/>
              </a:solidFill>
              <a:prstDash val="dash"/>
            </a:ln>
          </c:spPr>
          <c:marker>
            <c:symbol val="none"/>
          </c:marker>
          <c:cat>
            <c:numRef>
              <c:f>'data-gsp-q'!$A$3:$A$178</c:f>
              <c:numCache>
                <c:formatCode>mmm\-yy</c:formatCode>
                <c:ptCount val="176"/>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pt idx="127">
                  <c:v>42156</c:v>
                </c:pt>
                <c:pt idx="128">
                  <c:v>42248</c:v>
                </c:pt>
                <c:pt idx="129">
                  <c:v>42339</c:v>
                </c:pt>
                <c:pt idx="130">
                  <c:v>42430</c:v>
                </c:pt>
                <c:pt idx="131">
                  <c:v>42522</c:v>
                </c:pt>
                <c:pt idx="132">
                  <c:v>42614</c:v>
                </c:pt>
                <c:pt idx="133">
                  <c:v>42705</c:v>
                </c:pt>
                <c:pt idx="134">
                  <c:v>42795</c:v>
                </c:pt>
                <c:pt idx="135">
                  <c:v>42887</c:v>
                </c:pt>
                <c:pt idx="136">
                  <c:v>42979</c:v>
                </c:pt>
                <c:pt idx="137">
                  <c:v>43070</c:v>
                </c:pt>
                <c:pt idx="138">
                  <c:v>43160</c:v>
                </c:pt>
                <c:pt idx="139">
                  <c:v>43252</c:v>
                </c:pt>
                <c:pt idx="140">
                  <c:v>43344</c:v>
                </c:pt>
                <c:pt idx="141">
                  <c:v>43435</c:v>
                </c:pt>
                <c:pt idx="142">
                  <c:v>43525</c:v>
                </c:pt>
                <c:pt idx="143">
                  <c:v>43617</c:v>
                </c:pt>
                <c:pt idx="144">
                  <c:v>43709</c:v>
                </c:pt>
                <c:pt idx="145">
                  <c:v>43800</c:v>
                </c:pt>
                <c:pt idx="146">
                  <c:v>43891</c:v>
                </c:pt>
                <c:pt idx="147">
                  <c:v>43983</c:v>
                </c:pt>
                <c:pt idx="148">
                  <c:v>44075</c:v>
                </c:pt>
                <c:pt idx="149">
                  <c:v>44166</c:v>
                </c:pt>
                <c:pt idx="150">
                  <c:v>44256</c:v>
                </c:pt>
                <c:pt idx="151">
                  <c:v>44348</c:v>
                </c:pt>
                <c:pt idx="152">
                  <c:v>44440</c:v>
                </c:pt>
                <c:pt idx="153">
                  <c:v>44531</c:v>
                </c:pt>
                <c:pt idx="154">
                  <c:v>44621</c:v>
                </c:pt>
                <c:pt idx="155">
                  <c:v>44713</c:v>
                </c:pt>
                <c:pt idx="156">
                  <c:v>44805</c:v>
                </c:pt>
                <c:pt idx="157">
                  <c:v>44896</c:v>
                </c:pt>
                <c:pt idx="158">
                  <c:v>44986</c:v>
                </c:pt>
                <c:pt idx="159">
                  <c:v>45078</c:v>
                </c:pt>
                <c:pt idx="160">
                  <c:v>45170</c:v>
                </c:pt>
                <c:pt idx="161">
                  <c:v>45261</c:v>
                </c:pt>
                <c:pt idx="162">
                  <c:v>45352</c:v>
                </c:pt>
                <c:pt idx="163">
                  <c:v>45444</c:v>
                </c:pt>
                <c:pt idx="164">
                  <c:v>45536</c:v>
                </c:pt>
                <c:pt idx="165">
                  <c:v>45627</c:v>
                </c:pt>
                <c:pt idx="166">
                  <c:v>45717</c:v>
                </c:pt>
                <c:pt idx="167">
                  <c:v>45809</c:v>
                </c:pt>
                <c:pt idx="168">
                  <c:v>45901</c:v>
                </c:pt>
                <c:pt idx="169">
                  <c:v>45992</c:v>
                </c:pt>
                <c:pt idx="170">
                  <c:v>46082</c:v>
                </c:pt>
                <c:pt idx="171">
                  <c:v>46174</c:v>
                </c:pt>
                <c:pt idx="172">
                  <c:v>46266</c:v>
                </c:pt>
                <c:pt idx="173">
                  <c:v>46357</c:v>
                </c:pt>
                <c:pt idx="174">
                  <c:v>46447</c:v>
                </c:pt>
                <c:pt idx="175">
                  <c:v>46539</c:v>
                </c:pt>
              </c:numCache>
            </c:numRef>
          </c:cat>
          <c:val>
            <c:numRef>
              <c:f>'data-gsp-q'!$F$3:$F$174</c:f>
              <c:numCache>
                <c:formatCode>General</c:formatCode>
                <c:ptCount val="172"/>
                <c:pt idx="152" formatCode="0">
                  <c:v>118981.71280070997</c:v>
                </c:pt>
                <c:pt idx="153" formatCode="0">
                  <c:v>118981.71280070997</c:v>
                </c:pt>
                <c:pt idx="154" formatCode="0">
                  <c:v>118981.71280070997</c:v>
                </c:pt>
                <c:pt idx="155" formatCode="0">
                  <c:v>118981.71280070997</c:v>
                </c:pt>
              </c:numCache>
            </c:numRef>
          </c:val>
          <c:smooth val="0"/>
          <c:extLst>
            <c:ext xmlns:c16="http://schemas.microsoft.com/office/drawing/2014/chart" uri="{C3380CC4-5D6E-409C-BE32-E72D297353CC}">
              <c16:uniqueId val="{00000005-3A4B-4775-966E-1EFB9F5FE023}"/>
            </c:ext>
          </c:extLst>
        </c:ser>
        <c:ser>
          <c:idx val="14"/>
          <c:order val="6"/>
          <c:tx>
            <c:strRef>
              <c:f>'data-gsp-q'!$G$2</c:f>
              <c:strCache>
                <c:ptCount val="1"/>
                <c:pt idx="0">
                  <c:v>2022-23 year average</c:v>
                </c:pt>
              </c:strCache>
            </c:strRef>
          </c:tx>
          <c:spPr>
            <a:ln w="25400">
              <a:solidFill>
                <a:sysClr val="windowText" lastClr="000000"/>
              </a:solidFill>
              <a:prstDash val="dash"/>
            </a:ln>
          </c:spPr>
          <c:marker>
            <c:symbol val="none"/>
          </c:marker>
          <c:cat>
            <c:numRef>
              <c:f>'data-gsp-q'!$A$3:$A$178</c:f>
              <c:numCache>
                <c:formatCode>mmm\-yy</c:formatCode>
                <c:ptCount val="176"/>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pt idx="127">
                  <c:v>42156</c:v>
                </c:pt>
                <c:pt idx="128">
                  <c:v>42248</c:v>
                </c:pt>
                <c:pt idx="129">
                  <c:v>42339</c:v>
                </c:pt>
                <c:pt idx="130">
                  <c:v>42430</c:v>
                </c:pt>
                <c:pt idx="131">
                  <c:v>42522</c:v>
                </c:pt>
                <c:pt idx="132">
                  <c:v>42614</c:v>
                </c:pt>
                <c:pt idx="133">
                  <c:v>42705</c:v>
                </c:pt>
                <c:pt idx="134">
                  <c:v>42795</c:v>
                </c:pt>
                <c:pt idx="135">
                  <c:v>42887</c:v>
                </c:pt>
                <c:pt idx="136">
                  <c:v>42979</c:v>
                </c:pt>
                <c:pt idx="137">
                  <c:v>43070</c:v>
                </c:pt>
                <c:pt idx="138">
                  <c:v>43160</c:v>
                </c:pt>
                <c:pt idx="139">
                  <c:v>43252</c:v>
                </c:pt>
                <c:pt idx="140">
                  <c:v>43344</c:v>
                </c:pt>
                <c:pt idx="141">
                  <c:v>43435</c:v>
                </c:pt>
                <c:pt idx="142">
                  <c:v>43525</c:v>
                </c:pt>
                <c:pt idx="143">
                  <c:v>43617</c:v>
                </c:pt>
                <c:pt idx="144">
                  <c:v>43709</c:v>
                </c:pt>
                <c:pt idx="145">
                  <c:v>43800</c:v>
                </c:pt>
                <c:pt idx="146">
                  <c:v>43891</c:v>
                </c:pt>
                <c:pt idx="147">
                  <c:v>43983</c:v>
                </c:pt>
                <c:pt idx="148">
                  <c:v>44075</c:v>
                </c:pt>
                <c:pt idx="149">
                  <c:v>44166</c:v>
                </c:pt>
                <c:pt idx="150">
                  <c:v>44256</c:v>
                </c:pt>
                <c:pt idx="151">
                  <c:v>44348</c:v>
                </c:pt>
                <c:pt idx="152">
                  <c:v>44440</c:v>
                </c:pt>
                <c:pt idx="153">
                  <c:v>44531</c:v>
                </c:pt>
                <c:pt idx="154">
                  <c:v>44621</c:v>
                </c:pt>
                <c:pt idx="155">
                  <c:v>44713</c:v>
                </c:pt>
                <c:pt idx="156">
                  <c:v>44805</c:v>
                </c:pt>
                <c:pt idx="157">
                  <c:v>44896</c:v>
                </c:pt>
                <c:pt idx="158">
                  <c:v>44986</c:v>
                </c:pt>
                <c:pt idx="159">
                  <c:v>45078</c:v>
                </c:pt>
                <c:pt idx="160">
                  <c:v>45170</c:v>
                </c:pt>
                <c:pt idx="161">
                  <c:v>45261</c:v>
                </c:pt>
                <c:pt idx="162">
                  <c:v>45352</c:v>
                </c:pt>
                <c:pt idx="163">
                  <c:v>45444</c:v>
                </c:pt>
                <c:pt idx="164">
                  <c:v>45536</c:v>
                </c:pt>
                <c:pt idx="165">
                  <c:v>45627</c:v>
                </c:pt>
                <c:pt idx="166">
                  <c:v>45717</c:v>
                </c:pt>
                <c:pt idx="167">
                  <c:v>45809</c:v>
                </c:pt>
                <c:pt idx="168">
                  <c:v>45901</c:v>
                </c:pt>
                <c:pt idx="169">
                  <c:v>45992</c:v>
                </c:pt>
                <c:pt idx="170">
                  <c:v>46082</c:v>
                </c:pt>
                <c:pt idx="171">
                  <c:v>46174</c:v>
                </c:pt>
                <c:pt idx="172">
                  <c:v>46266</c:v>
                </c:pt>
                <c:pt idx="173">
                  <c:v>46357</c:v>
                </c:pt>
                <c:pt idx="174">
                  <c:v>46447</c:v>
                </c:pt>
                <c:pt idx="175">
                  <c:v>46539</c:v>
                </c:pt>
              </c:numCache>
            </c:numRef>
          </c:cat>
          <c:val>
            <c:numRef>
              <c:f>'data-gsp-q'!$G$3:$G$174</c:f>
              <c:numCache>
                <c:formatCode>General</c:formatCode>
                <c:ptCount val="172"/>
                <c:pt idx="156" formatCode="0">
                  <c:v>122277.91345401733</c:v>
                </c:pt>
                <c:pt idx="157" formatCode="0">
                  <c:v>122277.91345401733</c:v>
                </c:pt>
                <c:pt idx="158" formatCode="0">
                  <c:v>122277.91345401733</c:v>
                </c:pt>
                <c:pt idx="159" formatCode="0">
                  <c:v>122277.91345401733</c:v>
                </c:pt>
              </c:numCache>
            </c:numRef>
          </c:val>
          <c:smooth val="0"/>
          <c:extLst>
            <c:ext xmlns:c16="http://schemas.microsoft.com/office/drawing/2014/chart" uri="{C3380CC4-5D6E-409C-BE32-E72D297353CC}">
              <c16:uniqueId val="{00000006-3A4B-4775-966E-1EFB9F5FE023}"/>
            </c:ext>
          </c:extLst>
        </c:ser>
        <c:ser>
          <c:idx val="15"/>
          <c:order val="7"/>
          <c:tx>
            <c:strRef>
              <c:f>'data-gsp-q'!$H$2</c:f>
              <c:strCache>
                <c:ptCount val="1"/>
                <c:pt idx="0">
                  <c:v>2023-24 year average</c:v>
                </c:pt>
              </c:strCache>
            </c:strRef>
          </c:tx>
          <c:spPr>
            <a:ln w="25400">
              <a:solidFill>
                <a:sysClr val="windowText" lastClr="000000"/>
              </a:solidFill>
              <a:prstDash val="dash"/>
            </a:ln>
          </c:spPr>
          <c:marker>
            <c:symbol val="none"/>
          </c:marker>
          <c:cat>
            <c:numRef>
              <c:f>'data-gsp-q'!$A$3:$A$178</c:f>
              <c:numCache>
                <c:formatCode>mmm\-yy</c:formatCode>
                <c:ptCount val="176"/>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pt idx="127">
                  <c:v>42156</c:v>
                </c:pt>
                <c:pt idx="128">
                  <c:v>42248</c:v>
                </c:pt>
                <c:pt idx="129">
                  <c:v>42339</c:v>
                </c:pt>
                <c:pt idx="130">
                  <c:v>42430</c:v>
                </c:pt>
                <c:pt idx="131">
                  <c:v>42522</c:v>
                </c:pt>
                <c:pt idx="132">
                  <c:v>42614</c:v>
                </c:pt>
                <c:pt idx="133">
                  <c:v>42705</c:v>
                </c:pt>
                <c:pt idx="134">
                  <c:v>42795</c:v>
                </c:pt>
                <c:pt idx="135">
                  <c:v>42887</c:v>
                </c:pt>
                <c:pt idx="136">
                  <c:v>42979</c:v>
                </c:pt>
                <c:pt idx="137">
                  <c:v>43070</c:v>
                </c:pt>
                <c:pt idx="138">
                  <c:v>43160</c:v>
                </c:pt>
                <c:pt idx="139">
                  <c:v>43252</c:v>
                </c:pt>
                <c:pt idx="140">
                  <c:v>43344</c:v>
                </c:pt>
                <c:pt idx="141">
                  <c:v>43435</c:v>
                </c:pt>
                <c:pt idx="142">
                  <c:v>43525</c:v>
                </c:pt>
                <c:pt idx="143">
                  <c:v>43617</c:v>
                </c:pt>
                <c:pt idx="144">
                  <c:v>43709</c:v>
                </c:pt>
                <c:pt idx="145">
                  <c:v>43800</c:v>
                </c:pt>
                <c:pt idx="146">
                  <c:v>43891</c:v>
                </c:pt>
                <c:pt idx="147">
                  <c:v>43983</c:v>
                </c:pt>
                <c:pt idx="148">
                  <c:v>44075</c:v>
                </c:pt>
                <c:pt idx="149">
                  <c:v>44166</c:v>
                </c:pt>
                <c:pt idx="150">
                  <c:v>44256</c:v>
                </c:pt>
                <c:pt idx="151">
                  <c:v>44348</c:v>
                </c:pt>
                <c:pt idx="152">
                  <c:v>44440</c:v>
                </c:pt>
                <c:pt idx="153">
                  <c:v>44531</c:v>
                </c:pt>
                <c:pt idx="154">
                  <c:v>44621</c:v>
                </c:pt>
                <c:pt idx="155">
                  <c:v>44713</c:v>
                </c:pt>
                <c:pt idx="156">
                  <c:v>44805</c:v>
                </c:pt>
                <c:pt idx="157">
                  <c:v>44896</c:v>
                </c:pt>
                <c:pt idx="158">
                  <c:v>44986</c:v>
                </c:pt>
                <c:pt idx="159">
                  <c:v>45078</c:v>
                </c:pt>
                <c:pt idx="160">
                  <c:v>45170</c:v>
                </c:pt>
                <c:pt idx="161">
                  <c:v>45261</c:v>
                </c:pt>
                <c:pt idx="162">
                  <c:v>45352</c:v>
                </c:pt>
                <c:pt idx="163">
                  <c:v>45444</c:v>
                </c:pt>
                <c:pt idx="164">
                  <c:v>45536</c:v>
                </c:pt>
                <c:pt idx="165">
                  <c:v>45627</c:v>
                </c:pt>
                <c:pt idx="166">
                  <c:v>45717</c:v>
                </c:pt>
                <c:pt idx="167">
                  <c:v>45809</c:v>
                </c:pt>
                <c:pt idx="168">
                  <c:v>45901</c:v>
                </c:pt>
                <c:pt idx="169">
                  <c:v>45992</c:v>
                </c:pt>
                <c:pt idx="170">
                  <c:v>46082</c:v>
                </c:pt>
                <c:pt idx="171">
                  <c:v>46174</c:v>
                </c:pt>
                <c:pt idx="172">
                  <c:v>46266</c:v>
                </c:pt>
                <c:pt idx="173">
                  <c:v>46357</c:v>
                </c:pt>
                <c:pt idx="174">
                  <c:v>46447</c:v>
                </c:pt>
                <c:pt idx="175">
                  <c:v>46539</c:v>
                </c:pt>
              </c:numCache>
            </c:numRef>
          </c:cat>
          <c:val>
            <c:numRef>
              <c:f>'data-gsp-q'!$H$3:$H$174</c:f>
              <c:numCache>
                <c:formatCode>General</c:formatCode>
                <c:ptCount val="172"/>
                <c:pt idx="160" formatCode="0">
                  <c:v>123973.38891427225</c:v>
                </c:pt>
                <c:pt idx="161" formatCode="0">
                  <c:v>123973.38891427225</c:v>
                </c:pt>
                <c:pt idx="162" formatCode="0">
                  <c:v>123973.38891427225</c:v>
                </c:pt>
                <c:pt idx="163" formatCode="0">
                  <c:v>123973.38891427225</c:v>
                </c:pt>
              </c:numCache>
            </c:numRef>
          </c:val>
          <c:smooth val="0"/>
          <c:extLst>
            <c:ext xmlns:c16="http://schemas.microsoft.com/office/drawing/2014/chart" uri="{C3380CC4-5D6E-409C-BE32-E72D297353CC}">
              <c16:uniqueId val="{00000007-3A4B-4775-966E-1EFB9F5FE023}"/>
            </c:ext>
          </c:extLst>
        </c:ser>
        <c:ser>
          <c:idx val="16"/>
          <c:order val="8"/>
          <c:tx>
            <c:strRef>
              <c:f>'data-gsp-q'!$I$2</c:f>
              <c:strCache>
                <c:ptCount val="1"/>
                <c:pt idx="0">
                  <c:v>2024-25 year average</c:v>
                </c:pt>
              </c:strCache>
            </c:strRef>
          </c:tx>
          <c:spPr>
            <a:ln w="25400">
              <a:solidFill>
                <a:sysClr val="windowText" lastClr="000000"/>
              </a:solidFill>
              <a:prstDash val="dash"/>
            </a:ln>
          </c:spPr>
          <c:marker>
            <c:symbol val="none"/>
          </c:marker>
          <c:cat>
            <c:numRef>
              <c:f>'data-gsp-q'!$A$3:$A$178</c:f>
              <c:numCache>
                <c:formatCode>mmm\-yy</c:formatCode>
                <c:ptCount val="176"/>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pt idx="127">
                  <c:v>42156</c:v>
                </c:pt>
                <c:pt idx="128">
                  <c:v>42248</c:v>
                </c:pt>
                <c:pt idx="129">
                  <c:v>42339</c:v>
                </c:pt>
                <c:pt idx="130">
                  <c:v>42430</c:v>
                </c:pt>
                <c:pt idx="131">
                  <c:v>42522</c:v>
                </c:pt>
                <c:pt idx="132">
                  <c:v>42614</c:v>
                </c:pt>
                <c:pt idx="133">
                  <c:v>42705</c:v>
                </c:pt>
                <c:pt idx="134">
                  <c:v>42795</c:v>
                </c:pt>
                <c:pt idx="135">
                  <c:v>42887</c:v>
                </c:pt>
                <c:pt idx="136">
                  <c:v>42979</c:v>
                </c:pt>
                <c:pt idx="137">
                  <c:v>43070</c:v>
                </c:pt>
                <c:pt idx="138">
                  <c:v>43160</c:v>
                </c:pt>
                <c:pt idx="139">
                  <c:v>43252</c:v>
                </c:pt>
                <c:pt idx="140">
                  <c:v>43344</c:v>
                </c:pt>
                <c:pt idx="141">
                  <c:v>43435</c:v>
                </c:pt>
                <c:pt idx="142">
                  <c:v>43525</c:v>
                </c:pt>
                <c:pt idx="143">
                  <c:v>43617</c:v>
                </c:pt>
                <c:pt idx="144">
                  <c:v>43709</c:v>
                </c:pt>
                <c:pt idx="145">
                  <c:v>43800</c:v>
                </c:pt>
                <c:pt idx="146">
                  <c:v>43891</c:v>
                </c:pt>
                <c:pt idx="147">
                  <c:v>43983</c:v>
                </c:pt>
                <c:pt idx="148">
                  <c:v>44075</c:v>
                </c:pt>
                <c:pt idx="149">
                  <c:v>44166</c:v>
                </c:pt>
                <c:pt idx="150">
                  <c:v>44256</c:v>
                </c:pt>
                <c:pt idx="151">
                  <c:v>44348</c:v>
                </c:pt>
                <c:pt idx="152">
                  <c:v>44440</c:v>
                </c:pt>
                <c:pt idx="153">
                  <c:v>44531</c:v>
                </c:pt>
                <c:pt idx="154">
                  <c:v>44621</c:v>
                </c:pt>
                <c:pt idx="155">
                  <c:v>44713</c:v>
                </c:pt>
                <c:pt idx="156">
                  <c:v>44805</c:v>
                </c:pt>
                <c:pt idx="157">
                  <c:v>44896</c:v>
                </c:pt>
                <c:pt idx="158">
                  <c:v>44986</c:v>
                </c:pt>
                <c:pt idx="159">
                  <c:v>45078</c:v>
                </c:pt>
                <c:pt idx="160">
                  <c:v>45170</c:v>
                </c:pt>
                <c:pt idx="161">
                  <c:v>45261</c:v>
                </c:pt>
                <c:pt idx="162">
                  <c:v>45352</c:v>
                </c:pt>
                <c:pt idx="163">
                  <c:v>45444</c:v>
                </c:pt>
                <c:pt idx="164">
                  <c:v>45536</c:v>
                </c:pt>
                <c:pt idx="165">
                  <c:v>45627</c:v>
                </c:pt>
                <c:pt idx="166">
                  <c:v>45717</c:v>
                </c:pt>
                <c:pt idx="167">
                  <c:v>45809</c:v>
                </c:pt>
                <c:pt idx="168">
                  <c:v>45901</c:v>
                </c:pt>
                <c:pt idx="169">
                  <c:v>45992</c:v>
                </c:pt>
                <c:pt idx="170">
                  <c:v>46082</c:v>
                </c:pt>
                <c:pt idx="171">
                  <c:v>46174</c:v>
                </c:pt>
                <c:pt idx="172">
                  <c:v>46266</c:v>
                </c:pt>
                <c:pt idx="173">
                  <c:v>46357</c:v>
                </c:pt>
                <c:pt idx="174">
                  <c:v>46447</c:v>
                </c:pt>
                <c:pt idx="175">
                  <c:v>46539</c:v>
                </c:pt>
              </c:numCache>
            </c:numRef>
          </c:cat>
          <c:val>
            <c:numRef>
              <c:f>'data-gsp-q'!$I$3:$I$174</c:f>
              <c:numCache>
                <c:formatCode>General</c:formatCode>
                <c:ptCount val="172"/>
                <c:pt idx="164" formatCode="0">
                  <c:v>127080.20940197437</c:v>
                </c:pt>
                <c:pt idx="165" formatCode="0">
                  <c:v>127080.20940197437</c:v>
                </c:pt>
                <c:pt idx="166" formatCode="0">
                  <c:v>127080.20940197437</c:v>
                </c:pt>
                <c:pt idx="167" formatCode="0">
                  <c:v>127080.20940197437</c:v>
                </c:pt>
              </c:numCache>
            </c:numRef>
          </c:val>
          <c:smooth val="0"/>
          <c:extLst>
            <c:ext xmlns:c16="http://schemas.microsoft.com/office/drawing/2014/chart" uri="{C3380CC4-5D6E-409C-BE32-E72D297353CC}">
              <c16:uniqueId val="{00000008-3A4B-4775-966E-1EFB9F5FE023}"/>
            </c:ext>
          </c:extLst>
        </c:ser>
        <c:ser>
          <c:idx val="17"/>
          <c:order val="9"/>
          <c:tx>
            <c:strRef>
              <c:f>'data-gsp-q'!$J$2</c:f>
              <c:strCache>
                <c:ptCount val="1"/>
                <c:pt idx="0">
                  <c:v>2025-26 year average</c:v>
                </c:pt>
              </c:strCache>
            </c:strRef>
          </c:tx>
          <c:spPr>
            <a:ln w="25400">
              <a:solidFill>
                <a:sysClr val="windowText" lastClr="000000"/>
              </a:solidFill>
              <a:prstDash val="dash"/>
            </a:ln>
          </c:spPr>
          <c:marker>
            <c:symbol val="none"/>
          </c:marker>
          <c:cat>
            <c:numRef>
              <c:f>'data-gsp-q'!$A$3:$A$178</c:f>
              <c:numCache>
                <c:formatCode>mmm\-yy</c:formatCode>
                <c:ptCount val="176"/>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pt idx="127">
                  <c:v>42156</c:v>
                </c:pt>
                <c:pt idx="128">
                  <c:v>42248</c:v>
                </c:pt>
                <c:pt idx="129">
                  <c:v>42339</c:v>
                </c:pt>
                <c:pt idx="130">
                  <c:v>42430</c:v>
                </c:pt>
                <c:pt idx="131">
                  <c:v>42522</c:v>
                </c:pt>
                <c:pt idx="132">
                  <c:v>42614</c:v>
                </c:pt>
                <c:pt idx="133">
                  <c:v>42705</c:v>
                </c:pt>
                <c:pt idx="134">
                  <c:v>42795</c:v>
                </c:pt>
                <c:pt idx="135">
                  <c:v>42887</c:v>
                </c:pt>
                <c:pt idx="136">
                  <c:v>42979</c:v>
                </c:pt>
                <c:pt idx="137">
                  <c:v>43070</c:v>
                </c:pt>
                <c:pt idx="138">
                  <c:v>43160</c:v>
                </c:pt>
                <c:pt idx="139">
                  <c:v>43252</c:v>
                </c:pt>
                <c:pt idx="140">
                  <c:v>43344</c:v>
                </c:pt>
                <c:pt idx="141">
                  <c:v>43435</c:v>
                </c:pt>
                <c:pt idx="142">
                  <c:v>43525</c:v>
                </c:pt>
                <c:pt idx="143">
                  <c:v>43617</c:v>
                </c:pt>
                <c:pt idx="144">
                  <c:v>43709</c:v>
                </c:pt>
                <c:pt idx="145">
                  <c:v>43800</c:v>
                </c:pt>
                <c:pt idx="146">
                  <c:v>43891</c:v>
                </c:pt>
                <c:pt idx="147">
                  <c:v>43983</c:v>
                </c:pt>
                <c:pt idx="148">
                  <c:v>44075</c:v>
                </c:pt>
                <c:pt idx="149">
                  <c:v>44166</c:v>
                </c:pt>
                <c:pt idx="150">
                  <c:v>44256</c:v>
                </c:pt>
                <c:pt idx="151">
                  <c:v>44348</c:v>
                </c:pt>
                <c:pt idx="152">
                  <c:v>44440</c:v>
                </c:pt>
                <c:pt idx="153">
                  <c:v>44531</c:v>
                </c:pt>
                <c:pt idx="154">
                  <c:v>44621</c:v>
                </c:pt>
                <c:pt idx="155">
                  <c:v>44713</c:v>
                </c:pt>
                <c:pt idx="156">
                  <c:v>44805</c:v>
                </c:pt>
                <c:pt idx="157">
                  <c:v>44896</c:v>
                </c:pt>
                <c:pt idx="158">
                  <c:v>44986</c:v>
                </c:pt>
                <c:pt idx="159">
                  <c:v>45078</c:v>
                </c:pt>
                <c:pt idx="160">
                  <c:v>45170</c:v>
                </c:pt>
                <c:pt idx="161">
                  <c:v>45261</c:v>
                </c:pt>
                <c:pt idx="162">
                  <c:v>45352</c:v>
                </c:pt>
                <c:pt idx="163">
                  <c:v>45444</c:v>
                </c:pt>
                <c:pt idx="164">
                  <c:v>45536</c:v>
                </c:pt>
                <c:pt idx="165">
                  <c:v>45627</c:v>
                </c:pt>
                <c:pt idx="166">
                  <c:v>45717</c:v>
                </c:pt>
                <c:pt idx="167">
                  <c:v>45809</c:v>
                </c:pt>
                <c:pt idx="168">
                  <c:v>45901</c:v>
                </c:pt>
                <c:pt idx="169">
                  <c:v>45992</c:v>
                </c:pt>
                <c:pt idx="170">
                  <c:v>46082</c:v>
                </c:pt>
                <c:pt idx="171">
                  <c:v>46174</c:v>
                </c:pt>
                <c:pt idx="172">
                  <c:v>46266</c:v>
                </c:pt>
                <c:pt idx="173">
                  <c:v>46357</c:v>
                </c:pt>
                <c:pt idx="174">
                  <c:v>46447</c:v>
                </c:pt>
                <c:pt idx="175">
                  <c:v>46539</c:v>
                </c:pt>
              </c:numCache>
            </c:numRef>
          </c:cat>
          <c:val>
            <c:numRef>
              <c:f>'data-gsp-q'!$J$3:$J$174</c:f>
              <c:numCache>
                <c:formatCode>General</c:formatCode>
                <c:ptCount val="172"/>
                <c:pt idx="168" formatCode="0">
                  <c:v>130612.19893093349</c:v>
                </c:pt>
                <c:pt idx="169" formatCode="0">
                  <c:v>130612.19893093349</c:v>
                </c:pt>
                <c:pt idx="170" formatCode="0">
                  <c:v>130612.19893093349</c:v>
                </c:pt>
                <c:pt idx="171" formatCode="0">
                  <c:v>130612.19893093349</c:v>
                </c:pt>
              </c:numCache>
            </c:numRef>
          </c:val>
          <c:smooth val="0"/>
          <c:extLst>
            <c:ext xmlns:c16="http://schemas.microsoft.com/office/drawing/2014/chart" uri="{C3380CC4-5D6E-409C-BE32-E72D297353CC}">
              <c16:uniqueId val="{00000009-3A4B-4775-966E-1EFB9F5FE023}"/>
            </c:ext>
          </c:extLst>
        </c:ser>
        <c:ser>
          <c:idx val="1"/>
          <c:order val="10"/>
          <c:tx>
            <c:strRef>
              <c:f>'data-gsp-q'!$C$2</c:f>
              <c:strCache>
                <c:ptCount val="1"/>
                <c:pt idx="0">
                  <c:v>Q%</c:v>
                </c:pt>
              </c:strCache>
              <c:extLst xmlns:c15="http://schemas.microsoft.com/office/drawing/2012/chart"/>
            </c:strRef>
          </c:tx>
          <c:marker>
            <c:symbol val="none"/>
          </c:marker>
          <c:cat>
            <c:numRef>
              <c:f>'data-gsp-q'!$A$3:$A$178</c:f>
              <c:numCache>
                <c:formatCode>mmm\-yy</c:formatCode>
                <c:ptCount val="176"/>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pt idx="127">
                  <c:v>42156</c:v>
                </c:pt>
                <c:pt idx="128">
                  <c:v>42248</c:v>
                </c:pt>
                <c:pt idx="129">
                  <c:v>42339</c:v>
                </c:pt>
                <c:pt idx="130">
                  <c:v>42430</c:v>
                </c:pt>
                <c:pt idx="131">
                  <c:v>42522</c:v>
                </c:pt>
                <c:pt idx="132">
                  <c:v>42614</c:v>
                </c:pt>
                <c:pt idx="133">
                  <c:v>42705</c:v>
                </c:pt>
                <c:pt idx="134">
                  <c:v>42795</c:v>
                </c:pt>
                <c:pt idx="135">
                  <c:v>42887</c:v>
                </c:pt>
                <c:pt idx="136">
                  <c:v>42979</c:v>
                </c:pt>
                <c:pt idx="137">
                  <c:v>43070</c:v>
                </c:pt>
                <c:pt idx="138">
                  <c:v>43160</c:v>
                </c:pt>
                <c:pt idx="139">
                  <c:v>43252</c:v>
                </c:pt>
                <c:pt idx="140">
                  <c:v>43344</c:v>
                </c:pt>
                <c:pt idx="141">
                  <c:v>43435</c:v>
                </c:pt>
                <c:pt idx="142">
                  <c:v>43525</c:v>
                </c:pt>
                <c:pt idx="143">
                  <c:v>43617</c:v>
                </c:pt>
                <c:pt idx="144">
                  <c:v>43709</c:v>
                </c:pt>
                <c:pt idx="145">
                  <c:v>43800</c:v>
                </c:pt>
                <c:pt idx="146">
                  <c:v>43891</c:v>
                </c:pt>
                <c:pt idx="147">
                  <c:v>43983</c:v>
                </c:pt>
                <c:pt idx="148">
                  <c:v>44075</c:v>
                </c:pt>
                <c:pt idx="149">
                  <c:v>44166</c:v>
                </c:pt>
                <c:pt idx="150">
                  <c:v>44256</c:v>
                </c:pt>
                <c:pt idx="151">
                  <c:v>44348</c:v>
                </c:pt>
                <c:pt idx="152">
                  <c:v>44440</c:v>
                </c:pt>
                <c:pt idx="153">
                  <c:v>44531</c:v>
                </c:pt>
                <c:pt idx="154">
                  <c:v>44621</c:v>
                </c:pt>
                <c:pt idx="155">
                  <c:v>44713</c:v>
                </c:pt>
                <c:pt idx="156">
                  <c:v>44805</c:v>
                </c:pt>
                <c:pt idx="157">
                  <c:v>44896</c:v>
                </c:pt>
                <c:pt idx="158">
                  <c:v>44986</c:v>
                </c:pt>
                <c:pt idx="159">
                  <c:v>45078</c:v>
                </c:pt>
                <c:pt idx="160">
                  <c:v>45170</c:v>
                </c:pt>
                <c:pt idx="161">
                  <c:v>45261</c:v>
                </c:pt>
                <c:pt idx="162">
                  <c:v>45352</c:v>
                </c:pt>
                <c:pt idx="163">
                  <c:v>45444</c:v>
                </c:pt>
                <c:pt idx="164">
                  <c:v>45536</c:v>
                </c:pt>
                <c:pt idx="165">
                  <c:v>45627</c:v>
                </c:pt>
                <c:pt idx="166">
                  <c:v>45717</c:v>
                </c:pt>
                <c:pt idx="167">
                  <c:v>45809</c:v>
                </c:pt>
                <c:pt idx="168">
                  <c:v>45901</c:v>
                </c:pt>
                <c:pt idx="169">
                  <c:v>45992</c:v>
                </c:pt>
                <c:pt idx="170">
                  <c:v>46082</c:v>
                </c:pt>
                <c:pt idx="171">
                  <c:v>46174</c:v>
                </c:pt>
                <c:pt idx="172">
                  <c:v>46266</c:v>
                </c:pt>
                <c:pt idx="173">
                  <c:v>46357</c:v>
                </c:pt>
                <c:pt idx="174">
                  <c:v>46447</c:v>
                </c:pt>
                <c:pt idx="175">
                  <c:v>46539</c:v>
                </c:pt>
              </c:numCache>
            </c:numRef>
          </c:cat>
          <c:val>
            <c:numRef>
              <c:f>'data-gsp-q'!$C$3:$C$174</c:f>
              <c:numCache>
                <c:formatCode>General</c:formatCode>
                <c:ptCount val="172"/>
                <c:pt idx="22" formatCode="0.00">
                  <c:v>0.73112027606927477</c:v>
                </c:pt>
                <c:pt idx="23" formatCode="0.00">
                  <c:v>1.3042956107905956</c:v>
                </c:pt>
                <c:pt idx="24" formatCode="0.00">
                  <c:v>0.47951373871797376</c:v>
                </c:pt>
                <c:pt idx="25" formatCode="0.00">
                  <c:v>0.21429816223499376</c:v>
                </c:pt>
                <c:pt idx="26" formatCode="0.00">
                  <c:v>0.60577702969970559</c:v>
                </c:pt>
                <c:pt idx="27" formatCode="0.00">
                  <c:v>-0.5043858673250412</c:v>
                </c:pt>
                <c:pt idx="28" formatCode="0.00">
                  <c:v>-1.3328262443831784</c:v>
                </c:pt>
                <c:pt idx="29" formatCode="0.00">
                  <c:v>-0.71499065341880108</c:v>
                </c:pt>
                <c:pt idx="30" formatCode="0.00">
                  <c:v>-1.5111914389123293</c:v>
                </c:pt>
                <c:pt idx="31" formatCode="0.00">
                  <c:v>-0.35386283940822549</c:v>
                </c:pt>
                <c:pt idx="32" formatCode="0.00">
                  <c:v>-0.4068751396424708</c:v>
                </c:pt>
                <c:pt idx="33" formatCode="0.00">
                  <c:v>-0.16714805497297647</c:v>
                </c:pt>
                <c:pt idx="34" formatCode="0.00">
                  <c:v>0.30813986933309057</c:v>
                </c:pt>
                <c:pt idx="35" formatCode="0.00">
                  <c:v>0.61280301643757973</c:v>
                </c:pt>
                <c:pt idx="36" formatCode="0.00">
                  <c:v>1.9286301095738922</c:v>
                </c:pt>
                <c:pt idx="37" formatCode="0.00">
                  <c:v>2.009505883383067</c:v>
                </c:pt>
                <c:pt idx="38" formatCode="0.00">
                  <c:v>1.1008723521383823</c:v>
                </c:pt>
                <c:pt idx="39" formatCode="0.00">
                  <c:v>0.75544871830610649</c:v>
                </c:pt>
                <c:pt idx="40" formatCode="0.00">
                  <c:v>0.36001254649116188</c:v>
                </c:pt>
                <c:pt idx="41" formatCode="0.00">
                  <c:v>0.93967180872345235</c:v>
                </c:pt>
                <c:pt idx="42" formatCode="0.00">
                  <c:v>0.6650260079614112</c:v>
                </c:pt>
                <c:pt idx="43" formatCode="0.00">
                  <c:v>0.82419495776258067</c:v>
                </c:pt>
                <c:pt idx="44" formatCode="0.00">
                  <c:v>0.85637264531253088</c:v>
                </c:pt>
                <c:pt idx="45" formatCode="0.00">
                  <c:v>0.74198998334189525</c:v>
                </c:pt>
                <c:pt idx="46" formatCode="0.00">
                  <c:v>0.31502476507601074</c:v>
                </c:pt>
                <c:pt idx="47" formatCode="0.00">
                  <c:v>0.91465460190149894</c:v>
                </c:pt>
                <c:pt idx="48" formatCode="0.00">
                  <c:v>1.3560583077210753</c:v>
                </c:pt>
                <c:pt idx="49" formatCode="0.00">
                  <c:v>0.57534914687413785</c:v>
                </c:pt>
                <c:pt idx="50" formatCode="0.00">
                  <c:v>1.4092345152505237</c:v>
                </c:pt>
                <c:pt idx="51" formatCode="0.00">
                  <c:v>0.55789534722505696</c:v>
                </c:pt>
                <c:pt idx="52" formatCode="0.00">
                  <c:v>0.97510782735750201</c:v>
                </c:pt>
                <c:pt idx="53" formatCode="0.00">
                  <c:v>1.3697969266030618</c:v>
                </c:pt>
                <c:pt idx="54" formatCode="0.00">
                  <c:v>1.3611635513283593</c:v>
                </c:pt>
                <c:pt idx="55" formatCode="0.00">
                  <c:v>1.9485115986569435</c:v>
                </c:pt>
                <c:pt idx="56" formatCode="0.00">
                  <c:v>0.77284574605696044</c:v>
                </c:pt>
                <c:pt idx="57" formatCode="0.00">
                  <c:v>1.6601569252386428</c:v>
                </c:pt>
                <c:pt idx="58" formatCode="0.00">
                  <c:v>1.3849258785348484</c:v>
                </c:pt>
                <c:pt idx="59" formatCode="0.00">
                  <c:v>2.1568253302733265</c:v>
                </c:pt>
                <c:pt idx="60" formatCode="0.00">
                  <c:v>1.8314653218989063</c:v>
                </c:pt>
                <c:pt idx="61" formatCode="0.00">
                  <c:v>1.1197051614427966</c:v>
                </c:pt>
                <c:pt idx="62" formatCode="0.00">
                  <c:v>0.70082487175879837</c:v>
                </c:pt>
                <c:pt idx="63" formatCode="0.00">
                  <c:v>0.6128135068178997</c:v>
                </c:pt>
                <c:pt idx="64" formatCode="0.00">
                  <c:v>1.3425575857100247</c:v>
                </c:pt>
                <c:pt idx="65" formatCode="0.00">
                  <c:v>1.1464401638044963</c:v>
                </c:pt>
                <c:pt idx="66" formatCode="0.00">
                  <c:v>0.68205757440402692</c:v>
                </c:pt>
                <c:pt idx="67" formatCode="0.00">
                  <c:v>0.59971068702759922</c:v>
                </c:pt>
                <c:pt idx="68" formatCode="0.00">
                  <c:v>-0.24341643026249971</c:v>
                </c:pt>
                <c:pt idx="69" formatCode="0.00">
                  <c:v>0.21968927530500171</c:v>
                </c:pt>
                <c:pt idx="70" formatCode="0.00">
                  <c:v>0.62195521300574264</c:v>
                </c:pt>
                <c:pt idx="71" formatCode="0.00">
                  <c:v>0.6703197886910095</c:v>
                </c:pt>
                <c:pt idx="72" formatCode="0.00">
                  <c:v>1.1804856080308124</c:v>
                </c:pt>
                <c:pt idx="73" formatCode="0.00">
                  <c:v>1.1433075192193609</c:v>
                </c:pt>
                <c:pt idx="74" formatCode="0.00">
                  <c:v>1.4884394831100156</c:v>
                </c:pt>
                <c:pt idx="75" formatCode="0.00">
                  <c:v>1.3765632630333258</c:v>
                </c:pt>
                <c:pt idx="76" formatCode="0.00">
                  <c:v>0.62011571760565154</c:v>
                </c:pt>
                <c:pt idx="77" formatCode="0.00">
                  <c:v>0.61464775693433893</c:v>
                </c:pt>
                <c:pt idx="78" formatCode="0.00">
                  <c:v>0.3997887745503359</c:v>
                </c:pt>
                <c:pt idx="79" formatCode="0.00">
                  <c:v>0.61944145432821784</c:v>
                </c:pt>
                <c:pt idx="80" formatCode="0.00">
                  <c:v>1.2498144995710891</c:v>
                </c:pt>
                <c:pt idx="81" formatCode="0.00">
                  <c:v>1.0686970230620485</c:v>
                </c:pt>
                <c:pt idx="82" formatCode="0.00">
                  <c:v>0.46384693717884673</c:v>
                </c:pt>
                <c:pt idx="83" formatCode="0.00">
                  <c:v>0.95705789351545612</c:v>
                </c:pt>
                <c:pt idx="84" formatCode="0.00">
                  <c:v>1.4284538808364555</c:v>
                </c:pt>
                <c:pt idx="85" formatCode="0.00">
                  <c:v>1.105759908820203</c:v>
                </c:pt>
                <c:pt idx="86" formatCode="0.00">
                  <c:v>0.99897765895005097</c:v>
                </c:pt>
                <c:pt idx="87" formatCode="0.00">
                  <c:v>0.57922585671621452</c:v>
                </c:pt>
                <c:pt idx="88" formatCode="0.00">
                  <c:v>0.44406817457924852</c:v>
                </c:pt>
                <c:pt idx="89" formatCode="0.00">
                  <c:v>0.13045392227384323</c:v>
                </c:pt>
                <c:pt idx="90" formatCode="0.00">
                  <c:v>0.24661664939813477</c:v>
                </c:pt>
                <c:pt idx="91" formatCode="0.00">
                  <c:v>0.75231408484561779</c:v>
                </c:pt>
                <c:pt idx="92" formatCode="0.00">
                  <c:v>1.273143354755657</c:v>
                </c:pt>
                <c:pt idx="93" formatCode="0.00">
                  <c:v>0.85579737439382964</c:v>
                </c:pt>
                <c:pt idx="94" formatCode="0.00">
                  <c:v>0.47862625132482073</c:v>
                </c:pt>
                <c:pt idx="95" formatCode="0.00">
                  <c:v>0.1614053464710663</c:v>
                </c:pt>
                <c:pt idx="96" formatCode="0.00">
                  <c:v>0.92632829539052164</c:v>
                </c:pt>
                <c:pt idx="97" formatCode="0.00">
                  <c:v>1.2843259887781011</c:v>
                </c:pt>
                <c:pt idx="98" formatCode="0.00">
                  <c:v>1.5858670096379868</c:v>
                </c:pt>
                <c:pt idx="99" formatCode="0.00">
                  <c:v>0.77238761754439</c:v>
                </c:pt>
                <c:pt idx="100" formatCode="0.00">
                  <c:v>5.8270807878169073E-2</c:v>
                </c:pt>
                <c:pt idx="101" formatCode="0.00">
                  <c:v>-0.25722798710287043</c:v>
                </c:pt>
                <c:pt idx="102" formatCode="0.00">
                  <c:v>0.52864154008127606</c:v>
                </c:pt>
                <c:pt idx="103" formatCode="0.00">
                  <c:v>-8.8500434911709114E-3</c:v>
                </c:pt>
                <c:pt idx="104" formatCode="0.00">
                  <c:v>0.40557007532464606</c:v>
                </c:pt>
                <c:pt idx="105" formatCode="0.00">
                  <c:v>0.3705360851228523</c:v>
                </c:pt>
                <c:pt idx="106" formatCode="0.00">
                  <c:v>0.39332312887090382</c:v>
                </c:pt>
                <c:pt idx="107" formatCode="0.00">
                  <c:v>0.83967449447162057</c:v>
                </c:pt>
                <c:pt idx="108" formatCode="0.00">
                  <c:v>1.1092759941980335</c:v>
                </c:pt>
                <c:pt idx="109" formatCode="0.00">
                  <c:v>0.92852655115962524</c:v>
                </c:pt>
                <c:pt idx="110" formatCode="0.00">
                  <c:v>0.19763993358012932</c:v>
                </c:pt>
                <c:pt idx="111" formatCode="0.00">
                  <c:v>0.42032342891400454</c:v>
                </c:pt>
                <c:pt idx="112" formatCode="0.00">
                  <c:v>0.71340620730291349</c:v>
                </c:pt>
                <c:pt idx="113" formatCode="0.00">
                  <c:v>0.4077464273517295</c:v>
                </c:pt>
                <c:pt idx="114" formatCode="0.00">
                  <c:v>0.47277308720825584</c:v>
                </c:pt>
                <c:pt idx="115" formatCode="0.00">
                  <c:v>0.53114758882764068</c:v>
                </c:pt>
                <c:pt idx="116" formatCode="0.00">
                  <c:v>1.2027927789892701E-2</c:v>
                </c:pt>
                <c:pt idx="117" formatCode="0.00">
                  <c:v>0.13115264310628039</c:v>
                </c:pt>
                <c:pt idx="118" formatCode="0.00">
                  <c:v>0.18614204269262746</c:v>
                </c:pt>
                <c:pt idx="119" formatCode="0.00">
                  <c:v>0.59276611340641772</c:v>
                </c:pt>
                <c:pt idx="120" formatCode="0.00">
                  <c:v>0.75362755808074944</c:v>
                </c:pt>
                <c:pt idx="121" formatCode="0.00">
                  <c:v>0.65552749295585411</c:v>
                </c:pt>
                <c:pt idx="122" formatCode="0.00">
                  <c:v>0.69415304788229548</c:v>
                </c:pt>
                <c:pt idx="123" formatCode="0.00">
                  <c:v>0.61873294621492825</c:v>
                </c:pt>
                <c:pt idx="124" formatCode="0.00">
                  <c:v>0.65689995312927518</c:v>
                </c:pt>
                <c:pt idx="125" formatCode="0.00">
                  <c:v>0.84736804752763017</c:v>
                </c:pt>
                <c:pt idx="126" formatCode="0.00">
                  <c:v>0.78252240092635539</c:v>
                </c:pt>
                <c:pt idx="127" formatCode="0.00">
                  <c:v>0.53593421430064847</c:v>
                </c:pt>
                <c:pt idx="128" formatCode="0.00">
                  <c:v>1.0308832649158495</c:v>
                </c:pt>
                <c:pt idx="129" formatCode="0.00">
                  <c:v>0.67880972534926087</c:v>
                </c:pt>
                <c:pt idx="130" formatCode="0.00">
                  <c:v>1.1581446423258202</c:v>
                </c:pt>
                <c:pt idx="131" formatCode="0.00">
                  <c:v>1.0354345990832625</c:v>
                </c:pt>
                <c:pt idx="132" formatCode="0.00">
                  <c:v>0.88496246548566138</c:v>
                </c:pt>
                <c:pt idx="133" formatCode="0.00">
                  <c:v>1.2005738028167734</c:v>
                </c:pt>
                <c:pt idx="134" formatCode="0.00">
                  <c:v>0.92470926303656054</c:v>
                </c:pt>
                <c:pt idx="135" formatCode="0.00">
                  <c:v>1.124663727517472</c:v>
                </c:pt>
                <c:pt idx="136" formatCode="0.00">
                  <c:v>0.7413405213920532</c:v>
                </c:pt>
                <c:pt idx="137" formatCode="0.00">
                  <c:v>0.60319376584505591</c:v>
                </c:pt>
                <c:pt idx="138" formatCode="0.00">
                  <c:v>0.8313297497510419</c:v>
                </c:pt>
                <c:pt idx="139" formatCode="0.00">
                  <c:v>0.6103667071408525</c:v>
                </c:pt>
                <c:pt idx="140" formatCode="0.00">
                  <c:v>0.88439325018829784</c:v>
                </c:pt>
                <c:pt idx="141" formatCode="0.00">
                  <c:v>0.75153486480270537</c:v>
                </c:pt>
                <c:pt idx="142" formatCode="0.00">
                  <c:v>0.73710770857129404</c:v>
                </c:pt>
                <c:pt idx="143" formatCode="0.00">
                  <c:v>0.72553357723990075</c:v>
                </c:pt>
                <c:pt idx="144" formatCode="0.00">
                  <c:v>0.38626773737586717</c:v>
                </c:pt>
                <c:pt idx="145" formatCode="0.00">
                  <c:v>0.27175165292998571</c:v>
                </c:pt>
                <c:pt idx="146" formatCode="0.00">
                  <c:v>6.1199713048654125E-2</c:v>
                </c:pt>
                <c:pt idx="147" formatCode="0.00">
                  <c:v>-6.1654894393556088</c:v>
                </c:pt>
                <c:pt idx="148" formatCode="0.00">
                  <c:v>-1.4770043696396451</c:v>
                </c:pt>
                <c:pt idx="149" formatCode="0.00">
                  <c:v>5.837176796255239</c:v>
                </c:pt>
                <c:pt idx="150" formatCode="0.00">
                  <c:v>2.5832723155050141</c:v>
                </c:pt>
                <c:pt idx="151" formatCode="0.00">
                  <c:v>1.4022663619940978</c:v>
                </c:pt>
                <c:pt idx="152" formatCode="0.00">
                  <c:v>-1.60442939156701</c:v>
                </c:pt>
                <c:pt idx="153" formatCode="0.00">
                  <c:v>3.4855706084329898</c:v>
                </c:pt>
                <c:pt idx="154" formatCode="0.00">
                  <c:v>1.0855706084329899</c:v>
                </c:pt>
                <c:pt idx="155" formatCode="0.00">
                  <c:v>1.0855706084329899</c:v>
                </c:pt>
                <c:pt idx="156" formatCode="0.00">
                  <c:v>-1.1157324432692739</c:v>
                </c:pt>
                <c:pt idx="157" formatCode="0.00">
                  <c:v>1.1200000000000001</c:v>
                </c:pt>
                <c:pt idx="158" formatCode="0.00">
                  <c:v>1.4535386200127398</c:v>
                </c:pt>
                <c:pt idx="159" formatCode="0.00">
                  <c:v>0.42663730696761437</c:v>
                </c:pt>
                <c:pt idx="160" formatCode="0.00">
                  <c:v>-0.31342983759704568</c:v>
                </c:pt>
                <c:pt idx="161" formatCode="0.00">
                  <c:v>9.0210836778914505E-2</c:v>
                </c:pt>
                <c:pt idx="162" formatCode="0.00">
                  <c:v>0.34525157504803339</c:v>
                </c:pt>
                <c:pt idx="163" formatCode="0.00">
                  <c:v>0.55348284330813957</c:v>
                </c:pt>
                <c:pt idx="164" formatCode="0.00">
                  <c:v>0.72368417165862287</c:v>
                </c:pt>
                <c:pt idx="165" formatCode="0.00">
                  <c:v>0.71595215493920339</c:v>
                </c:pt>
                <c:pt idx="166" formatCode="0.00">
                  <c:v>0.81935560097416982</c:v>
                </c:pt>
                <c:pt idx="167" formatCode="0.00">
                  <c:v>0.79968320632821666</c:v>
                </c:pt>
                <c:pt idx="168" formatCode="0.00">
                  <c:v>0.53246670688458231</c:v>
                </c:pt>
                <c:pt idx="169" formatCode="0.00">
                  <c:v>0.66922062024272755</c:v>
                </c:pt>
                <c:pt idx="170" formatCode="0.00">
                  <c:v>0.71356167537321991</c:v>
                </c:pt>
                <c:pt idx="171" formatCode="0.00">
                  <c:v>0.68911616931179864</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A-3A4B-4775-966E-1EFB9F5FE023}"/>
            </c:ext>
          </c:extLst>
        </c:ser>
        <c:ser>
          <c:idx val="2"/>
          <c:order val="11"/>
          <c:tx>
            <c:strRef>
              <c:f>'data-gsp-q'!#REF!</c:f>
              <c:strCache>
                <c:ptCount val="1"/>
                <c:pt idx="0">
                  <c:v>#REF!</c:v>
                </c:pt>
              </c:strCache>
              <c:extLst xmlns:c15="http://schemas.microsoft.com/office/drawing/2012/chart"/>
            </c:strRef>
          </c:tx>
          <c:marker>
            <c:symbol val="none"/>
          </c:marker>
          <c:cat>
            <c:numRef>
              <c:f>'data-gsp-q'!$A$3:$A$178</c:f>
              <c:numCache>
                <c:formatCode>mmm\-yy</c:formatCode>
                <c:ptCount val="176"/>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pt idx="127">
                  <c:v>42156</c:v>
                </c:pt>
                <c:pt idx="128">
                  <c:v>42248</c:v>
                </c:pt>
                <c:pt idx="129">
                  <c:v>42339</c:v>
                </c:pt>
                <c:pt idx="130">
                  <c:v>42430</c:v>
                </c:pt>
                <c:pt idx="131">
                  <c:v>42522</c:v>
                </c:pt>
                <c:pt idx="132">
                  <c:v>42614</c:v>
                </c:pt>
                <c:pt idx="133">
                  <c:v>42705</c:v>
                </c:pt>
                <c:pt idx="134">
                  <c:v>42795</c:v>
                </c:pt>
                <c:pt idx="135">
                  <c:v>42887</c:v>
                </c:pt>
                <c:pt idx="136">
                  <c:v>42979</c:v>
                </c:pt>
                <c:pt idx="137">
                  <c:v>43070</c:v>
                </c:pt>
                <c:pt idx="138">
                  <c:v>43160</c:v>
                </c:pt>
                <c:pt idx="139">
                  <c:v>43252</c:v>
                </c:pt>
                <c:pt idx="140">
                  <c:v>43344</c:v>
                </c:pt>
                <c:pt idx="141">
                  <c:v>43435</c:v>
                </c:pt>
                <c:pt idx="142">
                  <c:v>43525</c:v>
                </c:pt>
                <c:pt idx="143">
                  <c:v>43617</c:v>
                </c:pt>
                <c:pt idx="144">
                  <c:v>43709</c:v>
                </c:pt>
                <c:pt idx="145">
                  <c:v>43800</c:v>
                </c:pt>
                <c:pt idx="146">
                  <c:v>43891</c:v>
                </c:pt>
                <c:pt idx="147">
                  <c:v>43983</c:v>
                </c:pt>
                <c:pt idx="148">
                  <c:v>44075</c:v>
                </c:pt>
                <c:pt idx="149">
                  <c:v>44166</c:v>
                </c:pt>
                <c:pt idx="150">
                  <c:v>44256</c:v>
                </c:pt>
                <c:pt idx="151">
                  <c:v>44348</c:v>
                </c:pt>
                <c:pt idx="152">
                  <c:v>44440</c:v>
                </c:pt>
                <c:pt idx="153">
                  <c:v>44531</c:v>
                </c:pt>
                <c:pt idx="154">
                  <c:v>44621</c:v>
                </c:pt>
                <c:pt idx="155">
                  <c:v>44713</c:v>
                </c:pt>
                <c:pt idx="156">
                  <c:v>44805</c:v>
                </c:pt>
                <c:pt idx="157">
                  <c:v>44896</c:v>
                </c:pt>
                <c:pt idx="158">
                  <c:v>44986</c:v>
                </c:pt>
                <c:pt idx="159">
                  <c:v>45078</c:v>
                </c:pt>
                <c:pt idx="160">
                  <c:v>45170</c:v>
                </c:pt>
                <c:pt idx="161">
                  <c:v>45261</c:v>
                </c:pt>
                <c:pt idx="162">
                  <c:v>45352</c:v>
                </c:pt>
                <c:pt idx="163">
                  <c:v>45444</c:v>
                </c:pt>
                <c:pt idx="164">
                  <c:v>45536</c:v>
                </c:pt>
                <c:pt idx="165">
                  <c:v>45627</c:v>
                </c:pt>
                <c:pt idx="166">
                  <c:v>45717</c:v>
                </c:pt>
                <c:pt idx="167">
                  <c:v>45809</c:v>
                </c:pt>
                <c:pt idx="168">
                  <c:v>45901</c:v>
                </c:pt>
                <c:pt idx="169">
                  <c:v>45992</c:v>
                </c:pt>
                <c:pt idx="170">
                  <c:v>46082</c:v>
                </c:pt>
                <c:pt idx="171">
                  <c:v>46174</c:v>
                </c:pt>
                <c:pt idx="172">
                  <c:v>46266</c:v>
                </c:pt>
                <c:pt idx="173">
                  <c:v>46357</c:v>
                </c:pt>
                <c:pt idx="174">
                  <c:v>46447</c:v>
                </c:pt>
                <c:pt idx="175">
                  <c:v>46539</c:v>
                </c:pt>
              </c:numCache>
            </c:numRef>
          </c:cat>
          <c:val>
            <c:numRef>
              <c:f>'data-gsp-q'!#REF!</c:f>
              <c:numCache>
                <c:formatCode>General</c:formatCode>
                <c:ptCount val="1"/>
                <c:pt idx="0">
                  <c:v>1</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B-3A4B-4775-966E-1EFB9F5FE023}"/>
            </c:ext>
          </c:extLst>
        </c:ser>
        <c:ser>
          <c:idx val="3"/>
          <c:order val="12"/>
          <c:tx>
            <c:strRef>
              <c:f>'data-gsp-q'!$D$2</c:f>
              <c:strCache>
                <c:ptCount val="1"/>
                <c:pt idx="0">
                  <c:v>2019-20 year average</c:v>
                </c:pt>
              </c:strCache>
            </c:strRef>
          </c:tx>
          <c:spPr>
            <a:ln w="25400">
              <a:solidFill>
                <a:sysClr val="windowText" lastClr="000000"/>
              </a:solidFill>
              <a:prstDash val="dash"/>
            </a:ln>
          </c:spPr>
          <c:marker>
            <c:symbol val="none"/>
          </c:marker>
          <c:cat>
            <c:numRef>
              <c:f>'data-gsp-q'!$A$3:$A$178</c:f>
              <c:numCache>
                <c:formatCode>mmm\-yy</c:formatCode>
                <c:ptCount val="176"/>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pt idx="127">
                  <c:v>42156</c:v>
                </c:pt>
                <c:pt idx="128">
                  <c:v>42248</c:v>
                </c:pt>
                <c:pt idx="129">
                  <c:v>42339</c:v>
                </c:pt>
                <c:pt idx="130">
                  <c:v>42430</c:v>
                </c:pt>
                <c:pt idx="131">
                  <c:v>42522</c:v>
                </c:pt>
                <c:pt idx="132">
                  <c:v>42614</c:v>
                </c:pt>
                <c:pt idx="133">
                  <c:v>42705</c:v>
                </c:pt>
                <c:pt idx="134">
                  <c:v>42795</c:v>
                </c:pt>
                <c:pt idx="135">
                  <c:v>42887</c:v>
                </c:pt>
                <c:pt idx="136">
                  <c:v>42979</c:v>
                </c:pt>
                <c:pt idx="137">
                  <c:v>43070</c:v>
                </c:pt>
                <c:pt idx="138">
                  <c:v>43160</c:v>
                </c:pt>
                <c:pt idx="139">
                  <c:v>43252</c:v>
                </c:pt>
                <c:pt idx="140">
                  <c:v>43344</c:v>
                </c:pt>
                <c:pt idx="141">
                  <c:v>43435</c:v>
                </c:pt>
                <c:pt idx="142">
                  <c:v>43525</c:v>
                </c:pt>
                <c:pt idx="143">
                  <c:v>43617</c:v>
                </c:pt>
                <c:pt idx="144">
                  <c:v>43709</c:v>
                </c:pt>
                <c:pt idx="145">
                  <c:v>43800</c:v>
                </c:pt>
                <c:pt idx="146">
                  <c:v>43891</c:v>
                </c:pt>
                <c:pt idx="147">
                  <c:v>43983</c:v>
                </c:pt>
                <c:pt idx="148">
                  <c:v>44075</c:v>
                </c:pt>
                <c:pt idx="149">
                  <c:v>44166</c:v>
                </c:pt>
                <c:pt idx="150">
                  <c:v>44256</c:v>
                </c:pt>
                <c:pt idx="151">
                  <c:v>44348</c:v>
                </c:pt>
                <c:pt idx="152">
                  <c:v>44440</c:v>
                </c:pt>
                <c:pt idx="153">
                  <c:v>44531</c:v>
                </c:pt>
                <c:pt idx="154">
                  <c:v>44621</c:v>
                </c:pt>
                <c:pt idx="155">
                  <c:v>44713</c:v>
                </c:pt>
                <c:pt idx="156">
                  <c:v>44805</c:v>
                </c:pt>
                <c:pt idx="157">
                  <c:v>44896</c:v>
                </c:pt>
                <c:pt idx="158">
                  <c:v>44986</c:v>
                </c:pt>
                <c:pt idx="159">
                  <c:v>45078</c:v>
                </c:pt>
                <c:pt idx="160">
                  <c:v>45170</c:v>
                </c:pt>
                <c:pt idx="161">
                  <c:v>45261</c:v>
                </c:pt>
                <c:pt idx="162">
                  <c:v>45352</c:v>
                </c:pt>
                <c:pt idx="163">
                  <c:v>45444</c:v>
                </c:pt>
                <c:pt idx="164">
                  <c:v>45536</c:v>
                </c:pt>
                <c:pt idx="165">
                  <c:v>45627</c:v>
                </c:pt>
                <c:pt idx="166">
                  <c:v>45717</c:v>
                </c:pt>
                <c:pt idx="167">
                  <c:v>45809</c:v>
                </c:pt>
                <c:pt idx="168">
                  <c:v>45901</c:v>
                </c:pt>
                <c:pt idx="169">
                  <c:v>45992</c:v>
                </c:pt>
                <c:pt idx="170">
                  <c:v>46082</c:v>
                </c:pt>
                <c:pt idx="171">
                  <c:v>46174</c:v>
                </c:pt>
                <c:pt idx="172">
                  <c:v>46266</c:v>
                </c:pt>
                <c:pt idx="173">
                  <c:v>46357</c:v>
                </c:pt>
                <c:pt idx="174">
                  <c:v>46447</c:v>
                </c:pt>
                <c:pt idx="175">
                  <c:v>46539</c:v>
                </c:pt>
              </c:numCache>
            </c:numRef>
          </c:cat>
          <c:val>
            <c:numRef>
              <c:f>'data-gsp-q'!$D$3:$D$178</c:f>
              <c:numCache>
                <c:formatCode>General</c:formatCode>
                <c:ptCount val="176"/>
                <c:pt idx="144" formatCode="0">
                  <c:v>112951.09354928305</c:v>
                </c:pt>
                <c:pt idx="145" formatCode="0">
                  <c:v>112951.09354928305</c:v>
                </c:pt>
                <c:pt idx="146" formatCode="0">
                  <c:v>112951.09354928305</c:v>
                </c:pt>
                <c:pt idx="147" formatCode="0">
                  <c:v>112951.09354928305</c:v>
                </c:pt>
              </c:numCache>
            </c:numRef>
          </c:val>
          <c:smooth val="0"/>
          <c:extLst>
            <c:ext xmlns:c16="http://schemas.microsoft.com/office/drawing/2014/chart" uri="{C3380CC4-5D6E-409C-BE32-E72D297353CC}">
              <c16:uniqueId val="{0000000C-3A4B-4775-966E-1EFB9F5FE023}"/>
            </c:ext>
          </c:extLst>
        </c:ser>
        <c:ser>
          <c:idx val="4"/>
          <c:order val="13"/>
          <c:tx>
            <c:strRef>
              <c:f>'data-gsp-q'!$K$2</c:f>
              <c:strCache>
                <c:ptCount val="1"/>
                <c:pt idx="0">
                  <c:v>2026-27 year average</c:v>
                </c:pt>
              </c:strCache>
            </c:strRef>
          </c:tx>
          <c:spPr>
            <a:ln w="25400">
              <a:solidFill>
                <a:sysClr val="windowText" lastClr="000000"/>
              </a:solidFill>
              <a:prstDash val="dash"/>
            </a:ln>
          </c:spPr>
          <c:marker>
            <c:symbol val="none"/>
          </c:marker>
          <c:cat>
            <c:numRef>
              <c:f>'data-gsp-q'!$A$3:$A$178</c:f>
              <c:numCache>
                <c:formatCode>mmm\-yy</c:formatCode>
                <c:ptCount val="176"/>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pt idx="127">
                  <c:v>42156</c:v>
                </c:pt>
                <c:pt idx="128">
                  <c:v>42248</c:v>
                </c:pt>
                <c:pt idx="129">
                  <c:v>42339</c:v>
                </c:pt>
                <c:pt idx="130">
                  <c:v>42430</c:v>
                </c:pt>
                <c:pt idx="131">
                  <c:v>42522</c:v>
                </c:pt>
                <c:pt idx="132">
                  <c:v>42614</c:v>
                </c:pt>
                <c:pt idx="133">
                  <c:v>42705</c:v>
                </c:pt>
                <c:pt idx="134">
                  <c:v>42795</c:v>
                </c:pt>
                <c:pt idx="135">
                  <c:v>42887</c:v>
                </c:pt>
                <c:pt idx="136">
                  <c:v>42979</c:v>
                </c:pt>
                <c:pt idx="137">
                  <c:v>43070</c:v>
                </c:pt>
                <c:pt idx="138">
                  <c:v>43160</c:v>
                </c:pt>
                <c:pt idx="139">
                  <c:v>43252</c:v>
                </c:pt>
                <c:pt idx="140">
                  <c:v>43344</c:v>
                </c:pt>
                <c:pt idx="141">
                  <c:v>43435</c:v>
                </c:pt>
                <c:pt idx="142">
                  <c:v>43525</c:v>
                </c:pt>
                <c:pt idx="143">
                  <c:v>43617</c:v>
                </c:pt>
                <c:pt idx="144">
                  <c:v>43709</c:v>
                </c:pt>
                <c:pt idx="145">
                  <c:v>43800</c:v>
                </c:pt>
                <c:pt idx="146">
                  <c:v>43891</c:v>
                </c:pt>
                <c:pt idx="147">
                  <c:v>43983</c:v>
                </c:pt>
                <c:pt idx="148">
                  <c:v>44075</c:v>
                </c:pt>
                <c:pt idx="149">
                  <c:v>44166</c:v>
                </c:pt>
                <c:pt idx="150">
                  <c:v>44256</c:v>
                </c:pt>
                <c:pt idx="151">
                  <c:v>44348</c:v>
                </c:pt>
                <c:pt idx="152">
                  <c:v>44440</c:v>
                </c:pt>
                <c:pt idx="153">
                  <c:v>44531</c:v>
                </c:pt>
                <c:pt idx="154">
                  <c:v>44621</c:v>
                </c:pt>
                <c:pt idx="155">
                  <c:v>44713</c:v>
                </c:pt>
                <c:pt idx="156">
                  <c:v>44805</c:v>
                </c:pt>
                <c:pt idx="157">
                  <c:v>44896</c:v>
                </c:pt>
                <c:pt idx="158">
                  <c:v>44986</c:v>
                </c:pt>
                <c:pt idx="159">
                  <c:v>45078</c:v>
                </c:pt>
                <c:pt idx="160">
                  <c:v>45170</c:v>
                </c:pt>
                <c:pt idx="161">
                  <c:v>45261</c:v>
                </c:pt>
                <c:pt idx="162">
                  <c:v>45352</c:v>
                </c:pt>
                <c:pt idx="163">
                  <c:v>45444</c:v>
                </c:pt>
                <c:pt idx="164">
                  <c:v>45536</c:v>
                </c:pt>
                <c:pt idx="165">
                  <c:v>45627</c:v>
                </c:pt>
                <c:pt idx="166">
                  <c:v>45717</c:v>
                </c:pt>
                <c:pt idx="167">
                  <c:v>45809</c:v>
                </c:pt>
                <c:pt idx="168">
                  <c:v>45901</c:v>
                </c:pt>
                <c:pt idx="169">
                  <c:v>45992</c:v>
                </c:pt>
                <c:pt idx="170">
                  <c:v>46082</c:v>
                </c:pt>
                <c:pt idx="171">
                  <c:v>46174</c:v>
                </c:pt>
                <c:pt idx="172">
                  <c:v>46266</c:v>
                </c:pt>
                <c:pt idx="173">
                  <c:v>46357</c:v>
                </c:pt>
                <c:pt idx="174">
                  <c:v>46447</c:v>
                </c:pt>
                <c:pt idx="175">
                  <c:v>46539</c:v>
                </c:pt>
              </c:numCache>
            </c:numRef>
          </c:cat>
          <c:val>
            <c:numRef>
              <c:f>'data-gsp-q'!$K$3:$K$178</c:f>
              <c:numCache>
                <c:formatCode>General</c:formatCode>
                <c:ptCount val="176"/>
                <c:pt idx="172" formatCode="0">
                  <c:v>134257.50064854918</c:v>
                </c:pt>
                <c:pt idx="173" formatCode="0">
                  <c:v>134257.50064854918</c:v>
                </c:pt>
                <c:pt idx="174" formatCode="0">
                  <c:v>134257.50064854918</c:v>
                </c:pt>
                <c:pt idx="175" formatCode="0">
                  <c:v>134257.50064854918</c:v>
                </c:pt>
              </c:numCache>
            </c:numRef>
          </c:val>
          <c:smooth val="0"/>
          <c:extLst>
            <c:ext xmlns:c16="http://schemas.microsoft.com/office/drawing/2014/chart" uri="{C3380CC4-5D6E-409C-BE32-E72D297353CC}">
              <c16:uniqueId val="{0000000D-3A4B-4775-966E-1EFB9F5FE023}"/>
            </c:ext>
          </c:extLst>
        </c:ser>
        <c:dLbls>
          <c:showLegendKey val="0"/>
          <c:showVal val="0"/>
          <c:showCatName val="0"/>
          <c:showSerName val="0"/>
          <c:showPercent val="0"/>
          <c:showBubbleSize val="0"/>
        </c:dLbls>
        <c:smooth val="0"/>
        <c:axId val="924275464"/>
        <c:axId val="924274152"/>
        <c:extLst/>
      </c:lineChart>
      <c:dateAx>
        <c:axId val="924275464"/>
        <c:scaling>
          <c:orientation val="minMax"/>
          <c:min val="43617"/>
        </c:scaling>
        <c:delete val="0"/>
        <c:axPos val="b"/>
        <c:numFmt formatCode="mmm\-yy" sourceLinked="1"/>
        <c:majorTickMark val="out"/>
        <c:minorTickMark val="none"/>
        <c:tickLblPos val="nextTo"/>
        <c:spPr>
          <a:noFill/>
          <a:ln w="9525" cap="flat" cmpd="sng" algn="ctr">
            <a:solidFill>
              <a:sysClr val="windowText" lastClr="000000"/>
            </a:solidFill>
            <a:round/>
          </a:ln>
          <a:effectLst/>
        </c:spPr>
        <c:txPr>
          <a:bodyPr rot="0"/>
          <a:lstStyle/>
          <a:p>
            <a:pPr>
              <a:defRPr/>
            </a:pPr>
            <a:endParaRPr lang="en-US"/>
          </a:p>
        </c:txPr>
        <c:crossAx val="924274152"/>
        <c:crosses val="autoZero"/>
        <c:auto val="1"/>
        <c:lblOffset val="100"/>
        <c:baseTimeUnit val="months"/>
        <c:majorUnit val="12"/>
        <c:majorTimeUnit val="months"/>
      </c:dateAx>
      <c:valAx>
        <c:axId val="924274152"/>
        <c:scaling>
          <c:orientation val="minMax"/>
          <c:max val="140000"/>
          <c:min val="100000"/>
        </c:scaling>
        <c:delete val="0"/>
        <c:axPos val="l"/>
        <c:majorGridlines>
          <c:spPr>
            <a:ln w="9525" cap="flat" cmpd="sng" algn="ctr">
              <a:solidFill>
                <a:schemeClr val="bg1">
                  <a:lumMod val="65000"/>
                </a:schemeClr>
              </a:solidFill>
              <a:prstDash val="dash"/>
              <a:round/>
            </a:ln>
            <a:effectLst/>
          </c:spPr>
        </c:majorGridlines>
        <c:title>
          <c:tx>
            <c:rich>
              <a:bodyPr/>
              <a:lstStyle/>
              <a:p>
                <a:pPr>
                  <a:defRPr b="0" i="1"/>
                </a:pPr>
                <a:r>
                  <a:rPr lang="en-AU" b="0" i="1"/>
                  <a:t>$ billion</a:t>
                </a:r>
              </a:p>
            </c:rich>
          </c:tx>
          <c:layout>
            <c:manualLayout>
              <c:xMode val="edge"/>
              <c:yMode val="edge"/>
              <c:x val="1.3070646345393203E-3"/>
              <c:y val="0.36150882068534002"/>
            </c:manualLayout>
          </c:layout>
          <c:overlay val="0"/>
        </c:title>
        <c:numFmt formatCode="0" sourceLinked="0"/>
        <c:majorTickMark val="out"/>
        <c:minorTickMark val="none"/>
        <c:tickLblPos val="nextTo"/>
        <c:spPr>
          <a:noFill/>
          <a:ln>
            <a:solidFill>
              <a:sysClr val="windowText" lastClr="000000"/>
            </a:solidFill>
          </a:ln>
          <a:effectLst/>
        </c:spPr>
        <c:txPr>
          <a:bodyPr rot="-60000000" vert="horz"/>
          <a:lstStyle/>
          <a:p>
            <a:pPr>
              <a:defRPr/>
            </a:pPr>
            <a:endParaRPr lang="en-US"/>
          </a:p>
        </c:txPr>
        <c:crossAx val="924275464"/>
        <c:crosses val="autoZero"/>
        <c:crossBetween val="between"/>
        <c:majorUnit val="5000"/>
        <c:dispUnits>
          <c:builtInUnit val="thousands"/>
          <c:dispUnitsLbl>
            <c:layout>
              <c:manualLayout>
                <c:xMode val="edge"/>
                <c:yMode val="edge"/>
                <c:x val="3.0555555555555555E-2"/>
                <c:y val="0.32917833187518225"/>
              </c:manualLayout>
            </c:layout>
            <c:tx>
              <c:rich>
                <a:bodyPr rot="-5400000" vert="horz"/>
                <a:lstStyle/>
                <a:p>
                  <a:pPr>
                    <a:defRPr/>
                  </a:pPr>
                  <a:r>
                    <a:rPr lang="en-AU"/>
                    <a:t> </a:t>
                  </a:r>
                </a:p>
              </c:rich>
            </c:tx>
            <c:spPr>
              <a:noFill/>
              <a:ln>
                <a:noFill/>
              </a:ln>
              <a:effectLst/>
            </c:spPr>
          </c:dispUnitsLbl>
        </c:dispUnits>
      </c:valAx>
    </c:plotArea>
    <c:legend>
      <c:legendPos val="b"/>
      <c:legendEntry>
        <c:idx val="0"/>
        <c:delete val="1"/>
      </c:legendEntry>
      <c:legendEntry>
        <c:idx val="2"/>
        <c:delete val="1"/>
      </c:legendEntry>
      <c:legendEntry>
        <c:idx val="3"/>
        <c:delete val="1"/>
      </c:legendEntry>
      <c:legendEntry>
        <c:idx val="4"/>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ayout>
        <c:manualLayout>
          <c:xMode val="edge"/>
          <c:yMode val="edge"/>
          <c:x val="0.16301044722350883"/>
          <c:y val="0.92535433070866147"/>
          <c:w val="0.67397910555298235"/>
          <c:h val="6.6389735338810207E-2"/>
        </c:manualLayout>
      </c:layout>
      <c:overlay val="0"/>
      <c:txPr>
        <a:bodyPr/>
        <a:lstStyle/>
        <a:p>
          <a:pPr>
            <a:defRPr sz="800"/>
          </a:pPr>
          <a:endParaRPr lang="en-US"/>
        </a:p>
      </c:txPr>
    </c:legend>
    <c:plotVisOnly val="1"/>
    <c:dispBlanksAs val="gap"/>
    <c:showDLblsOverMax val="0"/>
    <c:extLst/>
  </c:chart>
  <c:spPr>
    <a:ln>
      <a:noFill/>
    </a:ln>
  </c:spPr>
  <c:txPr>
    <a:bodyPr/>
    <a:lstStyle/>
    <a:p>
      <a:pPr>
        <a:defRPr sz="900">
          <a:latin typeface="Calibri" panose="020F0502020204030204" pitchFamily="34" charset="0"/>
          <a:cs typeface="Calibri" panose="020F0502020204030204" pitchFamily="34" charset="0"/>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2478526957685"/>
          <c:y val="3.5414735837446157E-2"/>
          <c:w val="0.89427521473042315"/>
          <c:h val="0.77058326240602126"/>
        </c:manualLayout>
      </c:layout>
      <c:barChart>
        <c:barDir val="col"/>
        <c:grouping val="stacked"/>
        <c:varyColors val="0"/>
        <c:ser>
          <c:idx val="1"/>
          <c:order val="0"/>
          <c:spPr>
            <a:solidFill>
              <a:schemeClr val="bg1">
                <a:alpha val="0"/>
              </a:schemeClr>
            </a:solidFill>
            <a:ln>
              <a:noFill/>
            </a:ln>
            <a:effectLst/>
          </c:spPr>
          <c:invertIfNegative val="0"/>
          <c:cat>
            <c:strRef>
              <c:f>'data-gsp-contr'!$B$2:$B$9</c:f>
              <c:strCache>
                <c:ptCount val="8"/>
                <c:pt idx="0">
                  <c:v>Business investment</c:v>
                </c:pt>
                <c:pt idx="1">
                  <c:v>Net trade</c:v>
                </c:pt>
                <c:pt idx="2">
                  <c:v>Household consumption</c:v>
                </c:pt>
                <c:pt idx="3">
                  <c:v>Interstate trade and inventories (b)</c:v>
                </c:pt>
                <c:pt idx="4">
                  <c:v>Ownership transfer costs (c)</c:v>
                </c:pt>
                <c:pt idx="5">
                  <c:v>Public demand (d)</c:v>
                </c:pt>
                <c:pt idx="6">
                  <c:v>Dwelling investment (e)</c:v>
                </c:pt>
                <c:pt idx="7">
                  <c:v>Real GSP</c:v>
                </c:pt>
              </c:strCache>
            </c:strRef>
          </c:cat>
          <c:val>
            <c:numRef>
              <c:f>'data-gsp-contr'!$E$2:$E$9</c:f>
              <c:numCache>
                <c:formatCode>General</c:formatCode>
                <c:ptCount val="8"/>
                <c:pt idx="0">
                  <c:v>0</c:v>
                </c:pt>
                <c:pt idx="1">
                  <c:v>0.5</c:v>
                </c:pt>
                <c:pt idx="2" formatCode="0.0">
                  <c:v>1</c:v>
                </c:pt>
                <c:pt idx="3" formatCode="0.0">
                  <c:v>1.25</c:v>
                </c:pt>
                <c:pt idx="4">
                  <c:v>1.25</c:v>
                </c:pt>
                <c:pt idx="5">
                  <c:v>0</c:v>
                </c:pt>
                <c:pt idx="6">
                  <c:v>0</c:v>
                </c:pt>
              </c:numCache>
            </c:numRef>
          </c:val>
          <c:extLst>
            <c:ext xmlns:c16="http://schemas.microsoft.com/office/drawing/2014/chart" uri="{C3380CC4-5D6E-409C-BE32-E72D297353CC}">
              <c16:uniqueId val="{00000000-AB10-4D46-9189-8847FA324261}"/>
            </c:ext>
          </c:extLst>
        </c:ser>
        <c:ser>
          <c:idx val="0"/>
          <c:order val="1"/>
          <c:spPr>
            <a:solidFill>
              <a:schemeClr val="tx1">
                <a:lumMod val="50000"/>
                <a:lumOff val="50000"/>
              </a:schemeClr>
            </a:solidFill>
            <a:ln>
              <a:noFill/>
            </a:ln>
            <a:effectLst/>
          </c:spPr>
          <c:invertIfNegative val="0"/>
          <c:dPt>
            <c:idx val="4"/>
            <c:invertIfNegative val="0"/>
            <c:bubble3D val="0"/>
            <c:spPr>
              <a:solidFill>
                <a:schemeClr val="bg1">
                  <a:lumMod val="85000"/>
                </a:schemeClr>
              </a:solidFill>
              <a:ln>
                <a:noFill/>
              </a:ln>
              <a:effectLst/>
            </c:spPr>
            <c:extLst>
              <c:ext xmlns:c16="http://schemas.microsoft.com/office/drawing/2014/chart" uri="{C3380CC4-5D6E-409C-BE32-E72D297353CC}">
                <c16:uniqueId val="{00000002-AB10-4D46-9189-8847FA324261}"/>
              </c:ext>
            </c:extLst>
          </c:dPt>
          <c:dPt>
            <c:idx val="6"/>
            <c:invertIfNegative val="0"/>
            <c:bubble3D val="0"/>
            <c:spPr>
              <a:solidFill>
                <a:schemeClr val="bg1">
                  <a:lumMod val="75000"/>
                </a:schemeClr>
              </a:solidFill>
              <a:ln>
                <a:noFill/>
              </a:ln>
              <a:effectLst/>
            </c:spPr>
            <c:extLst>
              <c:ext xmlns:c16="http://schemas.microsoft.com/office/drawing/2014/chart" uri="{C3380CC4-5D6E-409C-BE32-E72D297353CC}">
                <c16:uniqueId val="{00000004-AB10-4D46-9189-8847FA324261}"/>
              </c:ext>
            </c:extLst>
          </c:dPt>
          <c:dPt>
            <c:idx val="7"/>
            <c:invertIfNegative val="0"/>
            <c:bubble3D val="0"/>
            <c:spPr>
              <a:solidFill>
                <a:schemeClr val="tx1"/>
              </a:solidFill>
              <a:ln>
                <a:noFill/>
              </a:ln>
              <a:effectLst/>
            </c:spPr>
            <c:extLst>
              <c:ext xmlns:c16="http://schemas.microsoft.com/office/drawing/2014/chart" uri="{C3380CC4-5D6E-409C-BE32-E72D297353CC}">
                <c16:uniqueId val="{00000006-AB10-4D46-9189-8847FA324261}"/>
              </c:ext>
            </c:extLst>
          </c:dPt>
          <c:dLbls>
            <c:dLbl>
              <c:idx val="0"/>
              <c:layout>
                <c:manualLayout>
                  <c:x val="0"/>
                  <c:y val="-0.13860536277186458"/>
                </c:manualLayout>
              </c:layout>
              <c:tx>
                <c:rich>
                  <a:bodyPr/>
                  <a:lstStyle/>
                  <a:p>
                    <a:r>
                      <a:rPr lang="en-US"/>
                      <a:t>+</a:t>
                    </a:r>
                    <a:fld id="{306895D6-CCEA-460E-97E2-6E3BFCD00A46}" type="VALUE">
                      <a:rPr lang="en-US"/>
                      <a:pPr/>
                      <a:t>[VALUE]</a:t>
                    </a:fld>
                    <a:endParaRPr 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B10-4D46-9189-8847FA324261}"/>
                </c:ext>
              </c:extLst>
            </c:dLbl>
            <c:dLbl>
              <c:idx val="1"/>
              <c:layout>
                <c:manualLayout>
                  <c:x val="-3.5947297152056452E-17"/>
                  <c:y val="-0.13860536277186458"/>
                </c:manualLayout>
              </c:layout>
              <c:tx>
                <c:rich>
                  <a:bodyPr/>
                  <a:lstStyle/>
                  <a:p>
                    <a:r>
                      <a:rPr lang="en-US"/>
                      <a:t>+</a:t>
                    </a:r>
                    <a:fld id="{FF67872F-917C-48C3-B17F-DD8C56420736}" type="VALUE">
                      <a:rPr lang="en-US"/>
                      <a:pPr/>
                      <a:t>[VALUE]</a:t>
                    </a:fld>
                    <a:endParaRPr 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AB10-4D46-9189-8847FA324261}"/>
                </c:ext>
              </c:extLst>
            </c:dLbl>
            <c:dLbl>
              <c:idx val="2"/>
              <c:layout>
                <c:manualLayout>
                  <c:x val="0"/>
                  <c:y val="-7.9340270908347513E-2"/>
                </c:manualLayout>
              </c:layout>
              <c:tx>
                <c:rich>
                  <a:bodyPr/>
                  <a:lstStyle/>
                  <a:p>
                    <a:r>
                      <a:rPr lang="en-US"/>
                      <a:t>+</a:t>
                    </a:r>
                    <a:fld id="{877A223E-0D05-46FC-8697-18FD5DFDF565}" type="VALUE">
                      <a:rPr lang="en-US"/>
                      <a:pPr/>
                      <a:t>[VALUE]</a:t>
                    </a:fld>
                    <a:endParaRPr 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B10-4D46-9189-8847FA324261}"/>
                </c:ext>
              </c:extLst>
            </c:dLbl>
            <c:dLbl>
              <c:idx val="3"/>
              <c:layout>
                <c:manualLayout>
                  <c:x val="0"/>
                  <c:y val="-7.9340270908347513E-2"/>
                </c:manualLayout>
              </c:layout>
              <c:tx>
                <c:rich>
                  <a:bodyPr/>
                  <a:lstStyle/>
                  <a:p>
                    <a:r>
                      <a:rPr lang="en-US"/>
                      <a:t>+</a:t>
                    </a:r>
                    <a:fld id="{73E63C01-2FD2-43AA-9601-E9F920C6BDB3}" type="VALUE">
                      <a:rPr lang="en-US"/>
                      <a:pPr/>
                      <a:t>[VALUE]</a:t>
                    </a:fld>
                    <a:endParaRPr 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AB10-4D46-9189-8847FA324261}"/>
                </c:ext>
              </c:extLst>
            </c:dLbl>
            <c:dLbl>
              <c:idx val="4"/>
              <c:layout>
                <c:manualLayout>
                  <c:x val="0"/>
                  <c:y val="-7.9340270908347513E-2"/>
                </c:manualLayout>
              </c:layout>
              <c:tx>
                <c:rich>
                  <a:bodyPr/>
                  <a:lstStyle/>
                  <a:p>
                    <a:r>
                      <a:rPr lang="en-US"/>
                      <a:t>-</a:t>
                    </a:r>
                    <a:fld id="{A249741C-4A06-4261-BC41-192569FA828D}" type="VALUE">
                      <a:rPr lang="en-US"/>
                      <a:pPr/>
                      <a:t>[VALUE]</a:t>
                    </a:fld>
                    <a:endParaRPr 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AB10-4D46-9189-8847FA324261}"/>
                </c:ext>
              </c:extLst>
            </c:dLbl>
            <c:dLbl>
              <c:idx val="5"/>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mj-lt"/>
                      <a:ea typeface="+mn-ea"/>
                      <a:cs typeface="+mn-cs"/>
                    </a:defRPr>
                  </a:pPr>
                  <a:endParaRPr lang="en-US"/>
                </a:p>
              </c:txPr>
              <c:dLblPos val="inBase"/>
              <c:showLegendKey val="0"/>
              <c:showVal val="1"/>
              <c:showCatName val="0"/>
              <c:showSerName val="0"/>
              <c:showPercent val="0"/>
              <c:showBubbleSize val="0"/>
              <c:extLst>
                <c:ext xmlns:c16="http://schemas.microsoft.com/office/drawing/2014/chart" uri="{C3380CC4-5D6E-409C-BE32-E72D297353CC}">
                  <c16:uniqueId val="{0000000B-AB10-4D46-9189-8847FA324261}"/>
                </c:ext>
              </c:extLst>
            </c:dLbl>
            <c:dLbl>
              <c:idx val="6"/>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mj-lt"/>
                      <a:ea typeface="+mn-ea"/>
                      <a:cs typeface="+mn-cs"/>
                    </a:defRPr>
                  </a:pPr>
                  <a:endParaRPr lang="en-US"/>
                </a:p>
              </c:txPr>
              <c:dLblPos val="inBase"/>
              <c:showLegendKey val="0"/>
              <c:showVal val="1"/>
              <c:showCatName val="0"/>
              <c:showSerName val="0"/>
              <c:showPercent val="0"/>
              <c:showBubbleSize val="0"/>
              <c:extLst>
                <c:ext xmlns:c16="http://schemas.microsoft.com/office/drawing/2014/chart" uri="{C3380CC4-5D6E-409C-BE32-E72D297353CC}">
                  <c16:uniqueId val="{00000004-AB10-4D46-9189-8847FA324261}"/>
                </c:ext>
              </c:extLst>
            </c:dLbl>
            <c:dLbl>
              <c:idx val="7"/>
              <c:layout>
                <c:manualLayout>
                  <c:x val="0"/>
                  <c:y val="-0.36704718130329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B10-4D46-9189-8847FA324261}"/>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j-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'data-gsp-contr'!$B$2:$B$9</c:f>
              <c:strCache>
                <c:ptCount val="8"/>
                <c:pt idx="0">
                  <c:v>Business investment</c:v>
                </c:pt>
                <c:pt idx="1">
                  <c:v>Net trade</c:v>
                </c:pt>
                <c:pt idx="2">
                  <c:v>Household consumption</c:v>
                </c:pt>
                <c:pt idx="3">
                  <c:v>Interstate trade and inventories (b)</c:v>
                </c:pt>
                <c:pt idx="4">
                  <c:v>Ownership transfer costs (c)</c:v>
                </c:pt>
                <c:pt idx="5">
                  <c:v>Public demand (d)</c:v>
                </c:pt>
                <c:pt idx="6">
                  <c:v>Dwelling investment (e)</c:v>
                </c:pt>
                <c:pt idx="7">
                  <c:v>Real GSP</c:v>
                </c:pt>
              </c:strCache>
            </c:strRef>
          </c:cat>
          <c:val>
            <c:numRef>
              <c:f>'data-gsp-contr'!$D$2:$D$9</c:f>
              <c:numCache>
                <c:formatCode>General</c:formatCode>
                <c:ptCount val="8"/>
                <c:pt idx="0">
                  <c:v>0.5</c:v>
                </c:pt>
                <c:pt idx="1">
                  <c:v>0.5</c:v>
                </c:pt>
                <c:pt idx="2">
                  <c:v>0.25</c:v>
                </c:pt>
                <c:pt idx="3">
                  <c:v>0.25</c:v>
                </c:pt>
                <c:pt idx="4">
                  <c:v>0.25</c:v>
                </c:pt>
                <c:pt idx="5">
                  <c:v>0</c:v>
                </c:pt>
                <c:pt idx="6">
                  <c:v>0</c:v>
                </c:pt>
                <c:pt idx="7">
                  <c:v>1.5</c:v>
                </c:pt>
              </c:numCache>
            </c:numRef>
          </c:val>
          <c:extLst>
            <c:ext xmlns:c16="http://schemas.microsoft.com/office/drawing/2014/chart" uri="{C3380CC4-5D6E-409C-BE32-E72D297353CC}">
              <c16:uniqueId val="{0000000C-AB10-4D46-9189-8847FA324261}"/>
            </c:ext>
          </c:extLst>
        </c:ser>
        <c:dLbls>
          <c:showLegendKey val="0"/>
          <c:showVal val="0"/>
          <c:showCatName val="0"/>
          <c:showSerName val="0"/>
          <c:showPercent val="0"/>
          <c:showBubbleSize val="0"/>
        </c:dLbls>
        <c:gapWidth val="50"/>
        <c:overlap val="100"/>
        <c:axId val="1545639728"/>
        <c:axId val="1545641696"/>
      </c:barChart>
      <c:catAx>
        <c:axId val="154563972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mj-lt"/>
                <a:ea typeface="+mn-ea"/>
                <a:cs typeface="+mn-cs"/>
              </a:defRPr>
            </a:pPr>
            <a:endParaRPr lang="en-US"/>
          </a:p>
        </c:txPr>
        <c:crossAx val="1545641696"/>
        <c:crosses val="autoZero"/>
        <c:auto val="1"/>
        <c:lblAlgn val="ctr"/>
        <c:lblOffset val="100"/>
        <c:noMultiLvlLbl val="0"/>
      </c:catAx>
      <c:valAx>
        <c:axId val="1545641696"/>
        <c:scaling>
          <c:orientation val="minMax"/>
          <c:max val="1.7500000000000002"/>
          <c:min val="0"/>
        </c:scaling>
        <c:delete val="0"/>
        <c:axPos val="l"/>
        <c:majorGridlines>
          <c:spPr>
            <a:ln w="9525" cap="flat" cmpd="sng" algn="ctr">
              <a:solidFill>
                <a:schemeClr val="bg1">
                  <a:lumMod val="65000"/>
                </a:schemeClr>
              </a:solidFill>
              <a:prstDash val="dash"/>
              <a:round/>
            </a:ln>
            <a:effectLst/>
          </c:spPr>
        </c:majorGridlines>
        <c:title>
          <c:tx>
            <c:rich>
              <a:bodyPr rot="-5400000" spcFirstLastPara="1" vertOverflow="ellipsis" vert="horz" wrap="square" anchor="ctr" anchorCtr="1"/>
              <a:lstStyle/>
              <a:p>
                <a:pPr>
                  <a:defRPr sz="900" b="0" i="1" u="none" strike="noStrike" kern="1200" baseline="0">
                    <a:solidFill>
                      <a:sysClr val="windowText" lastClr="000000"/>
                    </a:solidFill>
                    <a:latin typeface="+mj-lt"/>
                    <a:ea typeface="+mn-ea"/>
                    <a:cs typeface="+mn-cs"/>
                  </a:defRPr>
                </a:pPr>
                <a:r>
                  <a:rPr lang="en-AU" sz="900" i="1"/>
                  <a:t>percentage points</a:t>
                </a:r>
              </a:p>
            </c:rich>
          </c:tx>
          <c:layout>
            <c:manualLayout>
              <c:xMode val="edge"/>
              <c:yMode val="edge"/>
              <c:x val="2.7148595064316333E-4"/>
              <c:y val="0.29992490173178116"/>
            </c:manualLayout>
          </c:layout>
          <c:overlay val="0"/>
          <c:spPr>
            <a:noFill/>
            <a:ln>
              <a:noFill/>
            </a:ln>
            <a:effectLst/>
          </c:spPr>
          <c:txPr>
            <a:bodyPr rot="-5400000" spcFirstLastPara="1" vertOverflow="ellipsis" vert="horz" wrap="square" anchor="ctr" anchorCtr="1"/>
            <a:lstStyle/>
            <a:p>
              <a:pPr>
                <a:defRPr sz="900" b="0" i="1" u="none" strike="noStrike" kern="1200" baseline="0">
                  <a:solidFill>
                    <a:sysClr val="windowText" lastClr="000000"/>
                  </a:solidFill>
                  <a:latin typeface="+mj-lt"/>
                  <a:ea typeface="+mn-ea"/>
                  <a:cs typeface="+mn-cs"/>
                </a:defRPr>
              </a:pPr>
              <a:endParaRPr lang="en-US"/>
            </a:p>
          </c:txPr>
        </c:title>
        <c:numFmt formatCode="#,##0.0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545639728"/>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mj-lt"/>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04115383635299"/>
          <c:y val="4.5593697169078531E-2"/>
          <c:w val="0.86362571668832655"/>
          <c:h val="0.77687162296531675"/>
        </c:manualLayout>
      </c:layout>
      <c:lineChart>
        <c:grouping val="standard"/>
        <c:varyColors val="0"/>
        <c:ser>
          <c:idx val="3"/>
          <c:order val="0"/>
          <c:tx>
            <c:v>Consumer durable goods (a)</c:v>
          </c:tx>
          <c:spPr>
            <a:ln w="22225" cap="rnd">
              <a:solidFill>
                <a:schemeClr val="bg1">
                  <a:lumMod val="75000"/>
                </a:schemeClr>
              </a:solidFill>
              <a:round/>
            </a:ln>
            <a:effectLst/>
          </c:spPr>
          <c:marker>
            <c:symbol val="none"/>
          </c:marker>
          <c:cat>
            <c:numRef>
              <c:f>'data-consumer spend'!$A$153:$A$168</c:f>
              <c:numCache>
                <c:formatCode>mmm\-yyyy</c:formatCode>
                <c:ptCount val="16"/>
                <c:pt idx="0">
                  <c:v>43525</c:v>
                </c:pt>
                <c:pt idx="1">
                  <c:v>43617</c:v>
                </c:pt>
                <c:pt idx="2">
                  <c:v>43709</c:v>
                </c:pt>
                <c:pt idx="3">
                  <c:v>43800</c:v>
                </c:pt>
                <c:pt idx="4">
                  <c:v>43891</c:v>
                </c:pt>
                <c:pt idx="5">
                  <c:v>43983</c:v>
                </c:pt>
                <c:pt idx="6">
                  <c:v>44075</c:v>
                </c:pt>
                <c:pt idx="7">
                  <c:v>44166</c:v>
                </c:pt>
                <c:pt idx="8">
                  <c:v>44256</c:v>
                </c:pt>
                <c:pt idx="9">
                  <c:v>44348</c:v>
                </c:pt>
                <c:pt idx="10">
                  <c:v>44440</c:v>
                </c:pt>
                <c:pt idx="11">
                  <c:v>44531</c:v>
                </c:pt>
                <c:pt idx="12">
                  <c:v>44621</c:v>
                </c:pt>
                <c:pt idx="13">
                  <c:v>44713</c:v>
                </c:pt>
                <c:pt idx="14">
                  <c:v>44805</c:v>
                </c:pt>
                <c:pt idx="15">
                  <c:v>44896</c:v>
                </c:pt>
              </c:numCache>
            </c:numRef>
          </c:cat>
          <c:val>
            <c:numRef>
              <c:f>'data-consumer spend'!$X$153:$X$168</c:f>
              <c:numCache>
                <c:formatCode>0.0;\-0.0;0.0;@</c:formatCode>
                <c:ptCount val="16"/>
                <c:pt idx="0">
                  <c:v>99.516592631303894</c:v>
                </c:pt>
                <c:pt idx="1">
                  <c:v>99.973869871962378</c:v>
                </c:pt>
                <c:pt idx="2">
                  <c:v>98.902534622419651</c:v>
                </c:pt>
                <c:pt idx="3">
                  <c:v>100</c:v>
                </c:pt>
                <c:pt idx="4">
                  <c:v>95.636268617716226</c:v>
                </c:pt>
                <c:pt idx="5">
                  <c:v>85.968121243794087</c:v>
                </c:pt>
                <c:pt idx="6">
                  <c:v>72.876927096942779</c:v>
                </c:pt>
                <c:pt idx="7">
                  <c:v>104.41599163835902</c:v>
                </c:pt>
                <c:pt idx="8">
                  <c:v>103.65821792526783</c:v>
                </c:pt>
                <c:pt idx="9">
                  <c:v>104.18082048602038</c:v>
                </c:pt>
                <c:pt idx="10">
                  <c:v>90.410243010190754</c:v>
                </c:pt>
                <c:pt idx="11">
                  <c:v>108.33551084400315</c:v>
                </c:pt>
                <c:pt idx="12">
                  <c:v>115.3645152861249</c:v>
                </c:pt>
                <c:pt idx="13">
                  <c:v>115.3645152861249</c:v>
                </c:pt>
                <c:pt idx="14">
                  <c:v>118.93127776326105</c:v>
                </c:pt>
                <c:pt idx="15">
                  <c:v>118.2257643062451</c:v>
                </c:pt>
              </c:numCache>
            </c:numRef>
          </c:val>
          <c:smooth val="0"/>
          <c:extLst>
            <c:ext xmlns:c16="http://schemas.microsoft.com/office/drawing/2014/chart" uri="{C3380CC4-5D6E-409C-BE32-E72D297353CC}">
              <c16:uniqueId val="{00000000-EE2E-42BF-9BB3-301D2FC9B928}"/>
            </c:ext>
          </c:extLst>
        </c:ser>
        <c:ser>
          <c:idx val="4"/>
          <c:order val="1"/>
          <c:tx>
            <c:v>Hospitality and travel-related services (b)</c:v>
          </c:tx>
          <c:spPr>
            <a:ln w="22225" cap="rnd">
              <a:solidFill>
                <a:schemeClr val="tx1">
                  <a:lumMod val="50000"/>
                  <a:lumOff val="50000"/>
                </a:schemeClr>
              </a:solidFill>
              <a:round/>
            </a:ln>
            <a:effectLst/>
          </c:spPr>
          <c:marker>
            <c:symbol val="none"/>
          </c:marker>
          <c:cat>
            <c:numRef>
              <c:f>'data-consumer spend'!$A$153:$A$168</c:f>
              <c:numCache>
                <c:formatCode>mmm\-yyyy</c:formatCode>
                <c:ptCount val="16"/>
                <c:pt idx="0">
                  <c:v>43525</c:v>
                </c:pt>
                <c:pt idx="1">
                  <c:v>43617</c:v>
                </c:pt>
                <c:pt idx="2">
                  <c:v>43709</c:v>
                </c:pt>
                <c:pt idx="3">
                  <c:v>43800</c:v>
                </c:pt>
                <c:pt idx="4">
                  <c:v>43891</c:v>
                </c:pt>
                <c:pt idx="5">
                  <c:v>43983</c:v>
                </c:pt>
                <c:pt idx="6">
                  <c:v>44075</c:v>
                </c:pt>
                <c:pt idx="7">
                  <c:v>44166</c:v>
                </c:pt>
                <c:pt idx="8">
                  <c:v>44256</c:v>
                </c:pt>
                <c:pt idx="9">
                  <c:v>44348</c:v>
                </c:pt>
                <c:pt idx="10">
                  <c:v>44440</c:v>
                </c:pt>
                <c:pt idx="11">
                  <c:v>44531</c:v>
                </c:pt>
                <c:pt idx="12">
                  <c:v>44621</c:v>
                </c:pt>
                <c:pt idx="13">
                  <c:v>44713</c:v>
                </c:pt>
                <c:pt idx="14">
                  <c:v>44805</c:v>
                </c:pt>
                <c:pt idx="15">
                  <c:v>44896</c:v>
                </c:pt>
              </c:numCache>
            </c:numRef>
          </c:cat>
          <c:val>
            <c:numRef>
              <c:f>'data-consumer spend'!$Y$153:$Y$168</c:f>
              <c:numCache>
                <c:formatCode>0.0;\-0.0;0.0;@</c:formatCode>
                <c:ptCount val="16"/>
                <c:pt idx="0">
                  <c:v>97.756822403200459</c:v>
                </c:pt>
                <c:pt idx="1">
                  <c:v>99.485640805829405</c:v>
                </c:pt>
                <c:pt idx="2">
                  <c:v>99.199885697956844</c:v>
                </c:pt>
                <c:pt idx="3">
                  <c:v>100</c:v>
                </c:pt>
                <c:pt idx="4">
                  <c:v>89.54136305186455</c:v>
                </c:pt>
                <c:pt idx="5">
                  <c:v>26.518074010572938</c:v>
                </c:pt>
                <c:pt idx="6">
                  <c:v>23.403343334762109</c:v>
                </c:pt>
                <c:pt idx="7">
                  <c:v>39.834262037433923</c:v>
                </c:pt>
                <c:pt idx="8">
                  <c:v>54.593513359051293</c:v>
                </c:pt>
                <c:pt idx="9">
                  <c:v>56.522360337191024</c:v>
                </c:pt>
                <c:pt idx="10">
                  <c:v>39.605657951135875</c:v>
                </c:pt>
                <c:pt idx="11">
                  <c:v>53.307615373624806</c:v>
                </c:pt>
                <c:pt idx="12">
                  <c:v>70.610087155307895</c:v>
                </c:pt>
                <c:pt idx="13">
                  <c:v>83.311901700242899</c:v>
                </c:pt>
                <c:pt idx="14">
                  <c:v>89.04129161308758</c:v>
                </c:pt>
                <c:pt idx="15">
                  <c:v>92.798971281611671</c:v>
                </c:pt>
              </c:numCache>
            </c:numRef>
          </c:val>
          <c:smooth val="0"/>
          <c:extLst>
            <c:ext xmlns:c16="http://schemas.microsoft.com/office/drawing/2014/chart" uri="{C3380CC4-5D6E-409C-BE32-E72D297353CC}">
              <c16:uniqueId val="{00000001-EE2E-42BF-9BB3-301D2FC9B928}"/>
            </c:ext>
          </c:extLst>
        </c:ser>
        <c:ser>
          <c:idx val="1"/>
          <c:order val="2"/>
          <c:tx>
            <c:v>Total</c:v>
          </c:tx>
          <c:spPr>
            <a:ln w="22225" cap="rnd">
              <a:solidFill>
                <a:schemeClr val="tx1"/>
              </a:solidFill>
              <a:round/>
            </a:ln>
            <a:effectLst/>
          </c:spPr>
          <c:marker>
            <c:symbol val="none"/>
          </c:marker>
          <c:cat>
            <c:numRef>
              <c:f>'data-consumer spend'!$A$153:$A$168</c:f>
              <c:numCache>
                <c:formatCode>mmm\-yyyy</c:formatCode>
                <c:ptCount val="16"/>
                <c:pt idx="0">
                  <c:v>43525</c:v>
                </c:pt>
                <c:pt idx="1">
                  <c:v>43617</c:v>
                </c:pt>
                <c:pt idx="2">
                  <c:v>43709</c:v>
                </c:pt>
                <c:pt idx="3">
                  <c:v>43800</c:v>
                </c:pt>
                <c:pt idx="4">
                  <c:v>43891</c:v>
                </c:pt>
                <c:pt idx="5">
                  <c:v>43983</c:v>
                </c:pt>
                <c:pt idx="6">
                  <c:v>44075</c:v>
                </c:pt>
                <c:pt idx="7">
                  <c:v>44166</c:v>
                </c:pt>
                <c:pt idx="8">
                  <c:v>44256</c:v>
                </c:pt>
                <c:pt idx="9">
                  <c:v>44348</c:v>
                </c:pt>
                <c:pt idx="10">
                  <c:v>44440</c:v>
                </c:pt>
                <c:pt idx="11">
                  <c:v>44531</c:v>
                </c:pt>
                <c:pt idx="12">
                  <c:v>44621</c:v>
                </c:pt>
                <c:pt idx="13">
                  <c:v>44713</c:v>
                </c:pt>
                <c:pt idx="14">
                  <c:v>44805</c:v>
                </c:pt>
                <c:pt idx="15">
                  <c:v>44896</c:v>
                </c:pt>
              </c:numCache>
            </c:numRef>
          </c:cat>
          <c:val>
            <c:numRef>
              <c:f>'data-consumer spend'!$Z$153:$Z$168</c:f>
              <c:numCache>
                <c:formatCode>0.0;\-0.0;0.0;@</c:formatCode>
                <c:ptCount val="16"/>
                <c:pt idx="0">
                  <c:v>99.050681579867188</c:v>
                </c:pt>
                <c:pt idx="1">
                  <c:v>99.580566235581969</c:v>
                </c:pt>
                <c:pt idx="2">
                  <c:v>99.535826634044042</c:v>
                </c:pt>
                <c:pt idx="3">
                  <c:v>100</c:v>
                </c:pt>
                <c:pt idx="4">
                  <c:v>98.387976232086686</c:v>
                </c:pt>
                <c:pt idx="5">
                  <c:v>84.332750786438311</c:v>
                </c:pt>
                <c:pt idx="6">
                  <c:v>83.01013631597344</c:v>
                </c:pt>
                <c:pt idx="7">
                  <c:v>92.720027962250967</c:v>
                </c:pt>
                <c:pt idx="8">
                  <c:v>95.724571828032154</c:v>
                </c:pt>
                <c:pt idx="9">
                  <c:v>95.853198182453696</c:v>
                </c:pt>
                <c:pt idx="10">
                  <c:v>90.726319468717236</c:v>
                </c:pt>
                <c:pt idx="11">
                  <c:v>97.023418385180008</c:v>
                </c:pt>
                <c:pt idx="12">
                  <c:v>100.42502621461027</c:v>
                </c:pt>
                <c:pt idx="13">
                  <c:v>102.96959105207971</c:v>
                </c:pt>
                <c:pt idx="14">
                  <c:v>104.39846207619713</c:v>
                </c:pt>
                <c:pt idx="15">
                  <c:v>104.83886752883606</c:v>
                </c:pt>
              </c:numCache>
            </c:numRef>
          </c:val>
          <c:smooth val="0"/>
          <c:extLst>
            <c:ext xmlns:c16="http://schemas.microsoft.com/office/drawing/2014/chart" uri="{C3380CC4-5D6E-409C-BE32-E72D297353CC}">
              <c16:uniqueId val="{00000002-EE2E-42BF-9BB3-301D2FC9B928}"/>
            </c:ext>
          </c:extLst>
        </c:ser>
        <c:ser>
          <c:idx val="2"/>
          <c:order val="3"/>
          <c:spPr>
            <a:ln w="15875" cap="rnd">
              <a:solidFill>
                <a:schemeClr val="tx1">
                  <a:lumMod val="65000"/>
                  <a:lumOff val="35000"/>
                </a:schemeClr>
              </a:solidFill>
              <a:prstDash val="sysDash"/>
              <a:round/>
            </a:ln>
            <a:effectLst/>
          </c:spPr>
          <c:marker>
            <c:symbol val="none"/>
          </c:marker>
          <c:cat>
            <c:numRef>
              <c:f>'data-consumer spend'!$A$153:$A$168</c:f>
              <c:numCache>
                <c:formatCode>mmm\-yyyy</c:formatCode>
                <c:ptCount val="16"/>
                <c:pt idx="0">
                  <c:v>43525</c:v>
                </c:pt>
                <c:pt idx="1">
                  <c:v>43617</c:v>
                </c:pt>
                <c:pt idx="2">
                  <c:v>43709</c:v>
                </c:pt>
                <c:pt idx="3">
                  <c:v>43800</c:v>
                </c:pt>
                <c:pt idx="4">
                  <c:v>43891</c:v>
                </c:pt>
                <c:pt idx="5">
                  <c:v>43983</c:v>
                </c:pt>
                <c:pt idx="6">
                  <c:v>44075</c:v>
                </c:pt>
                <c:pt idx="7">
                  <c:v>44166</c:v>
                </c:pt>
                <c:pt idx="8">
                  <c:v>44256</c:v>
                </c:pt>
                <c:pt idx="9">
                  <c:v>44348</c:v>
                </c:pt>
                <c:pt idx="10">
                  <c:v>44440</c:v>
                </c:pt>
                <c:pt idx="11">
                  <c:v>44531</c:v>
                </c:pt>
                <c:pt idx="12">
                  <c:v>44621</c:v>
                </c:pt>
                <c:pt idx="13">
                  <c:v>44713</c:v>
                </c:pt>
                <c:pt idx="14">
                  <c:v>44805</c:v>
                </c:pt>
                <c:pt idx="15">
                  <c:v>44896</c:v>
                </c:pt>
              </c:numCache>
            </c:numRef>
          </c:cat>
          <c:val>
            <c:numRef>
              <c:f>'data-consumer spend'!$AA$153:$AA$168</c:f>
              <c:numCache>
                <c:formatCode>0;\-0;0;@</c:formatCode>
                <c:ptCount val="1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numCache>
            </c:numRef>
          </c:val>
          <c:smooth val="0"/>
          <c:extLst>
            <c:ext xmlns:c16="http://schemas.microsoft.com/office/drawing/2014/chart" uri="{C3380CC4-5D6E-409C-BE32-E72D297353CC}">
              <c16:uniqueId val="{00000003-EE2E-42BF-9BB3-301D2FC9B928}"/>
            </c:ext>
          </c:extLst>
        </c:ser>
        <c:dLbls>
          <c:showLegendKey val="0"/>
          <c:showVal val="0"/>
          <c:showCatName val="0"/>
          <c:showSerName val="0"/>
          <c:showPercent val="0"/>
          <c:showBubbleSize val="0"/>
        </c:dLbls>
        <c:smooth val="0"/>
        <c:axId val="2126092912"/>
        <c:axId val="2126094224"/>
      </c:lineChart>
      <c:dateAx>
        <c:axId val="2126092912"/>
        <c:scaling>
          <c:orientation val="minMax"/>
        </c:scaling>
        <c:delete val="0"/>
        <c:axPos val="b"/>
        <c:numFmt formatCode="yyyy" sourceLinked="0"/>
        <c:majorTickMark val="out"/>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126094224"/>
        <c:crosses val="autoZero"/>
        <c:auto val="1"/>
        <c:lblOffset val="100"/>
        <c:baseTimeUnit val="months"/>
        <c:majorUnit val="12"/>
        <c:majorTimeUnit val="months"/>
        <c:minorUnit val="6"/>
        <c:minorTimeUnit val="months"/>
      </c:dateAx>
      <c:valAx>
        <c:axId val="2126094224"/>
        <c:scaling>
          <c:orientation val="minMax"/>
          <c:max val="120"/>
          <c:min val="20"/>
        </c:scaling>
        <c:delete val="0"/>
        <c:axPos val="l"/>
        <c:majorGridlines>
          <c:spPr>
            <a:ln w="6350" cap="flat" cmpd="sng" algn="ctr">
              <a:solidFill>
                <a:schemeClr val="bg1">
                  <a:lumMod val="50000"/>
                </a:schemeClr>
              </a:solidFill>
              <a:prstDash val="dash"/>
              <a:round/>
            </a:ln>
            <a:effectLst/>
          </c:spPr>
        </c:majorGridlines>
        <c:title>
          <c:tx>
            <c:rich>
              <a:bodyPr rot="-5400000" spcFirstLastPara="1" vertOverflow="ellipsis" vert="horz" wrap="square" anchor="ctr" anchorCtr="1"/>
              <a:lstStyle/>
              <a:p>
                <a:pPr>
                  <a:defRPr sz="900" b="0" i="1" u="none" strike="noStrike" kern="1200" baseline="0">
                    <a:solidFill>
                      <a:schemeClr val="tx1">
                        <a:lumMod val="65000"/>
                        <a:lumOff val="35000"/>
                      </a:schemeClr>
                    </a:solidFill>
                    <a:latin typeface="+mj-lt"/>
                    <a:ea typeface="+mn-ea"/>
                    <a:cs typeface="+mn-cs"/>
                  </a:defRPr>
                </a:pPr>
                <a:r>
                  <a:rPr lang="en-US" i="1"/>
                  <a:t>index (100=December quarter 2019)</a:t>
                </a:r>
              </a:p>
            </c:rich>
          </c:tx>
          <c:layout>
            <c:manualLayout>
              <c:xMode val="edge"/>
              <c:yMode val="edge"/>
              <c:x val="2.1500904619932214E-3"/>
              <c:y val="0.15038754414957389"/>
            </c:manualLayout>
          </c:layout>
          <c:overlay val="0"/>
          <c:spPr>
            <a:noFill/>
            <a:ln>
              <a:noFill/>
            </a:ln>
            <a:effectLst/>
          </c:spPr>
          <c:txPr>
            <a:bodyPr rot="-5400000" spcFirstLastPara="1" vertOverflow="ellipsis" vert="horz" wrap="square" anchor="ctr" anchorCtr="1"/>
            <a:lstStyle/>
            <a:p>
              <a:pPr>
                <a:defRPr sz="900" b="0" i="1" u="none" strike="noStrike" kern="1200" baseline="0">
                  <a:solidFill>
                    <a:schemeClr val="tx1">
                      <a:lumMod val="65000"/>
                      <a:lumOff val="35000"/>
                    </a:schemeClr>
                  </a:solidFill>
                  <a:latin typeface="+mj-lt"/>
                  <a:ea typeface="+mn-ea"/>
                  <a:cs typeface="+mn-cs"/>
                </a:defRPr>
              </a:pPr>
              <a:endParaRPr lang="en-US"/>
            </a:p>
          </c:txPr>
        </c:title>
        <c:numFmt formatCode="#,##0" sourceLinked="0"/>
        <c:majorTickMark val="none"/>
        <c:minorTickMark val="none"/>
        <c:tickLblPos val="nextTo"/>
        <c:spPr>
          <a:noFill/>
          <a:ln>
            <a:solidFill>
              <a:schemeClr val="tx1">
                <a:lumMod val="65000"/>
                <a:lumOff val="3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126092912"/>
        <c:crosses val="autoZero"/>
        <c:crossBetween val="between"/>
        <c:majorUnit val="20"/>
      </c:valAx>
      <c:spPr>
        <a:noFill/>
        <a:ln>
          <a:noFill/>
        </a:ln>
        <a:effectLst/>
      </c:spPr>
    </c:plotArea>
    <c:legend>
      <c:legendPos val="b"/>
      <c:legendEntry>
        <c:idx val="3"/>
        <c:delete val="1"/>
      </c:legendEntry>
      <c:layout>
        <c:manualLayout>
          <c:xMode val="edge"/>
          <c:yMode val="edge"/>
          <c:x val="5.0000081738546184E-2"/>
          <c:y val="0.92232461683030342"/>
          <c:w val="0.8999998365229076"/>
          <c:h val="6.944493049479925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mj-lt"/>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103769048012115E-2"/>
          <c:y val="4.6260513864997986E-2"/>
          <c:w val="0.87413366856945984"/>
          <c:h val="0.79068736432951092"/>
        </c:manualLayout>
      </c:layout>
      <c:areaChart>
        <c:grouping val="stacked"/>
        <c:varyColors val="0"/>
        <c:ser>
          <c:idx val="2"/>
          <c:order val="0"/>
          <c:tx>
            <c:strRef>
              <c:f>'data-pipeline'!$E$4</c:f>
              <c:strCache>
                <c:ptCount val="1"/>
                <c:pt idx="0">
                  <c:v>Engineering Construction, Yet to Be Done</c:v>
                </c:pt>
              </c:strCache>
            </c:strRef>
          </c:tx>
          <c:spPr>
            <a:solidFill>
              <a:schemeClr val="bg1">
                <a:lumMod val="50000"/>
              </a:schemeClr>
            </a:solidFill>
            <a:ln>
              <a:noFill/>
            </a:ln>
            <a:effectLst/>
          </c:spPr>
          <c:cat>
            <c:numRef>
              <c:f>'data-pipeline'!$A$5:$A$150</c:f>
              <c:numCache>
                <c:formatCode>m/d/yyyy</c:formatCode>
                <c:ptCount val="146"/>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pt idx="114">
                  <c:v>42064</c:v>
                </c:pt>
                <c:pt idx="115">
                  <c:v>42156</c:v>
                </c:pt>
                <c:pt idx="116">
                  <c:v>42248</c:v>
                </c:pt>
                <c:pt idx="117">
                  <c:v>42339</c:v>
                </c:pt>
                <c:pt idx="118">
                  <c:v>42430</c:v>
                </c:pt>
                <c:pt idx="119">
                  <c:v>42522</c:v>
                </c:pt>
                <c:pt idx="120">
                  <c:v>42614</c:v>
                </c:pt>
                <c:pt idx="121">
                  <c:v>42705</c:v>
                </c:pt>
                <c:pt idx="122">
                  <c:v>42795</c:v>
                </c:pt>
                <c:pt idx="123">
                  <c:v>42887</c:v>
                </c:pt>
                <c:pt idx="124">
                  <c:v>42979</c:v>
                </c:pt>
                <c:pt idx="125">
                  <c:v>43070</c:v>
                </c:pt>
                <c:pt idx="126">
                  <c:v>43160</c:v>
                </c:pt>
                <c:pt idx="127">
                  <c:v>43252</c:v>
                </c:pt>
                <c:pt idx="128">
                  <c:v>43344</c:v>
                </c:pt>
                <c:pt idx="129">
                  <c:v>43435</c:v>
                </c:pt>
                <c:pt idx="130">
                  <c:v>43525</c:v>
                </c:pt>
                <c:pt idx="131">
                  <c:v>43617</c:v>
                </c:pt>
                <c:pt idx="132">
                  <c:v>43709</c:v>
                </c:pt>
                <c:pt idx="133">
                  <c:v>43800</c:v>
                </c:pt>
                <c:pt idx="134">
                  <c:v>43891</c:v>
                </c:pt>
                <c:pt idx="135">
                  <c:v>43983</c:v>
                </c:pt>
                <c:pt idx="136">
                  <c:v>44075</c:v>
                </c:pt>
                <c:pt idx="137">
                  <c:v>44166</c:v>
                </c:pt>
                <c:pt idx="138">
                  <c:v>44256</c:v>
                </c:pt>
                <c:pt idx="139">
                  <c:v>44348</c:v>
                </c:pt>
                <c:pt idx="140">
                  <c:v>44440</c:v>
                </c:pt>
                <c:pt idx="141">
                  <c:v>44531</c:v>
                </c:pt>
                <c:pt idx="142">
                  <c:v>44621</c:v>
                </c:pt>
                <c:pt idx="143">
                  <c:v>44713</c:v>
                </c:pt>
                <c:pt idx="144">
                  <c:v>44805</c:v>
                </c:pt>
                <c:pt idx="145">
                  <c:v>44896</c:v>
                </c:pt>
              </c:numCache>
            </c:numRef>
          </c:cat>
          <c:val>
            <c:numRef>
              <c:f>'data-pipeline'!$E$5:$E$150</c:f>
              <c:numCache>
                <c:formatCode>General</c:formatCode>
                <c:ptCount val="146"/>
                <c:pt idx="0">
                  <c:v>926072000</c:v>
                </c:pt>
                <c:pt idx="1">
                  <c:v>927945000</c:v>
                </c:pt>
                <c:pt idx="2">
                  <c:v>870437000</c:v>
                </c:pt>
                <c:pt idx="3">
                  <c:v>675833000</c:v>
                </c:pt>
                <c:pt idx="4">
                  <c:v>910982000</c:v>
                </c:pt>
                <c:pt idx="5">
                  <c:v>879251000</c:v>
                </c:pt>
                <c:pt idx="6">
                  <c:v>947626000</c:v>
                </c:pt>
                <c:pt idx="7">
                  <c:v>827856000</c:v>
                </c:pt>
                <c:pt idx="8">
                  <c:v>671507000</c:v>
                </c:pt>
                <c:pt idx="9">
                  <c:v>702639000</c:v>
                </c:pt>
                <c:pt idx="10">
                  <c:v>667946000</c:v>
                </c:pt>
                <c:pt idx="11">
                  <c:v>630563000</c:v>
                </c:pt>
                <c:pt idx="12">
                  <c:v>731856000</c:v>
                </c:pt>
                <c:pt idx="13">
                  <c:v>718981000</c:v>
                </c:pt>
                <c:pt idx="14">
                  <c:v>712151000</c:v>
                </c:pt>
                <c:pt idx="15">
                  <c:v>761860000</c:v>
                </c:pt>
                <c:pt idx="16">
                  <c:v>816364000</c:v>
                </c:pt>
                <c:pt idx="17">
                  <c:v>900696000</c:v>
                </c:pt>
                <c:pt idx="18">
                  <c:v>796473000</c:v>
                </c:pt>
                <c:pt idx="19">
                  <c:v>676756000</c:v>
                </c:pt>
                <c:pt idx="20">
                  <c:v>632753000</c:v>
                </c:pt>
                <c:pt idx="21">
                  <c:v>540692000</c:v>
                </c:pt>
                <c:pt idx="22">
                  <c:v>754676000</c:v>
                </c:pt>
                <c:pt idx="23">
                  <c:v>641576000</c:v>
                </c:pt>
                <c:pt idx="24">
                  <c:v>863423000</c:v>
                </c:pt>
                <c:pt idx="25">
                  <c:v>863819000</c:v>
                </c:pt>
                <c:pt idx="26">
                  <c:v>908848000</c:v>
                </c:pt>
                <c:pt idx="27">
                  <c:v>916612000</c:v>
                </c:pt>
                <c:pt idx="28">
                  <c:v>926433000</c:v>
                </c:pt>
                <c:pt idx="29">
                  <c:v>887602000</c:v>
                </c:pt>
                <c:pt idx="30">
                  <c:v>938615000</c:v>
                </c:pt>
                <c:pt idx="31">
                  <c:v>747869000</c:v>
                </c:pt>
                <c:pt idx="32">
                  <c:v>848403000</c:v>
                </c:pt>
                <c:pt idx="33">
                  <c:v>746815000</c:v>
                </c:pt>
                <c:pt idx="34">
                  <c:v>653638000</c:v>
                </c:pt>
                <c:pt idx="35">
                  <c:v>601628000</c:v>
                </c:pt>
                <c:pt idx="36">
                  <c:v>598344000</c:v>
                </c:pt>
                <c:pt idx="37">
                  <c:v>595206000</c:v>
                </c:pt>
                <c:pt idx="38">
                  <c:v>1912747000</c:v>
                </c:pt>
                <c:pt idx="39">
                  <c:v>1565703000</c:v>
                </c:pt>
                <c:pt idx="40">
                  <c:v>1732594000</c:v>
                </c:pt>
                <c:pt idx="41">
                  <c:v>1673933000</c:v>
                </c:pt>
                <c:pt idx="42">
                  <c:v>1740020000</c:v>
                </c:pt>
                <c:pt idx="43">
                  <c:v>1627982000</c:v>
                </c:pt>
                <c:pt idx="44">
                  <c:v>1510083000</c:v>
                </c:pt>
                <c:pt idx="45">
                  <c:v>1493348000</c:v>
                </c:pt>
                <c:pt idx="46">
                  <c:v>1385346000</c:v>
                </c:pt>
                <c:pt idx="47">
                  <c:v>1152250000</c:v>
                </c:pt>
                <c:pt idx="48">
                  <c:v>1102738000</c:v>
                </c:pt>
                <c:pt idx="49">
                  <c:v>1153791000</c:v>
                </c:pt>
                <c:pt idx="50">
                  <c:v>964392000</c:v>
                </c:pt>
                <c:pt idx="51">
                  <c:v>915648000</c:v>
                </c:pt>
                <c:pt idx="52">
                  <c:v>1001603000</c:v>
                </c:pt>
                <c:pt idx="53">
                  <c:v>984734000</c:v>
                </c:pt>
                <c:pt idx="54">
                  <c:v>1023958000</c:v>
                </c:pt>
                <c:pt idx="55">
                  <c:v>998414000</c:v>
                </c:pt>
                <c:pt idx="56">
                  <c:v>953192000</c:v>
                </c:pt>
                <c:pt idx="57">
                  <c:v>1119153000</c:v>
                </c:pt>
                <c:pt idx="58">
                  <c:v>1037508000</c:v>
                </c:pt>
                <c:pt idx="59">
                  <c:v>1043593000</c:v>
                </c:pt>
                <c:pt idx="60">
                  <c:v>1128489000</c:v>
                </c:pt>
                <c:pt idx="61">
                  <c:v>1088104000</c:v>
                </c:pt>
                <c:pt idx="62">
                  <c:v>1163382000</c:v>
                </c:pt>
                <c:pt idx="63">
                  <c:v>1292400000</c:v>
                </c:pt>
                <c:pt idx="64">
                  <c:v>1889346000</c:v>
                </c:pt>
                <c:pt idx="65">
                  <c:v>2153921000</c:v>
                </c:pt>
                <c:pt idx="66">
                  <c:v>2239401000</c:v>
                </c:pt>
                <c:pt idx="67">
                  <c:v>1915983000</c:v>
                </c:pt>
                <c:pt idx="68">
                  <c:v>2246419000</c:v>
                </c:pt>
                <c:pt idx="69">
                  <c:v>1976470000</c:v>
                </c:pt>
                <c:pt idx="70">
                  <c:v>2123687000</c:v>
                </c:pt>
                <c:pt idx="71">
                  <c:v>1658684000</c:v>
                </c:pt>
                <c:pt idx="72">
                  <c:v>1595086000</c:v>
                </c:pt>
                <c:pt idx="73">
                  <c:v>2337421000</c:v>
                </c:pt>
                <c:pt idx="74">
                  <c:v>5145049000</c:v>
                </c:pt>
                <c:pt idx="75">
                  <c:v>4992487000</c:v>
                </c:pt>
                <c:pt idx="76">
                  <c:v>4537972000</c:v>
                </c:pt>
                <c:pt idx="77">
                  <c:v>4246666000</c:v>
                </c:pt>
                <c:pt idx="78">
                  <c:v>4058531000</c:v>
                </c:pt>
                <c:pt idx="79">
                  <c:v>3423653000</c:v>
                </c:pt>
                <c:pt idx="80">
                  <c:v>3312235000</c:v>
                </c:pt>
                <c:pt idx="81">
                  <c:v>3069589000</c:v>
                </c:pt>
                <c:pt idx="82">
                  <c:v>2856487000</c:v>
                </c:pt>
                <c:pt idx="83">
                  <c:v>2601454000</c:v>
                </c:pt>
                <c:pt idx="84">
                  <c:v>3433434000</c:v>
                </c:pt>
                <c:pt idx="85">
                  <c:v>3128416000</c:v>
                </c:pt>
                <c:pt idx="86">
                  <c:v>3502429000</c:v>
                </c:pt>
                <c:pt idx="87">
                  <c:v>3508827000</c:v>
                </c:pt>
                <c:pt idx="88">
                  <c:v>4358698000</c:v>
                </c:pt>
                <c:pt idx="89">
                  <c:v>3472372000</c:v>
                </c:pt>
                <c:pt idx="90">
                  <c:v>2950792000</c:v>
                </c:pt>
                <c:pt idx="91">
                  <c:v>2806345000</c:v>
                </c:pt>
                <c:pt idx="92">
                  <c:v>3190807000</c:v>
                </c:pt>
                <c:pt idx="93">
                  <c:v>6147896000</c:v>
                </c:pt>
                <c:pt idx="94">
                  <c:v>6352334000</c:v>
                </c:pt>
                <c:pt idx="95">
                  <c:v>6741870000</c:v>
                </c:pt>
                <c:pt idx="96">
                  <c:v>7984999000</c:v>
                </c:pt>
                <c:pt idx="97">
                  <c:v>7479663000</c:v>
                </c:pt>
                <c:pt idx="98">
                  <c:v>7657065000</c:v>
                </c:pt>
                <c:pt idx="99">
                  <c:v>5877248000</c:v>
                </c:pt>
                <c:pt idx="100">
                  <c:v>5087272000</c:v>
                </c:pt>
                <c:pt idx="101">
                  <c:v>5284128000</c:v>
                </c:pt>
                <c:pt idx="102">
                  <c:v>6026387000</c:v>
                </c:pt>
                <c:pt idx="103">
                  <c:v>5903804000</c:v>
                </c:pt>
                <c:pt idx="104">
                  <c:v>5490093000</c:v>
                </c:pt>
                <c:pt idx="105">
                  <c:v>5477328000</c:v>
                </c:pt>
                <c:pt idx="106">
                  <c:v>4735530000</c:v>
                </c:pt>
                <c:pt idx="107">
                  <c:v>4185461000</c:v>
                </c:pt>
                <c:pt idx="108">
                  <c:v>4566113000</c:v>
                </c:pt>
                <c:pt idx="109">
                  <c:v>5064342000</c:v>
                </c:pt>
                <c:pt idx="110">
                  <c:v>5204816000</c:v>
                </c:pt>
                <c:pt idx="111">
                  <c:v>5764676000</c:v>
                </c:pt>
                <c:pt idx="112">
                  <c:v>5786791000</c:v>
                </c:pt>
                <c:pt idx="113">
                  <c:v>6809531000</c:v>
                </c:pt>
                <c:pt idx="114">
                  <c:v>4213176000</c:v>
                </c:pt>
                <c:pt idx="115">
                  <c:v>4720829000</c:v>
                </c:pt>
                <c:pt idx="116">
                  <c:v>4672544000</c:v>
                </c:pt>
                <c:pt idx="117">
                  <c:v>4634954000</c:v>
                </c:pt>
                <c:pt idx="118">
                  <c:v>4177408000</c:v>
                </c:pt>
                <c:pt idx="119">
                  <c:v>5025041000</c:v>
                </c:pt>
                <c:pt idx="120">
                  <c:v>5043291000</c:v>
                </c:pt>
                <c:pt idx="121">
                  <c:v>4853519000</c:v>
                </c:pt>
                <c:pt idx="122">
                  <c:v>4624445000</c:v>
                </c:pt>
                <c:pt idx="123">
                  <c:v>5964849000</c:v>
                </c:pt>
                <c:pt idx="124">
                  <c:v>5581610000</c:v>
                </c:pt>
                <c:pt idx="125">
                  <c:v>4898774000</c:v>
                </c:pt>
                <c:pt idx="126">
                  <c:v>16080202000</c:v>
                </c:pt>
                <c:pt idx="127">
                  <c:v>16272232000</c:v>
                </c:pt>
                <c:pt idx="128">
                  <c:v>15809129000</c:v>
                </c:pt>
                <c:pt idx="129">
                  <c:v>16350641000</c:v>
                </c:pt>
                <c:pt idx="130">
                  <c:v>15808562000</c:v>
                </c:pt>
                <c:pt idx="131">
                  <c:v>15471294000</c:v>
                </c:pt>
                <c:pt idx="132">
                  <c:v>14465565000</c:v>
                </c:pt>
                <c:pt idx="133">
                  <c:v>15039645000</c:v>
                </c:pt>
                <c:pt idx="134">
                  <c:v>18097142000</c:v>
                </c:pt>
                <c:pt idx="135">
                  <c:v>16039215000</c:v>
                </c:pt>
                <c:pt idx="136">
                  <c:v>14790788000</c:v>
                </c:pt>
                <c:pt idx="137">
                  <c:v>13971249000</c:v>
                </c:pt>
                <c:pt idx="138">
                  <c:v>13862504000</c:v>
                </c:pt>
                <c:pt idx="139">
                  <c:v>13170418000</c:v>
                </c:pt>
                <c:pt idx="140">
                  <c:v>12775113000</c:v>
                </c:pt>
                <c:pt idx="141">
                  <c:v>14716690000</c:v>
                </c:pt>
                <c:pt idx="142">
                  <c:v>16616604000</c:v>
                </c:pt>
                <c:pt idx="143">
                  <c:v>15193582000</c:v>
                </c:pt>
                <c:pt idx="144">
                  <c:v>25695415000</c:v>
                </c:pt>
                <c:pt idx="145">
                  <c:v>25585096000</c:v>
                </c:pt>
              </c:numCache>
            </c:numRef>
          </c:val>
          <c:extLst>
            <c:ext xmlns:c16="http://schemas.microsoft.com/office/drawing/2014/chart" uri="{C3380CC4-5D6E-409C-BE32-E72D297353CC}">
              <c16:uniqueId val="{00000000-1114-44F6-842D-FA0692D3D9EE}"/>
            </c:ext>
          </c:extLst>
        </c:ser>
        <c:ser>
          <c:idx val="1"/>
          <c:order val="1"/>
          <c:tx>
            <c:strRef>
              <c:f>'data-pipeline'!$D$4</c:f>
              <c:strCache>
                <c:ptCount val="1"/>
                <c:pt idx="0">
                  <c:v>Non-Residential, In Pipeline</c:v>
                </c:pt>
              </c:strCache>
            </c:strRef>
          </c:tx>
          <c:spPr>
            <a:solidFill>
              <a:schemeClr val="bg1">
                <a:lumMod val="75000"/>
              </a:schemeClr>
            </a:solidFill>
            <a:ln>
              <a:noFill/>
            </a:ln>
            <a:effectLst/>
          </c:spPr>
          <c:cat>
            <c:numRef>
              <c:f>'data-pipeline'!$A$5:$A$150</c:f>
              <c:numCache>
                <c:formatCode>m/d/yyyy</c:formatCode>
                <c:ptCount val="146"/>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pt idx="114">
                  <c:v>42064</c:v>
                </c:pt>
                <c:pt idx="115">
                  <c:v>42156</c:v>
                </c:pt>
                <c:pt idx="116">
                  <c:v>42248</c:v>
                </c:pt>
                <c:pt idx="117">
                  <c:v>42339</c:v>
                </c:pt>
                <c:pt idx="118">
                  <c:v>42430</c:v>
                </c:pt>
                <c:pt idx="119">
                  <c:v>42522</c:v>
                </c:pt>
                <c:pt idx="120">
                  <c:v>42614</c:v>
                </c:pt>
                <c:pt idx="121">
                  <c:v>42705</c:v>
                </c:pt>
                <c:pt idx="122">
                  <c:v>42795</c:v>
                </c:pt>
                <c:pt idx="123">
                  <c:v>42887</c:v>
                </c:pt>
                <c:pt idx="124">
                  <c:v>42979</c:v>
                </c:pt>
                <c:pt idx="125">
                  <c:v>43070</c:v>
                </c:pt>
                <c:pt idx="126">
                  <c:v>43160</c:v>
                </c:pt>
                <c:pt idx="127">
                  <c:v>43252</c:v>
                </c:pt>
                <c:pt idx="128">
                  <c:v>43344</c:v>
                </c:pt>
                <c:pt idx="129">
                  <c:v>43435</c:v>
                </c:pt>
                <c:pt idx="130">
                  <c:v>43525</c:v>
                </c:pt>
                <c:pt idx="131">
                  <c:v>43617</c:v>
                </c:pt>
                <c:pt idx="132">
                  <c:v>43709</c:v>
                </c:pt>
                <c:pt idx="133">
                  <c:v>43800</c:v>
                </c:pt>
                <c:pt idx="134">
                  <c:v>43891</c:v>
                </c:pt>
                <c:pt idx="135">
                  <c:v>43983</c:v>
                </c:pt>
                <c:pt idx="136">
                  <c:v>44075</c:v>
                </c:pt>
                <c:pt idx="137">
                  <c:v>44166</c:v>
                </c:pt>
                <c:pt idx="138">
                  <c:v>44256</c:v>
                </c:pt>
                <c:pt idx="139">
                  <c:v>44348</c:v>
                </c:pt>
                <c:pt idx="140">
                  <c:v>44440</c:v>
                </c:pt>
                <c:pt idx="141">
                  <c:v>44531</c:v>
                </c:pt>
                <c:pt idx="142">
                  <c:v>44621</c:v>
                </c:pt>
                <c:pt idx="143">
                  <c:v>44713</c:v>
                </c:pt>
                <c:pt idx="144">
                  <c:v>44805</c:v>
                </c:pt>
                <c:pt idx="145">
                  <c:v>44896</c:v>
                </c:pt>
              </c:numCache>
            </c:numRef>
          </c:cat>
          <c:val>
            <c:numRef>
              <c:f>'data-pipeline'!$D$5:$D$150</c:f>
              <c:numCache>
                <c:formatCode>General</c:formatCode>
                <c:ptCount val="146"/>
                <c:pt idx="67">
                  <c:v>3137400000</c:v>
                </c:pt>
                <c:pt idx="68">
                  <c:v>3261243000</c:v>
                </c:pt>
                <c:pt idx="69">
                  <c:v>3003423000</c:v>
                </c:pt>
                <c:pt idx="70">
                  <c:v>3421272000</c:v>
                </c:pt>
                <c:pt idx="71">
                  <c:v>3358998000</c:v>
                </c:pt>
                <c:pt idx="72">
                  <c:v>3434403000</c:v>
                </c:pt>
                <c:pt idx="73">
                  <c:v>3041555000</c:v>
                </c:pt>
                <c:pt idx="74">
                  <c:v>2823498000</c:v>
                </c:pt>
                <c:pt idx="75">
                  <c:v>2805151000</c:v>
                </c:pt>
                <c:pt idx="76">
                  <c:v>2919633000</c:v>
                </c:pt>
                <c:pt idx="77">
                  <c:v>3179677000</c:v>
                </c:pt>
                <c:pt idx="78">
                  <c:v>3081224000</c:v>
                </c:pt>
                <c:pt idx="79">
                  <c:v>3717299000</c:v>
                </c:pt>
                <c:pt idx="80">
                  <c:v>3835774000</c:v>
                </c:pt>
                <c:pt idx="81">
                  <c:v>3904226000</c:v>
                </c:pt>
                <c:pt idx="82">
                  <c:v>4954988000</c:v>
                </c:pt>
                <c:pt idx="83">
                  <c:v>5267535000</c:v>
                </c:pt>
                <c:pt idx="84">
                  <c:v>4884766000</c:v>
                </c:pt>
                <c:pt idx="85">
                  <c:v>5878516000</c:v>
                </c:pt>
                <c:pt idx="86">
                  <c:v>6628555000</c:v>
                </c:pt>
                <c:pt idx="87">
                  <c:v>6564678000</c:v>
                </c:pt>
                <c:pt idx="88">
                  <c:v>6348497000</c:v>
                </c:pt>
                <c:pt idx="89">
                  <c:v>5790174000</c:v>
                </c:pt>
                <c:pt idx="90">
                  <c:v>5374877000</c:v>
                </c:pt>
                <c:pt idx="91">
                  <c:v>4627152000</c:v>
                </c:pt>
                <c:pt idx="92">
                  <c:v>5380412000</c:v>
                </c:pt>
                <c:pt idx="93">
                  <c:v>6277541000</c:v>
                </c:pt>
                <c:pt idx="94">
                  <c:v>6548044000</c:v>
                </c:pt>
                <c:pt idx="95">
                  <c:v>5903192000</c:v>
                </c:pt>
                <c:pt idx="96">
                  <c:v>5343327000</c:v>
                </c:pt>
                <c:pt idx="97">
                  <c:v>5278203000</c:v>
                </c:pt>
                <c:pt idx="98">
                  <c:v>5464053000</c:v>
                </c:pt>
                <c:pt idx="99">
                  <c:v>5496377000</c:v>
                </c:pt>
                <c:pt idx="100">
                  <c:v>5483250000</c:v>
                </c:pt>
                <c:pt idx="101">
                  <c:v>5645364000</c:v>
                </c:pt>
                <c:pt idx="102">
                  <c:v>6594511000</c:v>
                </c:pt>
                <c:pt idx="103">
                  <c:v>6438506000</c:v>
                </c:pt>
                <c:pt idx="104">
                  <c:v>6538473000</c:v>
                </c:pt>
                <c:pt idx="105">
                  <c:v>6678516000</c:v>
                </c:pt>
                <c:pt idx="106">
                  <c:v>6252287000</c:v>
                </c:pt>
                <c:pt idx="107">
                  <c:v>6640284000</c:v>
                </c:pt>
                <c:pt idx="108">
                  <c:v>6272452000</c:v>
                </c:pt>
                <c:pt idx="109">
                  <c:v>6898975000</c:v>
                </c:pt>
                <c:pt idx="110">
                  <c:v>7306150000</c:v>
                </c:pt>
                <c:pt idx="111">
                  <c:v>7466816000</c:v>
                </c:pt>
                <c:pt idx="112">
                  <c:v>7881783000</c:v>
                </c:pt>
                <c:pt idx="113">
                  <c:v>6685509000</c:v>
                </c:pt>
                <c:pt idx="114">
                  <c:v>7251580000</c:v>
                </c:pt>
                <c:pt idx="115">
                  <c:v>6149455000</c:v>
                </c:pt>
                <c:pt idx="116">
                  <c:v>5588768000</c:v>
                </c:pt>
                <c:pt idx="117">
                  <c:v>5128541000</c:v>
                </c:pt>
                <c:pt idx="118">
                  <c:v>5828473000</c:v>
                </c:pt>
                <c:pt idx="119">
                  <c:v>5406849000</c:v>
                </c:pt>
                <c:pt idx="120">
                  <c:v>6063946000</c:v>
                </c:pt>
                <c:pt idx="121">
                  <c:v>6704376000</c:v>
                </c:pt>
                <c:pt idx="122">
                  <c:v>7013507000</c:v>
                </c:pt>
                <c:pt idx="123">
                  <c:v>7597782000</c:v>
                </c:pt>
                <c:pt idx="124">
                  <c:v>8788679000</c:v>
                </c:pt>
                <c:pt idx="125">
                  <c:v>9517748000</c:v>
                </c:pt>
                <c:pt idx="126">
                  <c:v>10141242000</c:v>
                </c:pt>
                <c:pt idx="127">
                  <c:v>10111554000</c:v>
                </c:pt>
                <c:pt idx="128">
                  <c:v>10812557000</c:v>
                </c:pt>
                <c:pt idx="129">
                  <c:v>10709872000</c:v>
                </c:pt>
                <c:pt idx="130">
                  <c:v>10375694000</c:v>
                </c:pt>
                <c:pt idx="131">
                  <c:v>10442246000</c:v>
                </c:pt>
                <c:pt idx="132">
                  <c:v>11022785000</c:v>
                </c:pt>
                <c:pt idx="133">
                  <c:v>11004184000</c:v>
                </c:pt>
                <c:pt idx="134">
                  <c:v>12864415000</c:v>
                </c:pt>
                <c:pt idx="135">
                  <c:v>12897274000</c:v>
                </c:pt>
                <c:pt idx="136">
                  <c:v>11751701000</c:v>
                </c:pt>
                <c:pt idx="137">
                  <c:v>10682033000</c:v>
                </c:pt>
                <c:pt idx="138">
                  <c:v>10662715000</c:v>
                </c:pt>
                <c:pt idx="139">
                  <c:v>12590486000</c:v>
                </c:pt>
                <c:pt idx="140">
                  <c:v>13361047000</c:v>
                </c:pt>
                <c:pt idx="141">
                  <c:v>13320947000</c:v>
                </c:pt>
                <c:pt idx="142">
                  <c:v>13109898000</c:v>
                </c:pt>
                <c:pt idx="143">
                  <c:v>13998714000</c:v>
                </c:pt>
                <c:pt idx="144">
                  <c:v>13756158000</c:v>
                </c:pt>
                <c:pt idx="145">
                  <c:v>15127219000</c:v>
                </c:pt>
              </c:numCache>
            </c:numRef>
          </c:val>
          <c:extLst>
            <c:ext xmlns:c16="http://schemas.microsoft.com/office/drawing/2014/chart" uri="{C3380CC4-5D6E-409C-BE32-E72D297353CC}">
              <c16:uniqueId val="{00000001-1114-44F6-842D-FA0692D3D9EE}"/>
            </c:ext>
          </c:extLst>
        </c:ser>
        <c:ser>
          <c:idx val="0"/>
          <c:order val="2"/>
          <c:tx>
            <c:strRef>
              <c:f>'data-pipeline'!$C$4</c:f>
              <c:strCache>
                <c:ptCount val="1"/>
                <c:pt idx="0">
                  <c:v>Residential - All Buildings, In Pipeline</c:v>
                </c:pt>
              </c:strCache>
            </c:strRef>
          </c:tx>
          <c:spPr>
            <a:solidFill>
              <a:schemeClr val="bg1">
                <a:lumMod val="85000"/>
              </a:schemeClr>
            </a:solidFill>
            <a:ln>
              <a:noFill/>
            </a:ln>
            <a:effectLst/>
          </c:spPr>
          <c:cat>
            <c:numRef>
              <c:f>'data-pipeline'!$A$5:$A$150</c:f>
              <c:numCache>
                <c:formatCode>m/d/yyyy</c:formatCode>
                <c:ptCount val="146"/>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pt idx="114">
                  <c:v>42064</c:v>
                </c:pt>
                <c:pt idx="115">
                  <c:v>42156</c:v>
                </c:pt>
                <c:pt idx="116">
                  <c:v>42248</c:v>
                </c:pt>
                <c:pt idx="117">
                  <c:v>42339</c:v>
                </c:pt>
                <c:pt idx="118">
                  <c:v>42430</c:v>
                </c:pt>
                <c:pt idx="119">
                  <c:v>42522</c:v>
                </c:pt>
                <c:pt idx="120">
                  <c:v>42614</c:v>
                </c:pt>
                <c:pt idx="121">
                  <c:v>42705</c:v>
                </c:pt>
                <c:pt idx="122">
                  <c:v>42795</c:v>
                </c:pt>
                <c:pt idx="123">
                  <c:v>42887</c:v>
                </c:pt>
                <c:pt idx="124">
                  <c:v>42979</c:v>
                </c:pt>
                <c:pt idx="125">
                  <c:v>43070</c:v>
                </c:pt>
                <c:pt idx="126">
                  <c:v>43160</c:v>
                </c:pt>
                <c:pt idx="127">
                  <c:v>43252</c:v>
                </c:pt>
                <c:pt idx="128">
                  <c:v>43344</c:v>
                </c:pt>
                <c:pt idx="129">
                  <c:v>43435</c:v>
                </c:pt>
                <c:pt idx="130">
                  <c:v>43525</c:v>
                </c:pt>
                <c:pt idx="131">
                  <c:v>43617</c:v>
                </c:pt>
                <c:pt idx="132">
                  <c:v>43709</c:v>
                </c:pt>
                <c:pt idx="133">
                  <c:v>43800</c:v>
                </c:pt>
                <c:pt idx="134">
                  <c:v>43891</c:v>
                </c:pt>
                <c:pt idx="135">
                  <c:v>43983</c:v>
                </c:pt>
                <c:pt idx="136">
                  <c:v>44075</c:v>
                </c:pt>
                <c:pt idx="137">
                  <c:v>44166</c:v>
                </c:pt>
                <c:pt idx="138">
                  <c:v>44256</c:v>
                </c:pt>
                <c:pt idx="139">
                  <c:v>44348</c:v>
                </c:pt>
                <c:pt idx="140">
                  <c:v>44440</c:v>
                </c:pt>
                <c:pt idx="141">
                  <c:v>44531</c:v>
                </c:pt>
                <c:pt idx="142">
                  <c:v>44621</c:v>
                </c:pt>
                <c:pt idx="143">
                  <c:v>44713</c:v>
                </c:pt>
                <c:pt idx="144">
                  <c:v>44805</c:v>
                </c:pt>
                <c:pt idx="145">
                  <c:v>44896</c:v>
                </c:pt>
              </c:numCache>
            </c:numRef>
          </c:cat>
          <c:val>
            <c:numRef>
              <c:f>'data-pipeline'!$C$5:$C$150</c:f>
              <c:numCache>
                <c:formatCode>General</c:formatCode>
                <c:ptCount val="146"/>
                <c:pt idx="67">
                  <c:v>5182847000</c:v>
                </c:pt>
                <c:pt idx="68">
                  <c:v>5284618000</c:v>
                </c:pt>
                <c:pt idx="69">
                  <c:v>5641533000</c:v>
                </c:pt>
                <c:pt idx="70">
                  <c:v>5542064000</c:v>
                </c:pt>
                <c:pt idx="71">
                  <c:v>5624490000</c:v>
                </c:pt>
                <c:pt idx="72">
                  <c:v>5554199000</c:v>
                </c:pt>
                <c:pt idx="73">
                  <c:v>5368059000</c:v>
                </c:pt>
                <c:pt idx="74">
                  <c:v>5233828000</c:v>
                </c:pt>
                <c:pt idx="75">
                  <c:v>5046276000</c:v>
                </c:pt>
                <c:pt idx="76">
                  <c:v>4926020000</c:v>
                </c:pt>
                <c:pt idx="77">
                  <c:v>4844345000</c:v>
                </c:pt>
                <c:pt idx="78">
                  <c:v>4536736000</c:v>
                </c:pt>
                <c:pt idx="79">
                  <c:v>4671193000</c:v>
                </c:pt>
                <c:pt idx="80">
                  <c:v>4818603000</c:v>
                </c:pt>
                <c:pt idx="81">
                  <c:v>4970505000</c:v>
                </c:pt>
                <c:pt idx="82">
                  <c:v>4927130000</c:v>
                </c:pt>
                <c:pt idx="83">
                  <c:v>5149712000</c:v>
                </c:pt>
                <c:pt idx="84">
                  <c:v>5273419000</c:v>
                </c:pt>
                <c:pt idx="85">
                  <c:v>5848557000</c:v>
                </c:pt>
                <c:pt idx="86">
                  <c:v>6220894000</c:v>
                </c:pt>
                <c:pt idx="87">
                  <c:v>6232499000</c:v>
                </c:pt>
                <c:pt idx="88">
                  <c:v>6511285000</c:v>
                </c:pt>
                <c:pt idx="89">
                  <c:v>6193895000</c:v>
                </c:pt>
                <c:pt idx="90">
                  <c:v>6056317000</c:v>
                </c:pt>
                <c:pt idx="91">
                  <c:v>5792686000</c:v>
                </c:pt>
                <c:pt idx="92">
                  <c:v>6001985000</c:v>
                </c:pt>
                <c:pt idx="93">
                  <c:v>6516166000</c:v>
                </c:pt>
                <c:pt idx="94">
                  <c:v>6826686000</c:v>
                </c:pt>
                <c:pt idx="95">
                  <c:v>7281966000</c:v>
                </c:pt>
                <c:pt idx="96">
                  <c:v>8284064000</c:v>
                </c:pt>
                <c:pt idx="97">
                  <c:v>8732949000</c:v>
                </c:pt>
                <c:pt idx="98">
                  <c:v>8990091000</c:v>
                </c:pt>
                <c:pt idx="99">
                  <c:v>9131394000</c:v>
                </c:pt>
                <c:pt idx="100">
                  <c:v>9308079000</c:v>
                </c:pt>
                <c:pt idx="101">
                  <c:v>8913347000</c:v>
                </c:pt>
                <c:pt idx="102">
                  <c:v>8869263000</c:v>
                </c:pt>
                <c:pt idx="103">
                  <c:v>9165616000</c:v>
                </c:pt>
                <c:pt idx="104">
                  <c:v>9586997000</c:v>
                </c:pt>
                <c:pt idx="105">
                  <c:v>9477295000</c:v>
                </c:pt>
                <c:pt idx="106">
                  <c:v>9052156000</c:v>
                </c:pt>
                <c:pt idx="107">
                  <c:v>8902780000</c:v>
                </c:pt>
                <c:pt idx="108">
                  <c:v>8296269000</c:v>
                </c:pt>
                <c:pt idx="109">
                  <c:v>9019494000</c:v>
                </c:pt>
                <c:pt idx="110">
                  <c:v>9046590000</c:v>
                </c:pt>
                <c:pt idx="111">
                  <c:v>9257813000</c:v>
                </c:pt>
                <c:pt idx="112">
                  <c:v>10014256000</c:v>
                </c:pt>
                <c:pt idx="113">
                  <c:v>10896204000</c:v>
                </c:pt>
                <c:pt idx="114">
                  <c:v>11537886000</c:v>
                </c:pt>
                <c:pt idx="115">
                  <c:v>12642839000</c:v>
                </c:pt>
                <c:pt idx="116">
                  <c:v>12444338000</c:v>
                </c:pt>
                <c:pt idx="117">
                  <c:v>13298146000</c:v>
                </c:pt>
                <c:pt idx="118">
                  <c:v>13275162000</c:v>
                </c:pt>
                <c:pt idx="119">
                  <c:v>13536815000</c:v>
                </c:pt>
                <c:pt idx="120">
                  <c:v>14115005000</c:v>
                </c:pt>
                <c:pt idx="121">
                  <c:v>14029763000</c:v>
                </c:pt>
                <c:pt idx="122">
                  <c:v>14959984000</c:v>
                </c:pt>
                <c:pt idx="123">
                  <c:v>14691838000</c:v>
                </c:pt>
                <c:pt idx="124">
                  <c:v>14787788000</c:v>
                </c:pt>
                <c:pt idx="125">
                  <c:v>17267110000</c:v>
                </c:pt>
                <c:pt idx="126">
                  <c:v>18227386000</c:v>
                </c:pt>
                <c:pt idx="127">
                  <c:v>18844918000</c:v>
                </c:pt>
                <c:pt idx="128">
                  <c:v>17406113000</c:v>
                </c:pt>
                <c:pt idx="129">
                  <c:v>18006979000</c:v>
                </c:pt>
                <c:pt idx="130">
                  <c:v>17021270000</c:v>
                </c:pt>
                <c:pt idx="131">
                  <c:v>16011741000</c:v>
                </c:pt>
                <c:pt idx="132">
                  <c:v>15347016000</c:v>
                </c:pt>
                <c:pt idx="133">
                  <c:v>15007707000</c:v>
                </c:pt>
                <c:pt idx="134">
                  <c:v>15541707000</c:v>
                </c:pt>
                <c:pt idx="135">
                  <c:v>15470063000</c:v>
                </c:pt>
                <c:pt idx="136">
                  <c:v>15221424000</c:v>
                </c:pt>
                <c:pt idx="137">
                  <c:v>15510727000</c:v>
                </c:pt>
                <c:pt idx="138">
                  <c:v>14679022000</c:v>
                </c:pt>
                <c:pt idx="139">
                  <c:v>16299867000</c:v>
                </c:pt>
                <c:pt idx="140">
                  <c:v>17632032000</c:v>
                </c:pt>
                <c:pt idx="141">
                  <c:v>19115745000</c:v>
                </c:pt>
                <c:pt idx="142">
                  <c:v>19784199000</c:v>
                </c:pt>
                <c:pt idx="143">
                  <c:v>20172710000</c:v>
                </c:pt>
                <c:pt idx="144">
                  <c:v>20637292000</c:v>
                </c:pt>
                <c:pt idx="145">
                  <c:v>21673787000</c:v>
                </c:pt>
              </c:numCache>
            </c:numRef>
          </c:val>
          <c:extLst>
            <c:ext xmlns:c16="http://schemas.microsoft.com/office/drawing/2014/chart" uri="{C3380CC4-5D6E-409C-BE32-E72D297353CC}">
              <c16:uniqueId val="{00000002-1114-44F6-842D-FA0692D3D9EE}"/>
            </c:ext>
          </c:extLst>
        </c:ser>
        <c:dLbls>
          <c:showLegendKey val="0"/>
          <c:showVal val="0"/>
          <c:showCatName val="0"/>
          <c:showSerName val="0"/>
          <c:showPercent val="0"/>
          <c:showBubbleSize val="0"/>
        </c:dLbls>
        <c:axId val="1624856464"/>
        <c:axId val="1624851872"/>
      </c:areaChart>
      <c:lineChart>
        <c:grouping val="standard"/>
        <c:varyColors val="0"/>
        <c:ser>
          <c:idx val="3"/>
          <c:order val="3"/>
          <c:tx>
            <c:strRef>
              <c:f>'data-pipeline'!$F$4</c:f>
              <c:strCache>
                <c:ptCount val="1"/>
                <c:pt idx="0">
                  <c:v>Total pipeline</c:v>
                </c:pt>
              </c:strCache>
            </c:strRef>
          </c:tx>
          <c:spPr>
            <a:ln w="19050" cap="rnd">
              <a:solidFill>
                <a:schemeClr val="tx1"/>
              </a:solidFill>
              <a:round/>
            </a:ln>
            <a:effectLst/>
          </c:spPr>
          <c:marker>
            <c:symbol val="none"/>
          </c:marker>
          <c:cat>
            <c:numRef>
              <c:f>'data-pipeline'!$A$5:$A$150</c:f>
              <c:numCache>
                <c:formatCode>m/d/yyyy</c:formatCode>
                <c:ptCount val="146"/>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pt idx="114">
                  <c:v>42064</c:v>
                </c:pt>
                <c:pt idx="115">
                  <c:v>42156</c:v>
                </c:pt>
                <c:pt idx="116">
                  <c:v>42248</c:v>
                </c:pt>
                <c:pt idx="117">
                  <c:v>42339</c:v>
                </c:pt>
                <c:pt idx="118">
                  <c:v>42430</c:v>
                </c:pt>
                <c:pt idx="119">
                  <c:v>42522</c:v>
                </c:pt>
                <c:pt idx="120">
                  <c:v>42614</c:v>
                </c:pt>
                <c:pt idx="121">
                  <c:v>42705</c:v>
                </c:pt>
                <c:pt idx="122">
                  <c:v>42795</c:v>
                </c:pt>
                <c:pt idx="123">
                  <c:v>42887</c:v>
                </c:pt>
                <c:pt idx="124">
                  <c:v>42979</c:v>
                </c:pt>
                <c:pt idx="125">
                  <c:v>43070</c:v>
                </c:pt>
                <c:pt idx="126">
                  <c:v>43160</c:v>
                </c:pt>
                <c:pt idx="127">
                  <c:v>43252</c:v>
                </c:pt>
                <c:pt idx="128">
                  <c:v>43344</c:v>
                </c:pt>
                <c:pt idx="129">
                  <c:v>43435</c:v>
                </c:pt>
                <c:pt idx="130">
                  <c:v>43525</c:v>
                </c:pt>
                <c:pt idx="131">
                  <c:v>43617</c:v>
                </c:pt>
                <c:pt idx="132">
                  <c:v>43709</c:v>
                </c:pt>
                <c:pt idx="133">
                  <c:v>43800</c:v>
                </c:pt>
                <c:pt idx="134">
                  <c:v>43891</c:v>
                </c:pt>
                <c:pt idx="135">
                  <c:v>43983</c:v>
                </c:pt>
                <c:pt idx="136">
                  <c:v>44075</c:v>
                </c:pt>
                <c:pt idx="137">
                  <c:v>44166</c:v>
                </c:pt>
                <c:pt idx="138">
                  <c:v>44256</c:v>
                </c:pt>
                <c:pt idx="139">
                  <c:v>44348</c:v>
                </c:pt>
                <c:pt idx="140">
                  <c:v>44440</c:v>
                </c:pt>
                <c:pt idx="141">
                  <c:v>44531</c:v>
                </c:pt>
                <c:pt idx="142">
                  <c:v>44621</c:v>
                </c:pt>
                <c:pt idx="143">
                  <c:v>44713</c:v>
                </c:pt>
                <c:pt idx="144">
                  <c:v>44805</c:v>
                </c:pt>
                <c:pt idx="145">
                  <c:v>44896</c:v>
                </c:pt>
              </c:numCache>
            </c:numRef>
          </c:cat>
          <c:val>
            <c:numRef>
              <c:f>'data-pipeline'!$F$5:$F$150</c:f>
              <c:numCache>
                <c:formatCode>General</c:formatCode>
                <c:ptCount val="146"/>
                <c:pt idx="67">
                  <c:v>10236230000</c:v>
                </c:pt>
                <c:pt idx="68">
                  <c:v>10792280000</c:v>
                </c:pt>
                <c:pt idx="69">
                  <c:v>10621426000</c:v>
                </c:pt>
                <c:pt idx="70">
                  <c:v>11087023000</c:v>
                </c:pt>
                <c:pt idx="71">
                  <c:v>10642172000</c:v>
                </c:pt>
                <c:pt idx="72">
                  <c:v>10583688000</c:v>
                </c:pt>
                <c:pt idx="73">
                  <c:v>10747035000</c:v>
                </c:pt>
                <c:pt idx="74">
                  <c:v>13202375000</c:v>
                </c:pt>
                <c:pt idx="75">
                  <c:v>12843914000</c:v>
                </c:pt>
                <c:pt idx="76">
                  <c:v>12383625000</c:v>
                </c:pt>
                <c:pt idx="77">
                  <c:v>12270688000</c:v>
                </c:pt>
                <c:pt idx="78">
                  <c:v>11676491000</c:v>
                </c:pt>
                <c:pt idx="79">
                  <c:v>11812145000</c:v>
                </c:pt>
                <c:pt idx="80">
                  <c:v>11966612000</c:v>
                </c:pt>
                <c:pt idx="81">
                  <c:v>11944320000</c:v>
                </c:pt>
                <c:pt idx="82">
                  <c:v>12738605000</c:v>
                </c:pt>
                <c:pt idx="83">
                  <c:v>13018701000</c:v>
                </c:pt>
                <c:pt idx="84">
                  <c:v>13591619000</c:v>
                </c:pt>
                <c:pt idx="85">
                  <c:v>14855489000</c:v>
                </c:pt>
                <c:pt idx="86">
                  <c:v>16351878000</c:v>
                </c:pt>
                <c:pt idx="87">
                  <c:v>16306004000</c:v>
                </c:pt>
                <c:pt idx="88">
                  <c:v>17218480000</c:v>
                </c:pt>
                <c:pt idx="89">
                  <c:v>15456441000</c:v>
                </c:pt>
                <c:pt idx="90">
                  <c:v>14381986000</c:v>
                </c:pt>
                <c:pt idx="91">
                  <c:v>13226183000</c:v>
                </c:pt>
                <c:pt idx="92">
                  <c:v>14573204000</c:v>
                </c:pt>
                <c:pt idx="93">
                  <c:v>18941603000</c:v>
                </c:pt>
                <c:pt idx="94">
                  <c:v>19727064000</c:v>
                </c:pt>
                <c:pt idx="95">
                  <c:v>19927028000</c:v>
                </c:pt>
                <c:pt idx="96">
                  <c:v>21612390000</c:v>
                </c:pt>
                <c:pt idx="97">
                  <c:v>21490815000</c:v>
                </c:pt>
                <c:pt idx="98">
                  <c:v>22111209000</c:v>
                </c:pt>
                <c:pt idx="99">
                  <c:v>20505019000</c:v>
                </c:pt>
                <c:pt idx="100">
                  <c:v>19878601000</c:v>
                </c:pt>
                <c:pt idx="101">
                  <c:v>19842839000</c:v>
                </c:pt>
                <c:pt idx="102">
                  <c:v>21490161000</c:v>
                </c:pt>
                <c:pt idx="103">
                  <c:v>21507926000</c:v>
                </c:pt>
                <c:pt idx="104">
                  <c:v>21615563000</c:v>
                </c:pt>
                <c:pt idx="105">
                  <c:v>21633139000</c:v>
                </c:pt>
                <c:pt idx="106">
                  <c:v>20039973000</c:v>
                </c:pt>
                <c:pt idx="107">
                  <c:v>19728525000</c:v>
                </c:pt>
                <c:pt idx="108">
                  <c:v>19134834000</c:v>
                </c:pt>
                <c:pt idx="109">
                  <c:v>20982811000</c:v>
                </c:pt>
                <c:pt idx="110">
                  <c:v>21557556000</c:v>
                </c:pt>
                <c:pt idx="111">
                  <c:v>22489305000</c:v>
                </c:pt>
                <c:pt idx="112">
                  <c:v>23682830000</c:v>
                </c:pt>
                <c:pt idx="113">
                  <c:v>24391244000</c:v>
                </c:pt>
                <c:pt idx="114">
                  <c:v>23002642000</c:v>
                </c:pt>
                <c:pt idx="115">
                  <c:v>23513123000</c:v>
                </c:pt>
                <c:pt idx="116">
                  <c:v>22705650000</c:v>
                </c:pt>
                <c:pt idx="117">
                  <c:v>23061641000</c:v>
                </c:pt>
                <c:pt idx="118">
                  <c:v>23281043000</c:v>
                </c:pt>
                <c:pt idx="119">
                  <c:v>23968705000</c:v>
                </c:pt>
                <c:pt idx="120">
                  <c:v>25222242000</c:v>
                </c:pt>
                <c:pt idx="121">
                  <c:v>25587658000</c:v>
                </c:pt>
                <c:pt idx="122">
                  <c:v>26597936000</c:v>
                </c:pt>
                <c:pt idx="123">
                  <c:v>28254469000</c:v>
                </c:pt>
                <c:pt idx="124">
                  <c:v>29158077000</c:v>
                </c:pt>
                <c:pt idx="125">
                  <c:v>31683632000</c:v>
                </c:pt>
                <c:pt idx="126">
                  <c:v>44448830000</c:v>
                </c:pt>
                <c:pt idx="127">
                  <c:v>45228704000</c:v>
                </c:pt>
                <c:pt idx="128">
                  <c:v>44027799000</c:v>
                </c:pt>
                <c:pt idx="129">
                  <c:v>45067492000</c:v>
                </c:pt>
                <c:pt idx="130">
                  <c:v>43205526000</c:v>
                </c:pt>
                <c:pt idx="131">
                  <c:v>41925281000</c:v>
                </c:pt>
                <c:pt idx="132">
                  <c:v>40835366000</c:v>
                </c:pt>
                <c:pt idx="133">
                  <c:v>41051536000</c:v>
                </c:pt>
                <c:pt idx="134">
                  <c:v>46503264000</c:v>
                </c:pt>
                <c:pt idx="135">
                  <c:v>44406552000</c:v>
                </c:pt>
                <c:pt idx="136">
                  <c:v>41763913000</c:v>
                </c:pt>
                <c:pt idx="137">
                  <c:v>40164009000</c:v>
                </c:pt>
                <c:pt idx="138">
                  <c:v>39204241000</c:v>
                </c:pt>
                <c:pt idx="139">
                  <c:v>42060771000</c:v>
                </c:pt>
                <c:pt idx="140">
                  <c:v>43768192000</c:v>
                </c:pt>
                <c:pt idx="141">
                  <c:v>47153382000</c:v>
                </c:pt>
                <c:pt idx="142">
                  <c:v>49510701000</c:v>
                </c:pt>
                <c:pt idx="143">
                  <c:v>49365006000</c:v>
                </c:pt>
                <c:pt idx="144">
                  <c:v>60088865000</c:v>
                </c:pt>
                <c:pt idx="145">
                  <c:v>62386102000</c:v>
                </c:pt>
              </c:numCache>
            </c:numRef>
          </c:val>
          <c:smooth val="0"/>
          <c:extLst>
            <c:ext xmlns:c16="http://schemas.microsoft.com/office/drawing/2014/chart" uri="{C3380CC4-5D6E-409C-BE32-E72D297353CC}">
              <c16:uniqueId val="{00000003-1114-44F6-842D-FA0692D3D9EE}"/>
            </c:ext>
          </c:extLst>
        </c:ser>
        <c:dLbls>
          <c:showLegendKey val="0"/>
          <c:showVal val="0"/>
          <c:showCatName val="0"/>
          <c:showSerName val="0"/>
          <c:showPercent val="0"/>
          <c:showBubbleSize val="0"/>
        </c:dLbls>
        <c:marker val="1"/>
        <c:smooth val="0"/>
        <c:axId val="1624856464"/>
        <c:axId val="1624851872"/>
      </c:lineChart>
      <c:dateAx>
        <c:axId val="1624856464"/>
        <c:scaling>
          <c:orientation val="minMax"/>
          <c:max val="44896"/>
          <c:min val="40179"/>
        </c:scaling>
        <c:delete val="0"/>
        <c:axPos val="b"/>
        <c:numFmt formatCode="yyyy"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1624851872"/>
        <c:crosses val="autoZero"/>
        <c:auto val="1"/>
        <c:lblOffset val="100"/>
        <c:baseTimeUnit val="months"/>
        <c:majorUnit val="12"/>
        <c:majorTimeUnit val="months"/>
      </c:dateAx>
      <c:valAx>
        <c:axId val="1624851872"/>
        <c:scaling>
          <c:orientation val="minMax"/>
        </c:scaling>
        <c:delete val="0"/>
        <c:axPos val="l"/>
        <c:majorGridlines>
          <c:spPr>
            <a:ln w="6350" cap="flat" cmpd="sng" algn="ctr">
              <a:solidFill>
                <a:schemeClr val="bg1">
                  <a:lumMod val="65000"/>
                </a:schemeClr>
              </a:solidFill>
              <a:prstDash val="dash"/>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1624856464"/>
        <c:crosses val="autoZero"/>
        <c:crossBetween val="between"/>
        <c:dispUnits>
          <c:builtInUnit val="billions"/>
          <c:dispUnitsLbl>
            <c:layout>
              <c:manualLayout>
                <c:xMode val="edge"/>
                <c:yMode val="edge"/>
                <c:x val="2.5299479083560968E-3"/>
                <c:y val="0.31339314743869667"/>
              </c:manualLayout>
            </c:layout>
            <c:tx>
              <c:rich>
                <a:bodyPr rot="-5400000" spcFirstLastPara="1" vertOverflow="ellipsis" vert="horz" wrap="square" anchor="ctr" anchorCtr="1"/>
                <a:lstStyle/>
                <a:p>
                  <a:pPr>
                    <a:defRPr sz="900" b="0" i="1" u="none" strike="noStrike" kern="1200" baseline="0">
                      <a:solidFill>
                        <a:schemeClr val="tx1">
                          <a:lumMod val="65000"/>
                          <a:lumOff val="35000"/>
                        </a:schemeClr>
                      </a:solidFill>
                      <a:latin typeface="+mj-lt"/>
                      <a:ea typeface="+mn-ea"/>
                      <a:cs typeface="+mn-cs"/>
                    </a:defRPr>
                  </a:pPr>
                  <a:r>
                    <a:rPr lang="en-AU" sz="900" i="1"/>
                    <a:t>$ billion</a:t>
                  </a:r>
                </a:p>
              </c:rich>
            </c:tx>
            <c:spPr>
              <a:noFill/>
              <a:ln>
                <a:noFill/>
              </a:ln>
              <a:effectLst/>
            </c:spPr>
            <c:txPr>
              <a:bodyPr rot="-5400000" spcFirstLastPara="1" vertOverflow="ellipsis" vert="horz" wrap="square" anchor="ctr" anchorCtr="1"/>
              <a:lstStyle/>
              <a:p>
                <a:pPr>
                  <a:defRPr sz="900" b="0" i="1" u="none" strike="noStrike" kern="1200" baseline="0">
                    <a:solidFill>
                      <a:schemeClr val="tx1">
                        <a:lumMod val="65000"/>
                        <a:lumOff val="35000"/>
                      </a:schemeClr>
                    </a:solidFill>
                    <a:latin typeface="+mj-lt"/>
                    <a:ea typeface="+mn-ea"/>
                    <a:cs typeface="+mn-cs"/>
                  </a:defRPr>
                </a:pPr>
                <a:endParaRPr lang="en-US"/>
              </a:p>
            </c:txPr>
          </c:dispUnitsLbl>
        </c:dispUnits>
      </c:valAx>
      <c:spPr>
        <a:noFill/>
        <a:ln>
          <a:noFill/>
        </a:ln>
        <a:effectLst/>
      </c:spPr>
    </c:plotArea>
    <c:legend>
      <c:legendPos val="b"/>
      <c:legendEntry>
        <c:idx val="0"/>
        <c:delete val="1"/>
      </c:legendEntry>
      <c:legendEntry>
        <c:idx val="1"/>
        <c:delete val="1"/>
      </c:legendEntry>
      <c:legendEntry>
        <c:idx val="2"/>
        <c:delete val="1"/>
      </c:legendEntry>
      <c:layout>
        <c:manualLayout>
          <c:xMode val="edge"/>
          <c:yMode val="edge"/>
          <c:x val="0.37251135830901971"/>
          <c:y val="0.91971377906898233"/>
          <c:w val="0.24244428215919359"/>
          <c:h val="5.674692181960636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mj-lt"/>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0.62013</cdr:x>
      <cdr:y>0.0552</cdr:y>
    </cdr:from>
    <cdr:to>
      <cdr:x>0.62013</cdr:x>
      <cdr:y>0.62833</cdr:y>
    </cdr:to>
    <cdr:cxnSp macro="">
      <cdr:nvCxnSpPr>
        <cdr:cNvPr id="3" name="Straight Connector 2">
          <a:extLst xmlns:a="http://schemas.openxmlformats.org/drawingml/2006/main">
            <a:ext uri="{FF2B5EF4-FFF2-40B4-BE49-F238E27FC236}">
              <a16:creationId xmlns:a16="http://schemas.microsoft.com/office/drawing/2014/main" id="{CAFEC583-31A0-1E92-047E-9EDC9160231D}"/>
            </a:ext>
          </a:extLst>
        </cdr:cNvPr>
        <cdr:cNvCxnSpPr/>
      </cdr:nvCxnSpPr>
      <cdr:spPr>
        <a:xfrm xmlns:a="http://schemas.openxmlformats.org/drawingml/2006/main" flipV="1">
          <a:off x="3010861" y="166135"/>
          <a:ext cx="0" cy="1725064"/>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0.62565</cdr:x>
      <cdr:y>0.13555</cdr:y>
    </cdr:from>
    <cdr:to>
      <cdr:x>0.79019</cdr:x>
      <cdr:y>0.20517</cdr:y>
    </cdr:to>
    <cdr:sp macro="" textlink="">
      <cdr:nvSpPr>
        <cdr:cNvPr id="5" name="TextBox 2">
          <a:extLst xmlns:a="http://schemas.openxmlformats.org/drawingml/2006/main">
            <a:ext uri="{FF2B5EF4-FFF2-40B4-BE49-F238E27FC236}">
              <a16:creationId xmlns:a16="http://schemas.microsoft.com/office/drawing/2014/main" id="{8145E424-37ED-E607-E792-80D772FC76E7}"/>
            </a:ext>
          </a:extLst>
        </cdr:cNvPr>
        <cdr:cNvSpPr txBox="1"/>
      </cdr:nvSpPr>
      <cdr:spPr>
        <a:xfrm xmlns:a="http://schemas.openxmlformats.org/drawingml/2006/main">
          <a:off x="3033315" y="407988"/>
          <a:ext cx="797719" cy="20955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1000">
              <a:latin typeface="+mj-lt"/>
            </a:rPr>
            <a:t>forecasts</a:t>
          </a:r>
        </a:p>
      </cdr:txBody>
    </cdr:sp>
  </cdr:relSizeAnchor>
  <cdr:relSizeAnchor xmlns:cdr="http://schemas.openxmlformats.org/drawingml/2006/chartDrawing">
    <cdr:from>
      <cdr:x>0.64203</cdr:x>
      <cdr:y>0.11867</cdr:y>
    </cdr:from>
    <cdr:to>
      <cdr:x>0.78299</cdr:x>
      <cdr:y>0.11867</cdr:y>
    </cdr:to>
    <cdr:cxnSp macro="">
      <cdr:nvCxnSpPr>
        <cdr:cNvPr id="6" name="Straight Arrow Connector 5">
          <a:extLst xmlns:a="http://schemas.openxmlformats.org/drawingml/2006/main">
            <a:ext uri="{FF2B5EF4-FFF2-40B4-BE49-F238E27FC236}">
              <a16:creationId xmlns:a16="http://schemas.microsoft.com/office/drawing/2014/main" id="{28434B5C-7C90-8B94-6FF8-20D8BDF7615A}"/>
            </a:ext>
          </a:extLst>
        </cdr:cNvPr>
        <cdr:cNvCxnSpPr/>
      </cdr:nvCxnSpPr>
      <cdr:spPr>
        <a:xfrm xmlns:a="http://schemas.openxmlformats.org/drawingml/2006/main">
          <a:off x="3112690" y="357188"/>
          <a:ext cx="683419" cy="0"/>
        </a:xfrm>
        <a:prstGeom xmlns:a="http://schemas.openxmlformats.org/drawingml/2006/main" prst="straightConnector1">
          <a:avLst/>
        </a:prstGeom>
        <a:ln xmlns:a="http://schemas.openxmlformats.org/drawingml/2006/main" w="12700">
          <a:tailEnd type="stealt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0.19492</cdr:y>
    </cdr:from>
    <cdr:to>
      <cdr:x>0.03375</cdr:x>
      <cdr:y>0.55322</cdr:y>
    </cdr:to>
    <cdr:sp macro="" textlink="">
      <cdr:nvSpPr>
        <cdr:cNvPr id="2" name="TextBox 2"/>
        <cdr:cNvSpPr txBox="1"/>
      </cdr:nvSpPr>
      <cdr:spPr>
        <a:xfrm xmlns:a="http://schemas.openxmlformats.org/drawingml/2006/main" flipH="1">
          <a:off x="0" y="586696"/>
          <a:ext cx="163852" cy="107843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vert="vert270" wrap="square" rtlCol="0" anchor="ctr" anchorCtr="1">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900" i="1">
              <a:latin typeface="+mj-lt"/>
            </a:rPr>
            <a:t>per</a:t>
          </a:r>
          <a:r>
            <a:rPr lang="en-AU" sz="900" i="1" baseline="0">
              <a:latin typeface="+mj-lt"/>
            </a:rPr>
            <a:t> cent</a:t>
          </a:r>
          <a:endParaRPr lang="en-AU" sz="900" i="1">
            <a:latin typeface="+mj-lt"/>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0.31209</cdr:y>
    </cdr:from>
    <cdr:to>
      <cdr:x>0.02802</cdr:x>
      <cdr:y>0.50989</cdr:y>
    </cdr:to>
    <cdr:sp macro="" textlink="">
      <cdr:nvSpPr>
        <cdr:cNvPr id="2" name="TextBox 1">
          <a:extLst xmlns:a="http://schemas.openxmlformats.org/drawingml/2006/main">
            <a:ext uri="{FF2B5EF4-FFF2-40B4-BE49-F238E27FC236}">
              <a16:creationId xmlns:a16="http://schemas.microsoft.com/office/drawing/2014/main" id="{2F10B9C9-BF60-748C-F7D3-8C90B2F4E8A3}"/>
            </a:ext>
          </a:extLst>
        </cdr:cNvPr>
        <cdr:cNvSpPr txBox="1"/>
      </cdr:nvSpPr>
      <cdr:spPr>
        <a:xfrm xmlns:a="http://schemas.openxmlformats.org/drawingml/2006/main" rot="16200000">
          <a:off x="-290512" y="1643065"/>
          <a:ext cx="85725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i="1">
              <a:latin typeface="+mj-lt"/>
            </a:rPr>
            <a:t>$ billion</a:t>
          </a:r>
        </a:p>
      </cdr:txBody>
    </cdr:sp>
  </cdr:relSizeAnchor>
</c:userShapes>
</file>

<file path=word/drawings/drawing3.xml><?xml version="1.0" encoding="utf-8"?>
<c:userShapes xmlns:c="http://schemas.openxmlformats.org/drawingml/2006/chart">
  <cdr:relSizeAnchor xmlns:cdr="http://schemas.openxmlformats.org/drawingml/2006/chartDrawing">
    <cdr:from>
      <cdr:x>0.24367</cdr:x>
      <cdr:y>0.54204</cdr:y>
    </cdr:from>
    <cdr:to>
      <cdr:x>0.321</cdr:x>
      <cdr:y>0.60209</cdr:y>
    </cdr:to>
    <cdr:sp macro="" textlink="">
      <cdr:nvSpPr>
        <cdr:cNvPr id="3" name="TextBox 1">
          <a:extLst xmlns:a="http://schemas.openxmlformats.org/drawingml/2006/main">
            <a:ext uri="{FF2B5EF4-FFF2-40B4-BE49-F238E27FC236}">
              <a16:creationId xmlns:a16="http://schemas.microsoft.com/office/drawing/2014/main" id="{38FAC50D-D872-4DE5-8FF2-217E2C179735}"/>
            </a:ext>
          </a:extLst>
        </cdr:cNvPr>
        <cdr:cNvSpPr txBox="1"/>
      </cdr:nvSpPr>
      <cdr:spPr>
        <a:xfrm xmlns:a="http://schemas.openxmlformats.org/drawingml/2006/main">
          <a:off x="1183700" y="1667642"/>
          <a:ext cx="375650" cy="184718"/>
        </a:xfrm>
        <a:prstGeom xmlns:a="http://schemas.openxmlformats.org/drawingml/2006/main" prst="rect">
          <a:avLst/>
        </a:prstGeom>
      </cdr:spPr>
      <cdr:txBody>
        <a:bodyPr xmlns:a="http://schemas.openxmlformats.org/drawingml/2006/main" wrap="none" lIns="0" tIns="0" rIns="0" bIns="108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accent4">
                  <a:lumMod val="25000"/>
                </a:schemeClr>
              </a:solidFill>
              <a:latin typeface="Calibri" panose="020F0502020204030204" pitchFamily="34" charset="0"/>
              <a:cs typeface="Calibri" panose="020F0502020204030204" pitchFamily="34" charset="0"/>
            </a:rPr>
            <a:t>–0.3</a:t>
          </a:r>
        </a:p>
      </cdr:txBody>
    </cdr:sp>
  </cdr:relSizeAnchor>
  <cdr:relSizeAnchor xmlns:cdr="http://schemas.openxmlformats.org/drawingml/2006/chartDrawing">
    <cdr:from>
      <cdr:x>0.3705</cdr:x>
      <cdr:y>0.40182</cdr:y>
    </cdr:from>
    <cdr:to>
      <cdr:x>0.44783</cdr:x>
      <cdr:y>0.46185</cdr:y>
    </cdr:to>
    <cdr:sp macro="" textlink="">
      <cdr:nvSpPr>
        <cdr:cNvPr id="4" name="TextBox 1">
          <a:extLst xmlns:a="http://schemas.openxmlformats.org/drawingml/2006/main">
            <a:ext uri="{FF2B5EF4-FFF2-40B4-BE49-F238E27FC236}">
              <a16:creationId xmlns:a16="http://schemas.microsoft.com/office/drawing/2014/main" id="{38FAC50D-D872-4DE5-8FF2-217E2C179735}"/>
            </a:ext>
          </a:extLst>
        </cdr:cNvPr>
        <cdr:cNvSpPr txBox="1"/>
      </cdr:nvSpPr>
      <cdr:spPr>
        <a:xfrm xmlns:a="http://schemas.openxmlformats.org/drawingml/2006/main">
          <a:off x="2258583" y="1611315"/>
          <a:ext cx="471404" cy="240722"/>
        </a:xfrm>
        <a:prstGeom xmlns:a="http://schemas.openxmlformats.org/drawingml/2006/main" prst="rect">
          <a:avLst/>
        </a:prstGeom>
      </cdr:spPr>
      <cdr:txBody>
        <a:bodyPr xmlns:a="http://schemas.openxmlformats.org/drawingml/2006/main" wrap="none" lIns="0" tIns="0" rIns="0" bIns="108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accent4">
                  <a:lumMod val="25000"/>
                </a:schemeClr>
              </a:solidFill>
              <a:latin typeface="Calibri" panose="020F0502020204030204" pitchFamily="34" charset="0"/>
              <a:cs typeface="Calibri" panose="020F0502020204030204" pitchFamily="34" charset="0"/>
            </a:rPr>
            <a:t>5.6</a:t>
          </a:r>
        </a:p>
      </cdr:txBody>
    </cdr:sp>
  </cdr:relSizeAnchor>
  <cdr:relSizeAnchor xmlns:cdr="http://schemas.openxmlformats.org/drawingml/2006/chartDrawing">
    <cdr:from>
      <cdr:x>0.46657</cdr:x>
      <cdr:y>0.34186</cdr:y>
    </cdr:from>
    <cdr:to>
      <cdr:x>0.5439</cdr:x>
      <cdr:y>0.40191</cdr:y>
    </cdr:to>
    <cdr:sp macro="" textlink="">
      <cdr:nvSpPr>
        <cdr:cNvPr id="5" name="TextBox 1">
          <a:extLst xmlns:a="http://schemas.openxmlformats.org/drawingml/2006/main">
            <a:ext uri="{FF2B5EF4-FFF2-40B4-BE49-F238E27FC236}">
              <a16:creationId xmlns:a16="http://schemas.microsoft.com/office/drawing/2014/main" id="{38FAC50D-D872-4DE5-8FF2-217E2C179735}"/>
            </a:ext>
          </a:extLst>
        </cdr:cNvPr>
        <cdr:cNvSpPr txBox="1"/>
      </cdr:nvSpPr>
      <cdr:spPr>
        <a:xfrm xmlns:a="http://schemas.openxmlformats.org/drawingml/2006/main">
          <a:off x="2291493" y="1051773"/>
          <a:ext cx="379793" cy="184718"/>
        </a:xfrm>
        <a:prstGeom xmlns:a="http://schemas.openxmlformats.org/drawingml/2006/main" prst="rect">
          <a:avLst/>
        </a:prstGeom>
      </cdr:spPr>
      <cdr:txBody>
        <a:bodyPr xmlns:a="http://schemas.openxmlformats.org/drawingml/2006/main" wrap="none" lIns="0" tIns="0" rIns="0" bIns="108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accent4">
                  <a:lumMod val="25000"/>
                </a:schemeClr>
              </a:solidFill>
              <a:latin typeface="Calibri" panose="020F0502020204030204" pitchFamily="34" charset="0"/>
              <a:cs typeface="Calibri" panose="020F0502020204030204" pitchFamily="34" charset="0"/>
            </a:rPr>
            <a:t>2.75</a:t>
          </a:r>
        </a:p>
      </cdr:txBody>
    </cdr:sp>
  </cdr:relSizeAnchor>
  <cdr:relSizeAnchor xmlns:cdr="http://schemas.openxmlformats.org/drawingml/2006/chartDrawing">
    <cdr:from>
      <cdr:x>0.58953</cdr:x>
      <cdr:y>0.29696</cdr:y>
    </cdr:from>
    <cdr:to>
      <cdr:x>0.66686</cdr:x>
      <cdr:y>0.35699</cdr:y>
    </cdr:to>
    <cdr:sp macro="" textlink="">
      <cdr:nvSpPr>
        <cdr:cNvPr id="6" name="TextBox 1">
          <a:extLst xmlns:a="http://schemas.openxmlformats.org/drawingml/2006/main">
            <a:ext uri="{FF2B5EF4-FFF2-40B4-BE49-F238E27FC236}">
              <a16:creationId xmlns:a16="http://schemas.microsoft.com/office/drawing/2014/main" id="{38FAC50D-D872-4DE5-8FF2-217E2C179735}"/>
            </a:ext>
          </a:extLst>
        </cdr:cNvPr>
        <cdr:cNvSpPr txBox="1"/>
      </cdr:nvSpPr>
      <cdr:spPr>
        <a:xfrm xmlns:a="http://schemas.openxmlformats.org/drawingml/2006/main">
          <a:off x="3593790" y="1190829"/>
          <a:ext cx="471404" cy="240722"/>
        </a:xfrm>
        <a:prstGeom xmlns:a="http://schemas.openxmlformats.org/drawingml/2006/main" prst="rect">
          <a:avLst/>
        </a:prstGeom>
      </cdr:spPr>
      <cdr:txBody>
        <a:bodyPr xmlns:a="http://schemas.openxmlformats.org/drawingml/2006/main" wrap="none" lIns="0" tIns="0" rIns="0" bIns="108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accent4">
                  <a:lumMod val="25000"/>
                </a:schemeClr>
              </a:solidFill>
              <a:latin typeface="Calibri" panose="020F0502020204030204" pitchFamily="34" charset="0"/>
              <a:cs typeface="Calibri" panose="020F0502020204030204" pitchFamily="34" charset="0"/>
            </a:rPr>
            <a:t>1.50</a:t>
          </a:r>
        </a:p>
      </cdr:txBody>
    </cdr:sp>
  </cdr:relSizeAnchor>
  <cdr:relSizeAnchor xmlns:cdr="http://schemas.openxmlformats.org/drawingml/2006/chartDrawing">
    <cdr:from>
      <cdr:x>0.69204</cdr:x>
      <cdr:y>0.24186</cdr:y>
    </cdr:from>
    <cdr:to>
      <cdr:x>0.76937</cdr:x>
      <cdr:y>0.3019</cdr:y>
    </cdr:to>
    <cdr:sp macro="" textlink="">
      <cdr:nvSpPr>
        <cdr:cNvPr id="7" name="TextBox 1">
          <a:extLst xmlns:a="http://schemas.openxmlformats.org/drawingml/2006/main">
            <a:ext uri="{FF2B5EF4-FFF2-40B4-BE49-F238E27FC236}">
              <a16:creationId xmlns:a16="http://schemas.microsoft.com/office/drawing/2014/main" id="{38FAC50D-D872-4DE5-8FF2-217E2C179735}"/>
            </a:ext>
          </a:extLst>
        </cdr:cNvPr>
        <cdr:cNvSpPr txBox="1"/>
      </cdr:nvSpPr>
      <cdr:spPr>
        <a:xfrm xmlns:a="http://schemas.openxmlformats.org/drawingml/2006/main">
          <a:off x="4218661" y="969879"/>
          <a:ext cx="471403" cy="240762"/>
        </a:xfrm>
        <a:prstGeom xmlns:a="http://schemas.openxmlformats.org/drawingml/2006/main" prst="rect">
          <a:avLst/>
        </a:prstGeom>
      </cdr:spPr>
      <cdr:txBody>
        <a:bodyPr xmlns:a="http://schemas.openxmlformats.org/drawingml/2006/main" wrap="none" lIns="0" tIns="0" rIns="0" bIns="108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accent4">
                  <a:lumMod val="25000"/>
                </a:schemeClr>
              </a:solidFill>
              <a:latin typeface="Calibri" panose="020F0502020204030204" pitchFamily="34" charset="0"/>
              <a:cs typeface="Calibri" panose="020F0502020204030204" pitchFamily="34" charset="0"/>
            </a:rPr>
            <a:t>2.50</a:t>
          </a:r>
        </a:p>
      </cdr:txBody>
    </cdr:sp>
  </cdr:relSizeAnchor>
  <cdr:relSizeAnchor xmlns:cdr="http://schemas.openxmlformats.org/drawingml/2006/chartDrawing">
    <cdr:from>
      <cdr:x>0.79916</cdr:x>
      <cdr:y>0.16895</cdr:y>
    </cdr:from>
    <cdr:to>
      <cdr:x>0.87649</cdr:x>
      <cdr:y>0.22898</cdr:y>
    </cdr:to>
    <cdr:sp macro="" textlink="">
      <cdr:nvSpPr>
        <cdr:cNvPr id="8" name="TextBox 1">
          <a:extLst xmlns:a="http://schemas.openxmlformats.org/drawingml/2006/main">
            <a:ext uri="{FF2B5EF4-FFF2-40B4-BE49-F238E27FC236}">
              <a16:creationId xmlns:a16="http://schemas.microsoft.com/office/drawing/2014/main" id="{38FAC50D-D872-4DE5-8FF2-217E2C179735}"/>
            </a:ext>
          </a:extLst>
        </cdr:cNvPr>
        <cdr:cNvSpPr txBox="1"/>
      </cdr:nvSpPr>
      <cdr:spPr>
        <a:xfrm xmlns:a="http://schemas.openxmlformats.org/drawingml/2006/main">
          <a:off x="4871695" y="677513"/>
          <a:ext cx="471403" cy="240722"/>
        </a:xfrm>
        <a:prstGeom xmlns:a="http://schemas.openxmlformats.org/drawingml/2006/main" prst="rect">
          <a:avLst/>
        </a:prstGeom>
      </cdr:spPr>
      <cdr:txBody>
        <a:bodyPr xmlns:a="http://schemas.openxmlformats.org/drawingml/2006/main" wrap="none" lIns="0" tIns="0" rIns="0" bIns="108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accent4">
                  <a:lumMod val="25000"/>
                </a:schemeClr>
              </a:solidFill>
              <a:latin typeface="Calibri" panose="020F0502020204030204" pitchFamily="34" charset="0"/>
              <a:cs typeface="Calibri" panose="020F0502020204030204" pitchFamily="34" charset="0"/>
            </a:rPr>
            <a:t>2.75</a:t>
          </a:r>
        </a:p>
      </cdr:txBody>
    </cdr:sp>
  </cdr:relSizeAnchor>
  <cdr:relSizeAnchor xmlns:cdr="http://schemas.openxmlformats.org/drawingml/2006/chartDrawing">
    <cdr:from>
      <cdr:x>0.30812</cdr:x>
      <cdr:y>0.78078</cdr:y>
    </cdr:from>
    <cdr:to>
      <cdr:x>0.45468</cdr:x>
      <cdr:y>0.82635</cdr:y>
    </cdr:to>
    <cdr:sp macro="" textlink="">
      <cdr:nvSpPr>
        <cdr:cNvPr id="9" name="TextBox 1">
          <a:extLst xmlns:a="http://schemas.openxmlformats.org/drawingml/2006/main">
            <a:ext uri="{FF2B5EF4-FFF2-40B4-BE49-F238E27FC236}">
              <a16:creationId xmlns:a16="http://schemas.microsoft.com/office/drawing/2014/main" id="{97E36A96-8135-44B4-BF95-E8969692A575}"/>
            </a:ext>
          </a:extLst>
        </cdr:cNvPr>
        <cdr:cNvSpPr txBox="1"/>
      </cdr:nvSpPr>
      <cdr:spPr>
        <a:xfrm xmlns:a="http://schemas.openxmlformats.org/drawingml/2006/main">
          <a:off x="1513278" y="2402128"/>
          <a:ext cx="719805" cy="140202"/>
        </a:xfrm>
        <a:prstGeom xmlns:a="http://schemas.openxmlformats.org/drawingml/2006/main" prst="rect">
          <a:avLst/>
        </a:prstGeom>
      </cdr:spPr>
      <cdr:txBody>
        <a:bodyPr xmlns:a="http://schemas.openxmlformats.org/drawingml/2006/main" wrap="none" t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900">
              <a:solidFill>
                <a:schemeClr val="tx1">
                  <a:lumMod val="65000"/>
                  <a:lumOff val="35000"/>
                </a:schemeClr>
              </a:solidFill>
              <a:latin typeface="Calibri" panose="020F0502020204030204" pitchFamily="34" charset="0"/>
              <a:cs typeface="Calibri" panose="020F0502020204030204" pitchFamily="34" charset="0"/>
            </a:rPr>
            <a:t>2021-22</a:t>
          </a:r>
        </a:p>
      </cdr:txBody>
    </cdr:sp>
  </cdr:relSizeAnchor>
  <cdr:relSizeAnchor xmlns:cdr="http://schemas.openxmlformats.org/drawingml/2006/chartDrawing">
    <cdr:from>
      <cdr:x>0.41325</cdr:x>
      <cdr:y>0.78144</cdr:y>
    </cdr:from>
    <cdr:to>
      <cdr:x>0.55749</cdr:x>
      <cdr:y>0.82701</cdr:y>
    </cdr:to>
    <cdr:sp macro="" textlink="">
      <cdr:nvSpPr>
        <cdr:cNvPr id="10" name="TextBox 2">
          <a:extLst xmlns:a="http://schemas.openxmlformats.org/drawingml/2006/main">
            <a:ext uri="{FF2B5EF4-FFF2-40B4-BE49-F238E27FC236}">
              <a16:creationId xmlns:a16="http://schemas.microsoft.com/office/drawing/2014/main" id="{0E13F82E-3B72-47DD-8BC2-89AF4910852C}"/>
            </a:ext>
          </a:extLst>
        </cdr:cNvPr>
        <cdr:cNvSpPr txBox="1"/>
      </cdr:nvSpPr>
      <cdr:spPr>
        <a:xfrm xmlns:a="http://schemas.openxmlformats.org/drawingml/2006/main">
          <a:off x="2029606" y="2404159"/>
          <a:ext cx="708410" cy="140201"/>
        </a:xfrm>
        <a:prstGeom xmlns:a="http://schemas.openxmlformats.org/drawingml/2006/main" prst="rect">
          <a:avLst/>
        </a:prstGeom>
      </cdr:spPr>
      <cdr:txBody>
        <a:bodyPr xmlns:a="http://schemas.openxmlformats.org/drawingml/2006/main" wrap="none" t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900">
              <a:solidFill>
                <a:schemeClr val="tx1">
                  <a:lumMod val="65000"/>
                  <a:lumOff val="35000"/>
                </a:schemeClr>
              </a:solidFill>
              <a:latin typeface="Calibri" panose="020F0502020204030204" pitchFamily="34" charset="0"/>
              <a:cs typeface="Calibri" panose="020F0502020204030204" pitchFamily="34" charset="0"/>
            </a:rPr>
            <a:t>2022-23</a:t>
          </a:r>
        </a:p>
      </cdr:txBody>
    </cdr:sp>
  </cdr:relSizeAnchor>
  <cdr:relSizeAnchor xmlns:cdr="http://schemas.openxmlformats.org/drawingml/2006/chartDrawing">
    <cdr:from>
      <cdr:x>0.51484</cdr:x>
      <cdr:y>0.78039</cdr:y>
    </cdr:from>
    <cdr:to>
      <cdr:x>0.65908</cdr:x>
      <cdr:y>0.82596</cdr:y>
    </cdr:to>
    <cdr:sp macro="" textlink="">
      <cdr:nvSpPr>
        <cdr:cNvPr id="11" name="TextBox 3">
          <a:extLst xmlns:a="http://schemas.openxmlformats.org/drawingml/2006/main">
            <a:ext uri="{FF2B5EF4-FFF2-40B4-BE49-F238E27FC236}">
              <a16:creationId xmlns:a16="http://schemas.microsoft.com/office/drawing/2014/main" id="{3FEF5ED3-45E9-49E8-8B3C-C7549C465832}"/>
            </a:ext>
          </a:extLst>
        </cdr:cNvPr>
        <cdr:cNvSpPr txBox="1"/>
      </cdr:nvSpPr>
      <cdr:spPr>
        <a:xfrm xmlns:a="http://schemas.openxmlformats.org/drawingml/2006/main">
          <a:off x="2528548" y="2400928"/>
          <a:ext cx="708410" cy="140202"/>
        </a:xfrm>
        <a:prstGeom xmlns:a="http://schemas.openxmlformats.org/drawingml/2006/main" prst="rect">
          <a:avLst/>
        </a:prstGeom>
      </cdr:spPr>
      <cdr:txBody>
        <a:bodyPr xmlns:a="http://schemas.openxmlformats.org/drawingml/2006/main" wrap="none" t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900">
              <a:solidFill>
                <a:schemeClr val="tx1">
                  <a:lumMod val="65000"/>
                  <a:lumOff val="35000"/>
                </a:schemeClr>
              </a:solidFill>
              <a:latin typeface="Calibri" panose="020F0502020204030204" pitchFamily="34" charset="0"/>
              <a:cs typeface="Calibri" panose="020F0502020204030204" pitchFamily="34" charset="0"/>
            </a:rPr>
            <a:t>2023-24</a:t>
          </a:r>
        </a:p>
      </cdr:txBody>
    </cdr:sp>
  </cdr:relSizeAnchor>
  <cdr:relSizeAnchor xmlns:cdr="http://schemas.openxmlformats.org/drawingml/2006/chartDrawing">
    <cdr:from>
      <cdr:x>0.62052</cdr:x>
      <cdr:y>0.78144</cdr:y>
    </cdr:from>
    <cdr:to>
      <cdr:x>0.76618</cdr:x>
      <cdr:y>0.82701</cdr:y>
    </cdr:to>
    <cdr:sp macro="" textlink="">
      <cdr:nvSpPr>
        <cdr:cNvPr id="12" name="TextBox 4">
          <a:extLst xmlns:a="http://schemas.openxmlformats.org/drawingml/2006/main">
            <a:ext uri="{FF2B5EF4-FFF2-40B4-BE49-F238E27FC236}">
              <a16:creationId xmlns:a16="http://schemas.microsoft.com/office/drawing/2014/main" id="{FB7BC6C0-293C-47B7-85C4-1796F0A36BEA}"/>
            </a:ext>
          </a:extLst>
        </cdr:cNvPr>
        <cdr:cNvSpPr txBox="1"/>
      </cdr:nvSpPr>
      <cdr:spPr>
        <a:xfrm xmlns:a="http://schemas.openxmlformats.org/drawingml/2006/main">
          <a:off x="3047577" y="2404159"/>
          <a:ext cx="715384" cy="140201"/>
        </a:xfrm>
        <a:prstGeom xmlns:a="http://schemas.openxmlformats.org/drawingml/2006/main" prst="rect">
          <a:avLst/>
        </a:prstGeom>
      </cdr:spPr>
      <cdr:txBody>
        <a:bodyPr xmlns:a="http://schemas.openxmlformats.org/drawingml/2006/main" wrap="none" t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900">
              <a:solidFill>
                <a:schemeClr val="tx1">
                  <a:lumMod val="65000"/>
                  <a:lumOff val="35000"/>
                </a:schemeClr>
              </a:solidFill>
              <a:latin typeface="Calibri" panose="020F0502020204030204" pitchFamily="34" charset="0"/>
              <a:cs typeface="Calibri" panose="020F0502020204030204" pitchFamily="34" charset="0"/>
            </a:rPr>
            <a:t>2024-25</a:t>
          </a:r>
        </a:p>
      </cdr:txBody>
    </cdr:sp>
  </cdr:relSizeAnchor>
  <cdr:relSizeAnchor xmlns:cdr="http://schemas.openxmlformats.org/drawingml/2006/chartDrawing">
    <cdr:from>
      <cdr:x>0.73472</cdr:x>
      <cdr:y>0.78016</cdr:y>
    </cdr:from>
    <cdr:to>
      <cdr:x>0.87468</cdr:x>
      <cdr:y>0.82574</cdr:y>
    </cdr:to>
    <cdr:sp macro="" textlink="">
      <cdr:nvSpPr>
        <cdr:cNvPr id="13" name="TextBox 5">
          <a:extLst xmlns:a="http://schemas.openxmlformats.org/drawingml/2006/main">
            <a:ext uri="{FF2B5EF4-FFF2-40B4-BE49-F238E27FC236}">
              <a16:creationId xmlns:a16="http://schemas.microsoft.com/office/drawing/2014/main" id="{D807E0B3-F59A-4887-B5F7-3FEA88905B1A}"/>
            </a:ext>
          </a:extLst>
        </cdr:cNvPr>
        <cdr:cNvSpPr txBox="1"/>
      </cdr:nvSpPr>
      <cdr:spPr>
        <a:xfrm xmlns:a="http://schemas.openxmlformats.org/drawingml/2006/main">
          <a:off x="3608451" y="2400221"/>
          <a:ext cx="687389" cy="140225"/>
        </a:xfrm>
        <a:prstGeom xmlns:a="http://schemas.openxmlformats.org/drawingml/2006/main" prst="rect">
          <a:avLst/>
        </a:prstGeom>
      </cdr:spPr>
      <cdr:txBody>
        <a:bodyPr xmlns:a="http://schemas.openxmlformats.org/drawingml/2006/main" wrap="none" t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900">
              <a:solidFill>
                <a:schemeClr val="tx1">
                  <a:lumMod val="65000"/>
                  <a:lumOff val="35000"/>
                </a:schemeClr>
              </a:solidFill>
              <a:latin typeface="Calibri" panose="020F0502020204030204" pitchFamily="34" charset="0"/>
              <a:cs typeface="Calibri" panose="020F0502020204030204" pitchFamily="34" charset="0"/>
            </a:rPr>
            <a:t>2025-26</a:t>
          </a:r>
        </a:p>
      </cdr:txBody>
    </cdr:sp>
  </cdr:relSizeAnchor>
  <cdr:relSizeAnchor xmlns:cdr="http://schemas.openxmlformats.org/drawingml/2006/chartDrawing">
    <cdr:from>
      <cdr:x>0.20364</cdr:x>
      <cdr:y>0.78071</cdr:y>
    </cdr:from>
    <cdr:to>
      <cdr:x>0.35464</cdr:x>
      <cdr:y>0.82629</cdr:y>
    </cdr:to>
    <cdr:sp macro="" textlink="">
      <cdr:nvSpPr>
        <cdr:cNvPr id="14" name="TextBox 6">
          <a:extLst xmlns:a="http://schemas.openxmlformats.org/drawingml/2006/main">
            <a:ext uri="{FF2B5EF4-FFF2-40B4-BE49-F238E27FC236}">
              <a16:creationId xmlns:a16="http://schemas.microsoft.com/office/drawing/2014/main" id="{847C82B3-F585-4D9A-AE7B-51F583E8FDD2}"/>
            </a:ext>
          </a:extLst>
        </cdr:cNvPr>
        <cdr:cNvSpPr txBox="1"/>
      </cdr:nvSpPr>
      <cdr:spPr>
        <a:xfrm xmlns:a="http://schemas.openxmlformats.org/drawingml/2006/main">
          <a:off x="1000143" y="2401913"/>
          <a:ext cx="741610" cy="140225"/>
        </a:xfrm>
        <a:prstGeom xmlns:a="http://schemas.openxmlformats.org/drawingml/2006/main" prst="rect">
          <a:avLst/>
        </a:prstGeom>
      </cdr:spPr>
      <cdr:txBody>
        <a:bodyPr xmlns:a="http://schemas.openxmlformats.org/drawingml/2006/main" wrap="none" t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900">
              <a:solidFill>
                <a:schemeClr val="tx1">
                  <a:lumMod val="65000"/>
                  <a:lumOff val="35000"/>
                </a:schemeClr>
              </a:solidFill>
              <a:latin typeface="Calibri" panose="020F0502020204030204" pitchFamily="34" charset="0"/>
              <a:cs typeface="Calibri" panose="020F0502020204030204" pitchFamily="34" charset="0"/>
            </a:rPr>
            <a:t>2020-21</a:t>
          </a:r>
        </a:p>
      </cdr:txBody>
    </cdr:sp>
  </cdr:relSizeAnchor>
  <cdr:relSizeAnchor xmlns:cdr="http://schemas.openxmlformats.org/drawingml/2006/chartDrawing">
    <cdr:from>
      <cdr:x>0.09945</cdr:x>
      <cdr:y>0.78028</cdr:y>
    </cdr:from>
    <cdr:to>
      <cdr:x>0.24453</cdr:x>
      <cdr:y>0.82586</cdr:y>
    </cdr:to>
    <cdr:sp macro="" textlink="">
      <cdr:nvSpPr>
        <cdr:cNvPr id="15" name="TextBox 7">
          <a:extLst xmlns:a="http://schemas.openxmlformats.org/drawingml/2006/main">
            <a:ext uri="{FF2B5EF4-FFF2-40B4-BE49-F238E27FC236}">
              <a16:creationId xmlns:a16="http://schemas.microsoft.com/office/drawing/2014/main" id="{18121CC9-F1A5-4488-8617-628B445202D2}"/>
            </a:ext>
          </a:extLst>
        </cdr:cNvPr>
        <cdr:cNvSpPr txBox="1"/>
      </cdr:nvSpPr>
      <cdr:spPr>
        <a:xfrm xmlns:a="http://schemas.openxmlformats.org/drawingml/2006/main">
          <a:off x="488432" y="2400590"/>
          <a:ext cx="712535" cy="140225"/>
        </a:xfrm>
        <a:prstGeom xmlns:a="http://schemas.openxmlformats.org/drawingml/2006/main" prst="rect">
          <a:avLst/>
        </a:prstGeom>
      </cdr:spPr>
      <cdr:txBody>
        <a:bodyPr xmlns:a="http://schemas.openxmlformats.org/drawingml/2006/main" wrap="none" t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900">
              <a:solidFill>
                <a:schemeClr val="tx1">
                  <a:lumMod val="65000"/>
                  <a:lumOff val="35000"/>
                </a:schemeClr>
              </a:solidFill>
              <a:latin typeface="Calibri" panose="020F0502020204030204" pitchFamily="34" charset="0"/>
              <a:cs typeface="Calibri" panose="020F0502020204030204" pitchFamily="34" charset="0"/>
            </a:rPr>
            <a:t>2019-20</a:t>
          </a:r>
        </a:p>
      </cdr:txBody>
    </cdr:sp>
  </cdr:relSizeAnchor>
  <cdr:relSizeAnchor xmlns:cdr="http://schemas.openxmlformats.org/drawingml/2006/chartDrawing">
    <cdr:from>
      <cdr:x>0.83502</cdr:x>
      <cdr:y>0.78066</cdr:y>
    </cdr:from>
    <cdr:to>
      <cdr:x>0.97498</cdr:x>
      <cdr:y>0.82624</cdr:y>
    </cdr:to>
    <cdr:sp macro="" textlink="">
      <cdr:nvSpPr>
        <cdr:cNvPr id="2" name="TextBox 5">
          <a:extLst xmlns:a="http://schemas.openxmlformats.org/drawingml/2006/main">
            <a:ext uri="{FF2B5EF4-FFF2-40B4-BE49-F238E27FC236}">
              <a16:creationId xmlns:a16="http://schemas.microsoft.com/office/drawing/2014/main" id="{3A01F603-2E44-C7E7-846B-9723E14FD6B4}"/>
            </a:ext>
          </a:extLst>
        </cdr:cNvPr>
        <cdr:cNvSpPr txBox="1"/>
      </cdr:nvSpPr>
      <cdr:spPr>
        <a:xfrm xmlns:a="http://schemas.openxmlformats.org/drawingml/2006/main">
          <a:off x="4101057" y="2401759"/>
          <a:ext cx="687390" cy="140225"/>
        </a:xfrm>
        <a:prstGeom xmlns:a="http://schemas.openxmlformats.org/drawingml/2006/main" prst="rect">
          <a:avLst/>
        </a:prstGeom>
      </cdr:spPr>
      <cdr:txBody>
        <a:bodyPr xmlns:a="http://schemas.openxmlformats.org/drawingml/2006/main" wrap="none" t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900">
              <a:solidFill>
                <a:schemeClr val="tx1">
                  <a:lumMod val="65000"/>
                  <a:lumOff val="35000"/>
                </a:schemeClr>
              </a:solidFill>
              <a:latin typeface="Calibri" panose="020F0502020204030204" pitchFamily="34" charset="0"/>
              <a:cs typeface="Calibri" panose="020F0502020204030204" pitchFamily="34" charset="0"/>
            </a:rPr>
            <a:t>2026-27</a:t>
          </a:r>
        </a:p>
      </cdr:txBody>
    </cdr:sp>
  </cdr:relSizeAnchor>
  <cdr:relSizeAnchor xmlns:cdr="http://schemas.openxmlformats.org/drawingml/2006/chartDrawing">
    <cdr:from>
      <cdr:x>0.16633</cdr:x>
      <cdr:y>0.54016</cdr:y>
    </cdr:from>
    <cdr:to>
      <cdr:x>0.24366</cdr:x>
      <cdr:y>0.6002</cdr:y>
    </cdr:to>
    <cdr:sp macro="" textlink="">
      <cdr:nvSpPr>
        <cdr:cNvPr id="16" name="TextBox 1">
          <a:extLst xmlns:a="http://schemas.openxmlformats.org/drawingml/2006/main">
            <a:ext uri="{FF2B5EF4-FFF2-40B4-BE49-F238E27FC236}">
              <a16:creationId xmlns:a16="http://schemas.microsoft.com/office/drawing/2014/main" id="{EA556C68-C2D3-CA23-FF1D-37257728D07B}"/>
            </a:ext>
          </a:extLst>
        </cdr:cNvPr>
        <cdr:cNvSpPr txBox="1"/>
      </cdr:nvSpPr>
      <cdr:spPr>
        <a:xfrm xmlns:a="http://schemas.openxmlformats.org/drawingml/2006/main">
          <a:off x="807984" y="1661828"/>
          <a:ext cx="375650" cy="184717"/>
        </a:xfrm>
        <a:prstGeom xmlns:a="http://schemas.openxmlformats.org/drawingml/2006/main" prst="rect">
          <a:avLst/>
        </a:prstGeom>
      </cdr:spPr>
      <cdr:txBody>
        <a:bodyPr xmlns:a="http://schemas.openxmlformats.org/drawingml/2006/main" wrap="none" lIns="0" tIns="0" rIns="0" bIns="108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accent4">
                  <a:lumMod val="25000"/>
                </a:schemeClr>
              </a:solidFill>
              <a:latin typeface="Calibri" panose="020F0502020204030204" pitchFamily="34" charset="0"/>
              <a:cs typeface="Calibri" panose="020F0502020204030204" pitchFamily="34" charset="0"/>
            </a:rPr>
            <a:t>0.1</a:t>
          </a:r>
        </a:p>
      </cdr:txBody>
    </cdr:sp>
  </cdr:relSizeAnchor>
  <cdr:relSizeAnchor xmlns:cdr="http://schemas.openxmlformats.org/drawingml/2006/chartDrawing">
    <cdr:from>
      <cdr:x>0.90521</cdr:x>
      <cdr:y>0.09238</cdr:y>
    </cdr:from>
    <cdr:to>
      <cdr:x>0.98254</cdr:x>
      <cdr:y>0.15241</cdr:y>
    </cdr:to>
    <cdr:sp macro="" textlink="">
      <cdr:nvSpPr>
        <cdr:cNvPr id="17" name="TextBox 1">
          <a:extLst xmlns:a="http://schemas.openxmlformats.org/drawingml/2006/main">
            <a:ext uri="{FF2B5EF4-FFF2-40B4-BE49-F238E27FC236}">
              <a16:creationId xmlns:a16="http://schemas.microsoft.com/office/drawing/2014/main" id="{483252C2-DF9D-0D64-8F0F-83D02A0B1573}"/>
            </a:ext>
          </a:extLst>
        </cdr:cNvPr>
        <cdr:cNvSpPr txBox="1"/>
      </cdr:nvSpPr>
      <cdr:spPr>
        <a:xfrm xmlns:a="http://schemas.openxmlformats.org/drawingml/2006/main">
          <a:off x="4397284" y="284199"/>
          <a:ext cx="375650" cy="184687"/>
        </a:xfrm>
        <a:prstGeom xmlns:a="http://schemas.openxmlformats.org/drawingml/2006/main" prst="rect">
          <a:avLst/>
        </a:prstGeom>
      </cdr:spPr>
      <cdr:txBody>
        <a:bodyPr xmlns:a="http://schemas.openxmlformats.org/drawingml/2006/main" wrap="none" lIns="0" tIns="0" rIns="0" bIns="108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accent4">
                  <a:lumMod val="25000"/>
                </a:schemeClr>
              </a:solidFill>
              <a:latin typeface="Calibri" panose="020F0502020204030204" pitchFamily="34" charset="0"/>
              <a:cs typeface="Calibri" panose="020F0502020204030204" pitchFamily="34" charset="0"/>
            </a:rPr>
            <a:t>2.75</a:t>
          </a:r>
        </a:p>
      </cdr:txBody>
    </cdr:sp>
  </cdr:relSizeAnchor>
</c:userShapes>
</file>

<file path=word/drawings/drawing4.xml><?xml version="1.0" encoding="utf-8"?>
<c:userShapes xmlns:c="http://schemas.openxmlformats.org/drawingml/2006/chart">
  <cdr:relSizeAnchor xmlns:cdr="http://schemas.openxmlformats.org/drawingml/2006/chartDrawing">
    <cdr:from>
      <cdr:x>0.67135</cdr:x>
      <cdr:y>0.70815</cdr:y>
    </cdr:from>
    <cdr:to>
      <cdr:x>0.98698</cdr:x>
      <cdr:y>0.81063</cdr:y>
    </cdr:to>
    <cdr:sp macro="" textlink="">
      <cdr:nvSpPr>
        <cdr:cNvPr id="2" name="TextBox 1">
          <a:extLst xmlns:a="http://schemas.openxmlformats.org/drawingml/2006/main">
            <a:ext uri="{FF2B5EF4-FFF2-40B4-BE49-F238E27FC236}">
              <a16:creationId xmlns:a16="http://schemas.microsoft.com/office/drawing/2014/main" id="{4A9B8FB4-0168-19B4-54BD-21C497E10852}"/>
            </a:ext>
          </a:extLst>
        </cdr:cNvPr>
        <cdr:cNvSpPr txBox="1"/>
      </cdr:nvSpPr>
      <cdr:spPr>
        <a:xfrm xmlns:a="http://schemas.openxmlformats.org/drawingml/2006/main">
          <a:off x="3273635" y="2086485"/>
          <a:ext cx="1539064" cy="3019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900">
              <a:solidFill>
                <a:schemeClr val="bg1"/>
              </a:solidFill>
              <a:latin typeface="+mj-lt"/>
            </a:rPr>
            <a:t>engineering construction</a:t>
          </a:r>
        </a:p>
      </cdr:txBody>
    </cdr:sp>
  </cdr:relSizeAnchor>
  <cdr:relSizeAnchor xmlns:cdr="http://schemas.openxmlformats.org/drawingml/2006/chartDrawing">
    <cdr:from>
      <cdr:x>0.67045</cdr:x>
      <cdr:y>0.54951</cdr:y>
    </cdr:from>
    <cdr:to>
      <cdr:x>0.98828</cdr:x>
      <cdr:y>0.60636</cdr:y>
    </cdr:to>
    <cdr:sp macro="" textlink="">
      <cdr:nvSpPr>
        <cdr:cNvPr id="3" name="TextBox 1">
          <a:extLst xmlns:a="http://schemas.openxmlformats.org/drawingml/2006/main">
            <a:ext uri="{FF2B5EF4-FFF2-40B4-BE49-F238E27FC236}">
              <a16:creationId xmlns:a16="http://schemas.microsoft.com/office/drawing/2014/main" id="{AD7D5E5D-A954-AED0-9CB4-3AC1EF7B1F27}"/>
            </a:ext>
          </a:extLst>
        </cdr:cNvPr>
        <cdr:cNvSpPr txBox="1"/>
      </cdr:nvSpPr>
      <cdr:spPr>
        <a:xfrm xmlns:a="http://schemas.openxmlformats.org/drawingml/2006/main">
          <a:off x="3269225" y="1619066"/>
          <a:ext cx="1549791" cy="16750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latin typeface="+mj-lt"/>
            </a:rPr>
            <a:t>non-residential</a:t>
          </a:r>
          <a:r>
            <a:rPr lang="en-AU" sz="900" baseline="0">
              <a:latin typeface="+mj-lt"/>
            </a:rPr>
            <a:t> building</a:t>
          </a:r>
          <a:endParaRPr lang="en-AU" sz="900">
            <a:latin typeface="+mj-lt"/>
          </a:endParaRPr>
        </a:p>
      </cdr:txBody>
    </cdr:sp>
  </cdr:relSizeAnchor>
  <cdr:relSizeAnchor xmlns:cdr="http://schemas.openxmlformats.org/drawingml/2006/chartDrawing">
    <cdr:from>
      <cdr:x>0.67279</cdr:x>
      <cdr:y>0.39768</cdr:y>
    </cdr:from>
    <cdr:to>
      <cdr:x>0.93841</cdr:x>
      <cdr:y>0.46877</cdr:y>
    </cdr:to>
    <cdr:sp macro="" textlink="">
      <cdr:nvSpPr>
        <cdr:cNvPr id="4" name="TextBox 1">
          <a:extLst xmlns:a="http://schemas.openxmlformats.org/drawingml/2006/main">
            <a:ext uri="{FF2B5EF4-FFF2-40B4-BE49-F238E27FC236}">
              <a16:creationId xmlns:a16="http://schemas.microsoft.com/office/drawing/2014/main" id="{6282B4F6-578C-D598-1F05-9E13F60795D8}"/>
            </a:ext>
          </a:extLst>
        </cdr:cNvPr>
        <cdr:cNvSpPr txBox="1"/>
      </cdr:nvSpPr>
      <cdr:spPr>
        <a:xfrm xmlns:a="http://schemas.openxmlformats.org/drawingml/2006/main">
          <a:off x="3280635" y="1171715"/>
          <a:ext cx="1295207" cy="2094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solidFill>
                <a:sysClr val="windowText" lastClr="000000"/>
              </a:solidFill>
              <a:latin typeface="+mj-lt"/>
            </a:rPr>
            <a:t>residential</a:t>
          </a:r>
          <a:r>
            <a:rPr lang="en-AU" sz="900" baseline="0">
              <a:solidFill>
                <a:sysClr val="windowText" lastClr="000000"/>
              </a:solidFill>
              <a:latin typeface="+mj-lt"/>
            </a:rPr>
            <a:t> building</a:t>
          </a:r>
          <a:endParaRPr lang="en-AU" sz="900">
            <a:solidFill>
              <a:sysClr val="windowText" lastClr="000000"/>
            </a:solidFill>
            <a:latin typeface="+mj-lt"/>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0.73531</cdr:x>
      <cdr:y>0.06651</cdr:y>
    </cdr:from>
    <cdr:to>
      <cdr:x>0.98689</cdr:x>
      <cdr:y>0.16361</cdr:y>
    </cdr:to>
    <cdr:sp macro="" textlink="">
      <cdr:nvSpPr>
        <cdr:cNvPr id="2" name="TextBox 3">
          <a:extLst xmlns:a="http://schemas.openxmlformats.org/drawingml/2006/main">
            <a:ext uri="{FF2B5EF4-FFF2-40B4-BE49-F238E27FC236}">
              <a16:creationId xmlns:a16="http://schemas.microsoft.com/office/drawing/2014/main" id="{F9700CE1-BA21-4567-B367-0E11C656009B}"/>
            </a:ext>
          </a:extLst>
        </cdr:cNvPr>
        <cdr:cNvSpPr txBox="1"/>
      </cdr:nvSpPr>
      <cdr:spPr>
        <a:xfrm xmlns:a="http://schemas.openxmlformats.org/drawingml/2006/main">
          <a:off x="3600450" y="180043"/>
          <a:ext cx="1231842" cy="26285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36000" rIns="3600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marL="0" marR="0" lvl="0" indent="0" defTabSz="914400" rtl="0" eaLnBrk="1" fontAlgn="auto" latinLnBrk="0" hangingPunct="1">
            <a:lnSpc>
              <a:spcPct val="100000"/>
            </a:lnSpc>
            <a:spcBef>
              <a:spcPts val="0"/>
            </a:spcBef>
            <a:spcAft>
              <a:spcPts val="0"/>
            </a:spcAft>
            <a:buClrTx/>
            <a:buSzTx/>
            <a:buFontTx/>
            <a:buNone/>
            <a:tabLst/>
            <a:defRPr/>
          </a:pPr>
          <a:r>
            <a:rPr lang="en-US" sz="700" b="0" i="0" u="none" strike="noStrike" kern="1200" baseline="0">
              <a:solidFill>
                <a:sysClr val="windowText" lastClr="000000"/>
              </a:solidFill>
              <a:latin typeface="+mj-lt"/>
              <a:ea typeface="+mn-ea"/>
              <a:cs typeface="+mn-cs"/>
            </a:rPr>
            <a:t>Average</a:t>
          </a:r>
          <a:r>
            <a:rPr lang="en-US" sz="700" b="0" i="0" baseline="0">
              <a:solidFill>
                <a:schemeClr val="dk1"/>
              </a:solidFill>
              <a:effectLst/>
              <a:latin typeface="+mj-lt"/>
              <a:ea typeface="+mn-ea"/>
              <a:cs typeface="+mn-cs"/>
            </a:rPr>
            <a:t> </a:t>
          </a:r>
          <a:r>
            <a:rPr lang="en-US" sz="700" b="0" i="0" u="none" strike="noStrike" kern="1200" baseline="0">
              <a:solidFill>
                <a:sysClr val="windowText" lastClr="000000"/>
              </a:solidFill>
              <a:latin typeface="+mj-lt"/>
              <a:ea typeface="+mn-ea"/>
              <a:cs typeface="+mn-cs"/>
            </a:rPr>
            <a:t>GII</a:t>
          </a:r>
          <a:r>
            <a:rPr lang="en-US" sz="700" b="0" i="0" baseline="0">
              <a:solidFill>
                <a:schemeClr val="dk1"/>
              </a:solidFill>
              <a:effectLst/>
              <a:latin typeface="+mj-lt"/>
              <a:ea typeface="+mn-ea"/>
              <a:cs typeface="+mn-cs"/>
            </a:rPr>
            <a:t> </a:t>
          </a:r>
          <a:r>
            <a:rPr lang="en-US" sz="700" b="0" i="0" u="none" strike="noStrike" kern="1200" baseline="0">
              <a:solidFill>
                <a:sysClr val="windowText" lastClr="000000"/>
              </a:solidFill>
              <a:latin typeface="+mj-lt"/>
              <a:ea typeface="+mn-ea"/>
              <a:cs typeface="+mn-cs"/>
            </a:rPr>
            <a:t>2023-24</a:t>
          </a:r>
          <a:r>
            <a:rPr lang="en-US" sz="700" b="0" i="0" baseline="0">
              <a:solidFill>
                <a:schemeClr val="dk1"/>
              </a:solidFill>
              <a:effectLst/>
              <a:latin typeface="+mj-lt"/>
              <a:ea typeface="+mn-ea"/>
              <a:cs typeface="+mn-cs"/>
            </a:rPr>
            <a:t> </a:t>
          </a:r>
          <a:r>
            <a:rPr lang="en-US" sz="700" b="0" i="0" u="none" strike="noStrike" kern="1200" baseline="0">
              <a:solidFill>
                <a:sysClr val="windowText" lastClr="000000"/>
              </a:solidFill>
              <a:latin typeface="+mj-lt"/>
              <a:ea typeface="+mn-ea"/>
              <a:cs typeface="+mn-cs"/>
            </a:rPr>
            <a:t>to</a:t>
          </a:r>
          <a:r>
            <a:rPr lang="en-US" sz="700" b="0" i="0" baseline="0">
              <a:solidFill>
                <a:schemeClr val="dk1"/>
              </a:solidFill>
              <a:effectLst/>
              <a:latin typeface="+mj-lt"/>
              <a:ea typeface="+mn-ea"/>
              <a:cs typeface="+mn-cs"/>
            </a:rPr>
            <a:t> </a:t>
          </a:r>
          <a:r>
            <a:rPr lang="en-US" sz="700" b="0" i="0" u="none" strike="noStrike" kern="1200" baseline="0">
              <a:solidFill>
                <a:sysClr val="windowText" lastClr="000000"/>
              </a:solidFill>
              <a:latin typeface="+mj-lt"/>
              <a:ea typeface="+mn-ea"/>
              <a:cs typeface="+mn-cs"/>
            </a:rPr>
            <a:t>2026-27</a:t>
          </a:r>
          <a:r>
            <a:rPr lang="en-US" sz="700" b="0" i="0" baseline="0">
              <a:solidFill>
                <a:schemeClr val="dk1"/>
              </a:solidFill>
              <a:effectLst/>
              <a:latin typeface="+mj-lt"/>
              <a:ea typeface="+mn-ea"/>
              <a:cs typeface="+mn-cs"/>
            </a:rPr>
            <a:t>  </a:t>
          </a:r>
        </a:p>
        <a:p xmlns:a="http://schemas.openxmlformats.org/drawingml/2006/main">
          <a:pPr marL="0" marR="0" lvl="0" indent="0" algn="ctr" defTabSz="914400" rtl="0" eaLnBrk="1" fontAlgn="auto" latinLnBrk="0" hangingPunct="1">
            <a:lnSpc>
              <a:spcPct val="100000"/>
            </a:lnSpc>
            <a:spcBef>
              <a:spcPts val="0"/>
            </a:spcBef>
            <a:spcAft>
              <a:spcPts val="0"/>
            </a:spcAft>
            <a:buClrTx/>
            <a:buSzTx/>
            <a:buFontTx/>
            <a:buNone/>
            <a:tabLst/>
            <a:defRPr/>
          </a:pPr>
          <a:r>
            <a:rPr lang="en-US" sz="700" b="0" i="0" baseline="0">
              <a:solidFill>
                <a:schemeClr val="dk1"/>
              </a:solidFill>
              <a:effectLst/>
              <a:latin typeface="+mj-lt"/>
              <a:ea typeface="+mn-ea"/>
              <a:cs typeface="+mn-cs"/>
            </a:rPr>
            <a:t>(</a:t>
          </a:r>
          <a:r>
            <a:rPr lang="en-US" sz="700" b="0" i="0" u="none" strike="noStrike" kern="1200" baseline="0">
              <a:solidFill>
                <a:sysClr val="windowText" lastClr="000000"/>
              </a:solidFill>
              <a:effectLst/>
              <a:latin typeface="+mj-lt"/>
              <a:ea typeface="+mn-ea"/>
              <a:cs typeface="+mn-cs"/>
            </a:rPr>
            <a:t>$19.6</a:t>
          </a:r>
          <a:r>
            <a:rPr lang="en-US" sz="700" b="0" i="0" baseline="0">
              <a:solidFill>
                <a:schemeClr val="dk1"/>
              </a:solidFill>
              <a:effectLst/>
              <a:latin typeface="+mj-lt"/>
              <a:ea typeface="+mn-ea"/>
              <a:cs typeface="+mn-cs"/>
            </a:rPr>
            <a:t> </a:t>
          </a:r>
          <a:r>
            <a:rPr lang="en-US" sz="700" b="0" i="0" u="none" strike="noStrike" kern="1200" baseline="0">
              <a:solidFill>
                <a:sysClr val="windowText" lastClr="000000"/>
              </a:solidFill>
              <a:latin typeface="+mj-lt"/>
              <a:ea typeface="+mn-ea"/>
              <a:cs typeface="+mn-cs"/>
            </a:rPr>
            <a:t>billion</a:t>
          </a:r>
          <a:r>
            <a:rPr lang="en-US" sz="700" b="0" i="0" baseline="0">
              <a:solidFill>
                <a:schemeClr val="dk1"/>
              </a:solidFill>
              <a:effectLst/>
              <a:latin typeface="+mj-lt"/>
              <a:ea typeface="+mn-ea"/>
              <a:cs typeface="+mn-cs"/>
            </a:rPr>
            <a:t>)</a:t>
          </a:r>
          <a:endParaRPr lang="en-AU" sz="700">
            <a:effectLst/>
            <a:latin typeface="+mj-l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TF Publication">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gs xmlns="08b2b80e-ca30-445c-b991-7aac04081d6d" xsi:nil="true"/>
    <TaxCatchAll xmlns="4b3cf339-5649-4e85-b971-433018f7e255" xsi:nil="true"/>
    <lcf76f155ced4ddcb4097134ff3c332f xmlns="08b2b80e-ca30-445c-b991-7aac04081d6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B15962E7BD444FACB202C72F2570D7" ma:contentTypeVersion="14" ma:contentTypeDescription="Create a new document." ma:contentTypeScope="" ma:versionID="5d7092be3b4e943797c849a2151b7949">
  <xsd:schema xmlns:xsd="http://www.w3.org/2001/XMLSchema" xmlns:xs="http://www.w3.org/2001/XMLSchema" xmlns:p="http://schemas.microsoft.com/office/2006/metadata/properties" xmlns:ns2="08b2b80e-ca30-445c-b991-7aac04081d6d" xmlns:ns3="4b3cf339-5649-4e85-b971-433018f7e255" targetNamespace="http://schemas.microsoft.com/office/2006/metadata/properties" ma:root="true" ma:fieldsID="df5f92059b310186cf16e76a3313a642" ns2:_="" ns3:_="">
    <xsd:import namespace="08b2b80e-ca30-445c-b991-7aac04081d6d"/>
    <xsd:import namespace="4b3cf339-5649-4e85-b971-433018f7e2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2b80e-ca30-445c-b991-7aac04081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Tags" ma:index="20" nillable="true" ma:displayName="Tags" ma:description="Search image type"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Women"/>
                        <xsd:enumeration value="Rural"/>
                        <xsd:enumeration value="Jobs"/>
                        <xsd:enumeration value="Transport"/>
                        <xsd:enumeration value="Education"/>
                        <xsd:enumeration value="Technology"/>
                        <xsd:enumeration value="Energy"/>
                        <xsd:enumeration value="Health"/>
                        <xsd:enumeration value="Emergency Services"/>
                        <xsd:enumeration value="Families"/>
                        <xsd:enumeration value="Community"/>
                        <xsd:enumeration value="Environment"/>
                        <xsd:enumeration value="Arts"/>
                        <xsd:enumeration value="First Nations"/>
                        <xsd:enumeration value="Sport"/>
                        <xsd:enumeration value="Construction"/>
                        <xsd:enumeration value="Mental Health"/>
                        <xsd:enumeration value="Agriculture"/>
                        <xsd:enumeration value="Seniors"/>
                        <xsd:enumeration value="Cover Option"/>
                        <xsd:enumeration value="Kids"/>
                        <xsd:enumeration value="Metropolitan"/>
                        <xsd:enumeration value="Multicultural"/>
                        <xsd:enumeration value="Housing"/>
                      </xsd:restriction>
                    </xsd:simpleType>
                  </xsd:union>
                </xsd:simpleType>
              </xsd:element>
            </xsd:sequence>
          </xsd:extension>
        </xsd:complexContent>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cf339-5649-4e85-b971-433018f7e2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4bd46fd-53f4-4463-9e5b-8d5ea624e772}" ma:internalName="TaxCatchAll" ma:showField="CatchAllData" ma:web="4b3cf339-5649-4e85-b971-433018f7e2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1B7C83C-FF64-44CA-90C4-359A4F2784A4}">
  <ds:schemaRefs>
    <ds:schemaRef ds:uri="http://schemas.openxmlformats.org/officeDocument/2006/bibliography"/>
  </ds:schemaRefs>
</ds:datastoreItem>
</file>

<file path=customXml/itemProps2.xml><?xml version="1.0" encoding="utf-8"?>
<ds:datastoreItem xmlns:ds="http://schemas.openxmlformats.org/officeDocument/2006/customXml" ds:itemID="{F5762D3D-6729-403C-A751-B727806548D3}">
  <ds:schemaRefs>
    <ds:schemaRef ds:uri="http://purl.org/dc/terms/"/>
    <ds:schemaRef ds:uri="http://schemas.openxmlformats.org/package/2006/metadata/core-properties"/>
    <ds:schemaRef ds:uri="08b2b80e-ca30-445c-b991-7aac04081d6d"/>
    <ds:schemaRef ds:uri="http://schemas.microsoft.com/office/2006/documentManagement/types"/>
    <ds:schemaRef ds:uri="http://schemas.microsoft.com/office/infopath/2007/PartnerControls"/>
    <ds:schemaRef ds:uri="http://purl.org/dc/elements/1.1/"/>
    <ds:schemaRef ds:uri="http://schemas.microsoft.com/office/2006/metadata/properties"/>
    <ds:schemaRef ds:uri="4b3cf339-5649-4e85-b971-433018f7e255"/>
    <ds:schemaRef ds:uri="http://www.w3.org/XML/1998/namespace"/>
    <ds:schemaRef ds:uri="http://purl.org/dc/dcmitype/"/>
  </ds:schemaRefs>
</ds:datastoreItem>
</file>

<file path=customXml/itemProps3.xml><?xml version="1.0" encoding="utf-8"?>
<ds:datastoreItem xmlns:ds="http://schemas.openxmlformats.org/officeDocument/2006/customXml" ds:itemID="{24BD07AD-5CBF-4480-A106-9C32F7B795F7}">
  <ds:schemaRefs>
    <ds:schemaRef ds:uri="http://schemas.microsoft.com/sharepoint/v3/contenttype/forms"/>
  </ds:schemaRefs>
</ds:datastoreItem>
</file>

<file path=customXml/itemProps4.xml><?xml version="1.0" encoding="utf-8"?>
<ds:datastoreItem xmlns:ds="http://schemas.openxmlformats.org/officeDocument/2006/customXml" ds:itemID="{67259807-0960-4FB4-95F3-822241F9E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2b80e-ca30-445c-b991-7aac04081d6d"/>
    <ds:schemaRef ds:uri="4b3cf339-5649-4e85-b971-433018f7e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AEE1D3-B217-46D2-B114-610145E4F1B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30491</Words>
  <Characters>173804</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Strategy and Outlook</dc:title>
  <dc:subject/>
  <dc:creator/>
  <cp:keywords/>
  <dc:description/>
  <cp:lastModifiedBy/>
  <cp:revision>1</cp:revision>
  <dcterms:created xsi:type="dcterms:W3CDTF">2023-05-21T04:09:00Z</dcterms:created>
  <dcterms:modified xsi:type="dcterms:W3CDTF">2023-05-21T04:24:00Z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4ee517-5ca4-4fff-98d2-ed4f906edd6d_Enabled">
    <vt:lpwstr>true</vt:lpwstr>
  </property>
  <property fmtid="{D5CDD505-2E9C-101B-9397-08002B2CF9AE}" pid="3" name="MSIP_Label_bb4ee517-5ca4-4fff-98d2-ed4f906edd6d_SetDate">
    <vt:lpwstr>2023-05-21T04:10:10Z</vt:lpwstr>
  </property>
  <property fmtid="{D5CDD505-2E9C-101B-9397-08002B2CF9AE}" pid="4" name="MSIP_Label_bb4ee517-5ca4-4fff-98d2-ed4f906edd6d_Method">
    <vt:lpwstr>Privileged</vt:lpwstr>
  </property>
  <property fmtid="{D5CDD505-2E9C-101B-9397-08002B2CF9AE}" pid="5" name="MSIP_Label_bb4ee517-5ca4-4fff-98d2-ed4f906edd6d_Name">
    <vt:lpwstr>bb4ee517-5ca4-4fff-98d2-ed4f906edd6d</vt:lpwstr>
  </property>
  <property fmtid="{D5CDD505-2E9C-101B-9397-08002B2CF9AE}" pid="6" name="MSIP_Label_bb4ee517-5ca4-4fff-98d2-ed4f906edd6d_SiteId">
    <vt:lpwstr>722ea0be-3e1c-4b11-ad6f-9401d6856e24</vt:lpwstr>
  </property>
  <property fmtid="{D5CDD505-2E9C-101B-9397-08002B2CF9AE}" pid="7" name="MSIP_Label_bb4ee517-5ca4-4fff-98d2-ed4f906edd6d_ActionId">
    <vt:lpwstr>853544df-3f02-4aaa-9382-5c3113854d5e</vt:lpwstr>
  </property>
  <property fmtid="{D5CDD505-2E9C-101B-9397-08002B2CF9AE}" pid="8" name="MSIP_Label_bb4ee517-5ca4-4fff-98d2-ed4f906edd6d_ContentBits">
    <vt:lpwstr>0</vt:lpwstr>
  </property>
  <property fmtid="{D5CDD505-2E9C-101B-9397-08002B2CF9AE}" pid="9" name="ContentTypeId">
    <vt:lpwstr>0x01010061B15962E7BD444FACB202C72F2570D7</vt:lpwstr>
  </property>
  <property fmtid="{D5CDD505-2E9C-101B-9397-08002B2CF9AE}" pid="10" name="MediaServiceImageTags">
    <vt:lpwstr/>
  </property>
</Properties>
</file>