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522"/>
        <w:gridCol w:w="4014"/>
        <w:gridCol w:w="1045"/>
        <w:gridCol w:w="5059"/>
      </w:tblGrid>
      <w:tr w:rsidR="006F29E2" w14:paraId="1FBE4E64" w14:textId="77777777" w:rsidTr="00BA481B">
        <w:trPr>
          <w:trHeight w:val="207"/>
        </w:trPr>
        <w:tc>
          <w:tcPr>
            <w:tcW w:w="5058" w:type="dxa"/>
            <w:gridSpan w:val="2"/>
            <w:tcBorders>
              <w:top w:val="nil"/>
              <w:bottom w:val="single" w:sz="2" w:space="0" w:color="006838" w:themeColor="accent1"/>
            </w:tcBorders>
            <w:tcMar>
              <w:top w:w="80" w:type="dxa"/>
              <w:left w:w="80" w:type="dxa"/>
              <w:bottom w:w="80" w:type="dxa"/>
              <w:right w:w="80" w:type="dxa"/>
            </w:tcMar>
          </w:tcPr>
          <w:p w14:paraId="0AD9A7B4" w14:textId="77777777" w:rsidR="006F29E2" w:rsidRPr="00D457D9" w:rsidRDefault="006F29E2" w:rsidP="0079191E">
            <w:pPr>
              <w:pStyle w:val="TableHeader"/>
              <w:ind w:left="1440"/>
            </w:pPr>
            <w:r w:rsidRPr="00D457D9">
              <w:rPr>
                <w:rStyle w:val="tabletitles"/>
                <w:rFonts w:asciiTheme="minorHAnsi" w:hAnsiTheme="minorHAnsi" w:cstheme="majorHAnsi"/>
                <w:b/>
                <w:bCs w:val="0"/>
                <w:caps/>
                <w:color w:val="006838" w:themeColor="accent1"/>
              </w:rPr>
              <w:t>PRESENCE TEST</w:t>
            </w:r>
          </w:p>
        </w:tc>
        <w:tc>
          <w:tcPr>
            <w:tcW w:w="5059" w:type="dxa"/>
            <w:gridSpan w:val="2"/>
            <w:tcBorders>
              <w:top w:val="nil"/>
              <w:bottom w:val="single" w:sz="2" w:space="0" w:color="006838" w:themeColor="accent1"/>
            </w:tcBorders>
            <w:tcMar>
              <w:top w:w="80" w:type="dxa"/>
              <w:left w:w="80" w:type="dxa"/>
              <w:bottom w:w="80" w:type="dxa"/>
              <w:right w:w="80" w:type="dxa"/>
            </w:tcMar>
          </w:tcPr>
          <w:p w14:paraId="5B03656D"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FURTHER INSTRUCTION</w:t>
            </w:r>
          </w:p>
        </w:tc>
        <w:tc>
          <w:tcPr>
            <w:tcW w:w="5059" w:type="dxa"/>
            <w:tcBorders>
              <w:top w:val="nil"/>
              <w:bottom w:val="single" w:sz="2" w:space="0" w:color="006838" w:themeColor="accent1"/>
            </w:tcBorders>
            <w:tcMar>
              <w:top w:w="80" w:type="dxa"/>
              <w:left w:w="80" w:type="dxa"/>
              <w:bottom w:w="80" w:type="dxa"/>
              <w:right w:w="80" w:type="dxa"/>
            </w:tcMar>
          </w:tcPr>
          <w:p w14:paraId="2C56F9EA" w14:textId="4A37FED7" w:rsidR="006F29E2" w:rsidRPr="00D457D9" w:rsidRDefault="008C7786" w:rsidP="00D457D9">
            <w:pPr>
              <w:pStyle w:val="TableHeader"/>
            </w:pPr>
            <w:r>
              <w:rPr>
                <w:rStyle w:val="tabletitles"/>
                <w:rFonts w:asciiTheme="minorHAnsi" w:hAnsiTheme="minorHAnsi" w:cstheme="majorHAnsi"/>
                <w:b/>
                <w:bCs w:val="0"/>
                <w:caps/>
                <w:color w:val="006838" w:themeColor="accent1"/>
              </w:rPr>
              <w:t xml:space="preserve"> </w:t>
            </w:r>
          </w:p>
        </w:tc>
      </w:tr>
      <w:tr w:rsidR="006F29E2" w14:paraId="5A8CD8E1" w14:textId="77777777" w:rsidTr="00BA481B">
        <w:trPr>
          <w:trHeight w:val="653"/>
        </w:trPr>
        <w:tc>
          <w:tcPr>
            <w:tcW w:w="5058" w:type="dxa"/>
            <w:gridSpan w:val="2"/>
            <w:tcBorders>
              <w:top w:val="single" w:sz="2" w:space="0" w:color="006838" w:themeColor="accent1"/>
              <w:bottom w:val="nil"/>
            </w:tcBorders>
            <w:tcMar>
              <w:top w:w="80" w:type="dxa"/>
              <w:left w:w="80" w:type="dxa"/>
              <w:bottom w:w="80" w:type="dxa"/>
              <w:right w:w="80" w:type="dxa"/>
            </w:tcMar>
          </w:tcPr>
          <w:p w14:paraId="62D217A3" w14:textId="4D4A5B73" w:rsidR="006F29E2" w:rsidRDefault="004F569A" w:rsidP="006F29E2">
            <w:pPr>
              <w:pStyle w:val="GreenText"/>
            </w:pPr>
            <w:r w:rsidRPr="004F569A">
              <w:t>Does the lease encourage, facilitate or require the parties to upgrade the building or premises to improve the efficiency or environmental performance of the building during the term?</w:t>
            </w:r>
          </w:p>
        </w:tc>
        <w:tc>
          <w:tcPr>
            <w:tcW w:w="5059" w:type="dxa"/>
            <w:gridSpan w:val="2"/>
            <w:tcBorders>
              <w:top w:val="single" w:sz="2" w:space="0" w:color="006838" w:themeColor="accent1"/>
              <w:bottom w:val="nil"/>
            </w:tcBorders>
            <w:tcMar>
              <w:top w:w="80" w:type="dxa"/>
              <w:left w:w="80" w:type="dxa"/>
              <w:bottom w:w="80" w:type="dxa"/>
              <w:right w:w="80" w:type="dxa"/>
            </w:tcMar>
          </w:tcPr>
          <w:p w14:paraId="4EE28B57" w14:textId="77777777" w:rsidR="004F569A" w:rsidRDefault="004F569A" w:rsidP="004F569A">
            <w:pPr>
              <w:pStyle w:val="GreenText"/>
            </w:pPr>
            <w:r>
              <w:t>Clauses could relate to:</w:t>
            </w:r>
          </w:p>
          <w:p w14:paraId="640859E7" w14:textId="77777777" w:rsidR="004F569A" w:rsidRDefault="004F569A" w:rsidP="004F569A">
            <w:pPr>
              <w:pStyle w:val="GreenBullets"/>
            </w:pPr>
            <w:r>
              <w:t>cooperation between the parties to facilitate the carrying out of works designed to improve the efficiency or environmental sustainability of the building</w:t>
            </w:r>
          </w:p>
          <w:p w14:paraId="2F6DCFD5" w14:textId="77777777" w:rsidR="004F569A" w:rsidRDefault="004F569A" w:rsidP="004F569A">
            <w:pPr>
              <w:pStyle w:val="GreenBullets"/>
            </w:pPr>
            <w:r>
              <w:t>the design of any works so as not to interfere with the building’s performance (such as for NABERS or Green Star)</w:t>
            </w:r>
          </w:p>
          <w:p w14:paraId="22CADAD9" w14:textId="77777777" w:rsidR="004F569A" w:rsidRDefault="004F569A" w:rsidP="004F569A">
            <w:pPr>
              <w:pStyle w:val="GreenBullets"/>
            </w:pPr>
            <w:r>
              <w:t>works being built from recycled materials</w:t>
            </w:r>
          </w:p>
          <w:p w14:paraId="5B3A80B6" w14:textId="77777777" w:rsidR="004F569A" w:rsidRDefault="004F569A" w:rsidP="004F569A">
            <w:pPr>
              <w:pStyle w:val="GreenBullets"/>
            </w:pPr>
            <w:r>
              <w:t xml:space="preserve">the </w:t>
            </w:r>
            <w:proofErr w:type="spellStart"/>
            <w:r>
              <w:t>minimisation</w:t>
            </w:r>
            <w:proofErr w:type="spellEnd"/>
            <w:r>
              <w:t xml:space="preserve"> of waste from works</w:t>
            </w:r>
          </w:p>
          <w:p w14:paraId="30E1A2BB" w14:textId="6E68A3B3" w:rsidR="006F29E2" w:rsidRDefault="004F569A" w:rsidP="004F569A">
            <w:pPr>
              <w:pStyle w:val="GreenBullets"/>
            </w:pPr>
            <w:r>
              <w:t>if a party caries out works to improve the efficiency or environmental sustainability of the building it will not constitute an interference with quiet enjoyment</w:t>
            </w:r>
          </w:p>
        </w:tc>
        <w:tc>
          <w:tcPr>
            <w:tcW w:w="5059" w:type="dxa"/>
            <w:tcBorders>
              <w:top w:val="single" w:sz="2" w:space="0" w:color="006838" w:themeColor="accent1"/>
              <w:bottom w:val="nil"/>
            </w:tcBorders>
            <w:tcMar>
              <w:top w:w="80" w:type="dxa"/>
              <w:left w:w="80" w:type="dxa"/>
              <w:bottom w:w="80" w:type="dxa"/>
              <w:right w:w="80" w:type="dxa"/>
            </w:tcMar>
          </w:tcPr>
          <w:p w14:paraId="5B2CA398" w14:textId="77777777" w:rsidR="006F29E2" w:rsidRDefault="006F29E2" w:rsidP="006F29E2">
            <w:pPr>
              <w:pStyle w:val="GreenText"/>
              <w:rPr>
                <w:color w:val="auto"/>
                <w:lang w:val="en-AU"/>
              </w:rPr>
            </w:pPr>
          </w:p>
        </w:tc>
      </w:tr>
      <w:tr w:rsidR="006F29E2" w14:paraId="7287FD00" w14:textId="77777777" w:rsidTr="004F569A">
        <w:trPr>
          <w:trHeight w:val="51"/>
        </w:trPr>
        <w:tc>
          <w:tcPr>
            <w:tcW w:w="5058" w:type="dxa"/>
            <w:gridSpan w:val="2"/>
            <w:tcBorders>
              <w:top w:val="nil"/>
              <w:bottom w:val="single" w:sz="4" w:space="0" w:color="006838" w:themeColor="accent1"/>
            </w:tcBorders>
            <w:tcMar>
              <w:top w:w="80" w:type="dxa"/>
              <w:left w:w="80" w:type="dxa"/>
              <w:bottom w:w="80" w:type="dxa"/>
              <w:right w:w="80" w:type="dxa"/>
            </w:tcMar>
          </w:tcPr>
          <w:p w14:paraId="686927B2" w14:textId="77777777" w:rsidR="006F29E2" w:rsidRPr="00D457D9" w:rsidRDefault="006F29E2" w:rsidP="00D457D9">
            <w:pPr>
              <w:pStyle w:val="TableHeader"/>
            </w:pPr>
            <w:r w:rsidRPr="00D457D9">
              <w:rPr>
                <w:rStyle w:val="tabletitles"/>
                <w:rFonts w:asciiTheme="minorHAnsi" w:hAnsiTheme="minorHAnsi" w:cstheme="majorHAnsi"/>
                <w:b/>
                <w:bCs w:val="0"/>
                <w:caps/>
                <w:color w:val="006838" w:themeColor="accent1"/>
              </w:rPr>
              <w:t>OVERVIEW</w:t>
            </w:r>
          </w:p>
        </w:tc>
        <w:tc>
          <w:tcPr>
            <w:tcW w:w="5059" w:type="dxa"/>
            <w:gridSpan w:val="2"/>
            <w:tcBorders>
              <w:top w:val="nil"/>
              <w:bottom w:val="single" w:sz="4" w:space="0" w:color="006838" w:themeColor="accent1"/>
            </w:tcBorders>
            <w:tcMar>
              <w:top w:w="80" w:type="dxa"/>
              <w:left w:w="80" w:type="dxa"/>
              <w:bottom w:w="80" w:type="dxa"/>
              <w:right w:w="80" w:type="dxa"/>
            </w:tcMar>
          </w:tcPr>
          <w:p w14:paraId="2524D073" w14:textId="2CE7DA21" w:rsidR="006F29E2" w:rsidRPr="00D457D9" w:rsidRDefault="006F29E2" w:rsidP="00D457D9">
            <w:pPr>
              <w:pStyle w:val="TableHeader"/>
            </w:pPr>
          </w:p>
        </w:tc>
        <w:tc>
          <w:tcPr>
            <w:tcW w:w="5059" w:type="dxa"/>
            <w:tcBorders>
              <w:top w:val="nil"/>
              <w:bottom w:val="single" w:sz="4" w:space="0" w:color="006838" w:themeColor="accent1"/>
            </w:tcBorders>
            <w:tcMar>
              <w:top w:w="80" w:type="dxa"/>
              <w:left w:w="80" w:type="dxa"/>
              <w:bottom w:w="80" w:type="dxa"/>
              <w:right w:w="80" w:type="dxa"/>
            </w:tcMar>
          </w:tcPr>
          <w:p w14:paraId="105D9E20" w14:textId="466BB411" w:rsidR="006F29E2" w:rsidRPr="00D457D9" w:rsidRDefault="006F29E2" w:rsidP="00D457D9">
            <w:pPr>
              <w:pStyle w:val="TableHeader"/>
            </w:pPr>
          </w:p>
        </w:tc>
      </w:tr>
      <w:tr w:rsidR="006F29E2" w14:paraId="1F669787" w14:textId="77777777" w:rsidTr="004F569A">
        <w:trPr>
          <w:trHeight w:val="1085"/>
        </w:trPr>
        <w:tc>
          <w:tcPr>
            <w:tcW w:w="5058" w:type="dxa"/>
            <w:gridSpan w:val="2"/>
            <w:tcBorders>
              <w:top w:val="single" w:sz="4" w:space="0" w:color="006838" w:themeColor="accent1"/>
              <w:bottom w:val="nil"/>
            </w:tcBorders>
            <w:tcMar>
              <w:top w:w="80" w:type="dxa"/>
              <w:left w:w="80" w:type="dxa"/>
              <w:bottom w:w="80" w:type="dxa"/>
              <w:right w:w="80" w:type="dxa"/>
            </w:tcMar>
          </w:tcPr>
          <w:p w14:paraId="6601DEDC" w14:textId="3E7765E5" w:rsidR="006F29E2" w:rsidRDefault="004F569A" w:rsidP="006F29E2">
            <w:pPr>
              <w:pStyle w:val="GreenText"/>
            </w:pPr>
            <w:r w:rsidRPr="004F569A">
              <w:t xml:space="preserve">Outgoings clauses typically exclude the passing on of costs for capital upgrades to tenants. This clause enables a landlord to enter into an Environmental Upgrade Agreement (EUA) and pass costs on to tenants under the </w:t>
            </w:r>
            <w:proofErr w:type="spellStart"/>
            <w:r w:rsidRPr="004F569A">
              <w:t>machanisims</w:t>
            </w:r>
            <w:proofErr w:type="spellEnd"/>
            <w:r w:rsidRPr="004F569A">
              <w:t xml:space="preserve"> in the EUA if the capital upgrade outweighs the upfront cost.</w:t>
            </w:r>
          </w:p>
        </w:tc>
        <w:tc>
          <w:tcPr>
            <w:tcW w:w="5059" w:type="dxa"/>
            <w:gridSpan w:val="2"/>
            <w:tcBorders>
              <w:top w:val="single" w:sz="4" w:space="0" w:color="006838" w:themeColor="accent1"/>
              <w:bottom w:val="nil"/>
            </w:tcBorders>
            <w:tcMar>
              <w:top w:w="80" w:type="dxa"/>
              <w:left w:w="80" w:type="dxa"/>
              <w:bottom w:w="80" w:type="dxa"/>
              <w:right w:w="80" w:type="dxa"/>
            </w:tcMar>
          </w:tcPr>
          <w:p w14:paraId="70CF937B" w14:textId="7E44235D" w:rsidR="006F29E2" w:rsidRDefault="006F29E2" w:rsidP="006F29E2">
            <w:pPr>
              <w:pStyle w:val="GreenText"/>
            </w:pPr>
          </w:p>
        </w:tc>
        <w:tc>
          <w:tcPr>
            <w:tcW w:w="5059" w:type="dxa"/>
            <w:tcBorders>
              <w:top w:val="single" w:sz="4" w:space="0" w:color="006838" w:themeColor="accent1"/>
              <w:bottom w:val="nil"/>
            </w:tcBorders>
            <w:tcMar>
              <w:top w:w="80" w:type="dxa"/>
              <w:left w:w="80" w:type="dxa"/>
              <w:bottom w:w="80" w:type="dxa"/>
              <w:right w:w="80" w:type="dxa"/>
            </w:tcMar>
          </w:tcPr>
          <w:p w14:paraId="6659D5A9" w14:textId="49E8AD10" w:rsidR="006F29E2" w:rsidRDefault="006F29E2" w:rsidP="006F29E2">
            <w:pPr>
              <w:pStyle w:val="GreenText"/>
            </w:pPr>
          </w:p>
        </w:tc>
      </w:tr>
      <w:tr w:rsidR="004F569A" w:rsidRPr="00D457D9" w14:paraId="0AB033CF" w14:textId="77777777" w:rsidTr="004F569A">
        <w:trPr>
          <w:trHeight w:val="15"/>
        </w:trPr>
        <w:tc>
          <w:tcPr>
            <w:tcW w:w="4536" w:type="dxa"/>
            <w:tcBorders>
              <w:top w:val="nil"/>
              <w:bottom w:val="single" w:sz="4" w:space="0" w:color="006838" w:themeColor="accent1"/>
            </w:tcBorders>
            <w:tcMar>
              <w:top w:w="80" w:type="dxa"/>
              <w:left w:w="80" w:type="dxa"/>
              <w:bottom w:w="80" w:type="dxa"/>
              <w:right w:w="80" w:type="dxa"/>
            </w:tcMar>
          </w:tcPr>
          <w:p w14:paraId="1ABD69AF" w14:textId="63871A1D" w:rsidR="004F569A" w:rsidRPr="00D457D9" w:rsidRDefault="004F569A" w:rsidP="00B93BD8">
            <w:pPr>
              <w:pStyle w:val="TableHeader"/>
              <w:rPr>
                <w:rStyle w:val="tabletitles"/>
                <w:rFonts w:asciiTheme="minorHAnsi" w:hAnsiTheme="minorHAnsi" w:cstheme="majorHAnsi"/>
                <w:b/>
                <w:bCs w:val="0"/>
                <w:caps/>
                <w:color w:val="006838" w:themeColor="accent1"/>
              </w:rPr>
            </w:pPr>
            <w:r>
              <w:rPr>
                <w:rStyle w:val="tabletitles"/>
                <w:rFonts w:asciiTheme="minorHAnsi" w:hAnsiTheme="minorHAnsi" w:cstheme="majorHAnsi"/>
                <w:b/>
                <w:bCs w:val="0"/>
                <w:caps/>
                <w:color w:val="006838" w:themeColor="accent1"/>
              </w:rPr>
              <w:t xml:space="preserve">DEFINITIONS </w:t>
            </w:r>
          </w:p>
        </w:tc>
        <w:tc>
          <w:tcPr>
            <w:tcW w:w="4536" w:type="dxa"/>
            <w:gridSpan w:val="2"/>
            <w:tcBorders>
              <w:top w:val="nil"/>
              <w:bottom w:val="single" w:sz="4" w:space="0" w:color="006838" w:themeColor="accent1"/>
            </w:tcBorders>
            <w:tcMar>
              <w:top w:w="80" w:type="dxa"/>
              <w:left w:w="80" w:type="dxa"/>
              <w:bottom w:w="80" w:type="dxa"/>
              <w:right w:w="80" w:type="dxa"/>
            </w:tcMar>
          </w:tcPr>
          <w:p w14:paraId="6F8C1917" w14:textId="77777777" w:rsidR="004F569A" w:rsidRPr="00D457D9" w:rsidRDefault="004F569A" w:rsidP="00B93BD8">
            <w:pPr>
              <w:pStyle w:val="TableHeader"/>
            </w:pPr>
          </w:p>
        </w:tc>
        <w:tc>
          <w:tcPr>
            <w:tcW w:w="6104" w:type="dxa"/>
            <w:gridSpan w:val="2"/>
            <w:tcBorders>
              <w:top w:val="nil"/>
              <w:bottom w:val="single" w:sz="4" w:space="0" w:color="006838" w:themeColor="accent1"/>
            </w:tcBorders>
            <w:tcMar>
              <w:top w:w="80" w:type="dxa"/>
              <w:left w:w="80" w:type="dxa"/>
              <w:bottom w:w="80" w:type="dxa"/>
              <w:right w:w="80" w:type="dxa"/>
            </w:tcMar>
          </w:tcPr>
          <w:p w14:paraId="6CAB823C" w14:textId="77777777" w:rsidR="004F569A" w:rsidRPr="00D457D9" w:rsidRDefault="004F569A" w:rsidP="00B93BD8">
            <w:pPr>
              <w:pStyle w:val="TableHeader"/>
            </w:pPr>
          </w:p>
        </w:tc>
      </w:tr>
      <w:tr w:rsidR="004F569A" w14:paraId="6F521949" w14:textId="77777777" w:rsidTr="004F569A">
        <w:trPr>
          <w:trHeight w:val="671"/>
        </w:trPr>
        <w:tc>
          <w:tcPr>
            <w:tcW w:w="5058" w:type="dxa"/>
            <w:gridSpan w:val="2"/>
            <w:tcBorders>
              <w:top w:val="single" w:sz="4" w:space="0" w:color="006838" w:themeColor="accent1"/>
              <w:bottom w:val="nil"/>
            </w:tcBorders>
            <w:tcMar>
              <w:top w:w="80" w:type="dxa"/>
              <w:left w:w="80" w:type="dxa"/>
              <w:bottom w:w="80" w:type="dxa"/>
              <w:right w:w="80" w:type="dxa"/>
            </w:tcMar>
          </w:tcPr>
          <w:p w14:paraId="544B8967" w14:textId="6C8D9690" w:rsidR="004F569A" w:rsidRPr="004F569A" w:rsidRDefault="004F569A" w:rsidP="004F569A">
            <w:pPr>
              <w:suppressAutoHyphens/>
              <w:autoSpaceDE w:val="0"/>
              <w:autoSpaceDN w:val="0"/>
              <w:adjustRightInd w:val="0"/>
              <w:spacing w:before="113" w:after="0" w:line="180" w:lineRule="atLeast"/>
              <w:textAlignment w:val="center"/>
              <w:rPr>
                <w:rFonts w:ascii="Gotham Narrow Light" w:hAnsi="Gotham Narrow Light" w:cs="Gotham Narrow Light"/>
                <w:color w:val="000000"/>
                <w:spacing w:val="-2"/>
                <w:sz w:val="16"/>
                <w:szCs w:val="16"/>
              </w:rPr>
            </w:pPr>
            <w:r w:rsidRPr="004F569A">
              <w:rPr>
                <w:rFonts w:ascii="Gotham Narrow Light" w:hAnsi="Gotham Narrow Light" w:cs="Gotham Narrow Light"/>
                <w:color w:val="000000"/>
                <w:spacing w:val="-2"/>
                <w:sz w:val="16"/>
                <w:szCs w:val="16"/>
              </w:rPr>
              <w:t>Environmental Upgrade Agreement means an agreement in accordance with the Local Government Amendment (Environmental Upgrade Agreements) Act 2010 (NSW).</w:t>
            </w:r>
          </w:p>
        </w:tc>
        <w:tc>
          <w:tcPr>
            <w:tcW w:w="5059" w:type="dxa"/>
            <w:gridSpan w:val="2"/>
            <w:tcBorders>
              <w:top w:val="single" w:sz="4" w:space="0" w:color="006838" w:themeColor="accent1"/>
              <w:bottom w:val="nil"/>
            </w:tcBorders>
            <w:tcMar>
              <w:top w:w="80" w:type="dxa"/>
              <w:left w:w="80" w:type="dxa"/>
              <w:bottom w:w="80" w:type="dxa"/>
              <w:right w:w="80" w:type="dxa"/>
            </w:tcMar>
          </w:tcPr>
          <w:p w14:paraId="70E30B1B" w14:textId="77777777" w:rsidR="004F569A" w:rsidRDefault="004F569A" w:rsidP="006F29E2">
            <w:pPr>
              <w:pStyle w:val="GreenText"/>
            </w:pPr>
          </w:p>
        </w:tc>
        <w:tc>
          <w:tcPr>
            <w:tcW w:w="5059" w:type="dxa"/>
            <w:tcBorders>
              <w:top w:val="single" w:sz="4" w:space="0" w:color="006838" w:themeColor="accent1"/>
              <w:bottom w:val="nil"/>
            </w:tcBorders>
            <w:tcMar>
              <w:top w:w="80" w:type="dxa"/>
              <w:left w:w="80" w:type="dxa"/>
              <w:bottom w:w="80" w:type="dxa"/>
              <w:right w:w="80" w:type="dxa"/>
            </w:tcMar>
          </w:tcPr>
          <w:p w14:paraId="512E1114" w14:textId="77777777" w:rsidR="004F569A" w:rsidRDefault="004F569A" w:rsidP="006F29E2">
            <w:pPr>
              <w:pStyle w:val="GreenText"/>
            </w:pPr>
          </w:p>
        </w:tc>
      </w:tr>
    </w:tbl>
    <w:p w14:paraId="312BF458" w14:textId="77777777" w:rsidR="0040274D" w:rsidRDefault="0040274D">
      <w:r>
        <w:rPr>
          <w:b/>
          <w:caps/>
        </w:rPr>
        <w:br w:type="page"/>
      </w:r>
    </w:p>
    <w:tbl>
      <w:tblPr>
        <w:tblW w:w="15176"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4536"/>
        <w:gridCol w:w="4536"/>
        <w:gridCol w:w="6104"/>
      </w:tblGrid>
      <w:tr w:rsidR="006F29E2" w:rsidRPr="00D457D9" w14:paraId="39682717" w14:textId="77777777" w:rsidTr="004F569A">
        <w:trPr>
          <w:trHeight w:val="215"/>
        </w:trPr>
        <w:tc>
          <w:tcPr>
            <w:tcW w:w="4536" w:type="dxa"/>
            <w:tcBorders>
              <w:top w:val="nil"/>
              <w:bottom w:val="single" w:sz="4" w:space="0" w:color="006838" w:themeColor="accent1"/>
            </w:tcBorders>
            <w:tcMar>
              <w:top w:w="80" w:type="dxa"/>
              <w:left w:w="80" w:type="dxa"/>
              <w:bottom w:w="80" w:type="dxa"/>
              <w:right w:w="80" w:type="dxa"/>
            </w:tcMar>
          </w:tcPr>
          <w:p w14:paraId="3A121AF3" w14:textId="1A2C50FF" w:rsidR="006F29E2" w:rsidRPr="00D457D9" w:rsidRDefault="006F29E2" w:rsidP="00D457D9">
            <w:pPr>
              <w:pStyle w:val="TableHeader"/>
              <w:rPr>
                <w:rStyle w:val="tabletitles"/>
                <w:rFonts w:asciiTheme="minorHAnsi" w:hAnsiTheme="minorHAnsi" w:cstheme="majorHAnsi"/>
                <w:b/>
                <w:bCs w:val="0"/>
                <w:caps/>
                <w:color w:val="006838" w:themeColor="accent1"/>
              </w:rPr>
            </w:pPr>
            <w:r w:rsidRPr="00D457D9">
              <w:rPr>
                <w:rStyle w:val="tabletitles"/>
                <w:rFonts w:asciiTheme="minorHAnsi" w:hAnsiTheme="minorHAnsi" w:cstheme="majorHAnsi"/>
                <w:b/>
                <w:bCs w:val="0"/>
                <w:caps/>
                <w:color w:val="006838" w:themeColor="accent1"/>
              </w:rPr>
              <w:lastRenderedPageBreak/>
              <w:t>SAMPLE CLAUSES</w:t>
            </w:r>
          </w:p>
        </w:tc>
        <w:tc>
          <w:tcPr>
            <w:tcW w:w="4536" w:type="dxa"/>
            <w:tcBorders>
              <w:top w:val="nil"/>
              <w:bottom w:val="single" w:sz="4" w:space="0" w:color="006838" w:themeColor="accent1"/>
            </w:tcBorders>
            <w:tcMar>
              <w:top w:w="80" w:type="dxa"/>
              <w:left w:w="80" w:type="dxa"/>
              <w:bottom w:w="80" w:type="dxa"/>
              <w:right w:w="80" w:type="dxa"/>
            </w:tcMar>
          </w:tcPr>
          <w:p w14:paraId="63A0BF41" w14:textId="77777777" w:rsidR="006F29E2" w:rsidRPr="00D457D9" w:rsidRDefault="006F29E2" w:rsidP="00D457D9">
            <w:pPr>
              <w:pStyle w:val="TableHeader"/>
            </w:pPr>
          </w:p>
        </w:tc>
        <w:tc>
          <w:tcPr>
            <w:tcW w:w="6104" w:type="dxa"/>
            <w:tcBorders>
              <w:top w:val="nil"/>
              <w:bottom w:val="single" w:sz="4" w:space="0" w:color="006838" w:themeColor="accent1"/>
            </w:tcBorders>
            <w:tcMar>
              <w:top w:w="80" w:type="dxa"/>
              <w:left w:w="80" w:type="dxa"/>
              <w:bottom w:w="80" w:type="dxa"/>
              <w:right w:w="80" w:type="dxa"/>
            </w:tcMar>
          </w:tcPr>
          <w:p w14:paraId="28D61ECB" w14:textId="77777777" w:rsidR="006F29E2" w:rsidRPr="00D457D9" w:rsidRDefault="006F29E2" w:rsidP="00D457D9">
            <w:pPr>
              <w:pStyle w:val="TableHeader"/>
            </w:pPr>
          </w:p>
        </w:tc>
      </w:tr>
    </w:tbl>
    <w:p w14:paraId="6BB072EC" w14:textId="77777777" w:rsidR="003E5E7E" w:rsidRPr="00D457D9" w:rsidRDefault="0079191E" w:rsidP="00D457D9">
      <w:pPr>
        <w:pStyle w:val="TableHeader"/>
      </w:pPr>
    </w:p>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6F29E2" w:rsidRPr="006F29E2" w14:paraId="782FAAE5" w14:textId="77777777" w:rsidTr="00BA481B">
        <w:trPr>
          <w:trHeight w:val="80"/>
        </w:trPr>
        <w:tc>
          <w:tcPr>
            <w:tcW w:w="2327" w:type="dxa"/>
            <w:tcBorders>
              <w:bottom w:val="single" w:sz="4" w:space="0" w:color="006838" w:themeColor="accent1"/>
            </w:tcBorders>
            <w:tcMar>
              <w:top w:w="80" w:type="dxa"/>
              <w:left w:w="80" w:type="dxa"/>
              <w:bottom w:w="80" w:type="dxa"/>
              <w:right w:w="80" w:type="dxa"/>
            </w:tcMar>
          </w:tcPr>
          <w:p w14:paraId="06027971" w14:textId="77777777" w:rsidR="006F29E2" w:rsidRPr="006F29E2" w:rsidRDefault="006F29E2" w:rsidP="00D457D9">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27F9A3F7" w14:textId="77777777" w:rsidR="006F29E2" w:rsidRPr="006F29E2" w:rsidRDefault="006F29E2" w:rsidP="00D457D9">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2F141240" w14:textId="77777777" w:rsidR="006F29E2" w:rsidRPr="006F29E2" w:rsidRDefault="006F29E2" w:rsidP="00D457D9">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300CDAB9" w14:textId="77777777" w:rsidR="006F29E2" w:rsidRPr="006F29E2" w:rsidRDefault="006F29E2" w:rsidP="00D457D9">
            <w:pPr>
              <w:pStyle w:val="TableHeader"/>
              <w:rPr>
                <w:color w:val="000000"/>
                <w:sz w:val="24"/>
                <w:szCs w:val="24"/>
                <w:lang w:val="en-GB"/>
              </w:rPr>
            </w:pPr>
            <w:r w:rsidRPr="006F29E2">
              <w:t>MITIGATION</w:t>
            </w:r>
          </w:p>
        </w:tc>
      </w:tr>
      <w:tr w:rsidR="00D457D9" w:rsidRPr="006F29E2" w14:paraId="632CC7C0" w14:textId="77777777" w:rsidTr="001E130B">
        <w:trPr>
          <w:trHeight w:val="2022"/>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57BBFC2A" w14:textId="77777777" w:rsidR="006F29E2" w:rsidRPr="006F29E2" w:rsidRDefault="006F29E2" w:rsidP="00D457D9">
            <w:pPr>
              <w:pStyle w:val="Notes"/>
            </w:pPr>
            <w:r w:rsidRPr="006F29E2">
              <w:t>none noted</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3D165314" w14:textId="4A2B84B3" w:rsidR="004F569A" w:rsidRPr="004F569A" w:rsidRDefault="004F569A" w:rsidP="004F569A">
            <w:pPr>
              <w:pStyle w:val="ClauseTitle0"/>
            </w:pPr>
            <w:r w:rsidRPr="004F569A">
              <w:t xml:space="preserve">1.1 Environmental Upgrade Agreements </w:t>
            </w:r>
          </w:p>
          <w:p w14:paraId="1C7DFB63" w14:textId="77777777" w:rsidR="004F569A" w:rsidRPr="004F569A" w:rsidRDefault="004F569A" w:rsidP="0040274D">
            <w:pPr>
              <w:pStyle w:val="Clauseindent"/>
            </w:pPr>
            <w:r w:rsidRPr="004F569A">
              <w:t xml:space="preserve">The Landlord may carry out </w:t>
            </w:r>
            <w:r w:rsidRPr="0040274D">
              <w:t>capital</w:t>
            </w:r>
            <w:r w:rsidRPr="004F569A">
              <w:t xml:space="preserve"> upgrades on the Building which are subject to an Environmental Upgrade Agreement. </w:t>
            </w:r>
          </w:p>
          <w:p w14:paraId="2821C5A1" w14:textId="77777777" w:rsidR="004F569A" w:rsidRPr="004F569A" w:rsidRDefault="004F569A" w:rsidP="0040274D">
            <w:pPr>
              <w:pStyle w:val="Clauseindent"/>
            </w:pPr>
            <w:r w:rsidRPr="004F569A">
              <w:t>Any amounts recoverable from the Tenant by the Landlord for works carried out under an Environmental Upgrade Agreement must not exceed a reasonable estimate of the cost savings to be made by the Tenant as a consequence of the works.</w:t>
            </w:r>
          </w:p>
          <w:p w14:paraId="7AEAFDF0" w14:textId="6778B8E9" w:rsidR="006F29E2" w:rsidRPr="0040274D" w:rsidRDefault="004F569A" w:rsidP="0079191E">
            <w:pPr>
              <w:ind w:left="284"/>
              <w:rPr>
                <w:u w:color="ABE0F9"/>
              </w:rPr>
            </w:pPr>
            <w:r w:rsidRPr="00991360">
              <w:rPr>
                <w:u w:color="ABE0F9"/>
                <w:shd w:val="clear" w:color="auto" w:fill="ABE1FA" w:themeFill="accent4"/>
              </w:rPr>
              <w:t>[Drafting note - This clause may be drafted as part of an outgoings clause or as a standalone provision.]</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241CCF9C" w14:textId="1B31A4F9" w:rsidR="006F29E2" w:rsidRPr="006F29E2" w:rsidRDefault="0040274D" w:rsidP="00D457D9">
            <w:pPr>
              <w:pStyle w:val="Notes"/>
            </w:pPr>
            <w:r w:rsidRPr="0040274D">
              <w:t>Tenants may be reluctant to commit to paying for capital upgrade works which are not ordinarily a cost under commercial leases.</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00554B0C" w14:textId="03B8262B" w:rsidR="006F29E2" w:rsidRPr="006F29E2" w:rsidRDefault="0040274D" w:rsidP="00D457D9">
            <w:pPr>
              <w:pStyle w:val="Notes"/>
            </w:pPr>
            <w:r w:rsidRPr="0040274D">
              <w:t>The Local Government Amendment (Environmental Upgrade Agreements) Act 2010 (NSW) provides that tenants are liable to pay for capital costs under an Environmental Upgrade Agreement if the benefit to the Tenant outweighs the cost within the term of the lease.</w:t>
            </w:r>
          </w:p>
        </w:tc>
      </w:tr>
    </w:tbl>
    <w:p w14:paraId="47F7FA07" w14:textId="1837EB2C" w:rsidR="0084769B" w:rsidRDefault="0084769B"/>
    <w:tbl>
      <w:tblPr>
        <w:tblW w:w="15182" w:type="dxa"/>
        <w:tblInd w:w="-8" w:type="dxa"/>
        <w:tblBorders>
          <w:insideH w:val="single" w:sz="4" w:space="0" w:color="006838" w:themeColor="accent1"/>
        </w:tblBorders>
        <w:tblLayout w:type="fixed"/>
        <w:tblCellMar>
          <w:left w:w="0" w:type="dxa"/>
          <w:right w:w="0" w:type="dxa"/>
        </w:tblCellMar>
        <w:tblLook w:val="0000" w:firstRow="0" w:lastRow="0" w:firstColumn="0" w:lastColumn="0" w:noHBand="0" w:noVBand="0"/>
      </w:tblPr>
      <w:tblGrid>
        <w:gridCol w:w="2327"/>
        <w:gridCol w:w="7830"/>
        <w:gridCol w:w="2512"/>
        <w:gridCol w:w="2513"/>
      </w:tblGrid>
      <w:tr w:rsidR="0040274D" w:rsidRPr="006F29E2" w14:paraId="48EC27A1" w14:textId="77777777" w:rsidTr="00B93BD8">
        <w:trPr>
          <w:trHeight w:val="80"/>
        </w:trPr>
        <w:tc>
          <w:tcPr>
            <w:tcW w:w="2327" w:type="dxa"/>
            <w:tcBorders>
              <w:bottom w:val="single" w:sz="4" w:space="0" w:color="006838" w:themeColor="accent1"/>
            </w:tcBorders>
            <w:tcMar>
              <w:top w:w="80" w:type="dxa"/>
              <w:left w:w="80" w:type="dxa"/>
              <w:bottom w:w="80" w:type="dxa"/>
              <w:right w:w="80" w:type="dxa"/>
            </w:tcMar>
          </w:tcPr>
          <w:p w14:paraId="1919AEC7" w14:textId="77777777" w:rsidR="0040274D" w:rsidRPr="006F29E2" w:rsidRDefault="0040274D" w:rsidP="00B93BD8">
            <w:pPr>
              <w:pStyle w:val="TableHeader"/>
              <w:rPr>
                <w:color w:val="000000"/>
                <w:sz w:val="24"/>
                <w:szCs w:val="24"/>
                <w:lang w:val="en-GB"/>
              </w:rPr>
            </w:pPr>
            <w:r w:rsidRPr="006F29E2">
              <w:t>NOTES</w:t>
            </w:r>
          </w:p>
        </w:tc>
        <w:tc>
          <w:tcPr>
            <w:tcW w:w="7830" w:type="dxa"/>
            <w:tcBorders>
              <w:bottom w:val="single" w:sz="4" w:space="0" w:color="006838" w:themeColor="accent1"/>
            </w:tcBorders>
            <w:tcMar>
              <w:top w:w="80" w:type="dxa"/>
              <w:left w:w="80" w:type="dxa"/>
              <w:bottom w:w="80" w:type="dxa"/>
              <w:right w:w="80" w:type="dxa"/>
            </w:tcMar>
          </w:tcPr>
          <w:p w14:paraId="0952D0E7" w14:textId="77777777" w:rsidR="0040274D" w:rsidRPr="006F29E2" w:rsidRDefault="0040274D" w:rsidP="00B93BD8">
            <w:pPr>
              <w:pStyle w:val="TableHeader"/>
              <w:rPr>
                <w:color w:val="000000"/>
                <w:sz w:val="24"/>
                <w:szCs w:val="24"/>
                <w:lang w:val="en-GB"/>
              </w:rPr>
            </w:pPr>
            <w:r w:rsidRPr="006F29E2">
              <w:t>CLAUSE</w:t>
            </w:r>
          </w:p>
        </w:tc>
        <w:tc>
          <w:tcPr>
            <w:tcW w:w="2512" w:type="dxa"/>
            <w:tcBorders>
              <w:bottom w:val="single" w:sz="4" w:space="0" w:color="006838" w:themeColor="accent1"/>
            </w:tcBorders>
            <w:tcMar>
              <w:top w:w="80" w:type="dxa"/>
              <w:left w:w="80" w:type="dxa"/>
              <w:bottom w:w="80" w:type="dxa"/>
              <w:right w:w="80" w:type="dxa"/>
            </w:tcMar>
          </w:tcPr>
          <w:p w14:paraId="4924E1C5" w14:textId="77777777" w:rsidR="0040274D" w:rsidRPr="006F29E2" w:rsidRDefault="0040274D" w:rsidP="00B93BD8">
            <w:pPr>
              <w:pStyle w:val="TableHeader"/>
              <w:rPr>
                <w:color w:val="000000"/>
                <w:sz w:val="24"/>
                <w:szCs w:val="24"/>
                <w:lang w:val="en-GB"/>
              </w:rPr>
            </w:pPr>
            <w:r w:rsidRPr="006F29E2">
              <w:t>CONCERN/RISK</w:t>
            </w:r>
          </w:p>
        </w:tc>
        <w:tc>
          <w:tcPr>
            <w:tcW w:w="2513" w:type="dxa"/>
            <w:tcBorders>
              <w:bottom w:val="single" w:sz="4" w:space="0" w:color="006838" w:themeColor="accent1"/>
            </w:tcBorders>
            <w:tcMar>
              <w:top w:w="80" w:type="dxa"/>
              <w:left w:w="80" w:type="dxa"/>
              <w:bottom w:w="80" w:type="dxa"/>
              <w:right w:w="80" w:type="dxa"/>
            </w:tcMar>
          </w:tcPr>
          <w:p w14:paraId="26F610B8" w14:textId="77777777" w:rsidR="0040274D" w:rsidRPr="006F29E2" w:rsidRDefault="0040274D" w:rsidP="00B93BD8">
            <w:pPr>
              <w:pStyle w:val="TableHeader"/>
              <w:rPr>
                <w:color w:val="000000"/>
                <w:sz w:val="24"/>
                <w:szCs w:val="24"/>
                <w:lang w:val="en-GB"/>
              </w:rPr>
            </w:pPr>
            <w:r w:rsidRPr="006F29E2">
              <w:t>MITIGATION</w:t>
            </w:r>
          </w:p>
        </w:tc>
      </w:tr>
      <w:tr w:rsidR="0040274D" w:rsidRPr="006F29E2" w14:paraId="3047F9B3" w14:textId="77777777" w:rsidTr="00B93BD8">
        <w:trPr>
          <w:trHeight w:val="80"/>
        </w:trPr>
        <w:tc>
          <w:tcPr>
            <w:tcW w:w="2327" w:type="dxa"/>
            <w:tcBorders>
              <w:top w:val="single" w:sz="4" w:space="0" w:color="006838" w:themeColor="accent1"/>
              <w:bottom w:val="single" w:sz="4" w:space="0" w:color="006838" w:themeColor="accent1"/>
            </w:tcBorders>
            <w:tcMar>
              <w:top w:w="80" w:type="dxa"/>
              <w:left w:w="80" w:type="dxa"/>
              <w:bottom w:w="80" w:type="dxa"/>
              <w:right w:w="80" w:type="dxa"/>
            </w:tcMar>
          </w:tcPr>
          <w:p w14:paraId="26B91B97" w14:textId="53ABD7FF" w:rsidR="0040274D" w:rsidRPr="006F29E2" w:rsidRDefault="0040274D" w:rsidP="00B93BD8">
            <w:pPr>
              <w:pStyle w:val="Notes"/>
            </w:pPr>
            <w:r w:rsidRPr="0040274D">
              <w:t>The clause could accompany a works clause that sets out the works that a landlord intends to carry out to improve the efficiency of the building. This clause deals with how the costs of those works are distributed between the landlord and the tenant</w:t>
            </w:r>
          </w:p>
        </w:tc>
        <w:tc>
          <w:tcPr>
            <w:tcW w:w="7830" w:type="dxa"/>
            <w:tcBorders>
              <w:top w:val="single" w:sz="4" w:space="0" w:color="006838" w:themeColor="accent1"/>
              <w:bottom w:val="single" w:sz="4" w:space="0" w:color="006838" w:themeColor="accent1"/>
            </w:tcBorders>
            <w:tcMar>
              <w:top w:w="80" w:type="dxa"/>
              <w:left w:w="80" w:type="dxa"/>
              <w:bottom w:w="80" w:type="dxa"/>
              <w:right w:w="80" w:type="dxa"/>
            </w:tcMar>
          </w:tcPr>
          <w:p w14:paraId="26642A00" w14:textId="29BE8209" w:rsidR="0040274D" w:rsidRPr="004F569A" w:rsidRDefault="0040274D" w:rsidP="00B93BD8">
            <w:pPr>
              <w:pStyle w:val="ClauseTitle0"/>
            </w:pPr>
            <w:r w:rsidRPr="004F569A">
              <w:t>1.</w:t>
            </w:r>
            <w:r>
              <w:t>2</w:t>
            </w:r>
            <w:r w:rsidRPr="004F569A">
              <w:t xml:space="preserve"> </w:t>
            </w:r>
            <w:r>
              <w:t>A</w:t>
            </w:r>
            <w:r w:rsidRPr="0040274D">
              <w:t>bility to Carry Out Capital Upgrade works</w:t>
            </w:r>
          </w:p>
          <w:p w14:paraId="7FC759CC" w14:textId="77777777" w:rsidR="0040274D" w:rsidRDefault="0040274D" w:rsidP="0040274D">
            <w:pPr>
              <w:pStyle w:val="Clauseindent"/>
              <w:numPr>
                <w:ilvl w:val="0"/>
                <w:numId w:val="24"/>
              </w:numPr>
              <w:ind w:left="725" w:hanging="431"/>
            </w:pPr>
            <w:r>
              <w:t>The Landlord may carry out capital upgrades to the Building designed to improve the efficiency or environmental sustainability of the building or premises (Capital Upgrades).</w:t>
            </w:r>
          </w:p>
          <w:p w14:paraId="1DCCED62" w14:textId="77777777" w:rsidR="0040274D" w:rsidRDefault="0040274D" w:rsidP="0040274D">
            <w:pPr>
              <w:pStyle w:val="Clauseindent"/>
              <w:numPr>
                <w:ilvl w:val="0"/>
                <w:numId w:val="24"/>
              </w:numPr>
              <w:ind w:left="725" w:hanging="431"/>
            </w:pPr>
            <w:r>
              <w:t>If the Landlord carries out Capital Upgrades:</w:t>
            </w:r>
          </w:p>
          <w:p w14:paraId="59BB8F42" w14:textId="7323EC17" w:rsidR="0040274D" w:rsidRPr="0079191E" w:rsidRDefault="0040274D" w:rsidP="0079191E">
            <w:pPr>
              <w:pStyle w:val="Clause2ndlevel"/>
            </w:pPr>
            <w:r w:rsidRPr="0079191E">
              <w:t xml:space="preserve">the Landlord </w:t>
            </w:r>
            <w:r w:rsidRPr="0079191E">
              <w:rPr>
                <w:color w:val="FFFFFF" w:themeColor="background1"/>
                <w:shd w:val="clear" w:color="auto" w:fill="7B1C49" w:themeFill="accent5"/>
              </w:rPr>
              <w:t xml:space="preserve">[#must not/must use its reasonable </w:t>
            </w:r>
            <w:proofErr w:type="spellStart"/>
            <w:r w:rsidRPr="0079191E">
              <w:rPr>
                <w:color w:val="FFFFFF" w:themeColor="background1"/>
                <w:shd w:val="clear" w:color="auto" w:fill="7B1C49" w:themeFill="accent5"/>
              </w:rPr>
              <w:t>endeavours</w:t>
            </w:r>
            <w:proofErr w:type="spellEnd"/>
            <w:r w:rsidRPr="0079191E">
              <w:rPr>
                <w:color w:val="FFFFFF" w:themeColor="background1"/>
                <w:shd w:val="clear" w:color="auto" w:fill="7B1C49" w:themeFill="accent5"/>
              </w:rPr>
              <w:t xml:space="preserve"> not</w:t>
            </w:r>
            <w:r w:rsidR="0079191E">
              <w:rPr>
                <w:color w:val="FFFFFF" w:themeColor="background1"/>
                <w:shd w:val="clear" w:color="auto" w:fill="7B1C49" w:themeFill="accent5"/>
              </w:rPr>
              <w:t xml:space="preserve"> to]</w:t>
            </w:r>
            <w:bookmarkStart w:id="0" w:name="_GoBack"/>
            <w:bookmarkEnd w:id="0"/>
            <w:r w:rsidRPr="0079191E">
              <w:t xml:space="preserve"> interfere with the Tenant’s business and quiet enjoyment of the Premises when carrying out the Capital Upgrades; and</w:t>
            </w:r>
          </w:p>
          <w:p w14:paraId="0B73BBD5" w14:textId="61C2C820" w:rsidR="0040274D" w:rsidRDefault="0040274D" w:rsidP="0079191E">
            <w:pPr>
              <w:pStyle w:val="Clause2ndlevel"/>
            </w:pPr>
            <w:r w:rsidRPr="0079191E">
              <w:t xml:space="preserve">subject to the Landlord complying with clause 2.3(b)(i), the Tenant will not make any claim or demand any compensation for interference with the Tenant’s business and quiet enjoyment of the Premises as a result of the Capital </w:t>
            </w:r>
            <w:r>
              <w:t>Upgrades.</w:t>
            </w:r>
          </w:p>
          <w:p w14:paraId="71F9A096" w14:textId="77777777" w:rsidR="0040274D" w:rsidRDefault="0040274D" w:rsidP="0040274D">
            <w:pPr>
              <w:pStyle w:val="Clauseindent"/>
              <w:numPr>
                <w:ilvl w:val="0"/>
                <w:numId w:val="24"/>
              </w:numPr>
              <w:ind w:left="728" w:hanging="434"/>
            </w:pPr>
            <w:r>
              <w:t>The Tenant may carry out capital upgrades to the Premises designed to improve the efficiency or environmental sustainability of the premises (Premises Upgrade) provided that it complies with the provisions of the Lease when doing so.  The Landlord will not unreasonably withhold approval to a request by the Tenant to carry out a Premises Upgrade.</w:t>
            </w:r>
          </w:p>
          <w:p w14:paraId="12533676" w14:textId="10927BE7" w:rsidR="0040274D" w:rsidRPr="0040274D" w:rsidRDefault="0040274D" w:rsidP="0040274D">
            <w:pPr>
              <w:pStyle w:val="Clauseindent"/>
              <w:numPr>
                <w:ilvl w:val="0"/>
                <w:numId w:val="24"/>
              </w:numPr>
              <w:ind w:left="728" w:hanging="434"/>
              <w:rPr>
                <w:u w:color="ABE0F9"/>
              </w:rPr>
            </w:pPr>
            <w:r>
              <w:t>If the Landlord carries out Capital Upgrades, the Tenant will contribute towards the cost of the Capital Upgrade provided that the amount payable by the Tenant must not exceed a reasonable estimate of the cost savings to be made by the Tenant as a consequence of the Capital Upgrades.</w:t>
            </w:r>
          </w:p>
        </w:tc>
        <w:tc>
          <w:tcPr>
            <w:tcW w:w="2512" w:type="dxa"/>
            <w:tcBorders>
              <w:top w:val="single" w:sz="4" w:space="0" w:color="006838" w:themeColor="accent1"/>
              <w:bottom w:val="single" w:sz="4" w:space="0" w:color="006838" w:themeColor="accent1"/>
            </w:tcBorders>
            <w:tcMar>
              <w:top w:w="80" w:type="dxa"/>
              <w:left w:w="80" w:type="dxa"/>
              <w:bottom w:w="80" w:type="dxa"/>
              <w:right w:w="80" w:type="dxa"/>
            </w:tcMar>
          </w:tcPr>
          <w:p w14:paraId="1D5CF9AD" w14:textId="0E09A8A9" w:rsidR="0040274D" w:rsidRPr="006F29E2" w:rsidRDefault="0040274D" w:rsidP="00B93BD8">
            <w:pPr>
              <w:pStyle w:val="Notes"/>
            </w:pPr>
            <w:r>
              <w:t>none noted</w:t>
            </w:r>
          </w:p>
        </w:tc>
        <w:tc>
          <w:tcPr>
            <w:tcW w:w="2513" w:type="dxa"/>
            <w:tcBorders>
              <w:top w:val="single" w:sz="4" w:space="0" w:color="006838" w:themeColor="accent1"/>
              <w:bottom w:val="single" w:sz="4" w:space="0" w:color="006838" w:themeColor="accent1"/>
            </w:tcBorders>
            <w:tcMar>
              <w:top w:w="80" w:type="dxa"/>
              <w:left w:w="80" w:type="dxa"/>
              <w:bottom w:w="80" w:type="dxa"/>
              <w:right w:w="80" w:type="dxa"/>
            </w:tcMar>
          </w:tcPr>
          <w:p w14:paraId="12E32D27" w14:textId="1A8F3DD5" w:rsidR="0040274D" w:rsidRPr="006F29E2" w:rsidRDefault="002E45BC" w:rsidP="00B93BD8">
            <w:pPr>
              <w:pStyle w:val="Notes"/>
            </w:pPr>
            <w:r>
              <w:t>none noted</w:t>
            </w:r>
          </w:p>
        </w:tc>
      </w:tr>
    </w:tbl>
    <w:p w14:paraId="1E8CBCE9" w14:textId="5B8A213E" w:rsidR="00286AD2" w:rsidRDefault="00286AD2" w:rsidP="001E130B"/>
    <w:sectPr w:rsidR="00286AD2" w:rsidSect="0004737B">
      <w:headerReference w:type="default" r:id="rId8"/>
      <w:footerReference w:type="default" r:id="rId9"/>
      <w:pgSz w:w="16838" w:h="11906" w:orient="landscape" w:code="9"/>
      <w:pgMar w:top="1718" w:right="851" w:bottom="1134" w:left="851" w:header="284"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D76C" w14:textId="77777777" w:rsidR="00D457D9" w:rsidRDefault="00D457D9" w:rsidP="00D457D9">
      <w:pPr>
        <w:spacing w:after="0"/>
      </w:pPr>
      <w:r>
        <w:separator/>
      </w:r>
    </w:p>
  </w:endnote>
  <w:endnote w:type="continuationSeparator" w:id="0">
    <w:p w14:paraId="207AD039" w14:textId="77777777" w:rsidR="00D457D9" w:rsidRDefault="00D457D9" w:rsidP="00D457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Narrow Light">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Gotham Narrow Book">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560525"/>
      <w:docPartObj>
        <w:docPartGallery w:val="Page Numbers (Bottom of Page)"/>
        <w:docPartUnique/>
      </w:docPartObj>
    </w:sdtPr>
    <w:sdtEndPr>
      <w:rPr>
        <w:noProof/>
      </w:rPr>
    </w:sdtEndPr>
    <w:sdtContent>
      <w:p w14:paraId="0BE04047" w14:textId="1133C9E9" w:rsidR="008C7786" w:rsidRDefault="008C7786">
        <w:pPr>
          <w:pStyle w:val="Footer"/>
          <w:jc w:val="right"/>
        </w:pPr>
        <w:r w:rsidRPr="0004737B">
          <w:rPr>
            <w:rFonts w:cs="Gotham Narrow Light"/>
            <w:noProof/>
            <w:color w:val="8DC640" w:themeColor="accent2"/>
            <w:sz w:val="10"/>
            <w:szCs w:val="12"/>
            <w:lang w:val="en-AU" w:eastAsia="en-AU"/>
          </w:rPr>
          <mc:AlternateContent>
            <mc:Choice Requires="wps">
              <w:drawing>
                <wp:anchor distT="45720" distB="45720" distL="114300" distR="114300" simplePos="0" relativeHeight="251662336" behindDoc="1" locked="0" layoutInCell="1" allowOverlap="1" wp14:anchorId="36DD56F2" wp14:editId="7128E47A">
                  <wp:simplePos x="0" y="0"/>
                  <wp:positionH relativeFrom="margin">
                    <wp:posOffset>-142240</wp:posOffset>
                  </wp:positionH>
                  <wp:positionV relativeFrom="bottomMargin">
                    <wp:posOffset>148535</wp:posOffset>
                  </wp:positionV>
                  <wp:extent cx="5430741" cy="310101"/>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741" cy="310101"/>
                          </a:xfrm>
                          <a:prstGeom prst="rect">
                            <a:avLst/>
                          </a:prstGeom>
                          <a:noFill/>
                          <a:ln w="9525">
                            <a:noFill/>
                            <a:miter lim="800000"/>
                            <a:headEnd/>
                            <a:tailEnd/>
                          </a:ln>
                        </wps:spPr>
                        <wps:txbx>
                          <w:txbxContent>
                            <w:p w14:paraId="5E0BF759" w14:textId="77777777" w:rsidR="008C7786" w:rsidRPr="008C7786" w:rsidRDefault="008C7786"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 xml:space="preserve">Sparke </w:t>
                              </w:r>
                              <w:proofErr w:type="spellStart"/>
                              <w:r w:rsidRPr="008C7786">
                                <w:rPr>
                                  <w:rFonts w:cstheme="minorHAnsi"/>
                                  <w:color w:val="7F7F7F"/>
                                  <w:sz w:val="12"/>
                                  <w:szCs w:val="12"/>
                                </w:rPr>
                                <w:t>Helmore</w:t>
                              </w:r>
                              <w:proofErr w:type="spellEnd"/>
                              <w:r w:rsidRPr="008C7786">
                                <w:rPr>
                                  <w:rFonts w:cstheme="minorHAnsi"/>
                                  <w:color w:val="7F7F7F"/>
                                  <w:sz w:val="12"/>
                                  <w:szCs w:val="12"/>
                                </w:rPr>
                                <w:t xml:space="preserv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8C7786" w:rsidRPr="008C7786" w:rsidRDefault="008C7786" w:rsidP="008C7786">
                              <w:pPr>
                                <w:jc w:val="right"/>
                                <w:rPr>
                                  <w:rFonts w:cstheme="minorHAnsi"/>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DD56F2" id="_x0000_t202" coordsize="21600,21600" o:spt="202" path="m,l,21600r21600,l21600,xe">
                  <v:stroke joinstyle="miter"/>
                  <v:path gradientshapeok="t" o:connecttype="rect"/>
                </v:shapetype>
                <v:shape id="Text Box 2" o:spid="_x0000_s1027" type="#_x0000_t202" style="position:absolute;left:0;text-align:left;margin-left:-11.2pt;margin-top:11.7pt;width:427.6pt;height:24.4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" filled="f" stroked="f">
                  <v:textbox>
                    <w:txbxContent>
                      <w:p w14:paraId="5E0BF759" w14:textId="77777777" w:rsidR="008C7786" w:rsidRPr="008C7786" w:rsidRDefault="008C7786" w:rsidP="008C7786">
                        <w:pPr>
                          <w:suppressAutoHyphens/>
                          <w:autoSpaceDE w:val="0"/>
                          <w:autoSpaceDN w:val="0"/>
                          <w:adjustRightInd w:val="0"/>
                          <w:spacing w:after="0" w:line="288" w:lineRule="auto"/>
                          <w:textAlignment w:val="center"/>
                          <w:rPr>
                            <w:rFonts w:cstheme="minorHAnsi"/>
                            <w:color w:val="7F7F7F"/>
                            <w:sz w:val="12"/>
                            <w:szCs w:val="12"/>
                          </w:rPr>
                        </w:pPr>
                        <w:r w:rsidRPr="008C7786">
                          <w:rPr>
                            <w:rFonts w:cstheme="minorHAnsi"/>
                            <w:color w:val="7F7F7F"/>
                            <w:sz w:val="12"/>
                            <w:szCs w:val="12"/>
                          </w:rPr>
                          <w:t xml:space="preserve">Sparke </w:t>
                        </w:r>
                        <w:proofErr w:type="spellStart"/>
                        <w:r w:rsidRPr="008C7786">
                          <w:rPr>
                            <w:rFonts w:cstheme="minorHAnsi"/>
                            <w:color w:val="7F7F7F"/>
                            <w:sz w:val="12"/>
                            <w:szCs w:val="12"/>
                          </w:rPr>
                          <w:t>Helmore</w:t>
                        </w:r>
                        <w:proofErr w:type="spellEnd"/>
                        <w:r w:rsidRPr="008C7786">
                          <w:rPr>
                            <w:rFonts w:cstheme="minorHAnsi"/>
                            <w:color w:val="7F7F7F"/>
                            <w:sz w:val="12"/>
                            <w:szCs w:val="12"/>
                          </w:rPr>
                          <w:t xml:space="preserve"> Lawyers and Mills Oakley have drafted the clauses as stand-alone options and any use of them should not be construed as providing legal advice or creating a solicitor – client relationship. Always seek specific legal advice for your particular circumstances from a lawyer with relevant expertise.</w:t>
                        </w:r>
                      </w:p>
                      <w:p w14:paraId="0C1CE99A" w14:textId="77777777" w:rsidR="008C7786" w:rsidRPr="008C7786" w:rsidRDefault="008C7786" w:rsidP="008C7786">
                        <w:pPr>
                          <w:jc w:val="right"/>
                          <w:rPr>
                            <w:rFonts w:cstheme="minorHAnsi"/>
                            <w:sz w:val="12"/>
                            <w:szCs w:val="12"/>
                          </w:rPr>
                        </w:pPr>
                      </w:p>
                    </w:txbxContent>
                  </v:textbox>
                  <w10:wrap anchorx="margin" anchory="margin"/>
                </v:shape>
              </w:pict>
            </mc:Fallback>
          </mc:AlternateContent>
        </w:r>
        <w:r w:rsidR="0004737B" w:rsidRPr="0004737B">
          <w:rPr>
            <w:color w:val="8DC640" w:themeColor="accent2"/>
            <w:sz w:val="16"/>
          </w:rPr>
          <w:t xml:space="preserve">BETTER </w:t>
        </w:r>
        <w:r w:rsidR="0004737B" w:rsidRPr="0004737B">
          <w:rPr>
            <w:color w:val="39B536" w:themeColor="accent3"/>
            <w:sz w:val="16"/>
          </w:rPr>
          <w:t xml:space="preserve">BUILDINGS </w:t>
        </w:r>
        <w:r w:rsidR="0004737B" w:rsidRPr="0004737B">
          <w:rPr>
            <w:color w:val="006838" w:themeColor="accent1"/>
            <w:sz w:val="16"/>
          </w:rPr>
          <w:t xml:space="preserve">PARTNERSHIP </w:t>
        </w:r>
        <w:r w:rsidR="0004737B" w:rsidRPr="0004737B">
          <w:rPr>
            <w:sz w:val="16"/>
          </w:rPr>
          <w:t xml:space="preserve">BBP LEASING STANDARD TEMPLATE CLAUSES   </w:t>
        </w:r>
        <w:r w:rsidRPr="0004737B">
          <w:rPr>
            <w:sz w:val="16"/>
          </w:rPr>
          <w:fldChar w:fldCharType="begin"/>
        </w:r>
        <w:r w:rsidRPr="0004737B">
          <w:rPr>
            <w:sz w:val="16"/>
          </w:rPr>
          <w:instrText xml:space="preserve"> PAGE   \* MERGEFORMAT </w:instrText>
        </w:r>
        <w:r w:rsidRPr="0004737B">
          <w:rPr>
            <w:sz w:val="16"/>
          </w:rPr>
          <w:fldChar w:fldCharType="separate"/>
        </w:r>
        <w:r w:rsidR="0079191E">
          <w:rPr>
            <w:noProof/>
            <w:sz w:val="16"/>
          </w:rPr>
          <w:t>2</w:t>
        </w:r>
        <w:r w:rsidRPr="0004737B">
          <w:rPr>
            <w:noProof/>
            <w:sz w:val="16"/>
          </w:rPr>
          <w:fldChar w:fldCharType="end"/>
        </w:r>
      </w:p>
    </w:sdtContent>
  </w:sdt>
  <w:p w14:paraId="0D0D1C89" w14:textId="421F7A38" w:rsidR="00E02CCF" w:rsidRPr="008C7786" w:rsidRDefault="00E02CCF" w:rsidP="008C7786">
    <w:pPr>
      <w:pStyle w:val="NoParagraphStyle"/>
      <w:suppressAutoHyphens/>
      <w:rPr>
        <w:rFonts w:cs="Gotham Narrow Light"/>
        <w:color w:val="7F7F7F"/>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F9F59" w14:textId="77777777" w:rsidR="00D457D9" w:rsidRDefault="00D457D9" w:rsidP="00D457D9">
      <w:pPr>
        <w:spacing w:after="0"/>
      </w:pPr>
      <w:r>
        <w:separator/>
      </w:r>
    </w:p>
  </w:footnote>
  <w:footnote w:type="continuationSeparator" w:id="0">
    <w:p w14:paraId="25574907" w14:textId="77777777" w:rsidR="00D457D9" w:rsidRDefault="00D457D9" w:rsidP="00D457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B8E7A" w14:textId="446AF29C" w:rsidR="00D457D9" w:rsidRDefault="00BA481B" w:rsidP="00D457D9">
    <w:pPr>
      <w:pStyle w:val="Heading1"/>
      <w:rPr>
        <w:b w:val="0"/>
      </w:rPr>
    </w:pPr>
    <w:r>
      <w:rPr>
        <w:noProof/>
        <w:lang w:val="en-AU" w:eastAsia="en-AU"/>
      </w:rPr>
      <mc:AlternateContent>
        <mc:Choice Requires="wps">
          <w:drawing>
            <wp:anchor distT="0" distB="0" distL="114300" distR="114300" simplePos="0" relativeHeight="251659264" behindDoc="0" locked="0" layoutInCell="1" allowOverlap="1" wp14:anchorId="4A5FC056" wp14:editId="55EA27F5">
              <wp:simplePos x="0" y="0"/>
              <wp:positionH relativeFrom="column">
                <wp:posOffset>-367030</wp:posOffset>
              </wp:positionH>
              <wp:positionV relativeFrom="paragraph">
                <wp:posOffset>86360</wp:posOffset>
              </wp:positionV>
              <wp:extent cx="304800" cy="304800"/>
              <wp:effectExtent l="0" t="0" r="19050" b="19050"/>
              <wp:wrapNone/>
              <wp:docPr id="1" name="Oval 1"/>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33D20" w14:textId="77777777" w:rsidR="00D457D9" w:rsidRPr="00BA481B" w:rsidRDefault="00D457D9" w:rsidP="00D457D9">
                          <w:pPr>
                            <w:jc w:val="center"/>
                            <w:rPr>
                              <w:b/>
                              <w:color w:val="8DC640" w:themeColor="accent2"/>
                              <w:sz w:val="16"/>
                              <w:lang w:val="en-AU"/>
                            </w:rPr>
                          </w:pPr>
                          <w:r w:rsidRPr="00BA481B">
                            <w:rPr>
                              <w:b/>
                              <w:color w:val="8DC640" w:themeColor="accent2"/>
                              <w:sz w:val="16"/>
                              <w:lang w:val="en-AU"/>
                            </w:rPr>
                            <w:t>CW</w:t>
                          </w:r>
                        </w:p>
                      </w:txbxContent>
                    </wps:txbx>
                    <wps:bodyPr rot="0" spcFirstLastPara="0" vertOverflow="overflow" horzOverflow="overflow" vert="horz" wrap="square" lIns="0" tIns="54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5FC056" id="Oval 1" o:spid="_x0000_s1026" style="position:absolute;margin-left:-28.9pt;margin-top:6.8pt;width:2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" filled="f" strokecolor="#8dc640 [3205]" strokeweight="1pt">
              <v:stroke joinstyle="miter"/>
              <v:textbox inset="0,1.5mm,0,0">
                <w:txbxContent>
                  <w:p w14:paraId="1E733D20" w14:textId="77777777" w:rsidR="00D457D9" w:rsidRPr="00BA481B" w:rsidRDefault="00D457D9" w:rsidP="00D457D9">
                    <w:pPr>
                      <w:jc w:val="center"/>
                      <w:rPr>
                        <w:b/>
                        <w:color w:val="8DC640" w:themeColor="accent2"/>
                        <w:sz w:val="16"/>
                        <w:lang w:val="en-AU"/>
                      </w:rPr>
                    </w:pPr>
                    <w:r w:rsidRPr="00BA481B">
                      <w:rPr>
                        <w:b/>
                        <w:color w:val="8DC640" w:themeColor="accent2"/>
                        <w:sz w:val="16"/>
                        <w:lang w:val="en-AU"/>
                      </w:rPr>
                      <w:t>CW</w:t>
                    </w:r>
                  </w:p>
                </w:txbxContent>
              </v:textbox>
            </v:oval>
          </w:pict>
        </mc:Fallback>
      </mc:AlternateContent>
    </w:r>
    <w:r w:rsidR="00D457D9" w:rsidRPr="00D457D9">
      <w:t>Cooperation and Works</w:t>
    </w:r>
  </w:p>
  <w:p w14:paraId="45B3515C" w14:textId="00BC66BB" w:rsidR="00D457D9" w:rsidRDefault="004F569A" w:rsidP="00E02CCF">
    <w:pPr>
      <w:pStyle w:val="Heading2"/>
    </w:pPr>
    <w:r>
      <w:t>2</w:t>
    </w:r>
    <w:r w:rsidR="00D457D9" w:rsidRPr="00D457D9">
      <w:t xml:space="preserve"> </w:t>
    </w:r>
    <w:r>
      <w:t>Enabling Upgrade 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3310"/>
    <w:multiLevelType w:val="hybridMultilevel"/>
    <w:tmpl w:val="3F76E632"/>
    <w:lvl w:ilvl="0" w:tplc="F55C5BA0">
      <w:start w:val="1"/>
      <w:numFmt w:val="lowerLetter"/>
      <w:lvlText w:val="%1)"/>
      <w:lvlJc w:val="left"/>
      <w:pPr>
        <w:ind w:left="984" w:hanging="360"/>
      </w:pPr>
    </w:lvl>
    <w:lvl w:ilvl="1" w:tplc="E46234EA">
      <w:start w:val="1"/>
      <w:numFmt w:val="lowerRoman"/>
      <w:lvlText w:val="%2)"/>
      <w:lvlJc w:val="left"/>
      <w:pPr>
        <w:ind w:left="1704" w:hanging="360"/>
      </w:pPr>
      <w:rPr>
        <w:rFonts w:hint="default"/>
      </w:r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abstractNum w:abstractNumId="1" w15:restartNumberingAfterBreak="0">
    <w:nsid w:val="13D803D3"/>
    <w:multiLevelType w:val="hybridMultilevel"/>
    <w:tmpl w:val="4FBE9E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9EC1EDC">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AFD014D"/>
    <w:multiLevelType w:val="hybridMultilevel"/>
    <w:tmpl w:val="6776716A"/>
    <w:lvl w:ilvl="0" w:tplc="20D276A2">
      <w:start w:val="1"/>
      <w:numFmt w:val="upperRoman"/>
      <w:lvlText w:val="%1)"/>
      <w:lvlJc w:val="right"/>
      <w:pPr>
        <w:ind w:left="1704" w:hanging="360"/>
      </w:pPr>
      <w:rPr>
        <w:rFonts w:hint="default"/>
      </w:rPr>
    </w:lvl>
    <w:lvl w:ilvl="1" w:tplc="0C090019" w:tentative="1">
      <w:start w:val="1"/>
      <w:numFmt w:val="lowerLetter"/>
      <w:lvlText w:val="%2."/>
      <w:lvlJc w:val="left"/>
      <w:pPr>
        <w:ind w:left="2424" w:hanging="360"/>
      </w:pPr>
    </w:lvl>
    <w:lvl w:ilvl="2" w:tplc="0C09001B" w:tentative="1">
      <w:start w:val="1"/>
      <w:numFmt w:val="lowerRoman"/>
      <w:lvlText w:val="%3."/>
      <w:lvlJc w:val="right"/>
      <w:pPr>
        <w:ind w:left="3144" w:hanging="180"/>
      </w:pPr>
    </w:lvl>
    <w:lvl w:ilvl="3" w:tplc="0C09000F" w:tentative="1">
      <w:start w:val="1"/>
      <w:numFmt w:val="decimal"/>
      <w:lvlText w:val="%4."/>
      <w:lvlJc w:val="left"/>
      <w:pPr>
        <w:ind w:left="3864" w:hanging="360"/>
      </w:pPr>
    </w:lvl>
    <w:lvl w:ilvl="4" w:tplc="0C090019" w:tentative="1">
      <w:start w:val="1"/>
      <w:numFmt w:val="lowerLetter"/>
      <w:lvlText w:val="%5."/>
      <w:lvlJc w:val="left"/>
      <w:pPr>
        <w:ind w:left="4584" w:hanging="360"/>
      </w:pPr>
    </w:lvl>
    <w:lvl w:ilvl="5" w:tplc="0C09001B" w:tentative="1">
      <w:start w:val="1"/>
      <w:numFmt w:val="lowerRoman"/>
      <w:lvlText w:val="%6."/>
      <w:lvlJc w:val="right"/>
      <w:pPr>
        <w:ind w:left="5304" w:hanging="180"/>
      </w:pPr>
    </w:lvl>
    <w:lvl w:ilvl="6" w:tplc="0C09000F" w:tentative="1">
      <w:start w:val="1"/>
      <w:numFmt w:val="decimal"/>
      <w:lvlText w:val="%7."/>
      <w:lvlJc w:val="left"/>
      <w:pPr>
        <w:ind w:left="6024" w:hanging="360"/>
      </w:pPr>
    </w:lvl>
    <w:lvl w:ilvl="7" w:tplc="0C090019" w:tentative="1">
      <w:start w:val="1"/>
      <w:numFmt w:val="lowerLetter"/>
      <w:lvlText w:val="%8."/>
      <w:lvlJc w:val="left"/>
      <w:pPr>
        <w:ind w:left="6744" w:hanging="360"/>
      </w:pPr>
    </w:lvl>
    <w:lvl w:ilvl="8" w:tplc="0C09001B" w:tentative="1">
      <w:start w:val="1"/>
      <w:numFmt w:val="lowerRoman"/>
      <w:lvlText w:val="%9."/>
      <w:lvlJc w:val="right"/>
      <w:pPr>
        <w:ind w:left="7464" w:hanging="180"/>
      </w:pPr>
    </w:lvl>
  </w:abstractNum>
  <w:abstractNum w:abstractNumId="3" w15:restartNumberingAfterBreak="0">
    <w:nsid w:val="1B9725B8"/>
    <w:multiLevelType w:val="hybridMultilevel"/>
    <w:tmpl w:val="56DCC898"/>
    <w:lvl w:ilvl="0" w:tplc="0C090017">
      <w:start w:val="1"/>
      <w:numFmt w:val="lowerLetter"/>
      <w:lvlText w:val="%1)"/>
      <w:lvlJc w:val="left"/>
      <w:pPr>
        <w:ind w:left="1065" w:hanging="360"/>
      </w:pPr>
      <w:rPr>
        <w:rFonts w:hint="default"/>
      </w:r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4" w15:restartNumberingAfterBreak="0">
    <w:nsid w:val="1D0A364C"/>
    <w:multiLevelType w:val="hybridMultilevel"/>
    <w:tmpl w:val="918C21E4"/>
    <w:lvl w:ilvl="0" w:tplc="0C090017">
      <w:start w:val="1"/>
      <w:numFmt w:val="lowerLetter"/>
      <w:lvlText w:val="%1)"/>
      <w:lvlJc w:val="left"/>
      <w:pPr>
        <w:ind w:left="1065" w:hanging="360"/>
      </w:pPr>
      <w:rPr>
        <w:rFonts w:hint="default"/>
      </w:rPr>
    </w:lvl>
    <w:lvl w:ilvl="1" w:tplc="0C090019">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5" w15:restartNumberingAfterBreak="0">
    <w:nsid w:val="2DFF3EC0"/>
    <w:multiLevelType w:val="hybridMultilevel"/>
    <w:tmpl w:val="31B8AAF0"/>
    <w:lvl w:ilvl="0" w:tplc="0C090017">
      <w:start w:val="1"/>
      <w:numFmt w:val="lowerLetter"/>
      <w:lvlText w:val="%1)"/>
      <w:lvlJc w:val="left"/>
      <w:pPr>
        <w:ind w:left="1065" w:hanging="360"/>
      </w:pPr>
    </w:lvl>
    <w:lvl w:ilvl="1" w:tplc="0C090011">
      <w:start w:val="1"/>
      <w:numFmt w:val="decimal"/>
      <w:lvlText w:val="%2)"/>
      <w:lvlJc w:val="left"/>
      <w:pPr>
        <w:ind w:left="1785" w:hanging="360"/>
      </w:pPr>
    </w:lvl>
    <w:lvl w:ilvl="2" w:tplc="0C09001B">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6" w15:restartNumberingAfterBreak="0">
    <w:nsid w:val="3007281A"/>
    <w:multiLevelType w:val="hybridMultilevel"/>
    <w:tmpl w:val="67802E64"/>
    <w:lvl w:ilvl="0" w:tplc="20D276A2">
      <w:start w:val="1"/>
      <w:numFmt w:val="upperRoman"/>
      <w:lvlText w:val="%1)"/>
      <w:lvlJc w:val="right"/>
      <w:pPr>
        <w:ind w:left="1344" w:hanging="360"/>
      </w:pPr>
      <w:rPr>
        <w:rFonts w:hint="default"/>
      </w:rPr>
    </w:lvl>
    <w:lvl w:ilvl="1" w:tplc="20D276A2">
      <w:start w:val="1"/>
      <w:numFmt w:val="upperRoman"/>
      <w:lvlText w:val="%2)"/>
      <w:lvlJc w:val="right"/>
      <w:pPr>
        <w:ind w:left="2064" w:hanging="360"/>
      </w:pPr>
      <w:rPr>
        <w:rFonts w:hint="default"/>
      </w:rPr>
    </w:lvl>
    <w:lvl w:ilvl="2" w:tplc="0C09001B" w:tentative="1">
      <w:start w:val="1"/>
      <w:numFmt w:val="lowerRoman"/>
      <w:lvlText w:val="%3."/>
      <w:lvlJc w:val="right"/>
      <w:pPr>
        <w:ind w:left="2784" w:hanging="180"/>
      </w:pPr>
    </w:lvl>
    <w:lvl w:ilvl="3" w:tplc="0C09000F" w:tentative="1">
      <w:start w:val="1"/>
      <w:numFmt w:val="decimal"/>
      <w:lvlText w:val="%4."/>
      <w:lvlJc w:val="left"/>
      <w:pPr>
        <w:ind w:left="3504" w:hanging="360"/>
      </w:pPr>
    </w:lvl>
    <w:lvl w:ilvl="4" w:tplc="0C090019" w:tentative="1">
      <w:start w:val="1"/>
      <w:numFmt w:val="lowerLetter"/>
      <w:lvlText w:val="%5."/>
      <w:lvlJc w:val="left"/>
      <w:pPr>
        <w:ind w:left="4224" w:hanging="360"/>
      </w:pPr>
    </w:lvl>
    <w:lvl w:ilvl="5" w:tplc="0C09001B" w:tentative="1">
      <w:start w:val="1"/>
      <w:numFmt w:val="lowerRoman"/>
      <w:lvlText w:val="%6."/>
      <w:lvlJc w:val="right"/>
      <w:pPr>
        <w:ind w:left="4944" w:hanging="180"/>
      </w:pPr>
    </w:lvl>
    <w:lvl w:ilvl="6" w:tplc="0C09000F" w:tentative="1">
      <w:start w:val="1"/>
      <w:numFmt w:val="decimal"/>
      <w:lvlText w:val="%7."/>
      <w:lvlJc w:val="left"/>
      <w:pPr>
        <w:ind w:left="5664" w:hanging="360"/>
      </w:pPr>
    </w:lvl>
    <w:lvl w:ilvl="7" w:tplc="0C090019" w:tentative="1">
      <w:start w:val="1"/>
      <w:numFmt w:val="lowerLetter"/>
      <w:lvlText w:val="%8."/>
      <w:lvlJc w:val="left"/>
      <w:pPr>
        <w:ind w:left="6384" w:hanging="360"/>
      </w:pPr>
    </w:lvl>
    <w:lvl w:ilvl="8" w:tplc="0C09001B" w:tentative="1">
      <w:start w:val="1"/>
      <w:numFmt w:val="lowerRoman"/>
      <w:lvlText w:val="%9."/>
      <w:lvlJc w:val="right"/>
      <w:pPr>
        <w:ind w:left="7104" w:hanging="180"/>
      </w:pPr>
    </w:lvl>
  </w:abstractNum>
  <w:abstractNum w:abstractNumId="7" w15:restartNumberingAfterBreak="0">
    <w:nsid w:val="351A5715"/>
    <w:multiLevelType w:val="hybridMultilevel"/>
    <w:tmpl w:val="118C797E"/>
    <w:lvl w:ilvl="0" w:tplc="0C090015">
      <w:start w:val="1"/>
      <w:numFmt w:val="upp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8" w15:restartNumberingAfterBreak="0">
    <w:nsid w:val="386E1611"/>
    <w:multiLevelType w:val="hybridMultilevel"/>
    <w:tmpl w:val="53C89DD6"/>
    <w:lvl w:ilvl="0" w:tplc="0C090017">
      <w:start w:val="1"/>
      <w:numFmt w:val="lowerLetter"/>
      <w:lvlText w:val="%1)"/>
      <w:lvlJc w:val="left"/>
      <w:pPr>
        <w:ind w:left="1065" w:hanging="360"/>
      </w:pPr>
    </w:lvl>
    <w:lvl w:ilvl="1" w:tplc="B844B224">
      <w:start w:val="1"/>
      <w:numFmt w:val="lowerRoman"/>
      <w:pStyle w:val="Clause2ndlevel"/>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9" w15:restartNumberingAfterBreak="0">
    <w:nsid w:val="3A910915"/>
    <w:multiLevelType w:val="hybridMultilevel"/>
    <w:tmpl w:val="635C5834"/>
    <w:lvl w:ilvl="0" w:tplc="50F08B26">
      <w:start w:val="1"/>
      <w:numFmt w:val="bullet"/>
      <w:pStyle w:val="Green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F6111AA"/>
    <w:multiLevelType w:val="hybridMultilevel"/>
    <w:tmpl w:val="4FBE9EF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9EC1EDC">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42A0DF4"/>
    <w:multiLevelType w:val="hybridMultilevel"/>
    <w:tmpl w:val="F8AEB50C"/>
    <w:lvl w:ilvl="0" w:tplc="20D276A2">
      <w:start w:val="1"/>
      <w:numFmt w:val="upperRoman"/>
      <w:lvlText w:val="%1)"/>
      <w:lvlJc w:val="righ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2" w15:restartNumberingAfterBreak="0">
    <w:nsid w:val="5AB22519"/>
    <w:multiLevelType w:val="hybridMultilevel"/>
    <w:tmpl w:val="C66E0992"/>
    <w:lvl w:ilvl="0" w:tplc="0C090017">
      <w:start w:val="1"/>
      <w:numFmt w:val="lowerLetter"/>
      <w:lvlText w:val="%1)"/>
      <w:lvlJc w:val="left"/>
      <w:pPr>
        <w:ind w:left="1065" w:hanging="360"/>
      </w:pPr>
    </w:lvl>
    <w:lvl w:ilvl="1" w:tplc="0C09001B">
      <w:start w:val="1"/>
      <w:numFmt w:val="lowerRoman"/>
      <w:lvlText w:val="%2."/>
      <w:lvlJc w:val="righ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3" w15:restartNumberingAfterBreak="0">
    <w:nsid w:val="616D66FD"/>
    <w:multiLevelType w:val="hybridMultilevel"/>
    <w:tmpl w:val="CBC83D84"/>
    <w:lvl w:ilvl="0" w:tplc="0C090017">
      <w:start w:val="1"/>
      <w:numFmt w:val="lowerLetter"/>
      <w:lvlText w:val="%1)"/>
      <w:lvlJc w:val="left"/>
      <w:pPr>
        <w:ind w:left="1065" w:hanging="360"/>
      </w:pPr>
    </w:lvl>
    <w:lvl w:ilvl="1" w:tplc="64AA4084">
      <w:start w:val="1"/>
      <w:numFmt w:val="upp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4" w15:restartNumberingAfterBreak="0">
    <w:nsid w:val="62DD0E2A"/>
    <w:multiLevelType w:val="hybridMultilevel"/>
    <w:tmpl w:val="459AA906"/>
    <w:lvl w:ilvl="0" w:tplc="0C090017">
      <w:start w:val="1"/>
      <w:numFmt w:val="lowerLetter"/>
      <w:lvlText w:val="%1)"/>
      <w:lvlJc w:val="left"/>
      <w:pPr>
        <w:ind w:left="1065" w:hanging="360"/>
      </w:pPr>
    </w:lvl>
    <w:lvl w:ilvl="1" w:tplc="E46234EA">
      <w:start w:val="1"/>
      <w:numFmt w:val="lowerRoman"/>
      <w:lvlText w:val="%2)"/>
      <w:lvlJc w:val="lef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5" w15:restartNumberingAfterBreak="0">
    <w:nsid w:val="6ADA7A0B"/>
    <w:multiLevelType w:val="hybridMultilevel"/>
    <w:tmpl w:val="7EF60978"/>
    <w:lvl w:ilvl="0" w:tplc="0C090017">
      <w:start w:val="1"/>
      <w:numFmt w:val="lowerLetter"/>
      <w:lvlText w:val="%1)"/>
      <w:lvlJc w:val="left"/>
      <w:pPr>
        <w:ind w:left="1065" w:hanging="360"/>
      </w:pPr>
    </w:lvl>
    <w:lvl w:ilvl="1" w:tplc="20D276A2">
      <w:start w:val="1"/>
      <w:numFmt w:val="upperRoman"/>
      <w:lvlText w:val="%2)"/>
      <w:lvlJc w:val="right"/>
      <w:pPr>
        <w:ind w:left="1785" w:hanging="360"/>
      </w:pPr>
      <w:rPr>
        <w:rFonts w:hint="default"/>
      </w:r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16" w15:restartNumberingAfterBreak="0">
    <w:nsid w:val="7B2F10B4"/>
    <w:multiLevelType w:val="hybridMultilevel"/>
    <w:tmpl w:val="0E7ABDFA"/>
    <w:lvl w:ilvl="0" w:tplc="20D276A2">
      <w:start w:val="1"/>
      <w:numFmt w:val="upperRoman"/>
      <w:lvlText w:val="%1)"/>
      <w:lvlJc w:val="right"/>
      <w:pPr>
        <w:ind w:left="1362" w:hanging="360"/>
      </w:pPr>
      <w:rPr>
        <w:rFonts w:hint="default"/>
      </w:rPr>
    </w:lvl>
    <w:lvl w:ilvl="1" w:tplc="0C090019" w:tentative="1">
      <w:start w:val="1"/>
      <w:numFmt w:val="lowerLetter"/>
      <w:lvlText w:val="%2."/>
      <w:lvlJc w:val="left"/>
      <w:pPr>
        <w:ind w:left="2082" w:hanging="360"/>
      </w:pPr>
    </w:lvl>
    <w:lvl w:ilvl="2" w:tplc="0C09001B" w:tentative="1">
      <w:start w:val="1"/>
      <w:numFmt w:val="lowerRoman"/>
      <w:lvlText w:val="%3."/>
      <w:lvlJc w:val="right"/>
      <w:pPr>
        <w:ind w:left="2802" w:hanging="180"/>
      </w:pPr>
    </w:lvl>
    <w:lvl w:ilvl="3" w:tplc="0C09000F" w:tentative="1">
      <w:start w:val="1"/>
      <w:numFmt w:val="decimal"/>
      <w:lvlText w:val="%4."/>
      <w:lvlJc w:val="left"/>
      <w:pPr>
        <w:ind w:left="3522" w:hanging="360"/>
      </w:pPr>
    </w:lvl>
    <w:lvl w:ilvl="4" w:tplc="0C090019" w:tentative="1">
      <w:start w:val="1"/>
      <w:numFmt w:val="lowerLetter"/>
      <w:lvlText w:val="%5."/>
      <w:lvlJc w:val="left"/>
      <w:pPr>
        <w:ind w:left="4242" w:hanging="360"/>
      </w:pPr>
    </w:lvl>
    <w:lvl w:ilvl="5" w:tplc="0C09001B" w:tentative="1">
      <w:start w:val="1"/>
      <w:numFmt w:val="lowerRoman"/>
      <w:lvlText w:val="%6."/>
      <w:lvlJc w:val="right"/>
      <w:pPr>
        <w:ind w:left="4962" w:hanging="180"/>
      </w:pPr>
    </w:lvl>
    <w:lvl w:ilvl="6" w:tplc="0C09000F" w:tentative="1">
      <w:start w:val="1"/>
      <w:numFmt w:val="decimal"/>
      <w:lvlText w:val="%7."/>
      <w:lvlJc w:val="left"/>
      <w:pPr>
        <w:ind w:left="5682" w:hanging="360"/>
      </w:pPr>
    </w:lvl>
    <w:lvl w:ilvl="7" w:tplc="0C090019" w:tentative="1">
      <w:start w:val="1"/>
      <w:numFmt w:val="lowerLetter"/>
      <w:lvlText w:val="%8."/>
      <w:lvlJc w:val="left"/>
      <w:pPr>
        <w:ind w:left="6402" w:hanging="360"/>
      </w:pPr>
    </w:lvl>
    <w:lvl w:ilvl="8" w:tplc="0C09001B" w:tentative="1">
      <w:start w:val="1"/>
      <w:numFmt w:val="lowerRoman"/>
      <w:lvlText w:val="%9."/>
      <w:lvlJc w:val="right"/>
      <w:pPr>
        <w:ind w:left="7122" w:hanging="180"/>
      </w:pPr>
    </w:lvl>
  </w:abstractNum>
  <w:abstractNum w:abstractNumId="17" w15:restartNumberingAfterBreak="0">
    <w:nsid w:val="7D916AA0"/>
    <w:multiLevelType w:val="hybridMultilevel"/>
    <w:tmpl w:val="58FC5836"/>
    <w:lvl w:ilvl="0" w:tplc="9CCE1A1A">
      <w:start w:val="1"/>
      <w:numFmt w:val="lowerLetter"/>
      <w:pStyle w:val="Clauseindent"/>
      <w:lvlText w:val="%1)"/>
      <w:lvlJc w:val="left"/>
      <w:pPr>
        <w:ind w:left="3337" w:hanging="360"/>
      </w:pPr>
    </w:lvl>
    <w:lvl w:ilvl="1" w:tplc="20D276A2">
      <w:start w:val="1"/>
      <w:numFmt w:val="upperRoman"/>
      <w:lvlText w:val="%2)"/>
      <w:lvlJc w:val="right"/>
      <w:pPr>
        <w:ind w:left="1704" w:hanging="360"/>
      </w:pPr>
      <w:rPr>
        <w:rFonts w:hint="default"/>
      </w:rPr>
    </w:lvl>
    <w:lvl w:ilvl="2" w:tplc="0C09001B" w:tentative="1">
      <w:start w:val="1"/>
      <w:numFmt w:val="lowerRoman"/>
      <w:lvlText w:val="%3."/>
      <w:lvlJc w:val="right"/>
      <w:pPr>
        <w:ind w:left="2424" w:hanging="180"/>
      </w:pPr>
    </w:lvl>
    <w:lvl w:ilvl="3" w:tplc="0C09000F" w:tentative="1">
      <w:start w:val="1"/>
      <w:numFmt w:val="decimal"/>
      <w:lvlText w:val="%4."/>
      <w:lvlJc w:val="left"/>
      <w:pPr>
        <w:ind w:left="3144" w:hanging="360"/>
      </w:pPr>
    </w:lvl>
    <w:lvl w:ilvl="4" w:tplc="0C090019" w:tentative="1">
      <w:start w:val="1"/>
      <w:numFmt w:val="lowerLetter"/>
      <w:lvlText w:val="%5."/>
      <w:lvlJc w:val="left"/>
      <w:pPr>
        <w:ind w:left="3864" w:hanging="360"/>
      </w:pPr>
    </w:lvl>
    <w:lvl w:ilvl="5" w:tplc="0C09001B" w:tentative="1">
      <w:start w:val="1"/>
      <w:numFmt w:val="lowerRoman"/>
      <w:lvlText w:val="%6."/>
      <w:lvlJc w:val="right"/>
      <w:pPr>
        <w:ind w:left="4584" w:hanging="180"/>
      </w:pPr>
    </w:lvl>
    <w:lvl w:ilvl="6" w:tplc="0C09000F" w:tentative="1">
      <w:start w:val="1"/>
      <w:numFmt w:val="decimal"/>
      <w:lvlText w:val="%7."/>
      <w:lvlJc w:val="left"/>
      <w:pPr>
        <w:ind w:left="5304" w:hanging="360"/>
      </w:pPr>
    </w:lvl>
    <w:lvl w:ilvl="7" w:tplc="0C090019" w:tentative="1">
      <w:start w:val="1"/>
      <w:numFmt w:val="lowerLetter"/>
      <w:lvlText w:val="%8."/>
      <w:lvlJc w:val="left"/>
      <w:pPr>
        <w:ind w:left="6024" w:hanging="360"/>
      </w:pPr>
    </w:lvl>
    <w:lvl w:ilvl="8" w:tplc="0C09001B" w:tentative="1">
      <w:start w:val="1"/>
      <w:numFmt w:val="lowerRoman"/>
      <w:lvlText w:val="%9."/>
      <w:lvlJc w:val="right"/>
      <w:pPr>
        <w:ind w:left="6744" w:hanging="180"/>
      </w:pPr>
    </w:lvl>
  </w:abstractNum>
  <w:num w:numId="1">
    <w:abstractNumId w:val="10"/>
  </w:num>
  <w:num w:numId="2">
    <w:abstractNumId w:val="1"/>
  </w:num>
  <w:num w:numId="3">
    <w:abstractNumId w:val="17"/>
  </w:num>
  <w:num w:numId="4">
    <w:abstractNumId w:val="12"/>
  </w:num>
  <w:num w:numId="5">
    <w:abstractNumId w:val="13"/>
  </w:num>
  <w:num w:numId="6">
    <w:abstractNumId w:val="15"/>
  </w:num>
  <w:num w:numId="7">
    <w:abstractNumId w:val="5"/>
  </w:num>
  <w:num w:numId="8">
    <w:abstractNumId w:val="13"/>
    <w:lvlOverride w:ilvl="0">
      <w:startOverride w:val="1"/>
    </w:lvlOverride>
  </w:num>
  <w:num w:numId="9">
    <w:abstractNumId w:val="13"/>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13"/>
    <w:lvlOverride w:ilvl="0">
      <w:startOverride w:val="1"/>
    </w:lvlOverride>
  </w:num>
  <w:num w:numId="13">
    <w:abstractNumId w:val="17"/>
    <w:lvlOverride w:ilvl="0">
      <w:startOverride w:val="1"/>
    </w:lvlOverride>
  </w:num>
  <w:num w:numId="14">
    <w:abstractNumId w:val="16"/>
  </w:num>
  <w:num w:numId="15">
    <w:abstractNumId w:val="2"/>
  </w:num>
  <w:num w:numId="16">
    <w:abstractNumId w:val="6"/>
  </w:num>
  <w:num w:numId="17">
    <w:abstractNumId w:val="11"/>
  </w:num>
  <w:num w:numId="18">
    <w:abstractNumId w:val="7"/>
  </w:num>
  <w:num w:numId="19">
    <w:abstractNumId w:val="4"/>
  </w:num>
  <w:num w:numId="20">
    <w:abstractNumId w:val="3"/>
  </w:num>
  <w:num w:numId="21">
    <w:abstractNumId w:val="0"/>
  </w:num>
  <w:num w:numId="22">
    <w:abstractNumId w:val="14"/>
  </w:num>
  <w:num w:numId="23">
    <w:abstractNumId w:val="9"/>
  </w:num>
  <w:num w:numId="24">
    <w:abstractNumId w:val="17"/>
    <w:lvlOverride w:ilvl="0">
      <w:startOverride w:val="1"/>
    </w:lvlOverride>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E2"/>
    <w:rsid w:val="0004737B"/>
    <w:rsid w:val="001E130B"/>
    <w:rsid w:val="00286AD2"/>
    <w:rsid w:val="002E45BC"/>
    <w:rsid w:val="003525DD"/>
    <w:rsid w:val="0040274D"/>
    <w:rsid w:val="004F569A"/>
    <w:rsid w:val="006F29E2"/>
    <w:rsid w:val="007879CA"/>
    <w:rsid w:val="0079191E"/>
    <w:rsid w:val="007A7A8A"/>
    <w:rsid w:val="0084769B"/>
    <w:rsid w:val="008C7786"/>
    <w:rsid w:val="009127A8"/>
    <w:rsid w:val="00991360"/>
    <w:rsid w:val="00BA481B"/>
    <w:rsid w:val="00C37D05"/>
    <w:rsid w:val="00CB6007"/>
    <w:rsid w:val="00D457D9"/>
    <w:rsid w:val="00D87539"/>
    <w:rsid w:val="00DA1F1D"/>
    <w:rsid w:val="00E02CCF"/>
    <w:rsid w:val="00F95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5243FF"/>
  <w15:chartTrackingRefBased/>
  <w15:docId w15:val="{4B9BC0BD-F301-4EC6-BFFA-032653DD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130B"/>
    <w:pPr>
      <w:spacing w:after="80" w:line="240" w:lineRule="auto"/>
    </w:pPr>
    <w:rPr>
      <w:sz w:val="18"/>
    </w:rPr>
  </w:style>
  <w:style w:type="paragraph" w:styleId="Heading1">
    <w:name w:val="heading 1"/>
    <w:basedOn w:val="Normal"/>
    <w:next w:val="Normal"/>
    <w:link w:val="Heading1Char"/>
    <w:uiPriority w:val="9"/>
    <w:qFormat/>
    <w:rsid w:val="00D457D9"/>
    <w:pPr>
      <w:keepNext/>
      <w:keepLines/>
      <w:spacing w:before="240" w:after="0" w:line="192" w:lineRule="auto"/>
      <w:outlineLvl w:val="0"/>
    </w:pPr>
    <w:rPr>
      <w:rFonts w:eastAsiaTheme="majorEastAsia" w:cstheme="majorBidi"/>
      <w:b/>
      <w:color w:val="8DC640" w:themeColor="accent2"/>
      <w:sz w:val="40"/>
      <w:szCs w:val="32"/>
    </w:rPr>
  </w:style>
  <w:style w:type="paragraph" w:styleId="Heading2">
    <w:name w:val="heading 2"/>
    <w:basedOn w:val="Normal"/>
    <w:next w:val="Normal"/>
    <w:link w:val="Heading2Char"/>
    <w:uiPriority w:val="9"/>
    <w:unhideWhenUsed/>
    <w:qFormat/>
    <w:rsid w:val="00D457D9"/>
    <w:pPr>
      <w:keepNext/>
      <w:keepLines/>
      <w:spacing w:before="40" w:after="0" w:line="192" w:lineRule="auto"/>
      <w:outlineLvl w:val="1"/>
    </w:pPr>
    <w:rPr>
      <w:rFonts w:eastAsiaTheme="majorEastAsia" w:cstheme="majorBidi"/>
      <w:b/>
      <w:color w:val="39B536"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F29E2"/>
    <w:pPr>
      <w:autoSpaceDE w:val="0"/>
      <w:autoSpaceDN w:val="0"/>
      <w:adjustRightInd w:val="0"/>
      <w:spacing w:after="0" w:line="288" w:lineRule="auto"/>
      <w:textAlignment w:val="center"/>
    </w:pPr>
    <w:rPr>
      <w:rFonts w:ascii="Gotham Narrow Light" w:hAnsi="Gotham Narrow Light"/>
      <w:color w:val="000000"/>
      <w:sz w:val="24"/>
      <w:szCs w:val="24"/>
      <w:lang w:val="en-GB"/>
    </w:rPr>
  </w:style>
  <w:style w:type="paragraph" w:customStyle="1" w:styleId="greentype">
    <w:name w:val="green type"/>
    <w:basedOn w:val="Normal"/>
    <w:link w:val="greentypeChar"/>
    <w:uiPriority w:val="99"/>
    <w:rsid w:val="006F29E2"/>
    <w:pPr>
      <w:suppressAutoHyphens/>
      <w:autoSpaceDE w:val="0"/>
      <w:autoSpaceDN w:val="0"/>
      <w:adjustRightInd w:val="0"/>
      <w:spacing w:after="113" w:line="200" w:lineRule="atLeast"/>
      <w:textAlignment w:val="center"/>
    </w:pPr>
    <w:rPr>
      <w:rFonts w:ascii="Gotham Narrow Light" w:hAnsi="Gotham Narrow Light" w:cs="Gotham Narrow Light"/>
      <w:color w:val="38B449"/>
      <w:spacing w:val="-2"/>
      <w:szCs w:val="18"/>
    </w:rPr>
  </w:style>
  <w:style w:type="character" w:customStyle="1" w:styleId="tabletitles">
    <w:name w:val="table titles"/>
    <w:basedOn w:val="DefaultParagraphFont"/>
    <w:uiPriority w:val="99"/>
    <w:rsid w:val="006F29E2"/>
    <w:rPr>
      <w:rFonts w:ascii="Gotham Narrow Bold" w:hAnsi="Gotham Narrow Bold" w:cs="Gotham Narrow Bold"/>
      <w:b/>
      <w:bCs/>
      <w:caps/>
      <w:color w:val="006738"/>
    </w:rPr>
  </w:style>
  <w:style w:type="paragraph" w:customStyle="1" w:styleId="defandrisks">
    <w:name w:val="def and risks"/>
    <w:basedOn w:val="Normal"/>
    <w:uiPriority w:val="99"/>
    <w:rsid w:val="006F29E2"/>
    <w:pPr>
      <w:suppressAutoHyphens/>
      <w:autoSpaceDE w:val="0"/>
      <w:autoSpaceDN w:val="0"/>
      <w:adjustRightInd w:val="0"/>
      <w:spacing w:before="113" w:after="0" w:line="180" w:lineRule="atLeast"/>
      <w:textAlignment w:val="center"/>
    </w:pPr>
    <w:rPr>
      <w:rFonts w:ascii="Gotham Narrow Light" w:hAnsi="Gotham Narrow Light" w:cs="Gotham Narrow Light"/>
      <w:color w:val="000000"/>
      <w:spacing w:val="-2"/>
      <w:sz w:val="16"/>
      <w:szCs w:val="16"/>
    </w:rPr>
  </w:style>
  <w:style w:type="paragraph" w:customStyle="1" w:styleId="Clause">
    <w:name w:val="Clause"/>
    <w:basedOn w:val="Normal"/>
    <w:uiPriority w:val="99"/>
    <w:rsid w:val="006F29E2"/>
    <w:pPr>
      <w:suppressAutoHyphens/>
      <w:autoSpaceDE w:val="0"/>
      <w:autoSpaceDN w:val="0"/>
      <w:adjustRightInd w:val="0"/>
      <w:spacing w:after="113" w:line="180" w:lineRule="atLeast"/>
      <w:textAlignment w:val="center"/>
    </w:pPr>
    <w:rPr>
      <w:rFonts w:ascii="Gotham Narrow Light" w:hAnsi="Gotham Narrow Light" w:cs="Gotham Narrow Light"/>
      <w:color w:val="000000"/>
      <w:spacing w:val="-2"/>
      <w:szCs w:val="18"/>
    </w:rPr>
  </w:style>
  <w:style w:type="paragraph" w:customStyle="1" w:styleId="clausenolist">
    <w:name w:val="clause no list"/>
    <w:basedOn w:val="List"/>
    <w:uiPriority w:val="99"/>
    <w:rsid w:val="006F29E2"/>
    <w:pPr>
      <w:suppressAutoHyphens/>
      <w:autoSpaceDE w:val="0"/>
      <w:autoSpaceDN w:val="0"/>
      <w:adjustRightInd w:val="0"/>
      <w:spacing w:after="57" w:line="180" w:lineRule="atLeast"/>
      <w:ind w:left="227" w:firstLine="0"/>
      <w:contextualSpacing w:val="0"/>
      <w:textAlignment w:val="center"/>
    </w:pPr>
    <w:rPr>
      <w:rFonts w:ascii="Gotham Narrow Light" w:hAnsi="Gotham Narrow Light" w:cs="Gotham Narrow Light"/>
      <w:color w:val="38B449"/>
      <w:spacing w:val="-2"/>
      <w:szCs w:val="18"/>
    </w:rPr>
  </w:style>
  <w:style w:type="character" w:customStyle="1" w:styleId="clausetitle">
    <w:name w:val="clause title"/>
    <w:basedOn w:val="DefaultParagraphFont"/>
    <w:uiPriority w:val="99"/>
    <w:rsid w:val="006F29E2"/>
    <w:rPr>
      <w:color w:val="38B449"/>
    </w:rPr>
  </w:style>
  <w:style w:type="paragraph" w:styleId="List">
    <w:name w:val="List"/>
    <w:basedOn w:val="Normal"/>
    <w:uiPriority w:val="99"/>
    <w:semiHidden/>
    <w:unhideWhenUsed/>
    <w:rsid w:val="006F29E2"/>
    <w:pPr>
      <w:ind w:left="283" w:hanging="283"/>
      <w:contextualSpacing/>
    </w:pPr>
  </w:style>
  <w:style w:type="paragraph" w:customStyle="1" w:styleId="GreenText">
    <w:name w:val="Green Text"/>
    <w:basedOn w:val="Normal"/>
    <w:link w:val="GreenTextChar"/>
    <w:qFormat/>
    <w:rsid w:val="006F29E2"/>
    <w:rPr>
      <w:color w:val="39B536" w:themeColor="accent3"/>
    </w:rPr>
  </w:style>
  <w:style w:type="paragraph" w:customStyle="1" w:styleId="TableHeader">
    <w:name w:val="Table Header"/>
    <w:basedOn w:val="greentype"/>
    <w:link w:val="TableHeaderChar"/>
    <w:qFormat/>
    <w:rsid w:val="00E02CCF"/>
    <w:pPr>
      <w:spacing w:after="0" w:line="192" w:lineRule="auto"/>
    </w:pPr>
    <w:rPr>
      <w:rFonts w:asciiTheme="minorHAnsi" w:hAnsiTheme="minorHAnsi" w:cstheme="majorHAnsi"/>
      <w:b/>
      <w:caps/>
      <w:color w:val="006838" w:themeColor="accent1"/>
    </w:rPr>
  </w:style>
  <w:style w:type="character" w:customStyle="1" w:styleId="GreenTextChar">
    <w:name w:val="Green Text Char"/>
    <w:basedOn w:val="DefaultParagraphFont"/>
    <w:link w:val="GreenText"/>
    <w:rsid w:val="006F29E2"/>
    <w:rPr>
      <w:color w:val="39B536" w:themeColor="accent3"/>
      <w:sz w:val="18"/>
    </w:rPr>
  </w:style>
  <w:style w:type="paragraph" w:styleId="Header">
    <w:name w:val="header"/>
    <w:basedOn w:val="Normal"/>
    <w:link w:val="HeaderChar"/>
    <w:uiPriority w:val="99"/>
    <w:unhideWhenUsed/>
    <w:rsid w:val="00D457D9"/>
    <w:pPr>
      <w:tabs>
        <w:tab w:val="center" w:pos="4680"/>
        <w:tab w:val="right" w:pos="9360"/>
      </w:tabs>
      <w:spacing w:after="0"/>
    </w:pPr>
  </w:style>
  <w:style w:type="character" w:customStyle="1" w:styleId="greentypeChar">
    <w:name w:val="green type Char"/>
    <w:basedOn w:val="DefaultParagraphFont"/>
    <w:link w:val="greentype"/>
    <w:uiPriority w:val="99"/>
    <w:rsid w:val="006F29E2"/>
    <w:rPr>
      <w:rFonts w:ascii="Gotham Narrow Light" w:hAnsi="Gotham Narrow Light" w:cs="Gotham Narrow Light"/>
      <w:color w:val="38B449"/>
      <w:spacing w:val="-2"/>
      <w:sz w:val="18"/>
      <w:szCs w:val="18"/>
    </w:rPr>
  </w:style>
  <w:style w:type="character" w:customStyle="1" w:styleId="TableHeaderChar">
    <w:name w:val="Table Header Char"/>
    <w:basedOn w:val="greentypeChar"/>
    <w:link w:val="TableHeader"/>
    <w:rsid w:val="00E02CCF"/>
    <w:rPr>
      <w:rFonts w:ascii="Gotham Narrow Light" w:hAnsi="Gotham Narrow Light" w:cstheme="majorHAnsi"/>
      <w:b/>
      <w:caps/>
      <w:color w:val="006838" w:themeColor="accent1"/>
      <w:spacing w:val="-2"/>
      <w:sz w:val="18"/>
      <w:szCs w:val="18"/>
    </w:rPr>
  </w:style>
  <w:style w:type="character" w:customStyle="1" w:styleId="HeaderChar">
    <w:name w:val="Header Char"/>
    <w:basedOn w:val="DefaultParagraphFont"/>
    <w:link w:val="Header"/>
    <w:uiPriority w:val="99"/>
    <w:rsid w:val="00D457D9"/>
    <w:rPr>
      <w:sz w:val="18"/>
    </w:rPr>
  </w:style>
  <w:style w:type="paragraph" w:styleId="Footer">
    <w:name w:val="footer"/>
    <w:basedOn w:val="Normal"/>
    <w:link w:val="FooterChar"/>
    <w:uiPriority w:val="99"/>
    <w:unhideWhenUsed/>
    <w:rsid w:val="00D457D9"/>
    <w:pPr>
      <w:tabs>
        <w:tab w:val="center" w:pos="4680"/>
        <w:tab w:val="right" w:pos="9360"/>
      </w:tabs>
      <w:spacing w:after="0"/>
    </w:pPr>
  </w:style>
  <w:style w:type="character" w:customStyle="1" w:styleId="FooterChar">
    <w:name w:val="Footer Char"/>
    <w:basedOn w:val="DefaultParagraphFont"/>
    <w:link w:val="Footer"/>
    <w:uiPriority w:val="99"/>
    <w:rsid w:val="00D457D9"/>
    <w:rPr>
      <w:sz w:val="18"/>
    </w:rPr>
  </w:style>
  <w:style w:type="character" w:customStyle="1" w:styleId="Heading">
    <w:name w:val="Heading"/>
    <w:uiPriority w:val="99"/>
    <w:rsid w:val="00D457D9"/>
    <w:rPr>
      <w:rFonts w:ascii="Gotham Narrow Bold" w:hAnsi="Gotham Narrow Bold" w:cs="Gotham Narrow Bold"/>
      <w:b/>
      <w:bCs/>
      <w:color w:val="8CC640"/>
      <w:sz w:val="48"/>
      <w:szCs w:val="48"/>
      <w:u w:val="none"/>
      <w:lang w:val="en-US"/>
    </w:rPr>
  </w:style>
  <w:style w:type="character" w:customStyle="1" w:styleId="Heading1Char">
    <w:name w:val="Heading 1 Char"/>
    <w:basedOn w:val="DefaultParagraphFont"/>
    <w:link w:val="Heading1"/>
    <w:uiPriority w:val="9"/>
    <w:rsid w:val="00D457D9"/>
    <w:rPr>
      <w:rFonts w:eastAsiaTheme="majorEastAsia" w:cstheme="majorBidi"/>
      <w:b/>
      <w:color w:val="8DC640" w:themeColor="accent2"/>
      <w:sz w:val="40"/>
      <w:szCs w:val="32"/>
    </w:rPr>
  </w:style>
  <w:style w:type="character" w:customStyle="1" w:styleId="Heading2Char">
    <w:name w:val="Heading 2 Char"/>
    <w:basedOn w:val="DefaultParagraphFont"/>
    <w:link w:val="Heading2"/>
    <w:uiPriority w:val="9"/>
    <w:rsid w:val="00D457D9"/>
    <w:rPr>
      <w:rFonts w:eastAsiaTheme="majorEastAsia" w:cstheme="majorBidi"/>
      <w:b/>
      <w:color w:val="39B536" w:themeColor="accent3"/>
      <w:sz w:val="40"/>
      <w:szCs w:val="26"/>
    </w:rPr>
  </w:style>
  <w:style w:type="paragraph" w:customStyle="1" w:styleId="Notes">
    <w:name w:val="Notes"/>
    <w:basedOn w:val="Normal"/>
    <w:link w:val="NotesChar"/>
    <w:qFormat/>
    <w:rsid w:val="0084769B"/>
    <w:rPr>
      <w:sz w:val="16"/>
    </w:rPr>
  </w:style>
  <w:style w:type="paragraph" w:customStyle="1" w:styleId="ClauseTitle0">
    <w:name w:val="Clause Title"/>
    <w:basedOn w:val="Normal"/>
    <w:link w:val="ClauseTitleChar"/>
    <w:qFormat/>
    <w:rsid w:val="00D457D9"/>
    <w:rPr>
      <w:b/>
      <w:color w:val="39B536" w:themeColor="accent3"/>
    </w:rPr>
  </w:style>
  <w:style w:type="character" w:customStyle="1" w:styleId="NotesChar">
    <w:name w:val="Notes Char"/>
    <w:basedOn w:val="DefaultParagraphFont"/>
    <w:link w:val="Notes"/>
    <w:rsid w:val="0084769B"/>
    <w:rPr>
      <w:sz w:val="16"/>
    </w:rPr>
  </w:style>
  <w:style w:type="paragraph" w:customStyle="1" w:styleId="Clausecopy">
    <w:name w:val="Clause copy"/>
    <w:basedOn w:val="Normal"/>
    <w:link w:val="ClausecopyChar"/>
    <w:qFormat/>
    <w:rsid w:val="00D457D9"/>
    <w:pPr>
      <w:ind w:left="345"/>
    </w:pPr>
    <w:rPr>
      <w:color w:val="39B536" w:themeColor="accent3"/>
    </w:rPr>
  </w:style>
  <w:style w:type="character" w:customStyle="1" w:styleId="ClauseTitleChar">
    <w:name w:val="Clause Title Char"/>
    <w:basedOn w:val="DefaultParagraphFont"/>
    <w:link w:val="ClauseTitle0"/>
    <w:rsid w:val="00D457D9"/>
    <w:rPr>
      <w:b/>
      <w:color w:val="39B536" w:themeColor="accent3"/>
      <w:sz w:val="18"/>
    </w:rPr>
  </w:style>
  <w:style w:type="paragraph" w:customStyle="1" w:styleId="clauseliststart">
    <w:name w:val="clause list start"/>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character" w:customStyle="1" w:styleId="ClausecopyChar">
    <w:name w:val="Clause copy Char"/>
    <w:basedOn w:val="DefaultParagraphFont"/>
    <w:link w:val="Clausecopy"/>
    <w:rsid w:val="00D457D9"/>
    <w:rPr>
      <w:color w:val="39B536" w:themeColor="accent3"/>
      <w:sz w:val="18"/>
    </w:rPr>
  </w:style>
  <w:style w:type="paragraph" w:customStyle="1" w:styleId="clauselist2">
    <w:name w:val="clause list 2"/>
    <w:basedOn w:val="clauseliststart"/>
    <w:uiPriority w:val="99"/>
    <w:rsid w:val="0084769B"/>
    <w:pPr>
      <w:tabs>
        <w:tab w:val="left" w:pos="1140"/>
      </w:tabs>
      <w:ind w:left="1134" w:hanging="340"/>
    </w:pPr>
  </w:style>
  <w:style w:type="paragraph" w:customStyle="1" w:styleId="clauselistfollow">
    <w:name w:val="clause list follow"/>
    <w:basedOn w:val="List"/>
    <w:uiPriority w:val="99"/>
    <w:rsid w:val="0084769B"/>
    <w:pPr>
      <w:suppressAutoHyphens/>
      <w:autoSpaceDE w:val="0"/>
      <w:autoSpaceDN w:val="0"/>
      <w:adjustRightInd w:val="0"/>
      <w:spacing w:after="57" w:line="180" w:lineRule="atLeast"/>
      <w:ind w:left="567"/>
      <w:contextualSpacing w:val="0"/>
      <w:textAlignment w:val="center"/>
    </w:pPr>
    <w:rPr>
      <w:rFonts w:ascii="Gotham Narrow Book" w:hAnsi="Gotham Narrow Book" w:cs="Gotham Narrow Book"/>
      <w:color w:val="38B449"/>
      <w:spacing w:val="-2"/>
      <w:szCs w:val="18"/>
    </w:rPr>
  </w:style>
  <w:style w:type="paragraph" w:customStyle="1" w:styleId="clauselist2nolist">
    <w:name w:val="clause list 2 no list"/>
    <w:basedOn w:val="clauseliststart"/>
    <w:uiPriority w:val="99"/>
    <w:rsid w:val="0084769B"/>
    <w:pPr>
      <w:tabs>
        <w:tab w:val="left" w:pos="1140"/>
      </w:tabs>
      <w:ind w:left="1134" w:firstLine="0"/>
    </w:pPr>
  </w:style>
  <w:style w:type="paragraph" w:customStyle="1" w:styleId="Clauseindent">
    <w:name w:val="Clause indent"/>
    <w:basedOn w:val="Clausecopy"/>
    <w:link w:val="ClauseindentChar"/>
    <w:qFormat/>
    <w:rsid w:val="0040274D"/>
    <w:pPr>
      <w:numPr>
        <w:numId w:val="3"/>
      </w:numPr>
      <w:ind w:left="653" w:hanging="369"/>
    </w:pPr>
  </w:style>
  <w:style w:type="paragraph" w:customStyle="1" w:styleId="Clause2ndlevel">
    <w:name w:val="Clause 2nd level"/>
    <w:basedOn w:val="Clausecopy"/>
    <w:link w:val="Clause2ndlevelChar"/>
    <w:qFormat/>
    <w:rsid w:val="0079191E"/>
    <w:pPr>
      <w:numPr>
        <w:ilvl w:val="1"/>
        <w:numId w:val="25"/>
      </w:numPr>
      <w:ind w:left="1260" w:hanging="350"/>
    </w:pPr>
  </w:style>
  <w:style w:type="character" w:customStyle="1" w:styleId="ClauseindentChar">
    <w:name w:val="Clause indent Char"/>
    <w:basedOn w:val="ClausecopyChar"/>
    <w:link w:val="Clauseindent"/>
    <w:rsid w:val="0040274D"/>
    <w:rPr>
      <w:color w:val="39B536" w:themeColor="accent3"/>
      <w:sz w:val="18"/>
    </w:rPr>
  </w:style>
  <w:style w:type="character" w:customStyle="1" w:styleId="optionchoice">
    <w:name w:val="option choice"/>
    <w:uiPriority w:val="99"/>
    <w:rsid w:val="00286AD2"/>
    <w:rPr>
      <w:outline/>
      <w:u w:val="thick" w:color="7A1B49"/>
    </w:rPr>
  </w:style>
  <w:style w:type="character" w:customStyle="1" w:styleId="Clause2ndlevelChar">
    <w:name w:val="Clause 2nd level Char"/>
    <w:basedOn w:val="ClausecopyChar"/>
    <w:link w:val="Clause2ndlevel"/>
    <w:rsid w:val="0079191E"/>
    <w:rPr>
      <w:color w:val="39B536" w:themeColor="accent3"/>
      <w:sz w:val="18"/>
    </w:rPr>
  </w:style>
  <w:style w:type="paragraph" w:customStyle="1" w:styleId="OptionHighlight">
    <w:name w:val="Option Highlight"/>
    <w:basedOn w:val="Clausecopy"/>
    <w:link w:val="OptionHighlightChar"/>
    <w:qFormat/>
    <w:rsid w:val="00286AD2"/>
    <w:rPr>
      <w:color w:val="FFFFFF" w:themeColor="background1"/>
    </w:rPr>
  </w:style>
  <w:style w:type="character" w:customStyle="1" w:styleId="OptionHighlightChar">
    <w:name w:val="Option Highlight Char"/>
    <w:basedOn w:val="ClausecopyChar"/>
    <w:link w:val="OptionHighlight"/>
    <w:rsid w:val="00286AD2"/>
    <w:rPr>
      <w:color w:val="FFFFFF" w:themeColor="background1"/>
      <w:sz w:val="18"/>
    </w:rPr>
  </w:style>
  <w:style w:type="paragraph" w:customStyle="1" w:styleId="GreenBullets">
    <w:name w:val="Green Bullets"/>
    <w:basedOn w:val="GreenText"/>
    <w:link w:val="GreenBulletsChar"/>
    <w:qFormat/>
    <w:rsid w:val="004F569A"/>
    <w:pPr>
      <w:numPr>
        <w:numId w:val="23"/>
      </w:numPr>
      <w:spacing w:after="40"/>
      <w:ind w:left="454" w:hanging="227"/>
    </w:pPr>
  </w:style>
  <w:style w:type="character" w:customStyle="1" w:styleId="draftingnote">
    <w:name w:val="drafting note"/>
    <w:uiPriority w:val="99"/>
    <w:rsid w:val="004F569A"/>
    <w:rPr>
      <w:color w:val="000000"/>
      <w:u w:val="thick" w:color="ABE0F9"/>
    </w:rPr>
  </w:style>
  <w:style w:type="character" w:customStyle="1" w:styleId="GreenBulletsChar">
    <w:name w:val="Green Bullets Char"/>
    <w:basedOn w:val="GreenTextChar"/>
    <w:link w:val="GreenBullets"/>
    <w:rsid w:val="004F569A"/>
    <w:rPr>
      <w:color w:val="39B536" w:themeColor="accent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BP">
      <a:dk1>
        <a:sysClr val="windowText" lastClr="000000"/>
      </a:dk1>
      <a:lt1>
        <a:sysClr val="window" lastClr="FFFFFF"/>
      </a:lt1>
      <a:dk2>
        <a:srgbClr val="E1E2E3"/>
      </a:dk2>
      <a:lt2>
        <a:srgbClr val="939598"/>
      </a:lt2>
      <a:accent1>
        <a:srgbClr val="006838"/>
      </a:accent1>
      <a:accent2>
        <a:srgbClr val="8DC640"/>
      </a:accent2>
      <a:accent3>
        <a:srgbClr val="39B536"/>
      </a:accent3>
      <a:accent4>
        <a:srgbClr val="ABE1FA"/>
      </a:accent4>
      <a:accent5>
        <a:srgbClr val="7B1C49"/>
      </a:accent5>
      <a:accent6>
        <a:srgbClr val="3A0019"/>
      </a:accent6>
      <a:hlink>
        <a:srgbClr val="39B536"/>
      </a:hlink>
      <a:folHlink>
        <a:srgbClr val="39B53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5BBDE-753C-40E9-8AB9-410C0174B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Gilmour</dc:creator>
  <cp:keywords/>
  <dc:description/>
  <cp:lastModifiedBy>Alex Gilmour</cp:lastModifiedBy>
  <cp:revision>7</cp:revision>
  <dcterms:created xsi:type="dcterms:W3CDTF">2016-09-20T01:35:00Z</dcterms:created>
  <dcterms:modified xsi:type="dcterms:W3CDTF">2016-09-21T01:39:00Z</dcterms:modified>
</cp:coreProperties>
</file>