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5058"/>
        <w:gridCol w:w="5059"/>
        <w:gridCol w:w="2529"/>
        <w:gridCol w:w="2530"/>
      </w:tblGrid>
      <w:tr w:rsidR="006F29E2" w14:paraId="1FBE4E64" w14:textId="77777777" w:rsidTr="006E7B3C">
        <w:trPr>
          <w:trHeight w:val="207"/>
        </w:trPr>
        <w:tc>
          <w:tcPr>
            <w:tcW w:w="5058" w:type="dxa"/>
            <w:tcBorders>
              <w:top w:val="nil"/>
              <w:bottom w:val="single" w:sz="2" w:space="0" w:color="006838" w:themeColor="accent1"/>
            </w:tcBorders>
            <w:tcMar>
              <w:top w:w="80" w:type="dxa"/>
              <w:left w:w="80" w:type="dxa"/>
              <w:bottom w:w="80" w:type="dxa"/>
              <w:right w:w="80" w:type="dxa"/>
            </w:tcMar>
          </w:tcPr>
          <w:p w14:paraId="0AD9A7B4"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PRESENCE TEST</w:t>
            </w:r>
          </w:p>
        </w:tc>
        <w:tc>
          <w:tcPr>
            <w:tcW w:w="5059" w:type="dxa"/>
            <w:tcBorders>
              <w:top w:val="nil"/>
              <w:bottom w:val="single" w:sz="2" w:space="0" w:color="006838" w:themeColor="accent1"/>
            </w:tcBorders>
            <w:tcMar>
              <w:top w:w="80" w:type="dxa"/>
              <w:left w:w="80" w:type="dxa"/>
              <w:bottom w:w="80" w:type="dxa"/>
              <w:right w:w="80" w:type="dxa"/>
            </w:tcMar>
          </w:tcPr>
          <w:p w14:paraId="5B03656D"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gridSpan w:val="2"/>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6E7B3C">
        <w:trPr>
          <w:trHeight w:val="653"/>
        </w:trPr>
        <w:tc>
          <w:tcPr>
            <w:tcW w:w="5058" w:type="dxa"/>
            <w:tcBorders>
              <w:top w:val="single" w:sz="2" w:space="0" w:color="006838" w:themeColor="accent1"/>
              <w:bottom w:val="nil"/>
            </w:tcBorders>
            <w:tcMar>
              <w:top w:w="80" w:type="dxa"/>
              <w:left w:w="80" w:type="dxa"/>
              <w:bottom w:w="80" w:type="dxa"/>
              <w:right w:w="80" w:type="dxa"/>
            </w:tcMar>
          </w:tcPr>
          <w:p w14:paraId="62D217A3" w14:textId="33ABE7FA" w:rsidR="006F29E2" w:rsidRDefault="001D4B87" w:rsidP="006F29E2">
            <w:pPr>
              <w:pStyle w:val="GreenText"/>
            </w:pPr>
            <w:r w:rsidRPr="001D4B87">
              <w:t>Does the lease encourage, facilitate or require information sharing?</w:t>
            </w:r>
          </w:p>
        </w:tc>
        <w:tc>
          <w:tcPr>
            <w:tcW w:w="5059" w:type="dxa"/>
            <w:tcBorders>
              <w:top w:val="single" w:sz="2" w:space="0" w:color="006838" w:themeColor="accent1"/>
              <w:bottom w:val="nil"/>
            </w:tcBorders>
            <w:tcMar>
              <w:top w:w="80" w:type="dxa"/>
              <w:left w:w="80" w:type="dxa"/>
              <w:bottom w:w="80" w:type="dxa"/>
              <w:right w:w="80" w:type="dxa"/>
            </w:tcMar>
          </w:tcPr>
          <w:p w14:paraId="7E8B5D9D" w14:textId="75731D0E" w:rsidR="001D4B87" w:rsidRDefault="001D4B87" w:rsidP="001D4B87">
            <w:pPr>
              <w:pStyle w:val="GreenText"/>
            </w:pPr>
            <w:r>
              <w:t>Information to be shared could relate to:</w:t>
            </w:r>
          </w:p>
          <w:p w14:paraId="439351E3" w14:textId="05A96C88" w:rsidR="001D4B87" w:rsidRDefault="001D4B87" w:rsidP="001D4B87">
            <w:pPr>
              <w:pStyle w:val="GreenBullets"/>
            </w:pPr>
            <w:r>
              <w:t>energy or water consumption</w:t>
            </w:r>
          </w:p>
          <w:p w14:paraId="05B94311" w14:textId="225186CA" w:rsidR="001D4B87" w:rsidRDefault="001D4B87" w:rsidP="001D4B87">
            <w:pPr>
              <w:pStyle w:val="GreenBullets"/>
            </w:pPr>
            <w:r>
              <w:t>production of waste or greenhouse gases</w:t>
            </w:r>
          </w:p>
          <w:p w14:paraId="2F4E8F3C" w14:textId="6B30F9DF" w:rsidR="001D4B87" w:rsidRDefault="001D4B87" w:rsidP="001D4B87">
            <w:pPr>
              <w:pStyle w:val="GreenBullets"/>
            </w:pPr>
            <w:r>
              <w:t>recycling rates</w:t>
            </w:r>
          </w:p>
          <w:p w14:paraId="30E1A2BB" w14:textId="2AB36FD0" w:rsidR="006F29E2" w:rsidRDefault="001D4B87" w:rsidP="001D4B87">
            <w:pPr>
              <w:pStyle w:val="GreenText"/>
            </w:pPr>
            <w:r>
              <w:t>Examples of sharing information could include providing the Landlord access to the Tenant’s NMI meter or monthly automated reports being sent to both parties</w:t>
            </w:r>
            <w:r w:rsidR="00957959">
              <w:t>.</w:t>
            </w:r>
          </w:p>
        </w:tc>
        <w:tc>
          <w:tcPr>
            <w:tcW w:w="5059" w:type="dxa"/>
            <w:gridSpan w:val="2"/>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6E7B3C" w14:paraId="264628BA" w14:textId="77777777" w:rsidTr="00957959">
        <w:trPr>
          <w:trHeight w:val="153"/>
        </w:trPr>
        <w:tc>
          <w:tcPr>
            <w:tcW w:w="5058" w:type="dxa"/>
            <w:tcBorders>
              <w:top w:val="nil"/>
              <w:bottom w:val="single" w:sz="2" w:space="0" w:color="006838" w:themeColor="accent1"/>
            </w:tcBorders>
            <w:tcMar>
              <w:top w:w="80" w:type="dxa"/>
              <w:left w:w="80" w:type="dxa"/>
              <w:bottom w:w="80" w:type="dxa"/>
              <w:right w:w="80" w:type="dxa"/>
            </w:tcMar>
          </w:tcPr>
          <w:p w14:paraId="4C1AA3FF" w14:textId="7A340002" w:rsidR="006E7B3C" w:rsidRPr="006E7B3C" w:rsidRDefault="006E7B3C" w:rsidP="006E7B3C">
            <w:pPr>
              <w:pStyle w:val="TableHeader"/>
              <w:rPr>
                <w:b w:val="0"/>
              </w:rPr>
            </w:pPr>
            <w:r w:rsidRPr="006E7B3C">
              <w:rPr>
                <w:rStyle w:val="tabletitles"/>
                <w:rFonts w:asciiTheme="minorHAnsi" w:hAnsiTheme="minorHAnsi" w:cstheme="majorHAnsi"/>
                <w:b/>
                <w:color w:val="006838" w:themeColor="accent1"/>
              </w:rPr>
              <w:t>OVERVIEW</w:t>
            </w:r>
          </w:p>
        </w:tc>
        <w:tc>
          <w:tcPr>
            <w:tcW w:w="5059" w:type="dxa"/>
            <w:tcBorders>
              <w:top w:val="nil"/>
              <w:bottom w:val="single" w:sz="2" w:space="0" w:color="006838" w:themeColor="accent1"/>
            </w:tcBorders>
            <w:tcMar>
              <w:top w:w="80" w:type="dxa"/>
              <w:left w:w="80" w:type="dxa"/>
              <w:bottom w:w="80" w:type="dxa"/>
              <w:right w:w="80" w:type="dxa"/>
            </w:tcMar>
          </w:tcPr>
          <w:p w14:paraId="35124561" w14:textId="61FC7949" w:rsidR="006E7B3C" w:rsidRPr="00957959" w:rsidRDefault="00957959" w:rsidP="006E7B3C">
            <w:pPr>
              <w:pStyle w:val="GreenText"/>
            </w:pPr>
            <w:r>
              <w:rPr>
                <w:rFonts w:asciiTheme="majorHAnsi" w:hAnsiTheme="majorHAnsi" w:cstheme="majorHAnsi"/>
                <w:b/>
                <w:noProof/>
                <w:color w:val="006838" w:themeColor="accent1"/>
                <w:lang w:val="en-AU" w:eastAsia="en-AU"/>
              </w:rPr>
              <w:t xml:space="preserve"> </w:t>
            </w:r>
            <w:r w:rsidR="001D4B87">
              <w:rPr>
                <w:color w:val="006838" w:themeColor="accent1"/>
              </w:rPr>
              <w:t xml:space="preserve"> </w:t>
            </w:r>
          </w:p>
        </w:tc>
        <w:tc>
          <w:tcPr>
            <w:tcW w:w="5059" w:type="dxa"/>
            <w:gridSpan w:val="2"/>
            <w:tcBorders>
              <w:top w:val="nil"/>
              <w:bottom w:val="single" w:sz="2" w:space="0" w:color="006838" w:themeColor="accent1"/>
            </w:tcBorders>
            <w:tcMar>
              <w:top w:w="80" w:type="dxa"/>
              <w:left w:w="80" w:type="dxa"/>
              <w:bottom w:w="80" w:type="dxa"/>
              <w:right w:w="80" w:type="dxa"/>
            </w:tcMar>
          </w:tcPr>
          <w:p w14:paraId="18FC689E" w14:textId="1E5E33E7" w:rsidR="006E7B3C" w:rsidRPr="00553804" w:rsidRDefault="001D4B87" w:rsidP="00553804">
            <w:pPr>
              <w:pStyle w:val="TableHeader"/>
              <w:rPr>
                <w:b w:val="0"/>
                <w:color w:val="auto"/>
                <w:lang w:val="en-AU"/>
              </w:rPr>
            </w:pPr>
            <w:r>
              <w:rPr>
                <w:rStyle w:val="tabletitles"/>
                <w:rFonts w:asciiTheme="minorHAnsi" w:hAnsiTheme="minorHAnsi" w:cstheme="majorHAnsi"/>
                <w:b/>
                <w:color w:val="006838" w:themeColor="accent1"/>
              </w:rPr>
              <w:t xml:space="preserve"> </w:t>
            </w:r>
          </w:p>
        </w:tc>
      </w:tr>
      <w:tr w:rsidR="00553804" w14:paraId="1F14F1DB" w14:textId="77777777" w:rsidTr="00957959">
        <w:trPr>
          <w:trHeight w:val="653"/>
        </w:trPr>
        <w:tc>
          <w:tcPr>
            <w:tcW w:w="5058" w:type="dxa"/>
            <w:tcBorders>
              <w:top w:val="single" w:sz="2" w:space="0" w:color="006838" w:themeColor="accent1"/>
              <w:bottom w:val="nil"/>
            </w:tcBorders>
            <w:tcMar>
              <w:top w:w="80" w:type="dxa"/>
              <w:left w:w="80" w:type="dxa"/>
              <w:bottom w:w="80" w:type="dxa"/>
              <w:right w:w="80" w:type="dxa"/>
            </w:tcMar>
          </w:tcPr>
          <w:p w14:paraId="2F28B38F" w14:textId="77777777" w:rsidR="001D4B87" w:rsidRPr="001D4B87" w:rsidRDefault="001D4B87" w:rsidP="001D4B87">
            <w:pPr>
              <w:pStyle w:val="GreenText"/>
              <w:rPr>
                <w:bCs/>
              </w:rPr>
            </w:pPr>
            <w:r w:rsidRPr="001D4B87">
              <w:rPr>
                <w:bCs/>
              </w:rPr>
              <w:t>Data sharing and reporting are important to enable parties to identify and understand how their building is operating.</w:t>
            </w:r>
          </w:p>
          <w:p w14:paraId="59486DCA" w14:textId="77777777" w:rsidR="001D4B87" w:rsidRDefault="001D4B87" w:rsidP="001D4B87">
            <w:pPr>
              <w:pStyle w:val="GreenText"/>
              <w:rPr>
                <w:bCs/>
              </w:rPr>
            </w:pPr>
            <w:r w:rsidRPr="001D4B87">
              <w:rPr>
                <w:bCs/>
              </w:rPr>
              <w:t>Reporting obligations ensure that data is maintained and shared.</w:t>
            </w:r>
          </w:p>
          <w:p w14:paraId="0939FC02" w14:textId="7D3AF14F" w:rsidR="00553804" w:rsidRPr="006E7B3C" w:rsidRDefault="001D4B87" w:rsidP="001D4B87">
            <w:pPr>
              <w:pStyle w:val="GreenText"/>
              <w:rPr>
                <w:caps/>
              </w:rPr>
            </w:pPr>
            <w:r w:rsidRPr="001D4B87">
              <w:rPr>
                <w:bCs/>
              </w:rPr>
              <w:t>Good recordkeeping and sharing information will help parties to make informed choices about environmental strategies likely to have the most positive effect.</w:t>
            </w:r>
          </w:p>
        </w:tc>
        <w:tc>
          <w:tcPr>
            <w:tcW w:w="5059" w:type="dxa"/>
            <w:tcBorders>
              <w:top w:val="single" w:sz="2" w:space="0" w:color="006838" w:themeColor="accent1"/>
              <w:bottom w:val="nil"/>
            </w:tcBorders>
            <w:tcMar>
              <w:top w:w="80" w:type="dxa"/>
              <w:left w:w="80" w:type="dxa"/>
              <w:bottom w:w="80" w:type="dxa"/>
              <w:right w:w="80" w:type="dxa"/>
            </w:tcMar>
          </w:tcPr>
          <w:p w14:paraId="1085A0A9" w14:textId="16CAD1C3" w:rsidR="00553804" w:rsidRDefault="00553804" w:rsidP="00E211D8">
            <w:pPr>
              <w:pStyle w:val="Notes"/>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09BECD9E" w14:textId="05E197E6" w:rsidR="00553804" w:rsidRPr="00553804" w:rsidRDefault="00553804" w:rsidP="00553804">
            <w:pPr>
              <w:pStyle w:val="Notes"/>
              <w:rPr>
                <w:rFonts w:asciiTheme="majorHAnsi" w:hAnsiTheme="majorHAnsi" w:cstheme="majorHAnsi"/>
                <w:lang w:val="en-AU"/>
              </w:rPr>
            </w:pPr>
          </w:p>
        </w:tc>
        <w:tc>
          <w:tcPr>
            <w:tcW w:w="2530" w:type="dxa"/>
            <w:tcBorders>
              <w:top w:val="single" w:sz="2" w:space="0" w:color="006838" w:themeColor="accent1"/>
              <w:bottom w:val="nil"/>
            </w:tcBorders>
            <w:shd w:val="clear" w:color="auto" w:fill="auto"/>
          </w:tcPr>
          <w:p w14:paraId="71713541" w14:textId="7FAC08FC" w:rsidR="00553804" w:rsidRPr="00553804" w:rsidRDefault="00553804" w:rsidP="00E211D8">
            <w:pPr>
              <w:pStyle w:val="Notes"/>
              <w:rPr>
                <w:rFonts w:asciiTheme="majorHAnsi" w:hAnsiTheme="majorHAnsi" w:cstheme="majorHAnsi"/>
                <w:lang w:val="en-AU"/>
              </w:rPr>
            </w:pPr>
          </w:p>
        </w:tc>
      </w:tr>
      <w:tr w:rsidR="00957959" w14:paraId="49395756" w14:textId="77777777" w:rsidTr="00553804">
        <w:trPr>
          <w:trHeight w:val="653"/>
        </w:trPr>
        <w:tc>
          <w:tcPr>
            <w:tcW w:w="5058" w:type="dxa"/>
            <w:tcBorders>
              <w:top w:val="single" w:sz="2" w:space="0" w:color="006838" w:themeColor="accent1"/>
              <w:bottom w:val="nil"/>
            </w:tcBorders>
            <w:tcMar>
              <w:top w:w="80" w:type="dxa"/>
              <w:left w:w="80" w:type="dxa"/>
              <w:bottom w:w="80" w:type="dxa"/>
              <w:right w:w="80" w:type="dxa"/>
            </w:tcMar>
          </w:tcPr>
          <w:p w14:paraId="045FC02D" w14:textId="77777777" w:rsidR="00957959" w:rsidRDefault="00957959" w:rsidP="00957959">
            <w:pPr>
              <w:pStyle w:val="Notes"/>
              <w:rPr>
                <w:color w:val="006838" w:themeColor="accent1"/>
              </w:rPr>
            </w:pPr>
          </w:p>
          <w:p w14:paraId="058961F9" w14:textId="310FF9D7" w:rsidR="001D4B87" w:rsidRPr="001D4B87" w:rsidRDefault="001D4B87" w:rsidP="00957959">
            <w:pPr>
              <w:pStyle w:val="Notes"/>
              <w:rPr>
                <w:b/>
                <w:color w:val="006838" w:themeColor="accent1"/>
              </w:rPr>
            </w:pPr>
            <w:r w:rsidRPr="001D4B87">
              <w:rPr>
                <w:b/>
                <w:color w:val="006838" w:themeColor="accent1"/>
                <w:sz w:val="22"/>
              </w:rPr>
              <w:t>“Campaigns on occupant engagement using shared data have improved awareness of consumption and delivered average energy savings of 15%.”</w:t>
            </w:r>
          </w:p>
        </w:tc>
        <w:tc>
          <w:tcPr>
            <w:tcW w:w="5059" w:type="dxa"/>
            <w:tcBorders>
              <w:top w:val="single" w:sz="2" w:space="0" w:color="006838" w:themeColor="accent1"/>
              <w:bottom w:val="nil"/>
            </w:tcBorders>
            <w:tcMar>
              <w:top w:w="80" w:type="dxa"/>
              <w:left w:w="80" w:type="dxa"/>
              <w:bottom w:w="80" w:type="dxa"/>
              <w:right w:w="80" w:type="dxa"/>
            </w:tcMar>
          </w:tcPr>
          <w:p w14:paraId="02803818" w14:textId="77777777" w:rsidR="00957959" w:rsidRPr="00957959" w:rsidRDefault="00957959" w:rsidP="00957959">
            <w:pPr>
              <w:pStyle w:val="Notes"/>
            </w:pPr>
          </w:p>
        </w:tc>
        <w:tc>
          <w:tcPr>
            <w:tcW w:w="2529" w:type="dxa"/>
            <w:tcBorders>
              <w:top w:val="single" w:sz="2" w:space="0" w:color="006838" w:themeColor="accent1"/>
              <w:bottom w:val="nil"/>
            </w:tcBorders>
            <w:shd w:val="clear" w:color="auto" w:fill="auto"/>
            <w:tcMar>
              <w:top w:w="80" w:type="dxa"/>
              <w:left w:w="80" w:type="dxa"/>
              <w:bottom w:w="80" w:type="dxa"/>
              <w:right w:w="80" w:type="dxa"/>
            </w:tcMar>
          </w:tcPr>
          <w:p w14:paraId="0BF4B1C3" w14:textId="77777777" w:rsidR="00957959" w:rsidRPr="00553804" w:rsidRDefault="00957959" w:rsidP="00957959">
            <w:pPr>
              <w:pStyle w:val="Notes"/>
              <w:rPr>
                <w:rFonts w:asciiTheme="majorHAnsi" w:hAnsiTheme="majorHAnsi" w:cstheme="majorHAnsi"/>
                <w:b/>
              </w:rPr>
            </w:pPr>
          </w:p>
        </w:tc>
        <w:tc>
          <w:tcPr>
            <w:tcW w:w="2530" w:type="dxa"/>
            <w:tcBorders>
              <w:top w:val="single" w:sz="2" w:space="0" w:color="006838" w:themeColor="accent1"/>
              <w:bottom w:val="nil"/>
            </w:tcBorders>
            <w:shd w:val="clear" w:color="auto" w:fill="auto"/>
          </w:tcPr>
          <w:p w14:paraId="45542C6E" w14:textId="77777777" w:rsidR="00957959" w:rsidRDefault="00957959" w:rsidP="00957959">
            <w:pPr>
              <w:pStyle w:val="Notes"/>
              <w:rPr>
                <w:rFonts w:asciiTheme="majorHAnsi" w:hAnsiTheme="majorHAnsi" w:cstheme="majorHAnsi"/>
                <w:b/>
              </w:rPr>
            </w:pPr>
          </w:p>
        </w:tc>
      </w:tr>
    </w:tbl>
    <w:p w14:paraId="5A0F7C1F" w14:textId="4307B85E" w:rsidR="001D4B87" w:rsidRPr="001D4B87" w:rsidRDefault="001D4B87" w:rsidP="001D4B87">
      <w:pPr>
        <w:pStyle w:val="Notes"/>
        <w:rPr>
          <w:b/>
        </w:rPr>
      </w:pPr>
      <w:r w:rsidRPr="001D4B87">
        <w:rPr>
          <w:b/>
          <w:color w:val="8DC640" w:themeColor="accent2"/>
          <w:sz w:val="18"/>
        </w:rPr>
        <w:t xml:space="preserve">Emlyn Keane </w:t>
      </w:r>
    </w:p>
    <w:p w14:paraId="0F1E7256" w14:textId="367DC221" w:rsidR="00957959" w:rsidRDefault="001D4B87" w:rsidP="001D4B87">
      <w:pPr>
        <w:pStyle w:val="Notes"/>
      </w:pPr>
      <w:r w:rsidRPr="001D4B87">
        <w:t xml:space="preserve"> - Head of Property Management and Sustainability Performance, AMP Capital </w:t>
      </w:r>
      <w:r w:rsidR="00957959">
        <w:br w:type="page"/>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6F29E2" w:rsidRPr="00D457D9" w14:paraId="39682717" w14:textId="77777777" w:rsidTr="00E211D8">
        <w:trPr>
          <w:trHeight w:val="399"/>
        </w:trPr>
        <w:tc>
          <w:tcPr>
            <w:tcW w:w="4536" w:type="dxa"/>
            <w:tcBorders>
              <w:top w:val="nil"/>
              <w:bottom w:val="single" w:sz="4" w:space="0" w:color="006838" w:themeColor="accent1"/>
            </w:tcBorders>
            <w:tcMar>
              <w:top w:w="80" w:type="dxa"/>
              <w:left w:w="80" w:type="dxa"/>
              <w:bottom w:w="80" w:type="dxa"/>
              <w:right w:w="80" w:type="dxa"/>
            </w:tcMar>
          </w:tcPr>
          <w:p w14:paraId="7A097DBA" w14:textId="7354967F" w:rsidR="00E211D8" w:rsidRDefault="00E211D8" w:rsidP="00D457D9">
            <w:pPr>
              <w:pStyle w:val="TableHeader"/>
              <w:rPr>
                <w:rStyle w:val="tabletitles"/>
                <w:rFonts w:asciiTheme="minorHAnsi" w:hAnsiTheme="minorHAnsi" w:cstheme="majorHAnsi"/>
                <w:b/>
                <w:bCs w:val="0"/>
                <w:caps/>
                <w:color w:val="006838" w:themeColor="accent1"/>
              </w:rPr>
            </w:pPr>
          </w:p>
          <w:p w14:paraId="3A121AF3" w14:textId="213E9C93" w:rsidR="006F29E2" w:rsidRPr="00D457D9" w:rsidRDefault="006F29E2" w:rsidP="00D457D9">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t>SAMPLE CLAUSES</w:t>
            </w:r>
          </w:p>
        </w:tc>
        <w:tc>
          <w:tcPr>
            <w:tcW w:w="4536" w:type="dxa"/>
            <w:tcBorders>
              <w:top w:val="nil"/>
              <w:bottom w:val="single" w:sz="4" w:space="0" w:color="006838" w:themeColor="accent1"/>
            </w:tcBorders>
            <w:tcMar>
              <w:top w:w="80" w:type="dxa"/>
              <w:left w:w="80" w:type="dxa"/>
              <w:bottom w:w="80" w:type="dxa"/>
              <w:right w:w="80" w:type="dxa"/>
            </w:tcMar>
          </w:tcPr>
          <w:p w14:paraId="63A0BF41" w14:textId="77777777" w:rsidR="006F29E2" w:rsidRPr="00D457D9" w:rsidRDefault="006F29E2" w:rsidP="00D457D9">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28D61ECB" w14:textId="77777777" w:rsidR="006F29E2" w:rsidRPr="00D457D9" w:rsidRDefault="006F29E2" w:rsidP="00D457D9">
            <w:pPr>
              <w:pStyle w:val="TableHeader"/>
            </w:pPr>
          </w:p>
        </w:tc>
      </w:tr>
    </w:tbl>
    <w:p w14:paraId="6BB072EC" w14:textId="77777777" w:rsidR="003E5E7E" w:rsidRPr="00D457D9" w:rsidRDefault="006C0CF6" w:rsidP="00D457D9">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6F29E2" w:rsidRPr="006F29E2"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6F29E2" w:rsidRDefault="006F29E2" w:rsidP="00D457D9">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6F29E2" w:rsidRDefault="006F29E2" w:rsidP="00D457D9">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6F29E2" w:rsidRDefault="006F29E2" w:rsidP="00D457D9">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6F29E2" w:rsidRDefault="006F29E2" w:rsidP="00D457D9">
            <w:pPr>
              <w:pStyle w:val="TableHeader"/>
              <w:rPr>
                <w:color w:val="000000"/>
                <w:sz w:val="24"/>
                <w:szCs w:val="24"/>
                <w:lang w:val="en-GB"/>
              </w:rPr>
            </w:pPr>
            <w:r w:rsidRPr="006F29E2">
              <w:t>MITIGATION</w:t>
            </w:r>
          </w:p>
        </w:tc>
      </w:tr>
      <w:tr w:rsidR="00D457D9" w:rsidRPr="006F29E2" w14:paraId="632CC7C0" w14:textId="77777777" w:rsidTr="00AF116C">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77777777" w:rsidR="006F29E2" w:rsidRPr="006F29E2" w:rsidRDefault="006F29E2" w:rsidP="00D457D9">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5F3F046D" w14:textId="5878BF8B" w:rsidR="00AF116C" w:rsidRDefault="004F569A" w:rsidP="00AF116C">
            <w:pPr>
              <w:pStyle w:val="ClauseTitle0"/>
            </w:pPr>
            <w:r w:rsidRPr="004F569A">
              <w:t xml:space="preserve">1.1 </w:t>
            </w:r>
            <w:r w:rsidR="001D4B87">
              <w:t xml:space="preserve">Data Sharing </w:t>
            </w:r>
          </w:p>
          <w:p w14:paraId="224C42D0" w14:textId="53A5C64A" w:rsidR="001D4B87" w:rsidRDefault="001D4B87" w:rsidP="001D4B87">
            <w:pPr>
              <w:pStyle w:val="Clauseindent"/>
            </w:pPr>
            <w:r>
              <w:t xml:space="preserve">Each party </w:t>
            </w:r>
            <w:r w:rsidRPr="001D4B87">
              <w:rPr>
                <w:color w:val="FFFFFF" w:themeColor="background1"/>
                <w:shd w:val="clear" w:color="auto" w:fill="7B1C49" w:themeFill="accent5"/>
              </w:rPr>
              <w:t xml:space="preserve">[will use reasonable </w:t>
            </w:r>
            <w:proofErr w:type="spellStart"/>
            <w:r w:rsidRPr="001D4B87">
              <w:rPr>
                <w:color w:val="FFFFFF" w:themeColor="background1"/>
                <w:shd w:val="clear" w:color="auto" w:fill="7B1C49" w:themeFill="accent5"/>
              </w:rPr>
              <w:t>endeavours</w:t>
            </w:r>
            <w:proofErr w:type="spellEnd"/>
            <w:r w:rsidRPr="001D4B87">
              <w:rPr>
                <w:color w:val="FFFFFF" w:themeColor="background1"/>
                <w:shd w:val="clear" w:color="auto" w:fill="7B1C49" w:themeFill="accent5"/>
              </w:rPr>
              <w:t xml:space="preserve"> to</w:t>
            </w:r>
            <w:r>
              <w:rPr>
                <w:color w:val="FFFFFF" w:themeColor="background1"/>
                <w:shd w:val="clear" w:color="auto" w:fill="7B1C49" w:themeFill="accent5"/>
              </w:rPr>
              <w:t>]</w:t>
            </w:r>
            <w:r>
              <w:t xml:space="preserve"> provide the other with information relating to the energy efficiency and sustainability of the Premises and Building. </w:t>
            </w:r>
          </w:p>
          <w:p w14:paraId="62ABDD62" w14:textId="77777777" w:rsidR="001D4B87" w:rsidRDefault="001D4B87" w:rsidP="001D4B87">
            <w:pPr>
              <w:pStyle w:val="Clauseindent"/>
            </w:pPr>
            <w:r>
              <w:t>Information to be provided under clause 1.2(a) includes all plans, documents, maintenance contracts, specifications, maintenance reports and maintenance schedules (excluding information that is confidential to a party or cannot be disclosed by law) that the parties have regarding:</w:t>
            </w:r>
          </w:p>
          <w:p w14:paraId="7658DECD" w14:textId="77777777" w:rsidR="001D4B87" w:rsidRDefault="001D4B87" w:rsidP="001D4B87">
            <w:pPr>
              <w:pStyle w:val="Clause2ndlevel"/>
            </w:pPr>
            <w:r>
              <w:t>electricity and gas (which shows consumption data);</w:t>
            </w:r>
          </w:p>
          <w:p w14:paraId="4A685562" w14:textId="77777777" w:rsidR="001D4B87" w:rsidRDefault="001D4B87" w:rsidP="001D4B87">
            <w:pPr>
              <w:pStyle w:val="Clause2ndlevel"/>
            </w:pPr>
            <w:r>
              <w:t xml:space="preserve">water consumption; </w:t>
            </w:r>
          </w:p>
          <w:p w14:paraId="1FA074A2" w14:textId="77777777" w:rsidR="001D4B87" w:rsidRDefault="001D4B87" w:rsidP="001D4B87">
            <w:pPr>
              <w:pStyle w:val="Clause2ndlevel"/>
            </w:pPr>
            <w:r>
              <w:t xml:space="preserve">material use; </w:t>
            </w:r>
          </w:p>
          <w:p w14:paraId="69A73122" w14:textId="77777777" w:rsidR="001D4B87" w:rsidRDefault="001D4B87" w:rsidP="001D4B87">
            <w:pPr>
              <w:pStyle w:val="Clause2ndlevel"/>
            </w:pPr>
            <w:r>
              <w:t xml:space="preserve">waste generation; and </w:t>
            </w:r>
          </w:p>
          <w:p w14:paraId="4E14CDBA" w14:textId="549EAF19" w:rsidR="001D4B87" w:rsidRDefault="001D4B87" w:rsidP="001D4B87">
            <w:pPr>
              <w:pStyle w:val="Clause2ndlevel"/>
            </w:pPr>
            <w:r>
              <w:t>waste management, including recycling, for the Building and the Premises.</w:t>
            </w:r>
          </w:p>
          <w:p w14:paraId="0F253363" w14:textId="77777777" w:rsidR="001D4B87" w:rsidRDefault="001D4B87" w:rsidP="001D4B87">
            <w:pPr>
              <w:pStyle w:val="Clauseindent"/>
            </w:pPr>
            <w:r>
              <w:t>The parties must keep all information provided under clause 1 secure and confidential except to the extent necessary:</w:t>
            </w:r>
          </w:p>
          <w:p w14:paraId="21311623" w14:textId="77777777" w:rsidR="001D4B87" w:rsidRDefault="001D4B87" w:rsidP="00E1423E">
            <w:pPr>
              <w:pStyle w:val="Clause2ndlevel"/>
              <w:numPr>
                <w:ilvl w:val="0"/>
                <w:numId w:val="5"/>
              </w:numPr>
              <w:ind w:left="1240" w:hanging="364"/>
            </w:pPr>
            <w:r>
              <w:t>to comply with a Law; or</w:t>
            </w:r>
          </w:p>
          <w:p w14:paraId="732B06E4" w14:textId="77777777" w:rsidR="001D4B87" w:rsidRDefault="001D4B87" w:rsidP="001D4B87">
            <w:pPr>
              <w:pStyle w:val="Clause2ndlevel"/>
            </w:pPr>
            <w:r>
              <w:t xml:space="preserve">to enable the Parties to perform their roles and obligations under the Lease; </w:t>
            </w:r>
          </w:p>
          <w:p w14:paraId="54B45249" w14:textId="77777777" w:rsidR="001D4B87" w:rsidRDefault="001D4B87" w:rsidP="001D4B87">
            <w:pPr>
              <w:pStyle w:val="Clause2ndlevel"/>
            </w:pPr>
            <w:r>
              <w:t>as required for any dispute resolution process in this Lease; or</w:t>
            </w:r>
          </w:p>
          <w:p w14:paraId="7AEAFDF0" w14:textId="24C5A54B" w:rsidR="006F29E2" w:rsidRPr="0040274D" w:rsidRDefault="001D4B87" w:rsidP="001D4B87">
            <w:pPr>
              <w:pStyle w:val="Clause2ndlevel"/>
              <w:rPr>
                <w:u w:color="ABE0F9"/>
              </w:rPr>
            </w:pPr>
            <w:r>
              <w:t>if permitted by the other party, for other purposes, including, corporate reporting or marketing.</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590F4ADC" w:rsidR="006F29E2" w:rsidRPr="006F29E2" w:rsidRDefault="001D4B87" w:rsidP="00957959">
            <w:pPr>
              <w:pStyle w:val="Notes"/>
            </w:pPr>
            <w:r w:rsidRPr="001D4B87">
              <w:t>Parties may be reluctant to share information with each other due to the perceived confidential nature of the information and the cost of collating and providing that information.</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7AB6ED47" w14:textId="7346F42E" w:rsidR="001D4B87" w:rsidRDefault="001D4B87" w:rsidP="001D4B87">
            <w:pPr>
              <w:pStyle w:val="Notes"/>
            </w:pPr>
            <w:r>
              <w:t xml:space="preserve">The clause does not require the </w:t>
            </w:r>
            <w:r w:rsidR="006C0CF6">
              <w:t>parties to</w:t>
            </w:r>
            <w:r>
              <w:t xml:space="preserve"> share confidential information but where they choose it also requires that the recipient of information keeps the information confidential.</w:t>
            </w:r>
          </w:p>
          <w:p w14:paraId="00554B0C" w14:textId="56B9A804" w:rsidR="006F29E2" w:rsidRPr="006F29E2" w:rsidRDefault="001D4B87" w:rsidP="001D4B87">
            <w:pPr>
              <w:pStyle w:val="Notes"/>
            </w:pPr>
            <w:r>
              <w:t xml:space="preserve">If it is made clear to the parties upfront that the reason for sharing the information is to improve the performance of the </w:t>
            </w:r>
            <w:proofErr w:type="gramStart"/>
            <w:r>
              <w:t>build</w:t>
            </w:r>
            <w:bookmarkStart w:id="0" w:name="_GoBack"/>
            <w:bookmarkEnd w:id="0"/>
            <w:r>
              <w:t>ing</w:t>
            </w:r>
            <w:proofErr w:type="gramEnd"/>
            <w:r>
              <w:t xml:space="preserve"> then the parties may be more prepared to share information due to the potential cost savings and positive effect on the environment.</w:t>
            </w:r>
          </w:p>
        </w:tc>
      </w:tr>
    </w:tbl>
    <w:p w14:paraId="3F0C11F5" w14:textId="7C723864" w:rsidR="001D4B87" w:rsidRDefault="001D4B87" w:rsidP="00B2039E">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1D4B87" w:rsidRPr="006F29E2" w14:paraId="5711ADBE"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1B7DF437" w14:textId="77777777" w:rsidR="001D4B87" w:rsidRPr="006F29E2" w:rsidRDefault="001D4B87" w:rsidP="00B93BD8">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4A0EACAF" w14:textId="77777777" w:rsidR="001D4B87" w:rsidRPr="006F29E2" w:rsidRDefault="001D4B87"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30039316" w14:textId="77777777" w:rsidR="001D4B87" w:rsidRPr="006F29E2" w:rsidRDefault="001D4B87"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42E80D8" w14:textId="77777777" w:rsidR="001D4B87" w:rsidRPr="006F29E2" w:rsidRDefault="001D4B87" w:rsidP="00B93BD8">
            <w:pPr>
              <w:pStyle w:val="TableHeader"/>
              <w:rPr>
                <w:color w:val="000000"/>
                <w:sz w:val="24"/>
                <w:szCs w:val="24"/>
                <w:lang w:val="en-GB"/>
              </w:rPr>
            </w:pPr>
            <w:r w:rsidRPr="006F29E2">
              <w:t>MITIGATION</w:t>
            </w:r>
          </w:p>
        </w:tc>
      </w:tr>
      <w:tr w:rsidR="001D4B87" w:rsidRPr="006F29E2" w14:paraId="17C47220" w14:textId="77777777" w:rsidTr="00B93BD8">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C43329B" w14:textId="77777777" w:rsidR="001D4B87" w:rsidRPr="006F29E2" w:rsidRDefault="001D4B87" w:rsidP="00B93BD8">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8F94352" w14:textId="0F3135BF" w:rsidR="001D4B87" w:rsidRDefault="001D4B87" w:rsidP="00B93BD8">
            <w:pPr>
              <w:pStyle w:val="ClauseTitle0"/>
            </w:pPr>
            <w:r w:rsidRPr="004F569A">
              <w:t>1</w:t>
            </w:r>
            <w:r>
              <w:t xml:space="preserve">.2 </w:t>
            </w:r>
            <w:r w:rsidRPr="001D4B87">
              <w:t>Required Reports</w:t>
            </w:r>
            <w:r>
              <w:t xml:space="preserve"> </w:t>
            </w:r>
          </w:p>
          <w:p w14:paraId="68143D82" w14:textId="04E7053B" w:rsidR="001D4B87" w:rsidRDefault="001D4B87" w:rsidP="00E1423E">
            <w:pPr>
              <w:pStyle w:val="Clauseindent"/>
              <w:numPr>
                <w:ilvl w:val="0"/>
                <w:numId w:val="6"/>
              </w:numPr>
              <w:ind w:left="535" w:hanging="252"/>
            </w:pPr>
            <w:r>
              <w:t xml:space="preserve">The Landlord and the Tenant agree to provide (within the nominated timeframes) the energy, water and waste data information (which shows consumption data and cost) for the Premises and the Building reports to each other by </w:t>
            </w:r>
            <w:r w:rsidRPr="001D4B87">
              <w:rPr>
                <w:color w:val="FFFFFF" w:themeColor="background1"/>
                <w:shd w:val="clear" w:color="auto" w:fill="3A0019" w:themeFill="accent6"/>
              </w:rPr>
              <w:t>[insert date]</w:t>
            </w:r>
            <w:r>
              <w:t>.</w:t>
            </w:r>
          </w:p>
          <w:p w14:paraId="6B88900C" w14:textId="77777777" w:rsidR="001D4B87" w:rsidRDefault="001D4B87" w:rsidP="001D4B87">
            <w:pPr>
              <w:pStyle w:val="Clauseindent"/>
            </w:pPr>
            <w:r>
              <w:t xml:space="preserve">The Landlord and the Tenant agree to provide updated reports to each other no less than </w:t>
            </w:r>
            <w:r w:rsidRPr="001D4B87">
              <w:rPr>
                <w:color w:val="FFFFFF" w:themeColor="background1"/>
                <w:shd w:val="clear" w:color="auto" w:fill="3A0019" w:themeFill="accent6"/>
              </w:rPr>
              <w:t>[insert #]</w:t>
            </w:r>
            <w:r w:rsidRPr="001D4B87">
              <w:rPr>
                <w:color w:val="FFFFFF" w:themeColor="background1"/>
              </w:rPr>
              <w:t xml:space="preserve"> </w:t>
            </w:r>
            <w:r>
              <w:t xml:space="preserve">per </w:t>
            </w:r>
            <w:r w:rsidRPr="001D4B87">
              <w:rPr>
                <w:color w:val="FFFFFF" w:themeColor="background1"/>
                <w:shd w:val="clear" w:color="auto" w:fill="7B1C49" w:themeFill="accent5"/>
              </w:rPr>
              <w:t>[month/quarter/year]</w:t>
            </w:r>
            <w:r w:rsidRPr="001D4B87">
              <w:t>.</w:t>
            </w:r>
          </w:p>
          <w:p w14:paraId="710B04CF" w14:textId="77777777" w:rsidR="001D4B87" w:rsidRDefault="001D4B87" w:rsidP="001D4B87">
            <w:pPr>
              <w:pStyle w:val="Clauseindent"/>
            </w:pPr>
            <w:r>
              <w:t>Reports provided under clause 1.2(b) must include:</w:t>
            </w:r>
          </w:p>
          <w:p w14:paraId="4EC45B21" w14:textId="77777777" w:rsidR="001D4B87" w:rsidRDefault="001D4B87" w:rsidP="00E1423E">
            <w:pPr>
              <w:pStyle w:val="Clause2ndlevel"/>
              <w:numPr>
                <w:ilvl w:val="0"/>
                <w:numId w:val="7"/>
              </w:numPr>
              <w:ind w:left="1177" w:hanging="336"/>
            </w:pPr>
            <w:r>
              <w:t xml:space="preserve">a reasonably detailed assessment or description of the progress and performance of the </w:t>
            </w:r>
            <w:r w:rsidRPr="001D4B87">
              <w:rPr>
                <w:color w:val="FFFFFF" w:themeColor="background1"/>
                <w:shd w:val="clear" w:color="auto" w:fill="7B1C49" w:themeFill="accent5"/>
              </w:rPr>
              <w:t>[party/parties]</w:t>
            </w:r>
            <w:r>
              <w:t xml:space="preserve"> against any relevant targets, strategies or plans;</w:t>
            </w:r>
          </w:p>
          <w:p w14:paraId="5DE8EA69" w14:textId="77777777" w:rsidR="001D4B87" w:rsidRDefault="001D4B87" w:rsidP="009F4327">
            <w:pPr>
              <w:pStyle w:val="Clause2ndlevel"/>
              <w:ind w:left="1177" w:hanging="336"/>
            </w:pPr>
            <w:r>
              <w:t>descriptions of how the progress and performance was monitored over the relevant reporting period;</w:t>
            </w:r>
          </w:p>
          <w:p w14:paraId="4B75ADCA" w14:textId="77777777" w:rsidR="001D4B87" w:rsidRDefault="001D4B87" w:rsidP="009F4327">
            <w:pPr>
              <w:pStyle w:val="Clause2ndlevel"/>
              <w:ind w:left="1177" w:hanging="336"/>
            </w:pPr>
            <w:r>
              <w:t>if progress or performance has not met (or is likely not to meet) a reasonable target, strategy or plan explain why and how the failure may be remedied or performance improved;</w:t>
            </w:r>
          </w:p>
          <w:p w14:paraId="7C98EA95" w14:textId="77777777" w:rsidR="001D4B87" w:rsidRDefault="001D4B87" w:rsidP="009F4327">
            <w:pPr>
              <w:pStyle w:val="Clause2ndlevel"/>
              <w:ind w:left="1177" w:hanging="336"/>
            </w:pPr>
            <w:r>
              <w:t>new, updated or revised targets, strategies and plan is more or a confirmation of the existing targets, strategies and plans for the next reporting period with supporting reasoning;</w:t>
            </w:r>
          </w:p>
          <w:p w14:paraId="116C4BEB" w14:textId="77777777" w:rsidR="001D4B87" w:rsidRDefault="001D4B87" w:rsidP="009F4327">
            <w:pPr>
              <w:pStyle w:val="Clause2ndlevel"/>
              <w:ind w:left="1177" w:hanging="336"/>
            </w:pPr>
            <w:r>
              <w:t>cost savings achieved for that reporting period; and</w:t>
            </w:r>
          </w:p>
          <w:p w14:paraId="502FE845" w14:textId="02A93E88" w:rsidR="001D4B87" w:rsidRPr="0040274D" w:rsidRDefault="001D4B87" w:rsidP="009F4327">
            <w:pPr>
              <w:pStyle w:val="Clause2ndlevel"/>
              <w:ind w:left="1177" w:hanging="336"/>
              <w:rPr>
                <w:u w:color="ABE0F9"/>
              </w:rPr>
            </w:pPr>
            <w:r>
              <w:t>any other relevant information.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58EE8E55" w14:textId="01A0F2A0" w:rsidR="001D4B87" w:rsidRPr="006F29E2" w:rsidRDefault="009F4327"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28170FC3" w14:textId="4A01215C" w:rsidR="001D4B87" w:rsidRPr="006F29E2" w:rsidRDefault="009F4327" w:rsidP="00B93BD8">
            <w:pPr>
              <w:pStyle w:val="Notes"/>
            </w:pPr>
            <w:r w:rsidRPr="009F4327">
              <w:t>The landlord may consider producing a pro-forma report for the tenant during lease negotiations so the tenant is aware of the information required at the outset.</w:t>
            </w:r>
          </w:p>
        </w:tc>
      </w:tr>
    </w:tbl>
    <w:p w14:paraId="653C3B8C" w14:textId="4FE29113" w:rsidR="00E1423E" w:rsidRDefault="00E1423E" w:rsidP="00B2039E">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E1423E" w:rsidRPr="006F29E2" w14:paraId="0F7A70E6"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7CBB0BDB" w14:textId="77777777" w:rsidR="00E1423E" w:rsidRPr="006F29E2" w:rsidRDefault="00E1423E" w:rsidP="00B93BD8">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2EC2D09D" w14:textId="77777777" w:rsidR="00E1423E" w:rsidRPr="006F29E2" w:rsidRDefault="00E1423E"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02C9DAD9" w14:textId="77777777" w:rsidR="00E1423E" w:rsidRPr="006F29E2" w:rsidRDefault="00E1423E"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14DD7912" w14:textId="77777777" w:rsidR="00E1423E" w:rsidRPr="006F29E2" w:rsidRDefault="00E1423E" w:rsidP="00B93BD8">
            <w:pPr>
              <w:pStyle w:val="TableHeader"/>
              <w:rPr>
                <w:color w:val="000000"/>
                <w:sz w:val="24"/>
                <w:szCs w:val="24"/>
                <w:lang w:val="en-GB"/>
              </w:rPr>
            </w:pPr>
            <w:r w:rsidRPr="006F29E2">
              <w:t>MITIGATION</w:t>
            </w:r>
          </w:p>
        </w:tc>
      </w:tr>
      <w:tr w:rsidR="00E1423E" w:rsidRPr="006F29E2" w14:paraId="0507BDDF" w14:textId="77777777" w:rsidTr="00B93BD8">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E6D5754" w14:textId="77777777" w:rsidR="00E1423E" w:rsidRDefault="00E1423E" w:rsidP="00E1423E">
            <w:pPr>
              <w:pStyle w:val="Notes"/>
            </w:pPr>
            <w:r>
              <w:t>Under the National Greenhouse and Energy Reporting Act 2007 (NGER Act) a party is responsible for reporting under the Act if they have “operational control” over a facility.</w:t>
            </w:r>
          </w:p>
          <w:p w14:paraId="13BBDB7A" w14:textId="77777777" w:rsidR="00E1423E" w:rsidRDefault="00E1423E" w:rsidP="00E1423E">
            <w:pPr>
              <w:pStyle w:val="Notes"/>
            </w:pPr>
            <w:r>
              <w:t>Under clause 11 of the NGER Act, operational control is determined by, among other things, whether a party has the authority to introduce and implement any or all of the following for the facility, which includes a building operation policies; health and safety policies; and environmental policies.</w:t>
            </w:r>
          </w:p>
          <w:p w14:paraId="6749EB5D" w14:textId="28DFA65F" w:rsidR="00E1423E" w:rsidRPr="006F29E2" w:rsidRDefault="00E1423E" w:rsidP="00E1423E">
            <w:pPr>
              <w:pStyle w:val="Notes"/>
            </w:pPr>
            <w:r>
              <w:t>In the property industry, parties will often share responsibility for introducing and implementing policies on operations, health and safety policies and environment for the same building. It is therefore important that parties agree who has operational control over a facility at the outset and document such agreement, for example, by including it in the lease.</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9D73763" w14:textId="333B093F" w:rsidR="00E1423E" w:rsidRDefault="00E1423E" w:rsidP="00B93BD8">
            <w:pPr>
              <w:pStyle w:val="ClauseTitle0"/>
            </w:pPr>
            <w:r w:rsidRPr="004F569A">
              <w:t>1</w:t>
            </w:r>
            <w:r>
              <w:t>.3 R</w:t>
            </w:r>
            <w:r w:rsidRPr="00E1423E">
              <w:t>esponsibility for NGERS Reporting</w:t>
            </w:r>
          </w:p>
          <w:p w14:paraId="32C55F6F" w14:textId="77777777" w:rsidR="00E1423E" w:rsidRDefault="00E1423E" w:rsidP="00E1423E">
            <w:pPr>
              <w:pStyle w:val="Clauseindent"/>
              <w:numPr>
                <w:ilvl w:val="0"/>
                <w:numId w:val="8"/>
              </w:numPr>
              <w:ind w:left="703" w:hanging="378"/>
            </w:pPr>
            <w:r>
              <w:t xml:space="preserve">The Landlord and the Tenant agree to provide (within the nominated timeframes) the energy, water and waste data information (which shows consumption data and cost) for the Premises and the Building reports to each other by </w:t>
            </w:r>
            <w:r w:rsidRPr="00E1423E">
              <w:rPr>
                <w:color w:val="FFFFFF" w:themeColor="background1"/>
                <w:shd w:val="clear" w:color="auto" w:fill="7B1C49" w:themeFill="accent5"/>
              </w:rPr>
              <w:t>[insert date]</w:t>
            </w:r>
            <w:r w:rsidRPr="00E1423E">
              <w:t>.</w:t>
            </w:r>
          </w:p>
          <w:p w14:paraId="58EAF366" w14:textId="0D7B34B7" w:rsidR="00E1423E" w:rsidRDefault="00E1423E" w:rsidP="00E1423E">
            <w:pPr>
              <w:pStyle w:val="Clauseindent"/>
              <w:numPr>
                <w:ilvl w:val="0"/>
                <w:numId w:val="6"/>
              </w:numPr>
              <w:ind w:left="703" w:hanging="378"/>
            </w:pPr>
            <w:r>
              <w:t xml:space="preserve">The Landlord and the Tenant agree to provide updated reports to each other no less than </w:t>
            </w:r>
            <w:r>
              <w:rPr>
                <w:color w:val="FFFFFF" w:themeColor="background1"/>
                <w:shd w:val="clear" w:color="auto" w:fill="3A0019" w:themeFill="accent6"/>
              </w:rPr>
              <w:t>[insert #]</w:t>
            </w:r>
            <w:r>
              <w:t xml:space="preserve"> per </w:t>
            </w:r>
            <w:r w:rsidRPr="00E1423E">
              <w:rPr>
                <w:color w:val="FFFFFF" w:themeColor="background1"/>
                <w:shd w:val="clear" w:color="auto" w:fill="7B1C49" w:themeFill="accent5"/>
              </w:rPr>
              <w:t>[month/quarter/year].</w:t>
            </w:r>
          </w:p>
          <w:p w14:paraId="4888743C" w14:textId="77777777" w:rsidR="00E1423E" w:rsidRDefault="00E1423E" w:rsidP="00E1423E">
            <w:pPr>
              <w:pStyle w:val="Clauseindent"/>
              <w:numPr>
                <w:ilvl w:val="0"/>
                <w:numId w:val="6"/>
              </w:numPr>
              <w:ind w:left="703" w:hanging="378"/>
            </w:pPr>
            <w:r>
              <w:t>Reports provided under clause 1.2(b) must include:</w:t>
            </w:r>
          </w:p>
          <w:p w14:paraId="35DFF604" w14:textId="77777777" w:rsidR="00E1423E" w:rsidRDefault="00E1423E" w:rsidP="00E1423E">
            <w:pPr>
              <w:pStyle w:val="Clause2ndlevel"/>
              <w:numPr>
                <w:ilvl w:val="0"/>
                <w:numId w:val="9"/>
              </w:numPr>
              <w:ind w:left="1235" w:hanging="350"/>
            </w:pPr>
            <w:r>
              <w:t xml:space="preserve">a reasonably detailed assessment or description of the progress and performance of the </w:t>
            </w:r>
            <w:r w:rsidRPr="00E1423E">
              <w:rPr>
                <w:color w:val="FFFFFF" w:themeColor="background1"/>
                <w:shd w:val="clear" w:color="auto" w:fill="7B1C49" w:themeFill="accent5"/>
              </w:rPr>
              <w:t>[party/parties]</w:t>
            </w:r>
            <w:r>
              <w:t xml:space="preserve"> against any relevant targets, strategies or plans;</w:t>
            </w:r>
          </w:p>
          <w:p w14:paraId="6BEDD795" w14:textId="77777777" w:rsidR="00E1423E" w:rsidRDefault="00E1423E" w:rsidP="00E1423E">
            <w:pPr>
              <w:pStyle w:val="Clause2ndlevel"/>
            </w:pPr>
            <w:r>
              <w:t>descriptions of how the progress and performance was monitored over the relevant reporting period;</w:t>
            </w:r>
          </w:p>
          <w:p w14:paraId="1E74710F" w14:textId="77777777" w:rsidR="00E1423E" w:rsidRDefault="00E1423E" w:rsidP="00E1423E">
            <w:pPr>
              <w:pStyle w:val="Clause2ndlevel"/>
            </w:pPr>
            <w:r>
              <w:t>if progress or performance has not met (or is likely not to meet) a reasonable target, strategy or plan explain why and how the failure may be remedied or performance improved;</w:t>
            </w:r>
          </w:p>
          <w:p w14:paraId="7421FEB9" w14:textId="77777777" w:rsidR="00E1423E" w:rsidRDefault="00E1423E" w:rsidP="00E1423E">
            <w:pPr>
              <w:pStyle w:val="Clause2ndlevel"/>
            </w:pPr>
            <w:r>
              <w:t>new, updated or revised targets, strategies and plan is more or a confirmation of the existing targets, strategies and plans for the next reporting period with supporting reasoning;</w:t>
            </w:r>
          </w:p>
          <w:p w14:paraId="5735FAD6" w14:textId="77777777" w:rsidR="00E1423E" w:rsidRDefault="00E1423E" w:rsidP="00E1423E">
            <w:pPr>
              <w:pStyle w:val="Clause2ndlevel"/>
            </w:pPr>
            <w:r>
              <w:t>cost savings achieved for that reporting period; and</w:t>
            </w:r>
          </w:p>
          <w:p w14:paraId="7EBBB380" w14:textId="4CE4D8DB" w:rsidR="00E1423E" w:rsidRPr="0040274D" w:rsidRDefault="00E1423E" w:rsidP="00E1423E">
            <w:pPr>
              <w:pStyle w:val="Clause2ndlevel"/>
              <w:rPr>
                <w:u w:color="ABE0F9"/>
              </w:rPr>
            </w:pPr>
            <w:r>
              <w:t>any other relevant information.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01E23256" w14:textId="77777777" w:rsidR="00E1423E" w:rsidRPr="006F29E2" w:rsidRDefault="00E1423E"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DB1B208" w14:textId="069555AA" w:rsidR="00E1423E" w:rsidRPr="006F29E2" w:rsidRDefault="00E1423E" w:rsidP="00B93BD8">
            <w:pPr>
              <w:pStyle w:val="Notes"/>
            </w:pPr>
            <w:r w:rsidRPr="00E1423E">
              <w:t>The landlord may consider producing a pro-forma report for the tenant during lease negotiations so the tenant is aware of the information required at the outset.</w:t>
            </w:r>
          </w:p>
        </w:tc>
      </w:tr>
    </w:tbl>
    <w:p w14:paraId="678350D9" w14:textId="52C2030A" w:rsidR="00E1423E" w:rsidRDefault="00E1423E" w:rsidP="00B2039E"/>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E1423E" w:rsidRPr="006F29E2" w14:paraId="28FD2639"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61E0A116" w14:textId="77777777" w:rsidR="00E1423E" w:rsidRPr="006F29E2" w:rsidRDefault="00E1423E" w:rsidP="00B93BD8">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190B1F9" w14:textId="77777777" w:rsidR="00E1423E" w:rsidRPr="006F29E2" w:rsidRDefault="00E1423E"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7083CEE" w14:textId="77777777" w:rsidR="00E1423E" w:rsidRPr="006F29E2" w:rsidRDefault="00E1423E"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02163508" w14:textId="77777777" w:rsidR="00E1423E" w:rsidRPr="006F29E2" w:rsidRDefault="00E1423E" w:rsidP="00B93BD8">
            <w:pPr>
              <w:pStyle w:val="TableHeader"/>
              <w:rPr>
                <w:color w:val="000000"/>
                <w:sz w:val="24"/>
                <w:szCs w:val="24"/>
                <w:lang w:val="en-GB"/>
              </w:rPr>
            </w:pPr>
            <w:r w:rsidRPr="006F29E2">
              <w:t>MITIGATION</w:t>
            </w:r>
          </w:p>
        </w:tc>
      </w:tr>
      <w:tr w:rsidR="00E1423E" w:rsidRPr="006F29E2" w14:paraId="13AD79D6" w14:textId="77777777" w:rsidTr="00B93BD8">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07FD2DAC" w14:textId="5EC80B53" w:rsidR="00E1423E" w:rsidRPr="006F29E2" w:rsidRDefault="00E1423E" w:rsidP="00B93BD8">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16CDD5EC" w14:textId="5464D483" w:rsidR="00E1423E" w:rsidRDefault="00E1423E" w:rsidP="00B93BD8">
            <w:pPr>
              <w:pStyle w:val="ClauseTitle0"/>
            </w:pPr>
            <w:r w:rsidRPr="004F569A">
              <w:t>1</w:t>
            </w:r>
            <w:r>
              <w:t>.4 Costs</w:t>
            </w:r>
          </w:p>
          <w:p w14:paraId="1947E415" w14:textId="58E789E4" w:rsidR="00E1423E" w:rsidRPr="00E1423E" w:rsidRDefault="00E1423E" w:rsidP="00E1423E">
            <w:pPr>
              <w:pStyle w:val="Clausecopy"/>
              <w:ind w:left="325" w:hanging="20"/>
              <w:rPr>
                <w:u w:color="ABE0F9"/>
              </w:rPr>
            </w:pPr>
            <w:r w:rsidRPr="00E1423E">
              <w:t>The Landlord and the Tenant will bear their own costs in connection with the provision of data and reports under clause 1.</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7605CA19" w14:textId="77777777" w:rsidR="00E1423E" w:rsidRPr="006F29E2" w:rsidRDefault="00E1423E"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5727246E" w14:textId="2606F353" w:rsidR="00E1423E" w:rsidRPr="006F29E2" w:rsidRDefault="00E1423E" w:rsidP="00B93BD8">
            <w:pPr>
              <w:pStyle w:val="Notes"/>
            </w:pPr>
            <w:r w:rsidRPr="00E1423E">
              <w:t>none noted</w:t>
            </w:r>
          </w:p>
        </w:tc>
      </w:tr>
    </w:tbl>
    <w:p w14:paraId="77FB6B26" w14:textId="6929F3C3" w:rsidR="00E1423E" w:rsidRDefault="00E1423E" w:rsidP="00B2039E">
      <w:r>
        <w:br w:type="page"/>
      </w: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E1423E" w:rsidRPr="006F29E2" w14:paraId="49C6B448"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21A03FA7" w14:textId="77777777" w:rsidR="00E1423E" w:rsidRPr="006F29E2" w:rsidRDefault="00E1423E" w:rsidP="00B93BD8">
            <w:pPr>
              <w:pStyle w:val="TableHeader"/>
              <w:rPr>
                <w:color w:val="000000"/>
                <w:sz w:val="24"/>
                <w:szCs w:val="24"/>
                <w:lang w:val="en-GB"/>
              </w:rPr>
            </w:pPr>
            <w:r w:rsidRPr="006F29E2">
              <w:lastRenderedPageBreak/>
              <w:t>NOTES</w:t>
            </w:r>
          </w:p>
        </w:tc>
        <w:tc>
          <w:tcPr>
            <w:tcW w:w="7830" w:type="dxa"/>
            <w:tcBorders>
              <w:bottom w:val="single" w:sz="4" w:space="0" w:color="006838" w:themeColor="accent1"/>
            </w:tcBorders>
            <w:tcMar>
              <w:top w:w="80" w:type="dxa"/>
              <w:left w:w="80" w:type="dxa"/>
              <w:bottom w:w="80" w:type="dxa"/>
              <w:right w:w="80" w:type="dxa"/>
            </w:tcMar>
          </w:tcPr>
          <w:p w14:paraId="1BB6BBA5" w14:textId="77777777" w:rsidR="00E1423E" w:rsidRPr="006F29E2" w:rsidRDefault="00E1423E"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4C49687B" w14:textId="77777777" w:rsidR="00E1423E" w:rsidRPr="006F29E2" w:rsidRDefault="00E1423E"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73A11B9" w14:textId="77777777" w:rsidR="00E1423E" w:rsidRPr="006F29E2" w:rsidRDefault="00E1423E" w:rsidP="00B93BD8">
            <w:pPr>
              <w:pStyle w:val="TableHeader"/>
              <w:rPr>
                <w:color w:val="000000"/>
                <w:sz w:val="24"/>
                <w:szCs w:val="24"/>
                <w:lang w:val="en-GB"/>
              </w:rPr>
            </w:pPr>
            <w:r w:rsidRPr="006F29E2">
              <w:t>MITIGATION</w:t>
            </w:r>
          </w:p>
        </w:tc>
      </w:tr>
      <w:tr w:rsidR="00E1423E" w:rsidRPr="006F29E2" w14:paraId="36C7B12B" w14:textId="77777777" w:rsidTr="00B93BD8">
        <w:trPr>
          <w:trHeight w:val="856"/>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66FF1255" w14:textId="77777777" w:rsidR="00E1423E" w:rsidRPr="006F29E2" w:rsidRDefault="00E1423E" w:rsidP="00B93BD8">
            <w:pPr>
              <w:pStyle w:val="Notes"/>
            </w:pPr>
            <w:r>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626F4176" w14:textId="45DBA80E" w:rsidR="00E1423E" w:rsidRDefault="00E1423E" w:rsidP="00B93BD8">
            <w:pPr>
              <w:pStyle w:val="ClauseTitle0"/>
            </w:pPr>
            <w:r w:rsidRPr="004F569A">
              <w:t>1</w:t>
            </w:r>
            <w:r>
              <w:t>.5 A</w:t>
            </w:r>
            <w:r w:rsidRPr="00E1423E">
              <w:t>ccess to NMI for Energy Management and Information Sharing</w:t>
            </w:r>
          </w:p>
          <w:p w14:paraId="150A5CF6" w14:textId="77777777" w:rsidR="00E1423E" w:rsidRDefault="00E1423E" w:rsidP="00E1423E">
            <w:pPr>
              <w:pStyle w:val="Clauseindent"/>
              <w:numPr>
                <w:ilvl w:val="0"/>
                <w:numId w:val="10"/>
              </w:numPr>
              <w:ind w:left="675" w:hanging="378"/>
            </w:pPr>
            <w:r>
              <w:t>The Landlord may access the Premises at any reasonable time after giving the Tenant reasonable prior written notice, to read the [NMI] meters in the Premises.</w:t>
            </w:r>
          </w:p>
          <w:p w14:paraId="612F2C00" w14:textId="499D0C81" w:rsidR="00E1423E" w:rsidRPr="00E1423E" w:rsidRDefault="00E1423E" w:rsidP="00E1423E">
            <w:pPr>
              <w:pStyle w:val="Clauseindent"/>
              <w:ind w:left="661" w:hanging="350"/>
              <w:rPr>
                <w:u w:color="ABE0F9"/>
              </w:rPr>
            </w:pPr>
            <w:r>
              <w:t>The Tenant will provide the information obtained from reading the [NMI] meters in the Premises to the Tenant.</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69B7D78F" w14:textId="77777777" w:rsidR="00E1423E" w:rsidRPr="006F29E2" w:rsidRDefault="00E1423E"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4CD587CD" w14:textId="77777777" w:rsidR="00E1423E" w:rsidRPr="006F29E2" w:rsidRDefault="00E1423E" w:rsidP="00B93BD8">
            <w:pPr>
              <w:pStyle w:val="Notes"/>
            </w:pPr>
            <w:r w:rsidRPr="00E1423E">
              <w:t>none noted</w:t>
            </w:r>
          </w:p>
        </w:tc>
      </w:tr>
    </w:tbl>
    <w:p w14:paraId="47AC8E6D" w14:textId="77777777" w:rsidR="00E1423E" w:rsidRPr="00B2039E" w:rsidRDefault="00E1423E" w:rsidP="00B2039E"/>
    <w:sectPr w:rsidR="00E1423E" w:rsidRPr="00B2039E" w:rsidSect="0004737B">
      <w:headerReference w:type="default" r:id="rId8"/>
      <w:footerReference w:type="default" r:id="rId9"/>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D457D9" w:rsidRDefault="00D457D9" w:rsidP="00D457D9">
      <w:pPr>
        <w:spacing w:after="0"/>
      </w:pPr>
      <w:r>
        <w:separator/>
      </w:r>
    </w:p>
  </w:endnote>
  <w:endnote w:type="continuationSeparator" w:id="0">
    <w:p w14:paraId="207AD039" w14:textId="77777777" w:rsidR="00D457D9" w:rsidRDefault="00D457D9" w:rsidP="00D45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315050"/>
      <w:docPartObj>
        <w:docPartGallery w:val="Page Numbers (Bottom of Page)"/>
        <w:docPartUnique/>
      </w:docPartObj>
    </w:sdtPr>
    <w:sdtEndPr>
      <w:rPr>
        <w:noProof/>
      </w:rPr>
    </w:sdtEndPr>
    <w:sdtContent>
      <w:p w14:paraId="0BE04047" w14:textId="5CD8AFE4" w:rsidR="008C7786" w:rsidRDefault="008C7786">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7"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v:textbox>
                  <w10:wrap anchorx="margin" anchory="margin"/>
                </v:shape>
              </w:pict>
            </mc:Fallback>
          </mc:AlternateContent>
        </w:r>
        <w:r w:rsidR="0004737B" w:rsidRPr="0004737B">
          <w:rPr>
            <w:color w:val="8DC640" w:themeColor="accent2"/>
            <w:sz w:val="16"/>
          </w:rPr>
          <w:t xml:space="preserve">BETTER </w:t>
        </w:r>
        <w:r w:rsidR="0004737B" w:rsidRPr="0004737B">
          <w:rPr>
            <w:color w:val="39B536" w:themeColor="accent3"/>
            <w:sz w:val="16"/>
          </w:rPr>
          <w:t xml:space="preserve">BUILDINGS </w:t>
        </w:r>
        <w:r w:rsidR="0004737B" w:rsidRPr="0004737B">
          <w:rPr>
            <w:color w:val="006838" w:themeColor="accent1"/>
            <w:sz w:val="16"/>
          </w:rPr>
          <w:t xml:space="preserve">PARTNERSHIP </w:t>
        </w:r>
        <w:r w:rsidR="0004737B"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6C0CF6">
          <w:rPr>
            <w:noProof/>
            <w:sz w:val="16"/>
          </w:rPr>
          <w:t>3</w:t>
        </w:r>
        <w:r w:rsidRPr="0004737B">
          <w:rPr>
            <w:noProof/>
            <w:sz w:val="16"/>
          </w:rPr>
          <w:fldChar w:fldCharType="end"/>
        </w:r>
      </w:p>
    </w:sdtContent>
  </w:sdt>
  <w:p w14:paraId="0D0D1C89" w14:textId="421F7A38" w:rsidR="00E02CCF" w:rsidRPr="008C7786" w:rsidRDefault="00E02CCF"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D457D9" w:rsidRDefault="00D457D9" w:rsidP="00D457D9">
      <w:pPr>
        <w:spacing w:after="0"/>
      </w:pPr>
      <w:r>
        <w:separator/>
      </w:r>
    </w:p>
  </w:footnote>
  <w:footnote w:type="continuationSeparator" w:id="0">
    <w:p w14:paraId="25574907" w14:textId="77777777" w:rsidR="00D457D9" w:rsidRDefault="00D457D9" w:rsidP="00D45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0F443363" w:rsidR="00D457D9" w:rsidRDefault="00BA481B" w:rsidP="00D457D9">
    <w:pPr>
      <w:pStyle w:val="Heading1"/>
      <w:rPr>
        <w:b w:val="0"/>
      </w:rPr>
    </w:pPr>
    <w:r>
      <w:rPr>
        <w:noProof/>
        <w:lang w:val="en-AU" w:eastAsia="en-AU"/>
      </w:rPr>
      <mc:AlternateContent>
        <mc:Choice Requires="wps">
          <w:drawing>
            <wp:anchor distT="0" distB="0" distL="114300" distR="114300" simplePos="0" relativeHeight="251659264" behindDoc="0" locked="0" layoutInCell="1" allowOverlap="1" wp14:anchorId="4A5FC056" wp14:editId="55EA27F5">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33D20" w14:textId="09D20647" w:rsidR="00D457D9" w:rsidRPr="00BA481B" w:rsidRDefault="001D4B87" w:rsidP="00D457D9">
                          <w:pPr>
                            <w:jc w:val="center"/>
                            <w:rPr>
                              <w:b/>
                              <w:color w:val="8DC640" w:themeColor="accent2"/>
                              <w:sz w:val="16"/>
                              <w:lang w:val="en-AU"/>
                            </w:rPr>
                          </w:pPr>
                          <w:r>
                            <w:rPr>
                              <w:b/>
                              <w:color w:val="8DC640" w:themeColor="accent2"/>
                              <w:sz w:val="16"/>
                              <w:lang w:val="en-AU"/>
                            </w:rPr>
                            <w:t>RS</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FC056" id="Oval 1" o:spid="_x0000_s1026" style="position:absolute;margin-left:-28.9pt;margin-top:6.8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" filled="f" strokecolor="#8dc640 [3205]" strokeweight="1pt">
              <v:stroke joinstyle="miter"/>
              <v:textbox inset="0,1.5mm,0,0">
                <w:txbxContent>
                  <w:p w14:paraId="1E733D20" w14:textId="09D20647" w:rsidR="00D457D9" w:rsidRPr="00BA481B" w:rsidRDefault="001D4B87" w:rsidP="00D457D9">
                    <w:pPr>
                      <w:jc w:val="center"/>
                      <w:rPr>
                        <w:b/>
                        <w:color w:val="8DC640" w:themeColor="accent2"/>
                        <w:sz w:val="16"/>
                        <w:lang w:val="en-AU"/>
                      </w:rPr>
                    </w:pPr>
                    <w:r>
                      <w:rPr>
                        <w:b/>
                        <w:color w:val="8DC640" w:themeColor="accent2"/>
                        <w:sz w:val="16"/>
                        <w:lang w:val="en-AU"/>
                      </w:rPr>
                      <w:t>RS</w:t>
                    </w:r>
                  </w:p>
                </w:txbxContent>
              </v:textbox>
            </v:oval>
          </w:pict>
        </mc:Fallback>
      </mc:AlternateContent>
    </w:r>
    <w:r w:rsidR="001D4B87">
      <w:t xml:space="preserve">Reporting and Standards </w:t>
    </w:r>
    <w:r w:rsidR="006E7B3C">
      <w:t xml:space="preserve"> </w:t>
    </w:r>
  </w:p>
  <w:p w14:paraId="45B3515C" w14:textId="3500919C" w:rsidR="00D457D9" w:rsidRDefault="001D4B87" w:rsidP="00957959">
    <w:pPr>
      <w:pStyle w:val="Heading2"/>
    </w:pPr>
    <w:r>
      <w:t>1 I</w:t>
    </w:r>
    <w:r w:rsidRPr="001D4B87">
      <w:t>nformation Sharing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DC4"/>
    <w:multiLevelType w:val="hybridMultilevel"/>
    <w:tmpl w:val="6F465734"/>
    <w:lvl w:ilvl="0" w:tplc="BDBEDC86">
      <w:start w:val="1"/>
      <w:numFmt w:val="bullet"/>
      <w:pStyle w:val="Black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910915"/>
    <w:multiLevelType w:val="hybridMultilevel"/>
    <w:tmpl w:val="115EC6DA"/>
    <w:lvl w:ilvl="0" w:tplc="2C066258">
      <w:start w:val="1"/>
      <w:numFmt w:val="bullet"/>
      <w:pStyle w:val="Gre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3552CF"/>
    <w:multiLevelType w:val="hybridMultilevel"/>
    <w:tmpl w:val="1C1CD5E8"/>
    <w:lvl w:ilvl="0" w:tplc="9CC6D562">
      <w:start w:val="1"/>
      <w:numFmt w:val="lowerRoman"/>
      <w:pStyle w:val="Clause2ndlevel"/>
      <w:lvlText w:val="%1)"/>
      <w:lvlJc w:val="left"/>
      <w:pPr>
        <w:ind w:left="644" w:hanging="360"/>
      </w:pPr>
      <w:rPr>
        <w:rFonts w:hint="default"/>
      </w:rPr>
    </w:lvl>
    <w:lvl w:ilvl="1" w:tplc="20D276A2">
      <w:start w:val="1"/>
      <w:numFmt w:val="upperRoman"/>
      <w:lvlText w:val="%2)"/>
      <w:lvlJc w:val="right"/>
      <w:pPr>
        <w:ind w:left="-989" w:hanging="360"/>
      </w:pPr>
      <w:rPr>
        <w:rFonts w:hint="default"/>
      </w:rPr>
    </w:lvl>
    <w:lvl w:ilvl="2" w:tplc="0C09001B" w:tentative="1">
      <w:start w:val="1"/>
      <w:numFmt w:val="lowerRoman"/>
      <w:lvlText w:val="%3."/>
      <w:lvlJc w:val="right"/>
      <w:pPr>
        <w:ind w:left="-269" w:hanging="180"/>
      </w:pPr>
    </w:lvl>
    <w:lvl w:ilvl="3" w:tplc="0C09000F" w:tentative="1">
      <w:start w:val="1"/>
      <w:numFmt w:val="decimal"/>
      <w:lvlText w:val="%4."/>
      <w:lvlJc w:val="left"/>
      <w:pPr>
        <w:ind w:left="451" w:hanging="360"/>
      </w:pPr>
    </w:lvl>
    <w:lvl w:ilvl="4" w:tplc="0C090019" w:tentative="1">
      <w:start w:val="1"/>
      <w:numFmt w:val="lowerLetter"/>
      <w:lvlText w:val="%5."/>
      <w:lvlJc w:val="left"/>
      <w:pPr>
        <w:ind w:left="1171" w:hanging="360"/>
      </w:pPr>
    </w:lvl>
    <w:lvl w:ilvl="5" w:tplc="0C09001B" w:tentative="1">
      <w:start w:val="1"/>
      <w:numFmt w:val="lowerRoman"/>
      <w:lvlText w:val="%6."/>
      <w:lvlJc w:val="right"/>
      <w:pPr>
        <w:ind w:left="1891" w:hanging="180"/>
      </w:pPr>
    </w:lvl>
    <w:lvl w:ilvl="6" w:tplc="0C09000F" w:tentative="1">
      <w:start w:val="1"/>
      <w:numFmt w:val="decimal"/>
      <w:lvlText w:val="%7."/>
      <w:lvlJc w:val="left"/>
      <w:pPr>
        <w:ind w:left="2611" w:hanging="360"/>
      </w:pPr>
    </w:lvl>
    <w:lvl w:ilvl="7" w:tplc="0C090019" w:tentative="1">
      <w:start w:val="1"/>
      <w:numFmt w:val="lowerLetter"/>
      <w:lvlText w:val="%8."/>
      <w:lvlJc w:val="left"/>
      <w:pPr>
        <w:ind w:left="3331" w:hanging="360"/>
      </w:pPr>
    </w:lvl>
    <w:lvl w:ilvl="8" w:tplc="0C09001B" w:tentative="1">
      <w:start w:val="1"/>
      <w:numFmt w:val="lowerRoman"/>
      <w:lvlText w:val="%9."/>
      <w:lvlJc w:val="right"/>
      <w:pPr>
        <w:ind w:left="4051" w:hanging="180"/>
      </w:pPr>
    </w:lvl>
  </w:abstractNum>
  <w:abstractNum w:abstractNumId="3" w15:restartNumberingAfterBreak="0">
    <w:nsid w:val="7D916AA0"/>
    <w:multiLevelType w:val="hybridMultilevel"/>
    <w:tmpl w:val="58FC5836"/>
    <w:lvl w:ilvl="0" w:tplc="9CCE1A1A">
      <w:start w:val="1"/>
      <w:numFmt w:val="lowerLetter"/>
      <w:pStyle w:val="Clauseindent"/>
      <w:lvlText w:val="%1)"/>
      <w:lvlJc w:val="left"/>
      <w:pPr>
        <w:ind w:left="827" w:hanging="360"/>
      </w:pPr>
    </w:lvl>
    <w:lvl w:ilvl="1" w:tplc="20D276A2">
      <w:start w:val="1"/>
      <w:numFmt w:val="upperRoman"/>
      <w:lvlText w:val="%2)"/>
      <w:lvlJc w:val="right"/>
      <w:pPr>
        <w:ind w:left="-806" w:hanging="360"/>
      </w:pPr>
      <w:rPr>
        <w:rFonts w:hint="default"/>
      </w:rPr>
    </w:lvl>
    <w:lvl w:ilvl="2" w:tplc="0C09001B" w:tentative="1">
      <w:start w:val="1"/>
      <w:numFmt w:val="lowerRoman"/>
      <w:lvlText w:val="%3."/>
      <w:lvlJc w:val="right"/>
      <w:pPr>
        <w:ind w:left="-86" w:hanging="180"/>
      </w:pPr>
    </w:lvl>
    <w:lvl w:ilvl="3" w:tplc="0C09000F" w:tentative="1">
      <w:start w:val="1"/>
      <w:numFmt w:val="decimal"/>
      <w:lvlText w:val="%4."/>
      <w:lvlJc w:val="left"/>
      <w:pPr>
        <w:ind w:left="634" w:hanging="360"/>
      </w:pPr>
    </w:lvl>
    <w:lvl w:ilvl="4" w:tplc="0C090019" w:tentative="1">
      <w:start w:val="1"/>
      <w:numFmt w:val="lowerLetter"/>
      <w:lvlText w:val="%5."/>
      <w:lvlJc w:val="left"/>
      <w:pPr>
        <w:ind w:left="1354" w:hanging="360"/>
      </w:pPr>
    </w:lvl>
    <w:lvl w:ilvl="5" w:tplc="0C09001B" w:tentative="1">
      <w:start w:val="1"/>
      <w:numFmt w:val="lowerRoman"/>
      <w:lvlText w:val="%6."/>
      <w:lvlJc w:val="right"/>
      <w:pPr>
        <w:ind w:left="2074" w:hanging="180"/>
      </w:pPr>
    </w:lvl>
    <w:lvl w:ilvl="6" w:tplc="0C09000F" w:tentative="1">
      <w:start w:val="1"/>
      <w:numFmt w:val="decimal"/>
      <w:lvlText w:val="%7."/>
      <w:lvlJc w:val="left"/>
      <w:pPr>
        <w:ind w:left="2794" w:hanging="360"/>
      </w:pPr>
    </w:lvl>
    <w:lvl w:ilvl="7" w:tplc="0C090019" w:tentative="1">
      <w:start w:val="1"/>
      <w:numFmt w:val="lowerLetter"/>
      <w:lvlText w:val="%8."/>
      <w:lvlJc w:val="left"/>
      <w:pPr>
        <w:ind w:left="3514" w:hanging="360"/>
      </w:pPr>
    </w:lvl>
    <w:lvl w:ilvl="8" w:tplc="0C09001B" w:tentative="1">
      <w:start w:val="1"/>
      <w:numFmt w:val="lowerRoman"/>
      <w:lvlText w:val="%9."/>
      <w:lvlJc w:val="right"/>
      <w:pPr>
        <w:ind w:left="4234" w:hanging="180"/>
      </w:pPr>
    </w:lvl>
  </w:abstractNum>
  <w:num w:numId="1">
    <w:abstractNumId w:val="3"/>
  </w:num>
  <w:num w:numId="2">
    <w:abstractNumId w:val="1"/>
  </w:num>
  <w:num w:numId="3">
    <w:abstractNumId w:val="0"/>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3"/>
    <w:lvlOverride w:ilvl="0">
      <w:startOverride w:val="1"/>
    </w:lvlOverride>
  </w:num>
  <w:num w:numId="9">
    <w:abstractNumId w:val="2"/>
    <w:lvlOverride w:ilvl="0">
      <w:startOverride w:val="1"/>
    </w:lvlOverride>
  </w:num>
  <w:num w:numId="10">
    <w:abstractNumId w:val="3"/>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4737B"/>
    <w:rsid w:val="000542D1"/>
    <w:rsid w:val="000720C5"/>
    <w:rsid w:val="000B5D81"/>
    <w:rsid w:val="001A559E"/>
    <w:rsid w:val="001D4B87"/>
    <w:rsid w:val="001E130B"/>
    <w:rsid w:val="00212BCD"/>
    <w:rsid w:val="0021473C"/>
    <w:rsid w:val="0027343E"/>
    <w:rsid w:val="00281690"/>
    <w:rsid w:val="00286AD2"/>
    <w:rsid w:val="002A06CC"/>
    <w:rsid w:val="00330612"/>
    <w:rsid w:val="0034260F"/>
    <w:rsid w:val="003525DD"/>
    <w:rsid w:val="003861B0"/>
    <w:rsid w:val="003C38DB"/>
    <w:rsid w:val="0040274D"/>
    <w:rsid w:val="004557C7"/>
    <w:rsid w:val="004F569A"/>
    <w:rsid w:val="00553804"/>
    <w:rsid w:val="00627EF4"/>
    <w:rsid w:val="00664E8F"/>
    <w:rsid w:val="006C0CF6"/>
    <w:rsid w:val="006C313B"/>
    <w:rsid w:val="006E7B3C"/>
    <w:rsid w:val="006F29E2"/>
    <w:rsid w:val="006F474A"/>
    <w:rsid w:val="00740A2C"/>
    <w:rsid w:val="00764FD8"/>
    <w:rsid w:val="007879CA"/>
    <w:rsid w:val="007A7A8A"/>
    <w:rsid w:val="0084769B"/>
    <w:rsid w:val="008C7786"/>
    <w:rsid w:val="008D34D0"/>
    <w:rsid w:val="00957959"/>
    <w:rsid w:val="009873B3"/>
    <w:rsid w:val="009B3A60"/>
    <w:rsid w:val="009F4327"/>
    <w:rsid w:val="00A97E20"/>
    <w:rsid w:val="00AE2E28"/>
    <w:rsid w:val="00AF116C"/>
    <w:rsid w:val="00B2039E"/>
    <w:rsid w:val="00BA481B"/>
    <w:rsid w:val="00C37D05"/>
    <w:rsid w:val="00C87E35"/>
    <w:rsid w:val="00CB0567"/>
    <w:rsid w:val="00CB0AAC"/>
    <w:rsid w:val="00CB6007"/>
    <w:rsid w:val="00D11C3B"/>
    <w:rsid w:val="00D457D9"/>
    <w:rsid w:val="00D87539"/>
    <w:rsid w:val="00DA1F1D"/>
    <w:rsid w:val="00DB2960"/>
    <w:rsid w:val="00DD04FD"/>
    <w:rsid w:val="00E02CCF"/>
    <w:rsid w:val="00E1423E"/>
    <w:rsid w:val="00E211D8"/>
    <w:rsid w:val="00E64108"/>
    <w:rsid w:val="00EC0BE9"/>
    <w:rsid w:val="00F542ED"/>
    <w:rsid w:val="00F9521A"/>
    <w:rsid w:val="00FC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30B"/>
    <w:pPr>
      <w:spacing w:after="80" w:line="240" w:lineRule="auto"/>
    </w:pPr>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6F29E2"/>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6F29E2"/>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84769B"/>
    <w:rPr>
      <w:sz w:val="16"/>
    </w:rPr>
  </w:style>
  <w:style w:type="paragraph" w:customStyle="1" w:styleId="ClauseTitle0">
    <w:name w:val="Clause Title"/>
    <w:basedOn w:val="Normal"/>
    <w:link w:val="ClauseTitleChar"/>
    <w:qFormat/>
    <w:rsid w:val="00D457D9"/>
    <w:rPr>
      <w:b/>
      <w:color w:val="39B536" w:themeColor="accent3"/>
    </w:rPr>
  </w:style>
  <w:style w:type="character" w:customStyle="1" w:styleId="NotesChar">
    <w:name w:val="Notes Char"/>
    <w:basedOn w:val="DefaultParagraphFont"/>
    <w:link w:val="Notes"/>
    <w:rsid w:val="0084769B"/>
    <w:rPr>
      <w:sz w:val="16"/>
    </w:rPr>
  </w:style>
  <w:style w:type="paragraph" w:customStyle="1" w:styleId="Clausecopy">
    <w:name w:val="Clause copy"/>
    <w:basedOn w:val="Normal"/>
    <w:link w:val="ClausecopyChar"/>
    <w:qFormat/>
    <w:rsid w:val="00D457D9"/>
    <w:pPr>
      <w:ind w:left="345"/>
    </w:pPr>
    <w:rPr>
      <w:color w:val="39B536" w:themeColor="accent3"/>
    </w:rPr>
  </w:style>
  <w:style w:type="character" w:customStyle="1" w:styleId="ClauseTitleChar">
    <w:name w:val="Clause Title Char"/>
    <w:basedOn w:val="DefaultParagraphFont"/>
    <w:link w:val="ClauseTitle0"/>
    <w:rsid w:val="00D457D9"/>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457D9"/>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3C38DB"/>
    <w:pPr>
      <w:numPr>
        <w:numId w:val="1"/>
      </w:numPr>
      <w:spacing w:after="40"/>
      <w:ind w:left="511" w:hanging="227"/>
    </w:pPr>
  </w:style>
  <w:style w:type="paragraph" w:customStyle="1" w:styleId="Clause2ndlevel">
    <w:name w:val="Clause 2nd level"/>
    <w:basedOn w:val="Clauseindent"/>
    <w:link w:val="Clause2ndlevelChar"/>
    <w:qFormat/>
    <w:rsid w:val="00740A2C"/>
    <w:pPr>
      <w:numPr>
        <w:numId w:val="4"/>
      </w:numPr>
      <w:ind w:left="1226" w:hanging="350"/>
    </w:pPr>
  </w:style>
  <w:style w:type="character" w:customStyle="1" w:styleId="ClauseindentChar">
    <w:name w:val="Clause indent Char"/>
    <w:basedOn w:val="ClausecopyChar"/>
    <w:link w:val="Clauseindent"/>
    <w:rsid w:val="003C38DB"/>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740A2C"/>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 w:type="paragraph" w:customStyle="1" w:styleId="GreenBullets">
    <w:name w:val="Green Bullets"/>
    <w:basedOn w:val="GreenText"/>
    <w:link w:val="GreenBulletsChar"/>
    <w:qFormat/>
    <w:rsid w:val="00330612"/>
    <w:pPr>
      <w:numPr>
        <w:numId w:val="2"/>
      </w:numPr>
      <w:spacing w:after="40"/>
      <w:ind w:left="340" w:hanging="227"/>
    </w:pPr>
  </w:style>
  <w:style w:type="character" w:customStyle="1" w:styleId="draftingnote">
    <w:name w:val="drafting note"/>
    <w:uiPriority w:val="99"/>
    <w:rsid w:val="004F569A"/>
    <w:rPr>
      <w:color w:val="000000"/>
      <w:u w:val="thick" w:color="ABE0F9"/>
    </w:rPr>
  </w:style>
  <w:style w:type="character" w:customStyle="1" w:styleId="GreenBulletsChar">
    <w:name w:val="Green Bullets Char"/>
    <w:basedOn w:val="GreenTextChar"/>
    <w:link w:val="GreenBullets"/>
    <w:rsid w:val="00330612"/>
    <w:rPr>
      <w:color w:val="39B536" w:themeColor="accent3"/>
      <w:sz w:val="18"/>
    </w:rPr>
  </w:style>
  <w:style w:type="character" w:styleId="Hyperlink">
    <w:name w:val="Hyperlink"/>
    <w:basedOn w:val="DefaultParagraphFont"/>
    <w:uiPriority w:val="99"/>
    <w:unhideWhenUsed/>
    <w:rsid w:val="00330612"/>
    <w:rPr>
      <w:color w:val="39B536" w:themeColor="hyperlink"/>
      <w:u w:val="single"/>
    </w:rPr>
  </w:style>
  <w:style w:type="paragraph" w:customStyle="1" w:styleId="Hyperlinktext">
    <w:name w:val="Hyperlink text"/>
    <w:basedOn w:val="GreenText"/>
    <w:link w:val="HyperlinktextChar"/>
    <w:qFormat/>
    <w:rsid w:val="00281690"/>
    <w:rPr>
      <w:b/>
      <w:i/>
      <w:sz w:val="20"/>
    </w:rPr>
  </w:style>
  <w:style w:type="paragraph" w:styleId="ListParagraph">
    <w:name w:val="List Paragraph"/>
    <w:basedOn w:val="Normal"/>
    <w:link w:val="ListParagraphChar"/>
    <w:uiPriority w:val="34"/>
    <w:qFormat/>
    <w:rsid w:val="00330612"/>
    <w:pPr>
      <w:ind w:left="720"/>
      <w:contextualSpacing/>
    </w:pPr>
  </w:style>
  <w:style w:type="character" w:customStyle="1" w:styleId="HyperlinktextChar">
    <w:name w:val="Hyperlink text Char"/>
    <w:basedOn w:val="GreenTextChar"/>
    <w:link w:val="Hyperlinktext"/>
    <w:rsid w:val="00281690"/>
    <w:rPr>
      <w:b/>
      <w:i/>
      <w:color w:val="39B536" w:themeColor="accent3"/>
      <w:sz w:val="20"/>
    </w:rPr>
  </w:style>
  <w:style w:type="paragraph" w:customStyle="1" w:styleId="Blackbullets">
    <w:name w:val="Black bullets"/>
    <w:basedOn w:val="ListParagraph"/>
    <w:link w:val="BlackbulletsChar"/>
    <w:qFormat/>
    <w:rsid w:val="00330612"/>
    <w:pPr>
      <w:numPr>
        <w:numId w:val="3"/>
      </w:numPr>
      <w:suppressAutoHyphens/>
      <w:autoSpaceDE w:val="0"/>
      <w:autoSpaceDN w:val="0"/>
      <w:adjustRightInd w:val="0"/>
      <w:spacing w:after="0" w:line="240" w:lineRule="atLeast"/>
      <w:ind w:left="340" w:hanging="227"/>
      <w:textAlignment w:val="center"/>
    </w:pPr>
    <w:rPr>
      <w:rFonts w:asciiTheme="majorHAnsi" w:hAnsiTheme="majorHAnsi" w:cstheme="majorHAnsi"/>
      <w:color w:val="000000"/>
      <w:spacing w:val="-2"/>
      <w:sz w:val="16"/>
      <w:szCs w:val="16"/>
    </w:rPr>
  </w:style>
  <w:style w:type="character" w:customStyle="1" w:styleId="ListParagraphChar">
    <w:name w:val="List Paragraph Char"/>
    <w:basedOn w:val="DefaultParagraphFont"/>
    <w:link w:val="ListParagraph"/>
    <w:uiPriority w:val="34"/>
    <w:rsid w:val="00330612"/>
    <w:rPr>
      <w:sz w:val="18"/>
    </w:rPr>
  </w:style>
  <w:style w:type="character" w:customStyle="1" w:styleId="BlackbulletsChar">
    <w:name w:val="Black bullets Char"/>
    <w:basedOn w:val="ListParagraphChar"/>
    <w:link w:val="Blackbullets"/>
    <w:rsid w:val="00330612"/>
    <w:rPr>
      <w:rFonts w:asciiTheme="majorHAnsi" w:hAnsiTheme="majorHAnsi" w:cstheme="majorHAnsi"/>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59AD-0DB4-45C5-8B75-DC5D89AD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6</cp:revision>
  <dcterms:created xsi:type="dcterms:W3CDTF">2016-09-20T04:09:00Z</dcterms:created>
  <dcterms:modified xsi:type="dcterms:W3CDTF">2016-09-21T01:52:00Z</dcterms:modified>
</cp:coreProperties>
</file>