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6F29E2" w14:paraId="1FBE4E64" w14:textId="77777777" w:rsidTr="006E7B3C">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AD9A7B4" w14:textId="43578203" w:rsidR="006F29E2" w:rsidRPr="00D457D9" w:rsidRDefault="005B5623" w:rsidP="00D457D9">
            <w:pPr>
              <w:pStyle w:val="TableHeader"/>
            </w:pPr>
            <w:r w:rsidRPr="005B5623">
              <w:rPr>
                <w:rStyle w:val="tabletitles"/>
                <w:rFonts w:asciiTheme="minorHAnsi" w:hAnsiTheme="minorHAnsi" w:cstheme="majorHAnsi"/>
                <w:b/>
                <w:bCs w:val="0"/>
                <w:caps/>
                <w:color w:val="939598" w:themeColor="background2"/>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5B03656D" w14:textId="335D20DC" w:rsidR="006F29E2" w:rsidRPr="00D457D9" w:rsidRDefault="006F29E2" w:rsidP="00D457D9">
            <w:pPr>
              <w:pStyle w:val="TableHeader"/>
            </w:pPr>
          </w:p>
        </w:tc>
        <w:tc>
          <w:tcPr>
            <w:tcW w:w="5059" w:type="dxa"/>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6E7B3C">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363C1119" w14:textId="77777777" w:rsidR="009E6616" w:rsidRDefault="009E6616" w:rsidP="009E6616">
            <w:pPr>
              <w:pStyle w:val="GreenText"/>
            </w:pPr>
            <w:r>
              <w:t>Rent review clauses typically include a list of factors that may be taken into account when the rent of a building or premises is reviewed.</w:t>
            </w:r>
          </w:p>
          <w:p w14:paraId="3968C480" w14:textId="77777777" w:rsidR="009E6616" w:rsidRDefault="009E6616" w:rsidP="009E6616">
            <w:pPr>
              <w:pStyle w:val="GreenText"/>
            </w:pPr>
            <w:r>
              <w:t xml:space="preserve">This list may include factors that relate to the environmental performance of the building or premises. </w:t>
            </w:r>
          </w:p>
          <w:p w14:paraId="62D217A3" w14:textId="034722DE" w:rsidR="006F29E2" w:rsidRDefault="009E6616" w:rsidP="009E6616">
            <w:pPr>
              <w:pStyle w:val="GreenText"/>
            </w:pPr>
            <w:r>
              <w:t>These clauses are not part of the BBP leasing standard however this series of clauses have been provided with the aim of facilitating and clarifying the compliance of the BBP leasing standard clauses.</w:t>
            </w:r>
          </w:p>
        </w:tc>
        <w:tc>
          <w:tcPr>
            <w:tcW w:w="5059" w:type="dxa"/>
            <w:gridSpan w:val="2"/>
            <w:tcBorders>
              <w:top w:val="single" w:sz="2" w:space="0" w:color="006838" w:themeColor="accent1"/>
              <w:bottom w:val="nil"/>
            </w:tcBorders>
            <w:tcMar>
              <w:top w:w="80" w:type="dxa"/>
              <w:left w:w="80" w:type="dxa"/>
              <w:bottom w:w="80" w:type="dxa"/>
              <w:right w:w="80" w:type="dxa"/>
            </w:tcMar>
          </w:tcPr>
          <w:p w14:paraId="30E1A2BB" w14:textId="16C260C1" w:rsidR="006F29E2" w:rsidRDefault="006F29E2" w:rsidP="001D4B87">
            <w:pPr>
              <w:pStyle w:val="GreenText"/>
            </w:pPr>
          </w:p>
        </w:tc>
        <w:tc>
          <w:tcPr>
            <w:tcW w:w="5059" w:type="dxa"/>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5B5623" w:rsidRPr="005B5623" w14:paraId="39682717" w14:textId="77777777" w:rsidTr="00E211D8">
        <w:trPr>
          <w:trHeight w:val="399"/>
        </w:trPr>
        <w:tc>
          <w:tcPr>
            <w:tcW w:w="4536" w:type="dxa"/>
            <w:tcBorders>
              <w:top w:val="nil"/>
              <w:bottom w:val="single" w:sz="4" w:space="0" w:color="006838" w:themeColor="accent1"/>
            </w:tcBorders>
            <w:tcMar>
              <w:top w:w="80" w:type="dxa"/>
              <w:left w:w="80" w:type="dxa"/>
              <w:bottom w:w="80" w:type="dxa"/>
              <w:right w:w="80" w:type="dxa"/>
            </w:tcMar>
          </w:tcPr>
          <w:p w14:paraId="7A097DBA" w14:textId="7354967F" w:rsidR="00E211D8" w:rsidRPr="005B5623" w:rsidRDefault="00E211D8" w:rsidP="00D457D9">
            <w:pPr>
              <w:pStyle w:val="TableHeader"/>
              <w:rPr>
                <w:rStyle w:val="tabletitles"/>
                <w:rFonts w:asciiTheme="minorHAnsi" w:hAnsiTheme="minorHAnsi" w:cstheme="majorHAnsi"/>
                <w:b/>
                <w:bCs w:val="0"/>
                <w:caps/>
                <w:color w:val="939598" w:themeColor="background2"/>
              </w:rPr>
            </w:pPr>
          </w:p>
          <w:p w14:paraId="3A121AF3" w14:textId="213E9C93" w:rsidR="006F29E2" w:rsidRPr="005B5623" w:rsidRDefault="006F29E2" w:rsidP="00D457D9">
            <w:pPr>
              <w:pStyle w:val="TableHeader"/>
              <w:rPr>
                <w:rStyle w:val="tabletitles"/>
                <w:rFonts w:asciiTheme="minorHAnsi" w:hAnsiTheme="minorHAnsi" w:cstheme="majorHAnsi"/>
                <w:b/>
                <w:bCs w:val="0"/>
                <w:caps/>
                <w:color w:val="939598" w:themeColor="background2"/>
              </w:rPr>
            </w:pPr>
            <w:r w:rsidRPr="005B5623">
              <w:rPr>
                <w:rStyle w:val="tabletitles"/>
                <w:rFonts w:asciiTheme="minorHAnsi" w:hAnsiTheme="minorHAnsi" w:cstheme="majorHAnsi"/>
                <w:b/>
                <w:bCs w:val="0"/>
                <w:caps/>
                <w:color w:val="939598" w:themeColor="background2"/>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63A0BF41" w14:textId="77777777" w:rsidR="006F29E2" w:rsidRPr="005B5623" w:rsidRDefault="006F29E2" w:rsidP="00D457D9">
            <w:pPr>
              <w:pStyle w:val="TableHeader"/>
              <w:rPr>
                <w:color w:val="939598" w:themeColor="background2"/>
              </w:rPr>
            </w:pPr>
          </w:p>
        </w:tc>
        <w:tc>
          <w:tcPr>
            <w:tcW w:w="6104" w:type="dxa"/>
            <w:gridSpan w:val="2"/>
            <w:tcBorders>
              <w:top w:val="nil"/>
              <w:bottom w:val="single" w:sz="4" w:space="0" w:color="006838" w:themeColor="accent1"/>
            </w:tcBorders>
            <w:tcMar>
              <w:top w:w="80" w:type="dxa"/>
              <w:left w:w="80" w:type="dxa"/>
              <w:bottom w:w="80" w:type="dxa"/>
              <w:right w:w="80" w:type="dxa"/>
            </w:tcMar>
          </w:tcPr>
          <w:p w14:paraId="28D61ECB" w14:textId="77777777" w:rsidR="006F29E2" w:rsidRPr="005B5623" w:rsidRDefault="006F29E2" w:rsidP="00D457D9">
            <w:pPr>
              <w:pStyle w:val="TableHeader"/>
              <w:rPr>
                <w:color w:val="939598" w:themeColor="background2"/>
              </w:rPr>
            </w:pPr>
          </w:p>
        </w:tc>
      </w:tr>
    </w:tbl>
    <w:p w14:paraId="6BB072EC" w14:textId="77777777" w:rsidR="003E5E7E" w:rsidRPr="005B5623" w:rsidRDefault="009E6616" w:rsidP="00D457D9">
      <w:pPr>
        <w:pStyle w:val="TableHeader"/>
        <w:rPr>
          <w:color w:val="939598" w:themeColor="background2"/>
        </w:rP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B5623" w:rsidRPr="005B5623"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5B5623" w:rsidRDefault="006F29E2" w:rsidP="00D457D9">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5B5623" w:rsidRDefault="006F29E2" w:rsidP="00D457D9">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5B5623" w:rsidRDefault="006F29E2" w:rsidP="00D457D9">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5B5623" w:rsidRDefault="006F29E2" w:rsidP="00D457D9">
            <w:pPr>
              <w:pStyle w:val="TableHeader"/>
              <w:rPr>
                <w:color w:val="939598" w:themeColor="background2"/>
                <w:sz w:val="24"/>
                <w:szCs w:val="24"/>
                <w:lang w:val="en-GB"/>
              </w:rPr>
            </w:pPr>
            <w:r w:rsidRPr="005B5623">
              <w:rPr>
                <w:color w:val="939598" w:themeColor="background2"/>
              </w:rPr>
              <w:t>MITIGATION</w:t>
            </w:r>
          </w:p>
        </w:tc>
      </w:tr>
      <w:tr w:rsidR="00D457D9" w:rsidRPr="006F29E2" w14:paraId="632CC7C0" w14:textId="77777777" w:rsidTr="00AF116C">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25A3585F" w:rsidR="006F29E2" w:rsidRPr="006F29E2" w:rsidRDefault="005B5623" w:rsidP="00D457D9">
            <w:pPr>
              <w:pStyle w:val="Notes"/>
            </w:pPr>
            <w:r>
              <w:t>n</w:t>
            </w:r>
            <w:r w:rsidR="006F29E2"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F3F046D" w14:textId="361FA66C" w:rsidR="00AF116C" w:rsidRDefault="004F569A" w:rsidP="00AF116C">
            <w:pPr>
              <w:pStyle w:val="ClauseTitle0"/>
            </w:pPr>
            <w:r w:rsidRPr="004F569A">
              <w:t xml:space="preserve">1.1 </w:t>
            </w:r>
            <w:r w:rsidR="009E6616">
              <w:t>F</w:t>
            </w:r>
            <w:r w:rsidR="009E6616" w:rsidRPr="009E6616">
              <w:t>actors to be taken into account</w:t>
            </w:r>
          </w:p>
          <w:p w14:paraId="7A814CB4" w14:textId="77777777" w:rsidR="009E6616" w:rsidRDefault="009E6616" w:rsidP="009E6616">
            <w:pPr>
              <w:pStyle w:val="Clauseindent"/>
              <w:ind w:left="694" w:hanging="364"/>
            </w:pPr>
            <w:r>
              <w:t>Whether a party has achieved a Target NABERS Rating during the Term and how long it has been maintained for during the Term;</w:t>
            </w:r>
          </w:p>
          <w:p w14:paraId="7AEAFDF0" w14:textId="4D68978A" w:rsidR="006F29E2" w:rsidRPr="0040274D" w:rsidRDefault="009E6616" w:rsidP="009E6616">
            <w:pPr>
              <w:pStyle w:val="Clauseindent"/>
              <w:ind w:left="694" w:hanging="364"/>
              <w:rPr>
                <w:u w:color="ABE0F9"/>
              </w:rPr>
            </w:pPr>
            <w:r>
              <w:t>Whether a party has achieved a NABERS Rating higher than a Target NABERS Rating during the Term and how long it has been maintained for during the Term.</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51E9505F" w:rsidR="006F29E2" w:rsidRPr="006F29E2" w:rsidRDefault="005B5623" w:rsidP="00957959">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0554B0C" w14:textId="20B4C711" w:rsidR="006F29E2" w:rsidRPr="006F29E2" w:rsidRDefault="005B5623" w:rsidP="001D4B87">
            <w:pPr>
              <w:pStyle w:val="Notes"/>
            </w:pPr>
            <w:r>
              <w:t>none noted</w:t>
            </w:r>
          </w:p>
        </w:tc>
      </w:tr>
    </w:tbl>
    <w:p w14:paraId="3F0C11F5" w14:textId="6A0FEAC7" w:rsidR="001D4B87" w:rsidRDefault="001D4B87" w:rsidP="009202A9">
      <w:bookmarkStart w:id="0" w:name="_GoBack"/>
      <w:bookmarkEnd w:id="0"/>
    </w:p>
    <w:sectPr w:rsidR="001D4B87" w:rsidSect="0004737B">
      <w:headerReference w:type="default" r:id="rId8"/>
      <w:footerReference w:type="default" r:id="rId9"/>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D457D9" w:rsidRDefault="00D457D9" w:rsidP="00D457D9">
      <w:pPr>
        <w:spacing w:after="0"/>
      </w:pPr>
      <w:r>
        <w:separator/>
      </w:r>
    </w:p>
  </w:endnote>
  <w:endnote w:type="continuationSeparator" w:id="0">
    <w:p w14:paraId="207AD039" w14:textId="77777777" w:rsidR="00D457D9" w:rsidRDefault="00D457D9" w:rsidP="00D45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315050"/>
      <w:docPartObj>
        <w:docPartGallery w:val="Page Numbers (Bottom of Page)"/>
        <w:docPartUnique/>
      </w:docPartObj>
    </w:sdtPr>
    <w:sdtEndPr>
      <w:rPr>
        <w:noProof/>
      </w:rPr>
    </w:sdtEndPr>
    <w:sdtContent>
      <w:p w14:paraId="0BE04047" w14:textId="07900378" w:rsidR="008C7786" w:rsidRDefault="008C7786">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7"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v:textbox>
                  <w10:wrap anchorx="margin" anchory="margin"/>
                </v:shape>
              </w:pict>
            </mc:Fallback>
          </mc:AlternateContent>
        </w:r>
        <w:r w:rsidR="0004737B" w:rsidRPr="0004737B">
          <w:rPr>
            <w:color w:val="8DC640" w:themeColor="accent2"/>
            <w:sz w:val="16"/>
          </w:rPr>
          <w:t xml:space="preserve">BETTER </w:t>
        </w:r>
        <w:r w:rsidR="0004737B" w:rsidRPr="0004737B">
          <w:rPr>
            <w:color w:val="39B536" w:themeColor="accent3"/>
            <w:sz w:val="16"/>
          </w:rPr>
          <w:t xml:space="preserve">BUILDINGS </w:t>
        </w:r>
        <w:r w:rsidR="0004737B" w:rsidRPr="0004737B">
          <w:rPr>
            <w:color w:val="006838" w:themeColor="accent1"/>
            <w:sz w:val="16"/>
          </w:rPr>
          <w:t xml:space="preserve">PARTNERSHIP </w:t>
        </w:r>
        <w:r w:rsidR="0004737B"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9E6616">
          <w:rPr>
            <w:noProof/>
            <w:sz w:val="16"/>
          </w:rPr>
          <w:t>1</w:t>
        </w:r>
        <w:r w:rsidRPr="0004737B">
          <w:rPr>
            <w:noProof/>
            <w:sz w:val="16"/>
          </w:rPr>
          <w:fldChar w:fldCharType="end"/>
        </w:r>
      </w:p>
    </w:sdtContent>
  </w:sdt>
  <w:p w14:paraId="0D0D1C89" w14:textId="421F7A38" w:rsidR="00E02CCF" w:rsidRPr="008C7786" w:rsidRDefault="00E02CCF"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D457D9" w:rsidRDefault="00D457D9" w:rsidP="00D457D9">
      <w:pPr>
        <w:spacing w:after="0"/>
      </w:pPr>
      <w:r>
        <w:separator/>
      </w:r>
    </w:p>
  </w:footnote>
  <w:footnote w:type="continuationSeparator" w:id="0">
    <w:p w14:paraId="25574907" w14:textId="77777777" w:rsidR="00D457D9" w:rsidRDefault="00D457D9" w:rsidP="00D45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11208739" w:rsidR="00D457D9" w:rsidRDefault="00BA481B" w:rsidP="00D457D9">
    <w:pPr>
      <w:pStyle w:val="Heading1"/>
      <w:rPr>
        <w:b w:val="0"/>
      </w:rPr>
    </w:pPr>
    <w:r w:rsidRPr="005B5623">
      <w:rPr>
        <w:noProof/>
        <w:color w:val="E1E2E3" w:themeColor="text2"/>
        <w:lang w:val="en-AU" w:eastAsia="en-AU"/>
      </w:rPr>
      <mc:AlternateContent>
        <mc:Choice Requires="wps">
          <w:drawing>
            <wp:anchor distT="0" distB="0" distL="114300" distR="114300" simplePos="0" relativeHeight="251659264" behindDoc="0" locked="0" layoutInCell="1" allowOverlap="1" wp14:anchorId="4A5FC056" wp14:editId="3BC14E42">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33D20" w14:textId="264767A6" w:rsidR="00D457D9" w:rsidRPr="005B5623" w:rsidRDefault="005B5623" w:rsidP="00D457D9">
                          <w:pPr>
                            <w:jc w:val="center"/>
                            <w:rPr>
                              <w:b/>
                              <w:color w:val="E1E2E3" w:themeColor="text2"/>
                              <w:sz w:val="16"/>
                              <w:lang w:val="en-AU"/>
                            </w:rPr>
                          </w:pPr>
                          <w:r w:rsidRPr="005B5623">
                            <w:rPr>
                              <w:b/>
                              <w:color w:val="E1E2E3" w:themeColor="text2"/>
                              <w:sz w:val="16"/>
                              <w:lang w:val="en-AU"/>
                            </w:rPr>
                            <w:t>CC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FC056" id="Oval 1" o:spid="_x0000_s1026" style="position:absolute;margin-left:-28.9pt;margin-top:6.8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" filled="f" strokecolor="#e1e2e3 [3215]" strokeweight="1pt">
              <v:stroke joinstyle="miter"/>
              <v:textbox inset="0,1.5mm,0,0">
                <w:txbxContent>
                  <w:p w14:paraId="1E733D20" w14:textId="264767A6" w:rsidR="00D457D9" w:rsidRPr="005B5623" w:rsidRDefault="005B5623" w:rsidP="00D457D9">
                    <w:pPr>
                      <w:jc w:val="center"/>
                      <w:rPr>
                        <w:b/>
                        <w:color w:val="E1E2E3" w:themeColor="text2"/>
                        <w:sz w:val="16"/>
                        <w:lang w:val="en-AU"/>
                      </w:rPr>
                    </w:pPr>
                    <w:r w:rsidRPr="005B5623">
                      <w:rPr>
                        <w:b/>
                        <w:color w:val="E1E2E3" w:themeColor="text2"/>
                        <w:sz w:val="16"/>
                        <w:lang w:val="en-AU"/>
                      </w:rPr>
                      <w:t>CC</w:t>
                    </w:r>
                  </w:p>
                </w:txbxContent>
              </v:textbox>
            </v:oval>
          </w:pict>
        </mc:Fallback>
      </mc:AlternateContent>
    </w:r>
    <w:r w:rsidR="005B5623" w:rsidRPr="005B5623">
      <w:rPr>
        <w:color w:val="E1E2E3" w:themeColor="text2"/>
      </w:rPr>
      <w:t>Compliance and Costs</w:t>
    </w:r>
    <w:r w:rsidR="001D4B87" w:rsidRPr="005B5623">
      <w:rPr>
        <w:color w:val="E1E2E3" w:themeColor="text2"/>
      </w:rPr>
      <w:t xml:space="preserve"> </w:t>
    </w:r>
    <w:r w:rsidR="006E7B3C" w:rsidRPr="005B5623">
      <w:rPr>
        <w:color w:val="E1E2E3" w:themeColor="text2"/>
      </w:rPr>
      <w:t xml:space="preserve"> </w:t>
    </w:r>
  </w:p>
  <w:p w14:paraId="45B3515C" w14:textId="6646EBD6" w:rsidR="00D457D9" w:rsidRPr="005B5623" w:rsidRDefault="009E6616" w:rsidP="00957959">
    <w:pPr>
      <w:pStyle w:val="Heading2"/>
      <w:rPr>
        <w:color w:val="939598" w:themeColor="background2"/>
      </w:rPr>
    </w:pPr>
    <w:r>
      <w:rPr>
        <w:color w:val="939598" w:themeColor="background2"/>
      </w:rPr>
      <w:t>3 Rent Review</w:t>
    </w:r>
  </w:p>
  <w:p w14:paraId="5D3451BB" w14:textId="77777777" w:rsidR="005B5623" w:rsidRDefault="005B56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DC4"/>
    <w:multiLevelType w:val="hybridMultilevel"/>
    <w:tmpl w:val="6F465734"/>
    <w:lvl w:ilvl="0" w:tplc="BDBEDC86">
      <w:start w:val="1"/>
      <w:numFmt w:val="bullet"/>
      <w:pStyle w:val="Blac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040CB"/>
    <w:multiLevelType w:val="hybridMultilevel"/>
    <w:tmpl w:val="F09E768E"/>
    <w:lvl w:ilvl="0" w:tplc="9CCE1A1A">
      <w:start w:val="1"/>
      <w:numFmt w:val="lowerLetter"/>
      <w:lvlText w:val="%1)"/>
      <w:lvlJc w:val="left"/>
      <w:pPr>
        <w:ind w:left="827" w:hanging="360"/>
      </w:pPr>
    </w:lvl>
    <w:lvl w:ilvl="1" w:tplc="20D276A2">
      <w:start w:val="1"/>
      <w:numFmt w:val="upperRoman"/>
      <w:lvlText w:val="%2)"/>
      <w:lvlJc w:val="right"/>
      <w:pPr>
        <w:ind w:left="-806" w:hanging="360"/>
      </w:pPr>
      <w:rPr>
        <w:rFonts w:hint="default"/>
      </w:rPr>
    </w:lvl>
    <w:lvl w:ilvl="2" w:tplc="0C09001B">
      <w:start w:val="1"/>
      <w:numFmt w:val="lowerRoman"/>
      <w:lvlText w:val="%3."/>
      <w:lvlJc w:val="right"/>
      <w:pPr>
        <w:ind w:left="-86" w:hanging="180"/>
      </w:pPr>
    </w:lvl>
    <w:lvl w:ilvl="3" w:tplc="0C09000F">
      <w:start w:val="1"/>
      <w:numFmt w:val="decimal"/>
      <w:lvlText w:val="%4."/>
      <w:lvlJc w:val="left"/>
      <w:pPr>
        <w:ind w:left="634" w:hanging="360"/>
      </w:pPr>
    </w:lvl>
    <w:lvl w:ilvl="4" w:tplc="A29A7712">
      <w:start w:val="1"/>
      <w:numFmt w:val="upperLetter"/>
      <w:lvlText w:val="%5)"/>
      <w:lvlJc w:val="left"/>
      <w:pPr>
        <w:ind w:left="1354" w:hanging="360"/>
      </w:pPr>
      <w:rPr>
        <w:rFonts w:hint="default"/>
      </w:r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2" w15:restartNumberingAfterBreak="0">
    <w:nsid w:val="3A910915"/>
    <w:multiLevelType w:val="hybridMultilevel"/>
    <w:tmpl w:val="115EC6DA"/>
    <w:lvl w:ilvl="0" w:tplc="2C066258">
      <w:start w:val="1"/>
      <w:numFmt w:val="bullet"/>
      <w:pStyle w:val="Gre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552CF"/>
    <w:multiLevelType w:val="hybridMultilevel"/>
    <w:tmpl w:val="1C1CD5E8"/>
    <w:lvl w:ilvl="0" w:tplc="9CC6D562">
      <w:start w:val="1"/>
      <w:numFmt w:val="lowerRoman"/>
      <w:pStyle w:val="Clause2ndlevel"/>
      <w:lvlText w:val="%1)"/>
      <w:lvlJc w:val="left"/>
      <w:pPr>
        <w:ind w:left="644" w:hanging="360"/>
      </w:pPr>
      <w:rPr>
        <w:rFonts w:hint="default"/>
      </w:r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tentative="1">
      <w:start w:val="1"/>
      <w:numFmt w:val="lowerLetter"/>
      <w:lvlText w:val="%5."/>
      <w:lvlJc w:val="left"/>
      <w:pPr>
        <w:ind w:left="1171" w:hanging="360"/>
      </w:pPr>
    </w:lvl>
    <w:lvl w:ilvl="5" w:tplc="0C09001B" w:tentative="1">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4" w15:restartNumberingAfterBreak="0">
    <w:nsid w:val="7D916AA0"/>
    <w:multiLevelType w:val="hybridMultilevel"/>
    <w:tmpl w:val="58FC5836"/>
    <w:lvl w:ilvl="0" w:tplc="9CCE1A1A">
      <w:start w:val="1"/>
      <w:numFmt w:val="lowerLetter"/>
      <w:pStyle w:val="Clauseindent"/>
      <w:lvlText w:val="%1)"/>
      <w:lvlJc w:val="left"/>
      <w:pPr>
        <w:ind w:left="827" w:hanging="360"/>
      </w:pPr>
    </w:lvl>
    <w:lvl w:ilvl="1" w:tplc="20D276A2">
      <w:start w:val="1"/>
      <w:numFmt w:val="upperRoman"/>
      <w:lvlText w:val="%2)"/>
      <w:lvlJc w:val="right"/>
      <w:pPr>
        <w:ind w:left="-806" w:hanging="360"/>
      </w:pPr>
      <w:rPr>
        <w:rFonts w:hint="default"/>
      </w:rPr>
    </w:lvl>
    <w:lvl w:ilvl="2" w:tplc="0C09001B">
      <w:start w:val="1"/>
      <w:numFmt w:val="lowerRoman"/>
      <w:lvlText w:val="%3."/>
      <w:lvlJc w:val="right"/>
      <w:pPr>
        <w:ind w:left="-86" w:hanging="180"/>
      </w:pPr>
    </w:lvl>
    <w:lvl w:ilvl="3" w:tplc="0C09000F">
      <w:start w:val="1"/>
      <w:numFmt w:val="decimal"/>
      <w:lvlText w:val="%4."/>
      <w:lvlJc w:val="left"/>
      <w:pPr>
        <w:ind w:left="634" w:hanging="360"/>
      </w:pPr>
    </w:lvl>
    <w:lvl w:ilvl="4" w:tplc="0C090019">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num w:numId="1">
    <w:abstractNumId w:val="4"/>
  </w:num>
  <w:num w:numId="2">
    <w:abstractNumId w:val="2"/>
  </w:num>
  <w:num w:numId="3">
    <w:abstractNumId w:val="0"/>
  </w:num>
  <w:num w:numId="4">
    <w:abstractNumId w:val="3"/>
  </w:num>
  <w:num w:numId="5">
    <w:abstractNumId w:val="3"/>
    <w:lvlOverride w:ilvl="0">
      <w:startOverride w:val="1"/>
    </w:lvlOverride>
  </w:num>
  <w:num w:numId="6">
    <w:abstractNumId w:val="4"/>
    <w:lvlOverride w:ilvl="0">
      <w:startOverride w:val="1"/>
    </w:lvlOverride>
  </w:num>
  <w:num w:numId="7">
    <w:abstractNumId w:val="3"/>
    <w:lvlOverride w:ilvl="0">
      <w:startOverride w:val="1"/>
    </w:lvlOverride>
  </w:num>
  <w:num w:numId="8">
    <w:abstractNumId w:val="4"/>
    <w:lvlOverride w:ilvl="0">
      <w:startOverride w:val="1"/>
    </w:lvlOverride>
  </w:num>
  <w:num w:numId="9">
    <w:abstractNumId w:val="3"/>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
  </w:num>
  <w:num w:numId="16">
    <w:abstractNumId w:val="4"/>
  </w:num>
  <w:num w:numId="17">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22AE2"/>
    <w:rsid w:val="0004737B"/>
    <w:rsid w:val="000542D1"/>
    <w:rsid w:val="000720C5"/>
    <w:rsid w:val="00075279"/>
    <w:rsid w:val="000B5D81"/>
    <w:rsid w:val="001A559E"/>
    <w:rsid w:val="001D4B87"/>
    <w:rsid w:val="001E130B"/>
    <w:rsid w:val="00212BCD"/>
    <w:rsid w:val="0021473C"/>
    <w:rsid w:val="0027343E"/>
    <w:rsid w:val="00281690"/>
    <w:rsid w:val="00286AD2"/>
    <w:rsid w:val="002A06CC"/>
    <w:rsid w:val="002C2D7B"/>
    <w:rsid w:val="00330612"/>
    <w:rsid w:val="0034260F"/>
    <w:rsid w:val="003525DD"/>
    <w:rsid w:val="003861B0"/>
    <w:rsid w:val="003C38DB"/>
    <w:rsid w:val="0040274D"/>
    <w:rsid w:val="004557C7"/>
    <w:rsid w:val="004F569A"/>
    <w:rsid w:val="00553804"/>
    <w:rsid w:val="005B5623"/>
    <w:rsid w:val="00627EF4"/>
    <w:rsid w:val="00664E8F"/>
    <w:rsid w:val="006C313B"/>
    <w:rsid w:val="006E7B3C"/>
    <w:rsid w:val="006F29E2"/>
    <w:rsid w:val="006F474A"/>
    <w:rsid w:val="00740A2C"/>
    <w:rsid w:val="00764FD8"/>
    <w:rsid w:val="007879CA"/>
    <w:rsid w:val="007A7A8A"/>
    <w:rsid w:val="0084769B"/>
    <w:rsid w:val="008C7786"/>
    <w:rsid w:val="008D34D0"/>
    <w:rsid w:val="009202A9"/>
    <w:rsid w:val="00957959"/>
    <w:rsid w:val="009873B3"/>
    <w:rsid w:val="009B3A60"/>
    <w:rsid w:val="009E6616"/>
    <w:rsid w:val="009F4327"/>
    <w:rsid w:val="00A97E20"/>
    <w:rsid w:val="00AA671A"/>
    <w:rsid w:val="00AE2E28"/>
    <w:rsid w:val="00AF116C"/>
    <w:rsid w:val="00B2039E"/>
    <w:rsid w:val="00BA481B"/>
    <w:rsid w:val="00BF69DA"/>
    <w:rsid w:val="00C37D05"/>
    <w:rsid w:val="00C87E35"/>
    <w:rsid w:val="00CB0567"/>
    <w:rsid w:val="00CB0AAC"/>
    <w:rsid w:val="00CB6007"/>
    <w:rsid w:val="00D11C3B"/>
    <w:rsid w:val="00D457D9"/>
    <w:rsid w:val="00D87539"/>
    <w:rsid w:val="00DA1F1D"/>
    <w:rsid w:val="00DB2960"/>
    <w:rsid w:val="00DD04FD"/>
    <w:rsid w:val="00E02CCF"/>
    <w:rsid w:val="00E1423E"/>
    <w:rsid w:val="00E211D8"/>
    <w:rsid w:val="00E64108"/>
    <w:rsid w:val="00EC0BE9"/>
    <w:rsid w:val="00F542ED"/>
    <w:rsid w:val="00F9521A"/>
    <w:rsid w:val="00FC0B04"/>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30B"/>
    <w:pPr>
      <w:spacing w:after="80" w:line="240" w:lineRule="auto"/>
    </w:pPr>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6F29E2"/>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6F29E2"/>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84769B"/>
    <w:rPr>
      <w:sz w:val="16"/>
    </w:rPr>
  </w:style>
  <w:style w:type="paragraph" w:customStyle="1" w:styleId="ClauseTitle0">
    <w:name w:val="Clause Title"/>
    <w:basedOn w:val="Normal"/>
    <w:link w:val="ClauseTitleChar"/>
    <w:qFormat/>
    <w:rsid w:val="00D457D9"/>
    <w:rPr>
      <w:b/>
      <w:color w:val="39B536" w:themeColor="accent3"/>
    </w:rPr>
  </w:style>
  <w:style w:type="character" w:customStyle="1" w:styleId="NotesChar">
    <w:name w:val="Notes Char"/>
    <w:basedOn w:val="DefaultParagraphFont"/>
    <w:link w:val="Notes"/>
    <w:rsid w:val="0084769B"/>
    <w:rPr>
      <w:sz w:val="16"/>
    </w:rPr>
  </w:style>
  <w:style w:type="paragraph" w:customStyle="1" w:styleId="Clausecopy">
    <w:name w:val="Clause copy"/>
    <w:basedOn w:val="Normal"/>
    <w:link w:val="ClausecopyChar"/>
    <w:qFormat/>
    <w:rsid w:val="00D457D9"/>
    <w:pPr>
      <w:ind w:left="345"/>
    </w:pPr>
    <w:rPr>
      <w:color w:val="39B536" w:themeColor="accent3"/>
    </w:rPr>
  </w:style>
  <w:style w:type="character" w:customStyle="1" w:styleId="ClauseTitleChar">
    <w:name w:val="Clause Title Char"/>
    <w:basedOn w:val="DefaultParagraphFont"/>
    <w:link w:val="ClauseTitle0"/>
    <w:rsid w:val="00D457D9"/>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457D9"/>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3C38DB"/>
    <w:pPr>
      <w:numPr>
        <w:numId w:val="1"/>
      </w:numPr>
      <w:spacing w:after="40"/>
    </w:pPr>
  </w:style>
  <w:style w:type="paragraph" w:customStyle="1" w:styleId="Clause2ndlevel">
    <w:name w:val="Clause 2nd level"/>
    <w:basedOn w:val="Clauseindent"/>
    <w:link w:val="Clause2ndlevelChar"/>
    <w:qFormat/>
    <w:rsid w:val="00740A2C"/>
    <w:pPr>
      <w:numPr>
        <w:numId w:val="4"/>
      </w:numPr>
      <w:ind w:left="1226" w:hanging="350"/>
    </w:pPr>
  </w:style>
  <w:style w:type="character" w:customStyle="1" w:styleId="ClauseindentChar">
    <w:name w:val="Clause indent Char"/>
    <w:basedOn w:val="ClausecopyChar"/>
    <w:link w:val="Clauseindent"/>
    <w:rsid w:val="003C38DB"/>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740A2C"/>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 w:type="paragraph" w:customStyle="1" w:styleId="GreenBullets">
    <w:name w:val="Green Bullets"/>
    <w:basedOn w:val="GreenText"/>
    <w:link w:val="GreenBulletsChar"/>
    <w:qFormat/>
    <w:rsid w:val="00330612"/>
    <w:pPr>
      <w:numPr>
        <w:numId w:val="2"/>
      </w:numPr>
      <w:spacing w:after="40"/>
      <w:ind w:left="340" w:hanging="227"/>
    </w:pPr>
  </w:style>
  <w:style w:type="character" w:customStyle="1" w:styleId="draftingnote">
    <w:name w:val="drafting note"/>
    <w:uiPriority w:val="99"/>
    <w:rsid w:val="004F569A"/>
    <w:rPr>
      <w:color w:val="000000"/>
      <w:u w:val="thick" w:color="ABE0F9"/>
    </w:rPr>
  </w:style>
  <w:style w:type="character" w:customStyle="1" w:styleId="GreenBulletsChar">
    <w:name w:val="Green Bullets Char"/>
    <w:basedOn w:val="GreenTextChar"/>
    <w:link w:val="GreenBullets"/>
    <w:rsid w:val="00330612"/>
    <w:rPr>
      <w:color w:val="39B536" w:themeColor="accent3"/>
      <w:sz w:val="18"/>
    </w:rPr>
  </w:style>
  <w:style w:type="character" w:styleId="Hyperlink">
    <w:name w:val="Hyperlink"/>
    <w:basedOn w:val="DefaultParagraphFont"/>
    <w:uiPriority w:val="99"/>
    <w:unhideWhenUsed/>
    <w:rsid w:val="00330612"/>
    <w:rPr>
      <w:color w:val="39B536" w:themeColor="hyperlink"/>
      <w:u w:val="single"/>
    </w:rPr>
  </w:style>
  <w:style w:type="paragraph" w:customStyle="1" w:styleId="Hyperlinktext">
    <w:name w:val="Hyperlink text"/>
    <w:basedOn w:val="GreenText"/>
    <w:link w:val="HyperlinktextChar"/>
    <w:qFormat/>
    <w:rsid w:val="00281690"/>
    <w:rPr>
      <w:b/>
      <w:i/>
      <w:sz w:val="20"/>
    </w:rPr>
  </w:style>
  <w:style w:type="paragraph" w:styleId="ListParagraph">
    <w:name w:val="List Paragraph"/>
    <w:basedOn w:val="Normal"/>
    <w:link w:val="ListParagraphChar"/>
    <w:uiPriority w:val="34"/>
    <w:qFormat/>
    <w:rsid w:val="00330612"/>
    <w:pPr>
      <w:ind w:left="720"/>
      <w:contextualSpacing/>
    </w:pPr>
  </w:style>
  <w:style w:type="character" w:customStyle="1" w:styleId="HyperlinktextChar">
    <w:name w:val="Hyperlink text Char"/>
    <w:basedOn w:val="GreenTextChar"/>
    <w:link w:val="Hyperlinktext"/>
    <w:rsid w:val="00281690"/>
    <w:rPr>
      <w:b/>
      <w:i/>
      <w:color w:val="39B536" w:themeColor="accent3"/>
      <w:sz w:val="20"/>
    </w:rPr>
  </w:style>
  <w:style w:type="paragraph" w:customStyle="1" w:styleId="Blackbullets">
    <w:name w:val="Black bullets"/>
    <w:basedOn w:val="ListParagraph"/>
    <w:link w:val="BlackbulletsChar"/>
    <w:qFormat/>
    <w:rsid w:val="00330612"/>
    <w:pPr>
      <w:numPr>
        <w:numId w:val="3"/>
      </w:numPr>
      <w:suppressAutoHyphens/>
      <w:autoSpaceDE w:val="0"/>
      <w:autoSpaceDN w:val="0"/>
      <w:adjustRightInd w:val="0"/>
      <w:spacing w:after="0" w:line="240" w:lineRule="atLeast"/>
      <w:ind w:left="340" w:hanging="227"/>
      <w:textAlignment w:val="center"/>
    </w:pPr>
    <w:rPr>
      <w:rFonts w:asciiTheme="majorHAnsi" w:hAnsiTheme="majorHAnsi" w:cstheme="majorHAnsi"/>
      <w:color w:val="000000"/>
      <w:spacing w:val="-2"/>
      <w:sz w:val="16"/>
      <w:szCs w:val="16"/>
    </w:rPr>
  </w:style>
  <w:style w:type="character" w:customStyle="1" w:styleId="ListParagraphChar">
    <w:name w:val="List Paragraph Char"/>
    <w:basedOn w:val="DefaultParagraphFont"/>
    <w:link w:val="ListParagraph"/>
    <w:uiPriority w:val="34"/>
    <w:rsid w:val="00330612"/>
    <w:rPr>
      <w:sz w:val="18"/>
    </w:rPr>
  </w:style>
  <w:style w:type="character" w:customStyle="1" w:styleId="BlackbulletsChar">
    <w:name w:val="Black bullets Char"/>
    <w:basedOn w:val="ListParagraphChar"/>
    <w:link w:val="Blackbullets"/>
    <w:rsid w:val="00330612"/>
    <w:rPr>
      <w:rFonts w:asciiTheme="majorHAnsi" w:hAnsiTheme="majorHAnsi" w:cstheme="majorHAnsi"/>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87E3-3642-413C-8D01-2809C9A0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3</cp:revision>
  <dcterms:created xsi:type="dcterms:W3CDTF">2016-09-21T01:34:00Z</dcterms:created>
  <dcterms:modified xsi:type="dcterms:W3CDTF">2016-09-21T01:35:00Z</dcterms:modified>
</cp:coreProperties>
</file>