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6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9"/>
        <w:gridCol w:w="2529"/>
        <w:gridCol w:w="2530"/>
      </w:tblGrid>
      <w:tr w:rsidR="006F29E2" w14:paraId="1FBE4E64" w14:textId="77777777" w:rsidTr="006E7B3C">
        <w:trPr>
          <w:trHeight w:val="207"/>
        </w:trPr>
        <w:tc>
          <w:tcPr>
            <w:tcW w:w="5058" w:type="dxa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A7B4" w14:textId="77777777" w:rsidR="006F29E2" w:rsidRPr="00D457D9" w:rsidRDefault="006F29E2" w:rsidP="00D457D9">
            <w:pPr>
              <w:pStyle w:val="TableHeader"/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PRESENCE TEST</w:t>
            </w:r>
          </w:p>
        </w:tc>
        <w:tc>
          <w:tcPr>
            <w:tcW w:w="5059" w:type="dxa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656D" w14:textId="77777777" w:rsidR="006F29E2" w:rsidRPr="00D457D9" w:rsidRDefault="006F29E2" w:rsidP="00D457D9">
            <w:pPr>
              <w:pStyle w:val="TableHeader"/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FURTHER INSTRUCTION</w:t>
            </w:r>
          </w:p>
        </w:tc>
        <w:tc>
          <w:tcPr>
            <w:tcW w:w="5059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F9EA" w14:textId="4A37FED7" w:rsidR="006F29E2" w:rsidRPr="00D457D9" w:rsidRDefault="008C7786" w:rsidP="00D457D9">
            <w:pPr>
              <w:pStyle w:val="TableHeader"/>
            </w:pPr>
            <w:r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 xml:space="preserve"> </w:t>
            </w:r>
          </w:p>
        </w:tc>
      </w:tr>
      <w:tr w:rsidR="006F29E2" w14:paraId="5A8CD8E1" w14:textId="77777777" w:rsidTr="006E7B3C">
        <w:trPr>
          <w:trHeight w:val="653"/>
        </w:trPr>
        <w:tc>
          <w:tcPr>
            <w:tcW w:w="5058" w:type="dxa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17A3" w14:textId="0D9D7CA6" w:rsidR="006F29E2" w:rsidRDefault="00957959" w:rsidP="006F29E2">
            <w:pPr>
              <w:pStyle w:val="GreenText"/>
            </w:pPr>
            <w:r w:rsidRPr="00957959">
              <w:t>Does the lease encourage, facilitate or require the reduction of consumption of goods within the building or premises and/or the sourcing of sustainable or ethical goods?</w:t>
            </w:r>
          </w:p>
        </w:tc>
        <w:tc>
          <w:tcPr>
            <w:tcW w:w="5059" w:type="dxa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F0B3" w14:textId="7F2A87B4" w:rsidR="00553804" w:rsidRDefault="00553804" w:rsidP="00553804">
            <w:pPr>
              <w:pStyle w:val="GreenText"/>
            </w:pPr>
            <w:r>
              <w:t xml:space="preserve">Clauses could relate </w:t>
            </w:r>
            <w:r w:rsidR="0027343E">
              <w:t>to:</w:t>
            </w:r>
          </w:p>
          <w:p w14:paraId="3D56EC2E" w14:textId="77777777" w:rsidR="00957959" w:rsidRDefault="00957959" w:rsidP="00957959">
            <w:pPr>
              <w:pStyle w:val="GreenBullets"/>
            </w:pPr>
            <w:r>
              <w:t>reduction of paper consumption by double sided printing</w:t>
            </w:r>
          </w:p>
          <w:p w14:paraId="4AAF66EB" w14:textId="77777777" w:rsidR="00957959" w:rsidRDefault="00957959" w:rsidP="00957959">
            <w:pPr>
              <w:pStyle w:val="GreenBullets"/>
            </w:pPr>
            <w:r>
              <w:t>supply of biodegradable materials (</w:t>
            </w:r>
            <w:proofErr w:type="spellStart"/>
            <w:r>
              <w:t>eg</w:t>
            </w:r>
            <w:proofErr w:type="spellEnd"/>
            <w:r>
              <w:t>. coffee cups)</w:t>
            </w:r>
          </w:p>
          <w:p w14:paraId="460C26C7" w14:textId="77777777" w:rsidR="00957959" w:rsidRDefault="00957959" w:rsidP="00957959">
            <w:pPr>
              <w:pStyle w:val="GreenBullets"/>
            </w:pPr>
            <w:r>
              <w:t>use of recycled paper</w:t>
            </w:r>
          </w:p>
          <w:p w14:paraId="5B387F3A" w14:textId="77777777" w:rsidR="00957959" w:rsidRDefault="00957959" w:rsidP="00957959">
            <w:pPr>
              <w:pStyle w:val="GreenBullets"/>
            </w:pPr>
            <w:r>
              <w:t>building materials</w:t>
            </w:r>
          </w:p>
          <w:p w14:paraId="30E1A2BB" w14:textId="2175B33B" w:rsidR="006F29E2" w:rsidRDefault="00957959" w:rsidP="00957959">
            <w:pPr>
              <w:pStyle w:val="GreenBullets"/>
            </w:pPr>
            <w:r>
              <w:t>other goods or materials.</w:t>
            </w:r>
          </w:p>
        </w:tc>
        <w:tc>
          <w:tcPr>
            <w:tcW w:w="5059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A398" w14:textId="77777777" w:rsidR="006F29E2" w:rsidRDefault="006F29E2" w:rsidP="006F29E2">
            <w:pPr>
              <w:pStyle w:val="GreenText"/>
              <w:rPr>
                <w:color w:val="auto"/>
                <w:lang w:val="en-AU"/>
              </w:rPr>
            </w:pPr>
          </w:p>
        </w:tc>
      </w:tr>
      <w:tr w:rsidR="006E7B3C" w14:paraId="264628BA" w14:textId="77777777" w:rsidTr="00957959">
        <w:trPr>
          <w:trHeight w:val="153"/>
        </w:trPr>
        <w:tc>
          <w:tcPr>
            <w:tcW w:w="5058" w:type="dxa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A3FF" w14:textId="7A340002" w:rsidR="006E7B3C" w:rsidRPr="006E7B3C" w:rsidRDefault="006E7B3C" w:rsidP="006E7B3C">
            <w:pPr>
              <w:pStyle w:val="TableHeader"/>
              <w:rPr>
                <w:b w:val="0"/>
              </w:rPr>
            </w:pPr>
            <w:r w:rsidRPr="006E7B3C">
              <w:rPr>
                <w:rStyle w:val="tabletitles"/>
                <w:rFonts w:asciiTheme="minorHAnsi" w:hAnsiTheme="minorHAnsi" w:cstheme="majorHAnsi"/>
                <w:b/>
                <w:color w:val="006838" w:themeColor="accent1"/>
              </w:rPr>
              <w:t>OVERVIEW</w:t>
            </w:r>
          </w:p>
        </w:tc>
        <w:tc>
          <w:tcPr>
            <w:tcW w:w="5059" w:type="dxa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4561" w14:textId="11DF8F68" w:rsidR="006E7B3C" w:rsidRPr="00957959" w:rsidRDefault="00957959" w:rsidP="006E7B3C">
            <w:pPr>
              <w:pStyle w:val="GreenText"/>
            </w:pPr>
            <w:r>
              <w:rPr>
                <w:rFonts w:asciiTheme="majorHAnsi" w:hAnsiTheme="majorHAnsi" w:cstheme="majorHAnsi"/>
                <w:b/>
                <w:noProof/>
                <w:color w:val="006838" w:themeColor="accent1"/>
                <w:lang w:val="en-AU" w:eastAsia="en-AU"/>
              </w:rPr>
              <w:t xml:space="preserve"> </w:t>
            </w:r>
          </w:p>
        </w:tc>
        <w:tc>
          <w:tcPr>
            <w:tcW w:w="5059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689E" w14:textId="25B8A013" w:rsidR="006E7B3C" w:rsidRPr="00553804" w:rsidRDefault="006E7B3C" w:rsidP="00553804">
            <w:pPr>
              <w:pStyle w:val="TableHeader"/>
              <w:rPr>
                <w:b w:val="0"/>
                <w:color w:val="auto"/>
                <w:lang w:val="en-AU"/>
              </w:rPr>
            </w:pPr>
          </w:p>
        </w:tc>
      </w:tr>
      <w:tr w:rsidR="00553804" w14:paraId="1F14F1DB" w14:textId="77777777" w:rsidTr="00957959">
        <w:trPr>
          <w:trHeight w:val="653"/>
        </w:trPr>
        <w:tc>
          <w:tcPr>
            <w:tcW w:w="5058" w:type="dxa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58D9" w14:textId="77777777" w:rsidR="00957959" w:rsidRPr="00957959" w:rsidRDefault="00957959" w:rsidP="00957959">
            <w:pPr>
              <w:pStyle w:val="GreenText"/>
              <w:rPr>
                <w:bCs/>
              </w:rPr>
            </w:pPr>
            <w:r w:rsidRPr="00957959">
              <w:rPr>
                <w:bCs/>
              </w:rPr>
              <w:t xml:space="preserve">Sustainable Procurement Frameworks are policies, procedures and processes that aim to improve the sustainability of the procurement of an </w:t>
            </w:r>
            <w:proofErr w:type="spellStart"/>
            <w:r w:rsidRPr="00957959">
              <w:rPr>
                <w:bCs/>
              </w:rPr>
              <w:t>organisation</w:t>
            </w:r>
            <w:proofErr w:type="spellEnd"/>
            <w:r w:rsidRPr="00957959">
              <w:rPr>
                <w:bCs/>
              </w:rPr>
              <w:t xml:space="preserve">, including by </w:t>
            </w:r>
            <w:proofErr w:type="spellStart"/>
            <w:r w:rsidRPr="00957959">
              <w:rPr>
                <w:bCs/>
              </w:rPr>
              <w:t>minimising</w:t>
            </w:r>
            <w:proofErr w:type="spellEnd"/>
            <w:r w:rsidRPr="00957959">
              <w:rPr>
                <w:bCs/>
              </w:rPr>
              <w:t xml:space="preserve"> waste and encouraging the purchase of environmentally friendly and ethical products. </w:t>
            </w:r>
          </w:p>
          <w:p w14:paraId="55717A1C" w14:textId="77777777" w:rsidR="00957959" w:rsidRPr="00957959" w:rsidRDefault="00957959" w:rsidP="00957959">
            <w:pPr>
              <w:pStyle w:val="GreenText"/>
              <w:rPr>
                <w:bCs/>
              </w:rPr>
            </w:pPr>
            <w:r w:rsidRPr="00957959">
              <w:rPr>
                <w:bCs/>
              </w:rPr>
              <w:t xml:space="preserve">Examples of </w:t>
            </w:r>
            <w:proofErr w:type="spellStart"/>
            <w:r w:rsidRPr="00957959">
              <w:rPr>
                <w:bCs/>
              </w:rPr>
              <w:t>recognised</w:t>
            </w:r>
            <w:proofErr w:type="spellEnd"/>
            <w:r w:rsidRPr="00957959">
              <w:rPr>
                <w:bCs/>
              </w:rPr>
              <w:t xml:space="preserve"> standards for sustainable procurement include: </w:t>
            </w:r>
          </w:p>
          <w:p w14:paraId="7D6678FB" w14:textId="204C8F05" w:rsidR="00957959" w:rsidRPr="00957959" w:rsidRDefault="00957959" w:rsidP="00957959">
            <w:pPr>
              <w:pStyle w:val="GreenBullets"/>
            </w:pPr>
            <w:r w:rsidRPr="00957959">
              <w:t xml:space="preserve">Australia New Zealand Government Framework for Sustainable Procurement: </w:t>
            </w:r>
            <w:hyperlink r:id="rId8" w:history="1">
              <w:r w:rsidRPr="00957959">
                <w:rPr>
                  <w:rStyle w:val="Hyperlink"/>
                  <w:b/>
                  <w:bCs/>
                  <w:i/>
                  <w:sz w:val="20"/>
                </w:rPr>
                <w:t>http://www.apcc.gov.au/SitePages/Procurement.aspx</w:t>
              </w:r>
            </w:hyperlink>
            <w:r w:rsidRPr="00957959">
              <w:t xml:space="preserve">, and </w:t>
            </w:r>
          </w:p>
          <w:p w14:paraId="0939FC02" w14:textId="5F3C3C34" w:rsidR="00553804" w:rsidRPr="006E7B3C" w:rsidRDefault="00957959" w:rsidP="00957959">
            <w:pPr>
              <w:pStyle w:val="GreenBullets"/>
              <w:rPr>
                <w:caps/>
              </w:rPr>
            </w:pPr>
            <w:r w:rsidRPr="00957959">
              <w:rPr>
                <w:bCs/>
              </w:rPr>
              <w:t>British Standard 8903:2010.</w:t>
            </w:r>
          </w:p>
        </w:tc>
        <w:tc>
          <w:tcPr>
            <w:tcW w:w="5059" w:type="dxa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A0A9" w14:textId="16CAD1C3" w:rsidR="00553804" w:rsidRDefault="00553804" w:rsidP="00E211D8">
            <w:pPr>
              <w:pStyle w:val="Notes"/>
            </w:pPr>
          </w:p>
        </w:tc>
        <w:tc>
          <w:tcPr>
            <w:tcW w:w="2529" w:type="dxa"/>
            <w:tcBorders>
              <w:top w:val="single" w:sz="2" w:space="0" w:color="006838" w:themeColor="accent1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CD9E" w14:textId="0BF207A7" w:rsidR="00553804" w:rsidRPr="00553804" w:rsidRDefault="00553804" w:rsidP="00553804">
            <w:pPr>
              <w:pStyle w:val="Notes"/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2530" w:type="dxa"/>
            <w:tcBorders>
              <w:top w:val="single" w:sz="2" w:space="0" w:color="006838" w:themeColor="accent1"/>
              <w:bottom w:val="nil"/>
            </w:tcBorders>
            <w:shd w:val="clear" w:color="auto" w:fill="auto"/>
          </w:tcPr>
          <w:p w14:paraId="71713541" w14:textId="36E1B538" w:rsidR="00553804" w:rsidRPr="00553804" w:rsidRDefault="00553804" w:rsidP="00E211D8">
            <w:pPr>
              <w:pStyle w:val="Notes"/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FD6F48" w14:paraId="11D2AD96" w14:textId="77777777" w:rsidTr="00957959">
        <w:trPr>
          <w:trHeight w:val="207"/>
        </w:trPr>
        <w:tc>
          <w:tcPr>
            <w:tcW w:w="5058" w:type="dxa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1183" w14:textId="1AE08F35" w:rsidR="00FD6F48" w:rsidRPr="00957959" w:rsidRDefault="00FD6F48" w:rsidP="00FD6F48">
            <w:pPr>
              <w:pStyle w:val="GreenText"/>
              <w:rPr>
                <w:bCs/>
              </w:rPr>
            </w:pPr>
            <w:r w:rsidRPr="00957959">
              <w:rPr>
                <w:color w:val="006838" w:themeColor="accent1"/>
              </w:rPr>
              <w:t>D</w:t>
            </w:r>
            <w:r w:rsidRPr="00957959">
              <w:rPr>
                <w:rStyle w:val="tabletitles"/>
                <w:rFonts w:asciiTheme="minorHAnsi" w:hAnsiTheme="minorHAnsi" w:cstheme="majorHAnsi"/>
                <w:color w:val="006838" w:themeColor="accent1"/>
                <w:spacing w:val="-2"/>
                <w:szCs w:val="18"/>
              </w:rPr>
              <w:t>efinitions</w:t>
            </w:r>
          </w:p>
        </w:tc>
        <w:tc>
          <w:tcPr>
            <w:tcW w:w="5059" w:type="dxa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93AC" w14:textId="77777777" w:rsidR="00FD6F48" w:rsidRPr="00957959" w:rsidRDefault="00FD6F48" w:rsidP="00FD6F48">
            <w:pPr>
              <w:pStyle w:val="Notes"/>
            </w:pPr>
          </w:p>
        </w:tc>
        <w:tc>
          <w:tcPr>
            <w:tcW w:w="2529" w:type="dxa"/>
            <w:tcBorders>
              <w:top w:val="nil"/>
              <w:bottom w:val="single" w:sz="2" w:space="0" w:color="006838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1974" w14:textId="3FD348E1" w:rsidR="00FD6F48" w:rsidRPr="00553804" w:rsidRDefault="00FD6F48" w:rsidP="00FD6F48">
            <w:pPr>
              <w:pStyle w:val="Notes"/>
              <w:rPr>
                <w:rFonts w:asciiTheme="majorHAnsi" w:hAnsiTheme="majorHAnsi" w:cstheme="majorHAnsi"/>
                <w:b/>
              </w:rPr>
            </w:pPr>
            <w:r w:rsidRPr="00FD6F48">
              <w:rPr>
                <w:rStyle w:val="tabletitles"/>
                <w:rFonts w:asciiTheme="minorHAnsi" w:hAnsiTheme="minorHAnsi" w:cstheme="majorHAnsi"/>
                <w:color w:val="006838" w:themeColor="accent1"/>
                <w:sz w:val="18"/>
              </w:rPr>
              <w:t>ADDITIONAL BENEFITS</w:t>
            </w:r>
          </w:p>
        </w:tc>
        <w:tc>
          <w:tcPr>
            <w:tcW w:w="2530" w:type="dxa"/>
            <w:tcBorders>
              <w:top w:val="nil"/>
              <w:bottom w:val="single" w:sz="2" w:space="0" w:color="006838" w:themeColor="accent1"/>
            </w:tcBorders>
            <w:shd w:val="clear" w:color="auto" w:fill="auto"/>
          </w:tcPr>
          <w:p w14:paraId="620C6D87" w14:textId="56D00F7C" w:rsidR="00FD6F48" w:rsidRDefault="00FD6F48" w:rsidP="00FD6F48">
            <w:pPr>
              <w:pStyle w:val="Notes"/>
              <w:rPr>
                <w:rFonts w:asciiTheme="majorHAnsi" w:hAnsiTheme="majorHAnsi" w:cstheme="majorHAnsi"/>
                <w:b/>
              </w:rPr>
            </w:pPr>
          </w:p>
        </w:tc>
      </w:tr>
      <w:tr w:rsidR="00FD6F48" w14:paraId="49395756" w14:textId="77777777" w:rsidTr="00553804">
        <w:trPr>
          <w:trHeight w:val="653"/>
        </w:trPr>
        <w:tc>
          <w:tcPr>
            <w:tcW w:w="5058" w:type="dxa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61F9" w14:textId="56FA1DF4" w:rsidR="00FD6F48" w:rsidRPr="00957959" w:rsidRDefault="00FD6F48" w:rsidP="00FD6F48">
            <w:pPr>
              <w:pStyle w:val="Notes"/>
              <w:rPr>
                <w:color w:val="006838" w:themeColor="accent1"/>
              </w:rPr>
            </w:pPr>
            <w:r w:rsidRPr="00957959">
              <w:t>Sustainable Procurement Framework means a procurement framework that encourages the purchase of only goods that are necessary and the procurement of goods and/or services that reduce the negative impacts and encourage positive outcomes for the environment, economy and society.</w:t>
            </w:r>
          </w:p>
        </w:tc>
        <w:tc>
          <w:tcPr>
            <w:tcW w:w="5059" w:type="dxa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3818" w14:textId="77777777" w:rsidR="00FD6F48" w:rsidRPr="00957959" w:rsidRDefault="00FD6F48" w:rsidP="00FD6F48">
            <w:pPr>
              <w:pStyle w:val="Notes"/>
            </w:pPr>
            <w:bookmarkStart w:id="0" w:name="_GoBack"/>
            <w:bookmarkEnd w:id="0"/>
          </w:p>
        </w:tc>
        <w:tc>
          <w:tcPr>
            <w:tcW w:w="2529" w:type="dxa"/>
            <w:tcBorders>
              <w:top w:val="single" w:sz="2" w:space="0" w:color="006838" w:themeColor="accent1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C1F9" w14:textId="77777777" w:rsidR="00FD6F48" w:rsidRDefault="00FD6F48" w:rsidP="00FD6F48">
            <w:pPr>
              <w:pStyle w:val="Notes"/>
              <w:rPr>
                <w:rFonts w:asciiTheme="majorHAnsi" w:hAnsiTheme="majorHAnsi" w:cstheme="majorHAnsi"/>
              </w:rPr>
            </w:pPr>
            <w:r w:rsidRPr="00553804">
              <w:rPr>
                <w:rFonts w:asciiTheme="majorHAnsi" w:hAnsiTheme="majorHAnsi" w:cstheme="majorHAnsi"/>
                <w:b/>
              </w:rPr>
              <w:t xml:space="preserve">Green Star </w:t>
            </w:r>
            <w:r>
              <w:rPr>
                <w:rFonts w:asciiTheme="majorHAnsi" w:hAnsiTheme="majorHAnsi" w:cstheme="majorHAnsi"/>
                <w:b/>
              </w:rPr>
              <w:t>–</w:t>
            </w:r>
            <w:r w:rsidRPr="00553804">
              <w:rPr>
                <w:rFonts w:asciiTheme="majorHAnsi" w:hAnsiTheme="majorHAnsi" w:cstheme="majorHAnsi"/>
                <w:b/>
              </w:rPr>
              <w:t xml:space="preserve"> Performance</w:t>
            </w:r>
          </w:p>
          <w:p w14:paraId="0BF4B1C3" w14:textId="36E125F4" w:rsidR="00FD6F48" w:rsidRPr="00553804" w:rsidRDefault="00FD6F48" w:rsidP="00FD6F48">
            <w:pPr>
              <w:pStyle w:val="No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7679D9D4" wp14:editId="3BA69234">
                  <wp:simplePos x="0" y="0"/>
                  <wp:positionH relativeFrom="column">
                    <wp:posOffset>31816</wp:posOffset>
                  </wp:positionH>
                  <wp:positionV relativeFrom="paragraph">
                    <wp:posOffset>681841</wp:posOffset>
                  </wp:positionV>
                  <wp:extent cx="2264735" cy="293488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st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5" cy="29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7959">
              <w:rPr>
                <w:rFonts w:asciiTheme="majorHAnsi" w:hAnsiTheme="majorHAnsi" w:cstheme="majorHAnsi"/>
              </w:rPr>
              <w:t xml:space="preserve">Sustainable Procurement information may be used as an input into Green Star – Performance compliance requirements. </w:t>
            </w:r>
          </w:p>
        </w:tc>
        <w:tc>
          <w:tcPr>
            <w:tcW w:w="2530" w:type="dxa"/>
            <w:tcBorders>
              <w:top w:val="single" w:sz="2" w:space="0" w:color="006838" w:themeColor="accent1"/>
              <w:bottom w:val="nil"/>
            </w:tcBorders>
            <w:shd w:val="clear" w:color="auto" w:fill="auto"/>
          </w:tcPr>
          <w:p w14:paraId="004395DC" w14:textId="6954D19E" w:rsidR="00FD6F48" w:rsidRDefault="00FD6F48" w:rsidP="00FD6F48">
            <w:pPr>
              <w:pStyle w:val="No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Green Star - Interiors </w:t>
            </w:r>
          </w:p>
          <w:p w14:paraId="45542C6E" w14:textId="3BD8B88B" w:rsidR="00FD6F48" w:rsidRDefault="00FD6F48" w:rsidP="00FD6F48">
            <w:pPr>
              <w:pStyle w:val="Notes"/>
              <w:rPr>
                <w:rFonts w:asciiTheme="majorHAnsi" w:hAnsiTheme="majorHAnsi" w:cstheme="majorHAnsi"/>
                <w:b/>
              </w:rPr>
            </w:pPr>
            <w:r w:rsidRPr="00957959">
              <w:rPr>
                <w:rFonts w:ascii="Gotham Narrow Light" w:hAnsi="Gotham Narrow Light" w:cs="Gotham Narrow Light"/>
                <w:color w:val="000000"/>
                <w:spacing w:val="-2"/>
                <w:szCs w:val="16"/>
              </w:rPr>
              <w:t xml:space="preserve">Sustainable Procurement information may be shared with tenants and used to demonstrate compliance with Green Star – Interiors. </w:t>
            </w:r>
          </w:p>
        </w:tc>
      </w:tr>
    </w:tbl>
    <w:p w14:paraId="0F1E7256" w14:textId="488D3211" w:rsidR="00957959" w:rsidRDefault="00FD6F48">
      <w:r w:rsidRPr="00E211D8">
        <w:rPr>
          <w:rFonts w:asciiTheme="majorHAnsi" w:hAnsiTheme="majorHAnsi" w:cstheme="majorHAnsi"/>
          <w:b/>
          <w:noProof/>
          <w:color w:val="006838" w:themeColor="accent1"/>
          <w:lang w:val="en-AU"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61762E" wp14:editId="283CA666">
                <wp:simplePos x="0" y="0"/>
                <wp:positionH relativeFrom="column">
                  <wp:posOffset>6423025</wp:posOffset>
                </wp:positionH>
                <wp:positionV relativeFrom="paragraph">
                  <wp:posOffset>-899391</wp:posOffset>
                </wp:positionV>
                <wp:extent cx="3210560" cy="1285875"/>
                <wp:effectExtent l="0" t="0" r="889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1285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2671" id="Rectangle 3" o:spid="_x0000_s1026" style="position:absolute;margin-left:505.75pt;margin-top:-70.8pt;width:252.8pt;height:101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" fillcolor="#badc8c [1941]" stroked="f" strokeweight="1pt"/>
            </w:pict>
          </mc:Fallback>
        </mc:AlternateContent>
      </w:r>
      <w:r w:rsidR="00957959">
        <w:rPr>
          <w:b/>
          <w:caps/>
        </w:rPr>
        <w:br w:type="page"/>
      </w:r>
    </w:p>
    <w:tbl>
      <w:tblPr>
        <w:tblW w:w="15176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04"/>
      </w:tblGrid>
      <w:tr w:rsidR="006F29E2" w:rsidRPr="00D457D9" w14:paraId="39682717" w14:textId="77777777" w:rsidTr="00E211D8">
        <w:trPr>
          <w:trHeight w:val="399"/>
        </w:trPr>
        <w:tc>
          <w:tcPr>
            <w:tcW w:w="4536" w:type="dxa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7DBA" w14:textId="7354967F" w:rsidR="00E211D8" w:rsidRDefault="00E211D8" w:rsidP="00D457D9">
            <w:pPr>
              <w:pStyle w:val="TableHeader"/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</w:pPr>
          </w:p>
          <w:p w14:paraId="3A121AF3" w14:textId="213E9C93" w:rsidR="006F29E2" w:rsidRPr="00D457D9" w:rsidRDefault="006F29E2" w:rsidP="00D457D9">
            <w:pPr>
              <w:pStyle w:val="TableHeader"/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SAMPLE CLAUSES</w:t>
            </w:r>
          </w:p>
        </w:tc>
        <w:tc>
          <w:tcPr>
            <w:tcW w:w="4536" w:type="dxa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BF41" w14:textId="77777777" w:rsidR="006F29E2" w:rsidRPr="00D457D9" w:rsidRDefault="006F29E2" w:rsidP="00D457D9">
            <w:pPr>
              <w:pStyle w:val="TableHeader"/>
            </w:pPr>
          </w:p>
        </w:tc>
        <w:tc>
          <w:tcPr>
            <w:tcW w:w="6104" w:type="dxa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1ECB" w14:textId="77777777" w:rsidR="006F29E2" w:rsidRPr="00D457D9" w:rsidRDefault="006F29E2" w:rsidP="00D457D9">
            <w:pPr>
              <w:pStyle w:val="TableHeader"/>
            </w:pPr>
          </w:p>
        </w:tc>
      </w:tr>
    </w:tbl>
    <w:p w14:paraId="6BB072EC" w14:textId="77777777" w:rsidR="003E5E7E" w:rsidRPr="00D457D9" w:rsidRDefault="00FD6F48" w:rsidP="00D457D9">
      <w:pPr>
        <w:pStyle w:val="TableHeader"/>
      </w:pPr>
    </w:p>
    <w:tbl>
      <w:tblPr>
        <w:tblW w:w="15182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7830"/>
        <w:gridCol w:w="2512"/>
        <w:gridCol w:w="2513"/>
      </w:tblGrid>
      <w:tr w:rsidR="006F29E2" w:rsidRPr="006F29E2" w14:paraId="782FAAE5" w14:textId="77777777" w:rsidTr="00BA481B">
        <w:trPr>
          <w:trHeight w:val="80"/>
        </w:trPr>
        <w:tc>
          <w:tcPr>
            <w:tcW w:w="2327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7971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NOTES</w:t>
            </w:r>
          </w:p>
        </w:tc>
        <w:tc>
          <w:tcPr>
            <w:tcW w:w="7830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A3F7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CLAUSE</w:t>
            </w:r>
          </w:p>
        </w:tc>
        <w:tc>
          <w:tcPr>
            <w:tcW w:w="2512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1240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CONCERN/RISK</w:t>
            </w:r>
          </w:p>
        </w:tc>
        <w:tc>
          <w:tcPr>
            <w:tcW w:w="2513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DAB9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MITIGATION</w:t>
            </w:r>
          </w:p>
        </w:tc>
      </w:tr>
      <w:tr w:rsidR="00D457D9" w:rsidRPr="006F29E2" w14:paraId="632CC7C0" w14:textId="77777777" w:rsidTr="00AF116C">
        <w:trPr>
          <w:trHeight w:val="856"/>
        </w:trPr>
        <w:tc>
          <w:tcPr>
            <w:tcW w:w="2327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FC2A" w14:textId="77777777" w:rsidR="006F29E2" w:rsidRPr="006F29E2" w:rsidRDefault="006F29E2" w:rsidP="00D457D9">
            <w:pPr>
              <w:pStyle w:val="Notes"/>
            </w:pPr>
            <w:r w:rsidRPr="006F29E2">
              <w:t>none noted</w:t>
            </w:r>
          </w:p>
        </w:tc>
        <w:tc>
          <w:tcPr>
            <w:tcW w:w="7830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046D" w14:textId="15779EA4" w:rsidR="00AF116C" w:rsidRDefault="004F569A" w:rsidP="00AF116C">
            <w:pPr>
              <w:pStyle w:val="ClauseTitle0"/>
            </w:pPr>
            <w:r w:rsidRPr="004F569A">
              <w:t xml:space="preserve">1.1 </w:t>
            </w:r>
            <w:r w:rsidR="00957959">
              <w:t xml:space="preserve">Sustainable Procurement </w:t>
            </w:r>
          </w:p>
          <w:p w14:paraId="42E261E9" w14:textId="77777777" w:rsidR="00957959" w:rsidRDefault="00957959" w:rsidP="00957959">
            <w:pPr>
              <w:pStyle w:val="Clausecopy"/>
            </w:pPr>
            <w:r>
              <w:t xml:space="preserve">The </w:t>
            </w:r>
            <w:r w:rsidRPr="00EC0BE9">
              <w:rPr>
                <w:color w:val="FFFFFF" w:themeColor="background1"/>
                <w:shd w:val="clear" w:color="auto" w:fill="7B1C49" w:themeFill="accent5"/>
              </w:rPr>
              <w:t>[Landlord/Tenant]</w:t>
            </w:r>
            <w:r w:rsidRPr="00EC0BE9">
              <w:rPr>
                <w:color w:val="FFFFFF" w:themeColor="background1"/>
              </w:rPr>
              <w:t xml:space="preserve"> </w:t>
            </w:r>
            <w:r w:rsidRPr="00EC0BE9">
              <w:rPr>
                <w:color w:val="FFFFFF" w:themeColor="background1"/>
                <w:shd w:val="clear" w:color="auto" w:fill="7B1C49" w:themeFill="accent5"/>
              </w:rPr>
              <w:t xml:space="preserve">[has in place / will use reasonable </w:t>
            </w:r>
            <w:proofErr w:type="spellStart"/>
            <w:r w:rsidRPr="00EC0BE9">
              <w:rPr>
                <w:color w:val="FFFFFF" w:themeColor="background1"/>
                <w:shd w:val="clear" w:color="auto" w:fill="7B1C49" w:themeFill="accent5"/>
              </w:rPr>
              <w:t>endeavours</w:t>
            </w:r>
            <w:proofErr w:type="spellEnd"/>
            <w:r w:rsidRPr="00EC0BE9">
              <w:rPr>
                <w:color w:val="FFFFFF" w:themeColor="background1"/>
                <w:shd w:val="clear" w:color="auto" w:fill="7B1C49" w:themeFill="accent5"/>
              </w:rPr>
              <w:t xml:space="preserve"> to develop]</w:t>
            </w:r>
            <w:r>
              <w:t xml:space="preserve"> a Sustainable Procurement Framework that applies to the </w:t>
            </w:r>
            <w:r w:rsidRPr="00EC0BE9">
              <w:rPr>
                <w:color w:val="FFFFFF" w:themeColor="background1"/>
                <w:shd w:val="clear" w:color="auto" w:fill="7B1C49" w:themeFill="accent5"/>
              </w:rPr>
              <w:t xml:space="preserve">[Premises/Base Building / Base Building and Premises] </w:t>
            </w:r>
            <w:r>
              <w:t xml:space="preserve">that meets industry </w:t>
            </w:r>
            <w:proofErr w:type="spellStart"/>
            <w:r>
              <w:t>recognised</w:t>
            </w:r>
            <w:proofErr w:type="spellEnd"/>
            <w:r>
              <w:t xml:space="preserve"> guidelines. The Sustainable Procurement Framework </w:t>
            </w:r>
            <w:r w:rsidRPr="00EC0BE9">
              <w:rPr>
                <w:color w:val="FFFFFF" w:themeColor="background1"/>
                <w:shd w:val="clear" w:color="auto" w:fill="7B1C49" w:themeFill="accent5"/>
              </w:rPr>
              <w:t>[includes / must include]:</w:t>
            </w:r>
          </w:p>
          <w:p w14:paraId="01D307DB" w14:textId="77777777" w:rsidR="00957959" w:rsidRDefault="00957959" w:rsidP="00FC0B04">
            <w:pPr>
              <w:pStyle w:val="Clauseindent"/>
              <w:ind w:left="731" w:hanging="364"/>
            </w:pPr>
            <w:r>
              <w:t>policies relating to what sustainable procurement means to the Landlord;</w:t>
            </w:r>
          </w:p>
          <w:p w14:paraId="17E118BB" w14:textId="77777777" w:rsidR="00957959" w:rsidRDefault="00957959" w:rsidP="00FC0B04">
            <w:pPr>
              <w:pStyle w:val="Clauseindent"/>
              <w:ind w:left="731" w:hanging="364"/>
            </w:pPr>
            <w:r>
              <w:t xml:space="preserve">processes that ensure that goods purchased for the </w:t>
            </w:r>
            <w:r w:rsidRPr="00EC0BE9">
              <w:rPr>
                <w:color w:val="FFFFFF" w:themeColor="background1"/>
                <w:shd w:val="clear" w:color="auto" w:fill="7B1C49" w:themeFill="accent5"/>
              </w:rPr>
              <w:t>[Premises/Base Building / Base Building and Premises]</w:t>
            </w:r>
            <w:r>
              <w:t xml:space="preserve"> are selected with regard to the environmental and social practices of suppliers;</w:t>
            </w:r>
          </w:p>
          <w:p w14:paraId="317E6BF1" w14:textId="77777777" w:rsidR="00957959" w:rsidRDefault="00957959" w:rsidP="00FC0B04">
            <w:pPr>
              <w:pStyle w:val="Clauseindent"/>
              <w:ind w:left="731" w:hanging="364"/>
            </w:pPr>
            <w:r>
              <w:t xml:space="preserve">details on how purchasing of goods will be monitored, measured and reported for the </w:t>
            </w:r>
            <w:r w:rsidRPr="00EC0BE9">
              <w:rPr>
                <w:color w:val="FFFFFF" w:themeColor="background1"/>
                <w:shd w:val="clear" w:color="auto" w:fill="7B1C49" w:themeFill="accent5"/>
              </w:rPr>
              <w:t>[Premises/Base Building / Base Building and Premises];</w:t>
            </w:r>
            <w:r>
              <w:t xml:space="preserve"> </w:t>
            </w:r>
          </w:p>
          <w:p w14:paraId="7AEAFDF0" w14:textId="59FFDB42" w:rsidR="006F29E2" w:rsidRPr="0040274D" w:rsidRDefault="00957959" w:rsidP="00FC0B04">
            <w:pPr>
              <w:pStyle w:val="Clauseindent"/>
              <w:ind w:left="731" w:hanging="364"/>
              <w:rPr>
                <w:u w:color="ABE0F9"/>
              </w:rPr>
            </w:pPr>
            <w:r>
              <w:t xml:space="preserve">strategies to reduce the </w:t>
            </w:r>
            <w:proofErr w:type="gramStart"/>
            <w:r>
              <w:t>amount</w:t>
            </w:r>
            <w:proofErr w:type="gramEnd"/>
            <w:r>
              <w:t xml:space="preserve"> of goods purchased for the </w:t>
            </w:r>
            <w:r w:rsidRPr="00EC0BE9">
              <w:rPr>
                <w:color w:val="FFFFFF" w:themeColor="background1"/>
                <w:shd w:val="clear" w:color="auto" w:fill="7B1C49" w:themeFill="accent5"/>
              </w:rPr>
              <w:t>[Premises/Base Building / Base Building and Premises]</w:t>
            </w:r>
            <w:r>
              <w:t xml:space="preserve">. </w:t>
            </w:r>
            <w:r w:rsidR="00E211D8" w:rsidRPr="00E211D8">
              <w:t>undertake</w:t>
            </w:r>
            <w:r w:rsidR="00E211D8">
              <w:t xml:space="preserve"> transport modes surveys that assess the transport of the Building’s regular occupants.</w:t>
            </w:r>
          </w:p>
        </w:tc>
        <w:tc>
          <w:tcPr>
            <w:tcW w:w="2512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B26E" w14:textId="77777777" w:rsidR="00957959" w:rsidRDefault="00957959" w:rsidP="00957959">
            <w:pPr>
              <w:pStyle w:val="Notes"/>
            </w:pPr>
            <w:r>
              <w:t>Parties may be concerned that changing processes to meet the requirements of a Sustainable Procurement Framework will result in operational and increased product costs.</w:t>
            </w:r>
          </w:p>
          <w:p w14:paraId="241CCF9C" w14:textId="5A0627F6" w:rsidR="006F29E2" w:rsidRPr="006F29E2" w:rsidRDefault="00957959" w:rsidP="00957959">
            <w:pPr>
              <w:pStyle w:val="Notes"/>
            </w:pPr>
            <w:r>
              <w:t>Parties that do not have a Sustainable Procurement Framework in place may be concerned that the development and implementation of a Sustainable Procurement Framework will result in costs.</w:t>
            </w:r>
          </w:p>
        </w:tc>
        <w:tc>
          <w:tcPr>
            <w:tcW w:w="2513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4CA6" w14:textId="77777777" w:rsidR="00957959" w:rsidRDefault="00957959" w:rsidP="00957959">
            <w:pPr>
              <w:pStyle w:val="Notes"/>
            </w:pPr>
            <w:proofErr w:type="spellStart"/>
            <w:r>
              <w:t>Organisations</w:t>
            </w:r>
            <w:proofErr w:type="spellEnd"/>
            <w:r>
              <w:t xml:space="preserve"> that undertake analysis of procurement processes and develop a Sustainable Procurement Framework are likely to benefit from:</w:t>
            </w:r>
          </w:p>
          <w:p w14:paraId="1B4F3973" w14:textId="77777777" w:rsidR="00957959" w:rsidRDefault="00957959" w:rsidP="00957959">
            <w:pPr>
              <w:pStyle w:val="Blackbullets"/>
              <w:spacing w:line="240" w:lineRule="auto"/>
            </w:pPr>
            <w:r>
              <w:t>costs savings due to identified opportunities, for example, by bulk purchasing</w:t>
            </w:r>
          </w:p>
          <w:p w14:paraId="495BACA5" w14:textId="77777777" w:rsidR="00957959" w:rsidRDefault="00957959" w:rsidP="00957959">
            <w:pPr>
              <w:pStyle w:val="Blackbullets"/>
              <w:spacing w:line="240" w:lineRule="auto"/>
            </w:pPr>
            <w:r>
              <w:t xml:space="preserve">an enhanced reputation as a responsible corporate citizen, or </w:t>
            </w:r>
          </w:p>
          <w:p w14:paraId="5CFB14CD" w14:textId="7301192E" w:rsidR="00957959" w:rsidRDefault="00957959" w:rsidP="00957959">
            <w:pPr>
              <w:pStyle w:val="Blackbullets"/>
              <w:spacing w:line="240" w:lineRule="auto"/>
            </w:pPr>
            <w:r>
              <w:t>avoiding risks created by dealing with unethical companies.</w:t>
            </w:r>
          </w:p>
          <w:p w14:paraId="0C2FFE7D" w14:textId="77777777" w:rsidR="00957959" w:rsidRDefault="00957959" w:rsidP="00957959">
            <w:pPr>
              <w:pStyle w:val="Blackbullets"/>
              <w:numPr>
                <w:ilvl w:val="0"/>
                <w:numId w:val="0"/>
              </w:numPr>
              <w:spacing w:line="240" w:lineRule="auto"/>
              <w:ind w:left="340"/>
            </w:pPr>
          </w:p>
          <w:p w14:paraId="00554B0C" w14:textId="4991132F" w:rsidR="006F29E2" w:rsidRPr="006F29E2" w:rsidRDefault="00957959" w:rsidP="00957959">
            <w:pPr>
              <w:pStyle w:val="Notes"/>
            </w:pPr>
            <w:r>
              <w:t xml:space="preserve">Selecting the wording option “reasonable </w:t>
            </w:r>
            <w:proofErr w:type="spellStart"/>
            <w:r>
              <w:t>endeavours</w:t>
            </w:r>
            <w:proofErr w:type="spellEnd"/>
            <w:r>
              <w:t>” may mean that parties will not be bound to implement strategies that will result in significant costs and/or disruption to operations</w:t>
            </w:r>
            <w:r w:rsidR="00E211D8" w:rsidRPr="00E211D8">
              <w:t>.</w:t>
            </w:r>
          </w:p>
        </w:tc>
      </w:tr>
    </w:tbl>
    <w:p w14:paraId="3F0C11F5" w14:textId="5EEF9E48" w:rsidR="006E7B3C" w:rsidRPr="00B2039E" w:rsidRDefault="006E7B3C" w:rsidP="00B2039E"/>
    <w:sectPr w:rsidR="006E7B3C" w:rsidRPr="00B2039E" w:rsidSect="0004737B">
      <w:headerReference w:type="default" r:id="rId10"/>
      <w:footerReference w:type="default" r:id="rId11"/>
      <w:pgSz w:w="16838" w:h="11906" w:orient="landscape" w:code="9"/>
      <w:pgMar w:top="1718" w:right="851" w:bottom="1134" w:left="851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D76C" w14:textId="77777777" w:rsidR="00D457D9" w:rsidRDefault="00D457D9" w:rsidP="00D457D9">
      <w:pPr>
        <w:spacing w:after="0"/>
      </w:pPr>
      <w:r>
        <w:separator/>
      </w:r>
    </w:p>
  </w:endnote>
  <w:endnote w:type="continuationSeparator" w:id="0">
    <w:p w14:paraId="207AD039" w14:textId="77777777" w:rsidR="00D457D9" w:rsidRDefault="00D457D9" w:rsidP="00D45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1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04047" w14:textId="67AED2E9" w:rsidR="008C7786" w:rsidRDefault="008C7786">
        <w:pPr>
          <w:pStyle w:val="Footer"/>
          <w:jc w:val="right"/>
        </w:pPr>
        <w:r w:rsidRPr="0004737B">
          <w:rPr>
            <w:rFonts w:cs="Gotham Narrow Light"/>
            <w:noProof/>
            <w:color w:val="8DC640" w:themeColor="accent2"/>
            <w:sz w:val="10"/>
            <w:szCs w:val="12"/>
            <w:lang w:val="en-AU" w:eastAsia="en-AU"/>
          </w:rPr>
          <mc:AlternateContent>
            <mc:Choice Requires="wps">
              <w:drawing>
                <wp:anchor distT="45720" distB="45720" distL="114300" distR="114300" simplePos="0" relativeHeight="251662336" behindDoc="1" locked="0" layoutInCell="1" allowOverlap="1" wp14:anchorId="36DD56F2" wp14:editId="7128E47A">
                  <wp:simplePos x="0" y="0"/>
                  <wp:positionH relativeFrom="margin">
                    <wp:posOffset>-142240</wp:posOffset>
                  </wp:positionH>
                  <wp:positionV relativeFrom="bottomMargin">
                    <wp:posOffset>148535</wp:posOffset>
                  </wp:positionV>
                  <wp:extent cx="5430741" cy="310101"/>
                  <wp:effectExtent l="0" t="0" r="0" b="0"/>
                  <wp:wrapNone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0741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BF759" w14:textId="77777777" w:rsidR="008C7786" w:rsidRPr="008C7786" w:rsidRDefault="008C7786" w:rsidP="008C7786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</w:pPr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 xml:space="preserve">Sparke </w:t>
                              </w:r>
                              <w:proofErr w:type="spellStart"/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>Helmore</w:t>
                              </w:r>
                              <w:proofErr w:type="spellEnd"/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 xml:space="preserve"> Lawyers and Mills Oakley have drafted the clauses as stand-alone options and any use of them should not be construed as providing legal advice or creating a solicitor – client relationship. Always seek specific legal advice for your particular circumstances from a lawyer with relevant expertise.</w:t>
                              </w:r>
                            </w:p>
                            <w:p w14:paraId="0C1CE99A" w14:textId="77777777" w:rsidR="008C7786" w:rsidRPr="008C7786" w:rsidRDefault="008C7786" w:rsidP="008C7786">
                              <w:pPr>
                                <w:jc w:val="right"/>
                                <w:rPr>
                                  <w:rFonts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DD56F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1.2pt;margin-top:11.7pt;width:427.6pt;height:2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" filled="f" stroked="f">
                  <v:textbox>
                    <w:txbxContent>
                      <w:p w14:paraId="5E0BF759" w14:textId="77777777" w:rsidR="008C7786" w:rsidRPr="008C7786" w:rsidRDefault="008C7786" w:rsidP="008C7786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</w:pPr>
                        <w:r w:rsidRPr="008C7786"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  <w:t xml:space="preserve">Sparke </w:t>
                        </w:r>
                        <w:proofErr w:type="spellStart"/>
                        <w:r w:rsidRPr="008C7786"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  <w:t>Helmore</w:t>
                        </w:r>
                        <w:proofErr w:type="spellEnd"/>
                        <w:r w:rsidRPr="008C7786"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  <w:t xml:space="preserve"> Lawyers and Mills Oakley have drafted the clauses as stand-alone options and any use of them should not be construed as providing legal advice or creating a solicitor – client relationship. Always seek specific legal advice for your particular circumstances from a lawyer with relevant expertise.</w:t>
                        </w:r>
                      </w:p>
                      <w:p w14:paraId="0C1CE99A" w14:textId="77777777" w:rsidR="008C7786" w:rsidRPr="008C7786" w:rsidRDefault="008C7786" w:rsidP="008C7786">
                        <w:pPr>
                          <w:jc w:val="right"/>
                          <w:rPr>
                            <w:rFonts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4737B" w:rsidRPr="0004737B">
          <w:rPr>
            <w:color w:val="8DC640" w:themeColor="accent2"/>
            <w:sz w:val="16"/>
          </w:rPr>
          <w:t xml:space="preserve">BETTER </w:t>
        </w:r>
        <w:r w:rsidR="0004737B" w:rsidRPr="0004737B">
          <w:rPr>
            <w:color w:val="39B536" w:themeColor="accent3"/>
            <w:sz w:val="16"/>
          </w:rPr>
          <w:t xml:space="preserve">BUILDINGS </w:t>
        </w:r>
        <w:r w:rsidR="0004737B" w:rsidRPr="0004737B">
          <w:rPr>
            <w:color w:val="006838" w:themeColor="accent1"/>
            <w:sz w:val="16"/>
          </w:rPr>
          <w:t xml:space="preserve">PARTNERSHIP </w:t>
        </w:r>
        <w:r w:rsidR="0004737B" w:rsidRPr="0004737B">
          <w:rPr>
            <w:sz w:val="16"/>
          </w:rPr>
          <w:t xml:space="preserve">BBP LEASING STANDARD TEMPLATE CLAUSES   </w:t>
        </w:r>
        <w:r w:rsidRPr="0004737B">
          <w:rPr>
            <w:sz w:val="16"/>
          </w:rPr>
          <w:fldChar w:fldCharType="begin"/>
        </w:r>
        <w:r w:rsidRPr="0004737B">
          <w:rPr>
            <w:sz w:val="16"/>
          </w:rPr>
          <w:instrText xml:space="preserve"> PAGE   \* MERGEFORMAT </w:instrText>
        </w:r>
        <w:r w:rsidRPr="0004737B">
          <w:rPr>
            <w:sz w:val="16"/>
          </w:rPr>
          <w:fldChar w:fldCharType="separate"/>
        </w:r>
        <w:r w:rsidR="00FD6F48">
          <w:rPr>
            <w:noProof/>
            <w:sz w:val="16"/>
          </w:rPr>
          <w:t>2</w:t>
        </w:r>
        <w:r w:rsidRPr="0004737B">
          <w:rPr>
            <w:noProof/>
            <w:sz w:val="16"/>
          </w:rPr>
          <w:fldChar w:fldCharType="end"/>
        </w:r>
      </w:p>
    </w:sdtContent>
  </w:sdt>
  <w:p w14:paraId="0D0D1C89" w14:textId="421F7A38" w:rsidR="00E02CCF" w:rsidRPr="008C7786" w:rsidRDefault="00E02CCF" w:rsidP="008C7786">
    <w:pPr>
      <w:pStyle w:val="NoParagraphStyle"/>
      <w:suppressAutoHyphens/>
      <w:rPr>
        <w:rFonts w:cs="Gotham Narrow Light"/>
        <w:color w:val="7F7F7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9F59" w14:textId="77777777" w:rsidR="00D457D9" w:rsidRDefault="00D457D9" w:rsidP="00D457D9">
      <w:pPr>
        <w:spacing w:after="0"/>
      </w:pPr>
      <w:r>
        <w:separator/>
      </w:r>
    </w:p>
  </w:footnote>
  <w:footnote w:type="continuationSeparator" w:id="0">
    <w:p w14:paraId="25574907" w14:textId="77777777" w:rsidR="00D457D9" w:rsidRDefault="00D457D9" w:rsidP="00D45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8E7A" w14:textId="3632AECF" w:rsidR="00D457D9" w:rsidRDefault="00BA481B" w:rsidP="00D457D9">
    <w:pPr>
      <w:pStyle w:val="Heading1"/>
      <w:rPr>
        <w:b w:val="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FC056" wp14:editId="55EA27F5">
              <wp:simplePos x="0" y="0"/>
              <wp:positionH relativeFrom="column">
                <wp:posOffset>-367030</wp:posOffset>
              </wp:positionH>
              <wp:positionV relativeFrom="paragraph">
                <wp:posOffset>86360</wp:posOffset>
              </wp:positionV>
              <wp:extent cx="304800" cy="304800"/>
              <wp:effectExtent l="0" t="0" r="19050" b="1905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048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33D20" w14:textId="2D974234" w:rsidR="00D457D9" w:rsidRPr="00BA481B" w:rsidRDefault="006E7B3C" w:rsidP="00D457D9">
                          <w:pPr>
                            <w:jc w:val="center"/>
                            <w:rPr>
                              <w:b/>
                              <w:color w:val="8DC640" w:themeColor="accent2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8DC640" w:themeColor="accent2"/>
                              <w:sz w:val="16"/>
                              <w:lang w:val="en-AU"/>
                            </w:rPr>
                            <w:t>MC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5FC056" id="Oval 1" o:spid="_x0000_s1026" style="position:absolute;margin-left:-28.9pt;margin-top:6.8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" filled="f" strokecolor="#8dc640 [3205]" strokeweight="1pt">
              <v:stroke joinstyle="miter"/>
              <v:textbox inset="0,1.5mm,0,0">
                <w:txbxContent>
                  <w:p w14:paraId="1E733D20" w14:textId="2D974234" w:rsidR="00D457D9" w:rsidRPr="00BA481B" w:rsidRDefault="006E7B3C" w:rsidP="00D457D9">
                    <w:pPr>
                      <w:jc w:val="center"/>
                      <w:rPr>
                        <w:b/>
                        <w:color w:val="8DC640" w:themeColor="accent2"/>
                        <w:sz w:val="16"/>
                        <w:lang w:val="en-AU"/>
                      </w:rPr>
                    </w:pPr>
                    <w:r>
                      <w:rPr>
                        <w:b/>
                        <w:color w:val="8DC640" w:themeColor="accent2"/>
                        <w:sz w:val="16"/>
                        <w:lang w:val="en-AU"/>
                      </w:rPr>
                      <w:t>MC</w:t>
                    </w:r>
                  </w:p>
                </w:txbxContent>
              </v:textbox>
            </v:oval>
          </w:pict>
        </mc:Fallback>
      </mc:AlternateContent>
    </w:r>
    <w:r w:rsidR="006E7B3C">
      <w:t xml:space="preserve">Management </w:t>
    </w:r>
    <w:r w:rsidR="00D457D9" w:rsidRPr="00D457D9">
      <w:t xml:space="preserve">and </w:t>
    </w:r>
    <w:r w:rsidR="006E7B3C">
      <w:t xml:space="preserve">Consumption </w:t>
    </w:r>
  </w:p>
  <w:p w14:paraId="45B3515C" w14:textId="235E9AC3" w:rsidR="00D457D9" w:rsidRDefault="00957959" w:rsidP="00957959">
    <w:pPr>
      <w:pStyle w:val="Heading2"/>
    </w:pPr>
    <w:r w:rsidRPr="00957959">
      <w:t>8 Sustainable Procurement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9E9"/>
    <w:multiLevelType w:val="hybridMultilevel"/>
    <w:tmpl w:val="3794BACE"/>
    <w:lvl w:ilvl="0" w:tplc="E46234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43310"/>
    <w:multiLevelType w:val="hybridMultilevel"/>
    <w:tmpl w:val="3F76E632"/>
    <w:lvl w:ilvl="0" w:tplc="F55C5BA0">
      <w:start w:val="1"/>
      <w:numFmt w:val="lowerLetter"/>
      <w:lvlText w:val="%1)"/>
      <w:lvlJc w:val="left"/>
      <w:pPr>
        <w:ind w:left="984" w:hanging="360"/>
      </w:pPr>
    </w:lvl>
    <w:lvl w:ilvl="1" w:tplc="E46234EA">
      <w:start w:val="1"/>
      <w:numFmt w:val="lowerRoman"/>
      <w:lvlText w:val="%2)"/>
      <w:lvlJc w:val="left"/>
      <w:pPr>
        <w:ind w:left="170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424" w:hanging="180"/>
      </w:pPr>
    </w:lvl>
    <w:lvl w:ilvl="3" w:tplc="0C09000F" w:tentative="1">
      <w:start w:val="1"/>
      <w:numFmt w:val="decimal"/>
      <w:lvlText w:val="%4."/>
      <w:lvlJc w:val="left"/>
      <w:pPr>
        <w:ind w:left="3144" w:hanging="360"/>
      </w:pPr>
    </w:lvl>
    <w:lvl w:ilvl="4" w:tplc="0C090019" w:tentative="1">
      <w:start w:val="1"/>
      <w:numFmt w:val="lowerLetter"/>
      <w:lvlText w:val="%5."/>
      <w:lvlJc w:val="left"/>
      <w:pPr>
        <w:ind w:left="3864" w:hanging="360"/>
      </w:pPr>
    </w:lvl>
    <w:lvl w:ilvl="5" w:tplc="0C09001B" w:tentative="1">
      <w:start w:val="1"/>
      <w:numFmt w:val="lowerRoman"/>
      <w:lvlText w:val="%6."/>
      <w:lvlJc w:val="right"/>
      <w:pPr>
        <w:ind w:left="4584" w:hanging="180"/>
      </w:pPr>
    </w:lvl>
    <w:lvl w:ilvl="6" w:tplc="0C09000F" w:tentative="1">
      <w:start w:val="1"/>
      <w:numFmt w:val="decimal"/>
      <w:lvlText w:val="%7."/>
      <w:lvlJc w:val="left"/>
      <w:pPr>
        <w:ind w:left="5304" w:hanging="360"/>
      </w:pPr>
    </w:lvl>
    <w:lvl w:ilvl="7" w:tplc="0C090019" w:tentative="1">
      <w:start w:val="1"/>
      <w:numFmt w:val="lowerLetter"/>
      <w:lvlText w:val="%8."/>
      <w:lvlJc w:val="left"/>
      <w:pPr>
        <w:ind w:left="6024" w:hanging="360"/>
      </w:pPr>
    </w:lvl>
    <w:lvl w:ilvl="8" w:tplc="0C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821DC4"/>
    <w:multiLevelType w:val="hybridMultilevel"/>
    <w:tmpl w:val="6F465734"/>
    <w:lvl w:ilvl="0" w:tplc="BDBEDC86">
      <w:start w:val="1"/>
      <w:numFmt w:val="bullet"/>
      <w:pStyle w:val="Black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3D3"/>
    <w:multiLevelType w:val="hybridMultilevel"/>
    <w:tmpl w:val="4FBE9E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9EC1ED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14D"/>
    <w:multiLevelType w:val="hybridMultilevel"/>
    <w:tmpl w:val="6776716A"/>
    <w:lvl w:ilvl="0" w:tplc="20D276A2">
      <w:start w:val="1"/>
      <w:numFmt w:val="upperRoman"/>
      <w:lvlText w:val="%1)"/>
      <w:lvlJc w:val="right"/>
      <w:pPr>
        <w:ind w:left="17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24" w:hanging="360"/>
      </w:pPr>
    </w:lvl>
    <w:lvl w:ilvl="2" w:tplc="0C09001B" w:tentative="1">
      <w:start w:val="1"/>
      <w:numFmt w:val="lowerRoman"/>
      <w:lvlText w:val="%3."/>
      <w:lvlJc w:val="right"/>
      <w:pPr>
        <w:ind w:left="3144" w:hanging="180"/>
      </w:pPr>
    </w:lvl>
    <w:lvl w:ilvl="3" w:tplc="0C09000F" w:tentative="1">
      <w:start w:val="1"/>
      <w:numFmt w:val="decimal"/>
      <w:lvlText w:val="%4."/>
      <w:lvlJc w:val="left"/>
      <w:pPr>
        <w:ind w:left="3864" w:hanging="360"/>
      </w:pPr>
    </w:lvl>
    <w:lvl w:ilvl="4" w:tplc="0C090019" w:tentative="1">
      <w:start w:val="1"/>
      <w:numFmt w:val="lowerLetter"/>
      <w:lvlText w:val="%5."/>
      <w:lvlJc w:val="left"/>
      <w:pPr>
        <w:ind w:left="4584" w:hanging="360"/>
      </w:pPr>
    </w:lvl>
    <w:lvl w:ilvl="5" w:tplc="0C09001B" w:tentative="1">
      <w:start w:val="1"/>
      <w:numFmt w:val="lowerRoman"/>
      <w:lvlText w:val="%6."/>
      <w:lvlJc w:val="right"/>
      <w:pPr>
        <w:ind w:left="5304" w:hanging="180"/>
      </w:pPr>
    </w:lvl>
    <w:lvl w:ilvl="6" w:tplc="0C09000F" w:tentative="1">
      <w:start w:val="1"/>
      <w:numFmt w:val="decimal"/>
      <w:lvlText w:val="%7."/>
      <w:lvlJc w:val="left"/>
      <w:pPr>
        <w:ind w:left="6024" w:hanging="360"/>
      </w:pPr>
    </w:lvl>
    <w:lvl w:ilvl="7" w:tplc="0C090019" w:tentative="1">
      <w:start w:val="1"/>
      <w:numFmt w:val="lowerLetter"/>
      <w:lvlText w:val="%8."/>
      <w:lvlJc w:val="left"/>
      <w:pPr>
        <w:ind w:left="6744" w:hanging="360"/>
      </w:pPr>
    </w:lvl>
    <w:lvl w:ilvl="8" w:tplc="0C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 w15:restartNumberingAfterBreak="0">
    <w:nsid w:val="1B9725B8"/>
    <w:multiLevelType w:val="hybridMultilevel"/>
    <w:tmpl w:val="56DCC898"/>
    <w:lvl w:ilvl="0" w:tplc="0C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0A364C"/>
    <w:multiLevelType w:val="hybridMultilevel"/>
    <w:tmpl w:val="918C21E4"/>
    <w:lvl w:ilvl="0" w:tplc="0C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FF3EC0"/>
    <w:multiLevelType w:val="hybridMultilevel"/>
    <w:tmpl w:val="31B8AAF0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0C090011">
      <w:start w:val="1"/>
      <w:numFmt w:val="decimal"/>
      <w:lvlText w:val="%2)"/>
      <w:lvlJc w:val="left"/>
      <w:pPr>
        <w:ind w:left="1785" w:hanging="360"/>
      </w:pPr>
    </w:lvl>
    <w:lvl w:ilvl="2" w:tplc="0C09001B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07281A"/>
    <w:multiLevelType w:val="hybridMultilevel"/>
    <w:tmpl w:val="67802E64"/>
    <w:lvl w:ilvl="0" w:tplc="20D276A2">
      <w:start w:val="1"/>
      <w:numFmt w:val="upperRoman"/>
      <w:lvlText w:val="%1)"/>
      <w:lvlJc w:val="right"/>
      <w:pPr>
        <w:ind w:left="1344" w:hanging="360"/>
      </w:pPr>
      <w:rPr>
        <w:rFonts w:hint="default"/>
      </w:rPr>
    </w:lvl>
    <w:lvl w:ilvl="1" w:tplc="20D276A2">
      <w:start w:val="1"/>
      <w:numFmt w:val="upperRoman"/>
      <w:lvlText w:val="%2)"/>
      <w:lvlJc w:val="right"/>
      <w:pPr>
        <w:ind w:left="206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84" w:hanging="180"/>
      </w:pPr>
    </w:lvl>
    <w:lvl w:ilvl="3" w:tplc="0C09000F" w:tentative="1">
      <w:start w:val="1"/>
      <w:numFmt w:val="decimal"/>
      <w:lvlText w:val="%4."/>
      <w:lvlJc w:val="left"/>
      <w:pPr>
        <w:ind w:left="3504" w:hanging="360"/>
      </w:pPr>
    </w:lvl>
    <w:lvl w:ilvl="4" w:tplc="0C090019" w:tentative="1">
      <w:start w:val="1"/>
      <w:numFmt w:val="lowerLetter"/>
      <w:lvlText w:val="%5."/>
      <w:lvlJc w:val="left"/>
      <w:pPr>
        <w:ind w:left="4224" w:hanging="360"/>
      </w:pPr>
    </w:lvl>
    <w:lvl w:ilvl="5" w:tplc="0C09001B" w:tentative="1">
      <w:start w:val="1"/>
      <w:numFmt w:val="lowerRoman"/>
      <w:lvlText w:val="%6."/>
      <w:lvlJc w:val="right"/>
      <w:pPr>
        <w:ind w:left="4944" w:hanging="180"/>
      </w:pPr>
    </w:lvl>
    <w:lvl w:ilvl="6" w:tplc="0C09000F" w:tentative="1">
      <w:start w:val="1"/>
      <w:numFmt w:val="decimal"/>
      <w:lvlText w:val="%7."/>
      <w:lvlJc w:val="left"/>
      <w:pPr>
        <w:ind w:left="5664" w:hanging="360"/>
      </w:pPr>
    </w:lvl>
    <w:lvl w:ilvl="7" w:tplc="0C090019" w:tentative="1">
      <w:start w:val="1"/>
      <w:numFmt w:val="lowerLetter"/>
      <w:lvlText w:val="%8."/>
      <w:lvlJc w:val="left"/>
      <w:pPr>
        <w:ind w:left="6384" w:hanging="360"/>
      </w:pPr>
    </w:lvl>
    <w:lvl w:ilvl="8" w:tplc="0C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351A5715"/>
    <w:multiLevelType w:val="hybridMultilevel"/>
    <w:tmpl w:val="118C797E"/>
    <w:lvl w:ilvl="0" w:tplc="0C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910915"/>
    <w:multiLevelType w:val="hybridMultilevel"/>
    <w:tmpl w:val="115EC6DA"/>
    <w:lvl w:ilvl="0" w:tplc="2C066258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11AA"/>
    <w:multiLevelType w:val="hybridMultilevel"/>
    <w:tmpl w:val="4FBE9E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9EC1ED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DF4"/>
    <w:multiLevelType w:val="hybridMultilevel"/>
    <w:tmpl w:val="F8AEB50C"/>
    <w:lvl w:ilvl="0" w:tplc="20D276A2">
      <w:start w:val="1"/>
      <w:numFmt w:val="upperRoman"/>
      <w:lvlText w:val="%1)"/>
      <w:lvlJc w:val="righ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B22519"/>
    <w:multiLevelType w:val="hybridMultilevel"/>
    <w:tmpl w:val="C66E0992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0C09001B">
      <w:start w:val="1"/>
      <w:numFmt w:val="lowerRoman"/>
      <w:lvlText w:val="%2."/>
      <w:lvlJc w:val="righ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3552CF"/>
    <w:multiLevelType w:val="hybridMultilevel"/>
    <w:tmpl w:val="1C1CD5E8"/>
    <w:lvl w:ilvl="0" w:tplc="9CC6D562">
      <w:start w:val="1"/>
      <w:numFmt w:val="lowerRoman"/>
      <w:pStyle w:val="Clause2ndlevel"/>
      <w:lvlText w:val="%1)"/>
      <w:lvlJc w:val="left"/>
      <w:pPr>
        <w:ind w:left="644" w:hanging="360"/>
      </w:pPr>
      <w:rPr>
        <w:rFonts w:hint="default"/>
      </w:rPr>
    </w:lvl>
    <w:lvl w:ilvl="1" w:tplc="20D276A2">
      <w:start w:val="1"/>
      <w:numFmt w:val="upperRoman"/>
      <w:lvlText w:val="%2)"/>
      <w:lvlJc w:val="right"/>
      <w:pPr>
        <w:ind w:left="-9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-269" w:hanging="180"/>
      </w:pPr>
    </w:lvl>
    <w:lvl w:ilvl="3" w:tplc="0C09000F" w:tentative="1">
      <w:start w:val="1"/>
      <w:numFmt w:val="decimal"/>
      <w:lvlText w:val="%4."/>
      <w:lvlJc w:val="left"/>
      <w:pPr>
        <w:ind w:left="451" w:hanging="360"/>
      </w:pPr>
    </w:lvl>
    <w:lvl w:ilvl="4" w:tplc="0C090019" w:tentative="1">
      <w:start w:val="1"/>
      <w:numFmt w:val="lowerLetter"/>
      <w:lvlText w:val="%5."/>
      <w:lvlJc w:val="left"/>
      <w:pPr>
        <w:ind w:left="1171" w:hanging="360"/>
      </w:pPr>
    </w:lvl>
    <w:lvl w:ilvl="5" w:tplc="0C09001B" w:tentative="1">
      <w:start w:val="1"/>
      <w:numFmt w:val="lowerRoman"/>
      <w:lvlText w:val="%6."/>
      <w:lvlJc w:val="right"/>
      <w:pPr>
        <w:ind w:left="1891" w:hanging="180"/>
      </w:pPr>
    </w:lvl>
    <w:lvl w:ilvl="6" w:tplc="0C09000F" w:tentative="1">
      <w:start w:val="1"/>
      <w:numFmt w:val="decimal"/>
      <w:lvlText w:val="%7."/>
      <w:lvlJc w:val="left"/>
      <w:pPr>
        <w:ind w:left="2611" w:hanging="360"/>
      </w:pPr>
    </w:lvl>
    <w:lvl w:ilvl="7" w:tplc="0C090019" w:tentative="1">
      <w:start w:val="1"/>
      <w:numFmt w:val="lowerLetter"/>
      <w:lvlText w:val="%8."/>
      <w:lvlJc w:val="left"/>
      <w:pPr>
        <w:ind w:left="3331" w:hanging="360"/>
      </w:pPr>
    </w:lvl>
    <w:lvl w:ilvl="8" w:tplc="0C09001B" w:tentative="1">
      <w:start w:val="1"/>
      <w:numFmt w:val="lowerRoman"/>
      <w:lvlText w:val="%9."/>
      <w:lvlJc w:val="right"/>
      <w:pPr>
        <w:ind w:left="4051" w:hanging="180"/>
      </w:pPr>
    </w:lvl>
  </w:abstractNum>
  <w:abstractNum w:abstractNumId="15" w15:restartNumberingAfterBreak="0">
    <w:nsid w:val="616D66FD"/>
    <w:multiLevelType w:val="hybridMultilevel"/>
    <w:tmpl w:val="82A2E650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A50CDA"/>
    <w:multiLevelType w:val="hybridMultilevel"/>
    <w:tmpl w:val="72DA7FFA"/>
    <w:lvl w:ilvl="0" w:tplc="E46234EA">
      <w:start w:val="1"/>
      <w:numFmt w:val="lowerRoman"/>
      <w:lvlText w:val="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2DD0E2A"/>
    <w:multiLevelType w:val="hybridMultilevel"/>
    <w:tmpl w:val="459AA906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DA7A0B"/>
    <w:multiLevelType w:val="hybridMultilevel"/>
    <w:tmpl w:val="7EF60978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20D276A2">
      <w:start w:val="1"/>
      <w:numFmt w:val="upperRoman"/>
      <w:lvlText w:val="%2)"/>
      <w:lvlJc w:val="righ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51B6E66"/>
    <w:multiLevelType w:val="hybridMultilevel"/>
    <w:tmpl w:val="2042FFD0"/>
    <w:lvl w:ilvl="0" w:tplc="E46234EA">
      <w:start w:val="1"/>
      <w:numFmt w:val="lowerRoman"/>
      <w:lvlText w:val="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B2F10B4"/>
    <w:multiLevelType w:val="hybridMultilevel"/>
    <w:tmpl w:val="0E7ABDFA"/>
    <w:lvl w:ilvl="0" w:tplc="20D276A2">
      <w:start w:val="1"/>
      <w:numFmt w:val="upperRoman"/>
      <w:lvlText w:val="%1)"/>
      <w:lvlJc w:val="right"/>
      <w:pPr>
        <w:ind w:left="1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2" w:hanging="360"/>
      </w:pPr>
    </w:lvl>
    <w:lvl w:ilvl="2" w:tplc="0C09001B" w:tentative="1">
      <w:start w:val="1"/>
      <w:numFmt w:val="lowerRoman"/>
      <w:lvlText w:val="%3."/>
      <w:lvlJc w:val="right"/>
      <w:pPr>
        <w:ind w:left="2802" w:hanging="180"/>
      </w:pPr>
    </w:lvl>
    <w:lvl w:ilvl="3" w:tplc="0C09000F" w:tentative="1">
      <w:start w:val="1"/>
      <w:numFmt w:val="decimal"/>
      <w:lvlText w:val="%4."/>
      <w:lvlJc w:val="left"/>
      <w:pPr>
        <w:ind w:left="3522" w:hanging="360"/>
      </w:pPr>
    </w:lvl>
    <w:lvl w:ilvl="4" w:tplc="0C090019" w:tentative="1">
      <w:start w:val="1"/>
      <w:numFmt w:val="lowerLetter"/>
      <w:lvlText w:val="%5."/>
      <w:lvlJc w:val="left"/>
      <w:pPr>
        <w:ind w:left="4242" w:hanging="360"/>
      </w:pPr>
    </w:lvl>
    <w:lvl w:ilvl="5" w:tplc="0C09001B" w:tentative="1">
      <w:start w:val="1"/>
      <w:numFmt w:val="lowerRoman"/>
      <w:lvlText w:val="%6."/>
      <w:lvlJc w:val="right"/>
      <w:pPr>
        <w:ind w:left="4962" w:hanging="180"/>
      </w:pPr>
    </w:lvl>
    <w:lvl w:ilvl="6" w:tplc="0C09000F" w:tentative="1">
      <w:start w:val="1"/>
      <w:numFmt w:val="decimal"/>
      <w:lvlText w:val="%7."/>
      <w:lvlJc w:val="left"/>
      <w:pPr>
        <w:ind w:left="5682" w:hanging="360"/>
      </w:pPr>
    </w:lvl>
    <w:lvl w:ilvl="7" w:tplc="0C090019" w:tentative="1">
      <w:start w:val="1"/>
      <w:numFmt w:val="lowerLetter"/>
      <w:lvlText w:val="%8."/>
      <w:lvlJc w:val="left"/>
      <w:pPr>
        <w:ind w:left="6402" w:hanging="360"/>
      </w:pPr>
    </w:lvl>
    <w:lvl w:ilvl="8" w:tplc="0C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1" w15:restartNumberingAfterBreak="0">
    <w:nsid w:val="7B9C51AC"/>
    <w:multiLevelType w:val="hybridMultilevel"/>
    <w:tmpl w:val="D03A0242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916AA0"/>
    <w:multiLevelType w:val="hybridMultilevel"/>
    <w:tmpl w:val="58FC5836"/>
    <w:lvl w:ilvl="0" w:tplc="9CCE1A1A">
      <w:start w:val="1"/>
      <w:numFmt w:val="lowerLetter"/>
      <w:pStyle w:val="Clauseindent"/>
      <w:lvlText w:val="%1)"/>
      <w:lvlJc w:val="left"/>
      <w:pPr>
        <w:ind w:left="827" w:hanging="360"/>
      </w:pPr>
    </w:lvl>
    <w:lvl w:ilvl="1" w:tplc="20D276A2">
      <w:start w:val="1"/>
      <w:numFmt w:val="upperRoman"/>
      <w:lvlText w:val="%2)"/>
      <w:lvlJc w:val="right"/>
      <w:pPr>
        <w:ind w:left="-80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-86" w:hanging="180"/>
      </w:pPr>
    </w:lvl>
    <w:lvl w:ilvl="3" w:tplc="0C09000F" w:tentative="1">
      <w:start w:val="1"/>
      <w:numFmt w:val="decimal"/>
      <w:lvlText w:val="%4."/>
      <w:lvlJc w:val="left"/>
      <w:pPr>
        <w:ind w:left="634" w:hanging="360"/>
      </w:pPr>
    </w:lvl>
    <w:lvl w:ilvl="4" w:tplc="0C090019" w:tentative="1">
      <w:start w:val="1"/>
      <w:numFmt w:val="lowerLetter"/>
      <w:lvlText w:val="%5."/>
      <w:lvlJc w:val="left"/>
      <w:pPr>
        <w:ind w:left="1354" w:hanging="360"/>
      </w:pPr>
    </w:lvl>
    <w:lvl w:ilvl="5" w:tplc="0C09001B" w:tentative="1">
      <w:start w:val="1"/>
      <w:numFmt w:val="lowerRoman"/>
      <w:lvlText w:val="%6."/>
      <w:lvlJc w:val="right"/>
      <w:pPr>
        <w:ind w:left="2074" w:hanging="180"/>
      </w:pPr>
    </w:lvl>
    <w:lvl w:ilvl="6" w:tplc="0C09000F" w:tentative="1">
      <w:start w:val="1"/>
      <w:numFmt w:val="decimal"/>
      <w:lvlText w:val="%7."/>
      <w:lvlJc w:val="left"/>
      <w:pPr>
        <w:ind w:left="2794" w:hanging="360"/>
      </w:pPr>
    </w:lvl>
    <w:lvl w:ilvl="7" w:tplc="0C090019" w:tentative="1">
      <w:start w:val="1"/>
      <w:numFmt w:val="lowerLetter"/>
      <w:lvlText w:val="%8."/>
      <w:lvlJc w:val="left"/>
      <w:pPr>
        <w:ind w:left="3514" w:hanging="360"/>
      </w:pPr>
    </w:lvl>
    <w:lvl w:ilvl="8" w:tplc="0C09001B" w:tentative="1">
      <w:start w:val="1"/>
      <w:numFmt w:val="lowerRoman"/>
      <w:lvlText w:val="%9."/>
      <w:lvlJc w:val="right"/>
      <w:pPr>
        <w:ind w:left="4234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7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4"/>
  </w:num>
  <w:num w:numId="16">
    <w:abstractNumId w:val="8"/>
  </w:num>
  <w:num w:numId="17">
    <w:abstractNumId w:val="12"/>
  </w:num>
  <w:num w:numId="18">
    <w:abstractNumId w:val="9"/>
  </w:num>
  <w:num w:numId="19">
    <w:abstractNumId w:val="6"/>
  </w:num>
  <w:num w:numId="20">
    <w:abstractNumId w:val="5"/>
  </w:num>
  <w:num w:numId="21">
    <w:abstractNumId w:val="1"/>
  </w:num>
  <w:num w:numId="22">
    <w:abstractNumId w:val="17"/>
  </w:num>
  <w:num w:numId="23">
    <w:abstractNumId w:val="10"/>
  </w:num>
  <w:num w:numId="24">
    <w:abstractNumId w:val="22"/>
    <w:lvlOverride w:ilvl="0">
      <w:startOverride w:val="1"/>
    </w:lvlOverride>
  </w:num>
  <w:num w:numId="25">
    <w:abstractNumId w:val="2"/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0"/>
  </w:num>
  <w:num w:numId="31">
    <w:abstractNumId w:val="21"/>
  </w:num>
  <w:num w:numId="32">
    <w:abstractNumId w:val="22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E2"/>
    <w:rsid w:val="0004737B"/>
    <w:rsid w:val="000542D1"/>
    <w:rsid w:val="000B5D81"/>
    <w:rsid w:val="001A559E"/>
    <w:rsid w:val="001E130B"/>
    <w:rsid w:val="00212BCD"/>
    <w:rsid w:val="0021473C"/>
    <w:rsid w:val="0027343E"/>
    <w:rsid w:val="00281690"/>
    <w:rsid w:val="00286AD2"/>
    <w:rsid w:val="002A06CC"/>
    <w:rsid w:val="00330612"/>
    <w:rsid w:val="0034260F"/>
    <w:rsid w:val="003525DD"/>
    <w:rsid w:val="003861B0"/>
    <w:rsid w:val="003C38DB"/>
    <w:rsid w:val="0040274D"/>
    <w:rsid w:val="004557C7"/>
    <w:rsid w:val="004F569A"/>
    <w:rsid w:val="00553804"/>
    <w:rsid w:val="00627EF4"/>
    <w:rsid w:val="00664E8F"/>
    <w:rsid w:val="006C313B"/>
    <w:rsid w:val="006E7B3C"/>
    <w:rsid w:val="006F29E2"/>
    <w:rsid w:val="006F474A"/>
    <w:rsid w:val="00740A2C"/>
    <w:rsid w:val="00764FD8"/>
    <w:rsid w:val="007879CA"/>
    <w:rsid w:val="007A7A8A"/>
    <w:rsid w:val="0084769B"/>
    <w:rsid w:val="008C7786"/>
    <w:rsid w:val="008D34D0"/>
    <w:rsid w:val="00957959"/>
    <w:rsid w:val="009873B3"/>
    <w:rsid w:val="009B3A60"/>
    <w:rsid w:val="00A97E20"/>
    <w:rsid w:val="00AE2E28"/>
    <w:rsid w:val="00AF116C"/>
    <w:rsid w:val="00B2039E"/>
    <w:rsid w:val="00BA481B"/>
    <w:rsid w:val="00C37D05"/>
    <w:rsid w:val="00C87E35"/>
    <w:rsid w:val="00CB0567"/>
    <w:rsid w:val="00CB0AAC"/>
    <w:rsid w:val="00CB6007"/>
    <w:rsid w:val="00D11C3B"/>
    <w:rsid w:val="00D457D9"/>
    <w:rsid w:val="00D87539"/>
    <w:rsid w:val="00DA1F1D"/>
    <w:rsid w:val="00DB2960"/>
    <w:rsid w:val="00DD04FD"/>
    <w:rsid w:val="00E02CCF"/>
    <w:rsid w:val="00E211D8"/>
    <w:rsid w:val="00E64108"/>
    <w:rsid w:val="00EC0BE9"/>
    <w:rsid w:val="00F542ED"/>
    <w:rsid w:val="00F9521A"/>
    <w:rsid w:val="00FC0B04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5243FF"/>
  <w15:chartTrackingRefBased/>
  <w15:docId w15:val="{4B9BC0BD-F301-4EC6-BFFA-032653D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30B"/>
    <w:pPr>
      <w:spacing w:after="8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D9"/>
    <w:pPr>
      <w:keepNext/>
      <w:keepLines/>
      <w:spacing w:before="240" w:after="0" w:line="192" w:lineRule="auto"/>
      <w:outlineLvl w:val="0"/>
    </w:pPr>
    <w:rPr>
      <w:rFonts w:eastAsiaTheme="majorEastAsia" w:cstheme="majorBidi"/>
      <w:b/>
      <w:color w:val="8DC640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7D9"/>
    <w:pPr>
      <w:keepNext/>
      <w:keepLines/>
      <w:spacing w:before="40" w:after="0" w:line="192" w:lineRule="auto"/>
      <w:outlineLvl w:val="1"/>
    </w:pPr>
    <w:rPr>
      <w:rFonts w:eastAsiaTheme="majorEastAsia" w:cstheme="majorBidi"/>
      <w:b/>
      <w:color w:val="39B536" w:themeColor="accent3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F29E2"/>
    <w:pPr>
      <w:autoSpaceDE w:val="0"/>
      <w:autoSpaceDN w:val="0"/>
      <w:adjustRightInd w:val="0"/>
      <w:spacing w:after="0" w:line="288" w:lineRule="auto"/>
      <w:textAlignment w:val="center"/>
    </w:pPr>
    <w:rPr>
      <w:rFonts w:ascii="Gotham Narrow Light" w:hAnsi="Gotham Narrow Light"/>
      <w:color w:val="000000"/>
      <w:sz w:val="24"/>
      <w:szCs w:val="24"/>
      <w:lang w:val="en-GB"/>
    </w:rPr>
  </w:style>
  <w:style w:type="paragraph" w:customStyle="1" w:styleId="greentype">
    <w:name w:val="green type"/>
    <w:basedOn w:val="Normal"/>
    <w:link w:val="greentypeChar"/>
    <w:uiPriority w:val="99"/>
    <w:rsid w:val="006F29E2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Gotham Narrow Light" w:hAnsi="Gotham Narrow Light" w:cs="Gotham Narrow Light"/>
      <w:color w:val="38B449"/>
      <w:spacing w:val="-2"/>
      <w:szCs w:val="18"/>
    </w:rPr>
  </w:style>
  <w:style w:type="character" w:customStyle="1" w:styleId="tabletitles">
    <w:name w:val="table titles"/>
    <w:basedOn w:val="DefaultParagraphFont"/>
    <w:uiPriority w:val="99"/>
    <w:rsid w:val="006F29E2"/>
    <w:rPr>
      <w:rFonts w:ascii="Gotham Narrow Bold" w:hAnsi="Gotham Narrow Bold" w:cs="Gotham Narrow Bold"/>
      <w:b/>
      <w:bCs/>
      <w:caps/>
      <w:color w:val="006738"/>
    </w:rPr>
  </w:style>
  <w:style w:type="paragraph" w:customStyle="1" w:styleId="defandrisks">
    <w:name w:val="def and risks"/>
    <w:basedOn w:val="Normal"/>
    <w:uiPriority w:val="99"/>
    <w:rsid w:val="006F29E2"/>
    <w:pPr>
      <w:suppressAutoHyphens/>
      <w:autoSpaceDE w:val="0"/>
      <w:autoSpaceDN w:val="0"/>
      <w:adjustRightInd w:val="0"/>
      <w:spacing w:before="113" w:after="0" w:line="180" w:lineRule="atLeast"/>
      <w:textAlignment w:val="center"/>
    </w:pPr>
    <w:rPr>
      <w:rFonts w:ascii="Gotham Narrow Light" w:hAnsi="Gotham Narrow Light" w:cs="Gotham Narrow Light"/>
      <w:color w:val="000000"/>
      <w:spacing w:val="-2"/>
      <w:sz w:val="16"/>
      <w:szCs w:val="16"/>
    </w:rPr>
  </w:style>
  <w:style w:type="paragraph" w:customStyle="1" w:styleId="Clause">
    <w:name w:val="Clause"/>
    <w:basedOn w:val="Normal"/>
    <w:uiPriority w:val="99"/>
    <w:rsid w:val="006F29E2"/>
    <w:pPr>
      <w:suppressAutoHyphens/>
      <w:autoSpaceDE w:val="0"/>
      <w:autoSpaceDN w:val="0"/>
      <w:adjustRightInd w:val="0"/>
      <w:spacing w:after="113" w:line="180" w:lineRule="atLeast"/>
      <w:textAlignment w:val="center"/>
    </w:pPr>
    <w:rPr>
      <w:rFonts w:ascii="Gotham Narrow Light" w:hAnsi="Gotham Narrow Light" w:cs="Gotham Narrow Light"/>
      <w:color w:val="000000"/>
      <w:spacing w:val="-2"/>
      <w:szCs w:val="18"/>
    </w:rPr>
  </w:style>
  <w:style w:type="paragraph" w:customStyle="1" w:styleId="clausenolist">
    <w:name w:val="clause no list"/>
    <w:basedOn w:val="List"/>
    <w:uiPriority w:val="99"/>
    <w:rsid w:val="006F29E2"/>
    <w:pPr>
      <w:suppressAutoHyphens/>
      <w:autoSpaceDE w:val="0"/>
      <w:autoSpaceDN w:val="0"/>
      <w:adjustRightInd w:val="0"/>
      <w:spacing w:after="57" w:line="180" w:lineRule="atLeast"/>
      <w:ind w:left="227" w:firstLine="0"/>
      <w:contextualSpacing w:val="0"/>
      <w:textAlignment w:val="center"/>
    </w:pPr>
    <w:rPr>
      <w:rFonts w:ascii="Gotham Narrow Light" w:hAnsi="Gotham Narrow Light" w:cs="Gotham Narrow Light"/>
      <w:color w:val="38B449"/>
      <w:spacing w:val="-2"/>
      <w:szCs w:val="18"/>
    </w:rPr>
  </w:style>
  <w:style w:type="character" w:customStyle="1" w:styleId="clausetitle">
    <w:name w:val="clause title"/>
    <w:basedOn w:val="DefaultParagraphFont"/>
    <w:uiPriority w:val="99"/>
    <w:rsid w:val="006F29E2"/>
    <w:rPr>
      <w:color w:val="38B449"/>
    </w:rPr>
  </w:style>
  <w:style w:type="paragraph" w:styleId="List">
    <w:name w:val="List"/>
    <w:basedOn w:val="Normal"/>
    <w:uiPriority w:val="99"/>
    <w:semiHidden/>
    <w:unhideWhenUsed/>
    <w:rsid w:val="006F29E2"/>
    <w:pPr>
      <w:ind w:left="283" w:hanging="283"/>
      <w:contextualSpacing/>
    </w:pPr>
  </w:style>
  <w:style w:type="paragraph" w:customStyle="1" w:styleId="GreenText">
    <w:name w:val="Green Text"/>
    <w:basedOn w:val="Normal"/>
    <w:link w:val="GreenTextChar"/>
    <w:qFormat/>
    <w:rsid w:val="006F29E2"/>
    <w:rPr>
      <w:color w:val="39B536" w:themeColor="accent3"/>
    </w:rPr>
  </w:style>
  <w:style w:type="paragraph" w:customStyle="1" w:styleId="TableHeader">
    <w:name w:val="Table Header"/>
    <w:basedOn w:val="greentype"/>
    <w:link w:val="TableHeaderChar"/>
    <w:qFormat/>
    <w:rsid w:val="00E02CCF"/>
    <w:pPr>
      <w:spacing w:after="0" w:line="192" w:lineRule="auto"/>
    </w:pPr>
    <w:rPr>
      <w:rFonts w:asciiTheme="minorHAnsi" w:hAnsiTheme="minorHAnsi" w:cstheme="majorHAnsi"/>
      <w:b/>
      <w:caps/>
      <w:color w:val="006838" w:themeColor="accent1"/>
    </w:rPr>
  </w:style>
  <w:style w:type="character" w:customStyle="1" w:styleId="GreenTextChar">
    <w:name w:val="Green Text Char"/>
    <w:basedOn w:val="DefaultParagraphFont"/>
    <w:link w:val="GreenText"/>
    <w:rsid w:val="006F29E2"/>
    <w:rPr>
      <w:color w:val="39B536" w:themeColor="accent3"/>
      <w:sz w:val="18"/>
    </w:rPr>
  </w:style>
  <w:style w:type="paragraph" w:styleId="Header">
    <w:name w:val="header"/>
    <w:basedOn w:val="Normal"/>
    <w:link w:val="HeaderChar"/>
    <w:uiPriority w:val="99"/>
    <w:unhideWhenUsed/>
    <w:rsid w:val="00D457D9"/>
    <w:pPr>
      <w:tabs>
        <w:tab w:val="center" w:pos="4680"/>
        <w:tab w:val="right" w:pos="9360"/>
      </w:tabs>
      <w:spacing w:after="0"/>
    </w:pPr>
  </w:style>
  <w:style w:type="character" w:customStyle="1" w:styleId="greentypeChar">
    <w:name w:val="green type Char"/>
    <w:basedOn w:val="DefaultParagraphFont"/>
    <w:link w:val="greentype"/>
    <w:uiPriority w:val="99"/>
    <w:rsid w:val="006F29E2"/>
    <w:rPr>
      <w:rFonts w:ascii="Gotham Narrow Light" w:hAnsi="Gotham Narrow Light" w:cs="Gotham Narrow Light"/>
      <w:color w:val="38B449"/>
      <w:spacing w:val="-2"/>
      <w:sz w:val="18"/>
      <w:szCs w:val="18"/>
    </w:rPr>
  </w:style>
  <w:style w:type="character" w:customStyle="1" w:styleId="TableHeaderChar">
    <w:name w:val="Table Header Char"/>
    <w:basedOn w:val="greentypeChar"/>
    <w:link w:val="TableHeader"/>
    <w:rsid w:val="00E02CCF"/>
    <w:rPr>
      <w:rFonts w:ascii="Gotham Narrow Light" w:hAnsi="Gotham Narrow Light" w:cstheme="majorHAnsi"/>
      <w:b/>
      <w:caps/>
      <w:color w:val="006838" w:themeColor="accent1"/>
      <w:spacing w:val="-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57D9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457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7D9"/>
    <w:rPr>
      <w:sz w:val="18"/>
    </w:rPr>
  </w:style>
  <w:style w:type="character" w:customStyle="1" w:styleId="Heading">
    <w:name w:val="Heading"/>
    <w:uiPriority w:val="99"/>
    <w:rsid w:val="00D457D9"/>
    <w:rPr>
      <w:rFonts w:ascii="Gotham Narrow Bold" w:hAnsi="Gotham Narrow Bold" w:cs="Gotham Narrow Bold"/>
      <w:b/>
      <w:bCs/>
      <w:color w:val="8CC640"/>
      <w:sz w:val="48"/>
      <w:szCs w:val="48"/>
      <w:u w:val="non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57D9"/>
    <w:rPr>
      <w:rFonts w:eastAsiaTheme="majorEastAsia" w:cstheme="majorBidi"/>
      <w:b/>
      <w:color w:val="8DC640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7D9"/>
    <w:rPr>
      <w:rFonts w:eastAsiaTheme="majorEastAsia" w:cstheme="majorBidi"/>
      <w:b/>
      <w:color w:val="39B536" w:themeColor="accent3"/>
      <w:sz w:val="40"/>
      <w:szCs w:val="26"/>
    </w:rPr>
  </w:style>
  <w:style w:type="paragraph" w:customStyle="1" w:styleId="Notes">
    <w:name w:val="Notes"/>
    <w:basedOn w:val="Normal"/>
    <w:link w:val="NotesChar"/>
    <w:qFormat/>
    <w:rsid w:val="0084769B"/>
    <w:rPr>
      <w:sz w:val="16"/>
    </w:rPr>
  </w:style>
  <w:style w:type="paragraph" w:customStyle="1" w:styleId="ClauseTitle0">
    <w:name w:val="Clause Title"/>
    <w:basedOn w:val="Normal"/>
    <w:link w:val="ClauseTitleChar"/>
    <w:qFormat/>
    <w:rsid w:val="00D457D9"/>
    <w:rPr>
      <w:b/>
      <w:color w:val="39B536" w:themeColor="accent3"/>
    </w:rPr>
  </w:style>
  <w:style w:type="character" w:customStyle="1" w:styleId="NotesChar">
    <w:name w:val="Notes Char"/>
    <w:basedOn w:val="DefaultParagraphFont"/>
    <w:link w:val="Notes"/>
    <w:rsid w:val="0084769B"/>
    <w:rPr>
      <w:sz w:val="16"/>
    </w:rPr>
  </w:style>
  <w:style w:type="paragraph" w:customStyle="1" w:styleId="Clausecopy">
    <w:name w:val="Clause copy"/>
    <w:basedOn w:val="Normal"/>
    <w:link w:val="ClausecopyChar"/>
    <w:qFormat/>
    <w:rsid w:val="00D457D9"/>
    <w:pPr>
      <w:ind w:left="345"/>
    </w:pPr>
    <w:rPr>
      <w:color w:val="39B536" w:themeColor="accent3"/>
    </w:rPr>
  </w:style>
  <w:style w:type="character" w:customStyle="1" w:styleId="ClauseTitleChar">
    <w:name w:val="Clause Title Char"/>
    <w:basedOn w:val="DefaultParagraphFont"/>
    <w:link w:val="ClauseTitle0"/>
    <w:rsid w:val="00D457D9"/>
    <w:rPr>
      <w:b/>
      <w:color w:val="39B536" w:themeColor="accent3"/>
      <w:sz w:val="18"/>
    </w:rPr>
  </w:style>
  <w:style w:type="paragraph" w:customStyle="1" w:styleId="clauseliststart">
    <w:name w:val="clause list start"/>
    <w:basedOn w:val="List"/>
    <w:uiPriority w:val="99"/>
    <w:rsid w:val="0084769B"/>
    <w:pPr>
      <w:suppressAutoHyphens/>
      <w:autoSpaceDE w:val="0"/>
      <w:autoSpaceDN w:val="0"/>
      <w:adjustRightInd w:val="0"/>
      <w:spacing w:after="57" w:line="180" w:lineRule="atLeast"/>
      <w:ind w:left="567"/>
      <w:contextualSpacing w:val="0"/>
      <w:textAlignment w:val="center"/>
    </w:pPr>
    <w:rPr>
      <w:rFonts w:ascii="Gotham Narrow Book" w:hAnsi="Gotham Narrow Book" w:cs="Gotham Narrow Book"/>
      <w:color w:val="38B449"/>
      <w:spacing w:val="-2"/>
      <w:szCs w:val="18"/>
    </w:rPr>
  </w:style>
  <w:style w:type="character" w:customStyle="1" w:styleId="ClausecopyChar">
    <w:name w:val="Clause copy Char"/>
    <w:basedOn w:val="DefaultParagraphFont"/>
    <w:link w:val="Clausecopy"/>
    <w:rsid w:val="00D457D9"/>
    <w:rPr>
      <w:color w:val="39B536" w:themeColor="accent3"/>
      <w:sz w:val="18"/>
    </w:rPr>
  </w:style>
  <w:style w:type="paragraph" w:customStyle="1" w:styleId="clauselist2">
    <w:name w:val="clause list 2"/>
    <w:basedOn w:val="clauseliststart"/>
    <w:uiPriority w:val="99"/>
    <w:rsid w:val="0084769B"/>
    <w:pPr>
      <w:tabs>
        <w:tab w:val="left" w:pos="1140"/>
      </w:tabs>
      <w:ind w:left="1134" w:hanging="340"/>
    </w:pPr>
  </w:style>
  <w:style w:type="paragraph" w:customStyle="1" w:styleId="clauselistfollow">
    <w:name w:val="clause list follow"/>
    <w:basedOn w:val="List"/>
    <w:uiPriority w:val="99"/>
    <w:rsid w:val="0084769B"/>
    <w:pPr>
      <w:suppressAutoHyphens/>
      <w:autoSpaceDE w:val="0"/>
      <w:autoSpaceDN w:val="0"/>
      <w:adjustRightInd w:val="0"/>
      <w:spacing w:after="57" w:line="180" w:lineRule="atLeast"/>
      <w:ind w:left="567"/>
      <w:contextualSpacing w:val="0"/>
      <w:textAlignment w:val="center"/>
    </w:pPr>
    <w:rPr>
      <w:rFonts w:ascii="Gotham Narrow Book" w:hAnsi="Gotham Narrow Book" w:cs="Gotham Narrow Book"/>
      <w:color w:val="38B449"/>
      <w:spacing w:val="-2"/>
      <w:szCs w:val="18"/>
    </w:rPr>
  </w:style>
  <w:style w:type="paragraph" w:customStyle="1" w:styleId="clauselist2nolist">
    <w:name w:val="clause list 2 no list"/>
    <w:basedOn w:val="clauseliststart"/>
    <w:uiPriority w:val="99"/>
    <w:rsid w:val="0084769B"/>
    <w:pPr>
      <w:tabs>
        <w:tab w:val="left" w:pos="1140"/>
      </w:tabs>
      <w:ind w:left="1134" w:firstLine="0"/>
    </w:pPr>
  </w:style>
  <w:style w:type="paragraph" w:customStyle="1" w:styleId="Clauseindent">
    <w:name w:val="Clause indent"/>
    <w:basedOn w:val="Clausecopy"/>
    <w:link w:val="ClauseindentChar"/>
    <w:qFormat/>
    <w:rsid w:val="003C38DB"/>
    <w:pPr>
      <w:numPr>
        <w:numId w:val="3"/>
      </w:numPr>
      <w:spacing w:after="40"/>
      <w:ind w:left="511" w:hanging="227"/>
    </w:pPr>
  </w:style>
  <w:style w:type="paragraph" w:customStyle="1" w:styleId="Clause2ndlevel">
    <w:name w:val="Clause 2nd level"/>
    <w:basedOn w:val="Clauseindent"/>
    <w:link w:val="Clause2ndlevelChar"/>
    <w:qFormat/>
    <w:rsid w:val="00740A2C"/>
    <w:pPr>
      <w:numPr>
        <w:numId w:val="41"/>
      </w:numPr>
      <w:ind w:left="1226" w:hanging="350"/>
    </w:pPr>
  </w:style>
  <w:style w:type="character" w:customStyle="1" w:styleId="ClauseindentChar">
    <w:name w:val="Clause indent Char"/>
    <w:basedOn w:val="ClausecopyChar"/>
    <w:link w:val="Clauseindent"/>
    <w:rsid w:val="003C38DB"/>
    <w:rPr>
      <w:color w:val="39B536" w:themeColor="accent3"/>
      <w:sz w:val="18"/>
    </w:rPr>
  </w:style>
  <w:style w:type="character" w:customStyle="1" w:styleId="optionchoice">
    <w:name w:val="option choice"/>
    <w:uiPriority w:val="99"/>
    <w:rsid w:val="00286AD2"/>
    <w:rPr>
      <w:outline/>
      <w:u w:val="thick" w:color="7A1B49"/>
    </w:rPr>
  </w:style>
  <w:style w:type="character" w:customStyle="1" w:styleId="Clause2ndlevelChar">
    <w:name w:val="Clause 2nd level Char"/>
    <w:basedOn w:val="ClausecopyChar"/>
    <w:link w:val="Clause2ndlevel"/>
    <w:rsid w:val="00740A2C"/>
    <w:rPr>
      <w:color w:val="39B536" w:themeColor="accent3"/>
      <w:sz w:val="18"/>
    </w:rPr>
  </w:style>
  <w:style w:type="paragraph" w:customStyle="1" w:styleId="OptionHighlight">
    <w:name w:val="Option Highlight"/>
    <w:basedOn w:val="Clausecopy"/>
    <w:link w:val="OptionHighlightChar"/>
    <w:qFormat/>
    <w:rsid w:val="00286AD2"/>
    <w:rPr>
      <w:color w:val="FFFFFF" w:themeColor="background1"/>
    </w:rPr>
  </w:style>
  <w:style w:type="character" w:customStyle="1" w:styleId="OptionHighlightChar">
    <w:name w:val="Option Highlight Char"/>
    <w:basedOn w:val="ClausecopyChar"/>
    <w:link w:val="OptionHighlight"/>
    <w:rsid w:val="00286AD2"/>
    <w:rPr>
      <w:color w:val="FFFFFF" w:themeColor="background1"/>
      <w:sz w:val="18"/>
    </w:rPr>
  </w:style>
  <w:style w:type="paragraph" w:customStyle="1" w:styleId="GreenBullets">
    <w:name w:val="Green Bullets"/>
    <w:basedOn w:val="GreenText"/>
    <w:link w:val="GreenBulletsChar"/>
    <w:qFormat/>
    <w:rsid w:val="00330612"/>
    <w:pPr>
      <w:numPr>
        <w:numId w:val="23"/>
      </w:numPr>
      <w:spacing w:after="40"/>
      <w:ind w:left="340" w:hanging="227"/>
    </w:pPr>
  </w:style>
  <w:style w:type="character" w:customStyle="1" w:styleId="draftingnote">
    <w:name w:val="drafting note"/>
    <w:uiPriority w:val="99"/>
    <w:rsid w:val="004F569A"/>
    <w:rPr>
      <w:color w:val="000000"/>
      <w:u w:val="thick" w:color="ABE0F9"/>
    </w:rPr>
  </w:style>
  <w:style w:type="character" w:customStyle="1" w:styleId="GreenBulletsChar">
    <w:name w:val="Green Bullets Char"/>
    <w:basedOn w:val="GreenTextChar"/>
    <w:link w:val="GreenBullets"/>
    <w:rsid w:val="00330612"/>
    <w:rPr>
      <w:color w:val="39B536" w:themeColor="accent3"/>
      <w:sz w:val="18"/>
    </w:rPr>
  </w:style>
  <w:style w:type="character" w:styleId="Hyperlink">
    <w:name w:val="Hyperlink"/>
    <w:basedOn w:val="DefaultParagraphFont"/>
    <w:uiPriority w:val="99"/>
    <w:unhideWhenUsed/>
    <w:rsid w:val="00330612"/>
    <w:rPr>
      <w:color w:val="39B536" w:themeColor="hyperlink"/>
      <w:u w:val="single"/>
    </w:rPr>
  </w:style>
  <w:style w:type="paragraph" w:customStyle="1" w:styleId="Hyperlinktext">
    <w:name w:val="Hyperlink text"/>
    <w:basedOn w:val="GreenText"/>
    <w:link w:val="HyperlinktextChar"/>
    <w:qFormat/>
    <w:rsid w:val="00281690"/>
    <w:rPr>
      <w:b/>
      <w:i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330612"/>
    <w:pPr>
      <w:ind w:left="720"/>
      <w:contextualSpacing/>
    </w:pPr>
  </w:style>
  <w:style w:type="character" w:customStyle="1" w:styleId="HyperlinktextChar">
    <w:name w:val="Hyperlink text Char"/>
    <w:basedOn w:val="GreenTextChar"/>
    <w:link w:val="Hyperlinktext"/>
    <w:rsid w:val="00281690"/>
    <w:rPr>
      <w:b/>
      <w:i/>
      <w:color w:val="39B536" w:themeColor="accent3"/>
      <w:sz w:val="20"/>
    </w:rPr>
  </w:style>
  <w:style w:type="paragraph" w:customStyle="1" w:styleId="Blackbullets">
    <w:name w:val="Black bullets"/>
    <w:basedOn w:val="ListParagraph"/>
    <w:link w:val="BlackbulletsChar"/>
    <w:qFormat/>
    <w:rsid w:val="00330612"/>
    <w:pPr>
      <w:numPr>
        <w:numId w:val="25"/>
      </w:numPr>
      <w:suppressAutoHyphens/>
      <w:autoSpaceDE w:val="0"/>
      <w:autoSpaceDN w:val="0"/>
      <w:adjustRightInd w:val="0"/>
      <w:spacing w:after="0" w:line="240" w:lineRule="atLeast"/>
      <w:ind w:left="340" w:hanging="227"/>
      <w:textAlignment w:val="center"/>
    </w:pPr>
    <w:rPr>
      <w:rFonts w:asciiTheme="majorHAnsi" w:hAnsiTheme="majorHAnsi" w:cstheme="majorHAnsi"/>
      <w:color w:val="000000"/>
      <w:spacing w:val="-2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612"/>
    <w:rPr>
      <w:sz w:val="18"/>
    </w:rPr>
  </w:style>
  <w:style w:type="character" w:customStyle="1" w:styleId="BlackbulletsChar">
    <w:name w:val="Black bullets Char"/>
    <w:basedOn w:val="ListParagraphChar"/>
    <w:link w:val="Blackbullets"/>
    <w:rsid w:val="00330612"/>
    <w:rPr>
      <w:rFonts w:asciiTheme="majorHAnsi" w:hAnsiTheme="majorHAnsi" w:cstheme="majorHAnsi"/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c.gov.au/SitePages/Procuremen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BP">
      <a:dk1>
        <a:sysClr val="windowText" lastClr="000000"/>
      </a:dk1>
      <a:lt1>
        <a:sysClr val="window" lastClr="FFFFFF"/>
      </a:lt1>
      <a:dk2>
        <a:srgbClr val="E1E2E3"/>
      </a:dk2>
      <a:lt2>
        <a:srgbClr val="939598"/>
      </a:lt2>
      <a:accent1>
        <a:srgbClr val="006838"/>
      </a:accent1>
      <a:accent2>
        <a:srgbClr val="8DC640"/>
      </a:accent2>
      <a:accent3>
        <a:srgbClr val="39B536"/>
      </a:accent3>
      <a:accent4>
        <a:srgbClr val="ABE1FA"/>
      </a:accent4>
      <a:accent5>
        <a:srgbClr val="7B1C49"/>
      </a:accent5>
      <a:accent6>
        <a:srgbClr val="3A0019"/>
      </a:accent6>
      <a:hlink>
        <a:srgbClr val="39B536"/>
      </a:hlink>
      <a:folHlink>
        <a:srgbClr val="39B5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316A-5836-4172-A57E-9E9D9269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Gilmour</dc:creator>
  <cp:keywords/>
  <dc:description/>
  <cp:lastModifiedBy>Alex Gilmour</cp:lastModifiedBy>
  <cp:revision>7</cp:revision>
  <dcterms:created xsi:type="dcterms:W3CDTF">2016-09-20T03:56:00Z</dcterms:created>
  <dcterms:modified xsi:type="dcterms:W3CDTF">2016-09-21T01:51:00Z</dcterms:modified>
</cp:coreProperties>
</file>