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E53BE" w14:textId="563333D7" w:rsidR="007054D2" w:rsidRDefault="00CA66F2" w:rsidP="007054D2">
      <w:pPr>
        <w:jc w:val="center"/>
        <w:rPr>
          <w:b/>
          <w:bCs/>
          <w:sz w:val="28"/>
          <w:szCs w:val="28"/>
        </w:rPr>
      </w:pPr>
      <w:r>
        <w:rPr>
          <w:noProof/>
        </w:rPr>
        <mc:AlternateContent>
          <mc:Choice Requires="wps">
            <w:drawing>
              <wp:anchor distT="0" distB="0" distL="114300" distR="114300" simplePos="0" relativeHeight="251657728" behindDoc="0" locked="0" layoutInCell="1" allowOverlap="1" wp14:anchorId="2E6632B5" wp14:editId="07D01E9D">
                <wp:simplePos x="0" y="0"/>
                <wp:positionH relativeFrom="margin">
                  <wp:align>center</wp:align>
                </wp:positionH>
                <wp:positionV relativeFrom="paragraph">
                  <wp:posOffset>3175</wp:posOffset>
                </wp:positionV>
                <wp:extent cx="6334125" cy="9525"/>
                <wp:effectExtent l="0" t="0" r="9525" b="9525"/>
                <wp:wrapNone/>
                <wp:docPr id="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41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A33564" id="Straight Connector 7"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pt" to="498.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" strokecolor="windowText" strokeweight=".5pt">
                <v:stroke joinstyle="miter"/>
                <o:lock v:ext="edit" shapetype="f"/>
                <w10:wrap anchorx="margin"/>
              </v:line>
            </w:pict>
          </mc:Fallback>
        </mc:AlternateContent>
      </w:r>
    </w:p>
    <w:p w14:paraId="136FA64C" w14:textId="65CFC86C" w:rsidR="007054D2" w:rsidRDefault="00CA66F2" w:rsidP="008B7E31">
      <w:pPr>
        <w:pStyle w:val="Heading1"/>
        <w:ind w:left="2268" w:right="-613"/>
      </w:pPr>
      <w:r>
        <w:rPr>
          <w:noProof/>
        </w:rPr>
        <w:drawing>
          <wp:anchor distT="0" distB="0" distL="114300" distR="114300" simplePos="0" relativeHeight="251656704" behindDoc="1" locked="1" layoutInCell="1" allowOverlap="1" wp14:anchorId="21B41E0D" wp14:editId="7FDD3F3B">
            <wp:simplePos x="0" y="0"/>
            <wp:positionH relativeFrom="margin">
              <wp:posOffset>-241935</wp:posOffset>
            </wp:positionH>
            <wp:positionV relativeFrom="paragraph">
              <wp:posOffset>64135</wp:posOffset>
            </wp:positionV>
            <wp:extent cx="1438275" cy="790575"/>
            <wp:effectExtent l="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054D2">
        <w:rPr>
          <w:noProof/>
          <w:lang w:eastAsia="en-AU"/>
        </w:rPr>
        <w:t xml:space="preserve">CITY STANDARDS </w:t>
      </w:r>
      <w:r w:rsidR="007054D2" w:rsidRPr="005E3CFF">
        <w:t xml:space="preserve">COMMITTEE </w:t>
      </w:r>
    </w:p>
    <w:p w14:paraId="3D4B7844" w14:textId="3E2DEAEF" w:rsidR="007054D2" w:rsidRDefault="007054D2" w:rsidP="008B7E31">
      <w:pPr>
        <w:ind w:left="2552" w:right="-330"/>
        <w:jc w:val="center"/>
        <w:rPr>
          <w:b/>
        </w:rPr>
      </w:pPr>
      <w:r w:rsidRPr="00D931A5">
        <w:rPr>
          <w:b/>
        </w:rPr>
        <w:t>DECISI</w:t>
      </w:r>
      <w:r>
        <w:rPr>
          <w:b/>
        </w:rPr>
        <w:t>ONS OF THE ESTABLISHMENT AND CO</w:t>
      </w:r>
      <w:r w:rsidRPr="00D931A5">
        <w:rPr>
          <w:b/>
        </w:rPr>
        <w:t xml:space="preserve">ORDINATION COMMITTEE DURING THE </w:t>
      </w:r>
      <w:r w:rsidR="00F92897" w:rsidRPr="00F92897">
        <w:rPr>
          <w:b/>
        </w:rPr>
        <w:t>SPRING</w:t>
      </w:r>
      <w:r w:rsidRPr="00F92897">
        <w:rPr>
          <w:b/>
        </w:rPr>
        <w:t xml:space="preserve"> RECESS 202</w:t>
      </w:r>
      <w:r w:rsidR="00031969" w:rsidRPr="00F92897">
        <w:rPr>
          <w:b/>
        </w:rPr>
        <w:t>1</w:t>
      </w:r>
      <w:r w:rsidRPr="00F92897">
        <w:rPr>
          <w:b/>
        </w:rPr>
        <w:t>, ON MATTERS USUALLY COMING UNDER THE JURISDICTION OF</w:t>
      </w:r>
      <w:r w:rsidRPr="00D931A5">
        <w:rPr>
          <w:b/>
        </w:rPr>
        <w:t xml:space="preserve"> THE </w:t>
      </w:r>
      <w:r w:rsidRPr="003A4743">
        <w:rPr>
          <w:b/>
        </w:rPr>
        <w:t>CITY</w:t>
      </w:r>
      <w:r w:rsidR="00617546">
        <w:rPr>
          <w:b/>
        </w:rPr>
        <w:t> </w:t>
      </w:r>
      <w:r w:rsidRPr="003A4743">
        <w:rPr>
          <w:b/>
        </w:rPr>
        <w:t xml:space="preserve">STANDARDS </w:t>
      </w:r>
      <w:r>
        <w:rPr>
          <w:b/>
        </w:rPr>
        <w:t xml:space="preserve">COMMITTEE, SUBMITTED TO </w:t>
      </w:r>
      <w:r w:rsidRPr="00D931A5">
        <w:rPr>
          <w:b/>
        </w:rPr>
        <w:t>COUNCI</w:t>
      </w:r>
      <w:r>
        <w:rPr>
          <w:b/>
        </w:rPr>
        <w:t>L FOR INFORMATION PURPOSES ONLY</w:t>
      </w:r>
    </w:p>
    <w:p w14:paraId="1351AD8F" w14:textId="77777777" w:rsidR="007054D2" w:rsidRDefault="007054D2" w:rsidP="007054D2">
      <w:pPr>
        <w:ind w:left="2160"/>
        <w:jc w:val="center"/>
        <w:rPr>
          <w:rStyle w:val="Strong"/>
          <w:sz w:val="24"/>
          <w:szCs w:val="24"/>
          <w:lang w:val="en-US"/>
        </w:rPr>
      </w:pPr>
    </w:p>
    <w:p w14:paraId="3F7C0D28" w14:textId="1684A367" w:rsidR="007054D2" w:rsidRPr="009E7A7C" w:rsidRDefault="00CA66F2" w:rsidP="007054D2">
      <w:r>
        <w:rPr>
          <w:noProof/>
        </w:rPr>
        <mc:AlternateContent>
          <mc:Choice Requires="wps">
            <w:drawing>
              <wp:anchor distT="0" distB="0" distL="114300" distR="114300" simplePos="0" relativeHeight="251658752" behindDoc="0" locked="0" layoutInCell="1" allowOverlap="1" wp14:anchorId="15F19977" wp14:editId="6E74EBBD">
                <wp:simplePos x="0" y="0"/>
                <wp:positionH relativeFrom="margin">
                  <wp:posOffset>-301625</wp:posOffset>
                </wp:positionH>
                <wp:positionV relativeFrom="paragraph">
                  <wp:posOffset>64135</wp:posOffset>
                </wp:positionV>
                <wp:extent cx="6334125" cy="9525"/>
                <wp:effectExtent l="0" t="0" r="9525" b="9525"/>
                <wp:wrapNone/>
                <wp:docPr id="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41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7FC3EC" id="Straight Connector 8"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75pt,5.05pt" to="4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" strokecolor="windowText" strokeweight=".5pt">
                <v:stroke joinstyle="miter"/>
                <o:lock v:ext="edit" shapetype="f"/>
                <w10:wrap anchorx="margin"/>
              </v:line>
            </w:pict>
          </mc:Fallback>
        </mc:AlternateContent>
      </w:r>
    </w:p>
    <w:p w14:paraId="151198F1" w14:textId="77777777" w:rsidR="00701894" w:rsidRDefault="00701894" w:rsidP="00701894"/>
    <w:p w14:paraId="5F250E1F" w14:textId="77777777" w:rsidR="00C43921" w:rsidRDefault="00C43921" w:rsidP="00701894"/>
    <w:p w14:paraId="2B9B9A6C" w14:textId="77777777" w:rsidR="00C43921" w:rsidRPr="009E7A7C" w:rsidRDefault="00C43921" w:rsidP="00701894"/>
    <w:p w14:paraId="0B7FEEF0" w14:textId="77777777" w:rsidR="00701894" w:rsidRPr="009E7A7C" w:rsidRDefault="00701894" w:rsidP="00B067DD">
      <w:pPr>
        <w:widowControl/>
      </w:pPr>
    </w:p>
    <w:p w14:paraId="45FE2E86" w14:textId="77777777" w:rsidR="00701894" w:rsidRPr="009E7A7C" w:rsidRDefault="00701894" w:rsidP="007054D2">
      <w:pPr>
        <w:pStyle w:val="Heading2"/>
      </w:pPr>
      <w:r w:rsidRPr="009E7A7C">
        <w:t>TABLE OF CONTENTS</w:t>
      </w:r>
    </w:p>
    <w:p w14:paraId="434BB381" w14:textId="77777777" w:rsidR="00701894" w:rsidRPr="009E7A7C" w:rsidRDefault="00701894" w:rsidP="00B067DD">
      <w:pPr>
        <w:widowControl/>
      </w:pPr>
    </w:p>
    <w:tbl>
      <w:tblPr>
        <w:tblW w:w="0" w:type="auto"/>
        <w:jc w:val="center"/>
        <w:tblLayout w:type="fixed"/>
        <w:tblCellMar>
          <w:left w:w="120" w:type="dxa"/>
          <w:right w:w="120" w:type="dxa"/>
        </w:tblCellMar>
        <w:tblLook w:val="0000" w:firstRow="0" w:lastRow="0" w:firstColumn="0" w:lastColumn="0" w:noHBand="0" w:noVBand="0"/>
      </w:tblPr>
      <w:tblGrid>
        <w:gridCol w:w="972"/>
        <w:gridCol w:w="6946"/>
        <w:gridCol w:w="1112"/>
      </w:tblGrid>
      <w:tr w:rsidR="00701894" w:rsidRPr="009E7A7C" w14:paraId="790F6413" w14:textId="77777777" w:rsidTr="00786128">
        <w:trPr>
          <w:trHeight w:val="511"/>
          <w:jc w:val="center"/>
        </w:trPr>
        <w:tc>
          <w:tcPr>
            <w:tcW w:w="972" w:type="dxa"/>
          </w:tcPr>
          <w:p w14:paraId="4A323A1F" w14:textId="77777777" w:rsidR="00701894" w:rsidRPr="009E7A7C" w:rsidRDefault="00701894" w:rsidP="00B067DD">
            <w:pPr>
              <w:widowControl/>
              <w:rPr>
                <w:b/>
                <w:u w:val="single"/>
              </w:rPr>
            </w:pPr>
            <w:r w:rsidRPr="009E7A7C">
              <w:rPr>
                <w:b/>
                <w:u w:val="single"/>
              </w:rPr>
              <w:t>Clause</w:t>
            </w:r>
          </w:p>
        </w:tc>
        <w:tc>
          <w:tcPr>
            <w:tcW w:w="6946" w:type="dxa"/>
          </w:tcPr>
          <w:p w14:paraId="03ECA470" w14:textId="77777777" w:rsidR="00701894" w:rsidRPr="009E7A7C" w:rsidRDefault="00701894" w:rsidP="00B067DD">
            <w:pPr>
              <w:widowControl/>
              <w:rPr>
                <w:b/>
                <w:u w:val="single"/>
              </w:rPr>
            </w:pPr>
            <w:r w:rsidRPr="009E7A7C">
              <w:rPr>
                <w:b/>
                <w:u w:val="single"/>
              </w:rPr>
              <w:t>Title</w:t>
            </w:r>
          </w:p>
        </w:tc>
        <w:tc>
          <w:tcPr>
            <w:tcW w:w="1112" w:type="dxa"/>
          </w:tcPr>
          <w:p w14:paraId="286D02C1" w14:textId="77777777" w:rsidR="00701894" w:rsidRPr="009E7A7C" w:rsidRDefault="00701894" w:rsidP="00B067DD">
            <w:pPr>
              <w:widowControl/>
              <w:rPr>
                <w:b/>
                <w:u w:val="single"/>
              </w:rPr>
            </w:pPr>
            <w:r w:rsidRPr="009E7A7C">
              <w:rPr>
                <w:b/>
                <w:u w:val="single"/>
              </w:rPr>
              <w:t>Page No</w:t>
            </w:r>
          </w:p>
        </w:tc>
      </w:tr>
      <w:tr w:rsidR="00701894" w:rsidRPr="009E7A7C" w14:paraId="1084011C" w14:textId="77777777" w:rsidTr="00786128">
        <w:trPr>
          <w:jc w:val="center"/>
        </w:trPr>
        <w:tc>
          <w:tcPr>
            <w:tcW w:w="972" w:type="dxa"/>
          </w:tcPr>
          <w:p w14:paraId="5E7F356C" w14:textId="77777777" w:rsidR="00701894" w:rsidRPr="00F92897" w:rsidRDefault="00701894" w:rsidP="00B067DD">
            <w:pPr>
              <w:widowControl/>
              <w:jc w:val="center"/>
              <w:rPr>
                <w:b/>
              </w:rPr>
            </w:pPr>
            <w:r w:rsidRPr="00F92897">
              <w:rPr>
                <w:b/>
              </w:rPr>
              <w:t>A</w:t>
            </w:r>
          </w:p>
        </w:tc>
        <w:tc>
          <w:tcPr>
            <w:tcW w:w="6946" w:type="dxa"/>
          </w:tcPr>
          <w:p w14:paraId="51314846" w14:textId="43F8C09D" w:rsidR="00701894" w:rsidRPr="00F92897" w:rsidRDefault="00701894" w:rsidP="00F92897">
            <w:pPr>
              <w:widowControl/>
              <w:jc w:val="both"/>
              <w:rPr>
                <w:b/>
              </w:rPr>
            </w:pPr>
            <w:r w:rsidRPr="00F92897">
              <w:rPr>
                <w:b/>
              </w:rPr>
              <w:t xml:space="preserve">PETITION – </w:t>
            </w:r>
            <w:r w:rsidR="00F92897" w:rsidRPr="00F92897">
              <w:rPr>
                <w:b/>
              </w:rPr>
              <w:t>REQUESTING COUNCIL INTERVENE TO ENSURE EFFECTIVE ODOUR CONTROL OF INGHAMS FEEDMILL, LOCATED AT 1495 LYTTON ROAD, HEMMANT, AND CREATE A PLEASANT LIVING ENVIRONMENT FOR RESIDENTS LIVING IN THE AREA</w:t>
            </w:r>
          </w:p>
        </w:tc>
        <w:tc>
          <w:tcPr>
            <w:tcW w:w="1112" w:type="dxa"/>
          </w:tcPr>
          <w:p w14:paraId="46964E00" w14:textId="77777777" w:rsidR="00F92897" w:rsidRPr="00F92897" w:rsidRDefault="00F92897" w:rsidP="00B067DD">
            <w:pPr>
              <w:widowControl/>
              <w:jc w:val="center"/>
              <w:rPr>
                <w:b/>
              </w:rPr>
            </w:pPr>
          </w:p>
          <w:p w14:paraId="6BC9C6BC" w14:textId="77777777" w:rsidR="00F92897" w:rsidRPr="00F92897" w:rsidRDefault="00F92897" w:rsidP="00B067DD">
            <w:pPr>
              <w:widowControl/>
              <w:jc w:val="center"/>
              <w:rPr>
                <w:b/>
              </w:rPr>
            </w:pPr>
          </w:p>
          <w:p w14:paraId="63F6032F" w14:textId="77777777" w:rsidR="00F92897" w:rsidRPr="00F92897" w:rsidRDefault="00F92897" w:rsidP="00B067DD">
            <w:pPr>
              <w:widowControl/>
              <w:jc w:val="center"/>
              <w:rPr>
                <w:b/>
              </w:rPr>
            </w:pPr>
          </w:p>
          <w:p w14:paraId="42A90340" w14:textId="77777777" w:rsidR="00F92897" w:rsidRPr="00F92897" w:rsidRDefault="00F92897" w:rsidP="00B067DD">
            <w:pPr>
              <w:widowControl/>
              <w:jc w:val="center"/>
              <w:rPr>
                <w:b/>
              </w:rPr>
            </w:pPr>
          </w:p>
          <w:p w14:paraId="6AAE8FAD" w14:textId="6FE516CF" w:rsidR="00701894" w:rsidRPr="00F92897" w:rsidRDefault="00701894" w:rsidP="00B067DD">
            <w:pPr>
              <w:widowControl/>
              <w:jc w:val="center"/>
              <w:rPr>
                <w:b/>
              </w:rPr>
            </w:pPr>
            <w:r w:rsidRPr="00F92897">
              <w:rPr>
                <w:b/>
              </w:rPr>
              <w:t>1</w:t>
            </w:r>
          </w:p>
          <w:p w14:paraId="45CACF6A" w14:textId="77777777" w:rsidR="00701894" w:rsidRPr="00F92897" w:rsidRDefault="00701894" w:rsidP="00B067DD">
            <w:pPr>
              <w:widowControl/>
              <w:jc w:val="center"/>
              <w:rPr>
                <w:b/>
              </w:rPr>
            </w:pPr>
          </w:p>
        </w:tc>
      </w:tr>
      <w:tr w:rsidR="00701894" w:rsidRPr="009E7A7C" w14:paraId="596FD739" w14:textId="77777777" w:rsidTr="00786128">
        <w:trPr>
          <w:jc w:val="center"/>
        </w:trPr>
        <w:tc>
          <w:tcPr>
            <w:tcW w:w="972" w:type="dxa"/>
          </w:tcPr>
          <w:p w14:paraId="332B3C5B" w14:textId="6515A254" w:rsidR="00701894" w:rsidRPr="009F7484" w:rsidRDefault="00701894" w:rsidP="00B067DD">
            <w:pPr>
              <w:widowControl/>
              <w:jc w:val="center"/>
              <w:rPr>
                <w:b/>
                <w:highlight w:val="yellow"/>
              </w:rPr>
            </w:pPr>
          </w:p>
        </w:tc>
        <w:tc>
          <w:tcPr>
            <w:tcW w:w="6946" w:type="dxa"/>
          </w:tcPr>
          <w:p w14:paraId="1CB736D8" w14:textId="77777777" w:rsidR="00701894" w:rsidRPr="00BA684F" w:rsidRDefault="00701894" w:rsidP="00B067DD">
            <w:pPr>
              <w:widowControl/>
              <w:rPr>
                <w:b/>
                <w:highlight w:val="yellow"/>
              </w:rPr>
            </w:pPr>
          </w:p>
        </w:tc>
        <w:tc>
          <w:tcPr>
            <w:tcW w:w="1112" w:type="dxa"/>
          </w:tcPr>
          <w:p w14:paraId="3BBFB065" w14:textId="77777777" w:rsidR="00701894" w:rsidRPr="00025017" w:rsidRDefault="00701894" w:rsidP="00B067DD">
            <w:pPr>
              <w:widowControl/>
              <w:jc w:val="center"/>
              <w:rPr>
                <w:b/>
                <w:highlight w:val="green"/>
              </w:rPr>
            </w:pPr>
          </w:p>
          <w:p w14:paraId="43DEE7CF" w14:textId="77777777" w:rsidR="00701894" w:rsidRPr="00025017" w:rsidRDefault="00701894" w:rsidP="00B067DD">
            <w:pPr>
              <w:widowControl/>
              <w:jc w:val="center"/>
              <w:rPr>
                <w:b/>
                <w:highlight w:val="green"/>
              </w:rPr>
            </w:pPr>
          </w:p>
        </w:tc>
      </w:tr>
    </w:tbl>
    <w:p w14:paraId="32A09C8B" w14:textId="77777777" w:rsidR="00701894" w:rsidRPr="009E7A7C" w:rsidRDefault="00701894" w:rsidP="00B067DD">
      <w:pPr>
        <w:widowControl/>
      </w:pPr>
    </w:p>
    <w:p w14:paraId="56A25D7B" w14:textId="77777777" w:rsidR="00701894" w:rsidRPr="009E7A7C" w:rsidRDefault="00701894" w:rsidP="00701894">
      <w:pPr>
        <w:rPr>
          <w:b/>
          <w:sz w:val="24"/>
        </w:rPr>
      </w:pPr>
    </w:p>
    <w:p w14:paraId="2DE9217C" w14:textId="77777777" w:rsidR="00701894" w:rsidRPr="009E7A7C" w:rsidRDefault="00701894" w:rsidP="00701894">
      <w:pPr>
        <w:rPr>
          <w:b/>
          <w:sz w:val="24"/>
        </w:rPr>
      </w:pPr>
    </w:p>
    <w:p w14:paraId="63B657CE" w14:textId="77777777" w:rsidR="00AD100C" w:rsidRDefault="00AD100C" w:rsidP="00355CD6">
      <w:pPr>
        <w:sectPr w:rsidR="00AD100C">
          <w:headerReference w:type="even" r:id="rId8"/>
          <w:headerReference w:type="default" r:id="rId9"/>
          <w:endnotePr>
            <w:numFmt w:val="decimal"/>
          </w:endnotePr>
          <w:pgSz w:w="11906" w:h="16838" w:code="9"/>
          <w:pgMar w:top="1134" w:right="1440" w:bottom="1134" w:left="1440" w:header="851" w:footer="851" w:gutter="0"/>
          <w:pgNumType w:start="1"/>
          <w:cols w:space="720"/>
          <w:noEndnote/>
          <w:titlePg/>
        </w:sectPr>
      </w:pPr>
    </w:p>
    <w:p w14:paraId="655357CB" w14:textId="77777777" w:rsidR="00355CD6" w:rsidRPr="00D931A5" w:rsidRDefault="00355CD6" w:rsidP="00B067DD">
      <w:pPr>
        <w:widowControl/>
      </w:pPr>
    </w:p>
    <w:p w14:paraId="495BFE68" w14:textId="170047C0" w:rsidR="00355CD6" w:rsidRPr="0042373D" w:rsidRDefault="00355CD6" w:rsidP="007054D2">
      <w:pPr>
        <w:pStyle w:val="Heading25"/>
      </w:pPr>
      <w:r w:rsidRPr="007054D2">
        <w:rPr>
          <w:u w:val="none"/>
        </w:rPr>
        <w:t>A</w:t>
      </w:r>
      <w:r w:rsidRPr="007054D2">
        <w:rPr>
          <w:u w:val="none"/>
        </w:rPr>
        <w:tab/>
      </w:r>
      <w:r w:rsidRPr="0042373D">
        <w:t>PETITION –</w:t>
      </w:r>
      <w:r w:rsidR="00F92897">
        <w:t xml:space="preserve"> </w:t>
      </w:r>
      <w:r w:rsidR="00F92897" w:rsidRPr="00F92897">
        <w:t>REQUESTING COUNCIL INTERVENE TO ENSURE EFFECTIVE ODOUR CONTROL OF INGHAMS FEEDMILL, LOCATED AT 1495 LYTTON ROAD, HEMMANT, AND CREATE A PLEASANT LIVING ENVIRONMENT FOR RESIDENTS LIVING IN THE AREA</w:t>
      </w:r>
    </w:p>
    <w:p w14:paraId="693BB8B1" w14:textId="4DECEA4D" w:rsidR="00355CD6" w:rsidRPr="00CE6ACC" w:rsidRDefault="00355CD6" w:rsidP="00B067DD">
      <w:pPr>
        <w:widowControl/>
        <w:jc w:val="both"/>
        <w:rPr>
          <w:b/>
        </w:rPr>
      </w:pPr>
      <w:r w:rsidRPr="0042373D">
        <w:tab/>
      </w:r>
      <w:r w:rsidRPr="0042373D">
        <w:tab/>
      </w:r>
      <w:r w:rsidR="00F92897" w:rsidRPr="00F92897">
        <w:rPr>
          <w:b/>
        </w:rPr>
        <w:t>CA21/774209</w:t>
      </w:r>
    </w:p>
    <w:p w14:paraId="33294122" w14:textId="77777777" w:rsidR="00355CD6" w:rsidRPr="0042373D" w:rsidRDefault="00355CD6" w:rsidP="00B067DD">
      <w:pPr>
        <w:widowControl/>
        <w:jc w:val="both"/>
      </w:pPr>
    </w:p>
    <w:p w14:paraId="50B47F3B" w14:textId="532CC206" w:rsidR="00355CD6" w:rsidRDefault="009F7484" w:rsidP="009F7484">
      <w:pPr>
        <w:widowControl/>
        <w:ind w:left="720" w:hanging="720"/>
        <w:jc w:val="both"/>
      </w:pPr>
      <w:r>
        <w:t>1</w:t>
      </w:r>
      <w:r w:rsidR="00355CD6" w:rsidRPr="00D931A5">
        <w:t>.</w:t>
      </w:r>
      <w:r w:rsidR="00355CD6" w:rsidRPr="00D931A5">
        <w:tab/>
      </w:r>
      <w:r w:rsidR="004A24E6">
        <w:t xml:space="preserve">A petition </w:t>
      </w:r>
      <w:r w:rsidR="00F92897" w:rsidRPr="00F92897">
        <w:t xml:space="preserve">requesting Council intervene to ensure effective odour control of </w:t>
      </w:r>
      <w:proofErr w:type="spellStart"/>
      <w:r w:rsidR="00F92897" w:rsidRPr="00F92897">
        <w:t>Inghams</w:t>
      </w:r>
      <w:proofErr w:type="spellEnd"/>
      <w:r w:rsidR="00F92897" w:rsidRPr="00F92897">
        <w:t xml:space="preserve"> </w:t>
      </w:r>
      <w:proofErr w:type="spellStart"/>
      <w:r w:rsidR="00F92897" w:rsidRPr="00F92897">
        <w:t>Feedmill</w:t>
      </w:r>
      <w:proofErr w:type="spellEnd"/>
      <w:r w:rsidR="00F92897" w:rsidRPr="00F92897">
        <w:t>, located at 1495 Lytton Road, Hemmant, and create a pleasant living environment for residents living in the area</w:t>
      </w:r>
      <w:r w:rsidR="004A24E6">
        <w:t xml:space="preserve">, </w:t>
      </w:r>
      <w:r w:rsidR="00F12609" w:rsidRPr="008A6AC8">
        <w:rPr>
          <w:szCs w:val="22"/>
        </w:rPr>
        <w:t xml:space="preserve">was </w:t>
      </w:r>
      <w:r w:rsidR="00F12609">
        <w:rPr>
          <w:szCs w:val="22"/>
        </w:rPr>
        <w:t xml:space="preserve">received during the </w:t>
      </w:r>
      <w:r w:rsidR="00FF1ACA">
        <w:rPr>
          <w:szCs w:val="22"/>
        </w:rPr>
        <w:t xml:space="preserve">Winter </w:t>
      </w:r>
      <w:r w:rsidR="00410CD0">
        <w:rPr>
          <w:szCs w:val="22"/>
        </w:rPr>
        <w:t>R</w:t>
      </w:r>
      <w:r w:rsidR="00F12609">
        <w:rPr>
          <w:szCs w:val="22"/>
        </w:rPr>
        <w:t xml:space="preserve">ecess </w:t>
      </w:r>
      <w:r w:rsidR="00FF1ACA">
        <w:rPr>
          <w:szCs w:val="22"/>
        </w:rPr>
        <w:t>2021</w:t>
      </w:r>
      <w:r w:rsidR="00F12609" w:rsidRPr="008A6AC8">
        <w:rPr>
          <w:szCs w:val="22"/>
        </w:rPr>
        <w:t>.</w:t>
      </w:r>
    </w:p>
    <w:p w14:paraId="3781D805" w14:textId="77777777" w:rsidR="004A24E6" w:rsidRDefault="004A24E6" w:rsidP="009F7484">
      <w:pPr>
        <w:widowControl/>
        <w:ind w:left="720" w:hanging="720"/>
        <w:jc w:val="both"/>
      </w:pPr>
    </w:p>
    <w:p w14:paraId="0B490CA4" w14:textId="771C3CA3" w:rsidR="004A24E6" w:rsidRDefault="009F7484" w:rsidP="009F7484">
      <w:pPr>
        <w:widowControl/>
        <w:ind w:left="720" w:hanging="720"/>
        <w:jc w:val="both"/>
      </w:pPr>
      <w:r>
        <w:t>2</w:t>
      </w:r>
      <w:r w:rsidR="004A24E6">
        <w:t>.</w:t>
      </w:r>
      <w:r w:rsidR="004A24E6">
        <w:tab/>
        <w:t xml:space="preserve">The </w:t>
      </w:r>
      <w:r w:rsidR="00FF1ACA" w:rsidRPr="00FF1ACA">
        <w:t>Divisional Manager, Lifestyle and Community Services</w:t>
      </w:r>
      <w:r w:rsidR="004A24E6">
        <w:t xml:space="preserve">, </w:t>
      </w:r>
      <w:r w:rsidR="00F24DCF">
        <w:t>provided</w:t>
      </w:r>
      <w:r w:rsidR="004A24E6">
        <w:t xml:space="preserve"> the following information.</w:t>
      </w:r>
    </w:p>
    <w:p w14:paraId="0C76945F" w14:textId="3525CE04" w:rsidR="009A77F6" w:rsidRDefault="009A77F6" w:rsidP="009F7484">
      <w:pPr>
        <w:widowControl/>
        <w:jc w:val="both"/>
        <w:rPr>
          <w:szCs w:val="22"/>
        </w:rPr>
      </w:pPr>
    </w:p>
    <w:p w14:paraId="065D4C98" w14:textId="114F3EF7" w:rsidR="00FF1ACA" w:rsidRDefault="009F7484" w:rsidP="009F7484">
      <w:pPr>
        <w:widowControl/>
        <w:jc w:val="both"/>
        <w:rPr>
          <w:szCs w:val="22"/>
        </w:rPr>
      </w:pPr>
      <w:r>
        <w:rPr>
          <w:szCs w:val="22"/>
        </w:rPr>
        <w:t>3</w:t>
      </w:r>
      <w:r w:rsidR="00FF1ACA">
        <w:rPr>
          <w:szCs w:val="22"/>
        </w:rPr>
        <w:t>.</w:t>
      </w:r>
      <w:r w:rsidR="00FF1ACA">
        <w:rPr>
          <w:szCs w:val="22"/>
        </w:rPr>
        <w:tab/>
      </w:r>
      <w:r w:rsidRPr="009F7484">
        <w:rPr>
          <w:szCs w:val="22"/>
        </w:rPr>
        <w:t>The petition contains 26 signatures.</w:t>
      </w:r>
    </w:p>
    <w:p w14:paraId="44AFB4E9" w14:textId="23BC35AC" w:rsidR="009F7484" w:rsidRDefault="009F7484" w:rsidP="009F7484">
      <w:pPr>
        <w:widowControl/>
        <w:jc w:val="both"/>
        <w:rPr>
          <w:szCs w:val="22"/>
        </w:rPr>
      </w:pPr>
    </w:p>
    <w:p w14:paraId="387B351C" w14:textId="282F460D" w:rsidR="009F7484" w:rsidRPr="009F7484" w:rsidRDefault="009F7484" w:rsidP="009F7484">
      <w:pPr>
        <w:widowControl/>
        <w:ind w:left="720" w:hanging="720"/>
        <w:jc w:val="both"/>
        <w:rPr>
          <w:szCs w:val="22"/>
        </w:rPr>
      </w:pPr>
      <w:r>
        <w:rPr>
          <w:szCs w:val="22"/>
        </w:rPr>
        <w:t>4.</w:t>
      </w:r>
      <w:r>
        <w:rPr>
          <w:szCs w:val="22"/>
        </w:rPr>
        <w:tab/>
      </w:r>
      <w:r w:rsidRPr="009F7484">
        <w:rPr>
          <w:szCs w:val="22"/>
        </w:rPr>
        <w:t xml:space="preserve">Council’s Compliance and Regulatory Services, Lifestyle and Community Services, is responsible for investigating odour nuisance complaints under the Queensland Government’s </w:t>
      </w:r>
      <w:r w:rsidRPr="009F7484">
        <w:rPr>
          <w:i/>
          <w:iCs/>
          <w:szCs w:val="22"/>
        </w:rPr>
        <w:t xml:space="preserve">Environmental Protection Act 1994 </w:t>
      </w:r>
      <w:r w:rsidRPr="009F7484">
        <w:rPr>
          <w:szCs w:val="22"/>
        </w:rPr>
        <w:t>(the Act). Authorised officers gather evidence to determine if odour being generated and released is an unlawful environmental nuisance, as defined by the Act.</w:t>
      </w:r>
    </w:p>
    <w:p w14:paraId="69B14644" w14:textId="77777777" w:rsidR="009F7484" w:rsidRPr="009F7484" w:rsidRDefault="009F7484" w:rsidP="009F7484">
      <w:pPr>
        <w:widowControl/>
        <w:jc w:val="both"/>
        <w:rPr>
          <w:szCs w:val="22"/>
        </w:rPr>
      </w:pPr>
    </w:p>
    <w:p w14:paraId="50E18966" w14:textId="389F1CAB" w:rsidR="009F7484" w:rsidRPr="009F7484" w:rsidRDefault="009F7484" w:rsidP="009F7484">
      <w:pPr>
        <w:widowControl/>
        <w:ind w:left="720" w:hanging="720"/>
        <w:jc w:val="both"/>
        <w:rPr>
          <w:szCs w:val="22"/>
        </w:rPr>
      </w:pPr>
      <w:r>
        <w:rPr>
          <w:szCs w:val="22"/>
        </w:rPr>
        <w:t>5.</w:t>
      </w:r>
      <w:r>
        <w:rPr>
          <w:szCs w:val="22"/>
        </w:rPr>
        <w:tab/>
      </w:r>
      <w:r w:rsidRPr="009F7484">
        <w:rPr>
          <w:szCs w:val="22"/>
        </w:rPr>
        <w:t>An unlawful environmental nuisance may occur when the release of any emissions, such as odour, cause an unreasonable interference with a person’s enjoyment of their environment. Before Council can act in relation to an alleged unlawful environmental nuisance, officers must first substantiate that the nuisance provisions are met.</w:t>
      </w:r>
    </w:p>
    <w:p w14:paraId="77610111" w14:textId="77777777" w:rsidR="009F7484" w:rsidRPr="009F7484" w:rsidRDefault="009F7484" w:rsidP="009F7484">
      <w:pPr>
        <w:widowControl/>
        <w:ind w:left="720" w:hanging="720"/>
        <w:jc w:val="both"/>
        <w:rPr>
          <w:szCs w:val="22"/>
        </w:rPr>
      </w:pPr>
    </w:p>
    <w:p w14:paraId="5F72E268" w14:textId="4B1B8B96" w:rsidR="009F7484" w:rsidRPr="009F7484" w:rsidRDefault="009F7484" w:rsidP="009F7484">
      <w:pPr>
        <w:widowControl/>
        <w:ind w:left="720" w:hanging="720"/>
        <w:jc w:val="both"/>
        <w:rPr>
          <w:szCs w:val="22"/>
        </w:rPr>
      </w:pPr>
      <w:r>
        <w:rPr>
          <w:szCs w:val="22"/>
        </w:rPr>
        <w:t>6.</w:t>
      </w:r>
      <w:r>
        <w:rPr>
          <w:szCs w:val="22"/>
        </w:rPr>
        <w:tab/>
      </w:r>
      <w:r w:rsidRPr="009F7484">
        <w:rPr>
          <w:szCs w:val="22"/>
        </w:rPr>
        <w:t>The Act states Council must consider the General Emission Criteria when determining if an emission is an unlawful environmental nuisance. The criteria can include considerations of the emission's characteristics or qualities, such as the duration and time of the emission, whether it is continuous or fluctuating, and the types of emission that could reasonably be expected in the receiving environment. To assist in making an informed judgement about unlawful environmental nuisances, Council requires an investigating officer to witness the emission taking place.</w:t>
      </w:r>
    </w:p>
    <w:p w14:paraId="5564AC16" w14:textId="77777777" w:rsidR="009F7484" w:rsidRPr="009F7484" w:rsidRDefault="009F7484" w:rsidP="009F7484">
      <w:pPr>
        <w:widowControl/>
        <w:ind w:left="720" w:hanging="720"/>
        <w:jc w:val="both"/>
        <w:rPr>
          <w:szCs w:val="22"/>
        </w:rPr>
      </w:pPr>
    </w:p>
    <w:p w14:paraId="122AAEF2" w14:textId="7AC6CD8F" w:rsidR="009F7484" w:rsidRPr="009F7484" w:rsidRDefault="009F7484" w:rsidP="009F7484">
      <w:pPr>
        <w:widowControl/>
        <w:ind w:left="720" w:hanging="720"/>
        <w:jc w:val="both"/>
        <w:rPr>
          <w:szCs w:val="22"/>
        </w:rPr>
      </w:pPr>
      <w:r>
        <w:rPr>
          <w:szCs w:val="22"/>
        </w:rPr>
        <w:t>7.</w:t>
      </w:r>
      <w:r>
        <w:rPr>
          <w:szCs w:val="22"/>
        </w:rPr>
        <w:tab/>
      </w:r>
      <w:r w:rsidRPr="009F7484">
        <w:rPr>
          <w:szCs w:val="22"/>
        </w:rPr>
        <w:t>Council first received a report of the odour nuisance on 20 November 2020. The odour was reported to be coming from 50 Goodman Place, Murarrie. At this location, the Queensland Government has a regulated activity (Environmental Relevant Activity 25 – Meat Processing) issued under the provisions of the Act. Therefore, the matter was referred to the Queensland Government’s Department of Environment and Science (DES).</w:t>
      </w:r>
    </w:p>
    <w:p w14:paraId="0A86436C" w14:textId="77777777" w:rsidR="009F7484" w:rsidRPr="009F7484" w:rsidRDefault="009F7484" w:rsidP="009F7484">
      <w:pPr>
        <w:widowControl/>
        <w:ind w:left="720" w:hanging="720"/>
        <w:jc w:val="both"/>
        <w:rPr>
          <w:szCs w:val="22"/>
        </w:rPr>
      </w:pPr>
    </w:p>
    <w:p w14:paraId="5BD540FA" w14:textId="37C8DF82" w:rsidR="009F7484" w:rsidRPr="009F7484" w:rsidRDefault="009F7484" w:rsidP="009F7484">
      <w:pPr>
        <w:widowControl/>
        <w:ind w:left="720" w:hanging="720"/>
        <w:jc w:val="both"/>
        <w:rPr>
          <w:szCs w:val="22"/>
        </w:rPr>
      </w:pPr>
      <w:r>
        <w:rPr>
          <w:szCs w:val="22"/>
        </w:rPr>
        <w:t>8.</w:t>
      </w:r>
      <w:r>
        <w:rPr>
          <w:szCs w:val="22"/>
        </w:rPr>
        <w:tab/>
      </w:r>
      <w:r w:rsidRPr="009F7484">
        <w:rPr>
          <w:szCs w:val="22"/>
        </w:rPr>
        <w:t xml:space="preserve">On 22 December 2020, Council received confirmation from DES that the source of the odour was not from its regulated activity and advised it was being generated from the </w:t>
      </w:r>
      <w:proofErr w:type="spellStart"/>
      <w:r w:rsidRPr="009F7484">
        <w:rPr>
          <w:szCs w:val="22"/>
        </w:rPr>
        <w:t>Feedmill</w:t>
      </w:r>
      <w:proofErr w:type="spellEnd"/>
      <w:r w:rsidRPr="009F7484">
        <w:rPr>
          <w:szCs w:val="22"/>
        </w:rPr>
        <w:t>, which is not regulated by DES. Subsequently, the matter was referred to Council for further investigation.</w:t>
      </w:r>
    </w:p>
    <w:p w14:paraId="1F2AA03F" w14:textId="77777777" w:rsidR="009F7484" w:rsidRPr="009F7484" w:rsidRDefault="009F7484" w:rsidP="009F7484">
      <w:pPr>
        <w:widowControl/>
        <w:ind w:left="720" w:hanging="720"/>
        <w:jc w:val="both"/>
        <w:rPr>
          <w:szCs w:val="22"/>
        </w:rPr>
      </w:pPr>
    </w:p>
    <w:p w14:paraId="41525A2B" w14:textId="3033621B" w:rsidR="009F7484" w:rsidRPr="009F7484" w:rsidRDefault="009F7484" w:rsidP="009F7484">
      <w:pPr>
        <w:widowControl/>
        <w:ind w:left="720" w:hanging="720"/>
        <w:jc w:val="both"/>
        <w:rPr>
          <w:szCs w:val="22"/>
        </w:rPr>
      </w:pPr>
      <w:r>
        <w:rPr>
          <w:szCs w:val="22"/>
        </w:rPr>
        <w:lastRenderedPageBreak/>
        <w:t>9.</w:t>
      </w:r>
      <w:r>
        <w:rPr>
          <w:szCs w:val="22"/>
        </w:rPr>
        <w:tab/>
      </w:r>
      <w:r w:rsidRPr="009F7484">
        <w:rPr>
          <w:szCs w:val="22"/>
        </w:rPr>
        <w:t xml:space="preserve">Council’s investigation determined that an unlawful environmental nuisance was being created by the odour coming from the </w:t>
      </w:r>
      <w:proofErr w:type="spellStart"/>
      <w:r w:rsidRPr="009F7484">
        <w:rPr>
          <w:szCs w:val="22"/>
        </w:rPr>
        <w:t>Feedmill</w:t>
      </w:r>
      <w:proofErr w:type="spellEnd"/>
      <w:r w:rsidRPr="009F7484">
        <w:rPr>
          <w:szCs w:val="22"/>
        </w:rPr>
        <w:t xml:space="preserve">. As a result, a notice to conduct an Environmental Evaluation (investigation) was issued to the </w:t>
      </w:r>
      <w:proofErr w:type="spellStart"/>
      <w:r w:rsidRPr="009F7484">
        <w:rPr>
          <w:szCs w:val="22"/>
        </w:rPr>
        <w:t>Feedmill</w:t>
      </w:r>
      <w:proofErr w:type="spellEnd"/>
      <w:r w:rsidRPr="009F7484">
        <w:rPr>
          <w:szCs w:val="22"/>
        </w:rPr>
        <w:t xml:space="preserve"> on 18 March 2021. The notice directs the </w:t>
      </w:r>
      <w:proofErr w:type="spellStart"/>
      <w:r w:rsidRPr="009F7484">
        <w:rPr>
          <w:szCs w:val="22"/>
        </w:rPr>
        <w:t>Feedmill</w:t>
      </w:r>
      <w:proofErr w:type="spellEnd"/>
      <w:r w:rsidRPr="009F7484">
        <w:rPr>
          <w:szCs w:val="22"/>
        </w:rPr>
        <w:t xml:space="preserve"> to investigate the source of the odour, identify ways to mitigate the odour and supply a report to Council. The report was due and received on 7 June 2021. A further information request was issued on 29 June 2021, asking for clarification on some matters. This request was due on 30 July 2021, and the report was received on that day. Council officers will now assess the report and supporting information and determine the next appropriate course of action.</w:t>
      </w:r>
    </w:p>
    <w:p w14:paraId="0F59EFD4" w14:textId="77777777" w:rsidR="009F7484" w:rsidRPr="009F7484" w:rsidRDefault="009F7484" w:rsidP="009F7484">
      <w:pPr>
        <w:widowControl/>
        <w:ind w:left="720" w:hanging="720"/>
        <w:jc w:val="both"/>
        <w:rPr>
          <w:szCs w:val="22"/>
        </w:rPr>
      </w:pPr>
    </w:p>
    <w:p w14:paraId="08524114" w14:textId="58B3AC92" w:rsidR="009F7484" w:rsidRPr="009F7484" w:rsidRDefault="009F7484" w:rsidP="009F7484">
      <w:pPr>
        <w:widowControl/>
        <w:ind w:left="720" w:hanging="720"/>
        <w:jc w:val="both"/>
        <w:rPr>
          <w:szCs w:val="22"/>
        </w:rPr>
      </w:pPr>
      <w:r>
        <w:rPr>
          <w:szCs w:val="22"/>
        </w:rPr>
        <w:t>10.</w:t>
      </w:r>
      <w:r>
        <w:rPr>
          <w:szCs w:val="22"/>
        </w:rPr>
        <w:tab/>
      </w:r>
      <w:r w:rsidRPr="009F7484">
        <w:rPr>
          <w:szCs w:val="22"/>
        </w:rPr>
        <w:t xml:space="preserve">In the meantime, Council is continuing to monitor this matter and is working with the </w:t>
      </w:r>
      <w:proofErr w:type="spellStart"/>
      <w:r w:rsidRPr="009F7484">
        <w:rPr>
          <w:szCs w:val="22"/>
        </w:rPr>
        <w:t>Feedmill</w:t>
      </w:r>
      <w:proofErr w:type="spellEnd"/>
      <w:r w:rsidRPr="009F7484">
        <w:rPr>
          <w:szCs w:val="22"/>
        </w:rPr>
        <w:t xml:space="preserve"> on possible solutions to resolve the issue. Further, the investigating officer is in direct contact with the head petitioner regarding the status of the investigation.</w:t>
      </w:r>
    </w:p>
    <w:p w14:paraId="2E652ACE" w14:textId="77777777" w:rsidR="009A77F6" w:rsidRPr="004F1776" w:rsidRDefault="009A77F6" w:rsidP="009F7484">
      <w:pPr>
        <w:pStyle w:val="Normal2"/>
        <w:jc w:val="both"/>
      </w:pPr>
    </w:p>
    <w:p w14:paraId="7A27F74D" w14:textId="77777777" w:rsidR="009A77F6" w:rsidRPr="001A6C8B" w:rsidRDefault="009A77F6" w:rsidP="009F7484">
      <w:pPr>
        <w:pStyle w:val="Heading3"/>
        <w:jc w:val="both"/>
      </w:pPr>
      <w:r w:rsidRPr="004F1776">
        <w:t>Consultation</w:t>
      </w:r>
    </w:p>
    <w:p w14:paraId="6A473656" w14:textId="77777777" w:rsidR="009A77F6" w:rsidRPr="004F1776" w:rsidRDefault="009A77F6" w:rsidP="009F7484">
      <w:pPr>
        <w:widowControl/>
        <w:jc w:val="both"/>
        <w:rPr>
          <w:szCs w:val="22"/>
        </w:rPr>
      </w:pPr>
    </w:p>
    <w:p w14:paraId="48FC7AB3" w14:textId="3D7EC706" w:rsidR="009A77F6" w:rsidRDefault="009F7484" w:rsidP="009F7484">
      <w:pPr>
        <w:widowControl/>
        <w:ind w:left="720" w:hanging="720"/>
        <w:jc w:val="both"/>
        <w:rPr>
          <w:szCs w:val="22"/>
        </w:rPr>
      </w:pPr>
      <w:r>
        <w:rPr>
          <w:szCs w:val="22"/>
        </w:rPr>
        <w:t>11</w:t>
      </w:r>
      <w:r w:rsidR="009A77F6">
        <w:rPr>
          <w:szCs w:val="22"/>
        </w:rPr>
        <w:t>.</w:t>
      </w:r>
      <w:r w:rsidR="009A77F6">
        <w:rPr>
          <w:szCs w:val="22"/>
        </w:rPr>
        <w:tab/>
      </w:r>
      <w:r w:rsidRPr="009F7484">
        <w:rPr>
          <w:szCs w:val="22"/>
        </w:rPr>
        <w:t>Councillor Lisa Atwood, Councillor for Doboy Ward, has been consulted and supports the recommendation.</w:t>
      </w:r>
    </w:p>
    <w:p w14:paraId="18FC0FBA" w14:textId="77777777" w:rsidR="009A77F6" w:rsidRPr="004F1776" w:rsidRDefault="009A77F6" w:rsidP="009F7484">
      <w:pPr>
        <w:widowControl/>
        <w:jc w:val="both"/>
        <w:rPr>
          <w:szCs w:val="22"/>
        </w:rPr>
      </w:pPr>
    </w:p>
    <w:p w14:paraId="67C7720D" w14:textId="696F45D8" w:rsidR="009F7484" w:rsidRPr="009F7484" w:rsidRDefault="009A77F6" w:rsidP="009F7484">
      <w:pPr>
        <w:pStyle w:val="Heading3"/>
        <w:jc w:val="both"/>
      </w:pPr>
      <w:r>
        <w:t>Customer i</w:t>
      </w:r>
      <w:r w:rsidRPr="004F1776">
        <w:t>mpact</w:t>
      </w:r>
    </w:p>
    <w:p w14:paraId="685EA093" w14:textId="6CD76999" w:rsidR="009A77F6" w:rsidRDefault="009A77F6" w:rsidP="009F7484">
      <w:pPr>
        <w:widowControl/>
        <w:jc w:val="both"/>
        <w:rPr>
          <w:szCs w:val="22"/>
        </w:rPr>
      </w:pPr>
    </w:p>
    <w:p w14:paraId="1EFB15A2" w14:textId="361E3B1D" w:rsidR="009F7484" w:rsidRDefault="009F7484" w:rsidP="009F7484">
      <w:pPr>
        <w:widowControl/>
        <w:jc w:val="both"/>
        <w:rPr>
          <w:szCs w:val="22"/>
        </w:rPr>
      </w:pPr>
      <w:r>
        <w:rPr>
          <w:szCs w:val="22"/>
        </w:rPr>
        <w:t>12.</w:t>
      </w:r>
      <w:r>
        <w:rPr>
          <w:szCs w:val="22"/>
        </w:rPr>
        <w:tab/>
      </w:r>
      <w:r w:rsidRPr="009F7484">
        <w:rPr>
          <w:szCs w:val="22"/>
        </w:rPr>
        <w:t xml:space="preserve">The submission </w:t>
      </w:r>
      <w:r w:rsidR="00121E9C">
        <w:rPr>
          <w:szCs w:val="22"/>
        </w:rPr>
        <w:t>will</w:t>
      </w:r>
      <w:r w:rsidRPr="009F7484">
        <w:rPr>
          <w:szCs w:val="22"/>
        </w:rPr>
        <w:t xml:space="preserve"> respond to the petitioners’ concerns.</w:t>
      </w:r>
    </w:p>
    <w:p w14:paraId="04A9CC06" w14:textId="77777777" w:rsidR="009F7484" w:rsidRPr="004F1776" w:rsidRDefault="009F7484" w:rsidP="009F7484">
      <w:pPr>
        <w:widowControl/>
        <w:jc w:val="both"/>
        <w:rPr>
          <w:szCs w:val="22"/>
        </w:rPr>
      </w:pPr>
    </w:p>
    <w:p w14:paraId="11432390" w14:textId="0179183B" w:rsidR="004A24E6" w:rsidRDefault="009F7484" w:rsidP="009F7484">
      <w:pPr>
        <w:widowControl/>
        <w:ind w:left="720" w:hanging="720"/>
        <w:jc w:val="both"/>
      </w:pPr>
      <w:r>
        <w:t>13</w:t>
      </w:r>
      <w:r w:rsidR="004A24E6" w:rsidRPr="009F7484">
        <w:t>.</w:t>
      </w:r>
      <w:r w:rsidR="004B3498" w:rsidRPr="009F7484">
        <w:tab/>
        <w:t xml:space="preserve">The </w:t>
      </w:r>
      <w:r w:rsidR="002D479A" w:rsidRPr="009F7484">
        <w:t xml:space="preserve">Divisional </w:t>
      </w:r>
      <w:r w:rsidR="004B3498" w:rsidRPr="009F7484">
        <w:t xml:space="preserve">Manager recommended as follows and the Committee agreed at its meeting held on </w:t>
      </w:r>
      <w:r w:rsidRPr="009F7484">
        <w:t>11 October 2021</w:t>
      </w:r>
      <w:r w:rsidR="00301484" w:rsidRPr="009F7484">
        <w:t>.</w:t>
      </w:r>
    </w:p>
    <w:p w14:paraId="57B7FDF7" w14:textId="77777777" w:rsidR="004A24E6" w:rsidRDefault="004A24E6" w:rsidP="009F7484">
      <w:pPr>
        <w:widowControl/>
        <w:ind w:left="720" w:hanging="720"/>
        <w:jc w:val="both"/>
      </w:pPr>
    </w:p>
    <w:p w14:paraId="4896BE7A" w14:textId="1CA9668B" w:rsidR="000D44FE" w:rsidRPr="00C91049" w:rsidRDefault="009F7484" w:rsidP="009F7484">
      <w:pPr>
        <w:widowControl/>
        <w:ind w:left="720" w:hanging="720"/>
        <w:jc w:val="both"/>
        <w:rPr>
          <w:b/>
        </w:rPr>
      </w:pPr>
      <w:r>
        <w:t>14</w:t>
      </w:r>
      <w:r w:rsidR="000D44FE" w:rsidRPr="004B3498">
        <w:t>.</w:t>
      </w:r>
      <w:r w:rsidR="000D44FE">
        <w:tab/>
      </w:r>
      <w:r w:rsidR="000D44FE" w:rsidRPr="00C91049">
        <w:rPr>
          <w:b/>
        </w:rPr>
        <w:t>DECISION</w:t>
      </w:r>
      <w:r w:rsidR="000D44FE">
        <w:rPr>
          <w:b/>
        </w:rPr>
        <w:t>:</w:t>
      </w:r>
    </w:p>
    <w:p w14:paraId="5A162EAD" w14:textId="77777777" w:rsidR="000D44FE" w:rsidRPr="00C91049" w:rsidRDefault="000D44FE" w:rsidP="009F7484">
      <w:pPr>
        <w:widowControl/>
        <w:ind w:left="720" w:hanging="720"/>
        <w:jc w:val="both"/>
        <w:rPr>
          <w:b/>
        </w:rPr>
      </w:pPr>
    </w:p>
    <w:p w14:paraId="00CFF2D3" w14:textId="68A496AA" w:rsidR="007D7BB9" w:rsidRDefault="000D44FE" w:rsidP="009F7484">
      <w:pPr>
        <w:widowControl/>
        <w:ind w:left="720" w:hanging="720"/>
        <w:jc w:val="both"/>
        <w:rPr>
          <w:b/>
          <w:szCs w:val="22"/>
        </w:rPr>
      </w:pPr>
      <w:r w:rsidRPr="00C91049">
        <w:rPr>
          <w:b/>
        </w:rPr>
        <w:tab/>
      </w:r>
      <w:r w:rsidR="009F7484" w:rsidRPr="009F7484">
        <w:rPr>
          <w:b/>
        </w:rPr>
        <w:t xml:space="preserve">THAT THE INFORMATION IN THIS SUBMISSION BE NOTED AND THE DRAFT RESPONSE, AS SET OUT IN ATTACHMENT A, </w:t>
      </w:r>
      <w:r w:rsidR="009F7484" w:rsidRPr="009F7484">
        <w:rPr>
          <w:bCs/>
        </w:rPr>
        <w:t>hereunder</w:t>
      </w:r>
      <w:r w:rsidR="009F7484">
        <w:rPr>
          <w:b/>
        </w:rPr>
        <w:t xml:space="preserve">, </w:t>
      </w:r>
      <w:r w:rsidR="009F7484" w:rsidRPr="009F7484">
        <w:rPr>
          <w:b/>
        </w:rPr>
        <w:t>BE SENT TO THE HEAD PETITIONER</w:t>
      </w:r>
      <w:r w:rsidRPr="005141D8">
        <w:rPr>
          <w:b/>
          <w:szCs w:val="22"/>
        </w:rPr>
        <w:t>.</w:t>
      </w:r>
    </w:p>
    <w:p w14:paraId="44A3329D" w14:textId="6659AAC8" w:rsidR="005715E4" w:rsidRDefault="005715E4" w:rsidP="009F7484">
      <w:pPr>
        <w:widowControl/>
        <w:ind w:left="720"/>
        <w:jc w:val="both"/>
        <w:rPr>
          <w:b/>
          <w:i/>
          <w:szCs w:val="22"/>
        </w:rPr>
      </w:pPr>
    </w:p>
    <w:p w14:paraId="2C7914E1" w14:textId="77777777" w:rsidR="009F7484" w:rsidRPr="00E27215" w:rsidRDefault="009F7484" w:rsidP="009F7484">
      <w:pPr>
        <w:ind w:left="720"/>
        <w:jc w:val="center"/>
        <w:rPr>
          <w:b/>
          <w:szCs w:val="22"/>
          <w:u w:val="single"/>
        </w:rPr>
      </w:pPr>
      <w:r w:rsidRPr="00E27215">
        <w:rPr>
          <w:b/>
          <w:szCs w:val="22"/>
          <w:u w:val="single"/>
        </w:rPr>
        <w:t>Attachment A</w:t>
      </w:r>
    </w:p>
    <w:p w14:paraId="3C22C23F" w14:textId="77777777" w:rsidR="009F7484" w:rsidRPr="00E27215" w:rsidRDefault="009F7484" w:rsidP="009F7484">
      <w:pPr>
        <w:ind w:left="720"/>
        <w:jc w:val="center"/>
        <w:rPr>
          <w:b/>
          <w:szCs w:val="22"/>
        </w:rPr>
      </w:pPr>
      <w:r w:rsidRPr="00E27215">
        <w:rPr>
          <w:b/>
          <w:szCs w:val="22"/>
        </w:rPr>
        <w:t>Draft Response</w:t>
      </w:r>
    </w:p>
    <w:p w14:paraId="1C82C1CE" w14:textId="77777777" w:rsidR="009F7484" w:rsidRPr="00E27215" w:rsidRDefault="009F7484" w:rsidP="009F7484">
      <w:pPr>
        <w:ind w:left="720"/>
        <w:jc w:val="both"/>
        <w:rPr>
          <w:szCs w:val="22"/>
        </w:rPr>
      </w:pPr>
    </w:p>
    <w:p w14:paraId="5F51CA49" w14:textId="77777777" w:rsidR="009F7484" w:rsidRDefault="009F7484" w:rsidP="009F7484">
      <w:pPr>
        <w:ind w:left="720"/>
        <w:jc w:val="both"/>
      </w:pPr>
      <w:r w:rsidRPr="00E27215">
        <w:rPr>
          <w:rFonts w:eastAsia="Calibri"/>
          <w:b/>
          <w:snapToGrid/>
          <w:szCs w:val="22"/>
          <w:u w:val="single"/>
        </w:rPr>
        <w:t>Petition Reference</w:t>
      </w:r>
      <w:r w:rsidRPr="00E27215">
        <w:rPr>
          <w:rFonts w:eastAsia="Calibri"/>
          <w:b/>
          <w:snapToGrid/>
          <w:szCs w:val="22"/>
        </w:rPr>
        <w:t xml:space="preserve">: </w:t>
      </w:r>
      <w:r w:rsidRPr="00D25774">
        <w:rPr>
          <w:szCs w:val="22"/>
        </w:rPr>
        <w:t>CA21/774209</w:t>
      </w:r>
    </w:p>
    <w:p w14:paraId="5FCA332D" w14:textId="77777777" w:rsidR="009F7484" w:rsidRDefault="009F7484" w:rsidP="009F7484">
      <w:pPr>
        <w:widowControl/>
        <w:ind w:left="720"/>
        <w:jc w:val="both"/>
        <w:rPr>
          <w:rFonts w:eastAsia="Calibri"/>
          <w:snapToGrid/>
          <w:szCs w:val="22"/>
        </w:rPr>
      </w:pPr>
    </w:p>
    <w:p w14:paraId="6B1A2B53" w14:textId="77777777" w:rsidR="009F7484" w:rsidRPr="00292F9C" w:rsidRDefault="009F7484" w:rsidP="009F7484">
      <w:pPr>
        <w:widowControl/>
        <w:ind w:left="720"/>
        <w:jc w:val="both"/>
      </w:pPr>
      <w:r w:rsidRPr="00346353">
        <w:rPr>
          <w:rFonts w:eastAsia="Calibri"/>
          <w:snapToGrid/>
          <w:szCs w:val="22"/>
        </w:rPr>
        <w:t xml:space="preserve">Thank you for your petition </w:t>
      </w:r>
      <w:r>
        <w:t xml:space="preserve">requesting Council intervene to ensure effective odour control of </w:t>
      </w:r>
      <w:proofErr w:type="spellStart"/>
      <w:r>
        <w:t>Inghams</w:t>
      </w:r>
      <w:proofErr w:type="spellEnd"/>
      <w:r>
        <w:t xml:space="preserve"> </w:t>
      </w:r>
      <w:proofErr w:type="spellStart"/>
      <w:r>
        <w:t>Feedmill</w:t>
      </w:r>
      <w:proofErr w:type="spellEnd"/>
      <w:r>
        <w:t xml:space="preserve"> (the </w:t>
      </w:r>
      <w:proofErr w:type="spellStart"/>
      <w:r>
        <w:t>Feedmill</w:t>
      </w:r>
      <w:proofErr w:type="spellEnd"/>
      <w:r>
        <w:t xml:space="preserve">), located at 1495 Lytton Road, Hemmant, and create a pleasant living environment for residents living in the area. </w:t>
      </w:r>
    </w:p>
    <w:p w14:paraId="65FCF128" w14:textId="77777777" w:rsidR="009F7484" w:rsidRDefault="009F7484" w:rsidP="009F7484">
      <w:pPr>
        <w:ind w:left="1440"/>
        <w:jc w:val="both"/>
      </w:pPr>
    </w:p>
    <w:p w14:paraId="33BC7BDA" w14:textId="77777777" w:rsidR="009F7484" w:rsidRDefault="009F7484" w:rsidP="009F7484">
      <w:pPr>
        <w:ind w:left="720"/>
        <w:jc w:val="both"/>
      </w:pPr>
      <w:r>
        <w:t xml:space="preserve">Council’s Compliance and Regulatory Services, Lifestyle and Community Services, is responsible for investigating odour nuisance complaints under the Queensland Government’s </w:t>
      </w:r>
      <w:r w:rsidRPr="0084560D">
        <w:rPr>
          <w:i/>
          <w:iCs/>
        </w:rPr>
        <w:t>Environmental Protection Act 1994</w:t>
      </w:r>
      <w:r>
        <w:rPr>
          <w:i/>
          <w:iCs/>
        </w:rPr>
        <w:t xml:space="preserve"> </w:t>
      </w:r>
      <w:r>
        <w:t>(the Act). Authorised officers gather evidence to determine if odour being generated and released is an unlawful environmental nuisance, as defined by the Act.</w:t>
      </w:r>
    </w:p>
    <w:p w14:paraId="60E81862" w14:textId="77777777" w:rsidR="009F7484" w:rsidRDefault="009F7484" w:rsidP="009F7484">
      <w:pPr>
        <w:ind w:left="1440"/>
        <w:jc w:val="both"/>
      </w:pPr>
    </w:p>
    <w:p w14:paraId="42FC5EAA" w14:textId="77777777" w:rsidR="009F7484" w:rsidRPr="005D7331" w:rsidRDefault="009F7484" w:rsidP="009F7484">
      <w:pPr>
        <w:autoSpaceDE w:val="0"/>
        <w:autoSpaceDN w:val="0"/>
        <w:adjustRightInd w:val="0"/>
        <w:ind w:left="720"/>
        <w:jc w:val="both"/>
        <w:rPr>
          <w:szCs w:val="22"/>
          <w:lang w:eastAsia="en-AU"/>
        </w:rPr>
      </w:pPr>
      <w:r>
        <w:rPr>
          <w:szCs w:val="22"/>
          <w:lang w:eastAsia="en-AU"/>
        </w:rPr>
        <w:t>A</w:t>
      </w:r>
      <w:r w:rsidRPr="005D7331">
        <w:rPr>
          <w:szCs w:val="22"/>
          <w:lang w:eastAsia="en-AU"/>
        </w:rPr>
        <w:t>n unlawful environmental nuisance may occur when the release of any emissions</w:t>
      </w:r>
      <w:r>
        <w:rPr>
          <w:szCs w:val="22"/>
          <w:lang w:eastAsia="en-AU"/>
        </w:rPr>
        <w:t>,</w:t>
      </w:r>
      <w:r w:rsidRPr="005D7331">
        <w:rPr>
          <w:szCs w:val="22"/>
          <w:lang w:eastAsia="en-AU"/>
        </w:rPr>
        <w:t xml:space="preserve"> such</w:t>
      </w:r>
      <w:r>
        <w:rPr>
          <w:szCs w:val="22"/>
          <w:lang w:eastAsia="en-AU"/>
        </w:rPr>
        <w:t xml:space="preserve"> </w:t>
      </w:r>
      <w:r w:rsidRPr="005D7331">
        <w:rPr>
          <w:szCs w:val="22"/>
          <w:lang w:eastAsia="en-AU"/>
        </w:rPr>
        <w:t>as odour, causes an unreasonable interference with a person</w:t>
      </w:r>
      <w:r>
        <w:rPr>
          <w:szCs w:val="22"/>
          <w:lang w:eastAsia="en-AU"/>
        </w:rPr>
        <w:t>’</w:t>
      </w:r>
      <w:r w:rsidRPr="005D7331">
        <w:rPr>
          <w:szCs w:val="22"/>
          <w:lang w:eastAsia="en-AU"/>
        </w:rPr>
        <w:t xml:space="preserve">s enjoyment of their environment. Before Council can </w:t>
      </w:r>
      <w:r>
        <w:rPr>
          <w:szCs w:val="22"/>
          <w:lang w:eastAsia="en-AU"/>
        </w:rPr>
        <w:t>act</w:t>
      </w:r>
      <w:r w:rsidRPr="005D7331">
        <w:rPr>
          <w:szCs w:val="22"/>
          <w:lang w:eastAsia="en-AU"/>
        </w:rPr>
        <w:t xml:space="preserve"> in relation to an alleged unlawful environmental nuisance, </w:t>
      </w:r>
      <w:r>
        <w:rPr>
          <w:szCs w:val="22"/>
          <w:lang w:eastAsia="en-AU"/>
        </w:rPr>
        <w:t>officers</w:t>
      </w:r>
      <w:r w:rsidRPr="005D7331">
        <w:rPr>
          <w:szCs w:val="22"/>
          <w:lang w:eastAsia="en-AU"/>
        </w:rPr>
        <w:t xml:space="preserve"> must first substantiate that the nuisance provisions are met.</w:t>
      </w:r>
    </w:p>
    <w:p w14:paraId="66C86B49" w14:textId="77777777" w:rsidR="009F7484" w:rsidRPr="005D7331" w:rsidRDefault="009F7484" w:rsidP="009F7484">
      <w:pPr>
        <w:autoSpaceDE w:val="0"/>
        <w:autoSpaceDN w:val="0"/>
        <w:adjustRightInd w:val="0"/>
        <w:ind w:left="720"/>
        <w:jc w:val="both"/>
        <w:rPr>
          <w:szCs w:val="22"/>
          <w:lang w:eastAsia="en-AU"/>
        </w:rPr>
      </w:pPr>
    </w:p>
    <w:p w14:paraId="31C8ACF5" w14:textId="77777777" w:rsidR="009F7484" w:rsidRDefault="009F7484" w:rsidP="009F7484">
      <w:pPr>
        <w:ind w:left="720"/>
        <w:jc w:val="both"/>
        <w:rPr>
          <w:szCs w:val="22"/>
          <w:lang w:eastAsia="en-AU"/>
        </w:rPr>
      </w:pPr>
      <w:r w:rsidRPr="005D7331">
        <w:rPr>
          <w:szCs w:val="22"/>
          <w:lang w:eastAsia="en-AU"/>
        </w:rPr>
        <w:t>The Act states Council must consider the General Emission Criteria when determining if an emission is an unlawful environmental nuisance. The criteria can include considerations of the emission's characteristics or qualities, such as the duration and time of the emission, whether it is continuous or fluctuating and the types of emission that could reasonably</w:t>
      </w:r>
      <w:r>
        <w:rPr>
          <w:szCs w:val="22"/>
          <w:lang w:eastAsia="en-AU"/>
        </w:rPr>
        <w:t xml:space="preserve"> </w:t>
      </w:r>
      <w:r w:rsidRPr="005D7331">
        <w:rPr>
          <w:szCs w:val="22"/>
          <w:lang w:eastAsia="en-AU"/>
        </w:rPr>
        <w:t xml:space="preserve">be expected in the receiving environment. To assist in making an informed judgement about unlawful </w:t>
      </w:r>
      <w:r w:rsidRPr="005D7331">
        <w:rPr>
          <w:szCs w:val="22"/>
          <w:lang w:eastAsia="en-AU"/>
        </w:rPr>
        <w:lastRenderedPageBreak/>
        <w:t>environmental nuisances, Council requires an investigating officer to witness the emission taking place</w:t>
      </w:r>
      <w:r>
        <w:rPr>
          <w:szCs w:val="22"/>
          <w:lang w:eastAsia="en-AU"/>
        </w:rPr>
        <w:t>.</w:t>
      </w:r>
    </w:p>
    <w:p w14:paraId="7A9FF9E2" w14:textId="77777777" w:rsidR="009F7484" w:rsidRDefault="009F7484" w:rsidP="009F7484">
      <w:pPr>
        <w:ind w:left="1440"/>
        <w:jc w:val="both"/>
      </w:pPr>
    </w:p>
    <w:p w14:paraId="66424CDC" w14:textId="77777777" w:rsidR="009F7484" w:rsidRDefault="009F7484" w:rsidP="009F7484">
      <w:pPr>
        <w:ind w:left="720"/>
        <w:jc w:val="both"/>
        <w:rPr>
          <w:snapToGrid/>
          <w:szCs w:val="22"/>
          <w:lang w:eastAsia="en-AU"/>
        </w:rPr>
      </w:pPr>
      <w:r>
        <w:t xml:space="preserve">Council first received a report of the odour nuisance on 20 November 2020. The odour was reported to be coming from </w:t>
      </w:r>
      <w:r w:rsidRPr="00B36FAB">
        <w:rPr>
          <w:snapToGrid/>
          <w:szCs w:val="22"/>
          <w:lang w:eastAsia="en-AU"/>
        </w:rPr>
        <w:t>50 Goodman Pl</w:t>
      </w:r>
      <w:r>
        <w:rPr>
          <w:snapToGrid/>
          <w:szCs w:val="22"/>
          <w:lang w:eastAsia="en-AU"/>
        </w:rPr>
        <w:t>ace</w:t>
      </w:r>
      <w:r w:rsidRPr="00B36FAB">
        <w:rPr>
          <w:snapToGrid/>
          <w:szCs w:val="22"/>
          <w:lang w:eastAsia="en-AU"/>
        </w:rPr>
        <w:t>, Murarrie</w:t>
      </w:r>
      <w:r>
        <w:rPr>
          <w:snapToGrid/>
          <w:szCs w:val="22"/>
          <w:lang w:eastAsia="en-AU"/>
        </w:rPr>
        <w:t xml:space="preserve">. </w:t>
      </w:r>
      <w:r>
        <w:t xml:space="preserve">At this location, </w:t>
      </w:r>
      <w:r>
        <w:rPr>
          <w:snapToGrid/>
          <w:szCs w:val="22"/>
          <w:lang w:eastAsia="en-AU"/>
        </w:rPr>
        <w:t>the Queensland Government has a regulated activity (</w:t>
      </w:r>
      <w:r>
        <w:t>Environmental Relevant Activity 25 – Meat Processing)</w:t>
      </w:r>
      <w:r w:rsidRPr="00382B44">
        <w:t xml:space="preserve"> </w:t>
      </w:r>
      <w:r>
        <w:t xml:space="preserve">issued under the provisions of the </w:t>
      </w:r>
      <w:r w:rsidRPr="00AE0F48">
        <w:t>Act</w:t>
      </w:r>
      <w:r>
        <w:t>. Therefore, the matter was referred to the Queensland Government’s Department of Environment and Science (DES).</w:t>
      </w:r>
    </w:p>
    <w:p w14:paraId="188B7435" w14:textId="77777777" w:rsidR="009F7484" w:rsidRDefault="009F7484" w:rsidP="009F7484">
      <w:pPr>
        <w:ind w:left="720"/>
        <w:jc w:val="both"/>
      </w:pPr>
    </w:p>
    <w:p w14:paraId="38F5D864" w14:textId="77777777" w:rsidR="009F7484" w:rsidRDefault="009F7484" w:rsidP="009F7484">
      <w:pPr>
        <w:ind w:left="720"/>
        <w:jc w:val="both"/>
      </w:pPr>
      <w:r>
        <w:t xml:space="preserve">On 22 December 2020, Council received confirmation from DES that the source of the odour was not from its regulated activity and advised it was being generated from the </w:t>
      </w:r>
      <w:proofErr w:type="spellStart"/>
      <w:r>
        <w:t>Feedmill</w:t>
      </w:r>
      <w:proofErr w:type="spellEnd"/>
      <w:r>
        <w:t>, which is not regulated by DES. Subsequently, the matter was referred to Council for further investigation.</w:t>
      </w:r>
    </w:p>
    <w:p w14:paraId="4A7B4493" w14:textId="77777777" w:rsidR="009F7484" w:rsidRDefault="009F7484" w:rsidP="009F7484">
      <w:pPr>
        <w:ind w:left="720"/>
        <w:jc w:val="both"/>
      </w:pPr>
    </w:p>
    <w:p w14:paraId="7602A9D8" w14:textId="77777777" w:rsidR="009F7484" w:rsidRDefault="009F7484" w:rsidP="009F7484">
      <w:pPr>
        <w:ind w:left="720"/>
        <w:jc w:val="both"/>
      </w:pPr>
      <w:r>
        <w:t xml:space="preserve">Council’s investigation determined that an unlawful environmental nuisance was being created by the odour coming from the </w:t>
      </w:r>
      <w:proofErr w:type="spellStart"/>
      <w:r>
        <w:t>Feedmill</w:t>
      </w:r>
      <w:proofErr w:type="spellEnd"/>
      <w:r>
        <w:t xml:space="preserve">. As a result, a notice to conduct an Environmental Evaluation (investigation) was issued to the </w:t>
      </w:r>
      <w:proofErr w:type="spellStart"/>
      <w:r>
        <w:t>Feedmill</w:t>
      </w:r>
      <w:proofErr w:type="spellEnd"/>
      <w:r>
        <w:t xml:space="preserve"> on 18 March 2021. The notice directs the </w:t>
      </w:r>
      <w:proofErr w:type="spellStart"/>
      <w:r>
        <w:t>Feedmill</w:t>
      </w:r>
      <w:proofErr w:type="spellEnd"/>
      <w:r>
        <w:t xml:space="preserve"> to investigate the source of the odour, identify ways to mitigate the odour and supply a report to Council. The report was due and received on 7 June 2021. A further information request was issued on 29 June 2021, asking for clarification on some matters. This request was due on 30 July 2021, and the report was received on that day. </w:t>
      </w:r>
      <w:r w:rsidRPr="00A85E2F">
        <w:t xml:space="preserve">Council officers will </w:t>
      </w:r>
      <w:r>
        <w:t xml:space="preserve">now </w:t>
      </w:r>
      <w:r w:rsidRPr="00A85E2F">
        <w:t>assess the report and supporting information and determine the next appropriate course of action.</w:t>
      </w:r>
    </w:p>
    <w:p w14:paraId="5F3AB9A1" w14:textId="77777777" w:rsidR="009F7484" w:rsidRDefault="009F7484" w:rsidP="009F7484">
      <w:pPr>
        <w:ind w:left="720"/>
        <w:jc w:val="both"/>
      </w:pPr>
    </w:p>
    <w:p w14:paraId="6AF0408F" w14:textId="77777777" w:rsidR="009F7484" w:rsidRDefault="009F7484" w:rsidP="009F7484">
      <w:pPr>
        <w:ind w:left="720"/>
        <w:jc w:val="both"/>
      </w:pPr>
      <w:r>
        <w:t xml:space="preserve">In the meantime, Council is continuing to monitor this matter and is working with the </w:t>
      </w:r>
      <w:proofErr w:type="spellStart"/>
      <w:r>
        <w:t>Feedmill</w:t>
      </w:r>
      <w:proofErr w:type="spellEnd"/>
      <w:r>
        <w:t xml:space="preserve"> on possible solutions to resolve the issue. </w:t>
      </w:r>
    </w:p>
    <w:p w14:paraId="1DE99D72" w14:textId="77777777" w:rsidR="009F7484" w:rsidRPr="00346353" w:rsidRDefault="009F7484" w:rsidP="009F7484">
      <w:pPr>
        <w:widowControl/>
        <w:ind w:left="720"/>
        <w:jc w:val="both"/>
        <w:rPr>
          <w:rFonts w:eastAsia="Calibri"/>
          <w:snapToGrid/>
          <w:szCs w:val="22"/>
        </w:rPr>
      </w:pPr>
    </w:p>
    <w:p w14:paraId="2649DCAE" w14:textId="77777777" w:rsidR="009F7484" w:rsidRPr="00346353" w:rsidRDefault="009F7484" w:rsidP="009F7484">
      <w:pPr>
        <w:widowControl/>
        <w:ind w:left="720"/>
        <w:jc w:val="both"/>
        <w:rPr>
          <w:rFonts w:eastAsia="Calibri"/>
          <w:snapToGrid/>
          <w:szCs w:val="22"/>
        </w:rPr>
      </w:pPr>
      <w:r>
        <w:rPr>
          <w:rFonts w:eastAsia="Calibri"/>
          <w:szCs w:val="22"/>
        </w:rPr>
        <w:t>The above information will be provided to the other petitioners via email.</w:t>
      </w:r>
    </w:p>
    <w:p w14:paraId="7AA3D6E0" w14:textId="77777777" w:rsidR="009F7484" w:rsidRPr="00346353" w:rsidRDefault="009F7484" w:rsidP="009F7484">
      <w:pPr>
        <w:widowControl/>
        <w:ind w:left="720"/>
        <w:jc w:val="both"/>
        <w:rPr>
          <w:rFonts w:eastAsia="Calibri"/>
          <w:snapToGrid/>
          <w:szCs w:val="22"/>
        </w:rPr>
      </w:pPr>
    </w:p>
    <w:p w14:paraId="7A773D24" w14:textId="77777777" w:rsidR="009F7484" w:rsidRDefault="009F7484" w:rsidP="009F7484">
      <w:pPr>
        <w:widowControl/>
        <w:ind w:left="720"/>
        <w:jc w:val="both"/>
        <w:rPr>
          <w:rFonts w:eastAsia="Calibri"/>
          <w:snapToGrid/>
          <w:szCs w:val="22"/>
        </w:rPr>
      </w:pPr>
      <w:r>
        <w:rPr>
          <w:rFonts w:eastAsia="Calibri"/>
          <w:snapToGrid/>
          <w:szCs w:val="22"/>
        </w:rPr>
        <w:t>S</w:t>
      </w:r>
      <w:r w:rsidRPr="00346353">
        <w:rPr>
          <w:rFonts w:eastAsia="Calibri"/>
          <w:snapToGrid/>
          <w:szCs w:val="22"/>
        </w:rPr>
        <w:t>hould you wish to discuss this matter further, please contact</w:t>
      </w:r>
      <w:r>
        <w:rPr>
          <w:rFonts w:eastAsia="Calibri"/>
          <w:snapToGrid/>
          <w:szCs w:val="22"/>
        </w:rPr>
        <w:t xml:space="preserve"> Mr Chris </w:t>
      </w:r>
      <w:proofErr w:type="spellStart"/>
      <w:r>
        <w:rPr>
          <w:rFonts w:eastAsia="Calibri"/>
          <w:snapToGrid/>
          <w:szCs w:val="22"/>
        </w:rPr>
        <w:t>Vojtisek</w:t>
      </w:r>
      <w:proofErr w:type="spellEnd"/>
      <w:r>
        <w:rPr>
          <w:rFonts w:eastAsia="Calibri"/>
          <w:snapToGrid/>
          <w:szCs w:val="22"/>
        </w:rPr>
        <w:t>, Senior Environmental Health Officer, Compliance and Regulatory Services, Lifestyle and Community Services, on (07) 3178 1458.</w:t>
      </w:r>
    </w:p>
    <w:p w14:paraId="4B719254" w14:textId="77777777" w:rsidR="009F7484" w:rsidRDefault="009F7484" w:rsidP="009F7484">
      <w:pPr>
        <w:widowControl/>
        <w:ind w:left="720"/>
        <w:jc w:val="both"/>
        <w:rPr>
          <w:rFonts w:eastAsia="Calibri"/>
          <w:snapToGrid/>
          <w:szCs w:val="22"/>
        </w:rPr>
      </w:pPr>
    </w:p>
    <w:p w14:paraId="5F076AEB" w14:textId="77777777" w:rsidR="009F7484" w:rsidRPr="00346353" w:rsidRDefault="009F7484" w:rsidP="009F7484">
      <w:pPr>
        <w:widowControl/>
        <w:ind w:left="720"/>
        <w:jc w:val="both"/>
        <w:rPr>
          <w:rFonts w:eastAsia="Calibri"/>
          <w:snapToGrid/>
          <w:szCs w:val="22"/>
        </w:rPr>
      </w:pPr>
      <w:r w:rsidRPr="00346353">
        <w:rPr>
          <w:rFonts w:eastAsia="Calibri"/>
          <w:snapToGrid/>
          <w:szCs w:val="22"/>
        </w:rPr>
        <w:t>Thank you for raising this matter.</w:t>
      </w:r>
    </w:p>
    <w:p w14:paraId="18F9A715" w14:textId="77777777" w:rsidR="009F7484" w:rsidRDefault="009F7484" w:rsidP="00B067DD">
      <w:pPr>
        <w:widowControl/>
        <w:ind w:left="720"/>
        <w:jc w:val="right"/>
        <w:rPr>
          <w:b/>
          <w:i/>
          <w:szCs w:val="22"/>
        </w:rPr>
      </w:pPr>
    </w:p>
    <w:p w14:paraId="43D98016" w14:textId="77777777" w:rsidR="00C43921" w:rsidRDefault="00C43921" w:rsidP="00B067DD">
      <w:pPr>
        <w:widowControl/>
        <w:ind w:left="720"/>
        <w:jc w:val="right"/>
        <w:rPr>
          <w:b/>
          <w:i/>
          <w:szCs w:val="22"/>
        </w:rPr>
      </w:pPr>
    </w:p>
    <w:p w14:paraId="0A13A323" w14:textId="77777777" w:rsidR="005715E4" w:rsidRPr="003B0BD4" w:rsidRDefault="005715E4" w:rsidP="00B067DD">
      <w:pPr>
        <w:widowControl/>
        <w:ind w:left="720"/>
        <w:jc w:val="right"/>
        <w:rPr>
          <w:b/>
          <w:i/>
          <w:szCs w:val="22"/>
        </w:rPr>
      </w:pPr>
      <w:r w:rsidRPr="003B0BD4">
        <w:rPr>
          <w:b/>
          <w:i/>
          <w:szCs w:val="22"/>
        </w:rPr>
        <w:t>End.</w:t>
      </w:r>
    </w:p>
    <w:sectPr w:rsidR="005715E4" w:rsidRPr="003B0BD4">
      <w:headerReference w:type="first" r:id="rId10"/>
      <w:endnotePr>
        <w:numFmt w:val="decimal"/>
      </w:endnotePr>
      <w:pgSz w:w="11906" w:h="16838" w:code="9"/>
      <w:pgMar w:top="1134" w:right="1440" w:bottom="1134"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B4A71" w14:textId="77777777" w:rsidR="003B0CF4" w:rsidRDefault="003B0CF4">
      <w:r>
        <w:separator/>
      </w:r>
    </w:p>
  </w:endnote>
  <w:endnote w:type="continuationSeparator" w:id="0">
    <w:p w14:paraId="689CA8B7" w14:textId="77777777" w:rsidR="003B0CF4" w:rsidRDefault="003B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00007A87" w:usb1="80000000" w:usb2="00000008"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91B4E" w14:textId="77777777" w:rsidR="003B0CF4" w:rsidRDefault="003B0CF4">
      <w:r>
        <w:separator/>
      </w:r>
    </w:p>
  </w:footnote>
  <w:footnote w:type="continuationSeparator" w:id="0">
    <w:p w14:paraId="333944A3" w14:textId="77777777" w:rsidR="003B0CF4" w:rsidRDefault="003B0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0F20A" w14:textId="77777777" w:rsidR="00753322" w:rsidRDefault="007533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B218B1" w14:textId="77777777" w:rsidR="00753322" w:rsidRDefault="00753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4AC50" w14:textId="77777777" w:rsidR="00C43921" w:rsidRDefault="00C43921">
    <w:pPr>
      <w:pStyle w:val="Header"/>
      <w:jc w:val="center"/>
    </w:pPr>
    <w:r>
      <w:fldChar w:fldCharType="begin"/>
    </w:r>
    <w:r>
      <w:instrText xml:space="preserve"> PAGE   \* MERGEFORMAT </w:instrText>
    </w:r>
    <w:r>
      <w:fldChar w:fldCharType="separate"/>
    </w:r>
    <w:r>
      <w:rPr>
        <w:noProof/>
      </w:rPr>
      <w:t>2</w:t>
    </w:r>
    <w:r>
      <w:rPr>
        <w:noProof/>
      </w:rPr>
      <w:fldChar w:fldCharType="end"/>
    </w:r>
  </w:p>
  <w:p w14:paraId="33E3312F" w14:textId="77777777" w:rsidR="00753322" w:rsidRDefault="00753322" w:rsidP="000D4F6D">
    <w:pPr>
      <w:pStyle w:val="Header"/>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82372" w14:textId="461D5BF4" w:rsidR="00C43921" w:rsidRDefault="00CA66F2" w:rsidP="00C43921">
    <w:pPr>
      <w:jc w:val="center"/>
      <w:rPr>
        <w:b/>
        <w:bCs/>
        <w:sz w:val="28"/>
        <w:szCs w:val="28"/>
      </w:rPr>
    </w:pPr>
    <w:r>
      <w:rPr>
        <w:noProof/>
      </w:rPr>
      <mc:AlternateContent>
        <mc:Choice Requires="wps">
          <w:drawing>
            <wp:anchor distT="0" distB="0" distL="114300" distR="114300" simplePos="0" relativeHeight="251657728" behindDoc="0" locked="0" layoutInCell="1" allowOverlap="1" wp14:anchorId="10F36FE9" wp14:editId="0CAF8F69">
              <wp:simplePos x="0" y="0"/>
              <wp:positionH relativeFrom="margin">
                <wp:align>center</wp:align>
              </wp:positionH>
              <wp:positionV relativeFrom="paragraph">
                <wp:posOffset>3175</wp:posOffset>
              </wp:positionV>
              <wp:extent cx="6334125" cy="9525"/>
              <wp:effectExtent l="0" t="0" r="952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41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75E19E" id="Straight Connector 7"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pt" to="498.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" strokecolor="windowText" strokeweight=".5pt">
              <v:stroke joinstyle="miter"/>
              <o:lock v:ext="edit" shapetype="f"/>
              <w10:wrap anchorx="margin"/>
            </v:line>
          </w:pict>
        </mc:Fallback>
      </mc:AlternateContent>
    </w:r>
  </w:p>
  <w:p w14:paraId="5214CF2A" w14:textId="465225FC" w:rsidR="00C43921" w:rsidRPr="005362FD" w:rsidRDefault="00CA66F2" w:rsidP="008B7E31">
    <w:pPr>
      <w:pStyle w:val="Normal2"/>
      <w:ind w:left="2268" w:right="-613" w:firstLine="0"/>
      <w:jc w:val="center"/>
      <w:rPr>
        <w:b/>
        <w:bCs/>
        <w:sz w:val="28"/>
        <w:szCs w:val="24"/>
      </w:rPr>
    </w:pPr>
    <w:r w:rsidRPr="005362FD">
      <w:rPr>
        <w:b/>
        <w:bCs/>
        <w:sz w:val="28"/>
        <w:szCs w:val="24"/>
      </w:rPr>
      <w:drawing>
        <wp:anchor distT="0" distB="0" distL="114300" distR="114300" simplePos="0" relativeHeight="251656704" behindDoc="1" locked="1" layoutInCell="1" allowOverlap="1" wp14:anchorId="6618F5EA" wp14:editId="2EB73AA9">
          <wp:simplePos x="0" y="0"/>
          <wp:positionH relativeFrom="margin">
            <wp:posOffset>-267970</wp:posOffset>
          </wp:positionH>
          <wp:positionV relativeFrom="paragraph">
            <wp:posOffset>51435</wp:posOffset>
          </wp:positionV>
          <wp:extent cx="1438275" cy="79057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3921" w:rsidRPr="005362FD">
      <w:rPr>
        <w:b/>
        <w:bCs/>
        <w:sz w:val="28"/>
        <w:szCs w:val="24"/>
      </w:rPr>
      <w:t>CITY STANDARDS COMMITTEE</w:t>
    </w:r>
    <w:r w:rsidR="00C43921">
      <w:rPr>
        <w:b/>
        <w:bCs/>
        <w:sz w:val="28"/>
        <w:szCs w:val="24"/>
      </w:rPr>
      <w:br/>
    </w:r>
  </w:p>
  <w:p w14:paraId="035C56C1" w14:textId="31FC7C00" w:rsidR="00C43921" w:rsidRDefault="00C43921" w:rsidP="008B7E31">
    <w:pPr>
      <w:ind w:left="2552" w:right="-330"/>
      <w:jc w:val="center"/>
      <w:rPr>
        <w:b/>
      </w:rPr>
    </w:pPr>
    <w:r w:rsidRPr="00D931A5">
      <w:rPr>
        <w:b/>
      </w:rPr>
      <w:t>DECISI</w:t>
    </w:r>
    <w:r>
      <w:rPr>
        <w:b/>
      </w:rPr>
      <w:t>ONS OF THE ESTABLISHMENT AND CO</w:t>
    </w:r>
    <w:r w:rsidRPr="00D931A5">
      <w:rPr>
        <w:b/>
      </w:rPr>
      <w:t xml:space="preserve">ORDINATION COMMITTEE DURING THE </w:t>
    </w:r>
    <w:r w:rsidR="00F92897" w:rsidRPr="00F92897">
      <w:rPr>
        <w:b/>
      </w:rPr>
      <w:t>SPRING</w:t>
    </w:r>
    <w:r w:rsidRPr="00F92897">
      <w:rPr>
        <w:b/>
      </w:rPr>
      <w:t xml:space="preserve"> RECESS 202</w:t>
    </w:r>
    <w:r w:rsidR="00031969" w:rsidRPr="00F92897">
      <w:rPr>
        <w:b/>
      </w:rPr>
      <w:t>1</w:t>
    </w:r>
    <w:r w:rsidRPr="00F92897">
      <w:rPr>
        <w:b/>
      </w:rPr>
      <w:t>, ON</w:t>
    </w:r>
    <w:r w:rsidRPr="00D931A5">
      <w:rPr>
        <w:b/>
      </w:rPr>
      <w:t xml:space="preserve"> MATTERS USUALLY COMING UNDER THE JURISDICTION OF THE </w:t>
    </w:r>
    <w:r w:rsidRPr="003A4743">
      <w:rPr>
        <w:b/>
      </w:rPr>
      <w:t>CITY</w:t>
    </w:r>
    <w:r w:rsidR="00617546">
      <w:rPr>
        <w:b/>
      </w:rPr>
      <w:t> </w:t>
    </w:r>
    <w:r w:rsidRPr="003A4743">
      <w:rPr>
        <w:b/>
      </w:rPr>
      <w:t xml:space="preserve">STANDARDS </w:t>
    </w:r>
    <w:r>
      <w:rPr>
        <w:b/>
      </w:rPr>
      <w:t xml:space="preserve">COMMITTEE, SUBMITTED TO </w:t>
    </w:r>
    <w:r w:rsidRPr="00D931A5">
      <w:rPr>
        <w:b/>
      </w:rPr>
      <w:t>COUNCI</w:t>
    </w:r>
    <w:r>
      <w:rPr>
        <w:b/>
      </w:rPr>
      <w:t>L FOR INFORMATION PURPOSES ONLY</w:t>
    </w:r>
  </w:p>
  <w:p w14:paraId="0878CB16" w14:textId="77777777" w:rsidR="00C43921" w:rsidRDefault="00C43921" w:rsidP="00C43921">
    <w:pPr>
      <w:ind w:left="2160"/>
      <w:jc w:val="center"/>
      <w:rPr>
        <w:rStyle w:val="Strong"/>
        <w:sz w:val="24"/>
        <w:szCs w:val="24"/>
        <w:lang w:val="en-US"/>
      </w:rPr>
    </w:pPr>
  </w:p>
  <w:p w14:paraId="1D13BB79" w14:textId="5B2D03FB" w:rsidR="00C43921" w:rsidRPr="009E7A7C" w:rsidRDefault="00CA66F2" w:rsidP="00C43921">
    <w:r>
      <w:rPr>
        <w:noProof/>
      </w:rPr>
      <mc:AlternateContent>
        <mc:Choice Requires="wps">
          <w:drawing>
            <wp:anchor distT="0" distB="0" distL="114300" distR="114300" simplePos="0" relativeHeight="251658752" behindDoc="0" locked="0" layoutInCell="1" allowOverlap="1" wp14:anchorId="669EFBA8" wp14:editId="36CFC107">
              <wp:simplePos x="0" y="0"/>
              <wp:positionH relativeFrom="margin">
                <wp:posOffset>-301625</wp:posOffset>
              </wp:positionH>
              <wp:positionV relativeFrom="paragraph">
                <wp:posOffset>64135</wp:posOffset>
              </wp:positionV>
              <wp:extent cx="6334125" cy="9525"/>
              <wp:effectExtent l="0" t="0" r="952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41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F187E3" id="Straight Connector 8"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75pt,5.05pt" to="4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" strokecolor="windowText" strokeweight=".5pt">
              <v:stroke joinstyle="miter"/>
              <o:lock v:ext="edit" shapetype="f"/>
              <w10:wrap anchorx="margin"/>
            </v:line>
          </w:pict>
        </mc:Fallback>
      </mc:AlternateContent>
    </w:r>
  </w:p>
  <w:p w14:paraId="190BD871" w14:textId="77777777" w:rsidR="00C43921" w:rsidRDefault="00C43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E50B9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869D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E8A0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5A9B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BE16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1611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FA08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80C3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86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B67E6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71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CD6"/>
    <w:rsid w:val="000166A0"/>
    <w:rsid w:val="0002480F"/>
    <w:rsid w:val="00031969"/>
    <w:rsid w:val="00061498"/>
    <w:rsid w:val="00097DC9"/>
    <w:rsid w:val="000A1671"/>
    <w:rsid w:val="000C411B"/>
    <w:rsid w:val="000D44FE"/>
    <w:rsid w:val="000D4F6D"/>
    <w:rsid w:val="00121E9C"/>
    <w:rsid w:val="00144828"/>
    <w:rsid w:val="001D4F31"/>
    <w:rsid w:val="0021397C"/>
    <w:rsid w:val="0022032E"/>
    <w:rsid w:val="00235A74"/>
    <w:rsid w:val="00256012"/>
    <w:rsid w:val="00267C12"/>
    <w:rsid w:val="002B6676"/>
    <w:rsid w:val="002D479A"/>
    <w:rsid w:val="00301484"/>
    <w:rsid w:val="003429AE"/>
    <w:rsid w:val="00355CD6"/>
    <w:rsid w:val="00373124"/>
    <w:rsid w:val="003A39B3"/>
    <w:rsid w:val="003A4743"/>
    <w:rsid w:val="003B0CF4"/>
    <w:rsid w:val="00410CD0"/>
    <w:rsid w:val="00457640"/>
    <w:rsid w:val="004627F7"/>
    <w:rsid w:val="00466C18"/>
    <w:rsid w:val="004A24E6"/>
    <w:rsid w:val="004A3D7C"/>
    <w:rsid w:val="004B3498"/>
    <w:rsid w:val="004B6FCB"/>
    <w:rsid w:val="004D79BC"/>
    <w:rsid w:val="00520576"/>
    <w:rsid w:val="005362FD"/>
    <w:rsid w:val="005715E4"/>
    <w:rsid w:val="00617546"/>
    <w:rsid w:val="006221E3"/>
    <w:rsid w:val="006267DA"/>
    <w:rsid w:val="00630653"/>
    <w:rsid w:val="00637690"/>
    <w:rsid w:val="00642FF2"/>
    <w:rsid w:val="006F639E"/>
    <w:rsid w:val="00701894"/>
    <w:rsid w:val="007054D2"/>
    <w:rsid w:val="00733427"/>
    <w:rsid w:val="00753322"/>
    <w:rsid w:val="00756D74"/>
    <w:rsid w:val="00763958"/>
    <w:rsid w:val="00775D17"/>
    <w:rsid w:val="00786128"/>
    <w:rsid w:val="007D7BB9"/>
    <w:rsid w:val="0084405A"/>
    <w:rsid w:val="008A2D17"/>
    <w:rsid w:val="008B7E31"/>
    <w:rsid w:val="008E70B6"/>
    <w:rsid w:val="009008D1"/>
    <w:rsid w:val="009A77F6"/>
    <w:rsid w:val="009B3D4E"/>
    <w:rsid w:val="009F7484"/>
    <w:rsid w:val="00A26F1F"/>
    <w:rsid w:val="00A56C21"/>
    <w:rsid w:val="00A66B09"/>
    <w:rsid w:val="00A84ECD"/>
    <w:rsid w:val="00AB6A60"/>
    <w:rsid w:val="00AD100C"/>
    <w:rsid w:val="00AF3679"/>
    <w:rsid w:val="00B067DD"/>
    <w:rsid w:val="00B4107F"/>
    <w:rsid w:val="00B82A38"/>
    <w:rsid w:val="00BB48B5"/>
    <w:rsid w:val="00BB5102"/>
    <w:rsid w:val="00BD36D4"/>
    <w:rsid w:val="00BE241C"/>
    <w:rsid w:val="00BE60C9"/>
    <w:rsid w:val="00C43921"/>
    <w:rsid w:val="00C91049"/>
    <w:rsid w:val="00C91F32"/>
    <w:rsid w:val="00C96608"/>
    <w:rsid w:val="00C97558"/>
    <w:rsid w:val="00CA66F2"/>
    <w:rsid w:val="00D9104A"/>
    <w:rsid w:val="00DA0EED"/>
    <w:rsid w:val="00DA4859"/>
    <w:rsid w:val="00DF1AB5"/>
    <w:rsid w:val="00DF3544"/>
    <w:rsid w:val="00E039D1"/>
    <w:rsid w:val="00E26B40"/>
    <w:rsid w:val="00E53250"/>
    <w:rsid w:val="00E57938"/>
    <w:rsid w:val="00EB783C"/>
    <w:rsid w:val="00F12609"/>
    <w:rsid w:val="00F24DCF"/>
    <w:rsid w:val="00F34A4F"/>
    <w:rsid w:val="00F71B19"/>
    <w:rsid w:val="00F90E46"/>
    <w:rsid w:val="00F92897"/>
    <w:rsid w:val="00FF1A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4AB362F"/>
  <w15:chartTrackingRefBased/>
  <w15:docId w15:val="{04C8EEF1-DD6D-4535-99A3-385EC4AC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54D2"/>
    <w:pPr>
      <w:widowControl w:val="0"/>
    </w:pPr>
    <w:rPr>
      <w:snapToGrid w:val="0"/>
      <w:sz w:val="22"/>
      <w:lang w:eastAsia="en-US"/>
    </w:rPr>
  </w:style>
  <w:style w:type="paragraph" w:styleId="Heading1">
    <w:name w:val="heading 1"/>
    <w:basedOn w:val="Normal"/>
    <w:next w:val="Normal"/>
    <w:link w:val="Heading1Char"/>
    <w:uiPriority w:val="9"/>
    <w:qFormat/>
    <w:rsid w:val="007054D2"/>
    <w:pPr>
      <w:widowControl/>
      <w:spacing w:after="160" w:line="259" w:lineRule="auto"/>
      <w:jc w:val="center"/>
      <w:outlineLvl w:val="0"/>
    </w:pPr>
    <w:rPr>
      <w:rFonts w:eastAsia="Calibri"/>
      <w:b/>
      <w:bCs/>
      <w:snapToGrid/>
      <w:sz w:val="28"/>
      <w:szCs w:val="28"/>
    </w:rPr>
  </w:style>
  <w:style w:type="paragraph" w:styleId="Heading2">
    <w:name w:val="heading 2"/>
    <w:basedOn w:val="Normal"/>
    <w:next w:val="Normal"/>
    <w:link w:val="Heading2Char"/>
    <w:unhideWhenUsed/>
    <w:qFormat/>
    <w:rsid w:val="007054D2"/>
    <w:pPr>
      <w:widowControl/>
      <w:jc w:val="center"/>
      <w:outlineLvl w:val="1"/>
    </w:pPr>
    <w:rPr>
      <w:b/>
      <w:sz w:val="24"/>
    </w:rPr>
  </w:style>
  <w:style w:type="paragraph" w:styleId="Heading3">
    <w:name w:val="heading 3"/>
    <w:basedOn w:val="Normal"/>
    <w:next w:val="Normal"/>
    <w:link w:val="Heading3Char"/>
    <w:unhideWhenUsed/>
    <w:qFormat/>
    <w:rsid w:val="007054D2"/>
    <w:pPr>
      <w:widowControl/>
      <w:ind w:firstLine="720"/>
      <w:outlineLvl w:val="2"/>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5CD6"/>
    <w:pPr>
      <w:tabs>
        <w:tab w:val="center" w:pos="4820"/>
        <w:tab w:val="right" w:pos="9639"/>
      </w:tabs>
    </w:pPr>
    <w:rPr>
      <w:rFonts w:ascii="Times New (W1)" w:hAnsi="Times New (W1)"/>
      <w:sz w:val="20"/>
    </w:rPr>
  </w:style>
  <w:style w:type="character" w:styleId="PageNumber">
    <w:name w:val="page number"/>
    <w:basedOn w:val="DefaultParagraphFont"/>
    <w:rsid w:val="00355CD6"/>
  </w:style>
  <w:style w:type="paragraph" w:styleId="Footer">
    <w:name w:val="footer"/>
    <w:basedOn w:val="Normal"/>
    <w:rsid w:val="00355CD6"/>
    <w:pPr>
      <w:tabs>
        <w:tab w:val="center" w:pos="4153"/>
        <w:tab w:val="right" w:pos="8306"/>
      </w:tabs>
    </w:pPr>
  </w:style>
  <w:style w:type="character" w:customStyle="1" w:styleId="Heading1Char">
    <w:name w:val="Heading 1 Char"/>
    <w:link w:val="Heading1"/>
    <w:uiPriority w:val="9"/>
    <w:rsid w:val="007054D2"/>
    <w:rPr>
      <w:rFonts w:eastAsia="Calibri"/>
      <w:b/>
      <w:bCs/>
      <w:sz w:val="28"/>
      <w:szCs w:val="28"/>
      <w:lang w:eastAsia="en-US"/>
    </w:rPr>
  </w:style>
  <w:style w:type="character" w:styleId="Strong">
    <w:name w:val="Strong"/>
    <w:qFormat/>
    <w:rsid w:val="007054D2"/>
    <w:rPr>
      <w:b/>
      <w:bCs/>
    </w:rPr>
  </w:style>
  <w:style w:type="character" w:customStyle="1" w:styleId="Heading2Char">
    <w:name w:val="Heading 2 Char"/>
    <w:link w:val="Heading2"/>
    <w:rsid w:val="007054D2"/>
    <w:rPr>
      <w:b/>
      <w:snapToGrid w:val="0"/>
      <w:sz w:val="24"/>
      <w:lang w:eastAsia="en-US"/>
    </w:rPr>
  </w:style>
  <w:style w:type="paragraph" w:customStyle="1" w:styleId="Heading25">
    <w:name w:val="Heading 2.5"/>
    <w:basedOn w:val="Heading2"/>
    <w:link w:val="Heading25Char"/>
    <w:qFormat/>
    <w:rsid w:val="007054D2"/>
    <w:pPr>
      <w:ind w:left="1440" w:hanging="720"/>
      <w:jc w:val="both"/>
    </w:pPr>
    <w:rPr>
      <w:sz w:val="22"/>
      <w:u w:val="single"/>
    </w:rPr>
  </w:style>
  <w:style w:type="character" w:customStyle="1" w:styleId="Heading3Char">
    <w:name w:val="Heading 3 Char"/>
    <w:link w:val="Heading3"/>
    <w:rsid w:val="007054D2"/>
    <w:rPr>
      <w:snapToGrid w:val="0"/>
      <w:sz w:val="22"/>
      <w:szCs w:val="22"/>
      <w:u w:val="single"/>
      <w:lang w:eastAsia="en-US"/>
    </w:rPr>
  </w:style>
  <w:style w:type="character" w:customStyle="1" w:styleId="Heading25Char">
    <w:name w:val="Heading 2.5 Char"/>
    <w:link w:val="Heading25"/>
    <w:rsid w:val="007054D2"/>
    <w:rPr>
      <w:b/>
      <w:snapToGrid w:val="0"/>
      <w:sz w:val="22"/>
      <w:u w:val="single"/>
      <w:lang w:eastAsia="en-US"/>
    </w:rPr>
  </w:style>
  <w:style w:type="paragraph" w:customStyle="1" w:styleId="Normal2">
    <w:name w:val="Normal 2"/>
    <w:basedOn w:val="Normal"/>
    <w:link w:val="Normal2Char"/>
    <w:qFormat/>
    <w:rsid w:val="005362FD"/>
    <w:pPr>
      <w:ind w:left="1134" w:right="-330" w:firstLine="567"/>
    </w:pPr>
    <w:rPr>
      <w:noProof/>
      <w:lang w:eastAsia="en-AU"/>
    </w:rPr>
  </w:style>
  <w:style w:type="character" w:customStyle="1" w:styleId="HeaderChar">
    <w:name w:val="Header Char"/>
    <w:link w:val="Header"/>
    <w:uiPriority w:val="99"/>
    <w:rsid w:val="00C43921"/>
    <w:rPr>
      <w:rFonts w:ascii="Times New (W1)" w:hAnsi="Times New (W1)"/>
      <w:snapToGrid w:val="0"/>
      <w:lang w:eastAsia="en-US"/>
    </w:rPr>
  </w:style>
  <w:style w:type="character" w:customStyle="1" w:styleId="Normal2Char">
    <w:name w:val="Normal 2 Char"/>
    <w:link w:val="Normal2"/>
    <w:rsid w:val="005362FD"/>
    <w:rPr>
      <w:noProof/>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BCC</dc:creator>
  <cp:keywords/>
  <dc:description/>
  <cp:lastModifiedBy>Kristy Ramirez</cp:lastModifiedBy>
  <cp:revision>2</cp:revision>
  <dcterms:created xsi:type="dcterms:W3CDTF">2021-10-12T01:30:00Z</dcterms:created>
  <dcterms:modified xsi:type="dcterms:W3CDTF">2021-10-12T01:30:00Z</dcterms:modified>
</cp:coreProperties>
</file>